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F6" w:rsidRPr="005A669C" w:rsidRDefault="00EE65F6" w:rsidP="003916CC">
      <w:pPr>
        <w:pStyle w:val="BodyText"/>
        <w:ind w:left="0"/>
        <w:jc w:val="right"/>
        <w:rPr>
          <w:noProof/>
        </w:rPr>
      </w:pPr>
      <w:r w:rsidRPr="005A669C">
        <w:t>1. pielikums</w:t>
      </w:r>
    </w:p>
    <w:p w:rsidR="00EE65F6" w:rsidRDefault="00EE65F6" w:rsidP="005A669C">
      <w:pPr>
        <w:jc w:val="both"/>
        <w:rPr>
          <w:rFonts w:ascii="Times New Roman" w:eastAsia="Times New Roman" w:hAnsi="Times New Roman" w:cs="Times New Roman"/>
          <w:noProof/>
          <w:sz w:val="24"/>
          <w:szCs w:val="32"/>
        </w:rPr>
      </w:pPr>
    </w:p>
    <w:p w:rsidR="003916CC" w:rsidRPr="005A669C" w:rsidRDefault="003916CC" w:rsidP="005A669C">
      <w:pPr>
        <w:jc w:val="both"/>
        <w:rPr>
          <w:rFonts w:ascii="Times New Roman" w:eastAsia="Times New Roman" w:hAnsi="Times New Roman" w:cs="Times New Roman"/>
          <w:noProof/>
          <w:sz w:val="24"/>
          <w:szCs w:val="32"/>
        </w:rPr>
      </w:pPr>
    </w:p>
    <w:p w:rsidR="00EE65F6" w:rsidRPr="005A669C" w:rsidRDefault="00EE65F6" w:rsidP="003916CC">
      <w:pPr>
        <w:pStyle w:val="BodyText"/>
        <w:ind w:left="0"/>
        <w:jc w:val="center"/>
        <w:rPr>
          <w:noProof/>
        </w:rPr>
      </w:pPr>
      <w:r w:rsidRPr="005A669C">
        <w:t>GROZĪJUMI TEHNISKAJĀ RISINĀJUMĀ ATTIECĪBĀ UZ DALĪBNIEKU MILITĀRO TRANSPORTA GAISA KUĢU DIPLOMĀTISKAJĀM ATĻAUJĀM ATTIECĪGAJĀS NACIONĀLAJĀS GAISA TELPĀS UN TERITORIJĀS</w:t>
      </w:r>
    </w:p>
    <w:p w:rsidR="00FB77BB" w:rsidRPr="005A669C" w:rsidRDefault="00FB77BB" w:rsidP="005A669C">
      <w:pPr>
        <w:jc w:val="both"/>
        <w:rPr>
          <w:rFonts w:ascii="Times New Roman" w:hAnsi="Times New Roman"/>
          <w:b/>
          <w:noProof/>
          <w:sz w:val="24"/>
        </w:rPr>
      </w:pPr>
      <w:r w:rsidRPr="005A669C">
        <w:rPr>
          <w:rFonts w:ascii="Times New Roman" w:hAnsi="Times New Roman"/>
          <w:sz w:val="24"/>
        </w:rPr>
        <w:br w:type="page"/>
      </w:r>
    </w:p>
    <w:p w:rsidR="00EE65F6" w:rsidRPr="005A669C" w:rsidRDefault="00EE65F6" w:rsidP="003916CC">
      <w:pPr>
        <w:jc w:val="center"/>
        <w:rPr>
          <w:rFonts w:ascii="Times New Roman" w:hAnsi="Times New Roman"/>
          <w:b/>
          <w:noProof/>
          <w:sz w:val="24"/>
        </w:rPr>
      </w:pPr>
      <w:r w:rsidRPr="005A669C">
        <w:rPr>
          <w:rFonts w:ascii="Times New Roman" w:hAnsi="Times New Roman"/>
          <w:b/>
          <w:noProof/>
          <w:sz w:val="24"/>
        </w:rPr>
        <w:lastRenderedPageBreak/>
        <w:t>GROZĪJUMI</w:t>
      </w:r>
    </w:p>
    <w:p w:rsidR="00EE65F6" w:rsidRPr="005A669C" w:rsidRDefault="00EE65F6" w:rsidP="003916CC">
      <w:pPr>
        <w:jc w:val="center"/>
        <w:rPr>
          <w:rFonts w:ascii="Times New Roman" w:hAnsi="Times New Roman"/>
          <w:b/>
          <w:noProof/>
          <w:sz w:val="24"/>
        </w:rPr>
      </w:pPr>
      <w:r w:rsidRPr="005A669C">
        <w:rPr>
          <w:rFonts w:ascii="Times New Roman" w:hAnsi="Times New Roman"/>
          <w:b/>
          <w:noProof/>
          <w:sz w:val="24"/>
        </w:rPr>
        <w:t>TEHNISKAJĀ RISINĀJUMĀ ATTIECĪBĀ UZ</w:t>
      </w:r>
    </w:p>
    <w:p w:rsidR="00EE65F6" w:rsidRPr="005A669C" w:rsidRDefault="00EE65F6" w:rsidP="003916CC">
      <w:pPr>
        <w:jc w:val="center"/>
        <w:rPr>
          <w:rFonts w:ascii="Times New Roman" w:eastAsia="Times New Roman" w:hAnsi="Times New Roman" w:cs="Times New Roman"/>
          <w:b/>
          <w:bCs/>
          <w:noProof/>
          <w:sz w:val="24"/>
          <w:szCs w:val="26"/>
        </w:rPr>
      </w:pPr>
      <w:r w:rsidRPr="005A669C">
        <w:rPr>
          <w:rFonts w:ascii="Times New Roman" w:hAnsi="Times New Roman"/>
          <w:b/>
          <w:noProof/>
          <w:sz w:val="24"/>
        </w:rPr>
        <w:t>DALĪBNIEKU MILITĀRO TRANSPORTA GAISA KUĢU DIPLOMĀTISKAJĀM ATĻAUJĀM</w:t>
      </w:r>
    </w:p>
    <w:p w:rsidR="00EE65F6" w:rsidRPr="005A669C" w:rsidRDefault="00EE65F6" w:rsidP="003916CC">
      <w:pPr>
        <w:jc w:val="center"/>
        <w:rPr>
          <w:rFonts w:ascii="Times New Roman" w:hAnsi="Times New Roman"/>
          <w:b/>
          <w:noProof/>
          <w:sz w:val="24"/>
        </w:rPr>
      </w:pPr>
      <w:r w:rsidRPr="005A669C">
        <w:rPr>
          <w:rFonts w:ascii="Times New Roman" w:hAnsi="Times New Roman"/>
          <w:b/>
          <w:noProof/>
          <w:sz w:val="24"/>
        </w:rPr>
        <w:t>ATTIECĪGAJĀS NACIONĀLAJĀS GAISA TELPĀS UN TERITORIJĀS</w:t>
      </w:r>
    </w:p>
    <w:p w:rsidR="00EE65F6" w:rsidRPr="005A669C" w:rsidRDefault="00EE65F6" w:rsidP="005A669C">
      <w:pPr>
        <w:jc w:val="both"/>
        <w:rPr>
          <w:rFonts w:ascii="Times New Roman" w:eastAsia="Times New Roman" w:hAnsi="Times New Roman" w:cs="Times New Roman"/>
          <w:b/>
          <w:bCs/>
          <w:noProof/>
          <w:sz w:val="24"/>
          <w:szCs w:val="18"/>
        </w:rPr>
      </w:pPr>
    </w:p>
    <w:p w:rsidR="00EE65F6" w:rsidRPr="005A669C" w:rsidRDefault="003719CA" w:rsidP="005A669C">
      <w:pPr>
        <w:jc w:val="both"/>
        <w:rPr>
          <w:rFonts w:ascii="Times New Roman" w:eastAsia="Times New Roman" w:hAnsi="Times New Roman" w:cs="Times New Roman"/>
          <w:noProof/>
          <w:sz w:val="24"/>
          <w:szCs w:val="2"/>
        </w:rPr>
      </w:pPr>
      <w:r>
        <w:rPr>
          <w:rFonts w:ascii="Times New Roman" w:eastAsia="Times New Roman" w:hAnsi="Times New Roman" w:cs="Times New Roman"/>
          <w:noProof/>
          <w:sz w:val="24"/>
          <w:szCs w:val="2"/>
          <w:lang w:bidi="ar-SA"/>
        </w:rPr>
        <mc:AlternateContent>
          <mc:Choice Requires="wpg">
            <w:drawing>
              <wp:inline distT="0" distB="0" distL="0" distR="0">
                <wp:extent cx="6169025" cy="10795"/>
                <wp:effectExtent l="9525" t="5080" r="4445" b="508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005" cy="8890"/>
                          <a:chOff x="0" y="0"/>
                          <a:chExt cx="9715" cy="17"/>
                        </a:xfrm>
                      </wpg:grpSpPr>
                      <wpg:grpSp>
                        <wpg:cNvPr id="2" name="Group 6"/>
                        <wpg:cNvGrpSpPr>
                          <a:grpSpLocks/>
                        </wpg:cNvGrpSpPr>
                        <wpg:grpSpPr bwMode="auto">
                          <a:xfrm>
                            <a:off x="8" y="8"/>
                            <a:ext cx="9698" cy="2"/>
                            <a:chOff x="8" y="8"/>
                            <a:chExt cx="9698" cy="2"/>
                          </a:xfrm>
                        </wpg:grpSpPr>
                        <wps:wsp>
                          <wps:cNvPr id="3" name="Freeform 7"/>
                          <wps:cNvSpPr>
                            <a:spLocks/>
                          </wps:cNvSpPr>
                          <wps:spPr bwMode="auto">
                            <a:xfrm>
                              <a:off x="8" y="8"/>
                              <a:ext cx="9698" cy="2"/>
                            </a:xfrm>
                            <a:custGeom>
                              <a:avLst/>
                              <a:gdLst>
                                <a:gd name="T0" fmla="+- 0 8 8"/>
                                <a:gd name="T1" fmla="*/ T0 w 9698"/>
                                <a:gd name="T2" fmla="+- 0 9706 8"/>
                                <a:gd name="T3" fmla="*/ T2 w 9698"/>
                              </a:gdLst>
                              <a:ahLst/>
                              <a:cxnLst>
                                <a:cxn ang="0">
                                  <a:pos x="T1" y="0"/>
                                </a:cxn>
                                <a:cxn ang="0">
                                  <a:pos x="T3" y="0"/>
                                </a:cxn>
                              </a:cxnLst>
                              <a:rect l="0" t="0" r="r" b="b"/>
                              <a:pathLst>
                                <a:path w="9698">
                                  <a:moveTo>
                                    <a:pt x="0" y="0"/>
                                  </a:moveTo>
                                  <a:lnTo>
                                    <a:pt x="969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2173B5" id="Group 5" o:spid="_x0000_s1026" style="width:485.75pt;height:.85pt;mso-position-horizontal-relative:char;mso-position-vertical-relative:line" coordsize="9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">
                <v:group id="Group 6" o:spid="_x0000_s1027" style="position:absolute;left:8;top:8;width:9698;height:2" coordorigin="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8;top: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" path="m,l9698,e" filled="f" strokeweight=".82pt">
                    <v:path arrowok="t" o:connecttype="custom" o:connectlocs="0,0;9698,0" o:connectangles="0,0"/>
                  </v:shape>
                </v:group>
                <w10:anchorlock/>
              </v:group>
            </w:pict>
          </mc:Fallback>
        </mc:AlternateContent>
      </w:r>
    </w:p>
    <w:p w:rsidR="00EE65F6" w:rsidRPr="005A669C" w:rsidRDefault="00EE65F6" w:rsidP="005A669C">
      <w:pPr>
        <w:jc w:val="both"/>
        <w:rPr>
          <w:rFonts w:ascii="Times New Roman" w:eastAsia="Times New Roman" w:hAnsi="Times New Roman" w:cs="Times New Roman"/>
          <w:b/>
          <w:bCs/>
          <w:noProof/>
          <w:sz w:val="24"/>
          <w:szCs w:val="28"/>
        </w:rPr>
      </w:pPr>
    </w:p>
    <w:p w:rsidR="00966F68" w:rsidRPr="005A669C" w:rsidRDefault="00EE65F6" w:rsidP="005A669C">
      <w:pPr>
        <w:pStyle w:val="BodyText"/>
        <w:ind w:left="0"/>
        <w:jc w:val="both"/>
        <w:rPr>
          <w:noProof/>
        </w:rPr>
      </w:pPr>
      <w:r w:rsidRPr="005A669C">
        <w:t>Austrijas Republikas federālais aizsardzības un sporta ministrs,</w:t>
      </w:r>
    </w:p>
    <w:p w:rsidR="00EE65F6" w:rsidRPr="005A669C" w:rsidRDefault="00EE65F6" w:rsidP="005A669C">
      <w:pPr>
        <w:pStyle w:val="BodyText"/>
        <w:ind w:left="0"/>
        <w:jc w:val="both"/>
        <w:rPr>
          <w:noProof/>
        </w:rPr>
      </w:pPr>
      <w:r w:rsidRPr="005A669C">
        <w:t>Beļģijas Karalistes Aizsardzības ministrija,</w:t>
      </w:r>
    </w:p>
    <w:p w:rsidR="00966F68" w:rsidRPr="005A669C" w:rsidRDefault="00EE65F6" w:rsidP="005A669C">
      <w:pPr>
        <w:pStyle w:val="BodyText"/>
        <w:ind w:left="0"/>
        <w:jc w:val="both"/>
        <w:rPr>
          <w:noProof/>
        </w:rPr>
      </w:pPr>
      <w:r w:rsidRPr="005A669C">
        <w:t>Bulgārijas Republikas aizsardzības ministrs,</w:t>
      </w:r>
    </w:p>
    <w:p w:rsidR="00966F68" w:rsidRPr="005A669C" w:rsidRDefault="00EE65F6" w:rsidP="005A669C">
      <w:pPr>
        <w:pStyle w:val="BodyText"/>
        <w:ind w:left="0"/>
        <w:jc w:val="both"/>
        <w:rPr>
          <w:noProof/>
        </w:rPr>
      </w:pPr>
      <w:r w:rsidRPr="005A669C">
        <w:t>Kipras Republikas aizsardzības ministrs,</w:t>
      </w:r>
    </w:p>
    <w:p w:rsidR="00EE65F6" w:rsidRPr="005A669C" w:rsidRDefault="00EE65F6" w:rsidP="005A669C">
      <w:pPr>
        <w:pStyle w:val="BodyText"/>
        <w:ind w:left="0"/>
        <w:jc w:val="both"/>
        <w:rPr>
          <w:noProof/>
        </w:rPr>
      </w:pPr>
      <w:r w:rsidRPr="005A669C">
        <w:t>Čehijas Republikas Aizsardzības ministrija,</w:t>
      </w:r>
    </w:p>
    <w:p w:rsidR="00966F68" w:rsidRPr="005A669C" w:rsidRDefault="00EE65F6" w:rsidP="005A669C">
      <w:pPr>
        <w:pStyle w:val="BodyText"/>
        <w:ind w:left="0"/>
        <w:jc w:val="both"/>
        <w:rPr>
          <w:noProof/>
        </w:rPr>
      </w:pPr>
      <w:r w:rsidRPr="005A669C">
        <w:t>Vācijas Federatīvās Republikas federālais aizsardzības ministrs,</w:t>
      </w:r>
    </w:p>
    <w:p w:rsidR="00EE65F6" w:rsidRPr="005A669C" w:rsidRDefault="00EE65F6" w:rsidP="005A669C">
      <w:pPr>
        <w:pStyle w:val="BodyText"/>
        <w:ind w:left="0"/>
        <w:jc w:val="both"/>
        <w:rPr>
          <w:noProof/>
        </w:rPr>
      </w:pPr>
      <w:r w:rsidRPr="005A669C">
        <w:t>Grieķijas Republikas nacionālās aizsardzības ministrs,</w:t>
      </w:r>
    </w:p>
    <w:p w:rsidR="00966F68" w:rsidRPr="005A669C" w:rsidRDefault="00EE65F6" w:rsidP="005A669C">
      <w:pPr>
        <w:pStyle w:val="BodyText"/>
        <w:ind w:left="0"/>
        <w:jc w:val="both"/>
        <w:rPr>
          <w:noProof/>
        </w:rPr>
      </w:pPr>
      <w:r w:rsidRPr="005A669C">
        <w:t>Itālijas Republikas aizsardzības ministrs,</w:t>
      </w:r>
    </w:p>
    <w:p w:rsidR="00EE65F6" w:rsidRPr="005A669C" w:rsidRDefault="00EE65F6" w:rsidP="005A669C">
      <w:pPr>
        <w:pStyle w:val="BodyText"/>
        <w:ind w:left="0"/>
        <w:jc w:val="both"/>
        <w:rPr>
          <w:noProof/>
        </w:rPr>
      </w:pPr>
      <w:r w:rsidRPr="005A669C">
        <w:t>Latvijas aizsardzības ministrs,</w:t>
      </w:r>
    </w:p>
    <w:p w:rsidR="00966F68" w:rsidRPr="005A669C" w:rsidRDefault="00EE65F6" w:rsidP="005A669C">
      <w:pPr>
        <w:pStyle w:val="BodyText"/>
        <w:ind w:left="0"/>
        <w:jc w:val="both"/>
        <w:rPr>
          <w:noProof/>
        </w:rPr>
      </w:pPr>
      <w:r w:rsidRPr="005A669C">
        <w:t>Lietuvas Republikas Nacionālās aizsardzības ministrija,</w:t>
      </w:r>
    </w:p>
    <w:p w:rsidR="00966F68" w:rsidRPr="005A669C" w:rsidRDefault="00EE65F6" w:rsidP="005A669C">
      <w:pPr>
        <w:pStyle w:val="BodyText"/>
        <w:ind w:left="0"/>
        <w:jc w:val="both"/>
        <w:rPr>
          <w:noProof/>
        </w:rPr>
      </w:pPr>
      <w:r w:rsidRPr="005A669C">
        <w:t>Luksemburgas Lielhercogistes aizsardzības ministrs,</w:t>
      </w:r>
    </w:p>
    <w:p w:rsidR="00966F68" w:rsidRPr="005A669C" w:rsidRDefault="00EE65F6" w:rsidP="005A669C">
      <w:pPr>
        <w:pStyle w:val="BodyText"/>
        <w:ind w:left="0"/>
        <w:jc w:val="both"/>
        <w:rPr>
          <w:noProof/>
        </w:rPr>
      </w:pPr>
      <w:r w:rsidRPr="005A669C">
        <w:t>Nīderlandes Karalistes aizsardzības ministrs,</w:t>
      </w:r>
    </w:p>
    <w:p w:rsidR="00EE65F6" w:rsidRPr="005A669C" w:rsidRDefault="00EE65F6" w:rsidP="005A669C">
      <w:pPr>
        <w:pStyle w:val="BodyText"/>
        <w:ind w:left="0"/>
        <w:jc w:val="both"/>
        <w:rPr>
          <w:noProof/>
        </w:rPr>
      </w:pPr>
      <w:r w:rsidRPr="005A669C">
        <w:t>Norvēģijas Karalistes aizsardzības ministrs,</w:t>
      </w:r>
    </w:p>
    <w:p w:rsidR="00966F68" w:rsidRPr="005A669C" w:rsidRDefault="00EE65F6" w:rsidP="005A669C">
      <w:pPr>
        <w:pStyle w:val="BodyText"/>
        <w:ind w:left="0"/>
        <w:jc w:val="both"/>
        <w:rPr>
          <w:noProof/>
        </w:rPr>
      </w:pPr>
      <w:r w:rsidRPr="005A669C">
        <w:t>Rumānijas Republikas Nacionālās aizsardzības ministrija,</w:t>
      </w:r>
    </w:p>
    <w:p w:rsidR="00EE65F6" w:rsidRPr="005A669C" w:rsidRDefault="00EE65F6" w:rsidP="005A669C">
      <w:pPr>
        <w:pStyle w:val="BodyText"/>
        <w:ind w:left="0"/>
        <w:jc w:val="both"/>
        <w:rPr>
          <w:noProof/>
        </w:rPr>
      </w:pPr>
      <w:r w:rsidRPr="005A669C">
        <w:t>Slovākijas Republikas Aizsardzības ministrija,</w:t>
      </w:r>
    </w:p>
    <w:p w:rsidR="00EE65F6" w:rsidRPr="005A669C" w:rsidRDefault="00EE65F6" w:rsidP="005A669C">
      <w:pPr>
        <w:pStyle w:val="BodyText"/>
        <w:ind w:left="0"/>
        <w:jc w:val="both"/>
        <w:rPr>
          <w:noProof/>
        </w:rPr>
      </w:pPr>
      <w:r w:rsidRPr="005A669C">
        <w:t>Zviedrijas Karalistes aizsardzības ministrs,</w:t>
      </w:r>
    </w:p>
    <w:p w:rsidR="00EE65F6" w:rsidRPr="005A669C" w:rsidRDefault="00EE65F6" w:rsidP="005A669C">
      <w:pPr>
        <w:jc w:val="both"/>
        <w:rPr>
          <w:rFonts w:ascii="Times New Roman" w:eastAsia="Times New Roman" w:hAnsi="Times New Roman" w:cs="Times New Roman"/>
          <w:noProof/>
          <w:sz w:val="24"/>
          <w:szCs w:val="24"/>
        </w:rPr>
      </w:pPr>
    </w:p>
    <w:p w:rsidR="00EE65F6" w:rsidRPr="005A669C" w:rsidRDefault="00EE65F6" w:rsidP="005A669C">
      <w:pPr>
        <w:pStyle w:val="BodyText"/>
        <w:ind w:left="0"/>
        <w:jc w:val="both"/>
        <w:rPr>
          <w:noProof/>
        </w:rPr>
      </w:pPr>
      <w:r w:rsidRPr="005A669C">
        <w:t>ņemot vērā Tehnisko risinājumu attiecībā uz Dalībnieku militāro transporta gaisa kuģu diplomātiskajām atļaujām attiecīgajās nacionālajās gaisa telpās un teritorijās, par ko vienojusies Beļģijas Karalistes Aizsardzības ministrija, Bulgārijas Republikas aizsardzības ministrs, Kipras Republikas aizsardzības ministrs, Čehijas Republikas Aizsardzības ministrija, Vācijas Federatīvās Republikas federālais aizsardzības ministrs, Grieķijas Republikas nacionālās aizsardzības ministrs, Nīderlandes Karalistes aizsardzības ministrs, Norvēģijas Karalistes aizsardzības ministrs, Rumānijas Nacionālās aizsardzības ministrija, Slovākijas Republikas Aizsardzības ministrija un Zviedrijas Karalistes aizsardzības ministrs un kas parakstīts 2012. gada 19. novembrī (turpmāk tekstā – “2012. gada 19. novembra Tehniskais risinājums”),</w:t>
      </w:r>
    </w:p>
    <w:p w:rsidR="00FB77BB" w:rsidRPr="005A669C" w:rsidRDefault="00FB77BB" w:rsidP="005A669C">
      <w:pPr>
        <w:pStyle w:val="BodyText"/>
        <w:ind w:left="0"/>
        <w:jc w:val="both"/>
        <w:rPr>
          <w:noProof/>
        </w:rPr>
      </w:pPr>
    </w:p>
    <w:p w:rsidR="00EE65F6" w:rsidRPr="005A669C" w:rsidRDefault="00EE65F6" w:rsidP="005A669C">
      <w:pPr>
        <w:pStyle w:val="BodyText"/>
        <w:ind w:left="0"/>
        <w:jc w:val="both"/>
        <w:rPr>
          <w:noProof/>
        </w:rPr>
      </w:pPr>
      <w:r w:rsidRPr="005A669C">
        <w:t>ņemot vērā Latvijas aizsardzības ministra iesniegto Pievienošanās deklarāciju, kas ir spēkā no 2013. gada 27. maija,</w:t>
      </w:r>
    </w:p>
    <w:p w:rsidR="003916CC" w:rsidRDefault="003916CC" w:rsidP="005A669C">
      <w:pPr>
        <w:pStyle w:val="BodyText"/>
        <w:ind w:left="0"/>
        <w:jc w:val="both"/>
      </w:pPr>
    </w:p>
    <w:p w:rsidR="00EE65F6" w:rsidRPr="005A669C" w:rsidRDefault="00EE65F6" w:rsidP="005A669C">
      <w:pPr>
        <w:pStyle w:val="BodyText"/>
        <w:ind w:left="0"/>
        <w:jc w:val="both"/>
        <w:rPr>
          <w:noProof/>
        </w:rPr>
      </w:pPr>
      <w:r w:rsidRPr="005A669C">
        <w:t>ņemot vērā Itālijas Republikas aizsardzības ministra iesniegto Pievienošanās deklarāciju, kas ir spēkā no 2013. gada 29. maija,</w:t>
      </w:r>
    </w:p>
    <w:p w:rsidR="003916CC" w:rsidRDefault="003916CC" w:rsidP="005A669C">
      <w:pPr>
        <w:pStyle w:val="BodyText"/>
        <w:ind w:left="0"/>
        <w:jc w:val="both"/>
      </w:pPr>
    </w:p>
    <w:p w:rsidR="00EE65F6" w:rsidRPr="005A669C" w:rsidRDefault="00EE65F6" w:rsidP="005A669C">
      <w:pPr>
        <w:pStyle w:val="BodyText"/>
        <w:ind w:left="0"/>
        <w:jc w:val="both"/>
        <w:rPr>
          <w:noProof/>
        </w:rPr>
      </w:pPr>
      <w:r w:rsidRPr="005A669C">
        <w:t>ņemot vērā Lietuvas Republikas Nacionālās aizsardzības ministrijas iesniegto Pievienošanās deklarāciju, kas ir spēkā no 2014. gada 13. oktobra,</w:t>
      </w:r>
    </w:p>
    <w:p w:rsidR="003916CC" w:rsidRDefault="003916CC" w:rsidP="005A669C">
      <w:pPr>
        <w:pStyle w:val="BodyText"/>
        <w:ind w:left="0"/>
        <w:jc w:val="both"/>
      </w:pPr>
    </w:p>
    <w:p w:rsidR="00EE65F6" w:rsidRPr="005A669C" w:rsidRDefault="00EE65F6" w:rsidP="005A669C">
      <w:pPr>
        <w:pStyle w:val="BodyText"/>
        <w:ind w:left="0"/>
        <w:jc w:val="both"/>
        <w:rPr>
          <w:noProof/>
        </w:rPr>
      </w:pPr>
      <w:r w:rsidRPr="005A669C">
        <w:t>ņemot vērā Austrijas Republikas federālā aizsardzības un sporta ministra iesniegto Pievienošanās deklarāciju, kas ir spēkā no 2016. gada 20. janvāra,</w:t>
      </w:r>
    </w:p>
    <w:p w:rsidR="003916CC" w:rsidRDefault="003916CC" w:rsidP="005A669C">
      <w:pPr>
        <w:pStyle w:val="BodyText"/>
        <w:ind w:left="0"/>
        <w:jc w:val="both"/>
      </w:pPr>
    </w:p>
    <w:p w:rsidR="00EE65F6" w:rsidRPr="005A669C" w:rsidRDefault="00EE65F6" w:rsidP="005A669C">
      <w:pPr>
        <w:pStyle w:val="BodyText"/>
        <w:ind w:left="0"/>
        <w:jc w:val="both"/>
        <w:rPr>
          <w:noProof/>
        </w:rPr>
      </w:pPr>
      <w:r w:rsidRPr="005A669C">
        <w:t>ņemot vērā Luksemburgas Lielhercogistes aizsardzības ministra iesniegto Pievienošanās deklarāciju, kas ir spēkā no 2016. gada 7. jūnija,</w:t>
      </w:r>
    </w:p>
    <w:p w:rsidR="003916CC" w:rsidRDefault="003916CC" w:rsidP="005A669C">
      <w:pPr>
        <w:pStyle w:val="BodyText"/>
        <w:ind w:left="0"/>
        <w:jc w:val="both"/>
      </w:pPr>
    </w:p>
    <w:p w:rsidR="00EE65F6" w:rsidRPr="005A669C" w:rsidRDefault="00EE65F6" w:rsidP="005A669C">
      <w:pPr>
        <w:pStyle w:val="BodyText"/>
        <w:ind w:left="0"/>
        <w:jc w:val="both"/>
        <w:rPr>
          <w:noProof/>
        </w:rPr>
      </w:pPr>
      <w:r w:rsidRPr="005A669C">
        <w:t>ņemot vērā Francijas Republikas aizsardzības ministra lēmumu pievienoties 2012. gada 19. novembra Tehniskajam risinājumam,</w:t>
      </w:r>
    </w:p>
    <w:p w:rsidR="003916CC" w:rsidRDefault="003916CC" w:rsidP="005A669C">
      <w:pPr>
        <w:pStyle w:val="BodyText"/>
        <w:ind w:left="0"/>
        <w:jc w:val="both"/>
      </w:pPr>
    </w:p>
    <w:p w:rsidR="00EE65F6" w:rsidRPr="005A669C" w:rsidRDefault="00EE65F6" w:rsidP="005A669C">
      <w:pPr>
        <w:pStyle w:val="BodyText"/>
        <w:ind w:left="0"/>
        <w:jc w:val="both"/>
        <w:rPr>
          <w:noProof/>
        </w:rPr>
      </w:pPr>
      <w:r w:rsidRPr="005A669C">
        <w:t>ir nolēmuši piemērot šādus noteikumus.</w:t>
      </w:r>
    </w:p>
    <w:p w:rsidR="00EE65F6" w:rsidRDefault="00EE65F6" w:rsidP="005A669C">
      <w:pPr>
        <w:jc w:val="both"/>
        <w:rPr>
          <w:rFonts w:ascii="Times New Roman" w:eastAsia="Times New Roman" w:hAnsi="Times New Roman" w:cs="Times New Roman"/>
          <w:noProof/>
          <w:sz w:val="24"/>
          <w:szCs w:val="24"/>
        </w:rPr>
      </w:pPr>
    </w:p>
    <w:p w:rsidR="00730016" w:rsidRPr="005A669C" w:rsidRDefault="00730016" w:rsidP="005A669C">
      <w:pPr>
        <w:jc w:val="both"/>
        <w:rPr>
          <w:rFonts w:ascii="Times New Roman" w:eastAsia="Times New Roman" w:hAnsi="Times New Roman" w:cs="Times New Roman"/>
          <w:noProof/>
          <w:sz w:val="24"/>
          <w:szCs w:val="24"/>
        </w:rPr>
      </w:pPr>
    </w:p>
    <w:p w:rsidR="00EE65F6" w:rsidRPr="005A669C" w:rsidRDefault="00EE65F6" w:rsidP="003916CC">
      <w:pPr>
        <w:pStyle w:val="Heading1"/>
        <w:spacing w:before="0"/>
        <w:ind w:left="0"/>
        <w:jc w:val="center"/>
        <w:rPr>
          <w:noProof/>
        </w:rPr>
      </w:pPr>
      <w:r w:rsidRPr="005A669C">
        <w:t>1.</w:t>
      </w:r>
    </w:p>
    <w:p w:rsidR="00EE65F6" w:rsidRPr="005A669C" w:rsidRDefault="00EE65F6" w:rsidP="005A669C">
      <w:pPr>
        <w:pStyle w:val="BodyText"/>
        <w:ind w:left="0"/>
        <w:jc w:val="both"/>
        <w:rPr>
          <w:noProof/>
        </w:rPr>
      </w:pPr>
      <w:r w:rsidRPr="005A669C">
        <w:t>Tiek labotas turpmāk minētās drukas kļūdas 2012. gada 19. novembra Tehniskajā risinājumā.</w:t>
      </w:r>
    </w:p>
    <w:p w:rsidR="00966F68" w:rsidRPr="005A669C" w:rsidRDefault="00966F68" w:rsidP="005A669C">
      <w:pPr>
        <w:pStyle w:val="BodyText"/>
        <w:ind w:left="0"/>
        <w:jc w:val="both"/>
        <w:rPr>
          <w:noProof/>
        </w:rPr>
      </w:pPr>
    </w:p>
    <w:p w:rsidR="00EE65F6" w:rsidRPr="005A669C" w:rsidRDefault="00730016" w:rsidP="00730016">
      <w:pPr>
        <w:pStyle w:val="BodyText"/>
        <w:numPr>
          <w:ilvl w:val="1"/>
          <w:numId w:val="4"/>
        </w:numPr>
        <w:tabs>
          <w:tab w:val="left" w:pos="474"/>
          <w:tab w:val="left" w:pos="821"/>
        </w:tabs>
        <w:ind w:left="4536" w:hanging="4536"/>
        <w:jc w:val="both"/>
        <w:rPr>
          <w:noProof/>
        </w:rPr>
      </w:pPr>
      <w:r>
        <w:t>1.1. 1. lappusē:</w:t>
      </w:r>
      <w:r>
        <w:tab/>
      </w:r>
      <w:r w:rsidR="00966F68" w:rsidRPr="005A669C">
        <w:t>svītro virsrakstu “3.1. redakcija”.</w:t>
      </w:r>
    </w:p>
    <w:p w:rsidR="00EE65F6" w:rsidRPr="005A669C" w:rsidRDefault="00966F68" w:rsidP="00730016">
      <w:pPr>
        <w:pStyle w:val="BodyText"/>
        <w:tabs>
          <w:tab w:val="left" w:pos="474"/>
          <w:tab w:val="left" w:pos="821"/>
        </w:tabs>
        <w:ind w:left="4536" w:hanging="4536"/>
        <w:jc w:val="both"/>
        <w:rPr>
          <w:rFonts w:cs="Times New Roman"/>
          <w:noProof/>
        </w:rPr>
      </w:pPr>
      <w:r w:rsidRPr="005A669C">
        <w:t>1.2. 3. lappusē, 3. punkta 1. apakšpunktā:</w:t>
      </w:r>
      <w:r w:rsidRPr="005A669C">
        <w:tab/>
        <w:t>norādi “II.1.” aizstāj ar norādi “4.1.”.</w:t>
      </w:r>
    </w:p>
    <w:p w:rsidR="00EE65F6" w:rsidRPr="005A669C" w:rsidRDefault="00966F68" w:rsidP="00730016">
      <w:pPr>
        <w:pStyle w:val="BodyText"/>
        <w:tabs>
          <w:tab w:val="left" w:pos="474"/>
          <w:tab w:val="left" w:pos="821"/>
        </w:tabs>
        <w:ind w:left="4536" w:hanging="4536"/>
        <w:jc w:val="both"/>
        <w:rPr>
          <w:noProof/>
        </w:rPr>
      </w:pPr>
      <w:r w:rsidRPr="005A669C">
        <w:t>1.3. 5. lappusē, 5.2. punktā:</w:t>
      </w:r>
      <w:r w:rsidRPr="005A669C">
        <w:tab/>
        <w:t>norādi “V sadaļā” aizstāj ar norādi “7. punktā”.</w:t>
      </w:r>
    </w:p>
    <w:p w:rsidR="00966F68" w:rsidRPr="005A669C" w:rsidRDefault="00966F68" w:rsidP="00730016">
      <w:pPr>
        <w:pStyle w:val="BodyText"/>
        <w:ind w:left="4536" w:hanging="4536"/>
        <w:jc w:val="both"/>
        <w:rPr>
          <w:noProof/>
        </w:rPr>
      </w:pPr>
      <w:r w:rsidRPr="005A669C">
        <w:t>1.4. 5. lappusē, 6.1. punktā:</w:t>
      </w:r>
      <w:r w:rsidRPr="005A669C">
        <w:tab/>
        <w:t>norādi “II sadaļā” aizstāj ar norādi “4.1. punktā”,</w:t>
      </w:r>
    </w:p>
    <w:p w:rsidR="00EE65F6" w:rsidRPr="005A669C" w:rsidRDefault="00EE65F6" w:rsidP="00730016">
      <w:pPr>
        <w:pStyle w:val="BodyText"/>
        <w:tabs>
          <w:tab w:val="left" w:pos="474"/>
          <w:tab w:val="left" w:pos="821"/>
        </w:tabs>
        <w:ind w:left="4536"/>
        <w:jc w:val="both"/>
        <w:rPr>
          <w:noProof/>
        </w:rPr>
      </w:pPr>
      <w:r w:rsidRPr="005A669C">
        <w:t>norādi “V sadaļā” aizstāj ar norādi “7. punktā”.</w:t>
      </w:r>
    </w:p>
    <w:p w:rsidR="00EE65F6" w:rsidRPr="005A669C" w:rsidRDefault="00966F68" w:rsidP="00730016">
      <w:pPr>
        <w:pStyle w:val="BodyText"/>
        <w:tabs>
          <w:tab w:val="left" w:pos="474"/>
          <w:tab w:val="left" w:pos="881"/>
        </w:tabs>
        <w:ind w:left="4536" w:hanging="4536"/>
        <w:jc w:val="both"/>
        <w:rPr>
          <w:noProof/>
        </w:rPr>
      </w:pPr>
      <w:r w:rsidRPr="005A669C">
        <w:t>1.5. 5. lappusē, 6.2. punktā:</w:t>
      </w:r>
      <w:r w:rsidRPr="005A669C">
        <w:tab/>
        <w:t>norādi “V sadaļā” aizstāj ar norādi “7. punktā”.</w:t>
      </w:r>
    </w:p>
    <w:p w:rsidR="00EE65F6" w:rsidRPr="005A669C" w:rsidRDefault="00966F68" w:rsidP="00730016">
      <w:pPr>
        <w:pStyle w:val="BodyText"/>
        <w:tabs>
          <w:tab w:val="left" w:pos="474"/>
          <w:tab w:val="left" w:pos="821"/>
        </w:tabs>
        <w:ind w:left="4536" w:hanging="4536"/>
        <w:jc w:val="both"/>
        <w:rPr>
          <w:noProof/>
        </w:rPr>
      </w:pPr>
      <w:r w:rsidRPr="005A669C">
        <w:t>1.6. 5. lappusē, 6.3.2. punktā:</w:t>
      </w:r>
      <w:r w:rsidRPr="005A669C">
        <w:tab/>
        <w:t>norādi “V sadaļā” aizstāj ar norādi “7. punktā”.</w:t>
      </w:r>
    </w:p>
    <w:p w:rsidR="00EE65F6" w:rsidRPr="005A669C" w:rsidRDefault="00966F68" w:rsidP="00730016">
      <w:pPr>
        <w:pStyle w:val="BodyText"/>
        <w:tabs>
          <w:tab w:val="left" w:pos="474"/>
          <w:tab w:val="left" w:pos="821"/>
        </w:tabs>
        <w:ind w:left="4536" w:hanging="4536"/>
        <w:jc w:val="both"/>
        <w:rPr>
          <w:noProof/>
        </w:rPr>
      </w:pPr>
      <w:r w:rsidRPr="005A669C">
        <w:t>1.7. 6. lappusē, 6.3.3. punktā:</w:t>
      </w:r>
      <w:r w:rsidRPr="005A669C">
        <w:tab/>
        <w:t>norādi “V sadaļā” aizstāj ar norādi “7. punktā”.</w:t>
      </w:r>
    </w:p>
    <w:p w:rsidR="00EE65F6" w:rsidRPr="005A669C" w:rsidRDefault="00966F68" w:rsidP="00730016">
      <w:pPr>
        <w:pStyle w:val="BodyText"/>
        <w:tabs>
          <w:tab w:val="left" w:pos="474"/>
          <w:tab w:val="left" w:pos="821"/>
        </w:tabs>
        <w:ind w:left="4536" w:hanging="4536"/>
        <w:jc w:val="both"/>
        <w:rPr>
          <w:noProof/>
        </w:rPr>
      </w:pPr>
      <w:r w:rsidRPr="005A669C">
        <w:t>1.8. 6. lappusē, 6.3.4. punktā:</w:t>
      </w:r>
      <w:r w:rsidRPr="005A669C">
        <w:tab/>
        <w:t>norādi “3. paragrāfā” aizstāj ar norādi “6.3.3. punktā”.</w:t>
      </w:r>
    </w:p>
    <w:p w:rsidR="00EE65F6" w:rsidRPr="005A669C" w:rsidRDefault="00966F68" w:rsidP="00730016">
      <w:pPr>
        <w:pStyle w:val="BodyText"/>
        <w:tabs>
          <w:tab w:val="left" w:pos="474"/>
          <w:tab w:val="left" w:pos="821"/>
          <w:tab w:val="left" w:pos="4536"/>
        </w:tabs>
        <w:ind w:left="0"/>
        <w:jc w:val="both"/>
        <w:rPr>
          <w:noProof/>
        </w:rPr>
      </w:pPr>
      <w:r w:rsidRPr="005A669C">
        <w:t>1.9. 7. lappus</w:t>
      </w:r>
      <w:r w:rsidR="00730016">
        <w:t>ē, 6.4.1. punkta c) apakšpunktā</w:t>
      </w:r>
      <w:r w:rsidR="00730016">
        <w:tab/>
      </w:r>
      <w:r w:rsidRPr="005A669C">
        <w:t>svītro vārdu “punkts”.</w:t>
      </w:r>
    </w:p>
    <w:p w:rsidR="00EE65F6" w:rsidRPr="005A669C" w:rsidRDefault="00966F68" w:rsidP="00730016">
      <w:pPr>
        <w:pStyle w:val="BodyText"/>
        <w:tabs>
          <w:tab w:val="left" w:pos="594"/>
          <w:tab w:val="left" w:pos="4536"/>
        </w:tabs>
        <w:ind w:left="4536" w:hanging="4536"/>
        <w:jc w:val="both"/>
        <w:rPr>
          <w:noProof/>
        </w:rPr>
      </w:pPr>
      <w:r w:rsidRPr="005A669C">
        <w:t>1.10. 7. lappu</w:t>
      </w:r>
      <w:r w:rsidR="00730016">
        <w:t>sē, 7.1. punkta a) apakšpunktā:</w:t>
      </w:r>
      <w:r w:rsidR="00730016">
        <w:tab/>
      </w:r>
      <w:r w:rsidRPr="005A669C">
        <w:t>frāzi “E pielikuma” aizstāj ar frāzi “D pielikuma”.</w:t>
      </w:r>
    </w:p>
    <w:p w:rsidR="00EE65F6" w:rsidRPr="005A669C" w:rsidRDefault="00966F68" w:rsidP="00730016">
      <w:pPr>
        <w:pStyle w:val="BodyText"/>
        <w:tabs>
          <w:tab w:val="left" w:pos="594"/>
          <w:tab w:val="left" w:pos="4536"/>
        </w:tabs>
        <w:ind w:left="4536" w:hanging="4536"/>
        <w:jc w:val="both"/>
        <w:rPr>
          <w:noProof/>
        </w:rPr>
      </w:pPr>
      <w:r w:rsidRPr="005A669C">
        <w:t>1.11. 8. lappusē, 7.5. punktā:</w:t>
      </w:r>
      <w:r w:rsidRPr="005A669C">
        <w:tab/>
        <w:t>norādi “V.1. paragrāfā” aizstāj ar norādi “7.1. punktā”.</w:t>
      </w:r>
    </w:p>
    <w:p w:rsidR="00EE65F6" w:rsidRPr="005A669C" w:rsidRDefault="00966F68" w:rsidP="00730016">
      <w:pPr>
        <w:pStyle w:val="BodyText"/>
        <w:tabs>
          <w:tab w:val="left" w:pos="594"/>
          <w:tab w:val="left" w:pos="4536"/>
        </w:tabs>
        <w:ind w:left="4536" w:hanging="4536"/>
        <w:jc w:val="both"/>
        <w:rPr>
          <w:rFonts w:cs="Times New Roman"/>
          <w:noProof/>
        </w:rPr>
      </w:pPr>
      <w:r w:rsidRPr="005A669C">
        <w:t>1.12. 27. lappusē (D pielikums), 2. rindkopā:</w:t>
      </w:r>
      <w:r w:rsidRPr="005A669C">
        <w:tab/>
        <w:t>norādi “II sadaļā</w:t>
      </w:r>
      <w:r w:rsidR="00347F73">
        <w:t>” aizstāj ar norādi “4.1. punkta</w:t>
      </w:r>
      <w:bookmarkStart w:id="0" w:name="_GoBack"/>
      <w:bookmarkEnd w:id="0"/>
      <w:r w:rsidRPr="005A669C">
        <w:t>”;</w:t>
      </w:r>
    </w:p>
    <w:p w:rsidR="00EE65F6" w:rsidRPr="005A669C" w:rsidRDefault="00EE65F6" w:rsidP="00730016">
      <w:pPr>
        <w:pStyle w:val="BodyText"/>
        <w:ind w:left="4536"/>
        <w:jc w:val="both"/>
        <w:rPr>
          <w:noProof/>
        </w:rPr>
      </w:pPr>
      <w:r w:rsidRPr="005A669C">
        <w:t>frāzi “saskaņā ar V.1. paragrāfu” aizstāj ar frāzi “saskaņā ar 7.1. punktu” (divas reizes).</w:t>
      </w:r>
    </w:p>
    <w:p w:rsidR="00EE65F6" w:rsidRDefault="00EE65F6" w:rsidP="005A669C">
      <w:pPr>
        <w:jc w:val="both"/>
        <w:rPr>
          <w:rFonts w:ascii="Times New Roman" w:eastAsia="Times New Roman" w:hAnsi="Times New Roman" w:cs="Times New Roman"/>
          <w:noProof/>
          <w:sz w:val="24"/>
          <w:szCs w:val="24"/>
        </w:rPr>
      </w:pPr>
    </w:p>
    <w:p w:rsidR="00730016" w:rsidRPr="005A669C" w:rsidRDefault="00730016" w:rsidP="005A669C">
      <w:pPr>
        <w:jc w:val="both"/>
        <w:rPr>
          <w:rFonts w:ascii="Times New Roman" w:eastAsia="Times New Roman" w:hAnsi="Times New Roman" w:cs="Times New Roman"/>
          <w:noProof/>
          <w:sz w:val="24"/>
          <w:szCs w:val="24"/>
        </w:rPr>
      </w:pPr>
    </w:p>
    <w:p w:rsidR="00EE65F6" w:rsidRPr="005A669C" w:rsidRDefault="00EE65F6" w:rsidP="00730016">
      <w:pPr>
        <w:pStyle w:val="Heading1"/>
        <w:spacing w:before="0"/>
        <w:ind w:left="0"/>
        <w:jc w:val="center"/>
        <w:rPr>
          <w:noProof/>
        </w:rPr>
      </w:pPr>
      <w:r w:rsidRPr="005A669C">
        <w:t>2.</w:t>
      </w:r>
    </w:p>
    <w:p w:rsidR="00EE65F6" w:rsidRPr="005A669C" w:rsidRDefault="00966F68" w:rsidP="005A669C">
      <w:pPr>
        <w:pStyle w:val="BodyText"/>
        <w:tabs>
          <w:tab w:val="left" w:pos="507"/>
        </w:tabs>
        <w:ind w:left="0"/>
        <w:jc w:val="both"/>
        <w:rPr>
          <w:noProof/>
        </w:rPr>
      </w:pPr>
      <w:r w:rsidRPr="005A669C">
        <w:t>2.1. 2012. gada 19. novembra Tehniskā risinājuma 9.2. punktā pievienos šādu trešo (3.) teikumu:</w:t>
      </w:r>
    </w:p>
    <w:p w:rsidR="00966F68" w:rsidRPr="005A669C" w:rsidRDefault="00966F68" w:rsidP="005A669C">
      <w:pPr>
        <w:pStyle w:val="BodyText"/>
        <w:ind w:left="0"/>
        <w:jc w:val="both"/>
        <w:rPr>
          <w:noProof/>
        </w:rPr>
      </w:pPr>
    </w:p>
    <w:p w:rsidR="00EE65F6" w:rsidRPr="005A669C" w:rsidRDefault="00EE65F6" w:rsidP="00730016">
      <w:pPr>
        <w:pStyle w:val="BodyText"/>
        <w:ind w:left="426"/>
        <w:jc w:val="both"/>
        <w:rPr>
          <w:noProof/>
        </w:rPr>
      </w:pPr>
      <w:r w:rsidRPr="005A669C">
        <w:t>“Pievienošanās deklarāciju deponēs DA sekretariātā, kas katram Dalībniekam izsniegs apstiprinātas tās kopijas.”</w:t>
      </w:r>
    </w:p>
    <w:p w:rsidR="00966F68" w:rsidRPr="005A669C" w:rsidRDefault="00966F68" w:rsidP="005A669C">
      <w:pPr>
        <w:pStyle w:val="BodyText"/>
        <w:tabs>
          <w:tab w:val="left" w:pos="507"/>
        </w:tabs>
        <w:ind w:left="0"/>
        <w:jc w:val="both"/>
        <w:rPr>
          <w:rFonts w:cs="Times New Roman"/>
          <w:noProof/>
        </w:rPr>
      </w:pPr>
    </w:p>
    <w:p w:rsidR="00EE65F6" w:rsidRPr="005A669C" w:rsidRDefault="00966F68" w:rsidP="005A669C">
      <w:pPr>
        <w:pStyle w:val="BodyText"/>
        <w:tabs>
          <w:tab w:val="left" w:pos="507"/>
        </w:tabs>
        <w:ind w:left="0"/>
        <w:jc w:val="both"/>
        <w:rPr>
          <w:noProof/>
        </w:rPr>
      </w:pPr>
      <w:r w:rsidRPr="005A669C">
        <w:t>2.2. 2012. gada 19. novembra Tehniskā risinājuma 9.4. punktā pievienos šādu trešo (3.) teikumu:</w:t>
      </w:r>
    </w:p>
    <w:p w:rsidR="00966F68" w:rsidRPr="005A669C" w:rsidRDefault="00966F68" w:rsidP="005A669C">
      <w:pPr>
        <w:pStyle w:val="BodyText"/>
        <w:ind w:left="0"/>
        <w:jc w:val="both"/>
        <w:rPr>
          <w:noProof/>
        </w:rPr>
      </w:pPr>
    </w:p>
    <w:p w:rsidR="00EE65F6" w:rsidRPr="005A669C" w:rsidRDefault="00EE65F6" w:rsidP="00730016">
      <w:pPr>
        <w:pStyle w:val="BodyText"/>
        <w:ind w:left="426"/>
        <w:jc w:val="both"/>
        <w:rPr>
          <w:noProof/>
        </w:rPr>
      </w:pPr>
      <w:r w:rsidRPr="005A669C">
        <w:t>“Oriģināls tiks deponēts DA sekretariātā, kas katram Dalībniekam izsniegs apstiprinātas tā kopijas.”</w:t>
      </w:r>
    </w:p>
    <w:p w:rsidR="00966F68" w:rsidRPr="005A669C" w:rsidRDefault="00966F68" w:rsidP="005A669C">
      <w:pPr>
        <w:pStyle w:val="BodyText"/>
        <w:tabs>
          <w:tab w:val="left" w:pos="474"/>
        </w:tabs>
        <w:ind w:left="0"/>
        <w:jc w:val="both"/>
        <w:rPr>
          <w:rFonts w:cs="Times New Roman"/>
          <w:noProof/>
        </w:rPr>
      </w:pPr>
    </w:p>
    <w:p w:rsidR="00EE65F6" w:rsidRPr="005A669C" w:rsidRDefault="00966F68" w:rsidP="005A669C">
      <w:pPr>
        <w:pStyle w:val="BodyText"/>
        <w:tabs>
          <w:tab w:val="left" w:pos="474"/>
        </w:tabs>
        <w:ind w:left="0"/>
        <w:jc w:val="both"/>
        <w:rPr>
          <w:noProof/>
        </w:rPr>
      </w:pPr>
      <w:r w:rsidRPr="005A669C">
        <w:t>2.3. Pēdējā noteikuma otro (2.) teikumu formulēs šādi:</w:t>
      </w:r>
    </w:p>
    <w:p w:rsidR="00966F68" w:rsidRPr="005A669C" w:rsidRDefault="00966F68" w:rsidP="005A669C">
      <w:pPr>
        <w:pStyle w:val="BodyText"/>
        <w:ind w:left="0"/>
        <w:jc w:val="both"/>
        <w:rPr>
          <w:noProof/>
        </w:rPr>
      </w:pPr>
    </w:p>
    <w:p w:rsidR="00EE65F6" w:rsidRPr="005A669C" w:rsidRDefault="00EE65F6" w:rsidP="00730016">
      <w:pPr>
        <w:pStyle w:val="BodyText"/>
        <w:ind w:left="426"/>
        <w:jc w:val="both"/>
        <w:rPr>
          <w:noProof/>
        </w:rPr>
      </w:pPr>
      <w:r w:rsidRPr="005A669C">
        <w:t>“Šī TR oriģināls tiks deponēts DA sekretariātā, kas katram Dalībniekam izsniegs apstiprinātas tā kopijas.”</w:t>
      </w:r>
    </w:p>
    <w:p w:rsidR="00EE65F6" w:rsidRDefault="00EE65F6" w:rsidP="005A669C">
      <w:pPr>
        <w:jc w:val="both"/>
        <w:rPr>
          <w:rFonts w:ascii="Times New Roman" w:eastAsia="Times New Roman" w:hAnsi="Times New Roman" w:cs="Times New Roman"/>
          <w:noProof/>
          <w:sz w:val="24"/>
          <w:szCs w:val="24"/>
        </w:rPr>
      </w:pPr>
    </w:p>
    <w:p w:rsidR="00730016" w:rsidRPr="005A669C" w:rsidRDefault="00730016" w:rsidP="005A669C">
      <w:pPr>
        <w:jc w:val="both"/>
        <w:rPr>
          <w:rFonts w:ascii="Times New Roman" w:eastAsia="Times New Roman" w:hAnsi="Times New Roman" w:cs="Times New Roman"/>
          <w:noProof/>
          <w:sz w:val="24"/>
          <w:szCs w:val="24"/>
        </w:rPr>
      </w:pPr>
    </w:p>
    <w:p w:rsidR="00EE65F6" w:rsidRPr="005A669C" w:rsidRDefault="00EE65F6" w:rsidP="00730016">
      <w:pPr>
        <w:pStyle w:val="Heading1"/>
        <w:spacing w:before="0"/>
        <w:ind w:left="0"/>
        <w:jc w:val="center"/>
        <w:rPr>
          <w:noProof/>
        </w:rPr>
      </w:pPr>
      <w:r w:rsidRPr="005A669C">
        <w:t>3.</w:t>
      </w:r>
    </w:p>
    <w:p w:rsidR="00EE65F6" w:rsidRPr="005A669C" w:rsidRDefault="00966F68" w:rsidP="005A669C">
      <w:pPr>
        <w:pStyle w:val="BodyText"/>
        <w:tabs>
          <w:tab w:val="left" w:pos="483"/>
        </w:tabs>
        <w:ind w:left="0"/>
        <w:jc w:val="both"/>
        <w:rPr>
          <w:noProof/>
        </w:rPr>
      </w:pPr>
      <w:r w:rsidRPr="005A669C">
        <w:t>3.1. Tiks ieviesta grozītā 2012. gada 19. novembra Tehniskā risinājuma redakcija franču valodā, kurai būs tāds pats juridiskais spēks kā tā redakcijai angļu valodā.</w:t>
      </w:r>
    </w:p>
    <w:p w:rsidR="00EE65F6" w:rsidRPr="005A669C" w:rsidRDefault="00EE65F6" w:rsidP="005A669C">
      <w:pPr>
        <w:jc w:val="both"/>
        <w:rPr>
          <w:rFonts w:ascii="Times New Roman" w:eastAsia="Times New Roman" w:hAnsi="Times New Roman" w:cs="Times New Roman"/>
          <w:noProof/>
          <w:sz w:val="24"/>
          <w:szCs w:val="20"/>
        </w:rPr>
      </w:pPr>
    </w:p>
    <w:p w:rsidR="00EE65F6" w:rsidRPr="005A669C" w:rsidRDefault="00966F68" w:rsidP="005A669C">
      <w:pPr>
        <w:pStyle w:val="BodyText"/>
        <w:tabs>
          <w:tab w:val="left" w:pos="481"/>
        </w:tabs>
        <w:ind w:left="0"/>
        <w:jc w:val="both"/>
        <w:rPr>
          <w:noProof/>
        </w:rPr>
      </w:pPr>
      <w:r w:rsidRPr="005A669C">
        <w:t>3.2. 2012. gada 19. novembra Tehniskajā risinājumā pēc 9.6. punkta tiks pievienots šāds teikums:</w:t>
      </w:r>
    </w:p>
    <w:p w:rsidR="00966F68" w:rsidRPr="005A669C" w:rsidRDefault="00966F68" w:rsidP="005A669C">
      <w:pPr>
        <w:pStyle w:val="BodyText"/>
        <w:ind w:left="0"/>
        <w:jc w:val="both"/>
        <w:rPr>
          <w:noProof/>
        </w:rPr>
      </w:pPr>
    </w:p>
    <w:p w:rsidR="00EE65F6" w:rsidRPr="005A669C" w:rsidRDefault="00EE65F6" w:rsidP="00730016">
      <w:pPr>
        <w:pStyle w:val="BodyText"/>
        <w:ind w:left="426"/>
        <w:jc w:val="both"/>
        <w:rPr>
          <w:noProof/>
        </w:rPr>
      </w:pPr>
      <w:r w:rsidRPr="005A669C">
        <w:t>“9.7. Ir izveidota šī TR redakcija franču valodā, kurai ir tāds pats juridiskais spēks kā tā redakcijai angļu valodā.”</w:t>
      </w:r>
    </w:p>
    <w:p w:rsidR="00EE65F6" w:rsidRDefault="00EE65F6" w:rsidP="005A669C">
      <w:pPr>
        <w:jc w:val="both"/>
        <w:rPr>
          <w:rFonts w:ascii="Times New Roman" w:eastAsia="Times New Roman" w:hAnsi="Times New Roman" w:cs="Times New Roman"/>
          <w:noProof/>
          <w:sz w:val="24"/>
          <w:szCs w:val="24"/>
        </w:rPr>
      </w:pPr>
    </w:p>
    <w:p w:rsidR="00730016" w:rsidRPr="005A669C" w:rsidRDefault="00730016" w:rsidP="005A669C">
      <w:pPr>
        <w:jc w:val="both"/>
        <w:rPr>
          <w:rFonts w:ascii="Times New Roman" w:eastAsia="Times New Roman" w:hAnsi="Times New Roman" w:cs="Times New Roman"/>
          <w:noProof/>
          <w:sz w:val="24"/>
          <w:szCs w:val="24"/>
        </w:rPr>
      </w:pPr>
    </w:p>
    <w:p w:rsidR="00EE65F6" w:rsidRPr="005A669C" w:rsidRDefault="00EE65F6" w:rsidP="00730016">
      <w:pPr>
        <w:pStyle w:val="Heading1"/>
        <w:spacing w:before="0"/>
        <w:ind w:left="0"/>
        <w:jc w:val="center"/>
        <w:rPr>
          <w:noProof/>
        </w:rPr>
      </w:pPr>
      <w:r w:rsidRPr="005A669C">
        <w:t>4.</w:t>
      </w:r>
    </w:p>
    <w:p w:rsidR="00EE65F6" w:rsidRPr="005A669C" w:rsidRDefault="00966F68" w:rsidP="005A669C">
      <w:pPr>
        <w:pStyle w:val="BodyText"/>
        <w:tabs>
          <w:tab w:val="left" w:pos="479"/>
        </w:tabs>
        <w:ind w:left="0"/>
        <w:jc w:val="both"/>
        <w:rPr>
          <w:noProof/>
        </w:rPr>
      </w:pPr>
      <w:r w:rsidRPr="005A669C">
        <w:t>4.1. 2012. gada 19. novembra Tehniskā risinājuma D pielikumā Pievienošanās deklarācijas veidlapas pirmo (1.) rindkopu aizstāj ar šādu rindkopu:</w:t>
      </w:r>
    </w:p>
    <w:p w:rsidR="00966F68" w:rsidRPr="005A669C" w:rsidRDefault="00966F68" w:rsidP="005A669C">
      <w:pPr>
        <w:pStyle w:val="BodyText"/>
        <w:ind w:left="0"/>
        <w:jc w:val="both"/>
        <w:rPr>
          <w:noProof/>
        </w:rPr>
      </w:pPr>
    </w:p>
    <w:p w:rsidR="00EE65F6" w:rsidRPr="005A669C" w:rsidRDefault="00EE65F6" w:rsidP="00730016">
      <w:pPr>
        <w:pStyle w:val="BodyText"/>
        <w:ind w:left="426"/>
        <w:jc w:val="both"/>
        <w:rPr>
          <w:noProof/>
        </w:rPr>
      </w:pPr>
      <w:r w:rsidRPr="005A669C">
        <w:t>“Vēloties pievienoties kā Dalībnieks Tehniskajam risinājumam par diplomātiskajām atļaujām Dalībnieku militārajiem transporta gaisa kuģiem attiecīgās valsts gaisa telpā vai teritorijā, vēlas parakstīt iepriekš minēto TR un tā jaunākos grozījumus un ievērot visus tā noteikumus, ieskaitot tā Pielikumus šobrīd spēkā esošajā redakcijā.”</w:t>
      </w:r>
    </w:p>
    <w:p w:rsidR="00966F68" w:rsidRPr="005A669C" w:rsidRDefault="00966F68" w:rsidP="005A669C">
      <w:pPr>
        <w:pStyle w:val="BodyText"/>
        <w:tabs>
          <w:tab w:val="left" w:pos="464"/>
        </w:tabs>
        <w:ind w:left="0"/>
        <w:jc w:val="both"/>
        <w:rPr>
          <w:rFonts w:cs="Times New Roman"/>
          <w:noProof/>
        </w:rPr>
      </w:pPr>
    </w:p>
    <w:p w:rsidR="00EE65F6" w:rsidRPr="005A669C" w:rsidRDefault="00966F68" w:rsidP="005A669C">
      <w:pPr>
        <w:pStyle w:val="BodyText"/>
        <w:tabs>
          <w:tab w:val="left" w:pos="464"/>
        </w:tabs>
        <w:ind w:left="0"/>
        <w:jc w:val="both"/>
        <w:rPr>
          <w:rFonts w:cs="Times New Roman"/>
          <w:noProof/>
        </w:rPr>
      </w:pPr>
      <w:r w:rsidRPr="005A669C">
        <w:t>4.2. 2012. gada 19. novembra Tehniskā risinājuma D pielikumā Pievienošanās deklarācijas veidlapas pēdējās rindkopas pirmo (1.) teikumu aizstāj ar šādu teikumu: “Parakstīts angļu un franču valodā, un abām redakcijām ir vienāds juridiskais spēks.”</w:t>
      </w:r>
    </w:p>
    <w:p w:rsidR="00EE65F6" w:rsidRDefault="00EE65F6" w:rsidP="005A669C">
      <w:pPr>
        <w:jc w:val="both"/>
        <w:rPr>
          <w:rFonts w:ascii="Times New Roman" w:eastAsia="Times New Roman" w:hAnsi="Times New Roman" w:cs="Times New Roman"/>
          <w:noProof/>
          <w:sz w:val="24"/>
          <w:szCs w:val="24"/>
        </w:rPr>
      </w:pPr>
    </w:p>
    <w:p w:rsidR="00730016" w:rsidRPr="005A669C" w:rsidRDefault="00730016" w:rsidP="005A669C">
      <w:pPr>
        <w:jc w:val="both"/>
        <w:rPr>
          <w:rFonts w:ascii="Times New Roman" w:eastAsia="Times New Roman" w:hAnsi="Times New Roman" w:cs="Times New Roman"/>
          <w:noProof/>
          <w:sz w:val="24"/>
          <w:szCs w:val="24"/>
        </w:rPr>
      </w:pPr>
    </w:p>
    <w:p w:rsidR="00EE65F6" w:rsidRPr="005A669C" w:rsidRDefault="00EE65F6" w:rsidP="00730016">
      <w:pPr>
        <w:pStyle w:val="Heading1"/>
        <w:spacing w:before="0"/>
        <w:ind w:left="0"/>
        <w:jc w:val="center"/>
        <w:rPr>
          <w:noProof/>
        </w:rPr>
      </w:pPr>
      <w:r w:rsidRPr="005A669C">
        <w:t>5.</w:t>
      </w:r>
    </w:p>
    <w:p w:rsidR="00EE65F6" w:rsidRPr="005A669C" w:rsidRDefault="00EE65F6" w:rsidP="005A669C">
      <w:pPr>
        <w:pStyle w:val="BodyText"/>
        <w:ind w:left="0"/>
        <w:jc w:val="both"/>
        <w:rPr>
          <w:noProof/>
        </w:rPr>
      </w:pPr>
      <w:r w:rsidRPr="005A669C">
        <w:t>Svītro 2012. gada 19. novembra Tehniskā risinājuma E pielikumu “Ikgadējās DA veidlapa un saskaņoto procedūru paraugs”.</w:t>
      </w:r>
    </w:p>
    <w:p w:rsidR="00EE65F6" w:rsidRPr="005A669C" w:rsidRDefault="00EE65F6" w:rsidP="005A669C">
      <w:pPr>
        <w:jc w:val="both"/>
        <w:rPr>
          <w:rFonts w:ascii="Times New Roman" w:eastAsia="Times New Roman" w:hAnsi="Times New Roman" w:cs="Times New Roman"/>
          <w:noProof/>
          <w:sz w:val="24"/>
          <w:szCs w:val="24"/>
        </w:rPr>
      </w:pPr>
    </w:p>
    <w:p w:rsidR="00EE65F6" w:rsidRPr="005A669C" w:rsidRDefault="00EE65F6" w:rsidP="005A669C">
      <w:pPr>
        <w:pStyle w:val="Heading1"/>
        <w:spacing w:before="0"/>
        <w:ind w:left="0"/>
        <w:jc w:val="both"/>
        <w:rPr>
          <w:noProof/>
        </w:rPr>
      </w:pPr>
      <w:r w:rsidRPr="005A669C">
        <w:t>6.</w:t>
      </w:r>
    </w:p>
    <w:p w:rsidR="00EE65F6" w:rsidRPr="005A669C" w:rsidRDefault="00EE65F6" w:rsidP="005A669C">
      <w:pPr>
        <w:pStyle w:val="BodyText"/>
        <w:ind w:left="0"/>
        <w:jc w:val="both"/>
        <w:rPr>
          <w:noProof/>
        </w:rPr>
      </w:pPr>
      <w:r w:rsidRPr="005A669C">
        <w:t>2012. gada 19. novembra Tehniskā risinājuma konsolidēto redakciju, kurā iekļauti šie grozījumi, pievienos šiem grozījumiem kā 1. pielikumu (redakcija angļu valodā) un 2. pielikumu (redakcija franču valodā).</w:t>
      </w:r>
    </w:p>
    <w:p w:rsidR="00EE65F6" w:rsidRDefault="00EE65F6" w:rsidP="005A669C">
      <w:pPr>
        <w:jc w:val="both"/>
        <w:rPr>
          <w:rFonts w:ascii="Times New Roman" w:eastAsia="Times New Roman" w:hAnsi="Times New Roman" w:cs="Times New Roman"/>
          <w:noProof/>
          <w:sz w:val="24"/>
          <w:szCs w:val="24"/>
        </w:rPr>
      </w:pPr>
    </w:p>
    <w:p w:rsidR="00730016" w:rsidRPr="005A669C" w:rsidRDefault="00730016" w:rsidP="005A669C">
      <w:pPr>
        <w:jc w:val="both"/>
        <w:rPr>
          <w:rFonts w:ascii="Times New Roman" w:eastAsia="Times New Roman" w:hAnsi="Times New Roman" w:cs="Times New Roman"/>
          <w:noProof/>
          <w:sz w:val="24"/>
          <w:szCs w:val="24"/>
        </w:rPr>
      </w:pPr>
    </w:p>
    <w:p w:rsidR="00EE65F6" w:rsidRPr="005A669C" w:rsidRDefault="00EE65F6" w:rsidP="00730016">
      <w:pPr>
        <w:pStyle w:val="Heading1"/>
        <w:spacing w:before="0"/>
        <w:ind w:left="0"/>
        <w:jc w:val="center"/>
        <w:rPr>
          <w:noProof/>
        </w:rPr>
      </w:pPr>
      <w:r w:rsidRPr="005A669C">
        <w:t>7.</w:t>
      </w:r>
    </w:p>
    <w:p w:rsidR="00EE65F6" w:rsidRPr="005A669C" w:rsidRDefault="00EE65F6" w:rsidP="005A669C">
      <w:pPr>
        <w:pStyle w:val="BodyText"/>
        <w:ind w:left="0"/>
        <w:jc w:val="both"/>
        <w:rPr>
          <w:noProof/>
        </w:rPr>
      </w:pPr>
      <w:r w:rsidRPr="005A669C">
        <w:t>Šie grozījumi stāsies spēkā dienā, kad tos būs parakstījuši visi Dalībnieki.</w:t>
      </w:r>
    </w:p>
    <w:p w:rsidR="00EE65F6" w:rsidRPr="005A669C" w:rsidRDefault="00EE65F6" w:rsidP="005A669C">
      <w:pPr>
        <w:jc w:val="both"/>
        <w:rPr>
          <w:rFonts w:ascii="Times New Roman" w:eastAsia="Times New Roman" w:hAnsi="Times New Roman" w:cs="Times New Roman"/>
          <w:noProof/>
          <w:sz w:val="24"/>
          <w:szCs w:val="24"/>
        </w:rPr>
      </w:pPr>
    </w:p>
    <w:p w:rsidR="00EE65F6" w:rsidRPr="005A669C" w:rsidRDefault="00EE65F6" w:rsidP="005A669C">
      <w:pPr>
        <w:pStyle w:val="BodyText"/>
        <w:ind w:left="0"/>
        <w:jc w:val="both"/>
        <w:rPr>
          <w:noProof/>
        </w:rPr>
      </w:pPr>
      <w:r w:rsidRPr="005A669C">
        <w:t>Parakstīts angļu un franču valodā, un abām redakcijām ir vienāds juridiskais spēks.</w:t>
      </w:r>
    </w:p>
    <w:p w:rsidR="00966F68" w:rsidRPr="005A669C" w:rsidRDefault="00966F68" w:rsidP="005A669C">
      <w:pPr>
        <w:jc w:val="both"/>
        <w:rPr>
          <w:rFonts w:ascii="Times New Roman" w:eastAsia="Times New Roman" w:hAnsi="Times New Roman" w:cs="Times New Roman"/>
          <w:noProof/>
          <w:sz w:val="24"/>
          <w:szCs w:val="17"/>
        </w:rPr>
      </w:pPr>
      <w:r w:rsidRPr="005A669C">
        <w:rPr>
          <w:rFonts w:ascii="Times New Roman" w:hAnsi="Times New Roman"/>
          <w:sz w:val="24"/>
        </w:rPr>
        <w:br w:type="page"/>
      </w:r>
    </w:p>
    <w:p w:rsidR="00966F68" w:rsidRPr="005A669C" w:rsidRDefault="00966F68" w:rsidP="00086D94">
      <w:pPr>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lastRenderedPageBreak/>
        <w:t>Austrijas Republikas federālais aizsardzības un sporta ministrs,</w:t>
      </w:r>
    </w:p>
    <w:p w:rsidR="00966F68" w:rsidRPr="005A669C" w:rsidRDefault="00966F68"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966F68" w:rsidRPr="005A669C" w:rsidRDefault="00966F68"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966F68" w:rsidRPr="005A669C" w:rsidRDefault="00966F68"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966F68" w:rsidRPr="005A669C" w:rsidRDefault="00966F68" w:rsidP="005A669C">
      <w:pPr>
        <w:jc w:val="both"/>
        <w:rPr>
          <w:rFonts w:ascii="Times New Roman" w:eastAsia="Times New Roman" w:hAnsi="Times New Roman" w:cs="Times New Roman"/>
          <w:noProof/>
          <w:sz w:val="24"/>
          <w:szCs w:val="17"/>
        </w:rPr>
      </w:pPr>
    </w:p>
    <w:p w:rsidR="00966F68" w:rsidRPr="005A669C" w:rsidRDefault="00966F68"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Beļģijas Karalistes Aizsardzības ministrijas vārdā –</w:t>
      </w:r>
    </w:p>
    <w:p w:rsidR="00966F68" w:rsidRPr="005A669C" w:rsidRDefault="00966F68"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966F68" w:rsidRPr="005A669C" w:rsidRDefault="00966F68"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966F68" w:rsidRPr="005A669C" w:rsidRDefault="00966F68"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966F68" w:rsidRPr="005A669C" w:rsidRDefault="00966F68" w:rsidP="00086D94">
      <w:pPr>
        <w:tabs>
          <w:tab w:val="left" w:leader="dot" w:pos="3686"/>
        </w:tabs>
        <w:spacing w:line="360" w:lineRule="auto"/>
        <w:jc w:val="both"/>
        <w:rPr>
          <w:rFonts w:ascii="Times New Roman" w:eastAsia="Times New Roman" w:hAnsi="Times New Roman" w:cs="Times New Roman"/>
          <w:noProof/>
          <w:sz w:val="24"/>
          <w:szCs w:val="17"/>
        </w:rPr>
      </w:pPr>
    </w:p>
    <w:p w:rsidR="00966F68" w:rsidRPr="005A669C" w:rsidRDefault="00966F68"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Bulgārijas Republikas Aizsardzības ministrs,</w:t>
      </w:r>
    </w:p>
    <w:p w:rsidR="00966F68" w:rsidRPr="005A669C" w:rsidRDefault="00966F68"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966F68" w:rsidRPr="005A669C" w:rsidRDefault="00966F68"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DB4861" w:rsidRPr="005A669C" w:rsidRDefault="00966F68"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p>
    <w:p w:rsidR="00966F68"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Kipras Republikas Aizsardzības ministrs,</w:t>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Čehijas Republikas Aizsardzības ministrijas vārdā –</w:t>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Vācijas Federatīvās Republikas federālais aizsardzības ministrs,</w:t>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Grieķijas Republikas nacionālās aizsardzības ministrs,</w:t>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lastRenderedPageBreak/>
        <w:t>Datums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Itālijas Republikas aizsardzības ministrs,</w:t>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Latvijas aizsardzības ministrs,</w:t>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Lietuvas Republikas Nacionālās aizsardzības ministrijas vārdā –</w:t>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Luksemburgas Lielhercogistes aizsardzības ministrs,</w:t>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Nīderlandes Karalistes aizsardzības ministrs,</w:t>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Norvēģijas Karalistes aizsardzības ministrs,</w:t>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Rumānijas Nacionālās aizsardzības ministrijas vārdā –</w:t>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lastRenderedPageBreak/>
        <w:t>Vieta</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Slovākijas Republikas Aizsardzības ministrijas vārdā –</w:t>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DB4861"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97240B" w:rsidRPr="005A669C" w:rsidRDefault="00DB4861"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97240B" w:rsidRPr="005A669C" w:rsidRDefault="0097240B" w:rsidP="00086D94">
      <w:pPr>
        <w:tabs>
          <w:tab w:val="left" w:leader="dot" w:pos="3686"/>
        </w:tabs>
        <w:spacing w:line="360" w:lineRule="auto"/>
        <w:jc w:val="both"/>
        <w:rPr>
          <w:rFonts w:ascii="Times New Roman" w:eastAsia="Times New Roman" w:hAnsi="Times New Roman" w:cs="Times New Roman"/>
          <w:noProof/>
          <w:sz w:val="24"/>
          <w:szCs w:val="17"/>
        </w:rPr>
      </w:pPr>
    </w:p>
    <w:p w:rsidR="00DB4861" w:rsidRPr="005A669C" w:rsidRDefault="0097240B"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Zviedrijas Karalistes aizsardzības ministrs,</w:t>
      </w:r>
    </w:p>
    <w:p w:rsidR="0097240B" w:rsidRPr="005A669C" w:rsidRDefault="0097240B"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Paraksts</w:t>
      </w:r>
      <w:r w:rsidR="00086D94">
        <w:rPr>
          <w:rFonts w:ascii="Times New Roman" w:hAnsi="Times New Roman"/>
          <w:noProof/>
          <w:sz w:val="24"/>
        </w:rPr>
        <w:tab/>
      </w:r>
    </w:p>
    <w:p w:rsidR="0097240B" w:rsidRPr="005A669C" w:rsidRDefault="0097240B"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Vieta</w:t>
      </w:r>
      <w:r w:rsidR="00086D94">
        <w:rPr>
          <w:rFonts w:ascii="Times New Roman" w:hAnsi="Times New Roman"/>
          <w:noProof/>
          <w:sz w:val="24"/>
        </w:rPr>
        <w:tab/>
      </w:r>
    </w:p>
    <w:p w:rsidR="006B555E" w:rsidRDefault="0097240B" w:rsidP="00086D94">
      <w:pPr>
        <w:tabs>
          <w:tab w:val="left" w:leader="dot" w:pos="3686"/>
        </w:tabs>
        <w:spacing w:line="360" w:lineRule="auto"/>
        <w:jc w:val="both"/>
        <w:rPr>
          <w:rFonts w:ascii="Times New Roman" w:eastAsia="Times New Roman" w:hAnsi="Times New Roman" w:cs="Times New Roman"/>
          <w:noProof/>
          <w:sz w:val="24"/>
          <w:szCs w:val="17"/>
        </w:rPr>
      </w:pPr>
      <w:r w:rsidRPr="005A669C">
        <w:rPr>
          <w:rFonts w:ascii="Times New Roman" w:hAnsi="Times New Roman"/>
          <w:noProof/>
          <w:sz w:val="24"/>
        </w:rPr>
        <w:t>Datums</w:t>
      </w:r>
      <w:r w:rsidR="00086D94">
        <w:rPr>
          <w:rFonts w:ascii="Times New Roman" w:hAnsi="Times New Roman"/>
          <w:noProof/>
          <w:sz w:val="24"/>
        </w:rPr>
        <w:tab/>
      </w:r>
    </w:p>
    <w:p w:rsidR="006B555E" w:rsidRPr="006B555E" w:rsidRDefault="006B555E" w:rsidP="006B555E">
      <w:pPr>
        <w:rPr>
          <w:rFonts w:ascii="Times New Roman" w:eastAsia="Times New Roman" w:hAnsi="Times New Roman" w:cs="Times New Roman"/>
          <w:sz w:val="24"/>
          <w:szCs w:val="17"/>
        </w:rPr>
      </w:pPr>
    </w:p>
    <w:p w:rsidR="006B555E" w:rsidRPr="006B555E" w:rsidRDefault="006B555E" w:rsidP="006B555E">
      <w:pPr>
        <w:rPr>
          <w:rFonts w:ascii="Times New Roman" w:eastAsia="Times New Roman" w:hAnsi="Times New Roman" w:cs="Times New Roman"/>
          <w:sz w:val="24"/>
          <w:szCs w:val="17"/>
        </w:rPr>
      </w:pPr>
    </w:p>
    <w:p w:rsidR="006B555E" w:rsidRDefault="006B555E" w:rsidP="006B555E">
      <w:pPr>
        <w:rPr>
          <w:rFonts w:ascii="Times New Roman" w:eastAsia="Times New Roman" w:hAnsi="Times New Roman" w:cs="Times New Roman"/>
          <w:sz w:val="24"/>
          <w:szCs w:val="17"/>
        </w:rPr>
      </w:pPr>
    </w:p>
    <w:p w:rsidR="006B555E" w:rsidRDefault="006B555E" w:rsidP="006B555E">
      <w:pPr>
        <w:rPr>
          <w:rFonts w:ascii="Times New Roman" w:eastAsia="Times New Roman" w:hAnsi="Times New Roman" w:cs="Times New Roman"/>
          <w:sz w:val="24"/>
          <w:szCs w:val="17"/>
        </w:rPr>
      </w:pPr>
    </w:p>
    <w:p w:rsidR="006B555E" w:rsidRDefault="006B555E" w:rsidP="006B555E">
      <w:pPr>
        <w:rPr>
          <w:rFonts w:ascii="Times New Roman" w:eastAsia="Times New Roman" w:hAnsi="Times New Roman" w:cs="Times New Roman"/>
          <w:sz w:val="24"/>
          <w:szCs w:val="17"/>
        </w:rPr>
      </w:pPr>
    </w:p>
    <w:p w:rsidR="006B555E" w:rsidRPr="006B555E" w:rsidRDefault="006B555E" w:rsidP="006B555E">
      <w:pPr>
        <w:widowControl/>
        <w:ind w:firstLine="375"/>
        <w:jc w:val="both"/>
        <w:rPr>
          <w:rFonts w:ascii="Times New Roman" w:eastAsia="Times New Roman" w:hAnsi="Times New Roman" w:cs="Times New Roman"/>
          <w:sz w:val="16"/>
          <w:szCs w:val="16"/>
          <w:lang w:bidi="ar-SA"/>
        </w:rPr>
      </w:pPr>
    </w:p>
    <w:p w:rsidR="006B555E" w:rsidRPr="006B555E" w:rsidRDefault="006B555E" w:rsidP="006B555E">
      <w:pPr>
        <w:widowControl/>
        <w:rPr>
          <w:rFonts w:ascii="Times New Roman" w:eastAsia="Times New Roman" w:hAnsi="Times New Roman" w:cs="Times New Roman"/>
          <w:sz w:val="24"/>
          <w:szCs w:val="24"/>
          <w:lang w:bidi="ar-SA"/>
        </w:rPr>
      </w:pPr>
      <w:r w:rsidRPr="006B555E">
        <w:rPr>
          <w:rFonts w:ascii="Times New Roman" w:eastAsia="Times New Roman" w:hAnsi="Times New Roman" w:cs="Times New Roman"/>
          <w:sz w:val="24"/>
          <w:szCs w:val="24"/>
          <w:lang w:bidi="ar-SA"/>
        </w:rPr>
        <w:t>Aizsardzības ministrs</w:t>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t>R.Bergmanis</w:t>
      </w:r>
    </w:p>
    <w:p w:rsidR="006B555E" w:rsidRPr="006B555E" w:rsidRDefault="006B555E" w:rsidP="006B555E">
      <w:pPr>
        <w:widowControl/>
        <w:rPr>
          <w:rFonts w:ascii="Times New Roman" w:eastAsia="Times New Roman" w:hAnsi="Times New Roman" w:cs="Times New Roman"/>
          <w:sz w:val="18"/>
          <w:szCs w:val="18"/>
          <w:lang w:bidi="ar-SA"/>
        </w:rPr>
      </w:pPr>
    </w:p>
    <w:p w:rsidR="006B555E" w:rsidRPr="006B555E" w:rsidRDefault="006B555E" w:rsidP="006B555E">
      <w:pPr>
        <w:widowControl/>
        <w:rPr>
          <w:rFonts w:ascii="Times New Roman" w:eastAsia="Times New Roman" w:hAnsi="Times New Roman" w:cs="Times New Roman"/>
          <w:sz w:val="18"/>
          <w:szCs w:val="18"/>
          <w:lang w:bidi="ar-SA"/>
        </w:rPr>
      </w:pPr>
    </w:p>
    <w:p w:rsidR="006B555E" w:rsidRPr="006B555E" w:rsidRDefault="006B555E" w:rsidP="006B555E">
      <w:pPr>
        <w:widowControl/>
        <w:rPr>
          <w:rFonts w:ascii="Times New Roman" w:eastAsia="Times New Roman" w:hAnsi="Times New Roman" w:cs="Times New Roman"/>
          <w:sz w:val="18"/>
          <w:szCs w:val="18"/>
          <w:lang w:bidi="ar-SA"/>
        </w:rPr>
      </w:pPr>
    </w:p>
    <w:p w:rsidR="006B555E" w:rsidRPr="006B555E" w:rsidRDefault="006B555E" w:rsidP="006B555E">
      <w:pPr>
        <w:widowControl/>
        <w:rPr>
          <w:rFonts w:ascii="Times New Roman" w:eastAsia="Times New Roman" w:hAnsi="Times New Roman" w:cs="Times New Roman"/>
          <w:sz w:val="18"/>
          <w:szCs w:val="18"/>
          <w:lang w:bidi="ar-SA"/>
        </w:rPr>
      </w:pPr>
    </w:p>
    <w:p w:rsidR="006B555E" w:rsidRPr="006B555E" w:rsidRDefault="006B555E" w:rsidP="006B555E">
      <w:pPr>
        <w:widowControl/>
        <w:rPr>
          <w:rFonts w:ascii="Times New Roman" w:eastAsia="Times New Roman" w:hAnsi="Times New Roman" w:cs="Times New Roman"/>
          <w:sz w:val="18"/>
          <w:szCs w:val="18"/>
          <w:lang w:bidi="ar-SA"/>
        </w:rPr>
      </w:pPr>
    </w:p>
    <w:p w:rsidR="006B555E" w:rsidRPr="006B555E" w:rsidRDefault="006B555E" w:rsidP="006B555E">
      <w:pPr>
        <w:widowControl/>
        <w:rPr>
          <w:rFonts w:ascii="Times New Roman" w:eastAsia="Times New Roman" w:hAnsi="Times New Roman" w:cs="Times New Roman"/>
          <w:sz w:val="18"/>
          <w:szCs w:val="18"/>
          <w:lang w:bidi="ar-SA"/>
        </w:rPr>
      </w:pPr>
    </w:p>
    <w:p w:rsidR="006B555E" w:rsidRPr="006B555E" w:rsidRDefault="006B555E" w:rsidP="006B555E">
      <w:pPr>
        <w:widowControl/>
        <w:rPr>
          <w:rFonts w:ascii="Times New Roman" w:eastAsia="Times New Roman" w:hAnsi="Times New Roman" w:cs="Times New Roman"/>
          <w:sz w:val="18"/>
          <w:szCs w:val="18"/>
          <w:lang w:bidi="ar-SA"/>
        </w:rPr>
      </w:pPr>
    </w:p>
    <w:p w:rsidR="006B555E" w:rsidRPr="006B555E" w:rsidRDefault="006B555E" w:rsidP="006B555E">
      <w:pPr>
        <w:widowControl/>
        <w:jc w:val="both"/>
        <w:rPr>
          <w:rFonts w:ascii="Times New Roman" w:eastAsia="Times New Roman" w:hAnsi="Times New Roman" w:cs="Times New Roman"/>
          <w:sz w:val="24"/>
          <w:szCs w:val="24"/>
          <w:lang w:bidi="ar-SA"/>
        </w:rPr>
      </w:pPr>
      <w:r w:rsidRPr="006B555E">
        <w:rPr>
          <w:rFonts w:ascii="Times New Roman" w:eastAsia="Times New Roman" w:hAnsi="Times New Roman" w:cs="Times New Roman"/>
          <w:sz w:val="24"/>
          <w:szCs w:val="24"/>
          <w:lang w:bidi="ar-SA"/>
        </w:rPr>
        <w:t>Vīza: Valsts sekretārs</w:t>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r>
      <w:r w:rsidRPr="006B555E">
        <w:rPr>
          <w:rFonts w:ascii="Times New Roman" w:eastAsia="Times New Roman" w:hAnsi="Times New Roman" w:cs="Times New Roman"/>
          <w:sz w:val="24"/>
          <w:szCs w:val="24"/>
          <w:lang w:bidi="ar-SA"/>
        </w:rPr>
        <w:tab/>
      </w:r>
      <w:proofErr w:type="spellStart"/>
      <w:r w:rsidRPr="006B555E">
        <w:rPr>
          <w:rFonts w:ascii="Times New Roman" w:eastAsia="Times New Roman" w:hAnsi="Times New Roman" w:cs="Times New Roman"/>
          <w:sz w:val="24"/>
          <w:szCs w:val="24"/>
          <w:lang w:bidi="ar-SA"/>
        </w:rPr>
        <w:t>J.Garisons</w:t>
      </w:r>
      <w:proofErr w:type="spellEnd"/>
      <w:r w:rsidRPr="006B555E">
        <w:rPr>
          <w:rFonts w:ascii="Times New Roman" w:eastAsia="Times New Roman" w:hAnsi="Times New Roman" w:cs="Times New Roman"/>
          <w:sz w:val="24"/>
          <w:szCs w:val="24"/>
          <w:lang w:bidi="ar-SA"/>
        </w:rPr>
        <w:t xml:space="preserve"> </w:t>
      </w:r>
    </w:p>
    <w:p w:rsidR="006B555E" w:rsidRPr="006B555E" w:rsidRDefault="006B555E" w:rsidP="006B555E">
      <w:pPr>
        <w:widowControl/>
        <w:rPr>
          <w:rFonts w:ascii="Times New Roman" w:eastAsia="Times New Roman" w:hAnsi="Times New Roman" w:cs="Times New Roman"/>
          <w:sz w:val="24"/>
          <w:szCs w:val="24"/>
          <w:lang w:eastAsia="en-US" w:bidi="ar-SA"/>
        </w:rPr>
      </w:pPr>
    </w:p>
    <w:p w:rsidR="006B555E" w:rsidRDefault="006B555E" w:rsidP="006B555E">
      <w:pPr>
        <w:rPr>
          <w:rFonts w:ascii="Times New Roman" w:eastAsia="Times New Roman" w:hAnsi="Times New Roman" w:cs="Times New Roman"/>
          <w:sz w:val="24"/>
          <w:szCs w:val="17"/>
        </w:rPr>
      </w:pPr>
    </w:p>
    <w:p w:rsidR="006B555E" w:rsidRDefault="006B555E" w:rsidP="006B555E">
      <w:pPr>
        <w:rPr>
          <w:rFonts w:ascii="Times New Roman" w:eastAsia="Times New Roman" w:hAnsi="Times New Roman" w:cs="Times New Roman"/>
          <w:sz w:val="24"/>
          <w:szCs w:val="17"/>
        </w:rPr>
      </w:pPr>
    </w:p>
    <w:p w:rsidR="006B555E" w:rsidRDefault="006B555E" w:rsidP="006B555E">
      <w:pPr>
        <w:rPr>
          <w:rFonts w:ascii="Times New Roman" w:eastAsia="Times New Roman" w:hAnsi="Times New Roman" w:cs="Times New Roman"/>
          <w:sz w:val="24"/>
          <w:szCs w:val="17"/>
        </w:rPr>
      </w:pPr>
    </w:p>
    <w:p w:rsidR="006B555E" w:rsidRDefault="006B555E" w:rsidP="006B555E">
      <w:pPr>
        <w:rPr>
          <w:rFonts w:ascii="Times New Roman" w:eastAsia="Times New Roman" w:hAnsi="Times New Roman" w:cs="Times New Roman"/>
          <w:sz w:val="24"/>
          <w:szCs w:val="17"/>
        </w:rPr>
      </w:pPr>
    </w:p>
    <w:p w:rsidR="006B555E" w:rsidRDefault="006B555E" w:rsidP="006B555E">
      <w:pPr>
        <w:rPr>
          <w:rFonts w:ascii="Times New Roman" w:eastAsia="Times New Roman" w:hAnsi="Times New Roman" w:cs="Times New Roman"/>
          <w:sz w:val="24"/>
          <w:szCs w:val="17"/>
        </w:rPr>
      </w:pPr>
    </w:p>
    <w:p w:rsidR="006B555E" w:rsidRDefault="006B555E" w:rsidP="006B555E">
      <w:pPr>
        <w:rPr>
          <w:rFonts w:ascii="Times New Roman" w:eastAsia="Times New Roman" w:hAnsi="Times New Roman" w:cs="Times New Roman"/>
          <w:sz w:val="24"/>
          <w:szCs w:val="17"/>
        </w:rPr>
      </w:pPr>
    </w:p>
    <w:p w:rsidR="006B555E" w:rsidRDefault="006B555E" w:rsidP="006B555E">
      <w:pPr>
        <w:rPr>
          <w:rFonts w:ascii="Times New Roman" w:eastAsia="Times New Roman" w:hAnsi="Times New Roman" w:cs="Times New Roman"/>
          <w:sz w:val="24"/>
          <w:szCs w:val="17"/>
        </w:rPr>
      </w:pPr>
    </w:p>
    <w:p w:rsidR="006B555E" w:rsidRDefault="006B555E" w:rsidP="006B555E">
      <w:pPr>
        <w:rPr>
          <w:rFonts w:ascii="Times New Roman" w:eastAsia="Times New Roman" w:hAnsi="Times New Roman" w:cs="Times New Roman"/>
          <w:sz w:val="24"/>
          <w:szCs w:val="17"/>
        </w:rPr>
      </w:pPr>
    </w:p>
    <w:p w:rsidR="006B555E" w:rsidRPr="006B555E" w:rsidRDefault="006B555E" w:rsidP="006B555E">
      <w:pPr>
        <w:widowControl/>
        <w:jc w:val="both"/>
        <w:rPr>
          <w:rFonts w:ascii="Times New Roman" w:eastAsia="Times New Roman" w:hAnsi="Times New Roman" w:cs="Times New Roman"/>
          <w:sz w:val="18"/>
          <w:szCs w:val="18"/>
          <w:lang w:eastAsia="zh-TW" w:bidi="ar-SA"/>
        </w:rPr>
      </w:pPr>
    </w:p>
    <w:p w:rsidR="006B555E" w:rsidRPr="006B555E" w:rsidRDefault="006B555E" w:rsidP="006B555E">
      <w:pPr>
        <w:widowControl/>
        <w:jc w:val="both"/>
        <w:rPr>
          <w:rFonts w:ascii="Times New Roman" w:eastAsia="Times New Roman" w:hAnsi="Times New Roman" w:cs="Times New Roman"/>
          <w:sz w:val="18"/>
          <w:szCs w:val="18"/>
          <w:lang w:eastAsia="zh-TW" w:bidi="ar-SA"/>
        </w:rPr>
      </w:pPr>
      <w:r>
        <w:rPr>
          <w:rFonts w:ascii="Times New Roman" w:eastAsia="Times New Roman" w:hAnsi="Times New Roman" w:cs="Times New Roman"/>
          <w:sz w:val="18"/>
          <w:szCs w:val="18"/>
          <w:lang w:eastAsia="zh-TW" w:bidi="ar-SA"/>
        </w:rPr>
        <w:t>M.Spūlis</w:t>
      </w:r>
    </w:p>
    <w:p w:rsidR="006B555E" w:rsidRPr="006B555E" w:rsidRDefault="006B555E" w:rsidP="006B555E">
      <w:pPr>
        <w:widowControl/>
        <w:jc w:val="both"/>
        <w:rPr>
          <w:rFonts w:ascii="Times New Roman" w:eastAsia="Times New Roman" w:hAnsi="Times New Roman" w:cs="Times New Roman"/>
          <w:sz w:val="18"/>
          <w:szCs w:val="18"/>
          <w:lang w:eastAsia="zh-TW" w:bidi="ar-SA"/>
        </w:rPr>
      </w:pPr>
      <w:r w:rsidRPr="006B555E">
        <w:rPr>
          <w:rFonts w:ascii="Times New Roman" w:eastAsia="Times New Roman" w:hAnsi="Times New Roman" w:cs="Times New Roman"/>
          <w:sz w:val="18"/>
          <w:szCs w:val="18"/>
          <w:lang w:eastAsia="zh-TW" w:bidi="ar-SA"/>
        </w:rPr>
        <w:fldChar w:fldCharType="begin"/>
      </w:r>
      <w:r w:rsidRPr="006B555E">
        <w:rPr>
          <w:rFonts w:ascii="Times New Roman" w:eastAsia="Times New Roman" w:hAnsi="Times New Roman" w:cs="Times New Roman"/>
          <w:sz w:val="18"/>
          <w:szCs w:val="18"/>
          <w:lang w:eastAsia="zh-TW" w:bidi="ar-SA"/>
        </w:rPr>
        <w:instrText xml:space="preserve"> COMMENTS   \* MERGEFORMAT </w:instrText>
      </w:r>
      <w:r w:rsidRPr="006B555E">
        <w:rPr>
          <w:rFonts w:ascii="Times New Roman" w:eastAsia="Times New Roman" w:hAnsi="Times New Roman" w:cs="Times New Roman"/>
          <w:sz w:val="18"/>
          <w:szCs w:val="18"/>
          <w:lang w:eastAsia="zh-TW" w:bidi="ar-SA"/>
        </w:rPr>
        <w:fldChar w:fldCharType="separate"/>
      </w:r>
      <w:r>
        <w:rPr>
          <w:rFonts w:ascii="Times New Roman" w:eastAsia="Times New Roman" w:hAnsi="Times New Roman" w:cs="Times New Roman"/>
          <w:sz w:val="18"/>
          <w:szCs w:val="18"/>
          <w:lang w:eastAsia="zh-TW" w:bidi="ar-SA"/>
        </w:rPr>
        <w:t>Tel.:67335230</w:t>
      </w:r>
      <w:r w:rsidRPr="006B555E">
        <w:rPr>
          <w:rFonts w:ascii="Times New Roman" w:eastAsia="Times New Roman" w:hAnsi="Times New Roman" w:cs="Times New Roman"/>
          <w:sz w:val="18"/>
          <w:szCs w:val="18"/>
          <w:lang w:eastAsia="zh-TW" w:bidi="ar-SA"/>
        </w:rPr>
        <w:t>; fakss: 67212307;</w:t>
      </w:r>
    </w:p>
    <w:p w:rsidR="006B555E" w:rsidRDefault="006B555E" w:rsidP="006B555E">
      <w:pPr>
        <w:rPr>
          <w:rFonts w:ascii="Times New Roman" w:eastAsia="Times New Roman" w:hAnsi="Times New Roman" w:cs="Times New Roman"/>
          <w:sz w:val="24"/>
          <w:szCs w:val="17"/>
        </w:rPr>
      </w:pPr>
      <w:r>
        <w:rPr>
          <w:rFonts w:ascii="Times New Roman" w:eastAsia="Times New Roman" w:hAnsi="Times New Roman" w:cs="Times New Roman"/>
          <w:sz w:val="18"/>
          <w:szCs w:val="18"/>
          <w:lang w:eastAsia="zh-TW" w:bidi="ar-SA"/>
        </w:rPr>
        <w:t>e-pasts: Martins.Spulis</w:t>
      </w:r>
      <w:r w:rsidRPr="006B555E">
        <w:rPr>
          <w:rFonts w:ascii="Times New Roman" w:eastAsia="Times New Roman" w:hAnsi="Times New Roman" w:cs="Times New Roman"/>
          <w:sz w:val="18"/>
          <w:szCs w:val="18"/>
          <w:lang w:eastAsia="zh-TW" w:bidi="ar-SA"/>
        </w:rPr>
        <w:t>@mod.gov.lv</w:t>
      </w:r>
      <w:r w:rsidRPr="006B555E">
        <w:rPr>
          <w:rFonts w:ascii="Times New Roman" w:eastAsia="Times New Roman" w:hAnsi="Times New Roman" w:cs="Times New Roman"/>
          <w:sz w:val="18"/>
          <w:szCs w:val="18"/>
          <w:lang w:eastAsia="zh-TW" w:bidi="ar-SA"/>
        </w:rPr>
        <w:fldChar w:fldCharType="end"/>
      </w:r>
    </w:p>
    <w:sectPr w:rsidR="006B555E" w:rsidSect="00FB77BB">
      <w:headerReference w:type="default" r:id="rId7"/>
      <w:footerReference w:type="default" r:id="rId8"/>
      <w:headerReference w:type="first" r:id="rId9"/>
      <w:footerReference w:type="first" r:id="rId10"/>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7B8" w:rsidRPr="00EE65F6" w:rsidRDefault="00B22357">
      <w:pPr>
        <w:rPr>
          <w:noProof/>
        </w:rPr>
      </w:pPr>
      <w:r w:rsidRPr="00EE65F6">
        <w:rPr>
          <w:noProof/>
        </w:rPr>
        <w:separator/>
      </w:r>
    </w:p>
  </w:endnote>
  <w:endnote w:type="continuationSeparator" w:id="0">
    <w:p w:rsidR="009D57B8" w:rsidRPr="00EE65F6" w:rsidRDefault="00B22357">
      <w:pPr>
        <w:rPr>
          <w:noProof/>
        </w:rPr>
      </w:pPr>
      <w:r w:rsidRPr="00EE65F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9C" w:rsidRPr="004F5D11" w:rsidRDefault="00803060" w:rsidP="005A669C">
    <w:pPr>
      <w:pStyle w:val="Header"/>
      <w:tabs>
        <w:tab w:val="clear" w:pos="4153"/>
        <w:tab w:val="clear" w:pos="8306"/>
        <w:tab w:val="left" w:pos="9072"/>
      </w:tabs>
      <w:jc w:val="both"/>
      <w:rPr>
        <w:rStyle w:val="PageNumber"/>
        <w:rFonts w:ascii="Times New Roman" w:hAnsi="Times New Roman"/>
        <w:sz w:val="20"/>
        <w:szCs w:val="20"/>
      </w:rPr>
    </w:pPr>
    <w:r>
      <w:rPr>
        <w:rFonts w:ascii="Times New Roman" w:hAnsi="Times New Roman"/>
        <w:sz w:val="20"/>
        <w:szCs w:val="20"/>
      </w:rPr>
      <w:t>AIMsl_DICgroz_23</w:t>
    </w:r>
    <w:r w:rsidR="006B555E" w:rsidRPr="006B555E">
      <w:rPr>
        <w:rFonts w:ascii="Times New Roman" w:hAnsi="Times New Roman"/>
        <w:sz w:val="20"/>
        <w:szCs w:val="20"/>
      </w:rPr>
      <w:t>0317</w:t>
    </w:r>
    <w:r w:rsidR="001E5218">
      <w:rPr>
        <w:rFonts w:ascii="Times New Roman" w:hAnsi="Times New Roman"/>
        <w:sz w:val="20"/>
        <w:szCs w:val="20"/>
      </w:rPr>
      <w:t xml:space="preserve">. </w:t>
    </w:r>
    <w:r w:rsidR="001E5218" w:rsidRPr="001E5218">
      <w:rPr>
        <w:rFonts w:ascii="Times New Roman" w:hAnsi="Times New Roman"/>
        <w:sz w:val="20"/>
        <w:szCs w:val="20"/>
      </w:rPr>
      <w:t>Ministru kabineta noteikumu projekts „Par Grozījumu “Tehniskajam risinājumam attiecībā uz dalībnieku militāro transporta gaisa kuģu diplomātiskajām atļaujām attiecīgajās nacionālajās gaisa telpās un teritorijās”.</w:t>
    </w:r>
    <w:r w:rsidR="005A669C" w:rsidRPr="004F5D11">
      <w:rPr>
        <w:rFonts w:ascii="Times New Roman" w:hAnsi="Times New Roman"/>
        <w:sz w:val="20"/>
        <w:szCs w:val="20"/>
      </w:rPr>
      <w:tab/>
    </w:r>
  </w:p>
  <w:p w:rsidR="005A669C" w:rsidRPr="004F5D11" w:rsidRDefault="005A669C" w:rsidP="005A669C">
    <w:pPr>
      <w:pStyle w:val="Header"/>
      <w:tabs>
        <w:tab w:val="clear" w:pos="4153"/>
        <w:tab w:val="clear" w:pos="8306"/>
        <w:tab w:val="righ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5A669C" w:rsidRPr="004F5D11" w:rsidRDefault="005A669C" w:rsidP="005A669C">
    <w:pPr>
      <w:pStyle w:val="Header"/>
      <w:tabs>
        <w:tab w:val="clear" w:pos="4153"/>
        <w:tab w:val="clear" w:pos="8306"/>
        <w:tab w:val="right" w:pos="9072"/>
      </w:tabs>
      <w:jc w:val="both"/>
      <w:rPr>
        <w:rStyle w:val="PageNumber"/>
        <w:rFonts w:ascii="Times New Roman" w:hAnsi="Times New Roman"/>
        <w:sz w:val="20"/>
        <w:szCs w:val="20"/>
      </w:rPr>
    </w:pPr>
  </w:p>
  <w:p w:rsidR="005A669C" w:rsidRPr="004F5D11" w:rsidRDefault="005A669C" w:rsidP="005A669C">
    <w:pPr>
      <w:pStyle w:val="Footer"/>
      <w:tabs>
        <w:tab w:val="clear" w:pos="4153"/>
        <w:tab w:val="clear" w:pos="8306"/>
        <w:tab w:val="right" w:pos="9072"/>
      </w:tabs>
      <w:jc w:val="both"/>
      <w:rPr>
        <w:rFonts w:ascii="Times New Roman" w:hAnsi="Times New Roman"/>
        <w:sz w:val="20"/>
        <w:szCs w:val="20"/>
      </w:rPr>
    </w:pPr>
    <w:r w:rsidRPr="004F5D11">
      <w:rPr>
        <w:rFonts w:ascii="Times New Roman" w:hAnsi="Times New Roman"/>
        <w:noProof/>
        <w:sz w:val="20"/>
        <w:szCs w:val="20"/>
      </w:rPr>
      <w:t xml:space="preserve">Tulkojums </w:t>
    </w:r>
    <w:r w:rsidRPr="004F5D11">
      <w:rPr>
        <w:rFonts w:ascii="Times New Roman" w:hAnsi="Times New Roman"/>
        <w:noProof/>
        <w:sz w:val="20"/>
        <w:szCs w:val="20"/>
      </w:rPr>
      <w:fldChar w:fldCharType="begin"/>
    </w:r>
    <w:r w:rsidRPr="004F5D11">
      <w:rPr>
        <w:rFonts w:ascii="Times New Roman" w:hAnsi="Times New Roman"/>
        <w:noProof/>
        <w:sz w:val="20"/>
        <w:szCs w:val="20"/>
      </w:rPr>
      <w:instrText>symbol 211 \f "Symbol" \s 9</w:instrText>
    </w:r>
    <w:r w:rsidRPr="004F5D11">
      <w:rPr>
        <w:rFonts w:ascii="Times New Roman" w:hAnsi="Times New Roman"/>
        <w:noProof/>
        <w:sz w:val="20"/>
        <w:szCs w:val="20"/>
      </w:rPr>
      <w:fldChar w:fldCharType="separate"/>
    </w:r>
    <w:r w:rsidRPr="004F5D11">
      <w:rPr>
        <w:rFonts w:ascii="Times New Roman" w:hAnsi="Times New Roman"/>
        <w:noProof/>
        <w:sz w:val="20"/>
        <w:szCs w:val="20"/>
      </w:rPr>
      <w:t>Ó</w:t>
    </w:r>
    <w:r w:rsidRPr="004F5D11">
      <w:rPr>
        <w:rFonts w:ascii="Times New Roman" w:hAnsi="Times New Roman"/>
        <w:noProof/>
        <w:sz w:val="20"/>
        <w:szCs w:val="20"/>
      </w:rPr>
      <w:fldChar w:fldCharType="end"/>
    </w:r>
    <w:r>
      <w:rPr>
        <w:rFonts w:ascii="Times New Roman" w:hAnsi="Times New Roman"/>
        <w:noProof/>
        <w:sz w:val="20"/>
        <w:szCs w:val="20"/>
      </w:rPr>
      <w:t xml:space="preserve"> Valsts valodas centrs, 2017</w:t>
    </w:r>
    <w:r w:rsidRPr="004F5D11">
      <w:rPr>
        <w:rFonts w:ascii="Times New Roman" w:hAnsi="Times New Roman"/>
        <w:sz w:val="20"/>
        <w:szCs w:val="20"/>
      </w:rPr>
      <w:tab/>
    </w:r>
    <w:r w:rsidRPr="004F5D11">
      <w:rPr>
        <w:rStyle w:val="PageNumber"/>
        <w:rFonts w:ascii="Times New Roman" w:hAnsi="Times New Roman"/>
        <w:sz w:val="20"/>
        <w:szCs w:val="20"/>
      </w:rPr>
      <w:fldChar w:fldCharType="begin"/>
    </w:r>
    <w:r w:rsidRPr="004F5D11">
      <w:rPr>
        <w:rStyle w:val="PageNumber"/>
        <w:rFonts w:ascii="Times New Roman" w:hAnsi="Times New Roman"/>
        <w:sz w:val="20"/>
        <w:szCs w:val="20"/>
      </w:rPr>
      <w:instrText xml:space="preserve">page </w:instrText>
    </w:r>
    <w:r w:rsidRPr="004F5D11">
      <w:rPr>
        <w:rStyle w:val="PageNumber"/>
        <w:rFonts w:ascii="Times New Roman" w:hAnsi="Times New Roman"/>
        <w:sz w:val="20"/>
        <w:szCs w:val="20"/>
      </w:rPr>
      <w:fldChar w:fldCharType="separate"/>
    </w:r>
    <w:r w:rsidR="00347F73">
      <w:rPr>
        <w:rStyle w:val="PageNumber"/>
        <w:rFonts w:ascii="Times New Roman" w:hAnsi="Times New Roman"/>
        <w:noProof/>
        <w:sz w:val="20"/>
        <w:szCs w:val="20"/>
      </w:rPr>
      <w:t>7</w:t>
    </w:r>
    <w:r w:rsidRPr="004F5D11">
      <w:rPr>
        <w:rStyle w:val="PageNumbe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9C" w:rsidRPr="004F5D11" w:rsidRDefault="00803060" w:rsidP="005A669C">
    <w:pPr>
      <w:pStyle w:val="Header"/>
      <w:tabs>
        <w:tab w:val="clear" w:pos="4153"/>
        <w:tab w:val="clear" w:pos="8306"/>
        <w:tab w:val="left" w:pos="9072"/>
      </w:tabs>
      <w:jc w:val="both"/>
      <w:rPr>
        <w:rStyle w:val="PageNumber"/>
        <w:rFonts w:ascii="Times New Roman" w:hAnsi="Times New Roman"/>
        <w:sz w:val="20"/>
        <w:szCs w:val="20"/>
      </w:rPr>
    </w:pPr>
    <w:r>
      <w:rPr>
        <w:rStyle w:val="PageNumber"/>
        <w:rFonts w:ascii="Times New Roman" w:hAnsi="Times New Roman"/>
        <w:sz w:val="20"/>
        <w:szCs w:val="20"/>
      </w:rPr>
      <w:t>AIMsl_DICgroz_23</w:t>
    </w:r>
    <w:r w:rsidR="006B555E" w:rsidRPr="006B555E">
      <w:rPr>
        <w:rStyle w:val="PageNumber"/>
        <w:rFonts w:ascii="Times New Roman" w:hAnsi="Times New Roman"/>
        <w:sz w:val="20"/>
        <w:szCs w:val="20"/>
      </w:rPr>
      <w:t>0317</w:t>
    </w:r>
    <w:r w:rsidR="001E5218">
      <w:rPr>
        <w:rStyle w:val="PageNumber"/>
        <w:rFonts w:ascii="Times New Roman" w:hAnsi="Times New Roman"/>
        <w:sz w:val="20"/>
        <w:szCs w:val="20"/>
      </w:rPr>
      <w:t xml:space="preserve">. </w:t>
    </w:r>
    <w:r w:rsidR="001E5218" w:rsidRPr="001E5218">
      <w:rPr>
        <w:rStyle w:val="PageNumber"/>
        <w:rFonts w:ascii="Times New Roman" w:hAnsi="Times New Roman"/>
        <w:sz w:val="20"/>
        <w:szCs w:val="20"/>
      </w:rPr>
      <w:t>Ministru kabineta noteikumu projekts „Par Grozījumu “Tehniskajam risinājumam attiecībā uz dalībnieku militāro transporta gaisa kuģu diplomātiskajām atļaujām attiecīgajās nacionālajās gaisa telpās un teritorijās”.</w:t>
    </w:r>
  </w:p>
  <w:p w:rsidR="005A669C" w:rsidRPr="004F5D11" w:rsidRDefault="005A669C" w:rsidP="005A669C">
    <w:pPr>
      <w:pStyle w:val="Header"/>
      <w:tabs>
        <w:tab w:val="clear" w:pos="4153"/>
        <w:tab w:val="clear" w:pos="8306"/>
        <w:tab w:val="lef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5A669C" w:rsidRPr="004F5D11" w:rsidRDefault="005A669C" w:rsidP="005A669C">
    <w:pPr>
      <w:pStyle w:val="Header"/>
      <w:tabs>
        <w:tab w:val="clear" w:pos="4153"/>
        <w:tab w:val="clear" w:pos="8306"/>
        <w:tab w:val="left" w:pos="9072"/>
      </w:tabs>
      <w:jc w:val="both"/>
      <w:rPr>
        <w:rStyle w:val="PageNumber"/>
        <w:rFonts w:ascii="Times New Roman" w:hAnsi="Times New Roman"/>
        <w:sz w:val="20"/>
        <w:szCs w:val="20"/>
      </w:rPr>
    </w:pPr>
  </w:p>
  <w:p w:rsidR="005A669C" w:rsidRPr="004F5D11" w:rsidRDefault="005A669C" w:rsidP="005A669C">
    <w:pPr>
      <w:pStyle w:val="Footer"/>
      <w:jc w:val="both"/>
      <w:rPr>
        <w:rFonts w:ascii="Times New Roman" w:hAnsi="Times New Roman"/>
        <w:sz w:val="20"/>
        <w:szCs w:val="20"/>
      </w:rPr>
    </w:pPr>
    <w:r w:rsidRPr="004F5D11">
      <w:rPr>
        <w:rFonts w:ascii="Times New Roman" w:hAnsi="Times New Roman"/>
        <w:noProof/>
        <w:sz w:val="20"/>
        <w:szCs w:val="20"/>
      </w:rPr>
      <w:t xml:space="preserve">Tulkojums </w:t>
    </w:r>
    <w:r w:rsidRPr="004F5D11">
      <w:rPr>
        <w:rFonts w:ascii="Times New Roman" w:hAnsi="Times New Roman"/>
        <w:noProof/>
        <w:sz w:val="20"/>
        <w:szCs w:val="20"/>
      </w:rPr>
      <w:fldChar w:fldCharType="begin"/>
    </w:r>
    <w:r w:rsidRPr="004F5D11">
      <w:rPr>
        <w:rFonts w:ascii="Times New Roman" w:hAnsi="Times New Roman"/>
        <w:noProof/>
        <w:sz w:val="20"/>
        <w:szCs w:val="20"/>
      </w:rPr>
      <w:instrText>symbol 211 \f "Symbol" \s 9</w:instrText>
    </w:r>
    <w:r w:rsidRPr="004F5D11">
      <w:rPr>
        <w:rFonts w:ascii="Times New Roman" w:hAnsi="Times New Roman"/>
        <w:noProof/>
        <w:sz w:val="20"/>
        <w:szCs w:val="20"/>
      </w:rPr>
      <w:fldChar w:fldCharType="separate"/>
    </w:r>
    <w:r w:rsidRPr="004F5D11">
      <w:rPr>
        <w:rFonts w:ascii="Times New Roman" w:hAnsi="Times New Roman"/>
        <w:noProof/>
        <w:sz w:val="20"/>
        <w:szCs w:val="20"/>
      </w:rPr>
      <w:t>Ó</w:t>
    </w:r>
    <w:r w:rsidRPr="004F5D11">
      <w:rPr>
        <w:rFonts w:ascii="Times New Roman" w:hAnsi="Times New Roman"/>
        <w:noProof/>
        <w:sz w:val="20"/>
        <w:szCs w:val="20"/>
      </w:rPr>
      <w:fldChar w:fldCharType="end"/>
    </w:r>
    <w:r>
      <w:rPr>
        <w:rFonts w:ascii="Times New Roman" w:hAnsi="Times New Roman"/>
        <w:noProof/>
        <w:sz w:val="20"/>
        <w:szCs w:val="20"/>
      </w:rPr>
      <w:t xml:space="preserve"> Valsts valodas centrs,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7B8" w:rsidRPr="00EE65F6" w:rsidRDefault="00B22357">
      <w:pPr>
        <w:rPr>
          <w:noProof/>
        </w:rPr>
      </w:pPr>
      <w:r w:rsidRPr="00EE65F6">
        <w:rPr>
          <w:noProof/>
        </w:rPr>
        <w:separator/>
      </w:r>
    </w:p>
  </w:footnote>
  <w:footnote w:type="continuationSeparator" w:id="0">
    <w:p w:rsidR="009D57B8" w:rsidRPr="00EE65F6" w:rsidRDefault="00B22357">
      <w:pPr>
        <w:rPr>
          <w:noProof/>
        </w:rPr>
      </w:pPr>
      <w:r w:rsidRPr="00EE65F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9C" w:rsidRPr="004F5D11" w:rsidRDefault="005A669C" w:rsidP="005A669C">
    <w:pPr>
      <w:pStyle w:val="Header"/>
      <w:tabs>
        <w:tab w:val="clear" w:pos="4153"/>
        <w:tab w:val="clear" w:pos="8306"/>
      </w:tabs>
      <w:jc w:val="both"/>
      <w:rPr>
        <w:rStyle w:val="PageNumber"/>
        <w:rFonts w:ascii="Times New Roman" w:hAnsi="Times New Roman"/>
        <w:sz w:val="20"/>
        <w:szCs w:val="20"/>
      </w:rPr>
    </w:pPr>
  </w:p>
  <w:p w:rsidR="005A669C" w:rsidRPr="004F5D11" w:rsidRDefault="005A669C" w:rsidP="005A669C">
    <w:pPr>
      <w:pStyle w:val="Header"/>
      <w:tabs>
        <w:tab w:val="clear" w:pos="4153"/>
        <w:tab w:val="clear" w:pos="8306"/>
        <w:tab w:val="righ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5A669C" w:rsidRPr="004F5D11" w:rsidRDefault="005A669C" w:rsidP="005A669C">
    <w:pPr>
      <w:pStyle w:val="Header"/>
      <w:jc w:val="both"/>
      <w:rPr>
        <w:rFonts w:ascii="Times New Roman" w:hAnsi="Times New Roman"/>
        <w:sz w:val="20"/>
        <w:szCs w:val="20"/>
      </w:rPr>
    </w:pPr>
  </w:p>
  <w:p w:rsidR="00EB77A8" w:rsidRPr="00EE65F6" w:rsidRDefault="00EB77A8">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69C" w:rsidRPr="004F5D11" w:rsidRDefault="005A669C" w:rsidP="005A669C">
    <w:pPr>
      <w:pBdr>
        <w:bottom w:val="single" w:sz="12" w:space="5" w:color="auto"/>
      </w:pBdr>
      <w:jc w:val="both"/>
      <w:rPr>
        <w:rFonts w:ascii="Times New Roman" w:hAnsi="Times New Roman"/>
        <w:spacing w:val="-2"/>
        <w:sz w:val="20"/>
        <w:szCs w:val="20"/>
      </w:rPr>
    </w:pPr>
  </w:p>
  <w:p w:rsidR="005A669C" w:rsidRPr="004F5D11" w:rsidRDefault="005A669C" w:rsidP="005A669C">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C0B"/>
    <w:multiLevelType w:val="multilevel"/>
    <w:tmpl w:val="1892106A"/>
    <w:lvl w:ilvl="0">
      <w:start w:val="4"/>
      <w:numFmt w:val="decimal"/>
      <w:lvlText w:val="%1"/>
      <w:lvlJc w:val="left"/>
      <w:pPr>
        <w:ind w:left="679" w:hanging="366"/>
        <w:jc w:val="left"/>
      </w:pPr>
      <w:rPr>
        <w:rFonts w:hint="default"/>
      </w:rPr>
    </w:lvl>
    <w:lvl w:ilvl="1">
      <w:start w:val="1"/>
      <w:numFmt w:val="decimal"/>
      <w:lvlText w:val="%1.%2"/>
      <w:lvlJc w:val="left"/>
      <w:pPr>
        <w:ind w:left="679" w:hanging="366"/>
        <w:jc w:val="left"/>
      </w:pPr>
      <w:rPr>
        <w:rFonts w:ascii="Times New Roman" w:eastAsia="Times New Roman" w:hAnsi="Times New Roman" w:hint="default"/>
        <w:sz w:val="24"/>
        <w:szCs w:val="24"/>
      </w:rPr>
    </w:lvl>
    <w:lvl w:ilvl="2">
      <w:start w:val="1"/>
      <w:numFmt w:val="bullet"/>
      <w:lvlText w:val="•"/>
      <w:lvlJc w:val="left"/>
      <w:pPr>
        <w:ind w:left="2517" w:hanging="366"/>
      </w:pPr>
      <w:rPr>
        <w:rFonts w:hint="default"/>
      </w:rPr>
    </w:lvl>
    <w:lvl w:ilvl="3">
      <w:start w:val="1"/>
      <w:numFmt w:val="bullet"/>
      <w:lvlText w:val="•"/>
      <w:lvlJc w:val="left"/>
      <w:pPr>
        <w:ind w:left="3435" w:hanging="366"/>
      </w:pPr>
      <w:rPr>
        <w:rFonts w:hint="default"/>
      </w:rPr>
    </w:lvl>
    <w:lvl w:ilvl="4">
      <w:start w:val="1"/>
      <w:numFmt w:val="bullet"/>
      <w:lvlText w:val="•"/>
      <w:lvlJc w:val="left"/>
      <w:pPr>
        <w:ind w:left="4354" w:hanging="366"/>
      </w:pPr>
      <w:rPr>
        <w:rFonts w:hint="default"/>
      </w:rPr>
    </w:lvl>
    <w:lvl w:ilvl="5">
      <w:start w:val="1"/>
      <w:numFmt w:val="bullet"/>
      <w:lvlText w:val="•"/>
      <w:lvlJc w:val="left"/>
      <w:pPr>
        <w:ind w:left="5273" w:hanging="366"/>
      </w:pPr>
      <w:rPr>
        <w:rFonts w:hint="default"/>
      </w:rPr>
    </w:lvl>
    <w:lvl w:ilvl="6">
      <w:start w:val="1"/>
      <w:numFmt w:val="bullet"/>
      <w:lvlText w:val="•"/>
      <w:lvlJc w:val="left"/>
      <w:pPr>
        <w:ind w:left="6191" w:hanging="366"/>
      </w:pPr>
      <w:rPr>
        <w:rFonts w:hint="default"/>
      </w:rPr>
    </w:lvl>
    <w:lvl w:ilvl="7">
      <w:start w:val="1"/>
      <w:numFmt w:val="bullet"/>
      <w:lvlText w:val="•"/>
      <w:lvlJc w:val="left"/>
      <w:pPr>
        <w:ind w:left="7110" w:hanging="366"/>
      </w:pPr>
      <w:rPr>
        <w:rFonts w:hint="default"/>
      </w:rPr>
    </w:lvl>
    <w:lvl w:ilvl="8">
      <w:start w:val="1"/>
      <w:numFmt w:val="bullet"/>
      <w:lvlText w:val="•"/>
      <w:lvlJc w:val="left"/>
      <w:pPr>
        <w:ind w:left="8029" w:hanging="366"/>
      </w:pPr>
      <w:rPr>
        <w:rFonts w:hint="default"/>
      </w:rPr>
    </w:lvl>
  </w:abstractNum>
  <w:abstractNum w:abstractNumId="1" w15:restartNumberingAfterBreak="0">
    <w:nsid w:val="17A7098D"/>
    <w:multiLevelType w:val="multilevel"/>
    <w:tmpl w:val="07D60A0A"/>
    <w:lvl w:ilvl="0">
      <w:start w:val="1"/>
      <w:numFmt w:val="decimal"/>
      <w:lvlText w:val="%1"/>
      <w:lvlJc w:val="left"/>
      <w:pPr>
        <w:ind w:left="473" w:hanging="361"/>
        <w:jc w:val="left"/>
      </w:pPr>
      <w:rPr>
        <w:rFonts w:hint="default"/>
      </w:rPr>
    </w:lvl>
    <w:lvl w:ilvl="1">
      <w:start w:val="1"/>
      <w:numFmt w:val="decimal"/>
      <w:lvlText w:val="%1.%2"/>
      <w:lvlJc w:val="left"/>
      <w:pPr>
        <w:ind w:left="4361" w:hanging="361"/>
        <w:jc w:val="left"/>
      </w:pPr>
      <w:rPr>
        <w:rFonts w:ascii="Times New Roman" w:eastAsia="Times New Roman" w:hAnsi="Times New Roman" w:hint="default"/>
        <w:sz w:val="24"/>
        <w:szCs w:val="24"/>
      </w:rPr>
    </w:lvl>
    <w:lvl w:ilvl="2">
      <w:start w:val="1"/>
      <w:numFmt w:val="bullet"/>
      <w:lvlText w:val="•"/>
      <w:lvlJc w:val="left"/>
      <w:pPr>
        <w:ind w:left="4973" w:hanging="361"/>
      </w:pPr>
      <w:rPr>
        <w:rFonts w:hint="default"/>
      </w:rPr>
    </w:lvl>
    <w:lvl w:ilvl="3">
      <w:start w:val="1"/>
      <w:numFmt w:val="bullet"/>
      <w:lvlText w:val="•"/>
      <w:lvlJc w:val="left"/>
      <w:pPr>
        <w:ind w:left="5585" w:hanging="361"/>
      </w:pPr>
      <w:rPr>
        <w:rFonts w:hint="default"/>
      </w:rPr>
    </w:lvl>
    <w:lvl w:ilvl="4">
      <w:start w:val="1"/>
      <w:numFmt w:val="bullet"/>
      <w:lvlText w:val="•"/>
      <w:lvlJc w:val="left"/>
      <w:pPr>
        <w:ind w:left="6196" w:hanging="361"/>
      </w:pPr>
      <w:rPr>
        <w:rFonts w:hint="default"/>
      </w:rPr>
    </w:lvl>
    <w:lvl w:ilvl="5">
      <w:start w:val="1"/>
      <w:numFmt w:val="bullet"/>
      <w:lvlText w:val="•"/>
      <w:lvlJc w:val="left"/>
      <w:pPr>
        <w:ind w:left="6808" w:hanging="361"/>
      </w:pPr>
      <w:rPr>
        <w:rFonts w:hint="default"/>
      </w:rPr>
    </w:lvl>
    <w:lvl w:ilvl="6">
      <w:start w:val="1"/>
      <w:numFmt w:val="bullet"/>
      <w:lvlText w:val="•"/>
      <w:lvlJc w:val="left"/>
      <w:pPr>
        <w:ind w:left="7419" w:hanging="361"/>
      </w:pPr>
      <w:rPr>
        <w:rFonts w:hint="default"/>
      </w:rPr>
    </w:lvl>
    <w:lvl w:ilvl="7">
      <w:start w:val="1"/>
      <w:numFmt w:val="bullet"/>
      <w:lvlText w:val="•"/>
      <w:lvlJc w:val="left"/>
      <w:pPr>
        <w:ind w:left="8031" w:hanging="361"/>
      </w:pPr>
      <w:rPr>
        <w:rFonts w:hint="default"/>
      </w:rPr>
    </w:lvl>
    <w:lvl w:ilvl="8">
      <w:start w:val="1"/>
      <w:numFmt w:val="bullet"/>
      <w:lvlText w:val="•"/>
      <w:lvlJc w:val="left"/>
      <w:pPr>
        <w:ind w:left="8643" w:hanging="361"/>
      </w:pPr>
      <w:rPr>
        <w:rFonts w:hint="default"/>
      </w:rPr>
    </w:lvl>
  </w:abstractNum>
  <w:abstractNum w:abstractNumId="2" w15:restartNumberingAfterBreak="0">
    <w:nsid w:val="37032210"/>
    <w:multiLevelType w:val="multilevel"/>
    <w:tmpl w:val="8CE26410"/>
    <w:lvl w:ilvl="0">
      <w:start w:val="3"/>
      <w:numFmt w:val="decimal"/>
      <w:lvlText w:val="%1"/>
      <w:lvlJc w:val="left"/>
      <w:pPr>
        <w:ind w:left="679" w:hanging="371"/>
        <w:jc w:val="left"/>
      </w:pPr>
      <w:rPr>
        <w:rFonts w:hint="default"/>
      </w:rPr>
    </w:lvl>
    <w:lvl w:ilvl="1">
      <w:start w:val="1"/>
      <w:numFmt w:val="decimal"/>
      <w:lvlText w:val="%1.%2"/>
      <w:lvlJc w:val="left"/>
      <w:pPr>
        <w:ind w:left="679" w:hanging="371"/>
        <w:jc w:val="left"/>
      </w:pPr>
      <w:rPr>
        <w:rFonts w:ascii="Times New Roman" w:eastAsia="Times New Roman" w:hAnsi="Times New Roman" w:hint="default"/>
        <w:sz w:val="24"/>
        <w:szCs w:val="24"/>
      </w:rPr>
    </w:lvl>
    <w:lvl w:ilvl="2">
      <w:start w:val="1"/>
      <w:numFmt w:val="bullet"/>
      <w:lvlText w:val="•"/>
      <w:lvlJc w:val="left"/>
      <w:pPr>
        <w:ind w:left="2517" w:hanging="371"/>
      </w:pPr>
      <w:rPr>
        <w:rFonts w:hint="default"/>
      </w:rPr>
    </w:lvl>
    <w:lvl w:ilvl="3">
      <w:start w:val="1"/>
      <w:numFmt w:val="bullet"/>
      <w:lvlText w:val="•"/>
      <w:lvlJc w:val="left"/>
      <w:pPr>
        <w:ind w:left="3435" w:hanging="371"/>
      </w:pPr>
      <w:rPr>
        <w:rFonts w:hint="default"/>
      </w:rPr>
    </w:lvl>
    <w:lvl w:ilvl="4">
      <w:start w:val="1"/>
      <w:numFmt w:val="bullet"/>
      <w:lvlText w:val="•"/>
      <w:lvlJc w:val="left"/>
      <w:pPr>
        <w:ind w:left="4354" w:hanging="371"/>
      </w:pPr>
      <w:rPr>
        <w:rFonts w:hint="default"/>
      </w:rPr>
    </w:lvl>
    <w:lvl w:ilvl="5">
      <w:start w:val="1"/>
      <w:numFmt w:val="bullet"/>
      <w:lvlText w:val="•"/>
      <w:lvlJc w:val="left"/>
      <w:pPr>
        <w:ind w:left="5273" w:hanging="371"/>
      </w:pPr>
      <w:rPr>
        <w:rFonts w:hint="default"/>
      </w:rPr>
    </w:lvl>
    <w:lvl w:ilvl="6">
      <w:start w:val="1"/>
      <w:numFmt w:val="bullet"/>
      <w:lvlText w:val="•"/>
      <w:lvlJc w:val="left"/>
      <w:pPr>
        <w:ind w:left="6191" w:hanging="371"/>
      </w:pPr>
      <w:rPr>
        <w:rFonts w:hint="default"/>
      </w:rPr>
    </w:lvl>
    <w:lvl w:ilvl="7">
      <w:start w:val="1"/>
      <w:numFmt w:val="bullet"/>
      <w:lvlText w:val="•"/>
      <w:lvlJc w:val="left"/>
      <w:pPr>
        <w:ind w:left="7110" w:hanging="371"/>
      </w:pPr>
      <w:rPr>
        <w:rFonts w:hint="default"/>
      </w:rPr>
    </w:lvl>
    <w:lvl w:ilvl="8">
      <w:start w:val="1"/>
      <w:numFmt w:val="bullet"/>
      <w:lvlText w:val="•"/>
      <w:lvlJc w:val="left"/>
      <w:pPr>
        <w:ind w:left="8029" w:hanging="371"/>
      </w:pPr>
      <w:rPr>
        <w:rFonts w:hint="default"/>
      </w:rPr>
    </w:lvl>
  </w:abstractNum>
  <w:abstractNum w:abstractNumId="3" w15:restartNumberingAfterBreak="0">
    <w:nsid w:val="3B1E1D07"/>
    <w:multiLevelType w:val="multilevel"/>
    <w:tmpl w:val="37AC1D08"/>
    <w:lvl w:ilvl="0">
      <w:start w:val="2"/>
      <w:numFmt w:val="decimal"/>
      <w:lvlText w:val="%1"/>
      <w:lvlJc w:val="left"/>
      <w:pPr>
        <w:ind w:left="679" w:hanging="395"/>
        <w:jc w:val="left"/>
      </w:pPr>
      <w:rPr>
        <w:rFonts w:hint="default"/>
      </w:rPr>
    </w:lvl>
    <w:lvl w:ilvl="1">
      <w:start w:val="1"/>
      <w:numFmt w:val="decimal"/>
      <w:lvlText w:val="%1.%2"/>
      <w:lvlJc w:val="left"/>
      <w:pPr>
        <w:ind w:left="679" w:hanging="395"/>
        <w:jc w:val="left"/>
      </w:pPr>
      <w:rPr>
        <w:rFonts w:ascii="Times New Roman" w:eastAsia="Times New Roman" w:hAnsi="Times New Roman" w:hint="default"/>
        <w:sz w:val="24"/>
        <w:szCs w:val="24"/>
      </w:rPr>
    </w:lvl>
    <w:lvl w:ilvl="2">
      <w:start w:val="1"/>
      <w:numFmt w:val="bullet"/>
      <w:lvlText w:val="•"/>
      <w:lvlJc w:val="left"/>
      <w:pPr>
        <w:ind w:left="2517" w:hanging="395"/>
      </w:pPr>
      <w:rPr>
        <w:rFonts w:hint="default"/>
      </w:rPr>
    </w:lvl>
    <w:lvl w:ilvl="3">
      <w:start w:val="1"/>
      <w:numFmt w:val="bullet"/>
      <w:lvlText w:val="•"/>
      <w:lvlJc w:val="left"/>
      <w:pPr>
        <w:ind w:left="3435" w:hanging="395"/>
      </w:pPr>
      <w:rPr>
        <w:rFonts w:hint="default"/>
      </w:rPr>
    </w:lvl>
    <w:lvl w:ilvl="4">
      <w:start w:val="1"/>
      <w:numFmt w:val="bullet"/>
      <w:lvlText w:val="•"/>
      <w:lvlJc w:val="left"/>
      <w:pPr>
        <w:ind w:left="4354" w:hanging="395"/>
      </w:pPr>
      <w:rPr>
        <w:rFonts w:hint="default"/>
      </w:rPr>
    </w:lvl>
    <w:lvl w:ilvl="5">
      <w:start w:val="1"/>
      <w:numFmt w:val="bullet"/>
      <w:lvlText w:val="•"/>
      <w:lvlJc w:val="left"/>
      <w:pPr>
        <w:ind w:left="5273" w:hanging="395"/>
      </w:pPr>
      <w:rPr>
        <w:rFonts w:hint="default"/>
      </w:rPr>
    </w:lvl>
    <w:lvl w:ilvl="6">
      <w:start w:val="1"/>
      <w:numFmt w:val="bullet"/>
      <w:lvlText w:val="•"/>
      <w:lvlJc w:val="left"/>
      <w:pPr>
        <w:ind w:left="6191" w:hanging="395"/>
      </w:pPr>
      <w:rPr>
        <w:rFonts w:hint="default"/>
      </w:rPr>
    </w:lvl>
    <w:lvl w:ilvl="7">
      <w:start w:val="1"/>
      <w:numFmt w:val="bullet"/>
      <w:lvlText w:val="•"/>
      <w:lvlJc w:val="left"/>
      <w:pPr>
        <w:ind w:left="7110" w:hanging="395"/>
      </w:pPr>
      <w:rPr>
        <w:rFonts w:hint="default"/>
      </w:rPr>
    </w:lvl>
    <w:lvl w:ilvl="8">
      <w:start w:val="1"/>
      <w:numFmt w:val="bullet"/>
      <w:lvlText w:val="•"/>
      <w:lvlJc w:val="left"/>
      <w:pPr>
        <w:ind w:left="8029" w:hanging="395"/>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A8"/>
    <w:rsid w:val="00086D94"/>
    <w:rsid w:val="001E5218"/>
    <w:rsid w:val="00347F73"/>
    <w:rsid w:val="003719CA"/>
    <w:rsid w:val="003916CC"/>
    <w:rsid w:val="00441F0D"/>
    <w:rsid w:val="005A669C"/>
    <w:rsid w:val="006B555E"/>
    <w:rsid w:val="00730016"/>
    <w:rsid w:val="00784988"/>
    <w:rsid w:val="00803060"/>
    <w:rsid w:val="00966F68"/>
    <w:rsid w:val="0097240B"/>
    <w:rsid w:val="009D57B8"/>
    <w:rsid w:val="00B22357"/>
    <w:rsid w:val="00DB4861"/>
    <w:rsid w:val="00EB77A8"/>
    <w:rsid w:val="00EE65F6"/>
    <w:rsid w:val="00FB77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62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04"/>
      <w:ind w:left="482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E65F6"/>
    <w:pPr>
      <w:tabs>
        <w:tab w:val="center" w:pos="4153"/>
        <w:tab w:val="right" w:pos="8306"/>
      </w:tabs>
    </w:pPr>
  </w:style>
  <w:style w:type="character" w:customStyle="1" w:styleId="HeaderChar">
    <w:name w:val="Header Char"/>
    <w:basedOn w:val="DefaultParagraphFont"/>
    <w:link w:val="Header"/>
    <w:uiPriority w:val="99"/>
    <w:rsid w:val="00EE65F6"/>
  </w:style>
  <w:style w:type="paragraph" w:styleId="Footer">
    <w:name w:val="footer"/>
    <w:basedOn w:val="Normal"/>
    <w:link w:val="FooterChar"/>
    <w:unhideWhenUsed/>
    <w:rsid w:val="00EE65F6"/>
    <w:pPr>
      <w:tabs>
        <w:tab w:val="center" w:pos="4153"/>
        <w:tab w:val="right" w:pos="8306"/>
      </w:tabs>
    </w:pPr>
  </w:style>
  <w:style w:type="character" w:customStyle="1" w:styleId="FooterChar">
    <w:name w:val="Footer Char"/>
    <w:basedOn w:val="DefaultParagraphFont"/>
    <w:link w:val="Footer"/>
    <w:uiPriority w:val="99"/>
    <w:rsid w:val="00EE65F6"/>
  </w:style>
  <w:style w:type="character" w:styleId="PageNumber">
    <w:name w:val="page number"/>
    <w:basedOn w:val="DefaultParagraphFont"/>
    <w:semiHidden/>
    <w:rsid w:val="005A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4877</Words>
  <Characters>2781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2017-03-08T13:28:00Z</dcterms:created>
  <dcterms:modified xsi:type="dcterms:W3CDTF">2017-03-28T10:27:00Z</dcterms:modified>
</cp:coreProperties>
</file>