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F2" w:rsidRPr="00D7238C" w:rsidRDefault="00D65107" w:rsidP="00D65107">
      <w:pPr>
        <w:shd w:val="clear" w:color="auto" w:fill="FFFFFF"/>
        <w:jc w:val="center"/>
        <w:rPr>
          <w:rFonts w:cs="Times New Roman"/>
          <w:b/>
          <w:bCs/>
          <w:sz w:val="24"/>
          <w:szCs w:val="24"/>
          <w:lang w:val="lv-LV" w:eastAsia="lv-LV" w:bidi="ar-SA"/>
        </w:rPr>
      </w:pPr>
      <w:bookmarkStart w:id="0" w:name="_GoBack"/>
      <w:bookmarkEnd w:id="0"/>
      <w:r w:rsidRPr="00D7238C">
        <w:rPr>
          <w:rFonts w:cs="Times New Roman"/>
          <w:b/>
          <w:bCs/>
          <w:sz w:val="24"/>
          <w:szCs w:val="24"/>
          <w:lang w:val="lv-LV" w:eastAsia="lv-LV" w:bidi="ar-SA"/>
        </w:rPr>
        <w:t xml:space="preserve">Ministru kabineta </w:t>
      </w:r>
      <w:r w:rsidR="00D7238C">
        <w:rPr>
          <w:rFonts w:cs="Times New Roman"/>
          <w:b/>
          <w:bCs/>
          <w:sz w:val="24"/>
          <w:szCs w:val="24"/>
          <w:lang w:val="lv-LV" w:eastAsia="lv-LV" w:bidi="ar-SA"/>
        </w:rPr>
        <w:t>rīkojuma</w:t>
      </w:r>
      <w:r w:rsidRPr="00D7238C">
        <w:rPr>
          <w:rFonts w:cs="Times New Roman"/>
          <w:b/>
          <w:bCs/>
          <w:sz w:val="24"/>
          <w:szCs w:val="24"/>
          <w:lang w:val="lv-LV" w:eastAsia="lv-LV" w:bidi="ar-SA"/>
        </w:rPr>
        <w:t xml:space="preserve"> projekta “</w:t>
      </w:r>
      <w:r w:rsidR="00D7238C">
        <w:rPr>
          <w:rFonts w:cs="Times New Roman"/>
          <w:b/>
          <w:bCs/>
          <w:sz w:val="24"/>
          <w:szCs w:val="24"/>
          <w:lang w:val="lv-LV" w:eastAsia="lv-LV" w:bidi="ar-SA"/>
        </w:rPr>
        <w:t xml:space="preserve">Par atļauju Aizsardzības ministrijai uzņemties ilgtermiņa saistības un nodrošināt </w:t>
      </w:r>
      <w:r w:rsidR="00E631DB" w:rsidRPr="00E631DB">
        <w:rPr>
          <w:rFonts w:cs="Times New Roman"/>
          <w:b/>
          <w:bCs/>
          <w:sz w:val="24"/>
          <w:szCs w:val="24"/>
          <w:lang w:val="lv-LV" w:eastAsia="lv-LV" w:bidi="ar-SA"/>
        </w:rPr>
        <w:t>NATO Kaujas grupas</w:t>
      </w:r>
      <w:r w:rsidR="00D7238C">
        <w:rPr>
          <w:rFonts w:cs="Times New Roman"/>
          <w:b/>
          <w:bCs/>
          <w:sz w:val="24"/>
          <w:szCs w:val="24"/>
          <w:lang w:val="lv-LV" w:eastAsia="lv-LV" w:bidi="ar-SA"/>
        </w:rPr>
        <w:t xml:space="preserve"> klātbūtni Latvijas Republikā valsts drošības un aizsardzības spēju stiprināšanai miera laikā</w:t>
      </w:r>
      <w:r w:rsidRPr="00D7238C">
        <w:rPr>
          <w:rFonts w:cs="Times New Roman"/>
          <w:b/>
          <w:bCs/>
          <w:sz w:val="24"/>
          <w:szCs w:val="24"/>
          <w:lang w:val="lv-LV" w:eastAsia="lv-LV" w:bidi="ar-SA"/>
        </w:rPr>
        <w:t>”</w:t>
      </w:r>
      <w:r w:rsidR="00E9032B" w:rsidRPr="00D7238C">
        <w:rPr>
          <w:rFonts w:cs="Times New Roman"/>
          <w:b/>
          <w:bCs/>
          <w:sz w:val="24"/>
          <w:szCs w:val="24"/>
          <w:lang w:val="lv-LV" w:eastAsia="lv-LV" w:bidi="ar-SA"/>
        </w:rPr>
        <w:t xml:space="preserve"> </w:t>
      </w:r>
      <w:r w:rsidR="00DA55F2" w:rsidRPr="00D7238C">
        <w:rPr>
          <w:rFonts w:cs="Times New Roman"/>
          <w:b/>
          <w:bCs/>
          <w:sz w:val="24"/>
          <w:szCs w:val="24"/>
          <w:lang w:val="lv-LV" w:eastAsia="lv-LV" w:bidi="ar-SA"/>
        </w:rPr>
        <w:t>sākotnējās ietekmes novērtējuma ziņojums (anotācija)</w:t>
      </w:r>
    </w:p>
    <w:p w:rsidR="00DA55F2" w:rsidRPr="00D7238C" w:rsidRDefault="00DA55F2" w:rsidP="00DA55F2">
      <w:pPr>
        <w:shd w:val="clear" w:color="auto" w:fill="FFFFFF"/>
        <w:spacing w:before="45" w:line="240" w:lineRule="atLeast"/>
        <w:ind w:firstLine="300"/>
        <w:jc w:val="center"/>
        <w:rPr>
          <w:rFonts w:cs="Times New Roman"/>
          <w:i/>
          <w:iCs/>
          <w:sz w:val="24"/>
          <w:szCs w:val="24"/>
          <w:lang w:val="lv-LV" w:eastAsia="lv-LV" w:bidi="ar-SA"/>
        </w:rPr>
      </w:pP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0"/>
        <w:gridCol w:w="2590"/>
        <w:gridCol w:w="5347"/>
      </w:tblGrid>
      <w:tr w:rsidR="00065F37" w:rsidRPr="00D7238C" w:rsidTr="0004042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D7238C" w:rsidRDefault="00DA55F2" w:rsidP="00DA55F2">
            <w:pPr>
              <w:spacing w:before="100" w:beforeAutospacing="1" w:after="100" w:afterAutospacing="1" w:line="315" w:lineRule="atLeast"/>
              <w:jc w:val="center"/>
              <w:rPr>
                <w:rFonts w:cs="Times New Roman"/>
                <w:b/>
                <w:bCs/>
                <w:sz w:val="24"/>
                <w:szCs w:val="24"/>
                <w:lang w:val="lv-LV" w:eastAsia="lv-LV" w:bidi="ar-SA"/>
              </w:rPr>
            </w:pPr>
            <w:r w:rsidRPr="00D7238C">
              <w:rPr>
                <w:rFonts w:cs="Times New Roman"/>
                <w:b/>
                <w:bCs/>
                <w:sz w:val="24"/>
                <w:szCs w:val="24"/>
                <w:lang w:val="lv-LV" w:eastAsia="lv-LV" w:bidi="ar-SA"/>
              </w:rPr>
              <w:t>I. Tiesību akta projekta izstrādes nepieciešamība</w:t>
            </w:r>
          </w:p>
        </w:tc>
      </w:tr>
      <w:tr w:rsidR="00065F37" w:rsidRPr="008814B7" w:rsidTr="0077792C">
        <w:trPr>
          <w:trHeight w:val="324"/>
        </w:trPr>
        <w:tc>
          <w:tcPr>
            <w:tcW w:w="217" w:type="pct"/>
            <w:tcBorders>
              <w:top w:val="outset" w:sz="6" w:space="0" w:color="414142"/>
              <w:left w:val="outset" w:sz="6" w:space="0" w:color="414142"/>
              <w:bottom w:val="outset" w:sz="6" w:space="0" w:color="414142"/>
              <w:right w:val="outset" w:sz="6" w:space="0" w:color="414142"/>
            </w:tcBorders>
            <w:hideMark/>
          </w:tcPr>
          <w:p w:rsidR="00DA55F2" w:rsidRPr="00D7238C" w:rsidRDefault="00DA55F2" w:rsidP="00DA55F2">
            <w:pPr>
              <w:spacing w:before="100" w:beforeAutospacing="1" w:after="100" w:afterAutospacing="1" w:line="315" w:lineRule="atLeast"/>
              <w:jc w:val="center"/>
              <w:rPr>
                <w:rFonts w:cs="Times New Roman"/>
                <w:sz w:val="24"/>
                <w:szCs w:val="24"/>
                <w:lang w:val="lv-LV" w:eastAsia="lv-LV" w:bidi="ar-SA"/>
              </w:rPr>
            </w:pPr>
            <w:r w:rsidRPr="00D7238C">
              <w:rPr>
                <w:rFonts w:cs="Times New Roman"/>
                <w:sz w:val="24"/>
                <w:szCs w:val="24"/>
                <w:lang w:val="lv-LV" w:eastAsia="lv-LV" w:bidi="ar-SA"/>
              </w:rPr>
              <w:t>1.</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D7238C" w:rsidRDefault="00DA55F2" w:rsidP="00DA55F2">
            <w:pPr>
              <w:rPr>
                <w:rFonts w:cs="Times New Roman"/>
                <w:sz w:val="24"/>
                <w:szCs w:val="24"/>
                <w:lang w:val="lv-LV" w:eastAsia="lv-LV" w:bidi="ar-SA"/>
              </w:rPr>
            </w:pPr>
            <w:r w:rsidRPr="00D7238C">
              <w:rPr>
                <w:rFonts w:cs="Times New Roman"/>
                <w:sz w:val="24"/>
                <w:szCs w:val="24"/>
                <w:lang w:val="lv-LV" w:eastAsia="lv-LV" w:bidi="ar-SA"/>
              </w:rPr>
              <w:t>Pamatojums</w:t>
            </w:r>
          </w:p>
        </w:tc>
        <w:tc>
          <w:tcPr>
            <w:tcW w:w="3222" w:type="pct"/>
            <w:tcBorders>
              <w:top w:val="outset" w:sz="6" w:space="0" w:color="414142"/>
              <w:left w:val="outset" w:sz="6" w:space="0" w:color="414142"/>
              <w:bottom w:val="outset" w:sz="6" w:space="0" w:color="414142"/>
              <w:right w:val="outset" w:sz="6" w:space="0" w:color="414142"/>
            </w:tcBorders>
            <w:hideMark/>
          </w:tcPr>
          <w:p w:rsidR="0085368E" w:rsidRPr="00D7238C" w:rsidRDefault="0085368E" w:rsidP="00325B2D">
            <w:pPr>
              <w:tabs>
                <w:tab w:val="left" w:pos="4460"/>
              </w:tabs>
              <w:ind w:firstLine="720"/>
              <w:jc w:val="both"/>
              <w:rPr>
                <w:rFonts w:cs="Times New Roman"/>
                <w:sz w:val="24"/>
                <w:szCs w:val="24"/>
                <w:lang w:val="lv-LV" w:eastAsia="lv-LV" w:bidi="ar-SA"/>
              </w:rPr>
            </w:pPr>
            <w:r w:rsidRPr="00D7238C">
              <w:rPr>
                <w:rFonts w:cs="Times New Roman"/>
                <w:sz w:val="24"/>
                <w:szCs w:val="24"/>
                <w:lang w:val="lv-LV"/>
              </w:rPr>
              <w:t xml:space="preserve">Ministru kabineta (turpmāk– MK) </w:t>
            </w:r>
            <w:r w:rsidR="00D7238C">
              <w:rPr>
                <w:rFonts w:cs="Times New Roman"/>
                <w:sz w:val="24"/>
                <w:szCs w:val="24"/>
                <w:lang w:val="lv-LV"/>
              </w:rPr>
              <w:t>rīkojuma</w:t>
            </w:r>
            <w:r w:rsidRPr="00D7238C">
              <w:rPr>
                <w:rFonts w:cs="Times New Roman"/>
                <w:sz w:val="24"/>
                <w:szCs w:val="24"/>
                <w:lang w:val="lv-LV"/>
              </w:rPr>
              <w:t xml:space="preserve"> projekts </w:t>
            </w:r>
            <w:r w:rsidR="00E631DB" w:rsidRPr="00E631DB">
              <w:rPr>
                <w:rFonts w:cs="Times New Roman"/>
                <w:sz w:val="24"/>
                <w:szCs w:val="24"/>
                <w:lang w:val="lv-LV"/>
              </w:rPr>
              <w:t>“Par atļauju Aizsardzības ministrijai uzņemties ilgtermiņa saistības un nodrošināt NATO Kaujas grupas klātbūtni Latvijas Republikā valsts drošības un aizsardzības spēju stiprināšanai miera laikā”</w:t>
            </w:r>
            <w:r w:rsidR="00A44B6B">
              <w:rPr>
                <w:rFonts w:cs="Times New Roman"/>
                <w:sz w:val="24"/>
                <w:szCs w:val="24"/>
                <w:lang w:val="lv-LV"/>
              </w:rPr>
              <w:t xml:space="preserve"> ir izstrādāts, pamatojoties uz Likuma par budžetu un finanšu vadību 24.panta 3.daļu un </w:t>
            </w:r>
            <w:r w:rsidR="00175840">
              <w:rPr>
                <w:rFonts w:cs="Times New Roman"/>
                <w:sz w:val="24"/>
                <w:szCs w:val="24"/>
                <w:lang w:val="lv-LV" w:eastAsia="lv-LV" w:bidi="ar-SA"/>
              </w:rPr>
              <w:t>MK</w:t>
            </w:r>
            <w:r w:rsidR="00D7238C">
              <w:rPr>
                <w:rFonts w:cs="Times New Roman"/>
                <w:sz w:val="24"/>
                <w:szCs w:val="24"/>
                <w:lang w:val="lv-LV" w:eastAsia="lv-LV" w:bidi="ar-SA"/>
              </w:rPr>
              <w:t xml:space="preserve"> 2014</w:t>
            </w:r>
            <w:r w:rsidRPr="00D7238C">
              <w:rPr>
                <w:rFonts w:cs="Times New Roman"/>
                <w:sz w:val="24"/>
                <w:szCs w:val="24"/>
                <w:lang w:val="lv-LV" w:eastAsia="lv-LV" w:bidi="ar-SA"/>
              </w:rPr>
              <w:t xml:space="preserve">.gada </w:t>
            </w:r>
            <w:r w:rsidR="00D7238C">
              <w:rPr>
                <w:rFonts w:cs="Times New Roman"/>
                <w:sz w:val="24"/>
                <w:szCs w:val="24"/>
                <w:lang w:val="lv-LV" w:eastAsia="lv-LV" w:bidi="ar-SA"/>
              </w:rPr>
              <w:t>25</w:t>
            </w:r>
            <w:r w:rsidRPr="00D7238C">
              <w:rPr>
                <w:rFonts w:cs="Times New Roman"/>
                <w:sz w:val="24"/>
                <w:szCs w:val="24"/>
                <w:lang w:val="lv-LV" w:eastAsia="lv-LV" w:bidi="ar-SA"/>
              </w:rPr>
              <w:t>.</w:t>
            </w:r>
            <w:r w:rsidR="00D7238C">
              <w:rPr>
                <w:rFonts w:cs="Times New Roman"/>
                <w:sz w:val="24"/>
                <w:szCs w:val="24"/>
                <w:lang w:val="lv-LV" w:eastAsia="lv-LV" w:bidi="ar-SA"/>
              </w:rPr>
              <w:t>aprīļa</w:t>
            </w:r>
            <w:r w:rsidRPr="00D7238C">
              <w:rPr>
                <w:rFonts w:cs="Times New Roman"/>
                <w:sz w:val="24"/>
                <w:szCs w:val="24"/>
                <w:lang w:val="lv-LV" w:eastAsia="lv-LV" w:bidi="ar-SA"/>
              </w:rPr>
              <w:t xml:space="preserve"> </w:t>
            </w:r>
            <w:r w:rsidR="00D7238C">
              <w:rPr>
                <w:rFonts w:cs="Times New Roman"/>
                <w:sz w:val="24"/>
                <w:szCs w:val="24"/>
                <w:lang w:val="lv-LV" w:eastAsia="lv-LV" w:bidi="ar-SA"/>
              </w:rPr>
              <w:t>rīkojuma</w:t>
            </w:r>
            <w:r w:rsidRPr="00D7238C">
              <w:rPr>
                <w:rFonts w:cs="Times New Roman"/>
                <w:sz w:val="24"/>
                <w:szCs w:val="24"/>
                <w:lang w:val="lv-LV" w:eastAsia="lv-LV" w:bidi="ar-SA"/>
              </w:rPr>
              <w:t xml:space="preserve"> Nr.</w:t>
            </w:r>
            <w:r w:rsidR="00D7238C">
              <w:rPr>
                <w:rFonts w:cs="Times New Roman"/>
                <w:sz w:val="24"/>
                <w:szCs w:val="24"/>
                <w:lang w:val="lv-LV" w:eastAsia="lv-LV" w:bidi="ar-SA"/>
              </w:rPr>
              <w:t>183 “Par Ziemeļatlantijas līguma organizācijas atbalstu Latvijas drošības un aizsardzības spēju stiprināšanai miera laikā”</w:t>
            </w:r>
            <w:r w:rsidRPr="00D7238C">
              <w:rPr>
                <w:rFonts w:cs="Times New Roman"/>
                <w:sz w:val="24"/>
                <w:szCs w:val="24"/>
                <w:lang w:val="lv-LV" w:eastAsia="lv-LV" w:bidi="ar-SA"/>
              </w:rPr>
              <w:t xml:space="preserve"> </w:t>
            </w:r>
            <w:r w:rsidR="00D7238C">
              <w:rPr>
                <w:rFonts w:cs="Times New Roman"/>
                <w:sz w:val="24"/>
                <w:szCs w:val="24"/>
                <w:lang w:val="lv-LV" w:eastAsia="lv-LV" w:bidi="ar-SA"/>
              </w:rPr>
              <w:t>2.</w:t>
            </w:r>
            <w:r w:rsidR="009E344D">
              <w:rPr>
                <w:rFonts w:cs="Times New Roman"/>
                <w:sz w:val="24"/>
                <w:szCs w:val="24"/>
                <w:lang w:val="lv-LV" w:eastAsia="lv-LV" w:bidi="ar-SA"/>
              </w:rPr>
              <w:t>p</w:t>
            </w:r>
            <w:r w:rsidR="00D7238C">
              <w:rPr>
                <w:rFonts w:cs="Times New Roman"/>
                <w:sz w:val="24"/>
                <w:szCs w:val="24"/>
                <w:lang w:val="lv-LV" w:eastAsia="lv-LV" w:bidi="ar-SA"/>
              </w:rPr>
              <w:t>unkt</w:t>
            </w:r>
            <w:r w:rsidR="00A44B6B">
              <w:rPr>
                <w:rFonts w:cs="Times New Roman"/>
                <w:sz w:val="24"/>
                <w:szCs w:val="24"/>
                <w:lang w:val="lv-LV" w:eastAsia="lv-LV" w:bidi="ar-SA"/>
              </w:rPr>
              <w:t xml:space="preserve">u, lai nodrošinātu, ka Aizsardzības ministrija (turpmāk - AM) var uzņemties </w:t>
            </w:r>
            <w:r w:rsidR="00175840">
              <w:rPr>
                <w:rFonts w:cs="Times New Roman"/>
                <w:sz w:val="24"/>
                <w:szCs w:val="24"/>
                <w:lang w:val="lv-LV" w:eastAsia="lv-LV" w:bidi="ar-SA"/>
              </w:rPr>
              <w:t>ilgtermiņa saistības</w:t>
            </w:r>
            <w:r w:rsidR="00E631DB">
              <w:rPr>
                <w:rFonts w:cs="Times New Roman"/>
                <w:sz w:val="24"/>
                <w:szCs w:val="24"/>
                <w:lang w:val="lv-LV" w:eastAsia="lv-LV" w:bidi="ar-SA"/>
              </w:rPr>
              <w:t>, lai nodrošinātu</w:t>
            </w:r>
            <w:r w:rsidR="00175840">
              <w:rPr>
                <w:rFonts w:cs="Times New Roman"/>
                <w:sz w:val="24"/>
                <w:szCs w:val="24"/>
                <w:lang w:val="lv-LV" w:eastAsia="lv-LV" w:bidi="ar-SA"/>
              </w:rPr>
              <w:t xml:space="preserve"> Ziemeļatlantijas līguma organizācijas (turpmāk - NATO) daudznacionālās kaujas grupas uzņemšanu.</w:t>
            </w:r>
          </w:p>
        </w:tc>
      </w:tr>
      <w:tr w:rsidR="00065F37" w:rsidRPr="008814B7" w:rsidTr="0077792C">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D7238C" w:rsidRDefault="00DA55F2" w:rsidP="00DA55F2">
            <w:pPr>
              <w:spacing w:before="100" w:beforeAutospacing="1" w:after="100" w:afterAutospacing="1" w:line="315" w:lineRule="atLeast"/>
              <w:jc w:val="center"/>
              <w:rPr>
                <w:rFonts w:cs="Times New Roman"/>
                <w:sz w:val="24"/>
                <w:szCs w:val="24"/>
                <w:lang w:val="lv-LV" w:eastAsia="lv-LV" w:bidi="ar-SA"/>
              </w:rPr>
            </w:pPr>
            <w:r w:rsidRPr="00D7238C">
              <w:rPr>
                <w:rFonts w:cs="Times New Roman"/>
                <w:sz w:val="24"/>
                <w:szCs w:val="24"/>
                <w:lang w:val="lv-LV" w:eastAsia="lv-LV" w:bidi="ar-SA"/>
              </w:rPr>
              <w:t>2.</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D7238C" w:rsidRDefault="00DA55F2" w:rsidP="00DA55F2">
            <w:pPr>
              <w:rPr>
                <w:rFonts w:cs="Times New Roman"/>
                <w:sz w:val="24"/>
                <w:szCs w:val="24"/>
                <w:lang w:val="lv-LV" w:eastAsia="lv-LV" w:bidi="ar-SA"/>
              </w:rPr>
            </w:pPr>
            <w:r w:rsidRPr="00D7238C">
              <w:rPr>
                <w:rFonts w:cs="Times New Roman"/>
                <w:sz w:val="24"/>
                <w:szCs w:val="24"/>
                <w:lang w:val="lv-LV" w:eastAsia="lv-LV" w:bidi="ar-SA"/>
              </w:rPr>
              <w:t>Pašreizējā situācija un problēmas, kuru risināšanai tiesību akta projekts izstrādāts, tiesiskā regulējuma mērķis un būtība</w:t>
            </w:r>
          </w:p>
        </w:tc>
        <w:tc>
          <w:tcPr>
            <w:tcW w:w="3222" w:type="pct"/>
            <w:tcBorders>
              <w:top w:val="outset" w:sz="6" w:space="0" w:color="414142"/>
              <w:left w:val="outset" w:sz="6" w:space="0" w:color="414142"/>
              <w:bottom w:val="outset" w:sz="6" w:space="0" w:color="414142"/>
              <w:right w:val="outset" w:sz="6" w:space="0" w:color="414142"/>
            </w:tcBorders>
            <w:hideMark/>
          </w:tcPr>
          <w:p w:rsidR="0094233F" w:rsidRDefault="00622D83" w:rsidP="00CA484D">
            <w:pPr>
              <w:pStyle w:val="naisc"/>
              <w:ind w:firstLine="720"/>
              <w:jc w:val="both"/>
            </w:pPr>
            <w:r w:rsidRPr="00622D83">
              <w:t xml:space="preserve">Lai nodrošinātu NATO atturēšanas politikas darbību un palielinātu dalībvalstu reaģēšanas spējas apdraudējuma vai pēkšņa militāra uzbrukuma gadījumā </w:t>
            </w:r>
            <w:r w:rsidR="00FF6FA2" w:rsidRPr="00D7238C">
              <w:t xml:space="preserve">2016.gada </w:t>
            </w:r>
            <w:r w:rsidR="00FE653A">
              <w:t>8. – 9.jūlijā notikušajā NATO valstu un valdību vadītāju sanāksmē Varšavā, Polijā, tika pieņemts lēmums par daudznacionālas NATO</w:t>
            </w:r>
            <w:r w:rsidR="00AF748C">
              <w:t xml:space="preserve"> K</w:t>
            </w:r>
            <w:r w:rsidR="00FE653A">
              <w:t>aujas grupas izvietošanu Latvij</w:t>
            </w:r>
            <w:r w:rsidR="0094233F">
              <w:t>ā</w:t>
            </w:r>
            <w:r>
              <w:t xml:space="preserve">, </w:t>
            </w:r>
            <w:r w:rsidRPr="00622D83">
              <w:t>Lietuvā, Igaunijā un Polijā</w:t>
            </w:r>
            <w:r>
              <w:t>.</w:t>
            </w:r>
          </w:p>
          <w:p w:rsidR="00622D83" w:rsidRDefault="00622D83" w:rsidP="003F71A6">
            <w:pPr>
              <w:pStyle w:val="naisc"/>
              <w:ind w:firstLine="720"/>
              <w:jc w:val="both"/>
            </w:pPr>
            <w:r>
              <w:t>Sākot ar 2017.</w:t>
            </w:r>
            <w:r w:rsidR="009E344D">
              <w:t>g</w:t>
            </w:r>
            <w:r>
              <w:t>adu</w:t>
            </w:r>
            <w:r w:rsidR="009E344D">
              <w:t>,</w:t>
            </w:r>
            <w:r>
              <w:t xml:space="preserve"> Latvijā tiks izvietota Kanādas vadīta </w:t>
            </w:r>
            <w:r w:rsidR="006D6668">
              <w:t xml:space="preserve">NATO Kaujas grupa, kuras </w:t>
            </w:r>
            <w:r w:rsidRPr="00622D83">
              <w:t>uzdevum</w:t>
            </w:r>
            <w:r w:rsidR="006D6668">
              <w:t>s</w:t>
            </w:r>
            <w:r w:rsidRPr="00622D83">
              <w:t xml:space="preserve"> būs sniegt atbalstu Latvijas Nacionālajiem bruņotajiem spēkiem (turpmāk– NBS) nacionālās drošības garantēšanā</w:t>
            </w:r>
            <w:r w:rsidR="006D6668">
              <w:t xml:space="preserve">. Atbilstoši NATO samitā pieņemtajam lēmumam </w:t>
            </w:r>
            <w:r w:rsidR="003F71A6">
              <w:t>ar NATO Kaujas grupas uzturēšanos Latvijā saistītās vajadz</w:t>
            </w:r>
            <w:r w:rsidR="00566D43">
              <w:t>ības un atbalsta funkciju</w:t>
            </w:r>
            <w:r w:rsidR="003F71A6">
              <w:t>, kuras saskaņ</w:t>
            </w:r>
            <w:r w:rsidR="00566D43">
              <w:t>ā ar NATO publikāciju 4.5.(B) U</w:t>
            </w:r>
            <w:r w:rsidR="003F71A6">
              <w:t>zņemošās valsts atbalsta doktr</w:t>
            </w:r>
            <w:r w:rsidR="00566D43">
              <w:t>īna, 2013</w:t>
            </w:r>
            <w:r w:rsidR="0077792C">
              <w:t xml:space="preserve"> (turpmāk tekstā - Doktrīna)</w:t>
            </w:r>
            <w:r w:rsidR="003F71A6">
              <w:t xml:space="preserve"> nav uzskatāmas par uzņemošās valsts atbalsta funkcijām, </w:t>
            </w:r>
            <w:r w:rsidR="00566D43">
              <w:t xml:space="preserve">sniegšanu </w:t>
            </w:r>
            <w:r w:rsidR="003F71A6">
              <w:t xml:space="preserve">nodrošina uzņemošā valsts, bet apmaksā </w:t>
            </w:r>
            <w:r w:rsidR="0077792C">
              <w:t xml:space="preserve">nosūtošā valsts. Ar NATO Kaujas grupas </w:t>
            </w:r>
            <w:r w:rsidR="003F71A6">
              <w:t xml:space="preserve">uzturēšanos Latvijā saistītās atbalsta vajadzības un funkcijas, kuras nav uzskatāmas par uzņemošās valsts atbalsta funkcijām Doktrīnas izpratnē tiks </w:t>
            </w:r>
            <w:r>
              <w:t>nodrošināta</w:t>
            </w:r>
            <w:r w:rsidR="003F71A6">
              <w:t>s</w:t>
            </w:r>
            <w:r>
              <w:t xml:space="preserve"> saskaņā ar </w:t>
            </w:r>
            <w:r w:rsidRPr="00DF6BF8">
              <w:t>2017.</w:t>
            </w:r>
            <w:r w:rsidR="00DF6BF8" w:rsidRPr="00DF6BF8">
              <w:t>gada martā noslēgto</w:t>
            </w:r>
            <w:r w:rsidRPr="00DF6BF8">
              <w:t xml:space="preserve"> </w:t>
            </w:r>
            <w:r w:rsidR="00683950" w:rsidRPr="00683950">
              <w:t xml:space="preserve">Latvijas Republikas Aizsardzības ministrijas un Kanādas Nacionālās </w:t>
            </w:r>
            <w:r w:rsidR="00683950" w:rsidRPr="00683950">
              <w:lastRenderedPageBreak/>
              <w:t xml:space="preserve">aizsardzības departamenta un Kanādas Bruņoto spēku Tehniskā vienošanās par NATO spēku pastiprinātu klātbūtni Latvijā un uzņemošās valsts atbalsta nodrošinājumu un citiem pienākumiem </w:t>
            </w:r>
            <w:r w:rsidR="00683950" w:rsidRPr="00683950">
              <w:rPr>
                <w:i/>
              </w:rPr>
              <w:t>(</w:t>
            </w:r>
            <w:proofErr w:type="spellStart"/>
            <w:r w:rsidR="00683950" w:rsidRPr="00683950">
              <w:rPr>
                <w:i/>
              </w:rPr>
              <w:t>Technical</w:t>
            </w:r>
            <w:proofErr w:type="spellEnd"/>
            <w:r w:rsidR="00683950" w:rsidRPr="00683950">
              <w:rPr>
                <w:i/>
              </w:rPr>
              <w:t xml:space="preserve"> </w:t>
            </w:r>
            <w:proofErr w:type="spellStart"/>
            <w:r w:rsidR="00683950" w:rsidRPr="00683950">
              <w:rPr>
                <w:i/>
              </w:rPr>
              <w:t>Arrangement</w:t>
            </w:r>
            <w:proofErr w:type="spellEnd"/>
            <w:r w:rsidR="00683950" w:rsidRPr="00683950">
              <w:rPr>
                <w:i/>
              </w:rPr>
              <w:t xml:space="preserve"> </w:t>
            </w:r>
            <w:proofErr w:type="spellStart"/>
            <w:r w:rsidR="00683950" w:rsidRPr="00683950">
              <w:rPr>
                <w:i/>
              </w:rPr>
              <w:t>between</w:t>
            </w:r>
            <w:proofErr w:type="spellEnd"/>
            <w:r w:rsidR="00683950" w:rsidRPr="00683950">
              <w:rPr>
                <w:i/>
              </w:rPr>
              <w:t xml:space="preserve"> </w:t>
            </w:r>
            <w:proofErr w:type="spellStart"/>
            <w:r w:rsidR="00683950" w:rsidRPr="00683950">
              <w:rPr>
                <w:i/>
              </w:rPr>
              <w:t>the</w:t>
            </w:r>
            <w:proofErr w:type="spellEnd"/>
            <w:r w:rsidR="00683950" w:rsidRPr="00683950">
              <w:rPr>
                <w:i/>
              </w:rPr>
              <w:t xml:space="preserve"> </w:t>
            </w:r>
            <w:proofErr w:type="spellStart"/>
            <w:r w:rsidR="00683950" w:rsidRPr="00683950">
              <w:rPr>
                <w:i/>
              </w:rPr>
              <w:t>Ministry</w:t>
            </w:r>
            <w:proofErr w:type="spellEnd"/>
            <w:r w:rsidR="00683950" w:rsidRPr="00683950">
              <w:rPr>
                <w:i/>
              </w:rPr>
              <w:t xml:space="preserve"> </w:t>
            </w:r>
            <w:proofErr w:type="spellStart"/>
            <w:r w:rsidR="00683950" w:rsidRPr="00683950">
              <w:rPr>
                <w:i/>
              </w:rPr>
              <w:t>of</w:t>
            </w:r>
            <w:proofErr w:type="spellEnd"/>
            <w:r w:rsidR="00683950" w:rsidRPr="00683950">
              <w:rPr>
                <w:i/>
              </w:rPr>
              <w:t xml:space="preserve"> </w:t>
            </w:r>
            <w:proofErr w:type="spellStart"/>
            <w:r w:rsidR="00683950" w:rsidRPr="00683950">
              <w:rPr>
                <w:i/>
              </w:rPr>
              <w:t>Defence</w:t>
            </w:r>
            <w:proofErr w:type="spellEnd"/>
            <w:r w:rsidR="00683950" w:rsidRPr="00683950">
              <w:rPr>
                <w:i/>
              </w:rPr>
              <w:t xml:space="preserve"> </w:t>
            </w:r>
            <w:proofErr w:type="spellStart"/>
            <w:r w:rsidR="00683950" w:rsidRPr="00683950">
              <w:rPr>
                <w:i/>
              </w:rPr>
              <w:t>of</w:t>
            </w:r>
            <w:proofErr w:type="spellEnd"/>
            <w:r w:rsidR="00683950" w:rsidRPr="00683950">
              <w:rPr>
                <w:i/>
              </w:rPr>
              <w:t xml:space="preserve"> </w:t>
            </w:r>
            <w:proofErr w:type="spellStart"/>
            <w:r w:rsidR="00683950" w:rsidRPr="00683950">
              <w:rPr>
                <w:i/>
              </w:rPr>
              <w:t>the</w:t>
            </w:r>
            <w:proofErr w:type="spellEnd"/>
            <w:r w:rsidR="00683950" w:rsidRPr="00683950">
              <w:rPr>
                <w:i/>
              </w:rPr>
              <w:t xml:space="preserve"> </w:t>
            </w:r>
            <w:proofErr w:type="spellStart"/>
            <w:r w:rsidR="00683950" w:rsidRPr="00683950">
              <w:rPr>
                <w:i/>
              </w:rPr>
              <w:t>Republic</w:t>
            </w:r>
            <w:proofErr w:type="spellEnd"/>
            <w:r w:rsidR="00683950" w:rsidRPr="00683950">
              <w:rPr>
                <w:i/>
              </w:rPr>
              <w:t xml:space="preserve"> </w:t>
            </w:r>
            <w:proofErr w:type="spellStart"/>
            <w:r w:rsidR="00683950" w:rsidRPr="00683950">
              <w:rPr>
                <w:i/>
              </w:rPr>
              <w:t>of</w:t>
            </w:r>
            <w:proofErr w:type="spellEnd"/>
            <w:r w:rsidR="00683950" w:rsidRPr="00683950">
              <w:rPr>
                <w:i/>
              </w:rPr>
              <w:t xml:space="preserve"> </w:t>
            </w:r>
            <w:proofErr w:type="spellStart"/>
            <w:r w:rsidR="00683950" w:rsidRPr="00683950">
              <w:rPr>
                <w:i/>
              </w:rPr>
              <w:t>Latvia</w:t>
            </w:r>
            <w:proofErr w:type="spellEnd"/>
            <w:r w:rsidR="00683950" w:rsidRPr="00683950">
              <w:rPr>
                <w:i/>
              </w:rPr>
              <w:t xml:space="preserve"> </w:t>
            </w:r>
            <w:proofErr w:type="spellStart"/>
            <w:r w:rsidR="00683950" w:rsidRPr="00683950">
              <w:rPr>
                <w:i/>
              </w:rPr>
              <w:t>and</w:t>
            </w:r>
            <w:proofErr w:type="spellEnd"/>
            <w:r w:rsidR="00683950" w:rsidRPr="00683950">
              <w:rPr>
                <w:i/>
              </w:rPr>
              <w:t xml:space="preserve"> </w:t>
            </w:r>
            <w:proofErr w:type="spellStart"/>
            <w:r w:rsidR="00683950" w:rsidRPr="00683950">
              <w:rPr>
                <w:i/>
              </w:rPr>
              <w:t>the</w:t>
            </w:r>
            <w:proofErr w:type="spellEnd"/>
            <w:r w:rsidR="00683950" w:rsidRPr="00683950">
              <w:rPr>
                <w:i/>
              </w:rPr>
              <w:t xml:space="preserve"> </w:t>
            </w:r>
            <w:proofErr w:type="spellStart"/>
            <w:r w:rsidR="00683950" w:rsidRPr="00683950">
              <w:rPr>
                <w:i/>
              </w:rPr>
              <w:t>Department</w:t>
            </w:r>
            <w:proofErr w:type="spellEnd"/>
            <w:r w:rsidR="00683950" w:rsidRPr="00683950">
              <w:rPr>
                <w:i/>
              </w:rPr>
              <w:t xml:space="preserve"> </w:t>
            </w:r>
            <w:proofErr w:type="spellStart"/>
            <w:r w:rsidR="00683950" w:rsidRPr="00683950">
              <w:rPr>
                <w:i/>
              </w:rPr>
              <w:t>of</w:t>
            </w:r>
            <w:proofErr w:type="spellEnd"/>
            <w:r w:rsidR="00683950" w:rsidRPr="00683950">
              <w:rPr>
                <w:i/>
              </w:rPr>
              <w:t xml:space="preserve"> </w:t>
            </w:r>
            <w:proofErr w:type="spellStart"/>
            <w:r w:rsidR="00683950" w:rsidRPr="00683950">
              <w:rPr>
                <w:i/>
              </w:rPr>
              <w:t>National</w:t>
            </w:r>
            <w:proofErr w:type="spellEnd"/>
            <w:r w:rsidR="00683950" w:rsidRPr="00683950">
              <w:rPr>
                <w:i/>
              </w:rPr>
              <w:t xml:space="preserve"> </w:t>
            </w:r>
            <w:proofErr w:type="spellStart"/>
            <w:r w:rsidR="00683950" w:rsidRPr="00683950">
              <w:rPr>
                <w:i/>
              </w:rPr>
              <w:t>Defence</w:t>
            </w:r>
            <w:proofErr w:type="spellEnd"/>
            <w:r w:rsidR="00683950" w:rsidRPr="00683950">
              <w:rPr>
                <w:i/>
              </w:rPr>
              <w:t xml:space="preserve"> </w:t>
            </w:r>
            <w:proofErr w:type="spellStart"/>
            <w:r w:rsidR="00683950" w:rsidRPr="00683950">
              <w:rPr>
                <w:i/>
              </w:rPr>
              <w:t>of</w:t>
            </w:r>
            <w:proofErr w:type="spellEnd"/>
            <w:r w:rsidR="00683950" w:rsidRPr="00683950">
              <w:rPr>
                <w:i/>
              </w:rPr>
              <w:t xml:space="preserve"> </w:t>
            </w:r>
            <w:proofErr w:type="spellStart"/>
            <w:r w:rsidR="00683950" w:rsidRPr="00683950">
              <w:rPr>
                <w:i/>
              </w:rPr>
              <w:t>Canada</w:t>
            </w:r>
            <w:proofErr w:type="spellEnd"/>
            <w:r w:rsidR="00683950" w:rsidRPr="00683950">
              <w:rPr>
                <w:i/>
              </w:rPr>
              <w:t xml:space="preserve"> </w:t>
            </w:r>
            <w:proofErr w:type="spellStart"/>
            <w:r w:rsidR="00683950" w:rsidRPr="00683950">
              <w:rPr>
                <w:i/>
              </w:rPr>
              <w:t>and</w:t>
            </w:r>
            <w:proofErr w:type="spellEnd"/>
            <w:r w:rsidR="00683950" w:rsidRPr="00683950">
              <w:rPr>
                <w:i/>
              </w:rPr>
              <w:t xml:space="preserve"> </w:t>
            </w:r>
            <w:proofErr w:type="spellStart"/>
            <w:r w:rsidR="00683950" w:rsidRPr="00683950">
              <w:rPr>
                <w:i/>
              </w:rPr>
              <w:t>the</w:t>
            </w:r>
            <w:proofErr w:type="spellEnd"/>
            <w:r w:rsidR="00683950" w:rsidRPr="00683950">
              <w:rPr>
                <w:i/>
              </w:rPr>
              <w:t xml:space="preserve"> </w:t>
            </w:r>
            <w:proofErr w:type="spellStart"/>
            <w:r w:rsidR="00683950" w:rsidRPr="00683950">
              <w:rPr>
                <w:i/>
              </w:rPr>
              <w:t>Canadian</w:t>
            </w:r>
            <w:proofErr w:type="spellEnd"/>
            <w:r w:rsidR="00683950" w:rsidRPr="00683950">
              <w:rPr>
                <w:i/>
              </w:rPr>
              <w:t xml:space="preserve"> </w:t>
            </w:r>
            <w:proofErr w:type="spellStart"/>
            <w:r w:rsidR="00683950" w:rsidRPr="00683950">
              <w:rPr>
                <w:i/>
              </w:rPr>
              <w:t>Armed</w:t>
            </w:r>
            <w:proofErr w:type="spellEnd"/>
            <w:r w:rsidR="00683950" w:rsidRPr="00683950">
              <w:rPr>
                <w:i/>
              </w:rPr>
              <w:t xml:space="preserve"> </w:t>
            </w:r>
            <w:proofErr w:type="spellStart"/>
            <w:r w:rsidR="00683950" w:rsidRPr="00683950">
              <w:rPr>
                <w:i/>
              </w:rPr>
              <w:t>Forces</w:t>
            </w:r>
            <w:proofErr w:type="spellEnd"/>
            <w:r w:rsidR="00683950" w:rsidRPr="00683950">
              <w:rPr>
                <w:i/>
              </w:rPr>
              <w:t xml:space="preserve"> </w:t>
            </w:r>
            <w:proofErr w:type="spellStart"/>
            <w:r w:rsidR="00683950" w:rsidRPr="00683950">
              <w:rPr>
                <w:i/>
              </w:rPr>
              <w:t>concerning</w:t>
            </w:r>
            <w:proofErr w:type="spellEnd"/>
            <w:r w:rsidR="00683950" w:rsidRPr="00683950">
              <w:rPr>
                <w:i/>
              </w:rPr>
              <w:t xml:space="preserve"> </w:t>
            </w:r>
            <w:proofErr w:type="spellStart"/>
            <w:r w:rsidR="00683950" w:rsidRPr="00683950">
              <w:rPr>
                <w:i/>
              </w:rPr>
              <w:t>the</w:t>
            </w:r>
            <w:proofErr w:type="spellEnd"/>
            <w:r w:rsidR="00683950" w:rsidRPr="00683950">
              <w:rPr>
                <w:i/>
              </w:rPr>
              <w:t xml:space="preserve"> NATO </w:t>
            </w:r>
            <w:proofErr w:type="spellStart"/>
            <w:r w:rsidR="00683950" w:rsidRPr="00683950">
              <w:rPr>
                <w:i/>
              </w:rPr>
              <w:t>Enhanced</w:t>
            </w:r>
            <w:proofErr w:type="spellEnd"/>
            <w:r w:rsidR="00683950" w:rsidRPr="00683950">
              <w:rPr>
                <w:i/>
              </w:rPr>
              <w:t xml:space="preserve"> </w:t>
            </w:r>
            <w:proofErr w:type="spellStart"/>
            <w:r w:rsidR="00683950" w:rsidRPr="00683950">
              <w:rPr>
                <w:i/>
              </w:rPr>
              <w:t>Forward</w:t>
            </w:r>
            <w:proofErr w:type="spellEnd"/>
            <w:r w:rsidR="00683950" w:rsidRPr="00683950">
              <w:rPr>
                <w:i/>
              </w:rPr>
              <w:t xml:space="preserve"> </w:t>
            </w:r>
            <w:proofErr w:type="spellStart"/>
            <w:r w:rsidR="00683950" w:rsidRPr="00683950">
              <w:rPr>
                <w:i/>
              </w:rPr>
              <w:t>Presence</w:t>
            </w:r>
            <w:proofErr w:type="spellEnd"/>
            <w:r w:rsidR="00683950" w:rsidRPr="00683950">
              <w:rPr>
                <w:i/>
              </w:rPr>
              <w:t xml:space="preserve"> </w:t>
            </w:r>
            <w:proofErr w:type="spellStart"/>
            <w:r w:rsidR="00683950" w:rsidRPr="00683950">
              <w:rPr>
                <w:i/>
              </w:rPr>
              <w:t>in</w:t>
            </w:r>
            <w:proofErr w:type="spellEnd"/>
            <w:r w:rsidR="00683950" w:rsidRPr="00683950">
              <w:rPr>
                <w:i/>
              </w:rPr>
              <w:t xml:space="preserve"> </w:t>
            </w:r>
            <w:proofErr w:type="spellStart"/>
            <w:r w:rsidR="00683950" w:rsidRPr="00683950">
              <w:rPr>
                <w:i/>
              </w:rPr>
              <w:t>Latvia</w:t>
            </w:r>
            <w:proofErr w:type="spellEnd"/>
            <w:r w:rsidR="00683950" w:rsidRPr="00683950">
              <w:rPr>
                <w:i/>
              </w:rPr>
              <w:t xml:space="preserve"> </w:t>
            </w:r>
            <w:proofErr w:type="spellStart"/>
            <w:r w:rsidR="00683950" w:rsidRPr="00683950">
              <w:rPr>
                <w:i/>
              </w:rPr>
              <w:t>and</w:t>
            </w:r>
            <w:proofErr w:type="spellEnd"/>
            <w:r w:rsidR="00683950" w:rsidRPr="00683950">
              <w:rPr>
                <w:i/>
              </w:rPr>
              <w:t xml:space="preserve"> </w:t>
            </w:r>
            <w:proofErr w:type="spellStart"/>
            <w:r w:rsidR="00683950" w:rsidRPr="00683950">
              <w:rPr>
                <w:i/>
              </w:rPr>
              <w:t>the</w:t>
            </w:r>
            <w:proofErr w:type="spellEnd"/>
            <w:r w:rsidR="00683950" w:rsidRPr="00683950">
              <w:rPr>
                <w:i/>
              </w:rPr>
              <w:t xml:space="preserve"> </w:t>
            </w:r>
            <w:proofErr w:type="spellStart"/>
            <w:r w:rsidR="00683950" w:rsidRPr="00683950">
              <w:rPr>
                <w:i/>
              </w:rPr>
              <w:t>Provision</w:t>
            </w:r>
            <w:proofErr w:type="spellEnd"/>
            <w:r w:rsidR="00683950" w:rsidRPr="00683950">
              <w:rPr>
                <w:i/>
              </w:rPr>
              <w:t xml:space="preserve"> </w:t>
            </w:r>
            <w:proofErr w:type="spellStart"/>
            <w:r w:rsidR="00683950" w:rsidRPr="00683950">
              <w:rPr>
                <w:i/>
              </w:rPr>
              <w:t>of</w:t>
            </w:r>
            <w:proofErr w:type="spellEnd"/>
            <w:r w:rsidR="00683950" w:rsidRPr="00683950">
              <w:rPr>
                <w:i/>
              </w:rPr>
              <w:t xml:space="preserve"> </w:t>
            </w:r>
            <w:proofErr w:type="spellStart"/>
            <w:r w:rsidR="00683950" w:rsidRPr="00683950">
              <w:rPr>
                <w:i/>
              </w:rPr>
              <w:t>Host</w:t>
            </w:r>
            <w:proofErr w:type="spellEnd"/>
            <w:r w:rsidR="00683950" w:rsidRPr="00683950">
              <w:rPr>
                <w:i/>
              </w:rPr>
              <w:t xml:space="preserve"> </w:t>
            </w:r>
            <w:proofErr w:type="spellStart"/>
            <w:r w:rsidR="00683950" w:rsidRPr="00683950">
              <w:rPr>
                <w:i/>
              </w:rPr>
              <w:t>Nation</w:t>
            </w:r>
            <w:proofErr w:type="spellEnd"/>
            <w:r w:rsidR="00683950" w:rsidRPr="00683950">
              <w:rPr>
                <w:i/>
              </w:rPr>
              <w:t xml:space="preserve"> </w:t>
            </w:r>
            <w:proofErr w:type="spellStart"/>
            <w:r w:rsidR="00683950" w:rsidRPr="00683950">
              <w:rPr>
                <w:i/>
              </w:rPr>
              <w:t>Support</w:t>
            </w:r>
            <w:proofErr w:type="spellEnd"/>
            <w:r w:rsidR="00683950" w:rsidRPr="00683950">
              <w:rPr>
                <w:i/>
              </w:rPr>
              <w:t xml:space="preserve"> </w:t>
            </w:r>
            <w:proofErr w:type="spellStart"/>
            <w:r w:rsidR="00683950" w:rsidRPr="00683950">
              <w:rPr>
                <w:i/>
              </w:rPr>
              <w:t>and</w:t>
            </w:r>
            <w:proofErr w:type="spellEnd"/>
            <w:r w:rsidR="00683950" w:rsidRPr="00683950">
              <w:rPr>
                <w:i/>
              </w:rPr>
              <w:t xml:space="preserve"> </w:t>
            </w:r>
            <w:proofErr w:type="spellStart"/>
            <w:r w:rsidR="00683950" w:rsidRPr="00683950">
              <w:rPr>
                <w:i/>
              </w:rPr>
              <w:t>other</w:t>
            </w:r>
            <w:proofErr w:type="spellEnd"/>
            <w:r w:rsidR="00683950" w:rsidRPr="00683950">
              <w:rPr>
                <w:i/>
              </w:rPr>
              <w:t xml:space="preserve"> </w:t>
            </w:r>
            <w:proofErr w:type="spellStart"/>
            <w:r w:rsidR="00683950" w:rsidRPr="00683950">
              <w:rPr>
                <w:i/>
              </w:rPr>
              <w:t>responsibilities</w:t>
            </w:r>
            <w:proofErr w:type="spellEnd"/>
            <w:r w:rsidR="00683950" w:rsidRPr="00683950">
              <w:rPr>
                <w:i/>
              </w:rPr>
              <w:t>)</w:t>
            </w:r>
            <w:r>
              <w:t xml:space="preserve"> starp Latviju un Kanādu par NATO Kaujas grupai nepieciešamā atbalsta sniegšanu un vajadzību nodrošināšanu.  Atbilstoši </w:t>
            </w:r>
            <w:r w:rsidR="0077792C">
              <w:t xml:space="preserve">ar </w:t>
            </w:r>
            <w:r>
              <w:t>vienošan</w:t>
            </w:r>
            <w:r w:rsidR="0077792C">
              <w:t>o</w:t>
            </w:r>
            <w:r>
              <w:t xml:space="preserve">s noteiktajam Latvijas puse nodrošinās </w:t>
            </w:r>
            <w:r w:rsidR="0077792C">
              <w:t>ar NATO Kaujas grupas uzturēšanos saistīto vajadzību un atbalsta funkciju īstenošanu</w:t>
            </w:r>
            <w:r>
              <w:t>, savukārt pēc pakalpojuma saņemšanas Kanādas puse veiks</w:t>
            </w:r>
            <w:r w:rsidR="003F71A6">
              <w:t xml:space="preserve"> pēcapmaksu par saņemtajiem atbalsta pakalpojumiem</w:t>
            </w:r>
            <w:r w:rsidR="00DF6BF8">
              <w:t xml:space="preserve"> 60 dienu laikā no rēķina saņemšanas</w:t>
            </w:r>
            <w:r w:rsidR="003F71A6">
              <w:t>.</w:t>
            </w:r>
          </w:p>
          <w:p w:rsidR="00566D43" w:rsidRDefault="00566D43" w:rsidP="003F71A6">
            <w:pPr>
              <w:pStyle w:val="naisc"/>
              <w:ind w:firstLine="720"/>
              <w:jc w:val="both"/>
            </w:pPr>
            <w:r>
              <w:t xml:space="preserve">Atbilstoši NBS veiktajiem aprēķiniem 2017.gada laikā </w:t>
            </w:r>
            <w:proofErr w:type="spellStart"/>
            <w:r>
              <w:t>priekšfinansējums</w:t>
            </w:r>
            <w:proofErr w:type="spellEnd"/>
            <w:r>
              <w:t>, kas nepieciešam</w:t>
            </w:r>
            <w:r w:rsidR="00DF6BF8">
              <w:t>s</w:t>
            </w:r>
            <w:r>
              <w:t xml:space="preserve">, lai nodrošinātu plānotās NATO Kaujas grupas vajadzības un tai nepieciešamās atbalsta funkcijas ir </w:t>
            </w:r>
            <w:r w:rsidR="009E45E9">
              <w:t>8 940 900</w:t>
            </w:r>
            <w:r>
              <w:t xml:space="preserve"> </w:t>
            </w:r>
            <w:proofErr w:type="spellStart"/>
            <w:r w:rsidRPr="009A7C4D">
              <w:rPr>
                <w:i/>
              </w:rPr>
              <w:t>euro</w:t>
            </w:r>
            <w:proofErr w:type="spellEnd"/>
            <w:r>
              <w:t xml:space="preserve">, </w:t>
            </w:r>
            <w:r w:rsidR="00DF6BF8">
              <w:t>kas tiks atmaksāti 2017. un 2018.gada laikā</w:t>
            </w:r>
            <w:r>
              <w:t xml:space="preserve">. </w:t>
            </w:r>
          </w:p>
          <w:p w:rsidR="00457DD9" w:rsidRPr="00D7238C" w:rsidRDefault="00457DD9" w:rsidP="004F6D27">
            <w:pPr>
              <w:pStyle w:val="naisc"/>
              <w:spacing w:before="0" w:after="0"/>
              <w:ind w:firstLine="34"/>
              <w:jc w:val="both"/>
            </w:pPr>
          </w:p>
        </w:tc>
      </w:tr>
      <w:tr w:rsidR="00065F37" w:rsidRPr="00D7238C" w:rsidTr="0077792C">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D7238C" w:rsidRDefault="00DA55F2" w:rsidP="00DA55F2">
            <w:pPr>
              <w:spacing w:before="100" w:beforeAutospacing="1" w:after="100" w:afterAutospacing="1" w:line="315" w:lineRule="atLeast"/>
              <w:jc w:val="center"/>
              <w:rPr>
                <w:rFonts w:cs="Times New Roman"/>
                <w:sz w:val="24"/>
                <w:szCs w:val="24"/>
                <w:lang w:val="lv-LV" w:eastAsia="lv-LV" w:bidi="ar-SA"/>
              </w:rPr>
            </w:pPr>
            <w:r w:rsidRPr="00D7238C">
              <w:rPr>
                <w:rFonts w:cs="Times New Roman"/>
                <w:sz w:val="24"/>
                <w:szCs w:val="24"/>
                <w:lang w:val="lv-LV" w:eastAsia="lv-LV" w:bidi="ar-SA"/>
              </w:rPr>
              <w:lastRenderedPageBreak/>
              <w:t>3.</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D7238C" w:rsidRDefault="00DA55F2" w:rsidP="00DA55F2">
            <w:pPr>
              <w:rPr>
                <w:rFonts w:cs="Times New Roman"/>
                <w:sz w:val="24"/>
                <w:szCs w:val="24"/>
                <w:lang w:val="lv-LV" w:eastAsia="lv-LV" w:bidi="ar-SA"/>
              </w:rPr>
            </w:pPr>
            <w:r w:rsidRPr="00D7238C">
              <w:rPr>
                <w:rFonts w:cs="Times New Roman"/>
                <w:sz w:val="24"/>
                <w:szCs w:val="24"/>
                <w:lang w:val="lv-LV" w:eastAsia="lv-LV" w:bidi="ar-SA"/>
              </w:rPr>
              <w:t>Projekta izstrādē iesaistītās institūcijas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D7238C" w:rsidRDefault="001F2472" w:rsidP="007B565B">
            <w:pPr>
              <w:rPr>
                <w:rFonts w:cs="Times New Roman"/>
                <w:sz w:val="24"/>
                <w:szCs w:val="24"/>
                <w:lang w:val="lv-LV" w:eastAsia="lv-LV" w:bidi="ar-SA"/>
              </w:rPr>
            </w:pPr>
            <w:r w:rsidRPr="00D7238C">
              <w:rPr>
                <w:rFonts w:cs="Times New Roman"/>
                <w:sz w:val="24"/>
                <w:szCs w:val="24"/>
                <w:lang w:val="lv-LV" w:eastAsia="lv-LV" w:bidi="ar-SA"/>
              </w:rPr>
              <w:t>Aizsardzības ministrija</w:t>
            </w:r>
            <w:r w:rsidR="003618A2" w:rsidRPr="00D7238C">
              <w:rPr>
                <w:rFonts w:cs="Times New Roman"/>
                <w:sz w:val="24"/>
                <w:szCs w:val="24"/>
                <w:lang w:val="lv-LV" w:eastAsia="lv-LV" w:bidi="ar-SA"/>
              </w:rPr>
              <w:t xml:space="preserve">, </w:t>
            </w:r>
            <w:r w:rsidR="00D65107" w:rsidRPr="00D7238C">
              <w:rPr>
                <w:rFonts w:cs="Times New Roman"/>
                <w:sz w:val="24"/>
                <w:szCs w:val="24"/>
                <w:lang w:val="lv-LV" w:eastAsia="lv-LV" w:bidi="ar-SA"/>
              </w:rPr>
              <w:t>Nacionālie bruņotie spēki</w:t>
            </w:r>
            <w:r w:rsidR="002D4384" w:rsidRPr="00D7238C">
              <w:rPr>
                <w:rFonts w:cs="Times New Roman"/>
                <w:sz w:val="24"/>
                <w:szCs w:val="24"/>
                <w:lang w:val="lv-LV" w:eastAsia="lv-LV" w:bidi="ar-SA"/>
              </w:rPr>
              <w:t xml:space="preserve"> </w:t>
            </w:r>
          </w:p>
        </w:tc>
      </w:tr>
      <w:tr w:rsidR="00065F37" w:rsidRPr="00D7238C" w:rsidTr="0077792C">
        <w:tc>
          <w:tcPr>
            <w:tcW w:w="217" w:type="pct"/>
            <w:tcBorders>
              <w:top w:val="outset" w:sz="6" w:space="0" w:color="414142"/>
              <w:left w:val="outset" w:sz="6" w:space="0" w:color="414142"/>
              <w:bottom w:val="outset" w:sz="6" w:space="0" w:color="414142"/>
              <w:right w:val="outset" w:sz="6" w:space="0" w:color="414142"/>
            </w:tcBorders>
            <w:hideMark/>
          </w:tcPr>
          <w:p w:rsidR="00DA55F2" w:rsidRPr="00D7238C" w:rsidRDefault="00DA55F2" w:rsidP="00DA55F2">
            <w:pPr>
              <w:spacing w:before="100" w:beforeAutospacing="1" w:after="100" w:afterAutospacing="1" w:line="315" w:lineRule="atLeast"/>
              <w:jc w:val="center"/>
              <w:rPr>
                <w:rFonts w:cs="Times New Roman"/>
                <w:sz w:val="24"/>
                <w:szCs w:val="24"/>
                <w:lang w:val="lv-LV" w:eastAsia="lv-LV" w:bidi="ar-SA"/>
              </w:rPr>
            </w:pPr>
            <w:r w:rsidRPr="00D7238C">
              <w:rPr>
                <w:rFonts w:cs="Times New Roman"/>
                <w:sz w:val="24"/>
                <w:szCs w:val="24"/>
                <w:lang w:val="lv-LV" w:eastAsia="lv-LV" w:bidi="ar-SA"/>
              </w:rPr>
              <w:t>4.</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D7238C" w:rsidRDefault="00DA55F2" w:rsidP="00DA55F2">
            <w:pPr>
              <w:rPr>
                <w:rFonts w:cs="Times New Roman"/>
                <w:sz w:val="24"/>
                <w:szCs w:val="24"/>
                <w:lang w:val="lv-LV" w:eastAsia="lv-LV" w:bidi="ar-SA"/>
              </w:rPr>
            </w:pPr>
            <w:r w:rsidRPr="00D7238C">
              <w:rPr>
                <w:rFonts w:cs="Times New Roman"/>
                <w:sz w:val="24"/>
                <w:szCs w:val="24"/>
                <w:lang w:val="lv-LV" w:eastAsia="lv-LV" w:bidi="ar-SA"/>
              </w:rPr>
              <w:t>Cita informācija</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D7238C" w:rsidRDefault="00DA55F2" w:rsidP="0091793F">
            <w:pPr>
              <w:jc w:val="both"/>
              <w:rPr>
                <w:rFonts w:cs="Times New Roman"/>
                <w:sz w:val="24"/>
                <w:szCs w:val="24"/>
                <w:lang w:val="lv-LV" w:eastAsia="lv-LV" w:bidi="ar-SA"/>
              </w:rPr>
            </w:pPr>
          </w:p>
        </w:tc>
      </w:tr>
    </w:tbl>
    <w:p w:rsidR="00DA55F2" w:rsidRPr="00D7238C" w:rsidRDefault="00DA55F2" w:rsidP="00E61F4F">
      <w:pPr>
        <w:shd w:val="clear" w:color="auto" w:fill="FFFFFF"/>
        <w:ind w:firstLine="301"/>
        <w:rPr>
          <w:rFonts w:cs="Times New Roman"/>
          <w:sz w:val="24"/>
          <w:szCs w:val="24"/>
          <w:lang w:val="lv-LV" w:eastAsia="lv-LV" w:bidi="ar-SA"/>
        </w:rPr>
      </w:pPr>
      <w:r w:rsidRPr="00D7238C">
        <w:rPr>
          <w:rFonts w:cs="Times New Roman"/>
          <w:sz w:val="24"/>
          <w:szCs w:val="24"/>
          <w:lang w:val="lv-LV" w:eastAsia="lv-LV" w:bidi="ar-SA"/>
        </w:rPr>
        <w:t> </w:t>
      </w:r>
    </w:p>
    <w:p w:rsidR="00BF7D46" w:rsidRPr="00D7238C" w:rsidRDefault="00BF7D46" w:rsidP="00E61F4F">
      <w:pPr>
        <w:shd w:val="clear" w:color="auto" w:fill="FFFFFF"/>
        <w:ind w:firstLine="301"/>
        <w:rPr>
          <w:rFonts w:cs="Times New Roman"/>
          <w:sz w:val="24"/>
          <w:szCs w:val="24"/>
          <w:lang w:val="lv-LV" w:eastAsia="lv-LV" w:bidi="ar-SA"/>
        </w:rPr>
      </w:pPr>
    </w:p>
    <w:tbl>
      <w:tblPr>
        <w:tblW w:w="5086"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927"/>
        <w:gridCol w:w="1079"/>
        <w:gridCol w:w="1277"/>
        <w:gridCol w:w="1134"/>
        <w:gridCol w:w="822"/>
        <w:gridCol w:w="1271"/>
      </w:tblGrid>
      <w:tr w:rsidR="00DB04E0" w:rsidRPr="008814B7" w:rsidTr="00D56176">
        <w:trPr>
          <w:cantSplit/>
          <w:trHeight w:val="360"/>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pPr>
              <w:ind w:firstLine="300"/>
              <w:jc w:val="center"/>
              <w:rPr>
                <w:rFonts w:cs="Times New Roman"/>
                <w:b/>
                <w:bCs/>
                <w:sz w:val="24"/>
                <w:szCs w:val="24"/>
                <w:lang w:val="lv-LV" w:eastAsia="lv-LV"/>
              </w:rPr>
            </w:pPr>
            <w:r w:rsidRPr="00DF6BF8">
              <w:rPr>
                <w:rFonts w:cs="Times New Roman"/>
                <w:b/>
                <w:bCs/>
                <w:sz w:val="24"/>
                <w:szCs w:val="24"/>
                <w:lang w:val="lv-LV"/>
              </w:rPr>
              <w:t>III. Tiesību akta projekta ietekme uz valsts budžetu un pašvaldību budžetiem</w:t>
            </w:r>
          </w:p>
        </w:tc>
      </w:tr>
      <w:tr w:rsidR="00DB04E0" w:rsidRPr="001602AC" w:rsidTr="00D56176">
        <w:trPr>
          <w:cantSplit/>
        </w:trPr>
        <w:tc>
          <w:tcPr>
            <w:tcW w:w="1720" w:type="pct"/>
            <w:vMerge w:val="restart"/>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pPr>
              <w:ind w:firstLine="300"/>
              <w:jc w:val="center"/>
              <w:rPr>
                <w:rFonts w:cs="Times New Roman"/>
                <w:b/>
                <w:bCs/>
                <w:sz w:val="24"/>
                <w:szCs w:val="24"/>
                <w:lang w:val="lv-LV" w:eastAsia="lv-LV"/>
              </w:rPr>
            </w:pPr>
            <w:proofErr w:type="spellStart"/>
            <w:r w:rsidRPr="00DB04E0">
              <w:rPr>
                <w:rFonts w:cs="Times New Roman"/>
                <w:b/>
                <w:bCs/>
                <w:sz w:val="24"/>
                <w:szCs w:val="24"/>
              </w:rPr>
              <w:t>Rādītāji</w:t>
            </w:r>
            <w:proofErr w:type="spellEnd"/>
          </w:p>
        </w:tc>
        <w:tc>
          <w:tcPr>
            <w:tcW w:w="138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pPr>
              <w:ind w:firstLine="300"/>
              <w:jc w:val="center"/>
              <w:rPr>
                <w:rFonts w:cs="Times New Roman"/>
                <w:b/>
                <w:bCs/>
                <w:sz w:val="24"/>
                <w:szCs w:val="24"/>
                <w:lang w:val="lv-LV" w:eastAsia="lv-LV"/>
              </w:rPr>
            </w:pPr>
            <w:r w:rsidRPr="00DB04E0">
              <w:rPr>
                <w:rFonts w:cs="Times New Roman"/>
                <w:b/>
                <w:bCs/>
                <w:sz w:val="24"/>
                <w:szCs w:val="24"/>
              </w:rPr>
              <w:t>2017.gads</w:t>
            </w:r>
          </w:p>
        </w:tc>
        <w:tc>
          <w:tcPr>
            <w:tcW w:w="1896" w:type="pct"/>
            <w:gridSpan w:val="3"/>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rsidP="00CA3292">
            <w:pPr>
              <w:jc w:val="center"/>
              <w:rPr>
                <w:rFonts w:cs="Times New Roman"/>
                <w:sz w:val="24"/>
                <w:szCs w:val="24"/>
                <w:lang w:val="lv-LV" w:eastAsia="lv-LV"/>
              </w:rPr>
            </w:pPr>
            <w:r w:rsidRPr="00B53881">
              <w:rPr>
                <w:rFonts w:cs="Times New Roman"/>
                <w:sz w:val="24"/>
                <w:szCs w:val="24"/>
                <w:lang w:val="lv-LV"/>
              </w:rPr>
              <w:t>Turpmākie trīs gadi (</w:t>
            </w:r>
            <w:proofErr w:type="spellStart"/>
            <w:r w:rsidRPr="00B53881">
              <w:rPr>
                <w:rFonts w:cs="Times New Roman"/>
                <w:i/>
                <w:sz w:val="24"/>
                <w:szCs w:val="24"/>
                <w:lang w:val="lv-LV"/>
              </w:rPr>
              <w:t>euro</w:t>
            </w:r>
            <w:proofErr w:type="spellEnd"/>
            <w:r w:rsidRPr="00B53881">
              <w:rPr>
                <w:rFonts w:cs="Times New Roman"/>
                <w:sz w:val="24"/>
                <w:szCs w:val="24"/>
                <w:lang w:val="lv-LV"/>
              </w:rPr>
              <w:t>)</w:t>
            </w:r>
          </w:p>
        </w:tc>
      </w:tr>
      <w:tr w:rsidR="00DB04E0" w:rsidRPr="00DB04E0" w:rsidTr="00D56176">
        <w:trPr>
          <w:cantSplit/>
        </w:trPr>
        <w:tc>
          <w:tcPr>
            <w:tcW w:w="1720" w:type="pct"/>
            <w:vMerge/>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pPr>
              <w:rPr>
                <w:rFonts w:cs="Times New Roman"/>
                <w:b/>
                <w:bCs/>
                <w:sz w:val="24"/>
                <w:szCs w:val="24"/>
                <w:lang w:val="lv-LV" w:eastAsia="lv-LV"/>
              </w:rPr>
            </w:pPr>
          </w:p>
        </w:tc>
        <w:tc>
          <w:tcPr>
            <w:tcW w:w="1384" w:type="pct"/>
            <w:gridSpan w:val="2"/>
            <w:vMerge/>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pPr>
              <w:rPr>
                <w:rFonts w:cs="Times New Roman"/>
                <w:b/>
                <w:bCs/>
                <w:sz w:val="24"/>
                <w:szCs w:val="24"/>
                <w:lang w:val="lv-LV" w:eastAsia="lv-LV"/>
              </w:rPr>
            </w:pPr>
          </w:p>
        </w:tc>
        <w:tc>
          <w:tcPr>
            <w:tcW w:w="666" w:type="pct"/>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pPr>
              <w:jc w:val="center"/>
              <w:rPr>
                <w:rFonts w:cs="Times New Roman"/>
                <w:b/>
                <w:bCs/>
                <w:sz w:val="24"/>
                <w:szCs w:val="24"/>
                <w:lang w:val="lv-LV" w:eastAsia="lv-LV"/>
              </w:rPr>
            </w:pPr>
            <w:r w:rsidRPr="00DB04E0">
              <w:rPr>
                <w:rFonts w:cs="Times New Roman"/>
                <w:b/>
                <w:bCs/>
                <w:sz w:val="24"/>
                <w:szCs w:val="24"/>
              </w:rPr>
              <w:t>2018</w:t>
            </w:r>
          </w:p>
        </w:tc>
        <w:tc>
          <w:tcPr>
            <w:tcW w:w="483" w:type="pct"/>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pPr>
              <w:jc w:val="center"/>
              <w:rPr>
                <w:rFonts w:cs="Times New Roman"/>
                <w:b/>
                <w:bCs/>
                <w:sz w:val="24"/>
                <w:szCs w:val="24"/>
                <w:lang w:val="lv-LV" w:eastAsia="lv-LV"/>
              </w:rPr>
            </w:pPr>
            <w:r w:rsidRPr="00DB04E0">
              <w:rPr>
                <w:rFonts w:cs="Times New Roman"/>
                <w:b/>
                <w:bCs/>
                <w:sz w:val="24"/>
                <w:szCs w:val="24"/>
              </w:rPr>
              <w:t>2019</w:t>
            </w:r>
          </w:p>
        </w:tc>
        <w:tc>
          <w:tcPr>
            <w:tcW w:w="747" w:type="pct"/>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pPr>
              <w:jc w:val="center"/>
              <w:rPr>
                <w:rFonts w:cs="Times New Roman"/>
                <w:b/>
                <w:bCs/>
                <w:sz w:val="24"/>
                <w:szCs w:val="24"/>
                <w:lang w:val="lv-LV" w:eastAsia="lv-LV"/>
              </w:rPr>
            </w:pPr>
            <w:r w:rsidRPr="00DB04E0">
              <w:rPr>
                <w:rFonts w:cs="Times New Roman"/>
                <w:b/>
                <w:bCs/>
                <w:sz w:val="24"/>
                <w:szCs w:val="24"/>
              </w:rPr>
              <w:t>2020</w:t>
            </w:r>
          </w:p>
        </w:tc>
      </w:tr>
      <w:tr w:rsidR="00DB04E0" w:rsidRPr="00DB04E0" w:rsidTr="00D56176">
        <w:trPr>
          <w:cantSplit/>
        </w:trPr>
        <w:tc>
          <w:tcPr>
            <w:tcW w:w="1720" w:type="pct"/>
            <w:vMerge/>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pPr>
              <w:rPr>
                <w:rFonts w:cs="Times New Roman"/>
                <w:b/>
                <w:bCs/>
                <w:sz w:val="24"/>
                <w:szCs w:val="24"/>
                <w:lang w:val="lv-LV" w:eastAsia="lv-LV"/>
              </w:rPr>
            </w:pPr>
          </w:p>
        </w:tc>
        <w:tc>
          <w:tcPr>
            <w:tcW w:w="634" w:type="pct"/>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rsidP="003F71A6">
            <w:pPr>
              <w:rPr>
                <w:rFonts w:cs="Times New Roman"/>
                <w:sz w:val="24"/>
                <w:szCs w:val="24"/>
                <w:lang w:val="lv-LV" w:eastAsia="lv-LV"/>
              </w:rPr>
            </w:pPr>
            <w:proofErr w:type="spellStart"/>
            <w:r w:rsidRPr="00DB04E0">
              <w:rPr>
                <w:rFonts w:cs="Times New Roman"/>
                <w:sz w:val="24"/>
                <w:szCs w:val="24"/>
              </w:rPr>
              <w:t>saskaņā</w:t>
            </w:r>
            <w:proofErr w:type="spellEnd"/>
            <w:r w:rsidRPr="00DB04E0">
              <w:rPr>
                <w:rFonts w:cs="Times New Roman"/>
                <w:sz w:val="24"/>
                <w:szCs w:val="24"/>
              </w:rPr>
              <w:t xml:space="preserve"> </w:t>
            </w:r>
            <w:proofErr w:type="spellStart"/>
            <w:r w:rsidRPr="00DB04E0">
              <w:rPr>
                <w:rFonts w:cs="Times New Roman"/>
                <w:sz w:val="24"/>
                <w:szCs w:val="24"/>
              </w:rPr>
              <w:t>ar</w:t>
            </w:r>
            <w:proofErr w:type="spellEnd"/>
            <w:r w:rsidRPr="00DB04E0">
              <w:rPr>
                <w:rFonts w:cs="Times New Roman"/>
                <w:sz w:val="24"/>
                <w:szCs w:val="24"/>
              </w:rPr>
              <w:t xml:space="preserve"> </w:t>
            </w:r>
            <w:proofErr w:type="spellStart"/>
            <w:r w:rsidRPr="00DB04E0">
              <w:rPr>
                <w:rFonts w:cs="Times New Roman"/>
                <w:sz w:val="24"/>
                <w:szCs w:val="24"/>
              </w:rPr>
              <w:t>valsts</w:t>
            </w:r>
            <w:proofErr w:type="spellEnd"/>
            <w:r w:rsidRPr="00DB04E0">
              <w:rPr>
                <w:rFonts w:cs="Times New Roman"/>
                <w:sz w:val="24"/>
                <w:szCs w:val="24"/>
              </w:rPr>
              <w:t xml:space="preserve"> </w:t>
            </w:r>
            <w:proofErr w:type="spellStart"/>
            <w:r w:rsidRPr="00DB04E0">
              <w:rPr>
                <w:rFonts w:cs="Times New Roman"/>
                <w:sz w:val="24"/>
                <w:szCs w:val="24"/>
              </w:rPr>
              <w:t>budžetu</w:t>
            </w:r>
            <w:proofErr w:type="spellEnd"/>
            <w:r w:rsidRPr="00DB04E0">
              <w:rPr>
                <w:rFonts w:cs="Times New Roman"/>
                <w:sz w:val="24"/>
                <w:szCs w:val="24"/>
              </w:rPr>
              <w:t xml:space="preserve"> </w:t>
            </w:r>
            <w:proofErr w:type="spellStart"/>
            <w:r w:rsidRPr="00DB04E0">
              <w:rPr>
                <w:rFonts w:cs="Times New Roman"/>
                <w:sz w:val="24"/>
                <w:szCs w:val="24"/>
              </w:rPr>
              <w:t>kārtējam</w:t>
            </w:r>
            <w:proofErr w:type="spellEnd"/>
            <w:r w:rsidRPr="00DB04E0">
              <w:rPr>
                <w:rFonts w:cs="Times New Roman"/>
                <w:sz w:val="24"/>
                <w:szCs w:val="24"/>
              </w:rPr>
              <w:t xml:space="preserve"> </w:t>
            </w:r>
            <w:proofErr w:type="spellStart"/>
            <w:r w:rsidRPr="00DB04E0">
              <w:rPr>
                <w:rFonts w:cs="Times New Roman"/>
                <w:sz w:val="24"/>
                <w:szCs w:val="24"/>
              </w:rPr>
              <w:t>gadam</w:t>
            </w:r>
            <w:proofErr w:type="spellEnd"/>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pPr>
              <w:jc w:val="center"/>
              <w:rPr>
                <w:rFonts w:cs="Times New Roman"/>
                <w:sz w:val="24"/>
                <w:szCs w:val="24"/>
                <w:lang w:val="lv-LV" w:eastAsia="lv-LV"/>
              </w:rPr>
            </w:pPr>
            <w:r w:rsidRPr="00DF6BF8">
              <w:rPr>
                <w:rFonts w:cs="Times New Roman"/>
                <w:sz w:val="24"/>
                <w:szCs w:val="24"/>
                <w:lang w:val="lv-LV"/>
              </w:rPr>
              <w:t>izmaiņas kārtējā gadā, salīdzinot ar valsts budžetu kārtējam gadam</w:t>
            </w:r>
          </w:p>
        </w:tc>
        <w:tc>
          <w:tcPr>
            <w:tcW w:w="666" w:type="pct"/>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pPr>
              <w:jc w:val="center"/>
              <w:rPr>
                <w:rFonts w:cs="Times New Roman"/>
                <w:sz w:val="24"/>
                <w:szCs w:val="24"/>
                <w:lang w:val="lv-LV" w:eastAsia="lv-LV"/>
              </w:rPr>
            </w:pPr>
            <w:proofErr w:type="spellStart"/>
            <w:r w:rsidRPr="00DB04E0">
              <w:rPr>
                <w:rFonts w:cs="Times New Roman"/>
                <w:sz w:val="24"/>
                <w:szCs w:val="24"/>
              </w:rPr>
              <w:t>izmaiņas</w:t>
            </w:r>
            <w:proofErr w:type="spellEnd"/>
            <w:r w:rsidRPr="00DB04E0">
              <w:rPr>
                <w:rFonts w:cs="Times New Roman"/>
                <w:sz w:val="24"/>
                <w:szCs w:val="24"/>
              </w:rPr>
              <w:t xml:space="preserve">, </w:t>
            </w:r>
            <w:proofErr w:type="spellStart"/>
            <w:r w:rsidRPr="00DB04E0">
              <w:rPr>
                <w:rFonts w:cs="Times New Roman"/>
                <w:sz w:val="24"/>
                <w:szCs w:val="24"/>
              </w:rPr>
              <w:t>salīdzinot</w:t>
            </w:r>
            <w:proofErr w:type="spellEnd"/>
            <w:r w:rsidRPr="00DB04E0">
              <w:rPr>
                <w:rFonts w:cs="Times New Roman"/>
                <w:sz w:val="24"/>
                <w:szCs w:val="24"/>
              </w:rPr>
              <w:t xml:space="preserve"> </w:t>
            </w:r>
            <w:proofErr w:type="spellStart"/>
            <w:r w:rsidRPr="00DB04E0">
              <w:rPr>
                <w:rFonts w:cs="Times New Roman"/>
                <w:sz w:val="24"/>
                <w:szCs w:val="24"/>
              </w:rPr>
              <w:t>ar</w:t>
            </w:r>
            <w:proofErr w:type="spellEnd"/>
            <w:r w:rsidRPr="00DB04E0">
              <w:rPr>
                <w:rFonts w:cs="Times New Roman"/>
                <w:sz w:val="24"/>
                <w:szCs w:val="24"/>
              </w:rPr>
              <w:t xml:space="preserve"> </w:t>
            </w:r>
            <w:proofErr w:type="spellStart"/>
            <w:r w:rsidRPr="00DB04E0">
              <w:rPr>
                <w:rFonts w:cs="Times New Roman"/>
                <w:sz w:val="24"/>
                <w:szCs w:val="24"/>
              </w:rPr>
              <w:t>kārtējo</w:t>
            </w:r>
            <w:proofErr w:type="spellEnd"/>
            <w:r w:rsidRPr="00DB04E0">
              <w:rPr>
                <w:rFonts w:cs="Times New Roman"/>
                <w:sz w:val="24"/>
                <w:szCs w:val="24"/>
              </w:rPr>
              <w:t xml:space="preserve"> 2017.gadu</w:t>
            </w:r>
          </w:p>
        </w:tc>
        <w:tc>
          <w:tcPr>
            <w:tcW w:w="483" w:type="pct"/>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pPr>
              <w:ind w:firstLine="6"/>
              <w:jc w:val="center"/>
              <w:rPr>
                <w:rFonts w:cs="Times New Roman"/>
                <w:sz w:val="24"/>
                <w:szCs w:val="24"/>
                <w:lang w:val="lv-LV" w:eastAsia="lv-LV"/>
              </w:rPr>
            </w:pPr>
            <w:proofErr w:type="spellStart"/>
            <w:r w:rsidRPr="00DB04E0">
              <w:rPr>
                <w:rFonts w:cs="Times New Roman"/>
                <w:sz w:val="24"/>
                <w:szCs w:val="24"/>
              </w:rPr>
              <w:t>izmaiņas</w:t>
            </w:r>
            <w:proofErr w:type="spellEnd"/>
            <w:r w:rsidRPr="00DB04E0">
              <w:rPr>
                <w:rFonts w:cs="Times New Roman"/>
                <w:sz w:val="24"/>
                <w:szCs w:val="24"/>
              </w:rPr>
              <w:t xml:space="preserve">, </w:t>
            </w:r>
            <w:proofErr w:type="spellStart"/>
            <w:r w:rsidRPr="00DB04E0">
              <w:rPr>
                <w:rFonts w:cs="Times New Roman"/>
                <w:sz w:val="24"/>
                <w:szCs w:val="24"/>
              </w:rPr>
              <w:t>salīdzinot</w:t>
            </w:r>
            <w:proofErr w:type="spellEnd"/>
            <w:r w:rsidRPr="00DB04E0">
              <w:rPr>
                <w:rFonts w:cs="Times New Roman"/>
                <w:sz w:val="24"/>
                <w:szCs w:val="24"/>
              </w:rPr>
              <w:t xml:space="preserve"> </w:t>
            </w:r>
            <w:proofErr w:type="spellStart"/>
            <w:r w:rsidRPr="00DB04E0">
              <w:rPr>
                <w:rFonts w:cs="Times New Roman"/>
                <w:sz w:val="24"/>
                <w:szCs w:val="24"/>
              </w:rPr>
              <w:t>ar</w:t>
            </w:r>
            <w:proofErr w:type="spellEnd"/>
            <w:r w:rsidRPr="00DB04E0">
              <w:rPr>
                <w:rFonts w:cs="Times New Roman"/>
                <w:sz w:val="24"/>
                <w:szCs w:val="24"/>
              </w:rPr>
              <w:t xml:space="preserve"> </w:t>
            </w:r>
            <w:proofErr w:type="spellStart"/>
            <w:r w:rsidRPr="00DB04E0">
              <w:rPr>
                <w:rFonts w:cs="Times New Roman"/>
                <w:sz w:val="24"/>
                <w:szCs w:val="24"/>
              </w:rPr>
              <w:t>kārtējo</w:t>
            </w:r>
            <w:proofErr w:type="spellEnd"/>
            <w:r w:rsidRPr="00DB04E0">
              <w:rPr>
                <w:rFonts w:cs="Times New Roman"/>
                <w:sz w:val="24"/>
                <w:szCs w:val="24"/>
              </w:rPr>
              <w:t xml:space="preserve"> 2017.gadu</w:t>
            </w:r>
          </w:p>
        </w:tc>
        <w:tc>
          <w:tcPr>
            <w:tcW w:w="747" w:type="pct"/>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pPr>
              <w:jc w:val="center"/>
              <w:rPr>
                <w:rFonts w:cs="Times New Roman"/>
                <w:sz w:val="24"/>
                <w:szCs w:val="24"/>
                <w:lang w:val="lv-LV" w:eastAsia="lv-LV"/>
              </w:rPr>
            </w:pPr>
            <w:proofErr w:type="spellStart"/>
            <w:r w:rsidRPr="00DB04E0">
              <w:rPr>
                <w:rFonts w:cs="Times New Roman"/>
                <w:sz w:val="24"/>
                <w:szCs w:val="24"/>
              </w:rPr>
              <w:t>izmaiņas</w:t>
            </w:r>
            <w:proofErr w:type="spellEnd"/>
            <w:r w:rsidRPr="00DB04E0">
              <w:rPr>
                <w:rFonts w:cs="Times New Roman"/>
                <w:sz w:val="24"/>
                <w:szCs w:val="24"/>
              </w:rPr>
              <w:t xml:space="preserve">, </w:t>
            </w:r>
            <w:proofErr w:type="spellStart"/>
            <w:r w:rsidRPr="00DB04E0">
              <w:rPr>
                <w:rFonts w:cs="Times New Roman"/>
                <w:sz w:val="24"/>
                <w:szCs w:val="24"/>
              </w:rPr>
              <w:t>salīdzinot</w:t>
            </w:r>
            <w:proofErr w:type="spellEnd"/>
            <w:r w:rsidRPr="00DB04E0">
              <w:rPr>
                <w:rFonts w:cs="Times New Roman"/>
                <w:sz w:val="24"/>
                <w:szCs w:val="24"/>
              </w:rPr>
              <w:t xml:space="preserve"> </w:t>
            </w:r>
            <w:proofErr w:type="spellStart"/>
            <w:r w:rsidRPr="00DB04E0">
              <w:rPr>
                <w:rFonts w:cs="Times New Roman"/>
                <w:sz w:val="24"/>
                <w:szCs w:val="24"/>
              </w:rPr>
              <w:t>ar</w:t>
            </w:r>
            <w:proofErr w:type="spellEnd"/>
            <w:r w:rsidRPr="00DB04E0">
              <w:rPr>
                <w:rFonts w:cs="Times New Roman"/>
                <w:sz w:val="24"/>
                <w:szCs w:val="24"/>
              </w:rPr>
              <w:t xml:space="preserve"> </w:t>
            </w:r>
            <w:proofErr w:type="spellStart"/>
            <w:r w:rsidRPr="00DB04E0">
              <w:rPr>
                <w:rFonts w:cs="Times New Roman"/>
                <w:sz w:val="24"/>
                <w:szCs w:val="24"/>
              </w:rPr>
              <w:t>kārtējo</w:t>
            </w:r>
            <w:proofErr w:type="spellEnd"/>
            <w:r w:rsidRPr="00DB04E0">
              <w:rPr>
                <w:rFonts w:cs="Times New Roman"/>
                <w:sz w:val="24"/>
                <w:szCs w:val="24"/>
              </w:rPr>
              <w:t xml:space="preserve"> 2017.gadu</w:t>
            </w:r>
          </w:p>
        </w:tc>
      </w:tr>
      <w:tr w:rsidR="00DB04E0" w:rsidRPr="00DB04E0" w:rsidTr="00D56176">
        <w:trPr>
          <w:cantSplit/>
        </w:trPr>
        <w:tc>
          <w:tcPr>
            <w:tcW w:w="1720" w:type="pct"/>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pPr>
              <w:jc w:val="center"/>
              <w:rPr>
                <w:rFonts w:cs="Times New Roman"/>
                <w:sz w:val="24"/>
                <w:szCs w:val="24"/>
                <w:lang w:val="lv-LV" w:eastAsia="lv-LV"/>
              </w:rPr>
            </w:pPr>
            <w:r w:rsidRPr="00DB04E0">
              <w:rPr>
                <w:rFonts w:cs="Times New Roman"/>
                <w:sz w:val="24"/>
                <w:szCs w:val="24"/>
              </w:rPr>
              <w:t>1</w:t>
            </w:r>
          </w:p>
        </w:tc>
        <w:tc>
          <w:tcPr>
            <w:tcW w:w="634" w:type="pct"/>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pPr>
              <w:jc w:val="center"/>
              <w:rPr>
                <w:rFonts w:cs="Times New Roman"/>
                <w:sz w:val="24"/>
                <w:szCs w:val="24"/>
                <w:lang w:val="lv-LV" w:eastAsia="lv-LV"/>
              </w:rPr>
            </w:pPr>
            <w:r w:rsidRPr="00DB04E0">
              <w:rPr>
                <w:rFonts w:cs="Times New Roman"/>
                <w:sz w:val="24"/>
                <w:szCs w:val="24"/>
              </w:rPr>
              <w:t>2</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pPr>
              <w:jc w:val="center"/>
              <w:rPr>
                <w:rFonts w:cs="Times New Roman"/>
                <w:sz w:val="24"/>
                <w:szCs w:val="24"/>
                <w:lang w:val="lv-LV" w:eastAsia="lv-LV"/>
              </w:rPr>
            </w:pPr>
            <w:r w:rsidRPr="00DB04E0">
              <w:rPr>
                <w:rFonts w:cs="Times New Roman"/>
                <w:sz w:val="24"/>
                <w:szCs w:val="24"/>
              </w:rPr>
              <w:t>3</w:t>
            </w:r>
          </w:p>
        </w:tc>
        <w:tc>
          <w:tcPr>
            <w:tcW w:w="666" w:type="pct"/>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pPr>
              <w:jc w:val="center"/>
              <w:rPr>
                <w:rFonts w:cs="Times New Roman"/>
                <w:sz w:val="24"/>
                <w:szCs w:val="24"/>
                <w:lang w:val="lv-LV" w:eastAsia="lv-LV"/>
              </w:rPr>
            </w:pPr>
            <w:r w:rsidRPr="00DB04E0">
              <w:rPr>
                <w:rFonts w:cs="Times New Roman"/>
                <w:sz w:val="24"/>
                <w:szCs w:val="24"/>
              </w:rPr>
              <w:t>4</w:t>
            </w:r>
          </w:p>
        </w:tc>
        <w:tc>
          <w:tcPr>
            <w:tcW w:w="483" w:type="pct"/>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pPr>
              <w:jc w:val="center"/>
              <w:rPr>
                <w:rFonts w:cs="Times New Roman"/>
                <w:sz w:val="24"/>
                <w:szCs w:val="24"/>
                <w:lang w:val="lv-LV" w:eastAsia="lv-LV"/>
              </w:rPr>
            </w:pPr>
            <w:r w:rsidRPr="00DB04E0">
              <w:rPr>
                <w:rFonts w:cs="Times New Roman"/>
                <w:sz w:val="24"/>
                <w:szCs w:val="24"/>
              </w:rPr>
              <w:t>5</w:t>
            </w:r>
          </w:p>
        </w:tc>
        <w:tc>
          <w:tcPr>
            <w:tcW w:w="747" w:type="pct"/>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pPr>
              <w:jc w:val="center"/>
              <w:rPr>
                <w:rFonts w:cs="Times New Roman"/>
                <w:sz w:val="24"/>
                <w:szCs w:val="24"/>
                <w:lang w:val="lv-LV" w:eastAsia="lv-LV"/>
              </w:rPr>
            </w:pPr>
            <w:r w:rsidRPr="00DB04E0">
              <w:rPr>
                <w:rFonts w:cs="Times New Roman"/>
                <w:sz w:val="24"/>
                <w:szCs w:val="24"/>
              </w:rPr>
              <w:t>6</w:t>
            </w:r>
          </w:p>
        </w:tc>
      </w:tr>
      <w:tr w:rsidR="00D56176" w:rsidRPr="00DB04E0" w:rsidTr="00D56176">
        <w:trPr>
          <w:cantSplit/>
        </w:trPr>
        <w:tc>
          <w:tcPr>
            <w:tcW w:w="1720" w:type="pct"/>
            <w:tcBorders>
              <w:top w:val="outset" w:sz="6" w:space="0" w:color="414142"/>
              <w:left w:val="outset" w:sz="6" w:space="0" w:color="414142"/>
              <w:bottom w:val="outset" w:sz="6" w:space="0" w:color="414142"/>
              <w:right w:val="outset" w:sz="6" w:space="0" w:color="414142"/>
            </w:tcBorders>
            <w:hideMark/>
          </w:tcPr>
          <w:p w:rsidR="00D56176" w:rsidRPr="00DB04E0" w:rsidRDefault="00D56176">
            <w:pPr>
              <w:rPr>
                <w:rFonts w:cs="Times New Roman"/>
                <w:sz w:val="24"/>
                <w:szCs w:val="24"/>
                <w:lang w:val="lv-LV" w:eastAsia="lv-LV"/>
              </w:rPr>
            </w:pPr>
            <w:r w:rsidRPr="00DB04E0">
              <w:rPr>
                <w:rFonts w:cs="Times New Roman"/>
                <w:sz w:val="24"/>
                <w:szCs w:val="24"/>
              </w:rPr>
              <w:t xml:space="preserve">1. </w:t>
            </w:r>
            <w:proofErr w:type="spellStart"/>
            <w:r w:rsidRPr="00DB04E0">
              <w:rPr>
                <w:rFonts w:cs="Times New Roman"/>
                <w:sz w:val="24"/>
                <w:szCs w:val="24"/>
              </w:rPr>
              <w:t>Budžeta</w:t>
            </w:r>
            <w:proofErr w:type="spellEnd"/>
            <w:r w:rsidRPr="00DB04E0">
              <w:rPr>
                <w:rFonts w:cs="Times New Roman"/>
                <w:sz w:val="24"/>
                <w:szCs w:val="24"/>
              </w:rPr>
              <w:t xml:space="preserve"> </w:t>
            </w:r>
            <w:proofErr w:type="spellStart"/>
            <w:r w:rsidRPr="00DB04E0">
              <w:rPr>
                <w:rFonts w:cs="Times New Roman"/>
                <w:sz w:val="24"/>
                <w:szCs w:val="24"/>
              </w:rPr>
              <w:t>ieņēmumi</w:t>
            </w:r>
            <w:proofErr w:type="spellEnd"/>
            <w:r w:rsidRPr="00DB04E0">
              <w:rPr>
                <w:rFonts w:cs="Times New Roman"/>
                <w:sz w:val="24"/>
                <w:szCs w:val="24"/>
              </w:rPr>
              <w:t>:</w:t>
            </w:r>
          </w:p>
        </w:tc>
        <w:tc>
          <w:tcPr>
            <w:tcW w:w="634" w:type="pct"/>
            <w:tcBorders>
              <w:top w:val="outset" w:sz="6" w:space="0" w:color="414142"/>
              <w:left w:val="outset" w:sz="6" w:space="0" w:color="414142"/>
              <w:bottom w:val="outset" w:sz="6" w:space="0" w:color="414142"/>
              <w:right w:val="outset" w:sz="6" w:space="0" w:color="414142"/>
            </w:tcBorders>
            <w:hideMark/>
          </w:tcPr>
          <w:p w:rsidR="00D56176" w:rsidRPr="00DB04E0" w:rsidRDefault="00D56176">
            <w:pPr>
              <w:jc w:val="center"/>
              <w:rPr>
                <w:rFonts w:cs="Times New Roman"/>
                <w:sz w:val="24"/>
                <w:szCs w:val="24"/>
                <w:lang w:val="lv-LV" w:eastAsia="lv-LV"/>
              </w:rPr>
            </w:pPr>
            <w:r w:rsidRPr="00DB04E0">
              <w:rPr>
                <w:rFonts w:cs="Times New Roman"/>
                <w:sz w:val="24"/>
                <w:szCs w:val="24"/>
              </w:rPr>
              <w:t>0</w:t>
            </w:r>
          </w:p>
        </w:tc>
        <w:tc>
          <w:tcPr>
            <w:tcW w:w="750" w:type="pct"/>
            <w:tcBorders>
              <w:top w:val="outset" w:sz="6" w:space="0" w:color="414142"/>
              <w:left w:val="outset" w:sz="6" w:space="0" w:color="414142"/>
              <w:bottom w:val="outset" w:sz="6" w:space="0" w:color="414142"/>
              <w:right w:val="outset" w:sz="6" w:space="0" w:color="414142"/>
            </w:tcBorders>
          </w:tcPr>
          <w:p w:rsidR="00D56176" w:rsidRPr="00DB04E0" w:rsidRDefault="00D56176" w:rsidP="00D56176">
            <w:pPr>
              <w:jc w:val="center"/>
              <w:rPr>
                <w:rFonts w:cs="Times New Roman"/>
                <w:sz w:val="24"/>
                <w:szCs w:val="24"/>
                <w:lang w:val="lv-LV" w:eastAsia="lv-LV"/>
              </w:rPr>
            </w:pPr>
            <w:r>
              <w:rPr>
                <w:rFonts w:cs="Times New Roman"/>
                <w:sz w:val="24"/>
                <w:szCs w:val="24"/>
                <w:lang w:val="lv-LV" w:eastAsia="lv-LV"/>
              </w:rPr>
              <w:t>3 114 420</w:t>
            </w:r>
          </w:p>
        </w:tc>
        <w:tc>
          <w:tcPr>
            <w:tcW w:w="666" w:type="pct"/>
            <w:tcBorders>
              <w:top w:val="outset" w:sz="6" w:space="0" w:color="414142"/>
              <w:left w:val="outset" w:sz="6" w:space="0" w:color="414142"/>
              <w:bottom w:val="outset" w:sz="6" w:space="0" w:color="414142"/>
              <w:right w:val="outset" w:sz="6" w:space="0" w:color="414142"/>
            </w:tcBorders>
          </w:tcPr>
          <w:p w:rsidR="00D56176" w:rsidRPr="00DB04E0" w:rsidRDefault="00D56176" w:rsidP="00E14855">
            <w:pPr>
              <w:jc w:val="center"/>
              <w:rPr>
                <w:rFonts w:cs="Times New Roman"/>
                <w:sz w:val="24"/>
                <w:szCs w:val="24"/>
                <w:lang w:val="lv-LV" w:eastAsia="lv-LV"/>
              </w:rPr>
            </w:pPr>
            <w:r>
              <w:rPr>
                <w:rFonts w:cs="Times New Roman"/>
                <w:sz w:val="24"/>
                <w:szCs w:val="24"/>
                <w:lang w:val="lv-LV" w:eastAsia="lv-LV"/>
              </w:rPr>
              <w:t>5 826 480</w:t>
            </w:r>
          </w:p>
        </w:tc>
        <w:tc>
          <w:tcPr>
            <w:tcW w:w="483" w:type="pct"/>
            <w:tcBorders>
              <w:top w:val="outset" w:sz="6" w:space="0" w:color="414142"/>
              <w:left w:val="outset" w:sz="6" w:space="0" w:color="414142"/>
              <w:bottom w:val="outset" w:sz="6" w:space="0" w:color="414142"/>
              <w:right w:val="outset" w:sz="6" w:space="0" w:color="414142"/>
            </w:tcBorders>
            <w:hideMark/>
          </w:tcPr>
          <w:p w:rsidR="00D56176" w:rsidRPr="00DB04E0" w:rsidRDefault="00D56176">
            <w:pPr>
              <w:jc w:val="center"/>
              <w:rPr>
                <w:rFonts w:cs="Times New Roman"/>
                <w:sz w:val="24"/>
                <w:szCs w:val="24"/>
                <w:lang w:val="lv-LV" w:eastAsia="lv-LV"/>
              </w:rPr>
            </w:pPr>
            <w:r w:rsidRPr="00DB04E0">
              <w:rPr>
                <w:rFonts w:cs="Times New Roman"/>
                <w:sz w:val="24"/>
                <w:szCs w:val="24"/>
              </w:rPr>
              <w:t>0</w:t>
            </w:r>
          </w:p>
        </w:tc>
        <w:tc>
          <w:tcPr>
            <w:tcW w:w="747" w:type="pct"/>
            <w:tcBorders>
              <w:top w:val="outset" w:sz="6" w:space="0" w:color="414142"/>
              <w:left w:val="outset" w:sz="6" w:space="0" w:color="414142"/>
              <w:bottom w:val="outset" w:sz="6" w:space="0" w:color="414142"/>
              <w:right w:val="outset" w:sz="6" w:space="0" w:color="414142"/>
            </w:tcBorders>
            <w:hideMark/>
          </w:tcPr>
          <w:p w:rsidR="00D56176" w:rsidRPr="00DB04E0" w:rsidRDefault="00D56176">
            <w:pPr>
              <w:jc w:val="center"/>
              <w:rPr>
                <w:rFonts w:cs="Times New Roman"/>
                <w:sz w:val="24"/>
                <w:szCs w:val="24"/>
                <w:lang w:val="lv-LV" w:eastAsia="lv-LV"/>
              </w:rPr>
            </w:pPr>
            <w:r w:rsidRPr="00DB04E0">
              <w:rPr>
                <w:rFonts w:cs="Times New Roman"/>
                <w:sz w:val="24"/>
                <w:szCs w:val="24"/>
              </w:rPr>
              <w:t>0</w:t>
            </w:r>
          </w:p>
        </w:tc>
      </w:tr>
      <w:tr w:rsidR="00DB04E0" w:rsidRPr="00DB04E0" w:rsidTr="00D56176">
        <w:trPr>
          <w:cantSplit/>
        </w:trPr>
        <w:tc>
          <w:tcPr>
            <w:tcW w:w="172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r w:rsidRPr="00DB04E0">
              <w:rPr>
                <w:rFonts w:cs="Times New Roman"/>
                <w:sz w:val="24"/>
                <w:szCs w:val="24"/>
              </w:rPr>
              <w:lastRenderedPageBreak/>
              <w:t xml:space="preserve">1.1. </w:t>
            </w:r>
            <w:proofErr w:type="spellStart"/>
            <w:r w:rsidRPr="00DB04E0">
              <w:rPr>
                <w:rFonts w:cs="Times New Roman"/>
                <w:sz w:val="24"/>
                <w:szCs w:val="24"/>
              </w:rPr>
              <w:t>valsts</w:t>
            </w:r>
            <w:proofErr w:type="spellEnd"/>
            <w:r w:rsidRPr="00DB04E0">
              <w:rPr>
                <w:rFonts w:cs="Times New Roman"/>
                <w:sz w:val="24"/>
                <w:szCs w:val="24"/>
              </w:rPr>
              <w:t xml:space="preserve"> </w:t>
            </w:r>
            <w:proofErr w:type="spellStart"/>
            <w:r w:rsidRPr="00DB04E0">
              <w:rPr>
                <w:rFonts w:cs="Times New Roman"/>
                <w:sz w:val="24"/>
                <w:szCs w:val="24"/>
              </w:rPr>
              <w:t>pamatbudžets</w:t>
            </w:r>
            <w:proofErr w:type="spellEnd"/>
            <w:r w:rsidRPr="00DB04E0">
              <w:rPr>
                <w:rFonts w:cs="Times New Roman"/>
                <w:sz w:val="24"/>
                <w:szCs w:val="24"/>
              </w:rPr>
              <w:t xml:space="preserve">, tai </w:t>
            </w:r>
            <w:proofErr w:type="spellStart"/>
            <w:r w:rsidRPr="00DB04E0">
              <w:rPr>
                <w:rFonts w:cs="Times New Roman"/>
                <w:sz w:val="24"/>
                <w:szCs w:val="24"/>
              </w:rPr>
              <w:t>skaitā</w:t>
            </w:r>
            <w:proofErr w:type="spellEnd"/>
            <w:r w:rsidRPr="00DB04E0">
              <w:rPr>
                <w:rFonts w:cs="Times New Roman"/>
                <w:sz w:val="24"/>
                <w:szCs w:val="24"/>
              </w:rPr>
              <w:t xml:space="preserve"> </w:t>
            </w:r>
            <w:proofErr w:type="spellStart"/>
            <w:r w:rsidRPr="00DB04E0">
              <w:rPr>
                <w:rFonts w:cs="Times New Roman"/>
                <w:sz w:val="24"/>
                <w:szCs w:val="24"/>
              </w:rPr>
              <w:t>ieņēmumi</w:t>
            </w:r>
            <w:proofErr w:type="spellEnd"/>
            <w:r w:rsidRPr="00DB04E0">
              <w:rPr>
                <w:rFonts w:cs="Times New Roman"/>
                <w:sz w:val="24"/>
                <w:szCs w:val="24"/>
              </w:rPr>
              <w:t xml:space="preserve"> no </w:t>
            </w:r>
            <w:proofErr w:type="spellStart"/>
            <w:r w:rsidRPr="00DB04E0">
              <w:rPr>
                <w:rFonts w:cs="Times New Roman"/>
                <w:sz w:val="24"/>
                <w:szCs w:val="24"/>
              </w:rPr>
              <w:t>maksas</w:t>
            </w:r>
            <w:proofErr w:type="spellEnd"/>
            <w:r w:rsidRPr="00DB04E0">
              <w:rPr>
                <w:rFonts w:cs="Times New Roman"/>
                <w:sz w:val="24"/>
                <w:szCs w:val="24"/>
              </w:rPr>
              <w:t xml:space="preserve"> </w:t>
            </w:r>
            <w:proofErr w:type="spellStart"/>
            <w:r w:rsidRPr="00DB04E0">
              <w:rPr>
                <w:rFonts w:cs="Times New Roman"/>
                <w:sz w:val="24"/>
                <w:szCs w:val="24"/>
              </w:rPr>
              <w:t>pakalpojumiem</w:t>
            </w:r>
            <w:proofErr w:type="spellEnd"/>
            <w:r w:rsidRPr="00DB04E0">
              <w:rPr>
                <w:rFonts w:cs="Times New Roman"/>
                <w:sz w:val="24"/>
                <w:szCs w:val="24"/>
              </w:rPr>
              <w:t xml:space="preserve"> un </w:t>
            </w:r>
            <w:proofErr w:type="spellStart"/>
            <w:r w:rsidRPr="00DB04E0">
              <w:rPr>
                <w:rFonts w:cs="Times New Roman"/>
                <w:sz w:val="24"/>
                <w:szCs w:val="24"/>
              </w:rPr>
              <w:t>citi</w:t>
            </w:r>
            <w:proofErr w:type="spellEnd"/>
            <w:r w:rsidRPr="00DB04E0">
              <w:rPr>
                <w:rFonts w:cs="Times New Roman"/>
                <w:sz w:val="24"/>
                <w:szCs w:val="24"/>
              </w:rPr>
              <w:t xml:space="preserve"> </w:t>
            </w:r>
            <w:proofErr w:type="spellStart"/>
            <w:r w:rsidRPr="00DB04E0">
              <w:rPr>
                <w:rFonts w:cs="Times New Roman"/>
                <w:sz w:val="24"/>
                <w:szCs w:val="24"/>
              </w:rPr>
              <w:t>pašu</w:t>
            </w:r>
            <w:proofErr w:type="spellEnd"/>
            <w:r w:rsidRPr="00DB04E0">
              <w:rPr>
                <w:rFonts w:cs="Times New Roman"/>
                <w:sz w:val="24"/>
                <w:szCs w:val="24"/>
              </w:rPr>
              <w:t xml:space="preserve"> </w:t>
            </w:r>
            <w:proofErr w:type="spellStart"/>
            <w:r w:rsidRPr="00DB04E0">
              <w:rPr>
                <w:rFonts w:cs="Times New Roman"/>
                <w:sz w:val="24"/>
                <w:szCs w:val="24"/>
              </w:rPr>
              <w:t>ieņēmumi</w:t>
            </w:r>
            <w:proofErr w:type="spellEnd"/>
          </w:p>
        </w:tc>
        <w:tc>
          <w:tcPr>
            <w:tcW w:w="634"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jc w:val="center"/>
              <w:rPr>
                <w:rFonts w:cs="Times New Roman"/>
                <w:sz w:val="24"/>
                <w:szCs w:val="24"/>
                <w:lang w:val="lv-LV" w:eastAsia="lv-LV"/>
              </w:rPr>
            </w:pPr>
            <w:r w:rsidRPr="00DB04E0">
              <w:rPr>
                <w:rFonts w:cs="Times New Roman"/>
                <w:sz w:val="24"/>
                <w:szCs w:val="24"/>
              </w:rPr>
              <w:t>0</w:t>
            </w:r>
          </w:p>
        </w:tc>
        <w:tc>
          <w:tcPr>
            <w:tcW w:w="750" w:type="pct"/>
            <w:tcBorders>
              <w:top w:val="outset" w:sz="6" w:space="0" w:color="414142"/>
              <w:left w:val="outset" w:sz="6" w:space="0" w:color="414142"/>
              <w:bottom w:val="outset" w:sz="6" w:space="0" w:color="414142"/>
              <w:right w:val="outset" w:sz="6" w:space="0" w:color="414142"/>
            </w:tcBorders>
          </w:tcPr>
          <w:p w:rsidR="00DB04E0" w:rsidRDefault="00D56176">
            <w:pPr>
              <w:jc w:val="center"/>
              <w:rPr>
                <w:rFonts w:cs="Times New Roman"/>
                <w:sz w:val="24"/>
                <w:szCs w:val="24"/>
                <w:lang w:val="lv-LV" w:eastAsia="lv-LV"/>
              </w:rPr>
            </w:pPr>
            <w:r>
              <w:rPr>
                <w:rFonts w:cs="Times New Roman"/>
                <w:sz w:val="24"/>
                <w:szCs w:val="24"/>
                <w:lang w:val="lv-LV" w:eastAsia="lv-LV"/>
              </w:rPr>
              <w:t>3 114 420</w:t>
            </w:r>
          </w:p>
          <w:p w:rsidR="00D56176" w:rsidRDefault="00D56176">
            <w:pPr>
              <w:jc w:val="center"/>
              <w:rPr>
                <w:rFonts w:cs="Times New Roman"/>
                <w:sz w:val="24"/>
                <w:szCs w:val="24"/>
                <w:lang w:val="lv-LV" w:eastAsia="lv-LV"/>
              </w:rPr>
            </w:pPr>
          </w:p>
          <w:p w:rsidR="00DF6BF8" w:rsidRPr="00DB04E0" w:rsidRDefault="00DF6BF8">
            <w:pPr>
              <w:jc w:val="center"/>
              <w:rPr>
                <w:rFonts w:cs="Times New Roman"/>
                <w:sz w:val="24"/>
                <w:szCs w:val="24"/>
                <w:lang w:val="lv-LV" w:eastAsia="lv-LV"/>
              </w:rPr>
            </w:pPr>
          </w:p>
        </w:tc>
        <w:tc>
          <w:tcPr>
            <w:tcW w:w="666" w:type="pct"/>
            <w:tcBorders>
              <w:top w:val="outset" w:sz="6" w:space="0" w:color="414142"/>
              <w:left w:val="outset" w:sz="6" w:space="0" w:color="414142"/>
              <w:bottom w:val="outset" w:sz="6" w:space="0" w:color="414142"/>
              <w:right w:val="outset" w:sz="6" w:space="0" w:color="414142"/>
            </w:tcBorders>
          </w:tcPr>
          <w:p w:rsidR="00DB04E0" w:rsidRPr="00DB04E0" w:rsidRDefault="00D56176">
            <w:pPr>
              <w:jc w:val="center"/>
              <w:rPr>
                <w:rFonts w:cs="Times New Roman"/>
                <w:sz w:val="24"/>
                <w:szCs w:val="24"/>
                <w:lang w:val="lv-LV" w:eastAsia="lv-LV"/>
              </w:rPr>
            </w:pPr>
            <w:r>
              <w:rPr>
                <w:rFonts w:cs="Times New Roman"/>
                <w:sz w:val="24"/>
                <w:szCs w:val="24"/>
                <w:lang w:val="lv-LV" w:eastAsia="lv-LV"/>
              </w:rPr>
              <w:t>5 826 480</w:t>
            </w:r>
          </w:p>
        </w:tc>
        <w:tc>
          <w:tcPr>
            <w:tcW w:w="483"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jc w:val="center"/>
              <w:rPr>
                <w:rFonts w:cs="Times New Roman"/>
                <w:sz w:val="24"/>
                <w:szCs w:val="24"/>
                <w:lang w:val="lv-LV" w:eastAsia="lv-LV"/>
              </w:rPr>
            </w:pPr>
            <w:r w:rsidRPr="00DB04E0">
              <w:rPr>
                <w:rFonts w:cs="Times New Roman"/>
                <w:sz w:val="24"/>
                <w:szCs w:val="24"/>
              </w:rPr>
              <w:t>0</w:t>
            </w:r>
          </w:p>
        </w:tc>
        <w:tc>
          <w:tcPr>
            <w:tcW w:w="747"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jc w:val="center"/>
              <w:rPr>
                <w:rFonts w:cs="Times New Roman"/>
                <w:sz w:val="24"/>
                <w:szCs w:val="24"/>
                <w:lang w:val="lv-LV" w:eastAsia="lv-LV"/>
              </w:rPr>
            </w:pPr>
            <w:r w:rsidRPr="00DB04E0">
              <w:rPr>
                <w:rFonts w:cs="Times New Roman"/>
                <w:sz w:val="24"/>
                <w:szCs w:val="24"/>
              </w:rPr>
              <w:t>0</w:t>
            </w:r>
          </w:p>
        </w:tc>
      </w:tr>
      <w:tr w:rsidR="00DB04E0" w:rsidRPr="00DB04E0" w:rsidTr="00D56176">
        <w:trPr>
          <w:cantSplit/>
        </w:trPr>
        <w:tc>
          <w:tcPr>
            <w:tcW w:w="172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r w:rsidRPr="00DB04E0">
              <w:rPr>
                <w:rFonts w:cs="Times New Roman"/>
                <w:sz w:val="24"/>
                <w:szCs w:val="24"/>
              </w:rPr>
              <w:t xml:space="preserve">1.2. </w:t>
            </w:r>
            <w:proofErr w:type="spellStart"/>
            <w:r w:rsidRPr="00DB04E0">
              <w:rPr>
                <w:rFonts w:cs="Times New Roman"/>
                <w:sz w:val="24"/>
                <w:szCs w:val="24"/>
              </w:rPr>
              <w:t>valsts</w:t>
            </w:r>
            <w:proofErr w:type="spellEnd"/>
            <w:r w:rsidRPr="00DB04E0">
              <w:rPr>
                <w:rFonts w:cs="Times New Roman"/>
                <w:sz w:val="24"/>
                <w:szCs w:val="24"/>
              </w:rPr>
              <w:t xml:space="preserve"> </w:t>
            </w:r>
            <w:proofErr w:type="spellStart"/>
            <w:r w:rsidRPr="00DB04E0">
              <w:rPr>
                <w:rFonts w:cs="Times New Roman"/>
                <w:sz w:val="24"/>
                <w:szCs w:val="24"/>
              </w:rPr>
              <w:t>speciālais</w:t>
            </w:r>
            <w:proofErr w:type="spellEnd"/>
            <w:r w:rsidRPr="00DB04E0">
              <w:rPr>
                <w:rFonts w:cs="Times New Roman"/>
                <w:sz w:val="24"/>
                <w:szCs w:val="24"/>
              </w:rPr>
              <w:t xml:space="preserve"> </w:t>
            </w:r>
            <w:proofErr w:type="spellStart"/>
            <w:r w:rsidRPr="00DB04E0">
              <w:rPr>
                <w:rFonts w:cs="Times New Roman"/>
                <w:sz w:val="24"/>
                <w:szCs w:val="24"/>
              </w:rPr>
              <w:t>budžets</w:t>
            </w:r>
            <w:proofErr w:type="spellEnd"/>
          </w:p>
        </w:tc>
        <w:tc>
          <w:tcPr>
            <w:tcW w:w="634"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75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666"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483"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747"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r>
      <w:tr w:rsidR="00DB04E0" w:rsidRPr="00DB04E0" w:rsidTr="00D56176">
        <w:trPr>
          <w:cantSplit/>
        </w:trPr>
        <w:tc>
          <w:tcPr>
            <w:tcW w:w="172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r w:rsidRPr="00DB04E0">
              <w:rPr>
                <w:rFonts w:cs="Times New Roman"/>
                <w:sz w:val="24"/>
                <w:szCs w:val="24"/>
              </w:rPr>
              <w:t xml:space="preserve">1.3. </w:t>
            </w:r>
            <w:proofErr w:type="spellStart"/>
            <w:r w:rsidRPr="00DB04E0">
              <w:rPr>
                <w:rFonts w:cs="Times New Roman"/>
                <w:sz w:val="24"/>
                <w:szCs w:val="24"/>
              </w:rPr>
              <w:t>pašvaldību</w:t>
            </w:r>
            <w:proofErr w:type="spellEnd"/>
            <w:r w:rsidRPr="00DB04E0">
              <w:rPr>
                <w:rFonts w:cs="Times New Roman"/>
                <w:sz w:val="24"/>
                <w:szCs w:val="24"/>
              </w:rPr>
              <w:t xml:space="preserve"> </w:t>
            </w:r>
            <w:proofErr w:type="spellStart"/>
            <w:r w:rsidRPr="00DB04E0">
              <w:rPr>
                <w:rFonts w:cs="Times New Roman"/>
                <w:sz w:val="24"/>
                <w:szCs w:val="24"/>
              </w:rPr>
              <w:t>budžets</w:t>
            </w:r>
            <w:proofErr w:type="spellEnd"/>
          </w:p>
        </w:tc>
        <w:tc>
          <w:tcPr>
            <w:tcW w:w="634"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75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666"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483"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747"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r>
      <w:tr w:rsidR="00DB04E0" w:rsidRPr="00DB04E0" w:rsidTr="00D56176">
        <w:trPr>
          <w:cantSplit/>
        </w:trPr>
        <w:tc>
          <w:tcPr>
            <w:tcW w:w="172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r w:rsidRPr="00DB04E0">
              <w:rPr>
                <w:rFonts w:cs="Times New Roman"/>
                <w:sz w:val="24"/>
                <w:szCs w:val="24"/>
              </w:rPr>
              <w:t xml:space="preserve">2. </w:t>
            </w:r>
            <w:proofErr w:type="spellStart"/>
            <w:r w:rsidRPr="00DB04E0">
              <w:rPr>
                <w:rFonts w:cs="Times New Roman"/>
                <w:sz w:val="24"/>
                <w:szCs w:val="24"/>
              </w:rPr>
              <w:t>Budžeta</w:t>
            </w:r>
            <w:proofErr w:type="spellEnd"/>
            <w:r w:rsidRPr="00DB04E0">
              <w:rPr>
                <w:rFonts w:cs="Times New Roman"/>
                <w:sz w:val="24"/>
                <w:szCs w:val="24"/>
              </w:rPr>
              <w:t xml:space="preserve"> </w:t>
            </w:r>
            <w:proofErr w:type="spellStart"/>
            <w:r w:rsidRPr="00DB04E0">
              <w:rPr>
                <w:rFonts w:cs="Times New Roman"/>
                <w:sz w:val="24"/>
                <w:szCs w:val="24"/>
              </w:rPr>
              <w:t>izdevumi</w:t>
            </w:r>
            <w:proofErr w:type="spellEnd"/>
            <w:r w:rsidRPr="00DB04E0">
              <w:rPr>
                <w:rFonts w:cs="Times New Roman"/>
                <w:sz w:val="24"/>
                <w:szCs w:val="24"/>
              </w:rPr>
              <w:t>:</w:t>
            </w:r>
          </w:p>
        </w:tc>
        <w:tc>
          <w:tcPr>
            <w:tcW w:w="634"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jc w:val="center"/>
              <w:rPr>
                <w:rFonts w:cs="Times New Roman"/>
                <w:sz w:val="24"/>
                <w:szCs w:val="24"/>
                <w:lang w:val="lv-LV" w:eastAsia="lv-LV"/>
              </w:rPr>
            </w:pPr>
            <w:r w:rsidRPr="00DB04E0">
              <w:rPr>
                <w:rFonts w:cs="Times New Roman"/>
                <w:sz w:val="24"/>
                <w:szCs w:val="24"/>
              </w:rPr>
              <w:t>0</w:t>
            </w:r>
          </w:p>
        </w:tc>
        <w:tc>
          <w:tcPr>
            <w:tcW w:w="750" w:type="pct"/>
            <w:tcBorders>
              <w:top w:val="outset" w:sz="6" w:space="0" w:color="414142"/>
              <w:left w:val="outset" w:sz="6" w:space="0" w:color="414142"/>
              <w:bottom w:val="outset" w:sz="6" w:space="0" w:color="414142"/>
              <w:right w:val="outset" w:sz="6" w:space="0" w:color="414142"/>
            </w:tcBorders>
          </w:tcPr>
          <w:p w:rsidR="00DB04E0" w:rsidRPr="00DB04E0" w:rsidRDefault="00D56176">
            <w:pPr>
              <w:jc w:val="center"/>
              <w:rPr>
                <w:rFonts w:cs="Times New Roman"/>
                <w:sz w:val="24"/>
                <w:szCs w:val="24"/>
                <w:lang w:val="lv-LV" w:eastAsia="lv-LV"/>
              </w:rPr>
            </w:pPr>
            <w:r w:rsidRPr="00D56176">
              <w:rPr>
                <w:rFonts w:cs="Times New Roman"/>
                <w:sz w:val="24"/>
                <w:szCs w:val="24"/>
                <w:lang w:val="lv-LV" w:eastAsia="lv-LV"/>
              </w:rPr>
              <w:t>8 940 900</w:t>
            </w:r>
          </w:p>
        </w:tc>
        <w:tc>
          <w:tcPr>
            <w:tcW w:w="666" w:type="pct"/>
            <w:tcBorders>
              <w:top w:val="outset" w:sz="6" w:space="0" w:color="414142"/>
              <w:left w:val="outset" w:sz="6" w:space="0" w:color="414142"/>
              <w:bottom w:val="outset" w:sz="6" w:space="0" w:color="414142"/>
              <w:right w:val="outset" w:sz="6" w:space="0" w:color="414142"/>
            </w:tcBorders>
          </w:tcPr>
          <w:p w:rsidR="00DB04E0" w:rsidRPr="00DB04E0" w:rsidRDefault="00DB04E0">
            <w:pPr>
              <w:jc w:val="center"/>
              <w:rPr>
                <w:rFonts w:cs="Times New Roman"/>
                <w:sz w:val="24"/>
                <w:szCs w:val="24"/>
                <w:lang w:val="lv-LV" w:eastAsia="lv-LV"/>
              </w:rPr>
            </w:pPr>
            <w:r w:rsidRPr="00DB04E0">
              <w:rPr>
                <w:rFonts w:cs="Times New Roman"/>
                <w:sz w:val="24"/>
                <w:szCs w:val="24"/>
                <w:lang w:val="lv-LV" w:eastAsia="lv-LV"/>
              </w:rPr>
              <w:t>0</w:t>
            </w:r>
          </w:p>
        </w:tc>
        <w:tc>
          <w:tcPr>
            <w:tcW w:w="483"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jc w:val="center"/>
              <w:rPr>
                <w:rFonts w:cs="Times New Roman"/>
                <w:sz w:val="24"/>
                <w:szCs w:val="24"/>
                <w:lang w:val="lv-LV" w:eastAsia="lv-LV"/>
              </w:rPr>
            </w:pPr>
            <w:r w:rsidRPr="00DB04E0">
              <w:rPr>
                <w:rFonts w:cs="Times New Roman"/>
                <w:sz w:val="24"/>
                <w:szCs w:val="24"/>
              </w:rPr>
              <w:t>0</w:t>
            </w:r>
          </w:p>
        </w:tc>
        <w:tc>
          <w:tcPr>
            <w:tcW w:w="747"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jc w:val="center"/>
              <w:rPr>
                <w:rFonts w:cs="Times New Roman"/>
                <w:sz w:val="24"/>
                <w:szCs w:val="24"/>
                <w:lang w:val="lv-LV" w:eastAsia="lv-LV"/>
              </w:rPr>
            </w:pPr>
            <w:r w:rsidRPr="00DB04E0">
              <w:rPr>
                <w:rFonts w:cs="Times New Roman"/>
                <w:sz w:val="24"/>
                <w:szCs w:val="24"/>
              </w:rPr>
              <w:t>0</w:t>
            </w:r>
          </w:p>
        </w:tc>
      </w:tr>
      <w:tr w:rsidR="00DB04E0" w:rsidRPr="00DB04E0" w:rsidTr="00D56176">
        <w:trPr>
          <w:cantSplit/>
        </w:trPr>
        <w:tc>
          <w:tcPr>
            <w:tcW w:w="172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r w:rsidRPr="00DB04E0">
              <w:rPr>
                <w:rFonts w:cs="Times New Roman"/>
                <w:sz w:val="24"/>
                <w:szCs w:val="24"/>
              </w:rPr>
              <w:t xml:space="preserve">2.1. </w:t>
            </w:r>
            <w:proofErr w:type="spellStart"/>
            <w:r w:rsidRPr="00DB04E0">
              <w:rPr>
                <w:rFonts w:cs="Times New Roman"/>
                <w:sz w:val="24"/>
                <w:szCs w:val="24"/>
              </w:rPr>
              <w:t>valsts</w:t>
            </w:r>
            <w:proofErr w:type="spellEnd"/>
            <w:r w:rsidRPr="00DB04E0">
              <w:rPr>
                <w:rFonts w:cs="Times New Roman"/>
                <w:sz w:val="24"/>
                <w:szCs w:val="24"/>
              </w:rPr>
              <w:t xml:space="preserve"> </w:t>
            </w:r>
            <w:proofErr w:type="spellStart"/>
            <w:r w:rsidRPr="00DB04E0">
              <w:rPr>
                <w:rFonts w:cs="Times New Roman"/>
                <w:sz w:val="24"/>
                <w:szCs w:val="24"/>
              </w:rPr>
              <w:t>pamatbudžets</w:t>
            </w:r>
            <w:proofErr w:type="spellEnd"/>
          </w:p>
        </w:tc>
        <w:tc>
          <w:tcPr>
            <w:tcW w:w="634"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jc w:val="center"/>
              <w:rPr>
                <w:rFonts w:cs="Times New Roman"/>
                <w:sz w:val="24"/>
                <w:szCs w:val="24"/>
                <w:lang w:val="lv-LV" w:eastAsia="lv-LV"/>
              </w:rPr>
            </w:pPr>
            <w:r w:rsidRPr="00DB04E0">
              <w:rPr>
                <w:rFonts w:cs="Times New Roman"/>
                <w:sz w:val="24"/>
                <w:szCs w:val="24"/>
              </w:rPr>
              <w:t>0</w:t>
            </w:r>
          </w:p>
        </w:tc>
        <w:tc>
          <w:tcPr>
            <w:tcW w:w="750" w:type="pct"/>
            <w:tcBorders>
              <w:top w:val="outset" w:sz="6" w:space="0" w:color="414142"/>
              <w:left w:val="outset" w:sz="6" w:space="0" w:color="414142"/>
              <w:bottom w:val="outset" w:sz="6" w:space="0" w:color="414142"/>
              <w:right w:val="outset" w:sz="6" w:space="0" w:color="414142"/>
            </w:tcBorders>
          </w:tcPr>
          <w:p w:rsidR="00DB04E0" w:rsidRPr="00DB04E0" w:rsidRDefault="00D56176" w:rsidP="00DF6BF8">
            <w:pPr>
              <w:jc w:val="center"/>
              <w:rPr>
                <w:rFonts w:cs="Times New Roman"/>
                <w:sz w:val="24"/>
                <w:szCs w:val="24"/>
                <w:lang w:val="lv-LV" w:eastAsia="lv-LV"/>
              </w:rPr>
            </w:pPr>
            <w:r>
              <w:rPr>
                <w:rFonts w:cs="Times New Roman"/>
                <w:sz w:val="24"/>
                <w:szCs w:val="24"/>
                <w:lang w:val="lv-LV" w:eastAsia="lv-LV"/>
              </w:rPr>
              <w:t>8 940 900</w:t>
            </w:r>
          </w:p>
        </w:tc>
        <w:tc>
          <w:tcPr>
            <w:tcW w:w="666" w:type="pct"/>
            <w:tcBorders>
              <w:top w:val="outset" w:sz="6" w:space="0" w:color="414142"/>
              <w:left w:val="outset" w:sz="6" w:space="0" w:color="414142"/>
              <w:bottom w:val="outset" w:sz="6" w:space="0" w:color="414142"/>
              <w:right w:val="outset" w:sz="6" w:space="0" w:color="414142"/>
            </w:tcBorders>
          </w:tcPr>
          <w:p w:rsidR="00DB04E0" w:rsidRPr="00DB04E0" w:rsidRDefault="00DB04E0">
            <w:pPr>
              <w:jc w:val="center"/>
              <w:rPr>
                <w:rFonts w:cs="Times New Roman"/>
                <w:sz w:val="24"/>
                <w:szCs w:val="24"/>
                <w:lang w:val="lv-LV" w:eastAsia="lv-LV"/>
              </w:rPr>
            </w:pPr>
            <w:r w:rsidRPr="00DB04E0">
              <w:rPr>
                <w:rFonts w:cs="Times New Roman"/>
                <w:sz w:val="24"/>
                <w:szCs w:val="24"/>
                <w:lang w:val="lv-LV" w:eastAsia="lv-LV"/>
              </w:rPr>
              <w:t>0</w:t>
            </w:r>
          </w:p>
        </w:tc>
        <w:tc>
          <w:tcPr>
            <w:tcW w:w="483"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jc w:val="center"/>
              <w:rPr>
                <w:rFonts w:cs="Times New Roman"/>
                <w:sz w:val="24"/>
                <w:szCs w:val="24"/>
                <w:lang w:val="lv-LV" w:eastAsia="lv-LV"/>
              </w:rPr>
            </w:pPr>
            <w:r w:rsidRPr="00DB04E0">
              <w:rPr>
                <w:rFonts w:cs="Times New Roman"/>
                <w:sz w:val="24"/>
                <w:szCs w:val="24"/>
              </w:rPr>
              <w:t>0</w:t>
            </w:r>
          </w:p>
        </w:tc>
        <w:tc>
          <w:tcPr>
            <w:tcW w:w="747"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jc w:val="center"/>
              <w:rPr>
                <w:rFonts w:cs="Times New Roman"/>
                <w:sz w:val="24"/>
                <w:szCs w:val="24"/>
                <w:lang w:val="lv-LV" w:eastAsia="lv-LV"/>
              </w:rPr>
            </w:pPr>
            <w:r w:rsidRPr="00DB04E0">
              <w:rPr>
                <w:rFonts w:cs="Times New Roman"/>
                <w:sz w:val="24"/>
                <w:szCs w:val="24"/>
              </w:rPr>
              <w:t>0</w:t>
            </w:r>
          </w:p>
        </w:tc>
      </w:tr>
      <w:tr w:rsidR="00DB04E0" w:rsidRPr="00DB04E0" w:rsidTr="00D56176">
        <w:trPr>
          <w:cantSplit/>
        </w:trPr>
        <w:tc>
          <w:tcPr>
            <w:tcW w:w="172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r w:rsidRPr="00DB04E0">
              <w:rPr>
                <w:rFonts w:cs="Times New Roman"/>
                <w:sz w:val="24"/>
                <w:szCs w:val="24"/>
              </w:rPr>
              <w:t xml:space="preserve">2.2. </w:t>
            </w:r>
            <w:proofErr w:type="spellStart"/>
            <w:r w:rsidRPr="00DB04E0">
              <w:rPr>
                <w:rFonts w:cs="Times New Roman"/>
                <w:sz w:val="24"/>
                <w:szCs w:val="24"/>
              </w:rPr>
              <w:t>valsts</w:t>
            </w:r>
            <w:proofErr w:type="spellEnd"/>
            <w:r w:rsidRPr="00DB04E0">
              <w:rPr>
                <w:rFonts w:cs="Times New Roman"/>
                <w:sz w:val="24"/>
                <w:szCs w:val="24"/>
              </w:rPr>
              <w:t xml:space="preserve"> </w:t>
            </w:r>
            <w:proofErr w:type="spellStart"/>
            <w:r w:rsidRPr="00DB04E0">
              <w:rPr>
                <w:rFonts w:cs="Times New Roman"/>
                <w:sz w:val="24"/>
                <w:szCs w:val="24"/>
              </w:rPr>
              <w:t>speciālais</w:t>
            </w:r>
            <w:proofErr w:type="spellEnd"/>
            <w:r w:rsidRPr="00DB04E0">
              <w:rPr>
                <w:rFonts w:cs="Times New Roman"/>
                <w:sz w:val="24"/>
                <w:szCs w:val="24"/>
              </w:rPr>
              <w:t xml:space="preserve"> </w:t>
            </w:r>
            <w:proofErr w:type="spellStart"/>
            <w:r w:rsidRPr="00DB04E0">
              <w:rPr>
                <w:rFonts w:cs="Times New Roman"/>
                <w:sz w:val="24"/>
                <w:szCs w:val="24"/>
              </w:rPr>
              <w:t>budžets</w:t>
            </w:r>
            <w:proofErr w:type="spellEnd"/>
          </w:p>
        </w:tc>
        <w:tc>
          <w:tcPr>
            <w:tcW w:w="634"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750" w:type="pct"/>
            <w:tcBorders>
              <w:top w:val="outset" w:sz="6" w:space="0" w:color="414142"/>
              <w:left w:val="outset" w:sz="6" w:space="0" w:color="414142"/>
              <w:bottom w:val="outset" w:sz="6" w:space="0" w:color="414142"/>
              <w:right w:val="outset" w:sz="6" w:space="0" w:color="414142"/>
            </w:tcBorders>
          </w:tcPr>
          <w:p w:rsidR="00DB04E0" w:rsidRPr="00DB04E0" w:rsidRDefault="00DB04E0">
            <w:pPr>
              <w:jc w:val="center"/>
              <w:rPr>
                <w:rFonts w:cs="Times New Roman"/>
                <w:sz w:val="24"/>
                <w:szCs w:val="24"/>
                <w:lang w:val="lv-LV" w:eastAsia="lv-LV"/>
              </w:rPr>
            </w:pPr>
          </w:p>
        </w:tc>
        <w:tc>
          <w:tcPr>
            <w:tcW w:w="666" w:type="pct"/>
            <w:tcBorders>
              <w:top w:val="outset" w:sz="6" w:space="0" w:color="414142"/>
              <w:left w:val="outset" w:sz="6" w:space="0" w:color="414142"/>
              <w:bottom w:val="outset" w:sz="6" w:space="0" w:color="414142"/>
              <w:right w:val="outset" w:sz="6" w:space="0" w:color="414142"/>
            </w:tcBorders>
          </w:tcPr>
          <w:p w:rsidR="00DB04E0" w:rsidRPr="00DB04E0" w:rsidRDefault="00DB04E0">
            <w:pPr>
              <w:jc w:val="center"/>
              <w:rPr>
                <w:rFonts w:cs="Times New Roman"/>
                <w:sz w:val="24"/>
                <w:szCs w:val="24"/>
                <w:lang w:val="lv-LV" w:eastAsia="lv-LV"/>
              </w:rPr>
            </w:pPr>
          </w:p>
        </w:tc>
        <w:tc>
          <w:tcPr>
            <w:tcW w:w="483" w:type="pct"/>
            <w:tcBorders>
              <w:top w:val="outset" w:sz="6" w:space="0" w:color="414142"/>
              <w:left w:val="outset" w:sz="6" w:space="0" w:color="414142"/>
              <w:bottom w:val="outset" w:sz="6" w:space="0" w:color="414142"/>
              <w:right w:val="outset" w:sz="6" w:space="0" w:color="414142"/>
            </w:tcBorders>
          </w:tcPr>
          <w:p w:rsidR="00DB04E0" w:rsidRPr="00DB04E0" w:rsidRDefault="00DB04E0">
            <w:pPr>
              <w:jc w:val="center"/>
              <w:rPr>
                <w:rFonts w:cs="Times New Roman"/>
                <w:sz w:val="24"/>
                <w:szCs w:val="24"/>
                <w:lang w:val="lv-LV" w:eastAsia="lv-LV"/>
              </w:rPr>
            </w:pPr>
          </w:p>
        </w:tc>
        <w:tc>
          <w:tcPr>
            <w:tcW w:w="747" w:type="pct"/>
            <w:tcBorders>
              <w:top w:val="outset" w:sz="6" w:space="0" w:color="414142"/>
              <w:left w:val="outset" w:sz="6" w:space="0" w:color="414142"/>
              <w:bottom w:val="outset" w:sz="6" w:space="0" w:color="414142"/>
              <w:right w:val="outset" w:sz="6" w:space="0" w:color="414142"/>
            </w:tcBorders>
          </w:tcPr>
          <w:p w:rsidR="00DB04E0" w:rsidRPr="00DB04E0" w:rsidRDefault="00DB04E0">
            <w:pPr>
              <w:jc w:val="center"/>
              <w:rPr>
                <w:rFonts w:cs="Times New Roman"/>
                <w:sz w:val="24"/>
                <w:szCs w:val="24"/>
                <w:lang w:val="lv-LV" w:eastAsia="lv-LV"/>
              </w:rPr>
            </w:pPr>
          </w:p>
        </w:tc>
      </w:tr>
      <w:tr w:rsidR="00DB04E0" w:rsidRPr="00DB04E0" w:rsidTr="00D56176">
        <w:trPr>
          <w:cantSplit/>
        </w:trPr>
        <w:tc>
          <w:tcPr>
            <w:tcW w:w="172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r w:rsidRPr="00DB04E0">
              <w:rPr>
                <w:rFonts w:cs="Times New Roman"/>
                <w:sz w:val="24"/>
                <w:szCs w:val="24"/>
              </w:rPr>
              <w:t xml:space="preserve">2.3. </w:t>
            </w:r>
            <w:proofErr w:type="spellStart"/>
            <w:r w:rsidRPr="00DB04E0">
              <w:rPr>
                <w:rFonts w:cs="Times New Roman"/>
                <w:sz w:val="24"/>
                <w:szCs w:val="24"/>
              </w:rPr>
              <w:t>pašvaldību</w:t>
            </w:r>
            <w:proofErr w:type="spellEnd"/>
            <w:r w:rsidRPr="00DB04E0">
              <w:rPr>
                <w:rFonts w:cs="Times New Roman"/>
                <w:sz w:val="24"/>
                <w:szCs w:val="24"/>
              </w:rPr>
              <w:t xml:space="preserve"> </w:t>
            </w:r>
            <w:proofErr w:type="spellStart"/>
            <w:r w:rsidRPr="00DB04E0">
              <w:rPr>
                <w:rFonts w:cs="Times New Roman"/>
                <w:sz w:val="24"/>
                <w:szCs w:val="24"/>
              </w:rPr>
              <w:t>budžets</w:t>
            </w:r>
            <w:proofErr w:type="spellEnd"/>
          </w:p>
        </w:tc>
        <w:tc>
          <w:tcPr>
            <w:tcW w:w="634"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750" w:type="pct"/>
            <w:tcBorders>
              <w:top w:val="outset" w:sz="6" w:space="0" w:color="414142"/>
              <w:left w:val="outset" w:sz="6" w:space="0" w:color="414142"/>
              <w:bottom w:val="outset" w:sz="6" w:space="0" w:color="414142"/>
              <w:right w:val="outset" w:sz="6" w:space="0" w:color="414142"/>
            </w:tcBorders>
          </w:tcPr>
          <w:p w:rsidR="00DB04E0" w:rsidRPr="00DB04E0" w:rsidRDefault="00DB04E0">
            <w:pPr>
              <w:jc w:val="center"/>
              <w:rPr>
                <w:rFonts w:cs="Times New Roman"/>
                <w:sz w:val="24"/>
                <w:szCs w:val="24"/>
                <w:lang w:val="lv-LV" w:eastAsia="lv-LV"/>
              </w:rPr>
            </w:pPr>
          </w:p>
        </w:tc>
        <w:tc>
          <w:tcPr>
            <w:tcW w:w="666" w:type="pct"/>
            <w:tcBorders>
              <w:top w:val="outset" w:sz="6" w:space="0" w:color="414142"/>
              <w:left w:val="outset" w:sz="6" w:space="0" w:color="414142"/>
              <w:bottom w:val="outset" w:sz="6" w:space="0" w:color="414142"/>
              <w:right w:val="outset" w:sz="6" w:space="0" w:color="414142"/>
            </w:tcBorders>
          </w:tcPr>
          <w:p w:rsidR="00DB04E0" w:rsidRPr="00DB04E0" w:rsidRDefault="00DB04E0">
            <w:pPr>
              <w:jc w:val="center"/>
              <w:rPr>
                <w:rFonts w:cs="Times New Roman"/>
                <w:sz w:val="24"/>
                <w:szCs w:val="24"/>
                <w:lang w:val="lv-LV" w:eastAsia="lv-LV"/>
              </w:rPr>
            </w:pPr>
          </w:p>
        </w:tc>
        <w:tc>
          <w:tcPr>
            <w:tcW w:w="483" w:type="pct"/>
            <w:tcBorders>
              <w:top w:val="outset" w:sz="6" w:space="0" w:color="414142"/>
              <w:left w:val="outset" w:sz="6" w:space="0" w:color="414142"/>
              <w:bottom w:val="outset" w:sz="6" w:space="0" w:color="414142"/>
              <w:right w:val="outset" w:sz="6" w:space="0" w:color="414142"/>
            </w:tcBorders>
          </w:tcPr>
          <w:p w:rsidR="00DB04E0" w:rsidRPr="00DB04E0" w:rsidRDefault="00DB04E0">
            <w:pPr>
              <w:jc w:val="center"/>
              <w:rPr>
                <w:rFonts w:cs="Times New Roman"/>
                <w:sz w:val="24"/>
                <w:szCs w:val="24"/>
                <w:lang w:val="lv-LV" w:eastAsia="lv-LV"/>
              </w:rPr>
            </w:pPr>
          </w:p>
        </w:tc>
        <w:tc>
          <w:tcPr>
            <w:tcW w:w="747" w:type="pct"/>
            <w:tcBorders>
              <w:top w:val="outset" w:sz="6" w:space="0" w:color="414142"/>
              <w:left w:val="outset" w:sz="6" w:space="0" w:color="414142"/>
              <w:bottom w:val="outset" w:sz="6" w:space="0" w:color="414142"/>
              <w:right w:val="outset" w:sz="6" w:space="0" w:color="414142"/>
            </w:tcBorders>
          </w:tcPr>
          <w:p w:rsidR="00DB04E0" w:rsidRPr="00DB04E0" w:rsidRDefault="00DB04E0">
            <w:pPr>
              <w:jc w:val="center"/>
              <w:rPr>
                <w:rFonts w:cs="Times New Roman"/>
                <w:sz w:val="24"/>
                <w:szCs w:val="24"/>
                <w:lang w:val="lv-LV" w:eastAsia="lv-LV"/>
              </w:rPr>
            </w:pPr>
          </w:p>
        </w:tc>
      </w:tr>
      <w:tr w:rsidR="00D56176" w:rsidRPr="00DB04E0" w:rsidTr="00D56176">
        <w:trPr>
          <w:cantSplit/>
        </w:trPr>
        <w:tc>
          <w:tcPr>
            <w:tcW w:w="1720" w:type="pct"/>
            <w:tcBorders>
              <w:top w:val="outset" w:sz="6" w:space="0" w:color="414142"/>
              <w:left w:val="outset" w:sz="6" w:space="0" w:color="414142"/>
              <w:bottom w:val="outset" w:sz="6" w:space="0" w:color="414142"/>
              <w:right w:val="outset" w:sz="6" w:space="0" w:color="414142"/>
            </w:tcBorders>
            <w:hideMark/>
          </w:tcPr>
          <w:p w:rsidR="00D56176" w:rsidRPr="00DB04E0" w:rsidRDefault="00D56176">
            <w:pPr>
              <w:rPr>
                <w:rFonts w:cs="Times New Roman"/>
                <w:sz w:val="24"/>
                <w:szCs w:val="24"/>
                <w:lang w:val="lv-LV" w:eastAsia="lv-LV"/>
              </w:rPr>
            </w:pPr>
            <w:r w:rsidRPr="00DB04E0">
              <w:rPr>
                <w:rFonts w:cs="Times New Roman"/>
                <w:sz w:val="24"/>
                <w:szCs w:val="24"/>
              </w:rPr>
              <w:t xml:space="preserve">3. </w:t>
            </w:r>
            <w:proofErr w:type="spellStart"/>
            <w:r w:rsidRPr="00DB04E0">
              <w:rPr>
                <w:rFonts w:cs="Times New Roman"/>
                <w:sz w:val="24"/>
                <w:szCs w:val="24"/>
              </w:rPr>
              <w:t>Finansiālā</w:t>
            </w:r>
            <w:proofErr w:type="spellEnd"/>
            <w:r w:rsidRPr="00DB04E0">
              <w:rPr>
                <w:rFonts w:cs="Times New Roman"/>
                <w:sz w:val="24"/>
                <w:szCs w:val="24"/>
              </w:rPr>
              <w:t xml:space="preserve"> </w:t>
            </w:r>
            <w:proofErr w:type="spellStart"/>
            <w:r w:rsidRPr="00DB04E0">
              <w:rPr>
                <w:rFonts w:cs="Times New Roman"/>
                <w:sz w:val="24"/>
                <w:szCs w:val="24"/>
              </w:rPr>
              <w:t>ietekme</w:t>
            </w:r>
            <w:proofErr w:type="spellEnd"/>
            <w:r w:rsidRPr="00DB04E0">
              <w:rPr>
                <w:rFonts w:cs="Times New Roman"/>
                <w:sz w:val="24"/>
                <w:szCs w:val="24"/>
              </w:rPr>
              <w:t>:</w:t>
            </w:r>
          </w:p>
        </w:tc>
        <w:tc>
          <w:tcPr>
            <w:tcW w:w="634" w:type="pct"/>
            <w:tcBorders>
              <w:top w:val="outset" w:sz="6" w:space="0" w:color="414142"/>
              <w:left w:val="outset" w:sz="6" w:space="0" w:color="414142"/>
              <w:bottom w:val="outset" w:sz="6" w:space="0" w:color="414142"/>
              <w:right w:val="outset" w:sz="6" w:space="0" w:color="414142"/>
            </w:tcBorders>
            <w:vAlign w:val="center"/>
            <w:hideMark/>
          </w:tcPr>
          <w:p w:rsidR="00D56176" w:rsidRPr="00DB04E0" w:rsidRDefault="00D56176">
            <w:pPr>
              <w:jc w:val="center"/>
              <w:rPr>
                <w:rFonts w:cs="Times New Roman"/>
                <w:sz w:val="24"/>
                <w:szCs w:val="24"/>
                <w:lang w:val="lv-LV" w:eastAsia="lv-LV"/>
              </w:rPr>
            </w:pPr>
            <w:r w:rsidRPr="00DB04E0">
              <w:rPr>
                <w:rFonts w:cs="Times New Roman"/>
                <w:sz w:val="24"/>
                <w:szCs w:val="24"/>
              </w:rPr>
              <w:t>0</w:t>
            </w:r>
          </w:p>
        </w:tc>
        <w:tc>
          <w:tcPr>
            <w:tcW w:w="750" w:type="pct"/>
            <w:tcBorders>
              <w:top w:val="outset" w:sz="6" w:space="0" w:color="414142"/>
              <w:left w:val="outset" w:sz="6" w:space="0" w:color="414142"/>
              <w:bottom w:val="outset" w:sz="6" w:space="0" w:color="414142"/>
              <w:right w:val="outset" w:sz="6" w:space="0" w:color="414142"/>
            </w:tcBorders>
          </w:tcPr>
          <w:p w:rsidR="00D56176" w:rsidRPr="00D56176" w:rsidRDefault="00D56176" w:rsidP="00E14855">
            <w:pPr>
              <w:jc w:val="center"/>
              <w:rPr>
                <w:rFonts w:cs="Times New Roman"/>
                <w:sz w:val="24"/>
                <w:szCs w:val="24"/>
                <w:lang w:val="lv-LV" w:eastAsia="lv-LV"/>
              </w:rPr>
            </w:pPr>
            <w:r>
              <w:rPr>
                <w:rFonts w:cs="Times New Roman"/>
                <w:sz w:val="24"/>
                <w:szCs w:val="24"/>
                <w:lang w:val="lv-LV" w:eastAsia="lv-LV"/>
              </w:rPr>
              <w:t xml:space="preserve">- </w:t>
            </w:r>
            <w:r w:rsidRPr="00D56176">
              <w:rPr>
                <w:rFonts w:cs="Times New Roman"/>
                <w:sz w:val="24"/>
                <w:szCs w:val="24"/>
                <w:lang w:val="lv-LV" w:eastAsia="lv-LV"/>
              </w:rPr>
              <w:t>5 826 480</w:t>
            </w:r>
          </w:p>
        </w:tc>
        <w:tc>
          <w:tcPr>
            <w:tcW w:w="666" w:type="pct"/>
            <w:tcBorders>
              <w:top w:val="outset" w:sz="6" w:space="0" w:color="414142"/>
              <w:left w:val="outset" w:sz="6" w:space="0" w:color="414142"/>
              <w:bottom w:val="outset" w:sz="6" w:space="0" w:color="414142"/>
              <w:right w:val="outset" w:sz="6" w:space="0" w:color="414142"/>
            </w:tcBorders>
          </w:tcPr>
          <w:p w:rsidR="00D56176" w:rsidRPr="00DB04E0" w:rsidRDefault="00D56176" w:rsidP="00E14855">
            <w:pPr>
              <w:jc w:val="center"/>
              <w:rPr>
                <w:rFonts w:cs="Times New Roman"/>
                <w:sz w:val="24"/>
                <w:szCs w:val="24"/>
                <w:lang w:val="lv-LV" w:eastAsia="lv-LV"/>
              </w:rPr>
            </w:pPr>
            <w:r>
              <w:rPr>
                <w:rFonts w:cs="Times New Roman"/>
                <w:sz w:val="24"/>
                <w:szCs w:val="24"/>
                <w:lang w:val="lv-LV" w:eastAsia="lv-LV"/>
              </w:rPr>
              <w:t>5 826 480</w:t>
            </w:r>
          </w:p>
        </w:tc>
        <w:tc>
          <w:tcPr>
            <w:tcW w:w="483" w:type="pct"/>
            <w:tcBorders>
              <w:top w:val="outset" w:sz="6" w:space="0" w:color="414142"/>
              <w:left w:val="outset" w:sz="6" w:space="0" w:color="414142"/>
              <w:bottom w:val="outset" w:sz="6" w:space="0" w:color="414142"/>
              <w:right w:val="outset" w:sz="6" w:space="0" w:color="414142"/>
            </w:tcBorders>
            <w:hideMark/>
          </w:tcPr>
          <w:p w:rsidR="00D56176" w:rsidRPr="00DB04E0" w:rsidRDefault="00D56176">
            <w:pPr>
              <w:jc w:val="center"/>
              <w:rPr>
                <w:rFonts w:cs="Times New Roman"/>
                <w:sz w:val="24"/>
                <w:szCs w:val="24"/>
                <w:lang w:val="lv-LV" w:eastAsia="lv-LV"/>
              </w:rPr>
            </w:pPr>
            <w:r w:rsidRPr="00DB04E0">
              <w:rPr>
                <w:rFonts w:cs="Times New Roman"/>
                <w:sz w:val="24"/>
                <w:szCs w:val="24"/>
              </w:rPr>
              <w:t>0</w:t>
            </w:r>
          </w:p>
        </w:tc>
        <w:tc>
          <w:tcPr>
            <w:tcW w:w="747" w:type="pct"/>
            <w:tcBorders>
              <w:top w:val="outset" w:sz="6" w:space="0" w:color="414142"/>
              <w:left w:val="outset" w:sz="6" w:space="0" w:color="414142"/>
              <w:bottom w:val="outset" w:sz="6" w:space="0" w:color="414142"/>
              <w:right w:val="outset" w:sz="6" w:space="0" w:color="414142"/>
            </w:tcBorders>
            <w:hideMark/>
          </w:tcPr>
          <w:p w:rsidR="00D56176" w:rsidRPr="00DB04E0" w:rsidRDefault="00D56176">
            <w:pPr>
              <w:jc w:val="center"/>
              <w:rPr>
                <w:rFonts w:cs="Times New Roman"/>
                <w:sz w:val="24"/>
                <w:szCs w:val="24"/>
                <w:lang w:val="lv-LV" w:eastAsia="lv-LV"/>
              </w:rPr>
            </w:pPr>
            <w:r w:rsidRPr="00DB04E0">
              <w:rPr>
                <w:rFonts w:cs="Times New Roman"/>
                <w:sz w:val="24"/>
                <w:szCs w:val="24"/>
              </w:rPr>
              <w:t>0</w:t>
            </w:r>
          </w:p>
        </w:tc>
      </w:tr>
      <w:tr w:rsidR="00DB04E0" w:rsidRPr="00DB04E0" w:rsidTr="00D56176">
        <w:trPr>
          <w:cantSplit/>
        </w:trPr>
        <w:tc>
          <w:tcPr>
            <w:tcW w:w="172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r w:rsidRPr="00DB04E0">
              <w:rPr>
                <w:rFonts w:cs="Times New Roman"/>
                <w:sz w:val="24"/>
                <w:szCs w:val="24"/>
              </w:rPr>
              <w:t xml:space="preserve">3.1. </w:t>
            </w:r>
            <w:proofErr w:type="spellStart"/>
            <w:r w:rsidRPr="00DB04E0">
              <w:rPr>
                <w:rFonts w:cs="Times New Roman"/>
                <w:sz w:val="24"/>
                <w:szCs w:val="24"/>
              </w:rPr>
              <w:t>valsts</w:t>
            </w:r>
            <w:proofErr w:type="spellEnd"/>
            <w:r w:rsidRPr="00DB04E0">
              <w:rPr>
                <w:rFonts w:cs="Times New Roman"/>
                <w:sz w:val="24"/>
                <w:szCs w:val="24"/>
              </w:rPr>
              <w:t xml:space="preserve"> </w:t>
            </w:r>
            <w:proofErr w:type="spellStart"/>
            <w:r w:rsidRPr="00DB04E0">
              <w:rPr>
                <w:rFonts w:cs="Times New Roman"/>
                <w:sz w:val="24"/>
                <w:szCs w:val="24"/>
              </w:rPr>
              <w:t>pamatbudžets</w:t>
            </w:r>
            <w:proofErr w:type="spellEnd"/>
          </w:p>
        </w:tc>
        <w:tc>
          <w:tcPr>
            <w:tcW w:w="634"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jc w:val="center"/>
              <w:rPr>
                <w:rFonts w:cs="Times New Roman"/>
                <w:sz w:val="24"/>
                <w:szCs w:val="24"/>
                <w:lang w:val="lv-LV" w:eastAsia="lv-LV"/>
              </w:rPr>
            </w:pPr>
            <w:r w:rsidRPr="00DB04E0">
              <w:rPr>
                <w:rFonts w:cs="Times New Roman"/>
                <w:sz w:val="24"/>
                <w:szCs w:val="24"/>
              </w:rPr>
              <w:t>0</w:t>
            </w:r>
          </w:p>
        </w:tc>
        <w:tc>
          <w:tcPr>
            <w:tcW w:w="750" w:type="pct"/>
            <w:tcBorders>
              <w:top w:val="outset" w:sz="6" w:space="0" w:color="414142"/>
              <w:left w:val="outset" w:sz="6" w:space="0" w:color="414142"/>
              <w:bottom w:val="outset" w:sz="6" w:space="0" w:color="414142"/>
              <w:right w:val="outset" w:sz="6" w:space="0" w:color="414142"/>
            </w:tcBorders>
          </w:tcPr>
          <w:p w:rsidR="00DB04E0" w:rsidRPr="00D56176" w:rsidRDefault="00D56176" w:rsidP="00D56176">
            <w:pPr>
              <w:jc w:val="center"/>
              <w:rPr>
                <w:rFonts w:cs="Times New Roman"/>
                <w:sz w:val="24"/>
                <w:szCs w:val="24"/>
                <w:lang w:val="lv-LV" w:eastAsia="lv-LV"/>
              </w:rPr>
            </w:pPr>
            <w:r>
              <w:rPr>
                <w:rFonts w:cs="Times New Roman"/>
                <w:sz w:val="24"/>
                <w:szCs w:val="24"/>
                <w:lang w:val="lv-LV" w:eastAsia="lv-LV"/>
              </w:rPr>
              <w:t xml:space="preserve">- </w:t>
            </w:r>
            <w:r w:rsidRPr="00D56176">
              <w:rPr>
                <w:rFonts w:cs="Times New Roman"/>
                <w:sz w:val="24"/>
                <w:szCs w:val="24"/>
                <w:lang w:val="lv-LV" w:eastAsia="lv-LV"/>
              </w:rPr>
              <w:t>5 826 480</w:t>
            </w:r>
          </w:p>
        </w:tc>
        <w:tc>
          <w:tcPr>
            <w:tcW w:w="666" w:type="pct"/>
            <w:tcBorders>
              <w:top w:val="outset" w:sz="6" w:space="0" w:color="414142"/>
              <w:left w:val="outset" w:sz="6" w:space="0" w:color="414142"/>
              <w:bottom w:val="outset" w:sz="6" w:space="0" w:color="414142"/>
              <w:right w:val="outset" w:sz="6" w:space="0" w:color="414142"/>
            </w:tcBorders>
          </w:tcPr>
          <w:p w:rsidR="00DB04E0" w:rsidRPr="00DB04E0" w:rsidRDefault="00D56176">
            <w:pPr>
              <w:jc w:val="center"/>
              <w:rPr>
                <w:rFonts w:cs="Times New Roman"/>
                <w:sz w:val="24"/>
                <w:szCs w:val="24"/>
                <w:lang w:val="lv-LV" w:eastAsia="lv-LV"/>
              </w:rPr>
            </w:pPr>
            <w:r>
              <w:rPr>
                <w:rFonts w:cs="Times New Roman"/>
                <w:sz w:val="24"/>
                <w:szCs w:val="24"/>
                <w:lang w:val="lv-LV" w:eastAsia="lv-LV"/>
              </w:rPr>
              <w:t>5 826 480</w:t>
            </w:r>
          </w:p>
        </w:tc>
        <w:tc>
          <w:tcPr>
            <w:tcW w:w="483"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jc w:val="center"/>
              <w:rPr>
                <w:rFonts w:cs="Times New Roman"/>
                <w:sz w:val="24"/>
                <w:szCs w:val="24"/>
                <w:lang w:val="lv-LV" w:eastAsia="lv-LV"/>
              </w:rPr>
            </w:pPr>
            <w:r w:rsidRPr="00DB04E0">
              <w:rPr>
                <w:rFonts w:cs="Times New Roman"/>
                <w:sz w:val="24"/>
                <w:szCs w:val="24"/>
              </w:rPr>
              <w:t>0</w:t>
            </w:r>
          </w:p>
        </w:tc>
        <w:tc>
          <w:tcPr>
            <w:tcW w:w="747"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jc w:val="center"/>
              <w:rPr>
                <w:rFonts w:cs="Times New Roman"/>
                <w:sz w:val="24"/>
                <w:szCs w:val="24"/>
                <w:lang w:val="lv-LV" w:eastAsia="lv-LV"/>
              </w:rPr>
            </w:pPr>
            <w:r w:rsidRPr="00DB04E0">
              <w:rPr>
                <w:rFonts w:cs="Times New Roman"/>
                <w:sz w:val="24"/>
                <w:szCs w:val="24"/>
              </w:rPr>
              <w:t>0</w:t>
            </w:r>
          </w:p>
        </w:tc>
      </w:tr>
      <w:tr w:rsidR="00DB04E0" w:rsidRPr="00DB04E0" w:rsidTr="00D56176">
        <w:trPr>
          <w:cantSplit/>
        </w:trPr>
        <w:tc>
          <w:tcPr>
            <w:tcW w:w="172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r w:rsidRPr="00DB04E0">
              <w:rPr>
                <w:rFonts w:cs="Times New Roman"/>
                <w:sz w:val="24"/>
                <w:szCs w:val="24"/>
              </w:rPr>
              <w:t xml:space="preserve">3.2. </w:t>
            </w:r>
            <w:proofErr w:type="spellStart"/>
            <w:r w:rsidRPr="00DB04E0">
              <w:rPr>
                <w:rFonts w:cs="Times New Roman"/>
                <w:sz w:val="24"/>
                <w:szCs w:val="24"/>
              </w:rPr>
              <w:t>speciālais</w:t>
            </w:r>
            <w:proofErr w:type="spellEnd"/>
            <w:r w:rsidRPr="00DB04E0">
              <w:rPr>
                <w:rFonts w:cs="Times New Roman"/>
                <w:sz w:val="24"/>
                <w:szCs w:val="24"/>
              </w:rPr>
              <w:t xml:space="preserve"> </w:t>
            </w:r>
            <w:proofErr w:type="spellStart"/>
            <w:r w:rsidRPr="00DB04E0">
              <w:rPr>
                <w:rFonts w:cs="Times New Roman"/>
                <w:sz w:val="24"/>
                <w:szCs w:val="24"/>
              </w:rPr>
              <w:t>budžets</w:t>
            </w:r>
            <w:proofErr w:type="spellEnd"/>
          </w:p>
        </w:tc>
        <w:tc>
          <w:tcPr>
            <w:tcW w:w="634"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75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666"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483"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747"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r>
      <w:tr w:rsidR="00DB04E0" w:rsidRPr="00DB04E0" w:rsidTr="00D56176">
        <w:trPr>
          <w:cantSplit/>
        </w:trPr>
        <w:tc>
          <w:tcPr>
            <w:tcW w:w="172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r w:rsidRPr="00DB04E0">
              <w:rPr>
                <w:rFonts w:cs="Times New Roman"/>
                <w:sz w:val="24"/>
                <w:szCs w:val="24"/>
              </w:rPr>
              <w:t xml:space="preserve">3.3. </w:t>
            </w:r>
            <w:proofErr w:type="spellStart"/>
            <w:r w:rsidRPr="00DB04E0">
              <w:rPr>
                <w:rFonts w:cs="Times New Roman"/>
                <w:sz w:val="24"/>
                <w:szCs w:val="24"/>
              </w:rPr>
              <w:t>pašvaldību</w:t>
            </w:r>
            <w:proofErr w:type="spellEnd"/>
            <w:r w:rsidRPr="00DB04E0">
              <w:rPr>
                <w:rFonts w:cs="Times New Roman"/>
                <w:sz w:val="24"/>
                <w:szCs w:val="24"/>
              </w:rPr>
              <w:t xml:space="preserve"> </w:t>
            </w:r>
            <w:proofErr w:type="spellStart"/>
            <w:r w:rsidRPr="00DB04E0">
              <w:rPr>
                <w:rFonts w:cs="Times New Roman"/>
                <w:sz w:val="24"/>
                <w:szCs w:val="24"/>
              </w:rPr>
              <w:t>budžets</w:t>
            </w:r>
            <w:proofErr w:type="spellEnd"/>
          </w:p>
        </w:tc>
        <w:tc>
          <w:tcPr>
            <w:tcW w:w="634"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75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666"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483"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747"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r>
      <w:tr w:rsidR="00DB04E0" w:rsidRPr="00DB04E0" w:rsidTr="00D56176">
        <w:trPr>
          <w:cantSplit/>
        </w:trPr>
        <w:tc>
          <w:tcPr>
            <w:tcW w:w="1720" w:type="pct"/>
            <w:vMerge w:val="restar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r w:rsidRPr="00DB04E0">
              <w:rPr>
                <w:rFonts w:cs="Times New Roman"/>
                <w:sz w:val="24"/>
                <w:szCs w:val="24"/>
              </w:rPr>
              <w:t xml:space="preserve">4. </w:t>
            </w:r>
            <w:proofErr w:type="spellStart"/>
            <w:r w:rsidRPr="00DB04E0">
              <w:rPr>
                <w:rFonts w:cs="Times New Roman"/>
                <w:sz w:val="24"/>
                <w:szCs w:val="24"/>
              </w:rPr>
              <w:t>Finanšu</w:t>
            </w:r>
            <w:proofErr w:type="spellEnd"/>
            <w:r w:rsidRPr="00DB04E0">
              <w:rPr>
                <w:rFonts w:cs="Times New Roman"/>
                <w:sz w:val="24"/>
                <w:szCs w:val="24"/>
              </w:rPr>
              <w:t xml:space="preserve"> </w:t>
            </w:r>
            <w:proofErr w:type="spellStart"/>
            <w:r w:rsidRPr="00DB04E0">
              <w:rPr>
                <w:rFonts w:cs="Times New Roman"/>
                <w:sz w:val="24"/>
                <w:szCs w:val="24"/>
              </w:rPr>
              <w:t>līdzekļi</w:t>
            </w:r>
            <w:proofErr w:type="spellEnd"/>
            <w:r w:rsidRPr="00DB04E0">
              <w:rPr>
                <w:rFonts w:cs="Times New Roman"/>
                <w:sz w:val="24"/>
                <w:szCs w:val="24"/>
              </w:rPr>
              <w:t xml:space="preserve"> </w:t>
            </w:r>
            <w:proofErr w:type="spellStart"/>
            <w:r w:rsidRPr="00DB04E0">
              <w:rPr>
                <w:rFonts w:cs="Times New Roman"/>
                <w:sz w:val="24"/>
                <w:szCs w:val="24"/>
              </w:rPr>
              <w:t>papildu</w:t>
            </w:r>
            <w:proofErr w:type="spellEnd"/>
            <w:r w:rsidRPr="00DB04E0">
              <w:rPr>
                <w:rFonts w:cs="Times New Roman"/>
                <w:sz w:val="24"/>
                <w:szCs w:val="24"/>
              </w:rPr>
              <w:t xml:space="preserve"> </w:t>
            </w:r>
            <w:proofErr w:type="spellStart"/>
            <w:r w:rsidRPr="00DB04E0">
              <w:rPr>
                <w:rFonts w:cs="Times New Roman"/>
                <w:sz w:val="24"/>
                <w:szCs w:val="24"/>
              </w:rPr>
              <w:t>izdevumu</w:t>
            </w:r>
            <w:proofErr w:type="spellEnd"/>
            <w:r w:rsidRPr="00DB04E0">
              <w:rPr>
                <w:rFonts w:cs="Times New Roman"/>
                <w:sz w:val="24"/>
                <w:szCs w:val="24"/>
              </w:rPr>
              <w:t xml:space="preserve"> </w:t>
            </w:r>
            <w:proofErr w:type="spellStart"/>
            <w:r w:rsidRPr="00DB04E0">
              <w:rPr>
                <w:rFonts w:cs="Times New Roman"/>
                <w:sz w:val="24"/>
                <w:szCs w:val="24"/>
              </w:rPr>
              <w:t>finansēšanai</w:t>
            </w:r>
            <w:proofErr w:type="spellEnd"/>
            <w:r w:rsidRPr="00DB04E0">
              <w:rPr>
                <w:rFonts w:cs="Times New Roman"/>
                <w:sz w:val="24"/>
                <w:szCs w:val="24"/>
              </w:rPr>
              <w:t xml:space="preserve"> (</w:t>
            </w:r>
            <w:proofErr w:type="spellStart"/>
            <w:r w:rsidRPr="00DB04E0">
              <w:rPr>
                <w:rFonts w:cs="Times New Roman"/>
                <w:sz w:val="24"/>
                <w:szCs w:val="24"/>
              </w:rPr>
              <w:t>kompensējošu</w:t>
            </w:r>
            <w:proofErr w:type="spellEnd"/>
            <w:r w:rsidRPr="00DB04E0">
              <w:rPr>
                <w:rFonts w:cs="Times New Roman"/>
                <w:sz w:val="24"/>
                <w:szCs w:val="24"/>
              </w:rPr>
              <w:t xml:space="preserve"> </w:t>
            </w:r>
            <w:proofErr w:type="spellStart"/>
            <w:r w:rsidRPr="00DB04E0">
              <w:rPr>
                <w:rFonts w:cs="Times New Roman"/>
                <w:sz w:val="24"/>
                <w:szCs w:val="24"/>
              </w:rPr>
              <w:t>izdevumu</w:t>
            </w:r>
            <w:proofErr w:type="spellEnd"/>
            <w:r w:rsidRPr="00DB04E0">
              <w:rPr>
                <w:rFonts w:cs="Times New Roman"/>
                <w:sz w:val="24"/>
                <w:szCs w:val="24"/>
              </w:rPr>
              <w:t xml:space="preserve"> </w:t>
            </w:r>
            <w:proofErr w:type="spellStart"/>
            <w:r w:rsidRPr="00DB04E0">
              <w:rPr>
                <w:rFonts w:cs="Times New Roman"/>
                <w:sz w:val="24"/>
                <w:szCs w:val="24"/>
              </w:rPr>
              <w:t>samazinājumu</w:t>
            </w:r>
            <w:proofErr w:type="spellEnd"/>
            <w:r w:rsidRPr="00DB04E0">
              <w:rPr>
                <w:rFonts w:cs="Times New Roman"/>
                <w:sz w:val="24"/>
                <w:szCs w:val="24"/>
              </w:rPr>
              <w:t xml:space="preserve"> </w:t>
            </w:r>
            <w:proofErr w:type="spellStart"/>
            <w:r w:rsidRPr="00DB04E0">
              <w:rPr>
                <w:rFonts w:cs="Times New Roman"/>
                <w:sz w:val="24"/>
                <w:szCs w:val="24"/>
              </w:rPr>
              <w:t>norāda</w:t>
            </w:r>
            <w:proofErr w:type="spellEnd"/>
            <w:r w:rsidRPr="00DB04E0">
              <w:rPr>
                <w:rFonts w:cs="Times New Roman"/>
                <w:sz w:val="24"/>
                <w:szCs w:val="24"/>
              </w:rPr>
              <w:t xml:space="preserve"> </w:t>
            </w:r>
            <w:proofErr w:type="spellStart"/>
            <w:r w:rsidRPr="00DB04E0">
              <w:rPr>
                <w:rFonts w:cs="Times New Roman"/>
                <w:sz w:val="24"/>
                <w:szCs w:val="24"/>
              </w:rPr>
              <w:t>ar</w:t>
            </w:r>
            <w:proofErr w:type="spellEnd"/>
            <w:r w:rsidRPr="00DB04E0">
              <w:rPr>
                <w:rFonts w:cs="Times New Roman"/>
                <w:sz w:val="24"/>
                <w:szCs w:val="24"/>
              </w:rPr>
              <w:t xml:space="preserve"> "+" </w:t>
            </w:r>
            <w:proofErr w:type="spellStart"/>
            <w:r w:rsidRPr="00DB04E0">
              <w:rPr>
                <w:rFonts w:cs="Times New Roman"/>
                <w:sz w:val="24"/>
                <w:szCs w:val="24"/>
              </w:rPr>
              <w:t>zīmi</w:t>
            </w:r>
            <w:proofErr w:type="spellEnd"/>
            <w:r w:rsidRPr="00DB04E0">
              <w:rPr>
                <w:rFonts w:cs="Times New Roman"/>
                <w:sz w:val="24"/>
                <w:szCs w:val="24"/>
              </w:rPr>
              <w:t>)</w:t>
            </w:r>
          </w:p>
        </w:tc>
        <w:tc>
          <w:tcPr>
            <w:tcW w:w="634" w:type="pct"/>
            <w:vMerge w:val="restart"/>
            <w:tcBorders>
              <w:top w:val="outset" w:sz="6" w:space="0" w:color="414142"/>
              <w:left w:val="outset" w:sz="6" w:space="0" w:color="414142"/>
              <w:bottom w:val="outset" w:sz="6" w:space="0" w:color="414142"/>
              <w:right w:val="outset" w:sz="6" w:space="0" w:color="414142"/>
            </w:tcBorders>
          </w:tcPr>
          <w:p w:rsidR="00DB04E0" w:rsidRPr="00DB04E0" w:rsidRDefault="00DB04E0">
            <w:pPr>
              <w:ind w:firstLine="300"/>
              <w:jc w:val="center"/>
              <w:rPr>
                <w:rFonts w:cs="Times New Roman"/>
                <w:sz w:val="24"/>
                <w:szCs w:val="24"/>
                <w:lang w:val="lv-LV" w:eastAsia="lv-LV"/>
              </w:rPr>
            </w:pPr>
          </w:p>
        </w:tc>
        <w:tc>
          <w:tcPr>
            <w:tcW w:w="75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jc w:val="center"/>
              <w:rPr>
                <w:rFonts w:cs="Times New Roman"/>
                <w:sz w:val="24"/>
                <w:szCs w:val="24"/>
                <w:lang w:val="lv-LV" w:eastAsia="lv-LV"/>
              </w:rPr>
            </w:pPr>
            <w:r w:rsidRPr="00DB04E0">
              <w:rPr>
                <w:rFonts w:cs="Times New Roman"/>
                <w:sz w:val="24"/>
                <w:szCs w:val="24"/>
              </w:rPr>
              <w:t>0</w:t>
            </w:r>
          </w:p>
        </w:tc>
        <w:tc>
          <w:tcPr>
            <w:tcW w:w="666"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jc w:val="center"/>
              <w:rPr>
                <w:rFonts w:cs="Times New Roman"/>
                <w:sz w:val="24"/>
                <w:szCs w:val="24"/>
                <w:lang w:val="lv-LV" w:eastAsia="lv-LV"/>
              </w:rPr>
            </w:pPr>
            <w:r w:rsidRPr="00DB04E0">
              <w:rPr>
                <w:rFonts w:cs="Times New Roman"/>
                <w:sz w:val="24"/>
                <w:szCs w:val="24"/>
              </w:rPr>
              <w:t>0</w:t>
            </w:r>
          </w:p>
        </w:tc>
        <w:tc>
          <w:tcPr>
            <w:tcW w:w="483"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jc w:val="center"/>
              <w:rPr>
                <w:rFonts w:cs="Times New Roman"/>
                <w:sz w:val="24"/>
                <w:szCs w:val="24"/>
                <w:lang w:val="lv-LV" w:eastAsia="lv-LV"/>
              </w:rPr>
            </w:pPr>
            <w:r w:rsidRPr="00DB04E0">
              <w:rPr>
                <w:rFonts w:cs="Times New Roman"/>
                <w:sz w:val="24"/>
                <w:szCs w:val="24"/>
              </w:rPr>
              <w:t>0</w:t>
            </w:r>
          </w:p>
        </w:tc>
        <w:tc>
          <w:tcPr>
            <w:tcW w:w="747"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jc w:val="center"/>
              <w:rPr>
                <w:rFonts w:cs="Times New Roman"/>
                <w:sz w:val="24"/>
                <w:szCs w:val="24"/>
                <w:lang w:val="lv-LV" w:eastAsia="lv-LV"/>
              </w:rPr>
            </w:pPr>
            <w:r w:rsidRPr="00DB04E0">
              <w:rPr>
                <w:rFonts w:cs="Times New Roman"/>
                <w:sz w:val="24"/>
                <w:szCs w:val="24"/>
              </w:rPr>
              <w:t>0</w:t>
            </w:r>
          </w:p>
        </w:tc>
      </w:tr>
      <w:tr w:rsidR="00DB04E0" w:rsidRPr="00DB04E0" w:rsidTr="00D56176">
        <w:trPr>
          <w:cantSplit/>
          <w:trHeight w:val="241"/>
        </w:trPr>
        <w:tc>
          <w:tcPr>
            <w:tcW w:w="1720" w:type="pct"/>
            <w:vMerge/>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pPr>
              <w:rPr>
                <w:rFonts w:cs="Times New Roman"/>
                <w:sz w:val="24"/>
                <w:szCs w:val="24"/>
                <w:lang w:val="lv-LV" w:eastAsia="lv-LV"/>
              </w:rPr>
            </w:pPr>
          </w:p>
        </w:tc>
        <w:tc>
          <w:tcPr>
            <w:tcW w:w="634" w:type="pct"/>
            <w:vMerge/>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pPr>
              <w:rPr>
                <w:rFonts w:cs="Times New Roman"/>
                <w:sz w:val="24"/>
                <w:szCs w:val="24"/>
                <w:lang w:val="lv-LV" w:eastAsia="lv-LV"/>
              </w:rPr>
            </w:pPr>
          </w:p>
        </w:tc>
        <w:tc>
          <w:tcPr>
            <w:tcW w:w="75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666"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483"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747"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r>
      <w:tr w:rsidR="00DB04E0" w:rsidRPr="00DB04E0" w:rsidTr="00D56176">
        <w:trPr>
          <w:cantSplit/>
        </w:trPr>
        <w:tc>
          <w:tcPr>
            <w:tcW w:w="1720" w:type="pct"/>
            <w:vMerge/>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pPr>
              <w:rPr>
                <w:rFonts w:cs="Times New Roman"/>
                <w:sz w:val="24"/>
                <w:szCs w:val="24"/>
                <w:lang w:val="lv-LV" w:eastAsia="lv-LV"/>
              </w:rPr>
            </w:pPr>
          </w:p>
        </w:tc>
        <w:tc>
          <w:tcPr>
            <w:tcW w:w="634" w:type="pct"/>
            <w:vMerge/>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pPr>
              <w:rPr>
                <w:rFonts w:cs="Times New Roman"/>
                <w:sz w:val="24"/>
                <w:szCs w:val="24"/>
                <w:lang w:val="lv-LV" w:eastAsia="lv-LV"/>
              </w:rPr>
            </w:pPr>
          </w:p>
        </w:tc>
        <w:tc>
          <w:tcPr>
            <w:tcW w:w="75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666"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483"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747"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r>
      <w:tr w:rsidR="00DB04E0" w:rsidRPr="00DB04E0" w:rsidTr="00D56176">
        <w:trPr>
          <w:cantSplit/>
        </w:trPr>
        <w:tc>
          <w:tcPr>
            <w:tcW w:w="172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r w:rsidRPr="00DB04E0">
              <w:rPr>
                <w:rFonts w:cs="Times New Roman"/>
                <w:sz w:val="24"/>
                <w:szCs w:val="24"/>
              </w:rPr>
              <w:t xml:space="preserve">5. </w:t>
            </w:r>
            <w:proofErr w:type="spellStart"/>
            <w:r w:rsidRPr="00DB04E0">
              <w:rPr>
                <w:rFonts w:cs="Times New Roman"/>
                <w:sz w:val="24"/>
                <w:szCs w:val="24"/>
              </w:rPr>
              <w:t>Precizēta</w:t>
            </w:r>
            <w:proofErr w:type="spellEnd"/>
            <w:r w:rsidRPr="00DB04E0">
              <w:rPr>
                <w:rFonts w:cs="Times New Roman"/>
                <w:sz w:val="24"/>
                <w:szCs w:val="24"/>
              </w:rPr>
              <w:t xml:space="preserve"> </w:t>
            </w:r>
            <w:proofErr w:type="spellStart"/>
            <w:r w:rsidRPr="00DB04E0">
              <w:rPr>
                <w:rFonts w:cs="Times New Roman"/>
                <w:sz w:val="24"/>
                <w:szCs w:val="24"/>
              </w:rPr>
              <w:t>finansiālā</w:t>
            </w:r>
            <w:proofErr w:type="spellEnd"/>
            <w:r w:rsidRPr="00DB04E0">
              <w:rPr>
                <w:rFonts w:cs="Times New Roman"/>
                <w:sz w:val="24"/>
                <w:szCs w:val="24"/>
              </w:rPr>
              <w:t xml:space="preserve"> </w:t>
            </w:r>
            <w:proofErr w:type="spellStart"/>
            <w:r w:rsidRPr="00DB04E0">
              <w:rPr>
                <w:rFonts w:cs="Times New Roman"/>
                <w:sz w:val="24"/>
                <w:szCs w:val="24"/>
              </w:rPr>
              <w:t>ietekme</w:t>
            </w:r>
            <w:proofErr w:type="spellEnd"/>
            <w:r w:rsidRPr="00DB04E0">
              <w:rPr>
                <w:rFonts w:cs="Times New Roman"/>
                <w:sz w:val="24"/>
                <w:szCs w:val="24"/>
              </w:rPr>
              <w:t>:</w:t>
            </w:r>
          </w:p>
        </w:tc>
        <w:tc>
          <w:tcPr>
            <w:tcW w:w="634" w:type="pct"/>
            <w:vMerge w:val="restart"/>
            <w:tcBorders>
              <w:top w:val="outset" w:sz="6" w:space="0" w:color="414142"/>
              <w:left w:val="outset" w:sz="6" w:space="0" w:color="414142"/>
              <w:bottom w:val="outset" w:sz="6" w:space="0" w:color="414142"/>
              <w:right w:val="outset" w:sz="6" w:space="0" w:color="414142"/>
            </w:tcBorders>
          </w:tcPr>
          <w:p w:rsidR="00DB04E0" w:rsidRPr="00DB04E0" w:rsidRDefault="00DB04E0">
            <w:pPr>
              <w:ind w:firstLine="300"/>
              <w:jc w:val="center"/>
              <w:rPr>
                <w:rFonts w:cs="Times New Roman"/>
                <w:sz w:val="24"/>
                <w:szCs w:val="24"/>
                <w:lang w:val="lv-LV" w:eastAsia="lv-LV"/>
              </w:rPr>
            </w:pPr>
          </w:p>
        </w:tc>
        <w:tc>
          <w:tcPr>
            <w:tcW w:w="75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jc w:val="center"/>
              <w:rPr>
                <w:rFonts w:cs="Times New Roman"/>
                <w:sz w:val="24"/>
                <w:szCs w:val="24"/>
                <w:lang w:val="lv-LV" w:eastAsia="lv-LV"/>
              </w:rPr>
            </w:pPr>
            <w:r w:rsidRPr="00DB04E0">
              <w:rPr>
                <w:rFonts w:cs="Times New Roman"/>
                <w:sz w:val="24"/>
                <w:szCs w:val="24"/>
              </w:rPr>
              <w:t>0</w:t>
            </w:r>
          </w:p>
        </w:tc>
        <w:tc>
          <w:tcPr>
            <w:tcW w:w="666"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jc w:val="center"/>
              <w:rPr>
                <w:rFonts w:cs="Times New Roman"/>
                <w:sz w:val="24"/>
                <w:szCs w:val="24"/>
                <w:lang w:val="lv-LV" w:eastAsia="lv-LV"/>
              </w:rPr>
            </w:pPr>
            <w:r w:rsidRPr="00DB04E0">
              <w:rPr>
                <w:rFonts w:cs="Times New Roman"/>
                <w:sz w:val="24"/>
                <w:szCs w:val="24"/>
              </w:rPr>
              <w:t>0</w:t>
            </w:r>
          </w:p>
        </w:tc>
        <w:tc>
          <w:tcPr>
            <w:tcW w:w="483"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jc w:val="center"/>
              <w:rPr>
                <w:rFonts w:cs="Times New Roman"/>
                <w:sz w:val="24"/>
                <w:szCs w:val="24"/>
                <w:lang w:val="lv-LV" w:eastAsia="lv-LV"/>
              </w:rPr>
            </w:pPr>
            <w:r w:rsidRPr="00DB04E0">
              <w:rPr>
                <w:rFonts w:cs="Times New Roman"/>
                <w:sz w:val="24"/>
                <w:szCs w:val="24"/>
              </w:rPr>
              <w:t>0</w:t>
            </w:r>
          </w:p>
        </w:tc>
        <w:tc>
          <w:tcPr>
            <w:tcW w:w="747"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jc w:val="center"/>
              <w:rPr>
                <w:rFonts w:cs="Times New Roman"/>
                <w:sz w:val="24"/>
                <w:szCs w:val="24"/>
                <w:lang w:val="lv-LV" w:eastAsia="lv-LV"/>
              </w:rPr>
            </w:pPr>
            <w:r w:rsidRPr="00DB04E0">
              <w:rPr>
                <w:rFonts w:cs="Times New Roman"/>
                <w:sz w:val="24"/>
                <w:szCs w:val="24"/>
              </w:rPr>
              <w:t>0</w:t>
            </w:r>
          </w:p>
        </w:tc>
      </w:tr>
      <w:tr w:rsidR="00DB04E0" w:rsidRPr="00DB04E0" w:rsidTr="00D56176">
        <w:trPr>
          <w:cantSplit/>
        </w:trPr>
        <w:tc>
          <w:tcPr>
            <w:tcW w:w="172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r w:rsidRPr="00DB04E0">
              <w:rPr>
                <w:rFonts w:cs="Times New Roman"/>
                <w:sz w:val="24"/>
                <w:szCs w:val="24"/>
              </w:rPr>
              <w:t xml:space="preserve">5.1. </w:t>
            </w:r>
            <w:proofErr w:type="spellStart"/>
            <w:r w:rsidRPr="00DB04E0">
              <w:rPr>
                <w:rFonts w:cs="Times New Roman"/>
                <w:sz w:val="24"/>
                <w:szCs w:val="24"/>
              </w:rPr>
              <w:t>valsts</w:t>
            </w:r>
            <w:proofErr w:type="spellEnd"/>
            <w:r w:rsidRPr="00DB04E0">
              <w:rPr>
                <w:rFonts w:cs="Times New Roman"/>
                <w:sz w:val="24"/>
                <w:szCs w:val="24"/>
              </w:rPr>
              <w:t xml:space="preserve"> </w:t>
            </w:r>
            <w:proofErr w:type="spellStart"/>
            <w:r w:rsidRPr="00DB04E0">
              <w:rPr>
                <w:rFonts w:cs="Times New Roman"/>
                <w:sz w:val="24"/>
                <w:szCs w:val="24"/>
              </w:rPr>
              <w:t>pamatbudžets</w:t>
            </w:r>
            <w:proofErr w:type="spellEnd"/>
          </w:p>
        </w:tc>
        <w:tc>
          <w:tcPr>
            <w:tcW w:w="634" w:type="pct"/>
            <w:vMerge/>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pPr>
              <w:rPr>
                <w:rFonts w:cs="Times New Roman"/>
                <w:sz w:val="24"/>
                <w:szCs w:val="24"/>
                <w:lang w:val="lv-LV" w:eastAsia="lv-LV"/>
              </w:rPr>
            </w:pPr>
          </w:p>
        </w:tc>
        <w:tc>
          <w:tcPr>
            <w:tcW w:w="75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jc w:val="center"/>
              <w:rPr>
                <w:rFonts w:cs="Times New Roman"/>
                <w:sz w:val="24"/>
                <w:szCs w:val="24"/>
                <w:lang w:val="lv-LV" w:eastAsia="lv-LV"/>
              </w:rPr>
            </w:pPr>
            <w:r w:rsidRPr="00DB04E0">
              <w:rPr>
                <w:rFonts w:cs="Times New Roman"/>
                <w:sz w:val="24"/>
                <w:szCs w:val="24"/>
              </w:rPr>
              <w:t>0</w:t>
            </w:r>
          </w:p>
        </w:tc>
        <w:tc>
          <w:tcPr>
            <w:tcW w:w="666"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jc w:val="center"/>
              <w:rPr>
                <w:rFonts w:cs="Times New Roman"/>
                <w:sz w:val="24"/>
                <w:szCs w:val="24"/>
                <w:lang w:val="lv-LV" w:eastAsia="lv-LV"/>
              </w:rPr>
            </w:pPr>
            <w:r w:rsidRPr="00DB04E0">
              <w:rPr>
                <w:rFonts w:cs="Times New Roman"/>
                <w:sz w:val="24"/>
                <w:szCs w:val="24"/>
              </w:rPr>
              <w:t>0</w:t>
            </w:r>
          </w:p>
        </w:tc>
        <w:tc>
          <w:tcPr>
            <w:tcW w:w="483"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jc w:val="center"/>
              <w:rPr>
                <w:rFonts w:cs="Times New Roman"/>
                <w:sz w:val="24"/>
                <w:szCs w:val="24"/>
                <w:lang w:val="lv-LV" w:eastAsia="lv-LV"/>
              </w:rPr>
            </w:pPr>
            <w:r w:rsidRPr="00DB04E0">
              <w:rPr>
                <w:rFonts w:cs="Times New Roman"/>
                <w:sz w:val="24"/>
                <w:szCs w:val="24"/>
              </w:rPr>
              <w:t>0</w:t>
            </w:r>
          </w:p>
        </w:tc>
        <w:tc>
          <w:tcPr>
            <w:tcW w:w="747"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jc w:val="center"/>
              <w:rPr>
                <w:rFonts w:cs="Times New Roman"/>
                <w:sz w:val="24"/>
                <w:szCs w:val="24"/>
                <w:lang w:val="lv-LV" w:eastAsia="lv-LV"/>
              </w:rPr>
            </w:pPr>
            <w:r w:rsidRPr="00DB04E0">
              <w:rPr>
                <w:rFonts w:cs="Times New Roman"/>
                <w:sz w:val="24"/>
                <w:szCs w:val="24"/>
              </w:rPr>
              <w:t>0</w:t>
            </w:r>
          </w:p>
        </w:tc>
      </w:tr>
      <w:tr w:rsidR="00DB04E0" w:rsidRPr="00DB04E0" w:rsidTr="00D56176">
        <w:trPr>
          <w:cantSplit/>
        </w:trPr>
        <w:tc>
          <w:tcPr>
            <w:tcW w:w="172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r w:rsidRPr="00DB04E0">
              <w:rPr>
                <w:rFonts w:cs="Times New Roman"/>
                <w:sz w:val="24"/>
                <w:szCs w:val="24"/>
              </w:rPr>
              <w:t xml:space="preserve">5.2. </w:t>
            </w:r>
            <w:proofErr w:type="spellStart"/>
            <w:r w:rsidRPr="00DB04E0">
              <w:rPr>
                <w:rFonts w:cs="Times New Roman"/>
                <w:sz w:val="24"/>
                <w:szCs w:val="24"/>
              </w:rPr>
              <w:t>speciālais</w:t>
            </w:r>
            <w:proofErr w:type="spellEnd"/>
            <w:r w:rsidRPr="00DB04E0">
              <w:rPr>
                <w:rFonts w:cs="Times New Roman"/>
                <w:sz w:val="24"/>
                <w:szCs w:val="24"/>
              </w:rPr>
              <w:t xml:space="preserve"> </w:t>
            </w:r>
            <w:proofErr w:type="spellStart"/>
            <w:r w:rsidRPr="00DB04E0">
              <w:rPr>
                <w:rFonts w:cs="Times New Roman"/>
                <w:sz w:val="24"/>
                <w:szCs w:val="24"/>
              </w:rPr>
              <w:t>budžets</w:t>
            </w:r>
            <w:proofErr w:type="spellEnd"/>
          </w:p>
        </w:tc>
        <w:tc>
          <w:tcPr>
            <w:tcW w:w="634" w:type="pct"/>
            <w:vMerge/>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pPr>
              <w:rPr>
                <w:rFonts w:cs="Times New Roman"/>
                <w:sz w:val="24"/>
                <w:szCs w:val="24"/>
                <w:lang w:val="lv-LV" w:eastAsia="lv-LV"/>
              </w:rPr>
            </w:pPr>
          </w:p>
        </w:tc>
        <w:tc>
          <w:tcPr>
            <w:tcW w:w="75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666"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483"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747"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r>
      <w:tr w:rsidR="00DB04E0" w:rsidRPr="00DB04E0" w:rsidTr="00D56176">
        <w:trPr>
          <w:cantSplit/>
        </w:trPr>
        <w:tc>
          <w:tcPr>
            <w:tcW w:w="172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r w:rsidRPr="00DB04E0">
              <w:rPr>
                <w:rFonts w:cs="Times New Roman"/>
                <w:sz w:val="24"/>
                <w:szCs w:val="24"/>
              </w:rPr>
              <w:t xml:space="preserve">5.3. </w:t>
            </w:r>
            <w:proofErr w:type="spellStart"/>
            <w:r w:rsidRPr="00DB04E0">
              <w:rPr>
                <w:rFonts w:cs="Times New Roman"/>
                <w:sz w:val="24"/>
                <w:szCs w:val="24"/>
              </w:rPr>
              <w:t>pašvaldību</w:t>
            </w:r>
            <w:proofErr w:type="spellEnd"/>
            <w:r w:rsidRPr="00DB04E0">
              <w:rPr>
                <w:rFonts w:cs="Times New Roman"/>
                <w:sz w:val="24"/>
                <w:szCs w:val="24"/>
              </w:rPr>
              <w:t xml:space="preserve"> </w:t>
            </w:r>
            <w:proofErr w:type="spellStart"/>
            <w:r w:rsidRPr="00DB04E0">
              <w:rPr>
                <w:rFonts w:cs="Times New Roman"/>
                <w:sz w:val="24"/>
                <w:szCs w:val="24"/>
              </w:rPr>
              <w:t>budžets</w:t>
            </w:r>
            <w:proofErr w:type="spellEnd"/>
          </w:p>
        </w:tc>
        <w:tc>
          <w:tcPr>
            <w:tcW w:w="634" w:type="pct"/>
            <w:vMerge/>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pPr>
              <w:rPr>
                <w:rFonts w:cs="Times New Roman"/>
                <w:sz w:val="24"/>
                <w:szCs w:val="24"/>
                <w:lang w:val="lv-LV" w:eastAsia="lv-LV"/>
              </w:rPr>
            </w:pPr>
          </w:p>
        </w:tc>
        <w:tc>
          <w:tcPr>
            <w:tcW w:w="75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666"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483"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c>
          <w:tcPr>
            <w:tcW w:w="747"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p>
        </w:tc>
      </w:tr>
      <w:tr w:rsidR="00DB04E0" w:rsidRPr="008814B7" w:rsidTr="00D56176">
        <w:trPr>
          <w:cantSplit/>
        </w:trPr>
        <w:tc>
          <w:tcPr>
            <w:tcW w:w="172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r w:rsidRPr="00DB04E0">
              <w:rPr>
                <w:rFonts w:cs="Times New Roman"/>
                <w:sz w:val="24"/>
                <w:szCs w:val="24"/>
              </w:rPr>
              <w:t xml:space="preserve">6. </w:t>
            </w:r>
            <w:proofErr w:type="spellStart"/>
            <w:r w:rsidRPr="00DB04E0">
              <w:rPr>
                <w:rFonts w:cs="Times New Roman"/>
                <w:sz w:val="24"/>
                <w:szCs w:val="24"/>
              </w:rPr>
              <w:t>Detalizēts</w:t>
            </w:r>
            <w:proofErr w:type="spellEnd"/>
            <w:r w:rsidRPr="00DB04E0">
              <w:rPr>
                <w:rFonts w:cs="Times New Roman"/>
                <w:sz w:val="24"/>
                <w:szCs w:val="24"/>
              </w:rPr>
              <w:t xml:space="preserve"> </w:t>
            </w:r>
            <w:proofErr w:type="spellStart"/>
            <w:r w:rsidRPr="00DB04E0">
              <w:rPr>
                <w:rFonts w:cs="Times New Roman"/>
                <w:sz w:val="24"/>
                <w:szCs w:val="24"/>
              </w:rPr>
              <w:t>ieņēmumu</w:t>
            </w:r>
            <w:proofErr w:type="spellEnd"/>
            <w:r w:rsidRPr="00DB04E0">
              <w:rPr>
                <w:rFonts w:cs="Times New Roman"/>
                <w:sz w:val="24"/>
                <w:szCs w:val="24"/>
              </w:rPr>
              <w:t xml:space="preserve"> un </w:t>
            </w:r>
            <w:proofErr w:type="spellStart"/>
            <w:r w:rsidRPr="00DB04E0">
              <w:rPr>
                <w:rFonts w:cs="Times New Roman"/>
                <w:sz w:val="24"/>
                <w:szCs w:val="24"/>
              </w:rPr>
              <w:t>izdevumu</w:t>
            </w:r>
            <w:proofErr w:type="spellEnd"/>
            <w:r w:rsidRPr="00DB04E0">
              <w:rPr>
                <w:rFonts w:cs="Times New Roman"/>
                <w:sz w:val="24"/>
                <w:szCs w:val="24"/>
              </w:rPr>
              <w:t xml:space="preserve"> </w:t>
            </w:r>
            <w:proofErr w:type="spellStart"/>
            <w:r w:rsidRPr="00DB04E0">
              <w:rPr>
                <w:rFonts w:cs="Times New Roman"/>
                <w:sz w:val="24"/>
                <w:szCs w:val="24"/>
              </w:rPr>
              <w:t>aprēķins</w:t>
            </w:r>
            <w:proofErr w:type="spellEnd"/>
            <w:r w:rsidRPr="00DB04E0">
              <w:rPr>
                <w:rFonts w:cs="Times New Roman"/>
                <w:sz w:val="24"/>
                <w:szCs w:val="24"/>
              </w:rPr>
              <w:t xml:space="preserve"> (</w:t>
            </w:r>
            <w:proofErr w:type="spellStart"/>
            <w:r w:rsidRPr="00DB04E0">
              <w:rPr>
                <w:rFonts w:cs="Times New Roman"/>
                <w:sz w:val="24"/>
                <w:szCs w:val="24"/>
              </w:rPr>
              <w:t>ja</w:t>
            </w:r>
            <w:proofErr w:type="spellEnd"/>
            <w:r w:rsidRPr="00DB04E0">
              <w:rPr>
                <w:rFonts w:cs="Times New Roman"/>
                <w:sz w:val="24"/>
                <w:szCs w:val="24"/>
              </w:rPr>
              <w:t xml:space="preserve"> </w:t>
            </w:r>
            <w:proofErr w:type="spellStart"/>
            <w:r w:rsidRPr="00DB04E0">
              <w:rPr>
                <w:rFonts w:cs="Times New Roman"/>
                <w:sz w:val="24"/>
                <w:szCs w:val="24"/>
              </w:rPr>
              <w:t>nepieciešams</w:t>
            </w:r>
            <w:proofErr w:type="spellEnd"/>
            <w:r w:rsidRPr="00DB04E0">
              <w:rPr>
                <w:rFonts w:cs="Times New Roman"/>
                <w:sz w:val="24"/>
                <w:szCs w:val="24"/>
              </w:rPr>
              <w:t xml:space="preserve">, </w:t>
            </w:r>
            <w:proofErr w:type="spellStart"/>
            <w:r w:rsidRPr="00DB04E0">
              <w:rPr>
                <w:rFonts w:cs="Times New Roman"/>
                <w:sz w:val="24"/>
                <w:szCs w:val="24"/>
              </w:rPr>
              <w:t>detalizētu</w:t>
            </w:r>
            <w:proofErr w:type="spellEnd"/>
            <w:r w:rsidRPr="00DB04E0">
              <w:rPr>
                <w:rFonts w:cs="Times New Roman"/>
                <w:sz w:val="24"/>
                <w:szCs w:val="24"/>
              </w:rPr>
              <w:t xml:space="preserve"> </w:t>
            </w:r>
            <w:proofErr w:type="spellStart"/>
            <w:r w:rsidRPr="00DB04E0">
              <w:rPr>
                <w:rFonts w:cs="Times New Roman"/>
                <w:sz w:val="24"/>
                <w:szCs w:val="24"/>
              </w:rPr>
              <w:t>ieņēmumu</w:t>
            </w:r>
            <w:proofErr w:type="spellEnd"/>
            <w:r w:rsidRPr="00DB04E0">
              <w:rPr>
                <w:rFonts w:cs="Times New Roman"/>
                <w:sz w:val="24"/>
                <w:szCs w:val="24"/>
              </w:rPr>
              <w:t xml:space="preserve"> un </w:t>
            </w:r>
            <w:proofErr w:type="spellStart"/>
            <w:r w:rsidRPr="00DB04E0">
              <w:rPr>
                <w:rFonts w:cs="Times New Roman"/>
                <w:sz w:val="24"/>
                <w:szCs w:val="24"/>
              </w:rPr>
              <w:t>izdevumu</w:t>
            </w:r>
            <w:proofErr w:type="spellEnd"/>
            <w:r w:rsidRPr="00DB04E0">
              <w:rPr>
                <w:rFonts w:cs="Times New Roman"/>
                <w:sz w:val="24"/>
                <w:szCs w:val="24"/>
              </w:rPr>
              <w:t xml:space="preserve"> </w:t>
            </w:r>
            <w:proofErr w:type="spellStart"/>
            <w:r w:rsidRPr="00DB04E0">
              <w:rPr>
                <w:rFonts w:cs="Times New Roman"/>
                <w:sz w:val="24"/>
                <w:szCs w:val="24"/>
              </w:rPr>
              <w:t>aprēķinu</w:t>
            </w:r>
            <w:proofErr w:type="spellEnd"/>
            <w:r w:rsidRPr="00DB04E0">
              <w:rPr>
                <w:rFonts w:cs="Times New Roman"/>
                <w:sz w:val="24"/>
                <w:szCs w:val="24"/>
              </w:rPr>
              <w:t xml:space="preserve"> </w:t>
            </w:r>
            <w:proofErr w:type="spellStart"/>
            <w:r w:rsidRPr="00DB04E0">
              <w:rPr>
                <w:rFonts w:cs="Times New Roman"/>
                <w:sz w:val="24"/>
                <w:szCs w:val="24"/>
              </w:rPr>
              <w:t>var</w:t>
            </w:r>
            <w:proofErr w:type="spellEnd"/>
            <w:r w:rsidRPr="00DB04E0">
              <w:rPr>
                <w:rFonts w:cs="Times New Roman"/>
                <w:sz w:val="24"/>
                <w:szCs w:val="24"/>
              </w:rPr>
              <w:t xml:space="preserve"> </w:t>
            </w:r>
            <w:proofErr w:type="spellStart"/>
            <w:r w:rsidRPr="00DB04E0">
              <w:rPr>
                <w:rFonts w:cs="Times New Roman"/>
                <w:sz w:val="24"/>
                <w:szCs w:val="24"/>
              </w:rPr>
              <w:t>pievienot</w:t>
            </w:r>
            <w:proofErr w:type="spellEnd"/>
            <w:r w:rsidRPr="00DB04E0">
              <w:rPr>
                <w:rFonts w:cs="Times New Roman"/>
                <w:sz w:val="24"/>
                <w:szCs w:val="24"/>
              </w:rPr>
              <w:t xml:space="preserve"> </w:t>
            </w:r>
            <w:proofErr w:type="spellStart"/>
            <w:r w:rsidRPr="00DB04E0">
              <w:rPr>
                <w:rFonts w:cs="Times New Roman"/>
                <w:sz w:val="24"/>
                <w:szCs w:val="24"/>
              </w:rPr>
              <w:t>anotācijas</w:t>
            </w:r>
            <w:proofErr w:type="spellEnd"/>
            <w:r w:rsidRPr="00DB04E0">
              <w:rPr>
                <w:rFonts w:cs="Times New Roman"/>
                <w:sz w:val="24"/>
                <w:szCs w:val="24"/>
              </w:rPr>
              <w:t xml:space="preserve"> </w:t>
            </w:r>
            <w:proofErr w:type="spellStart"/>
            <w:r w:rsidRPr="00DB04E0">
              <w:rPr>
                <w:rFonts w:cs="Times New Roman"/>
                <w:sz w:val="24"/>
                <w:szCs w:val="24"/>
              </w:rPr>
              <w:t>pielikumā</w:t>
            </w:r>
            <w:proofErr w:type="spellEnd"/>
            <w:r w:rsidRPr="00DB04E0">
              <w:rPr>
                <w:rFonts w:cs="Times New Roman"/>
                <w:sz w:val="24"/>
                <w:szCs w:val="24"/>
              </w:rPr>
              <w:t>):</w:t>
            </w:r>
          </w:p>
        </w:tc>
        <w:tc>
          <w:tcPr>
            <w:tcW w:w="3280" w:type="pct"/>
            <w:gridSpan w:val="5"/>
            <w:vMerge w:val="restart"/>
            <w:tcBorders>
              <w:top w:val="outset" w:sz="6" w:space="0" w:color="414142"/>
              <w:left w:val="outset" w:sz="6" w:space="0" w:color="414142"/>
              <w:bottom w:val="outset" w:sz="6" w:space="0" w:color="414142"/>
              <w:right w:val="outset" w:sz="6" w:space="0" w:color="414142"/>
            </w:tcBorders>
          </w:tcPr>
          <w:p w:rsidR="00DB04E0" w:rsidRPr="00B63DAA" w:rsidRDefault="00523B55" w:rsidP="00B63DAA">
            <w:pPr>
              <w:ind w:firstLine="200"/>
              <w:jc w:val="both"/>
              <w:rPr>
                <w:rFonts w:cs="Times New Roman"/>
                <w:sz w:val="24"/>
                <w:szCs w:val="24"/>
                <w:lang w:val="lv-LV"/>
              </w:rPr>
            </w:pPr>
            <w:r w:rsidRPr="00B63DAA">
              <w:rPr>
                <w:rFonts w:cs="Times New Roman"/>
                <w:sz w:val="24"/>
                <w:szCs w:val="24"/>
                <w:lang w:val="lv-LV"/>
              </w:rPr>
              <w:t xml:space="preserve">Saskaņā ar tehnisko vienošanos, galvenās izdevumu pozīcijas ir ēdināšana, dzeramais ūdens, pārvietojamo tualešu, izlietņu u.c. inventāra iegāde, kā arī degviela, smērvielas un militārais MTL saskaņā ar </w:t>
            </w:r>
            <w:r w:rsidR="002766D2">
              <w:rPr>
                <w:rFonts w:cs="Times New Roman"/>
                <w:sz w:val="24"/>
                <w:szCs w:val="24"/>
                <w:lang w:val="lv-LV"/>
              </w:rPr>
              <w:t>a</w:t>
            </w:r>
            <w:r w:rsidRPr="00B63DAA">
              <w:rPr>
                <w:rFonts w:cs="Times New Roman"/>
                <w:sz w:val="24"/>
                <w:szCs w:val="24"/>
                <w:lang w:val="lv-LV"/>
              </w:rPr>
              <w:t xml:space="preserve">notācijas </w:t>
            </w:r>
            <w:r w:rsidR="002766D2" w:rsidRPr="00B63DAA">
              <w:rPr>
                <w:rFonts w:cs="Times New Roman"/>
                <w:sz w:val="24"/>
                <w:szCs w:val="24"/>
                <w:lang w:val="lv-LV"/>
              </w:rPr>
              <w:t>1.</w:t>
            </w:r>
            <w:r w:rsidRPr="00B63DAA">
              <w:rPr>
                <w:rFonts w:cs="Times New Roman"/>
                <w:sz w:val="24"/>
                <w:szCs w:val="24"/>
                <w:lang w:val="lv-LV"/>
              </w:rPr>
              <w:t>pielikumu.</w:t>
            </w:r>
          </w:p>
          <w:p w:rsidR="00DB04E0" w:rsidRPr="00B63DAA" w:rsidRDefault="00523B55" w:rsidP="00B63DAA">
            <w:pPr>
              <w:ind w:firstLine="200"/>
              <w:jc w:val="both"/>
              <w:rPr>
                <w:rFonts w:cs="Times New Roman"/>
                <w:sz w:val="24"/>
                <w:szCs w:val="24"/>
                <w:lang w:val="lv-LV" w:eastAsia="lv-LV"/>
              </w:rPr>
            </w:pPr>
            <w:r w:rsidRPr="00B63DAA">
              <w:rPr>
                <w:rFonts w:cs="Times New Roman"/>
                <w:sz w:val="24"/>
                <w:szCs w:val="24"/>
                <w:lang w:val="lv-LV"/>
              </w:rPr>
              <w:t>Jāatzīmē, ka izmaksas ir provizoriskas un precīzi aprēķini būs zināmi tikai</w:t>
            </w:r>
            <w:r w:rsidR="009E344D">
              <w:rPr>
                <w:rFonts w:cs="Times New Roman"/>
                <w:sz w:val="24"/>
                <w:szCs w:val="24"/>
                <w:lang w:val="lv-LV"/>
              </w:rPr>
              <w:t>,</w:t>
            </w:r>
            <w:r w:rsidRPr="00B63DAA">
              <w:rPr>
                <w:rFonts w:cs="Times New Roman"/>
                <w:sz w:val="24"/>
                <w:szCs w:val="24"/>
                <w:lang w:val="lv-LV"/>
              </w:rPr>
              <w:t xml:space="preserve"> uzsākot faktisko sadarbību un </w:t>
            </w:r>
            <w:r w:rsidR="00B63DAA" w:rsidRPr="00B63DAA">
              <w:rPr>
                <w:rFonts w:cs="Times New Roman"/>
                <w:sz w:val="24"/>
                <w:szCs w:val="24"/>
                <w:lang w:val="lv-LV"/>
              </w:rPr>
              <w:t xml:space="preserve">zinot precīzu skaitu karavīru, kas atradīsies Latvijas </w:t>
            </w:r>
            <w:r w:rsidR="00B63DAA" w:rsidRPr="00B63DAA">
              <w:rPr>
                <w:rFonts w:cs="Times New Roman"/>
                <w:sz w:val="24"/>
                <w:szCs w:val="24"/>
                <w:lang w:val="lv-LV"/>
              </w:rPr>
              <w:lastRenderedPageBreak/>
              <w:t>valsts teritorijā.</w:t>
            </w:r>
          </w:p>
          <w:p w:rsidR="00DF6BF8" w:rsidRPr="00DF6BF8" w:rsidRDefault="00DF6BF8" w:rsidP="003E0611">
            <w:pPr>
              <w:ind w:firstLine="200"/>
              <w:jc w:val="both"/>
              <w:rPr>
                <w:rFonts w:cs="Times New Roman"/>
                <w:sz w:val="24"/>
                <w:szCs w:val="24"/>
                <w:lang w:val="lv-LV" w:eastAsia="lv-LV"/>
              </w:rPr>
            </w:pPr>
            <w:r w:rsidRPr="00B63DAA">
              <w:rPr>
                <w:rFonts w:cs="Times New Roman"/>
                <w:sz w:val="24"/>
                <w:szCs w:val="24"/>
                <w:lang w:val="lv-LV" w:eastAsia="lv-LV"/>
              </w:rPr>
              <w:t>Saskaņā ar tehnisko vienošanos</w:t>
            </w:r>
            <w:r>
              <w:rPr>
                <w:rFonts w:cs="Times New Roman"/>
                <w:sz w:val="24"/>
                <w:szCs w:val="24"/>
                <w:lang w:val="lv-LV" w:eastAsia="lv-LV"/>
              </w:rPr>
              <w:t xml:space="preserve">, sākotnējie ieguldījumi </w:t>
            </w:r>
            <w:r w:rsidR="00D56176">
              <w:rPr>
                <w:rFonts w:cs="Times New Roman"/>
                <w:sz w:val="24"/>
                <w:szCs w:val="24"/>
                <w:lang w:val="lv-LV" w:eastAsia="lv-LV"/>
              </w:rPr>
              <w:t>3</w:t>
            </w:r>
            <w:r>
              <w:rPr>
                <w:rFonts w:cs="Times New Roman"/>
                <w:sz w:val="24"/>
                <w:szCs w:val="24"/>
                <w:lang w:val="lv-LV" w:eastAsia="lv-LV"/>
              </w:rPr>
              <w:t xml:space="preserve"> mēnešu laikā (aprīlis </w:t>
            </w:r>
            <w:r w:rsidR="00D56176">
              <w:rPr>
                <w:rFonts w:cs="Times New Roman"/>
                <w:sz w:val="24"/>
                <w:szCs w:val="24"/>
                <w:lang w:val="lv-LV" w:eastAsia="lv-LV"/>
              </w:rPr>
              <w:t>- jūnijs</w:t>
            </w:r>
            <w:r>
              <w:rPr>
                <w:rFonts w:cs="Times New Roman"/>
                <w:sz w:val="24"/>
                <w:szCs w:val="24"/>
                <w:lang w:val="lv-LV" w:eastAsia="lv-LV"/>
              </w:rPr>
              <w:t xml:space="preserve">) varētu būt līdz </w:t>
            </w:r>
            <w:r w:rsidR="00D56176">
              <w:rPr>
                <w:rFonts w:cs="Times New Roman"/>
                <w:sz w:val="24"/>
                <w:szCs w:val="24"/>
                <w:lang w:val="lv-LV" w:eastAsia="lv-LV"/>
              </w:rPr>
              <w:t>9</w:t>
            </w:r>
            <w:r>
              <w:rPr>
                <w:rFonts w:cs="Times New Roman"/>
                <w:sz w:val="24"/>
                <w:szCs w:val="24"/>
                <w:lang w:val="lv-LV" w:eastAsia="lv-LV"/>
              </w:rPr>
              <w:t xml:space="preserve"> </w:t>
            </w:r>
            <w:proofErr w:type="spellStart"/>
            <w:r>
              <w:rPr>
                <w:rFonts w:cs="Times New Roman"/>
                <w:sz w:val="24"/>
                <w:szCs w:val="24"/>
                <w:lang w:val="lv-LV" w:eastAsia="lv-LV"/>
              </w:rPr>
              <w:t>milj.</w:t>
            </w:r>
            <w:r w:rsidRPr="009E344D">
              <w:rPr>
                <w:rFonts w:cs="Times New Roman"/>
                <w:i/>
                <w:sz w:val="24"/>
                <w:szCs w:val="24"/>
                <w:lang w:val="lv-LV" w:eastAsia="lv-LV"/>
              </w:rPr>
              <w:t>euro</w:t>
            </w:r>
            <w:proofErr w:type="spellEnd"/>
            <w:r>
              <w:rPr>
                <w:rFonts w:cs="Times New Roman"/>
                <w:sz w:val="24"/>
                <w:szCs w:val="24"/>
                <w:lang w:val="lv-LV" w:eastAsia="lv-LV"/>
              </w:rPr>
              <w:t xml:space="preserve"> un tālākajā periodā ik mēnesi tie būs aptuveni </w:t>
            </w:r>
            <w:r w:rsidR="00D56176">
              <w:rPr>
                <w:rFonts w:cs="Times New Roman"/>
                <w:sz w:val="24"/>
                <w:szCs w:val="24"/>
                <w:lang w:val="lv-LV" w:eastAsia="lv-LV"/>
              </w:rPr>
              <w:t>2</w:t>
            </w:r>
            <w:r>
              <w:rPr>
                <w:rFonts w:cs="Times New Roman"/>
                <w:sz w:val="24"/>
                <w:szCs w:val="24"/>
                <w:lang w:val="lv-LV" w:eastAsia="lv-LV"/>
              </w:rPr>
              <w:t xml:space="preserve"> </w:t>
            </w:r>
            <w:proofErr w:type="spellStart"/>
            <w:r>
              <w:rPr>
                <w:rFonts w:cs="Times New Roman"/>
                <w:sz w:val="24"/>
                <w:szCs w:val="24"/>
                <w:lang w:val="lv-LV" w:eastAsia="lv-LV"/>
              </w:rPr>
              <w:t>milj.</w:t>
            </w:r>
            <w:r w:rsidRPr="009E344D">
              <w:rPr>
                <w:rFonts w:cs="Times New Roman"/>
                <w:i/>
                <w:sz w:val="24"/>
                <w:szCs w:val="24"/>
                <w:lang w:val="lv-LV" w:eastAsia="lv-LV"/>
              </w:rPr>
              <w:t>euro</w:t>
            </w:r>
            <w:proofErr w:type="spellEnd"/>
            <w:r>
              <w:rPr>
                <w:rFonts w:cs="Times New Roman"/>
                <w:sz w:val="24"/>
                <w:szCs w:val="24"/>
                <w:lang w:val="lv-LV" w:eastAsia="lv-LV"/>
              </w:rPr>
              <w:t xml:space="preserve">, kas tiks </w:t>
            </w:r>
            <w:proofErr w:type="spellStart"/>
            <w:r>
              <w:rPr>
                <w:rFonts w:cs="Times New Roman"/>
                <w:sz w:val="24"/>
                <w:szCs w:val="24"/>
                <w:lang w:val="lv-LV" w:eastAsia="lv-LV"/>
              </w:rPr>
              <w:t>pēcmaksājumā</w:t>
            </w:r>
            <w:proofErr w:type="spellEnd"/>
            <w:r>
              <w:rPr>
                <w:rFonts w:cs="Times New Roman"/>
                <w:sz w:val="24"/>
                <w:szCs w:val="24"/>
                <w:lang w:val="lv-LV" w:eastAsia="lv-LV"/>
              </w:rPr>
              <w:t xml:space="preserve"> no sabiedrotajiem saņemti aptuveni 60 dienu laikā, attiecīgi 2017.gadā dotācija no vispārējiem ieņēmumiem </w:t>
            </w:r>
            <w:r w:rsidR="00B53881">
              <w:rPr>
                <w:rFonts w:cs="Times New Roman"/>
                <w:sz w:val="24"/>
                <w:szCs w:val="24"/>
                <w:lang w:val="lv-LV" w:eastAsia="lv-LV"/>
              </w:rPr>
              <w:t>plānota</w:t>
            </w:r>
            <w:r>
              <w:rPr>
                <w:rFonts w:cs="Times New Roman"/>
                <w:sz w:val="24"/>
                <w:szCs w:val="24"/>
                <w:lang w:val="lv-LV" w:eastAsia="lv-LV"/>
              </w:rPr>
              <w:t xml:space="preserve"> </w:t>
            </w:r>
            <w:r w:rsidR="00D56176">
              <w:rPr>
                <w:rFonts w:cs="Times New Roman"/>
                <w:sz w:val="24"/>
                <w:szCs w:val="24"/>
                <w:lang w:val="lv-LV" w:eastAsia="lv-LV"/>
              </w:rPr>
              <w:t>8 940 900</w:t>
            </w:r>
            <w:r>
              <w:rPr>
                <w:rFonts w:cs="Times New Roman"/>
                <w:sz w:val="24"/>
                <w:szCs w:val="24"/>
                <w:lang w:val="lv-LV" w:eastAsia="lv-LV"/>
              </w:rPr>
              <w:t xml:space="preserve"> </w:t>
            </w:r>
            <w:proofErr w:type="spellStart"/>
            <w:r>
              <w:rPr>
                <w:rFonts w:cs="Times New Roman"/>
                <w:sz w:val="24"/>
                <w:szCs w:val="24"/>
                <w:lang w:val="lv-LV" w:eastAsia="lv-LV"/>
              </w:rPr>
              <w:t>euro</w:t>
            </w:r>
            <w:proofErr w:type="spellEnd"/>
            <w:r>
              <w:rPr>
                <w:rFonts w:cs="Times New Roman"/>
                <w:sz w:val="24"/>
                <w:szCs w:val="24"/>
                <w:lang w:val="lv-LV" w:eastAsia="lv-LV"/>
              </w:rPr>
              <w:t xml:space="preserve">, ārvalstu finanšu palīdzība </w:t>
            </w:r>
            <w:r w:rsidR="00D56176">
              <w:rPr>
                <w:rFonts w:cs="Times New Roman"/>
                <w:sz w:val="24"/>
                <w:szCs w:val="24"/>
                <w:lang w:val="lv-LV" w:eastAsia="lv-LV"/>
              </w:rPr>
              <w:t xml:space="preserve">12 825 220 </w:t>
            </w:r>
            <w:proofErr w:type="spellStart"/>
            <w:r w:rsidRPr="009E344D">
              <w:rPr>
                <w:rFonts w:cs="Times New Roman"/>
                <w:i/>
                <w:sz w:val="24"/>
                <w:szCs w:val="24"/>
                <w:lang w:val="lv-LV" w:eastAsia="lv-LV"/>
              </w:rPr>
              <w:t>euro</w:t>
            </w:r>
            <w:proofErr w:type="spellEnd"/>
            <w:r>
              <w:rPr>
                <w:rFonts w:cs="Times New Roman"/>
                <w:sz w:val="24"/>
                <w:szCs w:val="24"/>
                <w:lang w:val="lv-LV" w:eastAsia="lv-LV"/>
              </w:rPr>
              <w:t xml:space="preserve"> un faktiskie izdevumi </w:t>
            </w:r>
            <w:r w:rsidR="00D56176">
              <w:rPr>
                <w:rFonts w:cs="Times New Roman"/>
                <w:sz w:val="24"/>
                <w:szCs w:val="24"/>
                <w:lang w:val="lv-LV" w:eastAsia="lv-LV"/>
              </w:rPr>
              <w:t xml:space="preserve">18 651 700 </w:t>
            </w:r>
            <w:proofErr w:type="spellStart"/>
            <w:r w:rsidRPr="009E344D">
              <w:rPr>
                <w:rFonts w:cs="Times New Roman"/>
                <w:i/>
                <w:sz w:val="24"/>
                <w:szCs w:val="24"/>
                <w:lang w:val="lv-LV" w:eastAsia="lv-LV"/>
              </w:rPr>
              <w:t>euro</w:t>
            </w:r>
            <w:proofErr w:type="spellEnd"/>
            <w:r>
              <w:rPr>
                <w:rFonts w:cs="Times New Roman"/>
                <w:sz w:val="24"/>
                <w:szCs w:val="24"/>
                <w:lang w:val="lv-LV" w:eastAsia="lv-LV"/>
              </w:rPr>
              <w:t xml:space="preserve"> un atmaksa valsts pamatbudžeta ieņēmumos</w:t>
            </w:r>
            <w:r w:rsidR="008814B7">
              <w:rPr>
                <w:rFonts w:cs="Times New Roman"/>
                <w:sz w:val="24"/>
                <w:szCs w:val="24"/>
                <w:lang w:val="lv-LV" w:eastAsia="lv-LV"/>
              </w:rPr>
              <w:t xml:space="preserve"> tiks nodrošināta atbilstoši faktiski veiktajiem izdevumiem, kas samazināti par pievienotās vērtības nodokļa un akcīzes nodokļa apjomu, jo saskaņā ar NATO SOFA, </w:t>
            </w:r>
            <w:r w:rsidR="008814B7" w:rsidRPr="008814B7">
              <w:rPr>
                <w:rFonts w:cs="Times New Roman"/>
                <w:sz w:val="24"/>
                <w:szCs w:val="24"/>
                <w:lang w:val="lv-LV" w:eastAsia="lv-LV"/>
              </w:rPr>
              <w:t xml:space="preserve">NATO spēki, uzturoties citā NATO dalībvalstī ir atbrīvoti no </w:t>
            </w:r>
            <w:r w:rsidR="003E0611">
              <w:rPr>
                <w:rFonts w:cs="Times New Roman"/>
                <w:sz w:val="24"/>
                <w:szCs w:val="24"/>
                <w:lang w:val="lv-LV" w:eastAsia="lv-LV"/>
              </w:rPr>
              <w:t>A</w:t>
            </w:r>
            <w:r w:rsidR="008814B7" w:rsidRPr="008814B7">
              <w:rPr>
                <w:rFonts w:cs="Times New Roman"/>
                <w:sz w:val="24"/>
                <w:szCs w:val="24"/>
                <w:lang w:val="lv-LV" w:eastAsia="lv-LV"/>
              </w:rPr>
              <w:t>kcīzes</w:t>
            </w:r>
            <w:r w:rsidR="008814B7">
              <w:rPr>
                <w:rFonts w:cs="Times New Roman"/>
                <w:sz w:val="24"/>
                <w:szCs w:val="24"/>
                <w:lang w:val="lv-LV" w:eastAsia="lv-LV"/>
              </w:rPr>
              <w:t xml:space="preserve"> nodokļa</w:t>
            </w:r>
            <w:r w:rsidR="008814B7" w:rsidRPr="008814B7">
              <w:rPr>
                <w:rFonts w:cs="Times New Roman"/>
                <w:sz w:val="24"/>
                <w:szCs w:val="24"/>
                <w:lang w:val="lv-LV" w:eastAsia="lv-LV"/>
              </w:rPr>
              <w:t xml:space="preserve"> un </w:t>
            </w:r>
            <w:r w:rsidR="003E0611">
              <w:rPr>
                <w:rFonts w:cs="Times New Roman"/>
                <w:sz w:val="24"/>
                <w:szCs w:val="24"/>
                <w:lang w:val="lv-LV" w:eastAsia="lv-LV"/>
              </w:rPr>
              <w:t>P</w:t>
            </w:r>
            <w:r w:rsidR="008814B7">
              <w:rPr>
                <w:rFonts w:cs="Times New Roman"/>
                <w:sz w:val="24"/>
                <w:szCs w:val="24"/>
                <w:lang w:val="lv-LV" w:eastAsia="lv-LV"/>
              </w:rPr>
              <w:t>ievienotās vērtības nodokļa</w:t>
            </w:r>
            <w:r w:rsidR="003E0611">
              <w:rPr>
                <w:rFonts w:cs="Times New Roman"/>
                <w:sz w:val="24"/>
                <w:szCs w:val="24"/>
                <w:lang w:val="lv-LV" w:eastAsia="lv-LV"/>
              </w:rPr>
              <w:t xml:space="preserve"> (turpmāk – PVN)</w:t>
            </w:r>
            <w:r w:rsidR="008814B7" w:rsidRPr="008814B7">
              <w:rPr>
                <w:rFonts w:cs="Times New Roman"/>
                <w:sz w:val="24"/>
                <w:szCs w:val="24"/>
                <w:lang w:val="lv-LV" w:eastAsia="lv-LV"/>
              </w:rPr>
              <w:t xml:space="preserve"> maksājumu veikšanas</w:t>
            </w:r>
            <w:r w:rsidR="008814B7">
              <w:rPr>
                <w:rFonts w:cs="Times New Roman"/>
                <w:sz w:val="24"/>
                <w:szCs w:val="24"/>
                <w:lang w:val="lv-LV" w:eastAsia="lv-LV"/>
              </w:rPr>
              <w:t>.</w:t>
            </w:r>
            <w:r>
              <w:rPr>
                <w:rFonts w:cs="Times New Roman"/>
                <w:sz w:val="24"/>
                <w:szCs w:val="24"/>
                <w:lang w:val="lv-LV" w:eastAsia="lv-LV"/>
              </w:rPr>
              <w:t xml:space="preserve"> 2018.gadā </w:t>
            </w:r>
            <w:r w:rsidR="00B53881">
              <w:rPr>
                <w:rFonts w:cs="Times New Roman"/>
                <w:sz w:val="24"/>
                <w:szCs w:val="24"/>
                <w:lang w:val="lv-LV" w:eastAsia="lv-LV"/>
              </w:rPr>
              <w:t xml:space="preserve">ārvalstu finanšu palīdzība plānota </w:t>
            </w:r>
            <w:r w:rsidR="00523B55">
              <w:rPr>
                <w:rFonts w:cs="Times New Roman"/>
                <w:sz w:val="24"/>
                <w:szCs w:val="24"/>
                <w:lang w:val="lv-LV" w:eastAsia="lv-LV"/>
              </w:rPr>
              <w:t xml:space="preserve">15 537 280 </w:t>
            </w:r>
            <w:proofErr w:type="spellStart"/>
            <w:r w:rsidR="00B53881" w:rsidRPr="009E344D">
              <w:rPr>
                <w:rFonts w:cs="Times New Roman"/>
                <w:i/>
                <w:sz w:val="24"/>
                <w:szCs w:val="24"/>
                <w:lang w:val="lv-LV" w:eastAsia="lv-LV"/>
              </w:rPr>
              <w:t>euro</w:t>
            </w:r>
            <w:proofErr w:type="spellEnd"/>
            <w:r w:rsidR="00B53881">
              <w:rPr>
                <w:rFonts w:cs="Times New Roman"/>
                <w:sz w:val="24"/>
                <w:szCs w:val="24"/>
                <w:lang w:val="lv-LV" w:eastAsia="lv-LV"/>
              </w:rPr>
              <w:t xml:space="preserve"> apmērā, faktiskie izdevumi </w:t>
            </w:r>
            <w:r w:rsidR="00523B55">
              <w:rPr>
                <w:rFonts w:cs="Times New Roman"/>
                <w:sz w:val="24"/>
                <w:szCs w:val="24"/>
                <w:lang w:val="lv-LV" w:eastAsia="lv-LV"/>
              </w:rPr>
              <w:t xml:space="preserve">9 710 800 </w:t>
            </w:r>
            <w:proofErr w:type="spellStart"/>
            <w:r w:rsidR="00B53881" w:rsidRPr="009E344D">
              <w:rPr>
                <w:rFonts w:cs="Times New Roman"/>
                <w:i/>
                <w:sz w:val="24"/>
                <w:szCs w:val="24"/>
                <w:lang w:val="lv-LV" w:eastAsia="lv-LV"/>
              </w:rPr>
              <w:t>euro</w:t>
            </w:r>
            <w:proofErr w:type="spellEnd"/>
            <w:r w:rsidR="00B53881">
              <w:rPr>
                <w:rFonts w:cs="Times New Roman"/>
                <w:sz w:val="24"/>
                <w:szCs w:val="24"/>
                <w:lang w:val="lv-LV" w:eastAsia="lv-LV"/>
              </w:rPr>
              <w:t xml:space="preserve"> apmērā saskaņā ar finanšu plūsmu anotācijas 2.pielikumā</w:t>
            </w:r>
            <w:r w:rsidR="008814B7">
              <w:rPr>
                <w:rFonts w:cs="Times New Roman"/>
                <w:sz w:val="24"/>
                <w:szCs w:val="24"/>
                <w:lang w:val="lv-LV" w:eastAsia="lv-LV"/>
              </w:rPr>
              <w:t xml:space="preserve">, kur nav izdalīti nodokļi, jo </w:t>
            </w:r>
            <w:r w:rsidR="003E0611">
              <w:rPr>
                <w:rFonts w:cs="Times New Roman"/>
                <w:sz w:val="24"/>
                <w:szCs w:val="24"/>
                <w:lang w:val="lv-LV" w:eastAsia="lv-LV"/>
              </w:rPr>
              <w:t>nav iespējams noteikt, cik no saņemtajiem pakalpojumiem un precēm būs akcīzes preces (degviela)</w:t>
            </w:r>
            <w:r w:rsidR="00B53881">
              <w:rPr>
                <w:rFonts w:cs="Times New Roman"/>
                <w:sz w:val="24"/>
                <w:szCs w:val="24"/>
                <w:lang w:val="lv-LV" w:eastAsia="lv-LV"/>
              </w:rPr>
              <w:t>.</w:t>
            </w:r>
            <w:r w:rsidR="00341F3E">
              <w:rPr>
                <w:rFonts w:cs="Times New Roman"/>
                <w:sz w:val="24"/>
                <w:szCs w:val="24"/>
                <w:lang w:val="lv-LV" w:eastAsia="lv-LV"/>
              </w:rPr>
              <w:t xml:space="preserve"> </w:t>
            </w:r>
            <w:r w:rsidR="00E1011E">
              <w:rPr>
                <w:rFonts w:cs="Times New Roman"/>
                <w:sz w:val="24"/>
                <w:szCs w:val="24"/>
                <w:lang w:val="lv-LV" w:eastAsia="lv-LV"/>
              </w:rPr>
              <w:t>P</w:t>
            </w:r>
            <w:r w:rsidR="00FE5EFA">
              <w:rPr>
                <w:rFonts w:cs="Times New Roman"/>
                <w:sz w:val="24"/>
                <w:szCs w:val="24"/>
                <w:lang w:val="lv-LV" w:eastAsia="lv-LV"/>
              </w:rPr>
              <w:t xml:space="preserve">ēc </w:t>
            </w:r>
            <w:proofErr w:type="spellStart"/>
            <w:r w:rsidR="00FE5EFA">
              <w:rPr>
                <w:rFonts w:cs="Times New Roman"/>
                <w:sz w:val="24"/>
                <w:szCs w:val="24"/>
                <w:lang w:val="lv-LV" w:eastAsia="lv-LV"/>
              </w:rPr>
              <w:t>pēcmaksājuma</w:t>
            </w:r>
            <w:proofErr w:type="spellEnd"/>
            <w:r w:rsidR="00FE5EFA">
              <w:rPr>
                <w:rFonts w:cs="Times New Roman"/>
                <w:sz w:val="24"/>
                <w:szCs w:val="24"/>
                <w:lang w:val="lv-LV" w:eastAsia="lv-LV"/>
              </w:rPr>
              <w:t xml:space="preserve"> saņemšanas no Kanādas, AM atmaksās valsts budžeta ieņēmumos dotācijā no vispārējiem ieņēmumiem saņemto </w:t>
            </w:r>
            <w:proofErr w:type="spellStart"/>
            <w:r w:rsidR="00FE5EFA">
              <w:rPr>
                <w:rFonts w:cs="Times New Roman"/>
                <w:sz w:val="24"/>
                <w:szCs w:val="24"/>
                <w:lang w:val="lv-LV" w:eastAsia="lv-LV"/>
              </w:rPr>
              <w:t>priekšfinansējuma</w:t>
            </w:r>
            <w:proofErr w:type="spellEnd"/>
            <w:r w:rsidR="00FE5EFA">
              <w:rPr>
                <w:rFonts w:cs="Times New Roman"/>
                <w:sz w:val="24"/>
                <w:szCs w:val="24"/>
                <w:lang w:val="lv-LV" w:eastAsia="lv-LV"/>
              </w:rPr>
              <w:t xml:space="preserve"> summu, kas samazināta par </w:t>
            </w:r>
            <w:r w:rsidR="008814B7">
              <w:rPr>
                <w:rFonts w:cs="Times New Roman"/>
                <w:sz w:val="24"/>
                <w:szCs w:val="24"/>
                <w:lang w:val="lv-LV" w:eastAsia="lv-LV"/>
              </w:rPr>
              <w:t>a</w:t>
            </w:r>
            <w:r w:rsidR="00FE5EFA">
              <w:rPr>
                <w:rFonts w:cs="Times New Roman"/>
                <w:sz w:val="24"/>
                <w:szCs w:val="24"/>
                <w:lang w:val="lv-LV" w:eastAsia="lv-LV"/>
              </w:rPr>
              <w:t xml:space="preserve">kcīzes nodokļa un </w:t>
            </w:r>
            <w:r w:rsidR="008814B7">
              <w:rPr>
                <w:rFonts w:cs="Times New Roman"/>
                <w:sz w:val="24"/>
                <w:szCs w:val="24"/>
                <w:lang w:val="lv-LV" w:eastAsia="lv-LV"/>
              </w:rPr>
              <w:t>p</w:t>
            </w:r>
            <w:r w:rsidR="00FE5EFA">
              <w:rPr>
                <w:rFonts w:cs="Times New Roman"/>
                <w:sz w:val="24"/>
                <w:szCs w:val="24"/>
                <w:lang w:val="lv-LV" w:eastAsia="lv-LV"/>
              </w:rPr>
              <w:t>ievienotās vērtības nodokļa</w:t>
            </w:r>
            <w:r w:rsidR="0012490C">
              <w:rPr>
                <w:rFonts w:cs="Times New Roman"/>
                <w:sz w:val="24"/>
                <w:szCs w:val="24"/>
                <w:lang w:val="lv-LV" w:eastAsia="lv-LV"/>
              </w:rPr>
              <w:t xml:space="preserve"> (turpmāk - PVN)</w:t>
            </w:r>
            <w:r w:rsidR="00FE5EFA">
              <w:rPr>
                <w:rFonts w:cs="Times New Roman"/>
                <w:sz w:val="24"/>
                <w:szCs w:val="24"/>
                <w:lang w:val="lv-LV" w:eastAsia="lv-LV"/>
              </w:rPr>
              <w:t>, kas piemērots NATO Kaujas grupas uzņemšanai nepieciešamajām precēm un pakalpojumiem, jo saskaņ</w:t>
            </w:r>
            <w:r w:rsidR="0012490C">
              <w:rPr>
                <w:rFonts w:cs="Times New Roman"/>
                <w:sz w:val="24"/>
                <w:szCs w:val="24"/>
                <w:lang w:val="lv-LV" w:eastAsia="lv-LV"/>
              </w:rPr>
              <w:t xml:space="preserve">ā ar1951.gada 19.jūnija </w:t>
            </w:r>
            <w:r w:rsidR="0012490C" w:rsidRPr="0012490C">
              <w:rPr>
                <w:rFonts w:cs="Times New Roman"/>
                <w:sz w:val="24"/>
                <w:szCs w:val="24"/>
                <w:lang w:val="lv-LV" w:eastAsia="lv-LV"/>
              </w:rPr>
              <w:t xml:space="preserve">Ziemeļatlantijas līguma </w:t>
            </w:r>
            <w:r w:rsidR="0012490C">
              <w:rPr>
                <w:rFonts w:cs="Times New Roman"/>
                <w:sz w:val="24"/>
                <w:szCs w:val="24"/>
                <w:lang w:val="lv-LV" w:eastAsia="lv-LV"/>
              </w:rPr>
              <w:t>organizācijas dalībvalstu līgumu</w:t>
            </w:r>
            <w:r w:rsidR="0012490C" w:rsidRPr="0012490C">
              <w:rPr>
                <w:rFonts w:cs="Times New Roman"/>
                <w:sz w:val="24"/>
                <w:szCs w:val="24"/>
                <w:lang w:val="lv-LV" w:eastAsia="lv-LV"/>
              </w:rPr>
              <w:t xml:space="preserve"> par to bruņoto spēku statusu</w:t>
            </w:r>
            <w:r w:rsidR="0012490C">
              <w:rPr>
                <w:rFonts w:cs="Times New Roman"/>
                <w:sz w:val="24"/>
                <w:szCs w:val="24"/>
                <w:lang w:val="lv-LV" w:eastAsia="lv-LV"/>
              </w:rPr>
              <w:t>, NATO spēki, uzturoties citā NATO dalībvalstī ir atbrīvoti no Akcīzes un PVN maksājumu veikšanas.</w:t>
            </w:r>
          </w:p>
        </w:tc>
      </w:tr>
      <w:tr w:rsidR="00DB04E0" w:rsidRPr="00DB04E0" w:rsidTr="00D56176">
        <w:trPr>
          <w:cantSplit/>
        </w:trPr>
        <w:tc>
          <w:tcPr>
            <w:tcW w:w="172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r w:rsidRPr="00DB04E0">
              <w:rPr>
                <w:rFonts w:cs="Times New Roman"/>
                <w:sz w:val="24"/>
                <w:szCs w:val="24"/>
              </w:rPr>
              <w:t xml:space="preserve">6.1. </w:t>
            </w:r>
            <w:proofErr w:type="spellStart"/>
            <w:r w:rsidRPr="00DB04E0">
              <w:rPr>
                <w:rFonts w:cs="Times New Roman"/>
                <w:sz w:val="24"/>
                <w:szCs w:val="24"/>
              </w:rPr>
              <w:t>detalizēts</w:t>
            </w:r>
            <w:proofErr w:type="spellEnd"/>
            <w:r w:rsidRPr="00DB04E0">
              <w:rPr>
                <w:rFonts w:cs="Times New Roman"/>
                <w:sz w:val="24"/>
                <w:szCs w:val="24"/>
              </w:rPr>
              <w:t xml:space="preserve"> </w:t>
            </w:r>
            <w:proofErr w:type="spellStart"/>
            <w:r w:rsidRPr="00DB04E0">
              <w:rPr>
                <w:rFonts w:cs="Times New Roman"/>
                <w:sz w:val="24"/>
                <w:szCs w:val="24"/>
              </w:rPr>
              <w:t>ieņēmumu</w:t>
            </w:r>
            <w:proofErr w:type="spellEnd"/>
            <w:r w:rsidRPr="00DB04E0">
              <w:rPr>
                <w:rFonts w:cs="Times New Roman"/>
                <w:sz w:val="24"/>
                <w:szCs w:val="24"/>
              </w:rPr>
              <w:t xml:space="preserve"> </w:t>
            </w:r>
            <w:proofErr w:type="spellStart"/>
            <w:r w:rsidRPr="00DB04E0">
              <w:rPr>
                <w:rFonts w:cs="Times New Roman"/>
                <w:sz w:val="24"/>
                <w:szCs w:val="24"/>
              </w:rPr>
              <w:t>aprēķins</w:t>
            </w:r>
            <w:proofErr w:type="spellEnd"/>
          </w:p>
        </w:tc>
        <w:tc>
          <w:tcPr>
            <w:tcW w:w="3280" w:type="pct"/>
            <w:gridSpan w:val="5"/>
            <w:vMerge/>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pPr>
              <w:rPr>
                <w:rFonts w:cs="Times New Roman"/>
                <w:sz w:val="24"/>
                <w:szCs w:val="24"/>
                <w:lang w:val="lv-LV" w:eastAsia="lv-LV"/>
              </w:rPr>
            </w:pPr>
          </w:p>
        </w:tc>
      </w:tr>
      <w:tr w:rsidR="00DB04E0" w:rsidRPr="00DB04E0" w:rsidTr="00D56176">
        <w:trPr>
          <w:cantSplit/>
        </w:trPr>
        <w:tc>
          <w:tcPr>
            <w:tcW w:w="172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r w:rsidRPr="00DB04E0">
              <w:rPr>
                <w:rFonts w:cs="Times New Roman"/>
                <w:sz w:val="24"/>
                <w:szCs w:val="24"/>
              </w:rPr>
              <w:lastRenderedPageBreak/>
              <w:t xml:space="preserve">6.2. </w:t>
            </w:r>
            <w:proofErr w:type="spellStart"/>
            <w:r w:rsidRPr="00DB04E0">
              <w:rPr>
                <w:rFonts w:cs="Times New Roman"/>
                <w:sz w:val="24"/>
                <w:szCs w:val="24"/>
              </w:rPr>
              <w:t>detalizēts</w:t>
            </w:r>
            <w:proofErr w:type="spellEnd"/>
            <w:r w:rsidRPr="00DB04E0">
              <w:rPr>
                <w:rFonts w:cs="Times New Roman"/>
                <w:sz w:val="24"/>
                <w:szCs w:val="24"/>
              </w:rPr>
              <w:t xml:space="preserve"> </w:t>
            </w:r>
            <w:proofErr w:type="spellStart"/>
            <w:r w:rsidRPr="00DB04E0">
              <w:rPr>
                <w:rFonts w:cs="Times New Roman"/>
                <w:sz w:val="24"/>
                <w:szCs w:val="24"/>
              </w:rPr>
              <w:t>izdevumu</w:t>
            </w:r>
            <w:proofErr w:type="spellEnd"/>
            <w:r w:rsidRPr="00DB04E0">
              <w:rPr>
                <w:rFonts w:cs="Times New Roman"/>
                <w:sz w:val="24"/>
                <w:szCs w:val="24"/>
              </w:rPr>
              <w:t xml:space="preserve"> </w:t>
            </w:r>
            <w:proofErr w:type="spellStart"/>
            <w:r w:rsidRPr="00DB04E0">
              <w:rPr>
                <w:rFonts w:cs="Times New Roman"/>
                <w:sz w:val="24"/>
                <w:szCs w:val="24"/>
              </w:rPr>
              <w:t>aprēķins</w:t>
            </w:r>
            <w:proofErr w:type="spellEnd"/>
          </w:p>
        </w:tc>
        <w:tc>
          <w:tcPr>
            <w:tcW w:w="3280" w:type="pct"/>
            <w:gridSpan w:val="5"/>
            <w:vMerge/>
            <w:tcBorders>
              <w:top w:val="outset" w:sz="6" w:space="0" w:color="414142"/>
              <w:left w:val="outset" w:sz="6" w:space="0" w:color="414142"/>
              <w:bottom w:val="outset" w:sz="6" w:space="0" w:color="414142"/>
              <w:right w:val="outset" w:sz="6" w:space="0" w:color="414142"/>
            </w:tcBorders>
            <w:vAlign w:val="center"/>
            <w:hideMark/>
          </w:tcPr>
          <w:p w:rsidR="00DB04E0" w:rsidRPr="00DB04E0" w:rsidRDefault="00DB04E0">
            <w:pPr>
              <w:rPr>
                <w:rFonts w:cs="Times New Roman"/>
                <w:sz w:val="24"/>
                <w:szCs w:val="24"/>
                <w:lang w:val="lv-LV" w:eastAsia="lv-LV"/>
              </w:rPr>
            </w:pPr>
          </w:p>
        </w:tc>
      </w:tr>
      <w:tr w:rsidR="00DB04E0" w:rsidRPr="008814B7" w:rsidTr="00D56176">
        <w:trPr>
          <w:cantSplit/>
          <w:trHeight w:val="555"/>
        </w:trPr>
        <w:tc>
          <w:tcPr>
            <w:tcW w:w="1720" w:type="pct"/>
            <w:tcBorders>
              <w:top w:val="outset" w:sz="6" w:space="0" w:color="414142"/>
              <w:left w:val="outset" w:sz="6" w:space="0" w:color="414142"/>
              <w:bottom w:val="outset" w:sz="6" w:space="0" w:color="414142"/>
              <w:right w:val="outset" w:sz="6" w:space="0" w:color="414142"/>
            </w:tcBorders>
            <w:hideMark/>
          </w:tcPr>
          <w:p w:rsidR="00DB04E0" w:rsidRPr="00DB04E0" w:rsidRDefault="00DB04E0">
            <w:pPr>
              <w:rPr>
                <w:rFonts w:cs="Times New Roman"/>
                <w:sz w:val="24"/>
                <w:szCs w:val="24"/>
                <w:lang w:val="lv-LV" w:eastAsia="lv-LV"/>
              </w:rPr>
            </w:pPr>
            <w:r w:rsidRPr="00DB04E0">
              <w:rPr>
                <w:rFonts w:cs="Times New Roman"/>
                <w:sz w:val="24"/>
                <w:szCs w:val="24"/>
              </w:rPr>
              <w:lastRenderedPageBreak/>
              <w:t xml:space="preserve">7. </w:t>
            </w:r>
            <w:proofErr w:type="spellStart"/>
            <w:r w:rsidRPr="00DB04E0">
              <w:rPr>
                <w:rFonts w:cs="Times New Roman"/>
                <w:sz w:val="24"/>
                <w:szCs w:val="24"/>
              </w:rPr>
              <w:t>Cita</w:t>
            </w:r>
            <w:proofErr w:type="spellEnd"/>
            <w:r w:rsidRPr="00DB04E0">
              <w:rPr>
                <w:rFonts w:cs="Times New Roman"/>
                <w:sz w:val="24"/>
                <w:szCs w:val="24"/>
              </w:rPr>
              <w:t xml:space="preserve"> </w:t>
            </w:r>
            <w:proofErr w:type="spellStart"/>
            <w:r w:rsidRPr="00DB04E0">
              <w:rPr>
                <w:rFonts w:cs="Times New Roman"/>
                <w:sz w:val="24"/>
                <w:szCs w:val="24"/>
              </w:rPr>
              <w:t>informācija</w:t>
            </w:r>
            <w:proofErr w:type="spellEnd"/>
          </w:p>
        </w:tc>
        <w:tc>
          <w:tcPr>
            <w:tcW w:w="3280" w:type="pct"/>
            <w:gridSpan w:val="5"/>
            <w:tcBorders>
              <w:top w:val="outset" w:sz="6" w:space="0" w:color="414142"/>
              <w:left w:val="outset" w:sz="6" w:space="0" w:color="414142"/>
              <w:bottom w:val="outset" w:sz="6" w:space="0" w:color="414142"/>
              <w:right w:val="outset" w:sz="6" w:space="0" w:color="414142"/>
            </w:tcBorders>
            <w:hideMark/>
          </w:tcPr>
          <w:p w:rsidR="00DB04E0" w:rsidRPr="00DB04E0" w:rsidRDefault="00DB04E0" w:rsidP="003E0611">
            <w:pPr>
              <w:pStyle w:val="Bezatstarpm"/>
              <w:jc w:val="both"/>
              <w:rPr>
                <w:rFonts w:ascii="Times New Roman" w:hAnsi="Times New Roman"/>
                <w:sz w:val="24"/>
                <w:szCs w:val="24"/>
              </w:rPr>
            </w:pPr>
            <w:r w:rsidRPr="00F14B6F">
              <w:rPr>
                <w:rFonts w:ascii="Times New Roman" w:hAnsi="Times New Roman"/>
                <w:sz w:val="24"/>
                <w:szCs w:val="24"/>
              </w:rPr>
              <w:t xml:space="preserve">Nepieciešamais finansējums projekta īstenošanai: </w:t>
            </w:r>
            <w:proofErr w:type="spellStart"/>
            <w:r w:rsidR="00F14B6F" w:rsidRPr="00F14B6F">
              <w:rPr>
                <w:rFonts w:ascii="Times New Roman" w:hAnsi="Times New Roman"/>
                <w:sz w:val="24"/>
                <w:szCs w:val="24"/>
              </w:rPr>
              <w:t>priekšfinansējums</w:t>
            </w:r>
            <w:proofErr w:type="spellEnd"/>
            <w:r w:rsidR="00F14B6F" w:rsidRPr="00F14B6F">
              <w:rPr>
                <w:rFonts w:ascii="Times New Roman" w:hAnsi="Times New Roman"/>
                <w:sz w:val="24"/>
                <w:szCs w:val="24"/>
              </w:rPr>
              <w:t xml:space="preserve"> </w:t>
            </w:r>
            <w:r w:rsidR="00523B55">
              <w:rPr>
                <w:rFonts w:ascii="Times New Roman" w:hAnsi="Times New Roman"/>
                <w:sz w:val="24"/>
                <w:szCs w:val="24"/>
              </w:rPr>
              <w:t>8 940 900</w:t>
            </w:r>
            <w:r w:rsidR="00F14B6F" w:rsidRPr="00F14B6F">
              <w:rPr>
                <w:rFonts w:ascii="Times New Roman" w:hAnsi="Times New Roman"/>
                <w:sz w:val="24"/>
                <w:szCs w:val="24"/>
              </w:rPr>
              <w:t xml:space="preserve"> </w:t>
            </w:r>
            <w:proofErr w:type="spellStart"/>
            <w:r w:rsidRPr="00F14B6F">
              <w:rPr>
                <w:rFonts w:ascii="Times New Roman" w:hAnsi="Times New Roman"/>
                <w:i/>
                <w:sz w:val="24"/>
                <w:szCs w:val="24"/>
              </w:rPr>
              <w:t>euro</w:t>
            </w:r>
            <w:proofErr w:type="spellEnd"/>
            <w:r w:rsidR="00F14B6F" w:rsidRPr="00F14B6F">
              <w:rPr>
                <w:rFonts w:ascii="Times New Roman" w:hAnsi="Times New Roman"/>
                <w:i/>
                <w:sz w:val="24"/>
                <w:szCs w:val="24"/>
              </w:rPr>
              <w:t xml:space="preserve"> </w:t>
            </w:r>
            <w:r w:rsidR="00F14B6F" w:rsidRPr="00F14B6F">
              <w:rPr>
                <w:rFonts w:ascii="Times New Roman" w:hAnsi="Times New Roman"/>
                <w:sz w:val="24"/>
                <w:szCs w:val="24"/>
              </w:rPr>
              <w:t xml:space="preserve">apmērā 2017.gadā </w:t>
            </w:r>
            <w:r w:rsidRPr="00F14B6F">
              <w:rPr>
                <w:rFonts w:ascii="Times New Roman" w:hAnsi="Times New Roman"/>
                <w:sz w:val="24"/>
                <w:szCs w:val="24"/>
              </w:rPr>
              <w:t>tiks pārdalīts no 74.resora “Gadskārtējā valsts budžeta izpildes procesā pārdalāmais finansējums” 80.00.00 programmas “Nesadalītais finansējums Eiropas Savienības politiku instrumentu un pārējās ārvalstu finanšu palīdzības līdzfinansēto projektu un pasākumu īstenošanai”</w:t>
            </w:r>
            <w:r w:rsidR="009E45E9">
              <w:rPr>
                <w:rFonts w:ascii="Times New Roman" w:hAnsi="Times New Roman"/>
                <w:sz w:val="24"/>
                <w:szCs w:val="24"/>
              </w:rPr>
              <w:t xml:space="preserve"> uz </w:t>
            </w:r>
            <w:r w:rsidR="009E45E9" w:rsidRPr="009E45E9">
              <w:rPr>
                <w:rFonts w:ascii="Times New Roman" w:hAnsi="Times New Roman"/>
                <w:sz w:val="24"/>
                <w:szCs w:val="24"/>
              </w:rPr>
              <w:t>Aizsardzības ministrijas budžeta apakšprogrammu 73.08.00 “Pārējās ārvalstu finanšu palīdzības finansēto projektu īstenošana aizsardzības nozarē” NATO Kaujas grupas uzņemšanas nodrošināšanai</w:t>
            </w:r>
            <w:r w:rsidR="009E45E9">
              <w:rPr>
                <w:rFonts w:ascii="Times New Roman" w:hAnsi="Times New Roman"/>
                <w:sz w:val="24"/>
                <w:szCs w:val="24"/>
              </w:rPr>
              <w:t>, ko</w:t>
            </w:r>
            <w:r w:rsidR="0012490C">
              <w:rPr>
                <w:rFonts w:ascii="Times New Roman" w:hAnsi="Times New Roman"/>
                <w:sz w:val="24"/>
                <w:szCs w:val="24"/>
              </w:rPr>
              <w:t>, sama</w:t>
            </w:r>
            <w:r w:rsidR="00A83AFA">
              <w:rPr>
                <w:rFonts w:ascii="Times New Roman" w:hAnsi="Times New Roman"/>
                <w:sz w:val="24"/>
                <w:szCs w:val="24"/>
              </w:rPr>
              <w:t>z</w:t>
            </w:r>
            <w:r w:rsidR="0012490C">
              <w:rPr>
                <w:rFonts w:ascii="Times New Roman" w:hAnsi="Times New Roman"/>
                <w:sz w:val="24"/>
                <w:szCs w:val="24"/>
              </w:rPr>
              <w:t xml:space="preserve">inot par uz NATO Kaujas grupas uzņemšanai nepieciešamajām precēm un pakalpojumiem attiecināmo </w:t>
            </w:r>
            <w:r w:rsidR="003E0611">
              <w:rPr>
                <w:rFonts w:ascii="Times New Roman" w:hAnsi="Times New Roman"/>
                <w:sz w:val="24"/>
                <w:szCs w:val="24"/>
              </w:rPr>
              <w:t>A</w:t>
            </w:r>
            <w:r w:rsidR="0012490C">
              <w:rPr>
                <w:rFonts w:ascii="Times New Roman" w:hAnsi="Times New Roman"/>
                <w:sz w:val="24"/>
                <w:szCs w:val="24"/>
              </w:rPr>
              <w:t>kcīzes nodokļa un PVN maksājumu apjomu,</w:t>
            </w:r>
            <w:r w:rsidR="009E45E9">
              <w:rPr>
                <w:rFonts w:ascii="Times New Roman" w:hAnsi="Times New Roman"/>
                <w:sz w:val="24"/>
                <w:szCs w:val="24"/>
              </w:rPr>
              <w:t xml:space="preserve"> plānots atmaksāt</w:t>
            </w:r>
            <w:r w:rsidR="00DF6BF8">
              <w:rPr>
                <w:rFonts w:ascii="Times New Roman" w:hAnsi="Times New Roman"/>
                <w:sz w:val="24"/>
                <w:szCs w:val="24"/>
              </w:rPr>
              <w:t xml:space="preserve"> valsts budžetā 2017</w:t>
            </w:r>
            <w:r w:rsidR="009E45E9">
              <w:rPr>
                <w:rFonts w:ascii="Times New Roman" w:hAnsi="Times New Roman"/>
                <w:sz w:val="24"/>
                <w:szCs w:val="24"/>
              </w:rPr>
              <w:t>.gada beigās un</w:t>
            </w:r>
            <w:r w:rsidR="00DF6BF8">
              <w:rPr>
                <w:rFonts w:ascii="Times New Roman" w:hAnsi="Times New Roman"/>
                <w:sz w:val="24"/>
                <w:szCs w:val="24"/>
              </w:rPr>
              <w:t xml:space="preserve"> 2018.gadā, </w:t>
            </w:r>
            <w:r w:rsidR="00523B55">
              <w:rPr>
                <w:rFonts w:ascii="Times New Roman" w:hAnsi="Times New Roman"/>
                <w:sz w:val="24"/>
                <w:szCs w:val="24"/>
              </w:rPr>
              <w:t xml:space="preserve">ilgtermiņā veidojot finansēšanas modeli, kas dod iespēju nodrošināt sabiedroto atbalstu, neprasot </w:t>
            </w:r>
            <w:proofErr w:type="spellStart"/>
            <w:r w:rsidR="00523B55">
              <w:rPr>
                <w:rFonts w:ascii="Times New Roman" w:hAnsi="Times New Roman"/>
                <w:sz w:val="24"/>
                <w:szCs w:val="24"/>
              </w:rPr>
              <w:t>priekšfinansējumu</w:t>
            </w:r>
            <w:proofErr w:type="spellEnd"/>
            <w:r w:rsidR="00523B55">
              <w:rPr>
                <w:rFonts w:ascii="Times New Roman" w:hAnsi="Times New Roman"/>
                <w:sz w:val="24"/>
                <w:szCs w:val="24"/>
              </w:rPr>
              <w:t xml:space="preserve"> </w:t>
            </w:r>
            <w:r w:rsidR="00523B55" w:rsidRPr="00523B55">
              <w:rPr>
                <w:rFonts w:ascii="Times New Roman" w:hAnsi="Times New Roman"/>
                <w:sz w:val="24"/>
                <w:szCs w:val="24"/>
              </w:rPr>
              <w:t>no 74.resora “Gadskārtējā valsts budžeta izpildes procesā pārdalāmais finansējums” 80.00.00 programmas “Nesadalītais finansējums Eiropas Savienības politiku instrumentu un pārējās ārvalstu finanšu palīdzības līdzfinansēto projektu un pasākumu īstenošanai”</w:t>
            </w:r>
            <w:r w:rsidRPr="00F14B6F">
              <w:rPr>
                <w:rFonts w:ascii="Times New Roman" w:hAnsi="Times New Roman"/>
                <w:sz w:val="24"/>
                <w:szCs w:val="24"/>
              </w:rPr>
              <w:t xml:space="preserve">.  </w:t>
            </w:r>
            <w:r w:rsidR="008A1E09">
              <w:rPr>
                <w:rFonts w:ascii="Times New Roman" w:hAnsi="Times New Roman"/>
                <w:sz w:val="24"/>
                <w:szCs w:val="24"/>
              </w:rPr>
              <w:t>Ja</w:t>
            </w:r>
            <w:r w:rsidR="009E45E9">
              <w:rPr>
                <w:rFonts w:ascii="Times New Roman" w:hAnsi="Times New Roman"/>
                <w:sz w:val="24"/>
                <w:szCs w:val="24"/>
              </w:rPr>
              <w:t xml:space="preserve"> faktiski</w:t>
            </w:r>
            <w:r w:rsidR="008A1E09">
              <w:rPr>
                <w:rFonts w:ascii="Times New Roman" w:hAnsi="Times New Roman"/>
                <w:sz w:val="24"/>
                <w:szCs w:val="24"/>
              </w:rPr>
              <w:t xml:space="preserve"> nepieciešamais finansējums būs mazāks nekā sākotnēji plānots, Aizsardzības ministrija to atgriezīs Finanšu ministrijas budžeta programmā </w:t>
            </w:r>
            <w:r w:rsidR="008A1E09" w:rsidRPr="008A1E09">
              <w:rPr>
                <w:rFonts w:ascii="Times New Roman" w:hAnsi="Times New Roman"/>
                <w:sz w:val="24"/>
                <w:szCs w:val="24"/>
              </w:rPr>
              <w:t>80.00.00 programmas “Nesadalītais finansējums Eiropas Savienības politiku instrumentu un pārējās ārvalstu finanšu palīdzības līdzfinansēto projektu un pasākumu īstenošanai”</w:t>
            </w:r>
            <w:r w:rsidR="008A1E09">
              <w:rPr>
                <w:rFonts w:ascii="Times New Roman" w:hAnsi="Times New Roman"/>
                <w:sz w:val="24"/>
                <w:szCs w:val="24"/>
              </w:rPr>
              <w:t xml:space="preserve"> normatīvajos aktos noteiktajā kārtībā, attiecīgi samazinot atmaksu apjomu.</w:t>
            </w:r>
            <w:r w:rsidR="0012490C">
              <w:rPr>
                <w:rFonts w:ascii="Times New Roman" w:hAnsi="Times New Roman"/>
                <w:sz w:val="24"/>
                <w:szCs w:val="24"/>
              </w:rPr>
              <w:t xml:space="preserve"> Pasākums ir fiskāli neitrāls, jo no </w:t>
            </w:r>
            <w:r w:rsidR="0012490C" w:rsidRPr="0012490C">
              <w:rPr>
                <w:rFonts w:ascii="Times New Roman" w:hAnsi="Times New Roman"/>
                <w:sz w:val="24"/>
                <w:szCs w:val="24"/>
              </w:rPr>
              <w:t>74.resora “Gadskārtējā valsts budžeta izpildes procesā pārdalāmais finansējums” 80.00.00 programmas</w:t>
            </w:r>
            <w:r w:rsidR="0012490C">
              <w:rPr>
                <w:rFonts w:ascii="Times New Roman" w:hAnsi="Times New Roman"/>
                <w:sz w:val="24"/>
                <w:szCs w:val="24"/>
              </w:rPr>
              <w:t xml:space="preserve"> segtie Akcīzes nodokļa un PVN maksājumi šo nodokļu maksājumu veidā tiks atgriezti valsts budžeta ieņēmumu sadaļā.</w:t>
            </w:r>
          </w:p>
        </w:tc>
      </w:tr>
      <w:tr w:rsidR="00DB04E0" w:rsidRPr="008814B7" w:rsidTr="00D56176">
        <w:trPr>
          <w:cantSplit/>
          <w:trHeight w:val="101"/>
        </w:trPr>
        <w:tc>
          <w:tcPr>
            <w:tcW w:w="5000" w:type="pct"/>
            <w:gridSpan w:val="6"/>
            <w:tcBorders>
              <w:top w:val="single" w:sz="4" w:space="0" w:color="auto"/>
              <w:left w:val="nil"/>
              <w:bottom w:val="nil"/>
              <w:right w:val="nil"/>
            </w:tcBorders>
          </w:tcPr>
          <w:p w:rsidR="00DB04E0" w:rsidRPr="00DB04E0" w:rsidRDefault="00DB04E0">
            <w:pPr>
              <w:tabs>
                <w:tab w:val="left" w:pos="990"/>
              </w:tabs>
              <w:rPr>
                <w:rFonts w:cs="Times New Roman"/>
                <w:sz w:val="24"/>
                <w:szCs w:val="24"/>
                <w:lang w:val="lv-LV" w:eastAsia="lv-LV"/>
              </w:rPr>
            </w:pPr>
          </w:p>
        </w:tc>
      </w:tr>
    </w:tbl>
    <w:p w:rsidR="00DA55F2" w:rsidRPr="00D7238C" w:rsidRDefault="00DA55F2" w:rsidP="00E61F4F">
      <w:pPr>
        <w:shd w:val="clear" w:color="auto" w:fill="FFFFFF"/>
        <w:ind w:firstLine="301"/>
        <w:rPr>
          <w:rFonts w:cs="Times New Roman"/>
          <w:sz w:val="24"/>
          <w:szCs w:val="24"/>
          <w:lang w:val="lv-LV" w:eastAsia="lv-LV" w:bidi="ar-SA"/>
        </w:rPr>
      </w:pPr>
      <w:r w:rsidRPr="00D7238C">
        <w:rPr>
          <w:rFonts w:cs="Times New Roman"/>
          <w:sz w:val="24"/>
          <w:szCs w:val="24"/>
          <w:lang w:val="lv-LV" w:eastAsia="lv-LV" w:bidi="ar-SA"/>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54"/>
      </w:tblGrid>
      <w:tr w:rsidR="00065F37" w:rsidRPr="00523B55" w:rsidTr="00DA55F2">
        <w:tc>
          <w:tcPr>
            <w:tcW w:w="0" w:type="auto"/>
            <w:tcBorders>
              <w:top w:val="outset" w:sz="6" w:space="0" w:color="414142"/>
              <w:left w:val="outset" w:sz="6" w:space="0" w:color="414142"/>
              <w:bottom w:val="outset" w:sz="6" w:space="0" w:color="414142"/>
              <w:right w:val="outset" w:sz="6" w:space="0" w:color="414142"/>
            </w:tcBorders>
            <w:vAlign w:val="center"/>
            <w:hideMark/>
          </w:tcPr>
          <w:p w:rsidR="00DA55F2" w:rsidRPr="00D7238C" w:rsidRDefault="00DA55F2" w:rsidP="00DA55F2">
            <w:pPr>
              <w:spacing w:before="100" w:beforeAutospacing="1" w:after="100" w:afterAutospacing="1" w:line="315" w:lineRule="atLeast"/>
              <w:jc w:val="center"/>
              <w:rPr>
                <w:rFonts w:cs="Times New Roman"/>
                <w:b/>
                <w:bCs/>
                <w:sz w:val="24"/>
                <w:szCs w:val="24"/>
                <w:lang w:val="lv-LV" w:eastAsia="lv-LV" w:bidi="ar-SA"/>
              </w:rPr>
            </w:pPr>
            <w:r w:rsidRPr="00D7238C">
              <w:rPr>
                <w:rFonts w:cs="Times New Roman"/>
                <w:b/>
                <w:bCs/>
                <w:sz w:val="24"/>
                <w:szCs w:val="24"/>
                <w:lang w:val="lv-LV" w:eastAsia="lv-LV" w:bidi="ar-SA"/>
              </w:rPr>
              <w:t xml:space="preserve">V. </w:t>
            </w:r>
            <w:r w:rsidRPr="001C6F9C">
              <w:rPr>
                <w:rFonts w:cs="Times New Roman"/>
                <w:b/>
                <w:bCs/>
                <w:sz w:val="24"/>
                <w:szCs w:val="24"/>
                <w:lang w:val="lv-LV" w:eastAsia="lv-LV" w:bidi="ar-SA"/>
              </w:rPr>
              <w:t>Tiesību akta projekta atbilstība Latvijas Republikas starptautiskajām saistībām</w:t>
            </w:r>
          </w:p>
        </w:tc>
      </w:tr>
      <w:tr w:rsidR="00065F37" w:rsidRPr="00523B55" w:rsidTr="00DA55F2">
        <w:tc>
          <w:tcPr>
            <w:tcW w:w="0" w:type="auto"/>
            <w:tcBorders>
              <w:top w:val="outset" w:sz="6" w:space="0" w:color="414142"/>
              <w:left w:val="outset" w:sz="6" w:space="0" w:color="414142"/>
              <w:bottom w:val="outset" w:sz="6" w:space="0" w:color="414142"/>
              <w:right w:val="outset" w:sz="6" w:space="0" w:color="414142"/>
            </w:tcBorders>
            <w:vAlign w:val="center"/>
          </w:tcPr>
          <w:p w:rsidR="00DD0703" w:rsidRPr="00D7238C" w:rsidRDefault="00B53881" w:rsidP="00B53881">
            <w:pPr>
              <w:spacing w:before="100" w:beforeAutospacing="1" w:after="100" w:afterAutospacing="1" w:line="315" w:lineRule="atLeast"/>
              <w:rPr>
                <w:rFonts w:cs="Times New Roman"/>
                <w:bCs/>
                <w:sz w:val="24"/>
                <w:szCs w:val="24"/>
                <w:lang w:val="lv-LV" w:eastAsia="lv-LV" w:bidi="ar-SA"/>
              </w:rPr>
            </w:pPr>
            <w:r>
              <w:rPr>
                <w:rFonts w:cs="Times New Roman"/>
                <w:bCs/>
                <w:sz w:val="24"/>
                <w:szCs w:val="24"/>
                <w:lang w:val="lv-LV" w:eastAsia="lv-LV" w:bidi="ar-SA"/>
              </w:rPr>
              <w:t xml:space="preserve">Saskaņā </w:t>
            </w:r>
            <w:r w:rsidR="001A78E7">
              <w:rPr>
                <w:rFonts w:cs="Times New Roman"/>
                <w:bCs/>
                <w:sz w:val="24"/>
                <w:szCs w:val="24"/>
                <w:lang w:val="lv-LV" w:eastAsia="lv-LV" w:bidi="ar-SA"/>
              </w:rPr>
              <w:t>ar likumu “</w:t>
            </w:r>
            <w:r w:rsidR="001A78E7" w:rsidRPr="001A78E7">
              <w:rPr>
                <w:rFonts w:cs="Times New Roman"/>
                <w:bCs/>
                <w:sz w:val="24"/>
                <w:szCs w:val="24"/>
                <w:lang w:val="lv-LV" w:eastAsia="lv-LV" w:bidi="ar-SA"/>
              </w:rPr>
              <w:t>Par Ziemeļatlantijas līguma organizācijas dalībvalstu līgumu par to bruņoto spēku statusu</w:t>
            </w:r>
            <w:r w:rsidR="001A78E7">
              <w:rPr>
                <w:rFonts w:cs="Times New Roman"/>
                <w:bCs/>
                <w:sz w:val="24"/>
                <w:szCs w:val="24"/>
                <w:lang w:val="lv-LV" w:eastAsia="lv-LV" w:bidi="ar-SA"/>
              </w:rPr>
              <w:t>”</w:t>
            </w:r>
          </w:p>
        </w:tc>
      </w:tr>
    </w:tbl>
    <w:p w:rsidR="00DA55F2" w:rsidRPr="00D7238C" w:rsidRDefault="00DA55F2" w:rsidP="00E61F4F">
      <w:pPr>
        <w:shd w:val="clear" w:color="auto" w:fill="FFFFFF"/>
        <w:ind w:firstLine="301"/>
        <w:rPr>
          <w:rFonts w:cs="Times New Roman"/>
          <w:sz w:val="24"/>
          <w:szCs w:val="24"/>
          <w:lang w:val="lv-LV" w:eastAsia="lv-LV" w:bidi="ar-SA"/>
        </w:rPr>
      </w:pPr>
      <w:r w:rsidRPr="00D7238C">
        <w:rPr>
          <w:rFonts w:cs="Times New Roman"/>
          <w:sz w:val="24"/>
          <w:szCs w:val="24"/>
          <w:lang w:val="lv-LV" w:eastAsia="lv-LV" w:bidi="ar-SA"/>
        </w:rPr>
        <w:t> </w:t>
      </w:r>
    </w:p>
    <w:p w:rsidR="00DA55F2" w:rsidRPr="00D7238C" w:rsidRDefault="00DA55F2" w:rsidP="00E61F4F">
      <w:pPr>
        <w:shd w:val="clear" w:color="auto" w:fill="FFFFFF"/>
        <w:ind w:firstLine="301"/>
        <w:rPr>
          <w:rFonts w:cs="Times New Roman"/>
          <w:sz w:val="24"/>
          <w:szCs w:val="24"/>
          <w:lang w:val="lv-LV" w:eastAsia="lv-LV" w:bidi="ar-SA"/>
        </w:rPr>
      </w:pPr>
      <w:r w:rsidRPr="00D7238C">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3175"/>
        <w:gridCol w:w="4762"/>
      </w:tblGrid>
      <w:tr w:rsidR="00065F37" w:rsidRPr="008814B7"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D7238C" w:rsidRDefault="00DA55F2" w:rsidP="00DA55F2">
            <w:pPr>
              <w:spacing w:before="100" w:beforeAutospacing="1" w:after="100" w:afterAutospacing="1" w:line="315" w:lineRule="atLeast"/>
              <w:jc w:val="center"/>
              <w:rPr>
                <w:rFonts w:cs="Times New Roman"/>
                <w:b/>
                <w:bCs/>
                <w:sz w:val="24"/>
                <w:szCs w:val="24"/>
                <w:lang w:val="lv-LV" w:eastAsia="lv-LV" w:bidi="ar-SA"/>
              </w:rPr>
            </w:pPr>
            <w:r w:rsidRPr="00D7238C">
              <w:rPr>
                <w:rFonts w:cs="Times New Roman"/>
                <w:b/>
                <w:bCs/>
                <w:sz w:val="24"/>
                <w:szCs w:val="24"/>
                <w:lang w:val="lv-LV" w:eastAsia="lv-LV" w:bidi="ar-SA"/>
              </w:rPr>
              <w:t>VII. Tiesību akta projekta izpildes nodrošināšana un tās ietekme uz institūcijām</w:t>
            </w:r>
          </w:p>
        </w:tc>
      </w:tr>
      <w:tr w:rsidR="00065F37" w:rsidRPr="00D7238C" w:rsidTr="00DA5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D7238C" w:rsidRDefault="00DA55F2" w:rsidP="00DA55F2">
            <w:pPr>
              <w:rPr>
                <w:rFonts w:cs="Times New Roman"/>
                <w:sz w:val="24"/>
                <w:szCs w:val="24"/>
                <w:lang w:val="lv-LV" w:eastAsia="lv-LV" w:bidi="ar-SA"/>
              </w:rPr>
            </w:pPr>
            <w:r w:rsidRPr="00D7238C">
              <w:rPr>
                <w:rFonts w:cs="Times New Roman"/>
                <w:sz w:val="24"/>
                <w:szCs w:val="24"/>
                <w:lang w:val="lv-LV" w:eastAsia="lv-LV" w:bidi="ar-SA"/>
              </w:rPr>
              <w:lastRenderedPageBreak/>
              <w:t>1.</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D7238C" w:rsidRDefault="00DA55F2" w:rsidP="00DA55F2">
            <w:pPr>
              <w:rPr>
                <w:rFonts w:cs="Times New Roman"/>
                <w:sz w:val="24"/>
                <w:szCs w:val="24"/>
                <w:lang w:val="lv-LV" w:eastAsia="lv-LV" w:bidi="ar-SA"/>
              </w:rPr>
            </w:pPr>
            <w:r w:rsidRPr="00D7238C">
              <w:rPr>
                <w:rFonts w:cs="Times New Roman"/>
                <w:sz w:val="24"/>
                <w:szCs w:val="24"/>
                <w:lang w:val="lv-LV" w:eastAsia="lv-LV" w:bidi="ar-SA"/>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D7238C" w:rsidRDefault="00D65107" w:rsidP="00D65107">
            <w:pPr>
              <w:rPr>
                <w:rFonts w:cs="Times New Roman"/>
                <w:sz w:val="24"/>
                <w:szCs w:val="24"/>
                <w:lang w:val="lv-LV" w:eastAsia="lv-LV" w:bidi="ar-SA"/>
              </w:rPr>
            </w:pPr>
            <w:r w:rsidRPr="00D7238C">
              <w:rPr>
                <w:rFonts w:cs="Times New Roman"/>
                <w:sz w:val="24"/>
                <w:szCs w:val="24"/>
                <w:lang w:val="lv-LV" w:eastAsia="lv-LV" w:bidi="ar-SA"/>
              </w:rPr>
              <w:t>Aizsardzības ministrija</w:t>
            </w:r>
            <w:r w:rsidR="00F72A41" w:rsidRPr="00D7238C">
              <w:rPr>
                <w:rFonts w:cs="Times New Roman"/>
                <w:sz w:val="24"/>
                <w:szCs w:val="24"/>
                <w:lang w:val="lv-LV" w:eastAsia="lv-LV" w:bidi="ar-SA"/>
              </w:rPr>
              <w:t>, Nacionāl</w:t>
            </w:r>
            <w:r w:rsidR="00811765" w:rsidRPr="00D7238C">
              <w:rPr>
                <w:rFonts w:cs="Times New Roman"/>
                <w:sz w:val="24"/>
                <w:szCs w:val="24"/>
                <w:lang w:val="lv-LV" w:eastAsia="lv-LV" w:bidi="ar-SA"/>
              </w:rPr>
              <w:t>ie</w:t>
            </w:r>
            <w:r w:rsidR="00F72A41" w:rsidRPr="00D7238C">
              <w:rPr>
                <w:rFonts w:cs="Times New Roman"/>
                <w:sz w:val="24"/>
                <w:szCs w:val="24"/>
                <w:lang w:val="lv-LV" w:eastAsia="lv-LV" w:bidi="ar-SA"/>
              </w:rPr>
              <w:t xml:space="preserve"> </w:t>
            </w:r>
            <w:r w:rsidR="00811765" w:rsidRPr="00D7238C">
              <w:rPr>
                <w:rFonts w:cs="Times New Roman"/>
                <w:sz w:val="24"/>
                <w:szCs w:val="24"/>
                <w:lang w:val="lv-LV" w:eastAsia="lv-LV" w:bidi="ar-SA"/>
              </w:rPr>
              <w:t>bruņotie spēki</w:t>
            </w:r>
            <w:r w:rsidR="00F72A41" w:rsidRPr="00D7238C">
              <w:rPr>
                <w:rFonts w:cs="Times New Roman"/>
                <w:sz w:val="24"/>
                <w:szCs w:val="24"/>
                <w:lang w:val="lv-LV" w:eastAsia="lv-LV" w:bidi="ar-SA"/>
              </w:rPr>
              <w:t>.</w:t>
            </w:r>
          </w:p>
        </w:tc>
      </w:tr>
      <w:tr w:rsidR="00065F37" w:rsidRPr="008814B7" w:rsidTr="00DA5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D7238C" w:rsidRDefault="00DA55F2" w:rsidP="00DA55F2">
            <w:pPr>
              <w:rPr>
                <w:rFonts w:cs="Times New Roman"/>
                <w:sz w:val="24"/>
                <w:szCs w:val="24"/>
                <w:lang w:val="lv-LV" w:eastAsia="lv-LV" w:bidi="ar-SA"/>
              </w:rPr>
            </w:pPr>
            <w:r w:rsidRPr="00D7238C">
              <w:rPr>
                <w:rFonts w:cs="Times New Roman"/>
                <w:sz w:val="24"/>
                <w:szCs w:val="24"/>
                <w:lang w:val="lv-LV" w:eastAsia="lv-LV" w:bidi="ar-SA"/>
              </w:rPr>
              <w:t>2.</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D7238C" w:rsidRDefault="00DA55F2" w:rsidP="00DA55F2">
            <w:pPr>
              <w:rPr>
                <w:rFonts w:cs="Times New Roman"/>
                <w:sz w:val="24"/>
                <w:szCs w:val="24"/>
                <w:lang w:val="lv-LV" w:eastAsia="lv-LV" w:bidi="ar-SA"/>
              </w:rPr>
            </w:pPr>
            <w:r w:rsidRPr="00D7238C">
              <w:rPr>
                <w:rFonts w:cs="Times New Roman"/>
                <w:sz w:val="24"/>
                <w:szCs w:val="24"/>
                <w:lang w:val="lv-LV" w:eastAsia="lv-LV" w:bidi="ar-SA"/>
              </w:rPr>
              <w:t>Projekta izpildes ietekme uz pārvaldes funkcijām un institucionālo struktūru.</w:t>
            </w:r>
          </w:p>
          <w:p w:rsidR="00DA55F2" w:rsidRPr="00D7238C" w:rsidRDefault="00DA55F2" w:rsidP="00DA55F2">
            <w:pPr>
              <w:spacing w:before="100" w:beforeAutospacing="1" w:after="100" w:afterAutospacing="1" w:line="315" w:lineRule="atLeast"/>
              <w:rPr>
                <w:rFonts w:cs="Times New Roman"/>
                <w:sz w:val="24"/>
                <w:szCs w:val="24"/>
                <w:lang w:val="lv-LV" w:eastAsia="lv-LV" w:bidi="ar-SA"/>
              </w:rPr>
            </w:pPr>
            <w:r w:rsidRPr="00D7238C">
              <w:rPr>
                <w:rFonts w:cs="Times New Roman"/>
                <w:sz w:val="24"/>
                <w:szCs w:val="24"/>
                <w:lang w:val="lv-LV" w:eastAsia="lv-LV" w:bidi="ar-SA"/>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D0703" w:rsidRPr="00D7238C" w:rsidRDefault="00DD0703" w:rsidP="00D65107">
            <w:pPr>
              <w:jc w:val="both"/>
              <w:rPr>
                <w:rFonts w:cs="Times New Roman"/>
                <w:sz w:val="24"/>
                <w:szCs w:val="24"/>
                <w:lang w:val="lv-LV" w:eastAsia="lv-LV" w:bidi="ar-SA"/>
              </w:rPr>
            </w:pPr>
          </w:p>
        </w:tc>
      </w:tr>
      <w:tr w:rsidR="00DA55F2" w:rsidRPr="00D7238C" w:rsidTr="00DA5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D7238C" w:rsidRDefault="00DA55F2" w:rsidP="00DA55F2">
            <w:pPr>
              <w:rPr>
                <w:rFonts w:cs="Times New Roman"/>
                <w:sz w:val="24"/>
                <w:szCs w:val="24"/>
                <w:lang w:val="lv-LV" w:eastAsia="lv-LV" w:bidi="ar-SA"/>
              </w:rPr>
            </w:pPr>
            <w:r w:rsidRPr="00D7238C">
              <w:rPr>
                <w:rFonts w:cs="Times New Roman"/>
                <w:sz w:val="24"/>
                <w:szCs w:val="24"/>
                <w:lang w:val="lv-LV" w:eastAsia="lv-LV" w:bidi="ar-SA"/>
              </w:rPr>
              <w:t>3.</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D7238C" w:rsidRDefault="00DA55F2" w:rsidP="00DA55F2">
            <w:pPr>
              <w:rPr>
                <w:rFonts w:cs="Times New Roman"/>
                <w:sz w:val="24"/>
                <w:szCs w:val="24"/>
                <w:lang w:val="lv-LV" w:eastAsia="lv-LV" w:bidi="ar-SA"/>
              </w:rPr>
            </w:pPr>
            <w:r w:rsidRPr="00D7238C">
              <w:rPr>
                <w:rFonts w:cs="Times New Roman"/>
                <w:sz w:val="24"/>
                <w:szCs w:val="24"/>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D7238C" w:rsidRDefault="00DA55F2" w:rsidP="00DA55F2">
            <w:pPr>
              <w:spacing w:before="100" w:beforeAutospacing="1" w:after="100" w:afterAutospacing="1" w:line="315" w:lineRule="atLeast"/>
              <w:rPr>
                <w:rFonts w:cs="Times New Roman"/>
                <w:sz w:val="24"/>
                <w:szCs w:val="24"/>
                <w:lang w:val="lv-LV" w:eastAsia="lv-LV" w:bidi="ar-SA"/>
              </w:rPr>
            </w:pPr>
            <w:r w:rsidRPr="00D7238C">
              <w:rPr>
                <w:rFonts w:cs="Times New Roman"/>
                <w:sz w:val="24"/>
                <w:szCs w:val="24"/>
                <w:lang w:val="lv-LV" w:eastAsia="lv-LV" w:bidi="ar-SA"/>
              </w:rPr>
              <w:t>Nav.</w:t>
            </w:r>
          </w:p>
        </w:tc>
      </w:tr>
    </w:tbl>
    <w:p w:rsidR="004600D1" w:rsidRPr="00D7238C" w:rsidRDefault="004600D1" w:rsidP="00DD0703">
      <w:pPr>
        <w:tabs>
          <w:tab w:val="right" w:pos="9074"/>
        </w:tabs>
        <w:rPr>
          <w:rFonts w:cs="Times New Roman"/>
          <w:sz w:val="24"/>
          <w:szCs w:val="24"/>
          <w:lang w:val="lv-LV"/>
        </w:rPr>
      </w:pPr>
    </w:p>
    <w:p w:rsidR="0041060A" w:rsidRPr="0041060A" w:rsidRDefault="0041060A" w:rsidP="00172AF9">
      <w:pPr>
        <w:tabs>
          <w:tab w:val="right" w:pos="9074"/>
        </w:tabs>
        <w:rPr>
          <w:rFonts w:cs="Times New Roman"/>
          <w:i/>
          <w:sz w:val="24"/>
          <w:szCs w:val="24"/>
          <w:lang w:val="lv-LV"/>
        </w:rPr>
      </w:pPr>
      <w:r>
        <w:rPr>
          <w:rFonts w:cs="Times New Roman"/>
          <w:i/>
          <w:sz w:val="24"/>
          <w:szCs w:val="24"/>
          <w:lang w:val="lv-LV"/>
        </w:rPr>
        <w:t>Anotācijas II</w:t>
      </w:r>
      <w:r w:rsidR="00DB04E0">
        <w:rPr>
          <w:rFonts w:cs="Times New Roman"/>
          <w:i/>
          <w:sz w:val="24"/>
          <w:szCs w:val="24"/>
          <w:lang w:val="lv-LV"/>
        </w:rPr>
        <w:t>, IV un VI</w:t>
      </w:r>
      <w:r>
        <w:rPr>
          <w:rFonts w:cs="Times New Roman"/>
          <w:i/>
          <w:sz w:val="24"/>
          <w:szCs w:val="24"/>
          <w:lang w:val="lv-LV"/>
        </w:rPr>
        <w:t xml:space="preserve"> sadaļa – projekta šīs jomas neskar.</w:t>
      </w:r>
    </w:p>
    <w:p w:rsidR="0041060A" w:rsidRDefault="0041060A" w:rsidP="00172AF9">
      <w:pPr>
        <w:tabs>
          <w:tab w:val="right" w:pos="9074"/>
        </w:tabs>
        <w:rPr>
          <w:rFonts w:cs="Times New Roman"/>
          <w:sz w:val="24"/>
          <w:szCs w:val="24"/>
          <w:lang w:val="lv-LV"/>
        </w:rPr>
      </w:pPr>
    </w:p>
    <w:p w:rsidR="0041060A" w:rsidRDefault="0041060A" w:rsidP="00172AF9">
      <w:pPr>
        <w:tabs>
          <w:tab w:val="right" w:pos="9074"/>
        </w:tabs>
        <w:rPr>
          <w:rFonts w:cs="Times New Roman"/>
          <w:sz w:val="24"/>
          <w:szCs w:val="24"/>
          <w:lang w:val="lv-LV"/>
        </w:rPr>
      </w:pPr>
    </w:p>
    <w:p w:rsidR="0041060A" w:rsidRDefault="0041060A" w:rsidP="00172AF9">
      <w:pPr>
        <w:tabs>
          <w:tab w:val="right" w:pos="9074"/>
        </w:tabs>
        <w:rPr>
          <w:rFonts w:cs="Times New Roman"/>
          <w:sz w:val="24"/>
          <w:szCs w:val="24"/>
          <w:lang w:val="lv-LV"/>
        </w:rPr>
      </w:pPr>
    </w:p>
    <w:p w:rsidR="0041060A" w:rsidRDefault="0041060A" w:rsidP="00172AF9">
      <w:pPr>
        <w:tabs>
          <w:tab w:val="right" w:pos="9074"/>
        </w:tabs>
        <w:rPr>
          <w:rFonts w:cs="Times New Roman"/>
          <w:sz w:val="24"/>
          <w:szCs w:val="24"/>
          <w:lang w:val="lv-LV"/>
        </w:rPr>
      </w:pPr>
    </w:p>
    <w:p w:rsidR="00DD0703" w:rsidRPr="00D7238C" w:rsidRDefault="00DD0703" w:rsidP="00172AF9">
      <w:pPr>
        <w:tabs>
          <w:tab w:val="right" w:pos="9074"/>
        </w:tabs>
        <w:rPr>
          <w:rFonts w:cs="Times New Roman"/>
          <w:sz w:val="24"/>
          <w:szCs w:val="24"/>
          <w:lang w:val="lv-LV"/>
        </w:rPr>
      </w:pPr>
      <w:r w:rsidRPr="00D7238C">
        <w:rPr>
          <w:rFonts w:cs="Times New Roman"/>
          <w:sz w:val="24"/>
          <w:szCs w:val="24"/>
          <w:lang w:val="lv-LV"/>
        </w:rPr>
        <w:t xml:space="preserve">Aizsardzības </w:t>
      </w:r>
      <w:r w:rsidR="00172AF9" w:rsidRPr="00D7238C">
        <w:rPr>
          <w:rFonts w:cs="Times New Roman"/>
          <w:sz w:val="24"/>
          <w:szCs w:val="24"/>
          <w:lang w:val="lv-LV"/>
        </w:rPr>
        <w:t>ministrs</w:t>
      </w:r>
      <w:r w:rsidRPr="00D7238C">
        <w:rPr>
          <w:rFonts w:cs="Times New Roman"/>
          <w:sz w:val="24"/>
          <w:szCs w:val="24"/>
          <w:lang w:val="lv-LV"/>
        </w:rPr>
        <w:tab/>
      </w:r>
      <w:proofErr w:type="spellStart"/>
      <w:r w:rsidR="00172AF9" w:rsidRPr="00D7238C">
        <w:rPr>
          <w:rFonts w:cs="Times New Roman"/>
          <w:sz w:val="24"/>
          <w:szCs w:val="24"/>
          <w:lang w:val="lv-LV"/>
        </w:rPr>
        <w:t>R.</w:t>
      </w:r>
      <w:r w:rsidR="001B3074" w:rsidRPr="00D7238C">
        <w:rPr>
          <w:rFonts w:cs="Times New Roman"/>
          <w:sz w:val="24"/>
          <w:szCs w:val="24"/>
          <w:lang w:val="lv-LV"/>
        </w:rPr>
        <w:t>Bergmanis</w:t>
      </w:r>
      <w:proofErr w:type="spellEnd"/>
    </w:p>
    <w:p w:rsidR="001701FF" w:rsidRPr="00D7238C" w:rsidRDefault="001701FF" w:rsidP="00DD0703">
      <w:pPr>
        <w:tabs>
          <w:tab w:val="right" w:pos="9000"/>
        </w:tabs>
        <w:jc w:val="both"/>
        <w:rPr>
          <w:rFonts w:cs="Times New Roman"/>
          <w:sz w:val="24"/>
          <w:szCs w:val="24"/>
          <w:lang w:val="lv-LV"/>
        </w:rPr>
      </w:pPr>
    </w:p>
    <w:p w:rsidR="001701FF" w:rsidRPr="00D7238C" w:rsidRDefault="001701FF" w:rsidP="00DD0703">
      <w:pPr>
        <w:tabs>
          <w:tab w:val="right" w:pos="9000"/>
        </w:tabs>
        <w:jc w:val="both"/>
        <w:rPr>
          <w:rFonts w:cs="Times New Roman"/>
          <w:sz w:val="24"/>
          <w:szCs w:val="24"/>
          <w:lang w:val="lv-LV"/>
        </w:rPr>
      </w:pPr>
    </w:p>
    <w:p w:rsidR="001701FF" w:rsidRPr="00D7238C" w:rsidRDefault="00DD0703" w:rsidP="009266B2">
      <w:pPr>
        <w:tabs>
          <w:tab w:val="right" w:pos="9000"/>
        </w:tabs>
        <w:jc w:val="both"/>
        <w:rPr>
          <w:rFonts w:cs="Times New Roman"/>
          <w:sz w:val="24"/>
          <w:szCs w:val="24"/>
          <w:lang w:val="lv-LV"/>
        </w:rPr>
      </w:pPr>
      <w:r w:rsidRPr="00D7238C">
        <w:rPr>
          <w:rFonts w:cs="Times New Roman"/>
          <w:sz w:val="24"/>
          <w:szCs w:val="24"/>
          <w:lang w:val="lv-LV"/>
        </w:rPr>
        <w:t>Vīza: valsts sekretār</w:t>
      </w:r>
      <w:r w:rsidR="00D65107" w:rsidRPr="00D7238C">
        <w:rPr>
          <w:rFonts w:cs="Times New Roman"/>
          <w:sz w:val="24"/>
          <w:szCs w:val="24"/>
          <w:lang w:val="lv-LV"/>
        </w:rPr>
        <w:t>s</w:t>
      </w:r>
      <w:r w:rsidRPr="00D7238C">
        <w:rPr>
          <w:rFonts w:cs="Times New Roman"/>
          <w:sz w:val="24"/>
          <w:szCs w:val="24"/>
          <w:lang w:val="lv-LV"/>
        </w:rPr>
        <w:tab/>
      </w:r>
      <w:proofErr w:type="spellStart"/>
      <w:r w:rsidR="00D65107" w:rsidRPr="00D7238C">
        <w:rPr>
          <w:rFonts w:cs="Times New Roman"/>
          <w:sz w:val="24"/>
          <w:szCs w:val="24"/>
          <w:lang w:val="lv-LV"/>
        </w:rPr>
        <w:t>J.Garisons</w:t>
      </w:r>
      <w:proofErr w:type="spellEnd"/>
    </w:p>
    <w:p w:rsidR="001701FF" w:rsidRPr="00D7238C" w:rsidRDefault="001701FF" w:rsidP="00DD0703">
      <w:pPr>
        <w:tabs>
          <w:tab w:val="left" w:pos="1560"/>
        </w:tabs>
        <w:rPr>
          <w:rFonts w:cs="Times New Roman"/>
          <w:sz w:val="24"/>
          <w:szCs w:val="24"/>
          <w:lang w:val="lv-LV"/>
        </w:rPr>
      </w:pPr>
    </w:p>
    <w:p w:rsidR="009266B2" w:rsidRPr="00D7238C" w:rsidRDefault="009266B2" w:rsidP="00DD0703">
      <w:pPr>
        <w:tabs>
          <w:tab w:val="left" w:pos="1560"/>
        </w:tabs>
        <w:rPr>
          <w:rFonts w:cs="Times New Roman"/>
          <w:sz w:val="24"/>
          <w:szCs w:val="24"/>
          <w:lang w:val="lv-LV"/>
        </w:rPr>
      </w:pPr>
    </w:p>
    <w:p w:rsidR="00DB04E0" w:rsidRDefault="00DB04E0" w:rsidP="009266B2">
      <w:pPr>
        <w:pStyle w:val="Galvene"/>
      </w:pPr>
    </w:p>
    <w:p w:rsidR="00DB04E0" w:rsidRDefault="00DB04E0" w:rsidP="009266B2">
      <w:pPr>
        <w:pStyle w:val="Galvene"/>
      </w:pPr>
    </w:p>
    <w:p w:rsidR="00DB04E0" w:rsidRDefault="00DB04E0" w:rsidP="009266B2">
      <w:pPr>
        <w:pStyle w:val="Galvene"/>
      </w:pPr>
    </w:p>
    <w:p w:rsidR="00DB04E0" w:rsidRDefault="00DB04E0" w:rsidP="009266B2">
      <w:pPr>
        <w:pStyle w:val="Galvene"/>
      </w:pPr>
    </w:p>
    <w:p w:rsidR="00DB04E0" w:rsidRDefault="00DB04E0" w:rsidP="009266B2">
      <w:pPr>
        <w:pStyle w:val="Galvene"/>
      </w:pPr>
    </w:p>
    <w:p w:rsidR="00DB04E0" w:rsidRDefault="00DB04E0" w:rsidP="009266B2">
      <w:pPr>
        <w:pStyle w:val="Galvene"/>
      </w:pPr>
    </w:p>
    <w:p w:rsidR="00DB04E0" w:rsidRDefault="00DB04E0" w:rsidP="009266B2">
      <w:pPr>
        <w:pStyle w:val="Galvene"/>
      </w:pPr>
    </w:p>
    <w:p w:rsidR="00DB04E0" w:rsidRDefault="00DB04E0" w:rsidP="009266B2">
      <w:pPr>
        <w:pStyle w:val="Galvene"/>
      </w:pPr>
    </w:p>
    <w:p w:rsidR="00253DD2" w:rsidRDefault="00253DD2" w:rsidP="009266B2">
      <w:pPr>
        <w:pStyle w:val="Galvene"/>
      </w:pPr>
    </w:p>
    <w:p w:rsidR="00253DD2" w:rsidRDefault="00253DD2" w:rsidP="009266B2">
      <w:pPr>
        <w:pStyle w:val="Galvene"/>
      </w:pPr>
    </w:p>
    <w:p w:rsidR="00253DD2" w:rsidRDefault="00253DD2" w:rsidP="009266B2">
      <w:pPr>
        <w:pStyle w:val="Galvene"/>
      </w:pPr>
    </w:p>
    <w:p w:rsidR="00253DD2" w:rsidRDefault="00253DD2" w:rsidP="009266B2">
      <w:pPr>
        <w:pStyle w:val="Galvene"/>
      </w:pPr>
    </w:p>
    <w:p w:rsidR="00253DD2" w:rsidRPr="00253DD2" w:rsidRDefault="00253DD2" w:rsidP="00253DD2">
      <w:pPr>
        <w:pStyle w:val="Galvene"/>
        <w:rPr>
          <w:sz w:val="20"/>
          <w:szCs w:val="20"/>
        </w:rPr>
      </w:pPr>
      <w:r w:rsidRPr="00253DD2">
        <w:rPr>
          <w:sz w:val="20"/>
          <w:szCs w:val="20"/>
        </w:rPr>
        <w:fldChar w:fldCharType="begin"/>
      </w:r>
      <w:r w:rsidRPr="00253DD2">
        <w:rPr>
          <w:sz w:val="20"/>
          <w:szCs w:val="20"/>
        </w:rPr>
        <w:instrText xml:space="preserve"> DATE  \@ "dd.MM.yyyy H:mm"  \* MERGEFORMAT </w:instrText>
      </w:r>
      <w:r w:rsidRPr="00253DD2">
        <w:rPr>
          <w:sz w:val="20"/>
          <w:szCs w:val="20"/>
        </w:rPr>
        <w:fldChar w:fldCharType="separate"/>
      </w:r>
      <w:r w:rsidR="00BD34A4">
        <w:rPr>
          <w:noProof/>
          <w:sz w:val="20"/>
          <w:szCs w:val="20"/>
        </w:rPr>
        <w:t>07.04.2017 11:13</w:t>
      </w:r>
      <w:r w:rsidRPr="00253DD2">
        <w:rPr>
          <w:sz w:val="20"/>
          <w:szCs w:val="20"/>
        </w:rPr>
        <w:fldChar w:fldCharType="end"/>
      </w:r>
    </w:p>
    <w:p w:rsidR="00253DD2" w:rsidRPr="00253DD2" w:rsidRDefault="00253DD2" w:rsidP="00253DD2">
      <w:pPr>
        <w:pStyle w:val="Galvene"/>
        <w:rPr>
          <w:sz w:val="20"/>
          <w:szCs w:val="20"/>
        </w:rPr>
      </w:pPr>
      <w:r w:rsidRPr="00253DD2">
        <w:rPr>
          <w:sz w:val="20"/>
          <w:szCs w:val="20"/>
        </w:rPr>
        <w:fldChar w:fldCharType="begin"/>
      </w:r>
      <w:r w:rsidRPr="00253DD2">
        <w:rPr>
          <w:sz w:val="20"/>
          <w:szCs w:val="20"/>
        </w:rPr>
        <w:instrText xml:space="preserve"> NUMWORDS  \# "0"  \* MERGEFORMAT </w:instrText>
      </w:r>
      <w:r w:rsidRPr="00253DD2">
        <w:rPr>
          <w:sz w:val="20"/>
          <w:szCs w:val="20"/>
        </w:rPr>
        <w:fldChar w:fldCharType="separate"/>
      </w:r>
      <w:r w:rsidR="003C38D0">
        <w:rPr>
          <w:noProof/>
          <w:sz w:val="20"/>
          <w:szCs w:val="20"/>
        </w:rPr>
        <w:t>1236</w:t>
      </w:r>
      <w:r w:rsidRPr="00253DD2">
        <w:rPr>
          <w:sz w:val="20"/>
          <w:szCs w:val="20"/>
        </w:rPr>
        <w:fldChar w:fldCharType="end"/>
      </w:r>
    </w:p>
    <w:p w:rsidR="00D65107" w:rsidRPr="00D7238C" w:rsidRDefault="0041060A" w:rsidP="004600D1">
      <w:pPr>
        <w:pStyle w:val="Galvene"/>
        <w:rPr>
          <w:sz w:val="20"/>
          <w:szCs w:val="20"/>
        </w:rPr>
      </w:pPr>
      <w:r>
        <w:rPr>
          <w:sz w:val="20"/>
          <w:szCs w:val="20"/>
        </w:rPr>
        <w:t xml:space="preserve">Agnese </w:t>
      </w:r>
      <w:proofErr w:type="spellStart"/>
      <w:r>
        <w:rPr>
          <w:sz w:val="20"/>
          <w:szCs w:val="20"/>
        </w:rPr>
        <w:t>Aišpure</w:t>
      </w:r>
      <w:proofErr w:type="spellEnd"/>
    </w:p>
    <w:p w:rsidR="0051227D" w:rsidRPr="00D7238C" w:rsidRDefault="0041060A" w:rsidP="004600D1">
      <w:pPr>
        <w:pStyle w:val="Galvene"/>
        <w:rPr>
          <w:sz w:val="20"/>
          <w:szCs w:val="20"/>
        </w:rPr>
      </w:pPr>
      <w:proofErr w:type="spellStart"/>
      <w:r>
        <w:rPr>
          <w:sz w:val="20"/>
          <w:szCs w:val="20"/>
          <w:u w:val="single"/>
        </w:rPr>
        <w:t>Agnese.Aispure</w:t>
      </w:r>
      <w:r w:rsidR="00D65107" w:rsidRPr="00D7238C">
        <w:rPr>
          <w:sz w:val="20"/>
          <w:szCs w:val="20"/>
          <w:u w:val="single"/>
        </w:rPr>
        <w:t>@mod.gov.lv</w:t>
      </w:r>
      <w:proofErr w:type="spellEnd"/>
      <w:r w:rsidR="00D65107" w:rsidRPr="00D7238C">
        <w:rPr>
          <w:sz w:val="20"/>
          <w:szCs w:val="20"/>
        </w:rPr>
        <w:t>; 67335</w:t>
      </w:r>
      <w:r>
        <w:rPr>
          <w:sz w:val="20"/>
          <w:szCs w:val="20"/>
        </w:rPr>
        <w:t>297</w:t>
      </w:r>
    </w:p>
    <w:p w:rsidR="00D65107" w:rsidRPr="00D7238C" w:rsidRDefault="00D65107">
      <w:pPr>
        <w:pStyle w:val="Galvene"/>
      </w:pPr>
    </w:p>
    <w:p w:rsidR="00D7238C" w:rsidRPr="00D7238C" w:rsidRDefault="00D7238C">
      <w:pPr>
        <w:pStyle w:val="Galvene"/>
      </w:pPr>
    </w:p>
    <w:sectPr w:rsidR="00D7238C" w:rsidRPr="00D7238C" w:rsidSect="008A1E09">
      <w:headerReference w:type="default" r:id="rId9"/>
      <w:footerReference w:type="default" r:id="rId10"/>
      <w:footerReference w:type="first" r:id="rId11"/>
      <w:pgSz w:w="11906" w:h="16838"/>
      <w:pgMar w:top="1440" w:right="1800" w:bottom="1440" w:left="1800" w:header="720" w:footer="112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D2" w:rsidRDefault="00442DD2" w:rsidP="00793251">
      <w:r>
        <w:separator/>
      </w:r>
    </w:p>
  </w:endnote>
  <w:endnote w:type="continuationSeparator" w:id="0">
    <w:p w:rsidR="00442DD2" w:rsidRDefault="00442DD2"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D2" w:rsidRDefault="00442DD2" w:rsidP="00AC4E51">
    <w:pPr>
      <w:pStyle w:val="Kjene"/>
      <w:jc w:val="both"/>
      <w:rPr>
        <w:lang w:val="lv-LV"/>
      </w:rPr>
    </w:pPr>
    <w:r w:rsidRPr="00D65107">
      <w:rPr>
        <w:lang w:val="lv-LV"/>
      </w:rPr>
      <w:t>A</w:t>
    </w:r>
    <w:r w:rsidR="001D0809">
      <w:rPr>
        <w:lang w:val="lv-LV"/>
      </w:rPr>
      <w:t>IMAnot_</w:t>
    </w:r>
    <w:r w:rsidR="00E403BE">
      <w:rPr>
        <w:lang w:val="lv-LV"/>
      </w:rPr>
      <w:t>1403</w:t>
    </w:r>
    <w:r w:rsidR="00E103B8">
      <w:rPr>
        <w:lang w:val="lv-LV"/>
      </w:rPr>
      <w:t>17</w:t>
    </w:r>
    <w:r w:rsidR="00D65107" w:rsidRPr="00D65107">
      <w:rPr>
        <w:lang w:val="lv-LV"/>
      </w:rPr>
      <w:t xml:space="preserve">; Ministru kabineta </w:t>
    </w:r>
    <w:r w:rsidR="00E403BE">
      <w:rPr>
        <w:lang w:val="lv-LV"/>
      </w:rPr>
      <w:t>rīkojuma</w:t>
    </w:r>
    <w:r w:rsidR="00D65107" w:rsidRPr="00D65107">
      <w:rPr>
        <w:lang w:val="lv-LV"/>
      </w:rPr>
      <w:t xml:space="preserve"> projekta “</w:t>
    </w:r>
    <w:r w:rsidR="00E631DB" w:rsidRPr="00E631DB">
      <w:rPr>
        <w:lang w:val="lv-LV"/>
      </w:rPr>
      <w:t>Par atļauju Aizsardzības ministrijai uzņemties ilgtermiņa saistības un nodrošināt NATO Kaujas grupas klātbūtni Latvijas Republikā valsts drošības un aizsardzības spēju stiprināšanai miera laikā</w:t>
    </w:r>
    <w:r w:rsidR="00D65107" w:rsidRPr="00D65107">
      <w:rPr>
        <w:lang w:val="lv-LV"/>
      </w:rPr>
      <w:t xml:space="preserve">” </w:t>
    </w:r>
    <w:r w:rsidRPr="00D65107">
      <w:rPr>
        <w:lang w:val="lv-LV"/>
      </w:rPr>
      <w:t>sākotnējās ietekmes novērtējuma ziņojums (anotācija)</w:t>
    </w:r>
  </w:p>
  <w:p w:rsidR="008A1E09" w:rsidRPr="008A1E09" w:rsidRDefault="008A1E09" w:rsidP="008A1E09">
    <w:pPr>
      <w:pStyle w:val="Kjene"/>
      <w:tabs>
        <w:tab w:val="clear" w:pos="4153"/>
        <w:tab w:val="clear" w:pos="8306"/>
        <w:tab w:val="left" w:pos="3690"/>
      </w:tabs>
      <w:jc w:val="right"/>
    </w:pPr>
    <w:r>
      <w:fldChar w:fldCharType="begin"/>
    </w:r>
    <w:r>
      <w:instrText xml:space="preserve"> PAGE   \* MERGEFORMAT </w:instrText>
    </w:r>
    <w:r>
      <w:fldChar w:fldCharType="separate"/>
    </w:r>
    <w:r w:rsidR="00BD34A4">
      <w:rPr>
        <w:noProof/>
      </w:rPr>
      <w:t>2</w:t>
    </w:r>
    <w:r>
      <w:fldChar w:fldCharType="end"/>
    </w:r>
    <w:r>
      <w:t>-</w:t>
    </w:r>
    <w:fldSimple w:instr=" NUMPAGES   \* MERGEFORMAT ">
      <w:r w:rsidR="00BD34A4">
        <w:rPr>
          <w:noProof/>
        </w:rPr>
        <w:t>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B" w:rsidRDefault="00E631DB" w:rsidP="00E631DB">
    <w:pPr>
      <w:pStyle w:val="Kjene"/>
      <w:tabs>
        <w:tab w:val="clear" w:pos="4153"/>
        <w:tab w:val="clear" w:pos="8306"/>
        <w:tab w:val="left" w:pos="3690"/>
      </w:tabs>
    </w:pPr>
    <w:r w:rsidRPr="00E631DB">
      <w:t xml:space="preserve">AIMAnot_140317; </w:t>
    </w:r>
    <w:proofErr w:type="spellStart"/>
    <w:r w:rsidRPr="00E631DB">
      <w:t>Ministru</w:t>
    </w:r>
    <w:proofErr w:type="spellEnd"/>
    <w:r w:rsidRPr="00E631DB">
      <w:t xml:space="preserve"> </w:t>
    </w:r>
    <w:proofErr w:type="spellStart"/>
    <w:r w:rsidRPr="00E631DB">
      <w:t>kabineta</w:t>
    </w:r>
    <w:proofErr w:type="spellEnd"/>
    <w:r w:rsidRPr="00E631DB">
      <w:t xml:space="preserve"> </w:t>
    </w:r>
    <w:proofErr w:type="spellStart"/>
    <w:r w:rsidRPr="00E631DB">
      <w:t>rīkojuma</w:t>
    </w:r>
    <w:proofErr w:type="spellEnd"/>
    <w:r w:rsidRPr="00E631DB">
      <w:t xml:space="preserve"> </w:t>
    </w:r>
    <w:proofErr w:type="spellStart"/>
    <w:r w:rsidRPr="00E631DB">
      <w:t>projekta</w:t>
    </w:r>
    <w:proofErr w:type="spellEnd"/>
    <w:r w:rsidRPr="00E631DB">
      <w:t xml:space="preserve"> “Par </w:t>
    </w:r>
    <w:proofErr w:type="spellStart"/>
    <w:r w:rsidRPr="00E631DB">
      <w:t>atļauju</w:t>
    </w:r>
    <w:proofErr w:type="spellEnd"/>
    <w:r w:rsidRPr="00E631DB">
      <w:t xml:space="preserve"> Aizsardzības </w:t>
    </w:r>
    <w:proofErr w:type="spellStart"/>
    <w:r w:rsidRPr="00E631DB">
      <w:t>ministrijai</w:t>
    </w:r>
    <w:proofErr w:type="spellEnd"/>
    <w:r w:rsidRPr="00E631DB">
      <w:t xml:space="preserve"> </w:t>
    </w:r>
    <w:proofErr w:type="spellStart"/>
    <w:r w:rsidRPr="00E631DB">
      <w:t>uzņemties</w:t>
    </w:r>
    <w:proofErr w:type="spellEnd"/>
    <w:r w:rsidRPr="00E631DB">
      <w:t xml:space="preserve"> </w:t>
    </w:r>
    <w:proofErr w:type="spellStart"/>
    <w:r w:rsidRPr="00E631DB">
      <w:t>ilgtermiņa</w:t>
    </w:r>
    <w:proofErr w:type="spellEnd"/>
    <w:r w:rsidRPr="00E631DB">
      <w:t xml:space="preserve"> </w:t>
    </w:r>
    <w:proofErr w:type="spellStart"/>
    <w:r w:rsidRPr="00E631DB">
      <w:t>saistības</w:t>
    </w:r>
    <w:proofErr w:type="spellEnd"/>
    <w:r w:rsidRPr="00E631DB">
      <w:t xml:space="preserve"> un </w:t>
    </w:r>
    <w:proofErr w:type="spellStart"/>
    <w:r w:rsidRPr="00E631DB">
      <w:t>nodrošināt</w:t>
    </w:r>
    <w:proofErr w:type="spellEnd"/>
    <w:r w:rsidRPr="00E631DB">
      <w:t xml:space="preserve"> NATO </w:t>
    </w:r>
    <w:proofErr w:type="spellStart"/>
    <w:r w:rsidRPr="00E631DB">
      <w:t>Kaujas</w:t>
    </w:r>
    <w:proofErr w:type="spellEnd"/>
    <w:r w:rsidRPr="00E631DB">
      <w:t xml:space="preserve"> </w:t>
    </w:r>
    <w:proofErr w:type="spellStart"/>
    <w:r w:rsidRPr="00E631DB">
      <w:t>grupas</w:t>
    </w:r>
    <w:proofErr w:type="spellEnd"/>
    <w:r w:rsidRPr="00E631DB">
      <w:t xml:space="preserve"> </w:t>
    </w:r>
    <w:proofErr w:type="spellStart"/>
    <w:r w:rsidRPr="00E631DB">
      <w:t>klātbūtni</w:t>
    </w:r>
    <w:proofErr w:type="spellEnd"/>
    <w:r w:rsidRPr="00E631DB">
      <w:t xml:space="preserve"> </w:t>
    </w:r>
    <w:proofErr w:type="spellStart"/>
    <w:r w:rsidRPr="00E631DB">
      <w:t>Latvijas</w:t>
    </w:r>
    <w:proofErr w:type="spellEnd"/>
    <w:r w:rsidRPr="00E631DB">
      <w:t xml:space="preserve"> </w:t>
    </w:r>
    <w:proofErr w:type="spellStart"/>
    <w:r w:rsidRPr="00E631DB">
      <w:t>Republikā</w:t>
    </w:r>
    <w:proofErr w:type="spellEnd"/>
    <w:r w:rsidRPr="00E631DB">
      <w:t xml:space="preserve"> </w:t>
    </w:r>
    <w:proofErr w:type="spellStart"/>
    <w:r w:rsidRPr="00E631DB">
      <w:t>valsts</w:t>
    </w:r>
    <w:proofErr w:type="spellEnd"/>
    <w:r w:rsidRPr="00E631DB">
      <w:t xml:space="preserve"> </w:t>
    </w:r>
    <w:proofErr w:type="spellStart"/>
    <w:r w:rsidRPr="00E631DB">
      <w:t>drošības</w:t>
    </w:r>
    <w:proofErr w:type="spellEnd"/>
    <w:r w:rsidRPr="00E631DB">
      <w:t xml:space="preserve"> un </w:t>
    </w:r>
    <w:proofErr w:type="spellStart"/>
    <w:r w:rsidRPr="00E631DB">
      <w:t>aizsardzības</w:t>
    </w:r>
    <w:proofErr w:type="spellEnd"/>
    <w:r w:rsidRPr="00E631DB">
      <w:t xml:space="preserve"> </w:t>
    </w:r>
    <w:proofErr w:type="spellStart"/>
    <w:r w:rsidRPr="00E631DB">
      <w:t>spēju</w:t>
    </w:r>
    <w:proofErr w:type="spellEnd"/>
    <w:r w:rsidRPr="00E631DB">
      <w:t xml:space="preserve"> </w:t>
    </w:r>
    <w:proofErr w:type="spellStart"/>
    <w:r w:rsidRPr="00E631DB">
      <w:t>stiprināšanai</w:t>
    </w:r>
    <w:proofErr w:type="spellEnd"/>
    <w:r w:rsidRPr="00E631DB">
      <w:t xml:space="preserve"> </w:t>
    </w:r>
    <w:proofErr w:type="spellStart"/>
    <w:r w:rsidRPr="00E631DB">
      <w:t>miera</w:t>
    </w:r>
    <w:proofErr w:type="spellEnd"/>
    <w:r w:rsidRPr="00E631DB">
      <w:t xml:space="preserve"> </w:t>
    </w:r>
    <w:proofErr w:type="spellStart"/>
    <w:r w:rsidRPr="00E631DB">
      <w:t>laikā</w:t>
    </w:r>
    <w:proofErr w:type="spellEnd"/>
    <w:r w:rsidRPr="00E631DB">
      <w:t xml:space="preserve">” </w:t>
    </w:r>
    <w:proofErr w:type="spellStart"/>
    <w:r w:rsidRPr="00E631DB">
      <w:t>sākotnējās</w:t>
    </w:r>
    <w:proofErr w:type="spellEnd"/>
    <w:r w:rsidRPr="00E631DB">
      <w:t xml:space="preserve"> </w:t>
    </w:r>
    <w:proofErr w:type="spellStart"/>
    <w:r w:rsidRPr="00E631DB">
      <w:t>ietekmes</w:t>
    </w:r>
    <w:proofErr w:type="spellEnd"/>
    <w:r w:rsidRPr="00E631DB">
      <w:t xml:space="preserve"> </w:t>
    </w:r>
    <w:proofErr w:type="spellStart"/>
    <w:r w:rsidRPr="00E631DB">
      <w:t>novērtējuma</w:t>
    </w:r>
    <w:proofErr w:type="spellEnd"/>
    <w:r w:rsidRPr="00E631DB">
      <w:t xml:space="preserve"> </w:t>
    </w:r>
    <w:proofErr w:type="spellStart"/>
    <w:r w:rsidRPr="00E631DB">
      <w:t>ziņojums</w:t>
    </w:r>
    <w:proofErr w:type="spellEnd"/>
    <w:r w:rsidRPr="00E631DB">
      <w:t xml:space="preserve"> (</w:t>
    </w:r>
    <w:proofErr w:type="spellStart"/>
    <w:r w:rsidRPr="00E631DB">
      <w:t>anotācija</w:t>
    </w:r>
    <w:proofErr w:type="spellEnd"/>
    <w:r w:rsidRPr="00E631DB">
      <w:t>)</w:t>
    </w:r>
  </w:p>
  <w:p w:rsidR="008A1E09" w:rsidRDefault="008A1E09" w:rsidP="008A1E09">
    <w:pPr>
      <w:pStyle w:val="Kjene"/>
      <w:tabs>
        <w:tab w:val="clear" w:pos="4153"/>
        <w:tab w:val="clear" w:pos="8306"/>
        <w:tab w:val="left" w:pos="3690"/>
      </w:tabs>
      <w:jc w:val="right"/>
    </w:pPr>
    <w:r>
      <w:fldChar w:fldCharType="begin"/>
    </w:r>
    <w:r>
      <w:instrText xml:space="preserve"> PAGE   \* MERGEFORMAT </w:instrText>
    </w:r>
    <w:r>
      <w:fldChar w:fldCharType="separate"/>
    </w:r>
    <w:r w:rsidR="00BD34A4">
      <w:rPr>
        <w:noProof/>
      </w:rPr>
      <w:t>1</w:t>
    </w:r>
    <w:r>
      <w:fldChar w:fldCharType="end"/>
    </w:r>
    <w:r>
      <w:t>-</w:t>
    </w:r>
    <w:r w:rsidR="00BD34A4">
      <w:fldChar w:fldCharType="begin"/>
    </w:r>
    <w:r w:rsidR="00BD34A4">
      <w:instrText xml:space="preserve"> NU</w:instrText>
    </w:r>
    <w:r w:rsidR="00BD34A4">
      <w:instrText xml:space="preserve">MPAGES   \* MERGEFORMAT </w:instrText>
    </w:r>
    <w:r w:rsidR="00BD34A4">
      <w:fldChar w:fldCharType="separate"/>
    </w:r>
    <w:r w:rsidR="00BD34A4">
      <w:rPr>
        <w:noProof/>
      </w:rPr>
      <w:t>6</w:t>
    </w:r>
    <w:r w:rsidR="00BD34A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D2" w:rsidRDefault="00442DD2" w:rsidP="00793251">
      <w:r>
        <w:separator/>
      </w:r>
    </w:p>
  </w:footnote>
  <w:footnote w:type="continuationSeparator" w:id="0">
    <w:p w:rsidR="00442DD2" w:rsidRDefault="00442DD2"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442DD2" w:rsidRDefault="00442DD2">
        <w:pPr>
          <w:pStyle w:val="Galvene"/>
          <w:jc w:val="center"/>
        </w:pPr>
        <w:r>
          <w:fldChar w:fldCharType="begin"/>
        </w:r>
        <w:r>
          <w:instrText xml:space="preserve"> PAGE   \* MERGEFORMAT </w:instrText>
        </w:r>
        <w:r>
          <w:fldChar w:fldCharType="separate"/>
        </w:r>
        <w:r w:rsidR="00BD34A4">
          <w:rPr>
            <w:noProof/>
          </w:rPr>
          <w:t>2</w:t>
        </w:r>
        <w:r>
          <w:rPr>
            <w:noProof/>
          </w:rPr>
          <w:fldChar w:fldCharType="end"/>
        </w:r>
      </w:p>
    </w:sdtContent>
  </w:sdt>
  <w:p w:rsidR="00442DD2" w:rsidRDefault="00442DD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7534"/>
    <w:multiLevelType w:val="hybridMultilevel"/>
    <w:tmpl w:val="272AFFDA"/>
    <w:lvl w:ilvl="0" w:tplc="83CE169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02AD5"/>
    <w:rsid w:val="00030C42"/>
    <w:rsid w:val="00040423"/>
    <w:rsid w:val="00040BA5"/>
    <w:rsid w:val="00042947"/>
    <w:rsid w:val="000442F7"/>
    <w:rsid w:val="000637B5"/>
    <w:rsid w:val="00065F37"/>
    <w:rsid w:val="00085465"/>
    <w:rsid w:val="00086FA2"/>
    <w:rsid w:val="000874A0"/>
    <w:rsid w:val="00090C83"/>
    <w:rsid w:val="00091828"/>
    <w:rsid w:val="000A1D45"/>
    <w:rsid w:val="000B1608"/>
    <w:rsid w:val="000B6CBC"/>
    <w:rsid w:val="000C2BAC"/>
    <w:rsid w:val="000D28A3"/>
    <w:rsid w:val="000E0816"/>
    <w:rsid w:val="000F0597"/>
    <w:rsid w:val="000F24DA"/>
    <w:rsid w:val="000F5E0C"/>
    <w:rsid w:val="000F6BAA"/>
    <w:rsid w:val="00101041"/>
    <w:rsid w:val="00103E34"/>
    <w:rsid w:val="00110C2C"/>
    <w:rsid w:val="00114099"/>
    <w:rsid w:val="0012490C"/>
    <w:rsid w:val="001312D8"/>
    <w:rsid w:val="001602AC"/>
    <w:rsid w:val="00160E6C"/>
    <w:rsid w:val="0016559B"/>
    <w:rsid w:val="001701FF"/>
    <w:rsid w:val="00172AF9"/>
    <w:rsid w:val="0017553A"/>
    <w:rsid w:val="00175840"/>
    <w:rsid w:val="00175983"/>
    <w:rsid w:val="0018695A"/>
    <w:rsid w:val="001919C8"/>
    <w:rsid w:val="00193650"/>
    <w:rsid w:val="0019390A"/>
    <w:rsid w:val="00194D40"/>
    <w:rsid w:val="001A27CC"/>
    <w:rsid w:val="001A42A1"/>
    <w:rsid w:val="001A4452"/>
    <w:rsid w:val="001A78E7"/>
    <w:rsid w:val="001B3074"/>
    <w:rsid w:val="001B704A"/>
    <w:rsid w:val="001C12F3"/>
    <w:rsid w:val="001C25DB"/>
    <w:rsid w:val="001C3328"/>
    <w:rsid w:val="001C6F9C"/>
    <w:rsid w:val="001D0809"/>
    <w:rsid w:val="001D7DAF"/>
    <w:rsid w:val="001E4F19"/>
    <w:rsid w:val="001E777A"/>
    <w:rsid w:val="001F07CF"/>
    <w:rsid w:val="001F2472"/>
    <w:rsid w:val="001F32D9"/>
    <w:rsid w:val="00201206"/>
    <w:rsid w:val="0022395F"/>
    <w:rsid w:val="00224D82"/>
    <w:rsid w:val="00226300"/>
    <w:rsid w:val="00237EC9"/>
    <w:rsid w:val="00253DD2"/>
    <w:rsid w:val="00254A93"/>
    <w:rsid w:val="0026236D"/>
    <w:rsid w:val="002766D2"/>
    <w:rsid w:val="002768AB"/>
    <w:rsid w:val="002809EE"/>
    <w:rsid w:val="00297668"/>
    <w:rsid w:val="002A24A5"/>
    <w:rsid w:val="002B7A3C"/>
    <w:rsid w:val="002D4384"/>
    <w:rsid w:val="002E1F0E"/>
    <w:rsid w:val="002E384D"/>
    <w:rsid w:val="002E7AE5"/>
    <w:rsid w:val="00302D0B"/>
    <w:rsid w:val="00304507"/>
    <w:rsid w:val="00304C07"/>
    <w:rsid w:val="00325B2D"/>
    <w:rsid w:val="003349EF"/>
    <w:rsid w:val="00341F3E"/>
    <w:rsid w:val="00343422"/>
    <w:rsid w:val="00344FC3"/>
    <w:rsid w:val="003618A2"/>
    <w:rsid w:val="00377CD5"/>
    <w:rsid w:val="0038159D"/>
    <w:rsid w:val="003819FD"/>
    <w:rsid w:val="00384491"/>
    <w:rsid w:val="003A2021"/>
    <w:rsid w:val="003A30C8"/>
    <w:rsid w:val="003A4B6F"/>
    <w:rsid w:val="003B1EE2"/>
    <w:rsid w:val="003B5312"/>
    <w:rsid w:val="003C38D0"/>
    <w:rsid w:val="003D1AF7"/>
    <w:rsid w:val="003E0077"/>
    <w:rsid w:val="003E0611"/>
    <w:rsid w:val="003E2675"/>
    <w:rsid w:val="003F48C9"/>
    <w:rsid w:val="003F71A6"/>
    <w:rsid w:val="0041060A"/>
    <w:rsid w:val="0041665F"/>
    <w:rsid w:val="004307F9"/>
    <w:rsid w:val="00433506"/>
    <w:rsid w:val="0043361D"/>
    <w:rsid w:val="004336E9"/>
    <w:rsid w:val="00442DD2"/>
    <w:rsid w:val="00451CFB"/>
    <w:rsid w:val="004541E7"/>
    <w:rsid w:val="00457DD9"/>
    <w:rsid w:val="004600D1"/>
    <w:rsid w:val="004630A0"/>
    <w:rsid w:val="00482454"/>
    <w:rsid w:val="004831D3"/>
    <w:rsid w:val="00490576"/>
    <w:rsid w:val="004917C2"/>
    <w:rsid w:val="0049671E"/>
    <w:rsid w:val="004A1D43"/>
    <w:rsid w:val="004A61D5"/>
    <w:rsid w:val="004B4277"/>
    <w:rsid w:val="004B5818"/>
    <w:rsid w:val="004D16ED"/>
    <w:rsid w:val="004D5115"/>
    <w:rsid w:val="004D7D17"/>
    <w:rsid w:val="004F6D27"/>
    <w:rsid w:val="005024F6"/>
    <w:rsid w:val="00504AE1"/>
    <w:rsid w:val="00506A77"/>
    <w:rsid w:val="0051227D"/>
    <w:rsid w:val="00515D06"/>
    <w:rsid w:val="00523B55"/>
    <w:rsid w:val="00551A8D"/>
    <w:rsid w:val="00566D43"/>
    <w:rsid w:val="00570C2E"/>
    <w:rsid w:val="00572CA6"/>
    <w:rsid w:val="00573EFC"/>
    <w:rsid w:val="0057546D"/>
    <w:rsid w:val="005B176D"/>
    <w:rsid w:val="005B67C9"/>
    <w:rsid w:val="005C4D3A"/>
    <w:rsid w:val="005E086C"/>
    <w:rsid w:val="005E2B7A"/>
    <w:rsid w:val="005E5934"/>
    <w:rsid w:val="005F1F40"/>
    <w:rsid w:val="00622D83"/>
    <w:rsid w:val="00626FD9"/>
    <w:rsid w:val="0063540A"/>
    <w:rsid w:val="00642A4A"/>
    <w:rsid w:val="006502FA"/>
    <w:rsid w:val="00650AAC"/>
    <w:rsid w:val="0066337C"/>
    <w:rsid w:val="0066667B"/>
    <w:rsid w:val="0067119E"/>
    <w:rsid w:val="00683950"/>
    <w:rsid w:val="006956F2"/>
    <w:rsid w:val="006B7B3D"/>
    <w:rsid w:val="006C0AB6"/>
    <w:rsid w:val="006C30DF"/>
    <w:rsid w:val="006C36FE"/>
    <w:rsid w:val="006C3A52"/>
    <w:rsid w:val="006D6267"/>
    <w:rsid w:val="006D6668"/>
    <w:rsid w:val="006E6E09"/>
    <w:rsid w:val="006F7C61"/>
    <w:rsid w:val="00702C3D"/>
    <w:rsid w:val="00716705"/>
    <w:rsid w:val="00736D69"/>
    <w:rsid w:val="007370A5"/>
    <w:rsid w:val="0075182F"/>
    <w:rsid w:val="007533A4"/>
    <w:rsid w:val="00762BB5"/>
    <w:rsid w:val="007635F3"/>
    <w:rsid w:val="0077792C"/>
    <w:rsid w:val="00793251"/>
    <w:rsid w:val="00797A20"/>
    <w:rsid w:val="007A1F6C"/>
    <w:rsid w:val="007B4C36"/>
    <w:rsid w:val="007B565B"/>
    <w:rsid w:val="007B5EE0"/>
    <w:rsid w:val="007C2B83"/>
    <w:rsid w:val="007D778F"/>
    <w:rsid w:val="007E7407"/>
    <w:rsid w:val="007F1D73"/>
    <w:rsid w:val="007F472C"/>
    <w:rsid w:val="00811765"/>
    <w:rsid w:val="008118E4"/>
    <w:rsid w:val="00813D92"/>
    <w:rsid w:val="008175B5"/>
    <w:rsid w:val="008179F4"/>
    <w:rsid w:val="00846120"/>
    <w:rsid w:val="008530E8"/>
    <w:rsid w:val="0085368E"/>
    <w:rsid w:val="008804EF"/>
    <w:rsid w:val="008814B7"/>
    <w:rsid w:val="0088161A"/>
    <w:rsid w:val="00890568"/>
    <w:rsid w:val="008914F7"/>
    <w:rsid w:val="008A1E09"/>
    <w:rsid w:val="008C35FC"/>
    <w:rsid w:val="008D4F6E"/>
    <w:rsid w:val="008E0711"/>
    <w:rsid w:val="008E0CDA"/>
    <w:rsid w:val="00912917"/>
    <w:rsid w:val="0091793F"/>
    <w:rsid w:val="009213E1"/>
    <w:rsid w:val="009266B2"/>
    <w:rsid w:val="0093126B"/>
    <w:rsid w:val="00934B21"/>
    <w:rsid w:val="0094233F"/>
    <w:rsid w:val="00961EAA"/>
    <w:rsid w:val="00963455"/>
    <w:rsid w:val="00966A51"/>
    <w:rsid w:val="00971470"/>
    <w:rsid w:val="00972D20"/>
    <w:rsid w:val="009730C6"/>
    <w:rsid w:val="00976F2C"/>
    <w:rsid w:val="00990AC6"/>
    <w:rsid w:val="0099597E"/>
    <w:rsid w:val="009A48D6"/>
    <w:rsid w:val="009A539F"/>
    <w:rsid w:val="009A7C4D"/>
    <w:rsid w:val="009B0629"/>
    <w:rsid w:val="009B32A9"/>
    <w:rsid w:val="009B41E9"/>
    <w:rsid w:val="009B4565"/>
    <w:rsid w:val="009B7AA7"/>
    <w:rsid w:val="009D176E"/>
    <w:rsid w:val="009E344D"/>
    <w:rsid w:val="009E45E9"/>
    <w:rsid w:val="009E6E78"/>
    <w:rsid w:val="009F1792"/>
    <w:rsid w:val="009F370D"/>
    <w:rsid w:val="00A16DD5"/>
    <w:rsid w:val="00A242E1"/>
    <w:rsid w:val="00A26527"/>
    <w:rsid w:val="00A44B6B"/>
    <w:rsid w:val="00A44F5A"/>
    <w:rsid w:val="00A50AF5"/>
    <w:rsid w:val="00A50D61"/>
    <w:rsid w:val="00A669D6"/>
    <w:rsid w:val="00A8328B"/>
    <w:rsid w:val="00A83AFA"/>
    <w:rsid w:val="00A87557"/>
    <w:rsid w:val="00A93B9C"/>
    <w:rsid w:val="00AA5F17"/>
    <w:rsid w:val="00AA7611"/>
    <w:rsid w:val="00AB5D16"/>
    <w:rsid w:val="00AC240F"/>
    <w:rsid w:val="00AC4E51"/>
    <w:rsid w:val="00AE68BD"/>
    <w:rsid w:val="00AF3AC3"/>
    <w:rsid w:val="00AF748C"/>
    <w:rsid w:val="00B03CDB"/>
    <w:rsid w:val="00B3031A"/>
    <w:rsid w:val="00B343DE"/>
    <w:rsid w:val="00B432E8"/>
    <w:rsid w:val="00B47AF6"/>
    <w:rsid w:val="00B53881"/>
    <w:rsid w:val="00B57057"/>
    <w:rsid w:val="00B574A0"/>
    <w:rsid w:val="00B63DAA"/>
    <w:rsid w:val="00B64B56"/>
    <w:rsid w:val="00B80259"/>
    <w:rsid w:val="00B82F46"/>
    <w:rsid w:val="00B85D17"/>
    <w:rsid w:val="00B91C5E"/>
    <w:rsid w:val="00B924BD"/>
    <w:rsid w:val="00BA0458"/>
    <w:rsid w:val="00BA6DC0"/>
    <w:rsid w:val="00BB5B9D"/>
    <w:rsid w:val="00BD2AED"/>
    <w:rsid w:val="00BD34A4"/>
    <w:rsid w:val="00BF7D46"/>
    <w:rsid w:val="00C042E0"/>
    <w:rsid w:val="00C04E7D"/>
    <w:rsid w:val="00C06299"/>
    <w:rsid w:val="00C15175"/>
    <w:rsid w:val="00C25BF3"/>
    <w:rsid w:val="00C26741"/>
    <w:rsid w:val="00C33C0A"/>
    <w:rsid w:val="00C366C1"/>
    <w:rsid w:val="00C53718"/>
    <w:rsid w:val="00C57B32"/>
    <w:rsid w:val="00C6134E"/>
    <w:rsid w:val="00C70134"/>
    <w:rsid w:val="00C729FB"/>
    <w:rsid w:val="00C77BDB"/>
    <w:rsid w:val="00C805B9"/>
    <w:rsid w:val="00C87CCA"/>
    <w:rsid w:val="00CA3292"/>
    <w:rsid w:val="00CA3C67"/>
    <w:rsid w:val="00CA484D"/>
    <w:rsid w:val="00CB5740"/>
    <w:rsid w:val="00CB7EEF"/>
    <w:rsid w:val="00D30F08"/>
    <w:rsid w:val="00D30F88"/>
    <w:rsid w:val="00D50FA7"/>
    <w:rsid w:val="00D523B4"/>
    <w:rsid w:val="00D544B0"/>
    <w:rsid w:val="00D56176"/>
    <w:rsid w:val="00D57145"/>
    <w:rsid w:val="00D65107"/>
    <w:rsid w:val="00D67CFE"/>
    <w:rsid w:val="00D7238C"/>
    <w:rsid w:val="00DA12B7"/>
    <w:rsid w:val="00DA43BA"/>
    <w:rsid w:val="00DA5310"/>
    <w:rsid w:val="00DA55F2"/>
    <w:rsid w:val="00DB04E0"/>
    <w:rsid w:val="00DC2CFC"/>
    <w:rsid w:val="00DC56F9"/>
    <w:rsid w:val="00DC6C5C"/>
    <w:rsid w:val="00DD0703"/>
    <w:rsid w:val="00DF263E"/>
    <w:rsid w:val="00DF2944"/>
    <w:rsid w:val="00DF6BF8"/>
    <w:rsid w:val="00DF74D1"/>
    <w:rsid w:val="00E1011E"/>
    <w:rsid w:val="00E103B8"/>
    <w:rsid w:val="00E105F6"/>
    <w:rsid w:val="00E13BC8"/>
    <w:rsid w:val="00E14053"/>
    <w:rsid w:val="00E20B65"/>
    <w:rsid w:val="00E22005"/>
    <w:rsid w:val="00E403BE"/>
    <w:rsid w:val="00E50709"/>
    <w:rsid w:val="00E57635"/>
    <w:rsid w:val="00E61F4F"/>
    <w:rsid w:val="00E631DB"/>
    <w:rsid w:val="00E64ADC"/>
    <w:rsid w:val="00E65F9E"/>
    <w:rsid w:val="00E9032B"/>
    <w:rsid w:val="00E97F41"/>
    <w:rsid w:val="00EB4C92"/>
    <w:rsid w:val="00EB5489"/>
    <w:rsid w:val="00ED63F5"/>
    <w:rsid w:val="00EF7342"/>
    <w:rsid w:val="00F0472F"/>
    <w:rsid w:val="00F14B6F"/>
    <w:rsid w:val="00F22346"/>
    <w:rsid w:val="00F41B10"/>
    <w:rsid w:val="00F44D94"/>
    <w:rsid w:val="00F52B0B"/>
    <w:rsid w:val="00F56B96"/>
    <w:rsid w:val="00F6466F"/>
    <w:rsid w:val="00F64DAF"/>
    <w:rsid w:val="00F71127"/>
    <w:rsid w:val="00F71D3B"/>
    <w:rsid w:val="00F72A41"/>
    <w:rsid w:val="00F74DE5"/>
    <w:rsid w:val="00F87C69"/>
    <w:rsid w:val="00F87F12"/>
    <w:rsid w:val="00F9344E"/>
    <w:rsid w:val="00F936E9"/>
    <w:rsid w:val="00FA04AB"/>
    <w:rsid w:val="00FA69E4"/>
    <w:rsid w:val="00FB02C4"/>
    <w:rsid w:val="00FB29BC"/>
    <w:rsid w:val="00FB485B"/>
    <w:rsid w:val="00FB785B"/>
    <w:rsid w:val="00FD02ED"/>
    <w:rsid w:val="00FD216B"/>
    <w:rsid w:val="00FD24CA"/>
    <w:rsid w:val="00FD3BFE"/>
    <w:rsid w:val="00FD5443"/>
    <w:rsid w:val="00FE5EFA"/>
    <w:rsid w:val="00FE653A"/>
    <w:rsid w:val="00FF6F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rFonts w:cs="Arial Unicode MS"/>
      <w:lang w:val="en-AU" w:eastAsia="en-US"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630A0"/>
    <w:pPr>
      <w:ind w:left="720"/>
      <w:contextualSpacing/>
    </w:pPr>
  </w:style>
  <w:style w:type="paragraph" w:customStyle="1" w:styleId="naisnod">
    <w:name w:val="naisnod"/>
    <w:basedOn w:val="Parasts"/>
    <w:rsid w:val="00E20B65"/>
    <w:pPr>
      <w:spacing w:before="150" w:after="150"/>
      <w:jc w:val="center"/>
    </w:pPr>
    <w:rPr>
      <w:rFonts w:cs="Times New Roman"/>
      <w:b/>
      <w:bCs/>
      <w:sz w:val="24"/>
      <w:szCs w:val="24"/>
      <w:lang w:val="lv-LV" w:eastAsia="lv-LV" w:bidi="ar-SA"/>
    </w:rPr>
  </w:style>
  <w:style w:type="paragraph" w:styleId="Galvene">
    <w:name w:val="header"/>
    <w:basedOn w:val="Parasts"/>
    <w:link w:val="GalveneRakstz"/>
    <w:rsid w:val="00DD0703"/>
    <w:pPr>
      <w:tabs>
        <w:tab w:val="center" w:pos="4153"/>
        <w:tab w:val="right" w:pos="8306"/>
      </w:tabs>
    </w:pPr>
    <w:rPr>
      <w:rFonts w:cs="Times New Roman"/>
      <w:sz w:val="24"/>
      <w:szCs w:val="24"/>
      <w:lang w:val="lv-LV" w:eastAsia="lv-LV" w:bidi="ar-SA"/>
    </w:rPr>
  </w:style>
  <w:style w:type="character" w:customStyle="1" w:styleId="GalveneRakstz">
    <w:name w:val="Galvene Rakstz."/>
    <w:basedOn w:val="Noklusjumarindkopasfonts"/>
    <w:link w:val="Galvene"/>
    <w:rsid w:val="00DD0703"/>
    <w:rPr>
      <w:sz w:val="24"/>
      <w:szCs w:val="24"/>
    </w:rPr>
  </w:style>
  <w:style w:type="character" w:styleId="Hipersaite">
    <w:name w:val="Hyperlink"/>
    <w:rsid w:val="00DD0703"/>
    <w:rPr>
      <w:color w:val="0000FF"/>
      <w:u w:val="single"/>
    </w:rPr>
  </w:style>
  <w:style w:type="paragraph" w:styleId="Kjene">
    <w:name w:val="footer"/>
    <w:basedOn w:val="Parasts"/>
    <w:link w:val="KjeneRakstz"/>
    <w:rsid w:val="00793251"/>
    <w:pPr>
      <w:tabs>
        <w:tab w:val="center" w:pos="4153"/>
        <w:tab w:val="right" w:pos="8306"/>
      </w:tabs>
    </w:pPr>
  </w:style>
  <w:style w:type="character" w:customStyle="1" w:styleId="KjeneRakstz">
    <w:name w:val="Kājene Rakstz."/>
    <w:basedOn w:val="Noklusjumarindkopasfonts"/>
    <w:link w:val="Kjene"/>
    <w:rsid w:val="00793251"/>
    <w:rPr>
      <w:rFonts w:cs="Arial Unicode MS"/>
      <w:lang w:val="en-AU" w:eastAsia="en-US" w:bidi="lo-LA"/>
    </w:rPr>
  </w:style>
  <w:style w:type="paragraph" w:customStyle="1" w:styleId="naiskr">
    <w:name w:val="naiskr"/>
    <w:basedOn w:val="Parasts"/>
    <w:rsid w:val="00030C42"/>
    <w:pPr>
      <w:spacing w:before="75" w:after="75"/>
    </w:pPr>
    <w:rPr>
      <w:rFonts w:cs="Times New Roman"/>
      <w:sz w:val="24"/>
      <w:szCs w:val="24"/>
      <w:lang w:val="lv-LV" w:eastAsia="lv-LV" w:bidi="ar-SA"/>
    </w:rPr>
  </w:style>
  <w:style w:type="paragraph" w:styleId="Balonteksts">
    <w:name w:val="Balloon Text"/>
    <w:basedOn w:val="Parasts"/>
    <w:link w:val="BalontekstsRakstz"/>
    <w:rsid w:val="00504AE1"/>
    <w:rPr>
      <w:rFonts w:ascii="Tahoma" w:hAnsi="Tahoma" w:cs="Tahoma"/>
      <w:sz w:val="16"/>
      <w:szCs w:val="16"/>
    </w:rPr>
  </w:style>
  <w:style w:type="character" w:customStyle="1" w:styleId="BalontekstsRakstz">
    <w:name w:val="Balonteksts Rakstz."/>
    <w:basedOn w:val="Noklusjumarindkopasfonts"/>
    <w:link w:val="Balonteksts"/>
    <w:rsid w:val="00504AE1"/>
    <w:rPr>
      <w:rFonts w:ascii="Tahoma" w:hAnsi="Tahoma" w:cs="Tahoma"/>
      <w:sz w:val="16"/>
      <w:szCs w:val="16"/>
      <w:lang w:val="en-AU" w:eastAsia="en-US" w:bidi="lo-LA"/>
    </w:rPr>
  </w:style>
  <w:style w:type="paragraph" w:customStyle="1" w:styleId="tv2131">
    <w:name w:val="tv2131"/>
    <w:basedOn w:val="Parasts"/>
    <w:rsid w:val="00966A51"/>
    <w:pPr>
      <w:spacing w:line="360" w:lineRule="auto"/>
      <w:ind w:firstLine="300"/>
    </w:pPr>
    <w:rPr>
      <w:rFonts w:cs="Times New Roman"/>
      <w:color w:val="414142"/>
      <w:lang w:val="lv-LV" w:eastAsia="lv-LV" w:bidi="ar-SA"/>
    </w:rPr>
  </w:style>
  <w:style w:type="character" w:styleId="Komentraatsauce">
    <w:name w:val="annotation reference"/>
    <w:basedOn w:val="Noklusjumarindkopasfonts"/>
    <w:rsid w:val="00FA69E4"/>
    <w:rPr>
      <w:sz w:val="16"/>
      <w:szCs w:val="16"/>
    </w:rPr>
  </w:style>
  <w:style w:type="paragraph" w:styleId="Komentrateksts">
    <w:name w:val="annotation text"/>
    <w:basedOn w:val="Parasts"/>
    <w:link w:val="KomentratekstsRakstz"/>
    <w:rsid w:val="00FA69E4"/>
  </w:style>
  <w:style w:type="character" w:customStyle="1" w:styleId="KomentratekstsRakstz">
    <w:name w:val="Komentāra teksts Rakstz."/>
    <w:basedOn w:val="Noklusjumarindkopasfonts"/>
    <w:link w:val="Komentrateksts"/>
    <w:rsid w:val="00FA69E4"/>
    <w:rPr>
      <w:rFonts w:cs="Arial Unicode MS"/>
      <w:lang w:val="en-AU" w:eastAsia="en-US" w:bidi="lo-LA"/>
    </w:rPr>
  </w:style>
  <w:style w:type="paragraph" w:styleId="Komentratma">
    <w:name w:val="annotation subject"/>
    <w:basedOn w:val="Komentrateksts"/>
    <w:next w:val="Komentrateksts"/>
    <w:link w:val="KomentratmaRakstz"/>
    <w:rsid w:val="00FA69E4"/>
    <w:rPr>
      <w:b/>
      <w:bCs/>
    </w:rPr>
  </w:style>
  <w:style w:type="character" w:customStyle="1" w:styleId="KomentratmaRakstz">
    <w:name w:val="Komentāra tēma Rakstz."/>
    <w:basedOn w:val="KomentratekstsRakstz"/>
    <w:link w:val="Komentratma"/>
    <w:rsid w:val="00FA69E4"/>
    <w:rPr>
      <w:rFonts w:cs="Arial Unicode MS"/>
      <w:b/>
      <w:bCs/>
      <w:lang w:val="en-AU" w:eastAsia="en-US" w:bidi="lo-LA"/>
    </w:rPr>
  </w:style>
  <w:style w:type="paragraph" w:customStyle="1" w:styleId="naisc">
    <w:name w:val="naisc"/>
    <w:basedOn w:val="Parasts"/>
    <w:rsid w:val="00C57B32"/>
    <w:pPr>
      <w:spacing w:before="75" w:after="75"/>
      <w:jc w:val="center"/>
    </w:pPr>
    <w:rPr>
      <w:rFonts w:cs="Times New Roman"/>
      <w:sz w:val="24"/>
      <w:szCs w:val="24"/>
      <w:lang w:val="lv-LV" w:eastAsia="lv-LV" w:bidi="ar-SA"/>
    </w:rPr>
  </w:style>
  <w:style w:type="paragraph" w:styleId="Bezatstarpm">
    <w:name w:val="No Spacing"/>
    <w:uiPriority w:val="1"/>
    <w:qFormat/>
    <w:rsid w:val="00DB04E0"/>
    <w:rPr>
      <w:rFonts w:ascii="Calibri" w:eastAsia="Calibri" w:hAnsi="Calibri"/>
      <w:sz w:val="22"/>
      <w:szCs w:val="22"/>
      <w:lang w:eastAsia="en-US"/>
    </w:rPr>
  </w:style>
  <w:style w:type="character" w:styleId="Vietturateksts">
    <w:name w:val="Placeholder Text"/>
    <w:basedOn w:val="Noklusjumarindkopasfonts"/>
    <w:uiPriority w:val="99"/>
    <w:semiHidden/>
    <w:rsid w:val="00253DD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rFonts w:cs="Arial Unicode MS"/>
      <w:lang w:val="en-AU" w:eastAsia="en-US"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630A0"/>
    <w:pPr>
      <w:ind w:left="720"/>
      <w:contextualSpacing/>
    </w:pPr>
  </w:style>
  <w:style w:type="paragraph" w:customStyle="1" w:styleId="naisnod">
    <w:name w:val="naisnod"/>
    <w:basedOn w:val="Parasts"/>
    <w:rsid w:val="00E20B65"/>
    <w:pPr>
      <w:spacing w:before="150" w:after="150"/>
      <w:jc w:val="center"/>
    </w:pPr>
    <w:rPr>
      <w:rFonts w:cs="Times New Roman"/>
      <w:b/>
      <w:bCs/>
      <w:sz w:val="24"/>
      <w:szCs w:val="24"/>
      <w:lang w:val="lv-LV" w:eastAsia="lv-LV" w:bidi="ar-SA"/>
    </w:rPr>
  </w:style>
  <w:style w:type="paragraph" w:styleId="Galvene">
    <w:name w:val="header"/>
    <w:basedOn w:val="Parasts"/>
    <w:link w:val="GalveneRakstz"/>
    <w:rsid w:val="00DD0703"/>
    <w:pPr>
      <w:tabs>
        <w:tab w:val="center" w:pos="4153"/>
        <w:tab w:val="right" w:pos="8306"/>
      </w:tabs>
    </w:pPr>
    <w:rPr>
      <w:rFonts w:cs="Times New Roman"/>
      <w:sz w:val="24"/>
      <w:szCs w:val="24"/>
      <w:lang w:val="lv-LV" w:eastAsia="lv-LV" w:bidi="ar-SA"/>
    </w:rPr>
  </w:style>
  <w:style w:type="character" w:customStyle="1" w:styleId="GalveneRakstz">
    <w:name w:val="Galvene Rakstz."/>
    <w:basedOn w:val="Noklusjumarindkopasfonts"/>
    <w:link w:val="Galvene"/>
    <w:rsid w:val="00DD0703"/>
    <w:rPr>
      <w:sz w:val="24"/>
      <w:szCs w:val="24"/>
    </w:rPr>
  </w:style>
  <w:style w:type="character" w:styleId="Hipersaite">
    <w:name w:val="Hyperlink"/>
    <w:rsid w:val="00DD0703"/>
    <w:rPr>
      <w:color w:val="0000FF"/>
      <w:u w:val="single"/>
    </w:rPr>
  </w:style>
  <w:style w:type="paragraph" w:styleId="Kjene">
    <w:name w:val="footer"/>
    <w:basedOn w:val="Parasts"/>
    <w:link w:val="KjeneRakstz"/>
    <w:rsid w:val="00793251"/>
    <w:pPr>
      <w:tabs>
        <w:tab w:val="center" w:pos="4153"/>
        <w:tab w:val="right" w:pos="8306"/>
      </w:tabs>
    </w:pPr>
  </w:style>
  <w:style w:type="character" w:customStyle="1" w:styleId="KjeneRakstz">
    <w:name w:val="Kājene Rakstz."/>
    <w:basedOn w:val="Noklusjumarindkopasfonts"/>
    <w:link w:val="Kjene"/>
    <w:rsid w:val="00793251"/>
    <w:rPr>
      <w:rFonts w:cs="Arial Unicode MS"/>
      <w:lang w:val="en-AU" w:eastAsia="en-US" w:bidi="lo-LA"/>
    </w:rPr>
  </w:style>
  <w:style w:type="paragraph" w:customStyle="1" w:styleId="naiskr">
    <w:name w:val="naiskr"/>
    <w:basedOn w:val="Parasts"/>
    <w:rsid w:val="00030C42"/>
    <w:pPr>
      <w:spacing w:before="75" w:after="75"/>
    </w:pPr>
    <w:rPr>
      <w:rFonts w:cs="Times New Roman"/>
      <w:sz w:val="24"/>
      <w:szCs w:val="24"/>
      <w:lang w:val="lv-LV" w:eastAsia="lv-LV" w:bidi="ar-SA"/>
    </w:rPr>
  </w:style>
  <w:style w:type="paragraph" w:styleId="Balonteksts">
    <w:name w:val="Balloon Text"/>
    <w:basedOn w:val="Parasts"/>
    <w:link w:val="BalontekstsRakstz"/>
    <w:rsid w:val="00504AE1"/>
    <w:rPr>
      <w:rFonts w:ascii="Tahoma" w:hAnsi="Tahoma" w:cs="Tahoma"/>
      <w:sz w:val="16"/>
      <w:szCs w:val="16"/>
    </w:rPr>
  </w:style>
  <w:style w:type="character" w:customStyle="1" w:styleId="BalontekstsRakstz">
    <w:name w:val="Balonteksts Rakstz."/>
    <w:basedOn w:val="Noklusjumarindkopasfonts"/>
    <w:link w:val="Balonteksts"/>
    <w:rsid w:val="00504AE1"/>
    <w:rPr>
      <w:rFonts w:ascii="Tahoma" w:hAnsi="Tahoma" w:cs="Tahoma"/>
      <w:sz w:val="16"/>
      <w:szCs w:val="16"/>
      <w:lang w:val="en-AU" w:eastAsia="en-US" w:bidi="lo-LA"/>
    </w:rPr>
  </w:style>
  <w:style w:type="paragraph" w:customStyle="1" w:styleId="tv2131">
    <w:name w:val="tv2131"/>
    <w:basedOn w:val="Parasts"/>
    <w:rsid w:val="00966A51"/>
    <w:pPr>
      <w:spacing w:line="360" w:lineRule="auto"/>
      <w:ind w:firstLine="300"/>
    </w:pPr>
    <w:rPr>
      <w:rFonts w:cs="Times New Roman"/>
      <w:color w:val="414142"/>
      <w:lang w:val="lv-LV" w:eastAsia="lv-LV" w:bidi="ar-SA"/>
    </w:rPr>
  </w:style>
  <w:style w:type="character" w:styleId="Komentraatsauce">
    <w:name w:val="annotation reference"/>
    <w:basedOn w:val="Noklusjumarindkopasfonts"/>
    <w:rsid w:val="00FA69E4"/>
    <w:rPr>
      <w:sz w:val="16"/>
      <w:szCs w:val="16"/>
    </w:rPr>
  </w:style>
  <w:style w:type="paragraph" w:styleId="Komentrateksts">
    <w:name w:val="annotation text"/>
    <w:basedOn w:val="Parasts"/>
    <w:link w:val="KomentratekstsRakstz"/>
    <w:rsid w:val="00FA69E4"/>
  </w:style>
  <w:style w:type="character" w:customStyle="1" w:styleId="KomentratekstsRakstz">
    <w:name w:val="Komentāra teksts Rakstz."/>
    <w:basedOn w:val="Noklusjumarindkopasfonts"/>
    <w:link w:val="Komentrateksts"/>
    <w:rsid w:val="00FA69E4"/>
    <w:rPr>
      <w:rFonts w:cs="Arial Unicode MS"/>
      <w:lang w:val="en-AU" w:eastAsia="en-US" w:bidi="lo-LA"/>
    </w:rPr>
  </w:style>
  <w:style w:type="paragraph" w:styleId="Komentratma">
    <w:name w:val="annotation subject"/>
    <w:basedOn w:val="Komentrateksts"/>
    <w:next w:val="Komentrateksts"/>
    <w:link w:val="KomentratmaRakstz"/>
    <w:rsid w:val="00FA69E4"/>
    <w:rPr>
      <w:b/>
      <w:bCs/>
    </w:rPr>
  </w:style>
  <w:style w:type="character" w:customStyle="1" w:styleId="KomentratmaRakstz">
    <w:name w:val="Komentāra tēma Rakstz."/>
    <w:basedOn w:val="KomentratekstsRakstz"/>
    <w:link w:val="Komentratma"/>
    <w:rsid w:val="00FA69E4"/>
    <w:rPr>
      <w:rFonts w:cs="Arial Unicode MS"/>
      <w:b/>
      <w:bCs/>
      <w:lang w:val="en-AU" w:eastAsia="en-US" w:bidi="lo-LA"/>
    </w:rPr>
  </w:style>
  <w:style w:type="paragraph" w:customStyle="1" w:styleId="naisc">
    <w:name w:val="naisc"/>
    <w:basedOn w:val="Parasts"/>
    <w:rsid w:val="00C57B32"/>
    <w:pPr>
      <w:spacing w:before="75" w:after="75"/>
      <w:jc w:val="center"/>
    </w:pPr>
    <w:rPr>
      <w:rFonts w:cs="Times New Roman"/>
      <w:sz w:val="24"/>
      <w:szCs w:val="24"/>
      <w:lang w:val="lv-LV" w:eastAsia="lv-LV" w:bidi="ar-SA"/>
    </w:rPr>
  </w:style>
  <w:style w:type="paragraph" w:styleId="Bezatstarpm">
    <w:name w:val="No Spacing"/>
    <w:uiPriority w:val="1"/>
    <w:qFormat/>
    <w:rsid w:val="00DB04E0"/>
    <w:rPr>
      <w:rFonts w:ascii="Calibri" w:eastAsia="Calibri" w:hAnsi="Calibri"/>
      <w:sz w:val="22"/>
      <w:szCs w:val="22"/>
      <w:lang w:eastAsia="en-US"/>
    </w:rPr>
  </w:style>
  <w:style w:type="character" w:styleId="Vietturateksts">
    <w:name w:val="Placeholder Text"/>
    <w:basedOn w:val="Noklusjumarindkopasfonts"/>
    <w:uiPriority w:val="99"/>
    <w:semiHidden/>
    <w:rsid w:val="00253D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 w:id="16116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F9BF6-19BC-49B0-A70D-B8DA57B2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1236</Words>
  <Characters>8533</Characters>
  <Application>Microsoft Office Word</Application>
  <DocSecurity>0</DocSecurity>
  <Lines>387</Lines>
  <Paragraphs>222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atļauju Aizsardzības ministrijai uzņemties ilgtermiņa saistības un nodrošināt Ziemeļatlantijas līguma organizācijas vadīto spēku klātbūtni Latvijas Republikā valsts drošības un aizsardzības spēju stiprināšanai mier</vt:lpstr>
      <vt:lpstr>Ministru kabineta rīkojuma projekta “Par atļauju Aizsardzības ministrijai uzņemties ilgtermiņa saistības un nodrošināt Ziemeļatlantijas līguma organizācijas vadīto spēku klātbūtni Latvijas Republikā valsts drošības un aizsardzības spēju stiprināšanai mier</vt:lpstr>
    </vt:vector>
  </TitlesOfParts>
  <Manager>Aizsardzības ministrija</Manager>
  <Company>Aizsardzības ministrija</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Aizsardzības ministrijai uzņemties ilgtermiņa saistības un nodrošināt Ziemeļatlantijas līguma organizācijas vadīto spēku klātbūtni Latvijas Republikā valsts drošības un aizsardzības spēju stiprināšanai miera laikā” sākotnējās ietekmes novērtējuma ziņojums (anotācija)</dc:title>
  <dc:subject>anotācija</dc:subject>
  <dc:creator>Agnese Aispure</dc:creator>
  <dc:description>Agnese.Aispure@mod.gov.lv; 67335297</dc:description>
  <cp:lastModifiedBy>Agnese Aispure</cp:lastModifiedBy>
  <cp:revision>4</cp:revision>
  <cp:lastPrinted>2017-04-07T08:13:00Z</cp:lastPrinted>
  <dcterms:created xsi:type="dcterms:W3CDTF">2017-04-06T10:50:00Z</dcterms:created>
  <dcterms:modified xsi:type="dcterms:W3CDTF">2017-04-07T08:15:00Z</dcterms:modified>
</cp:coreProperties>
</file>