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424C5" w14:textId="5F9264A1" w:rsidR="001A3F49" w:rsidRPr="001A3F49" w:rsidRDefault="00193E45" w:rsidP="00144005">
      <w:pPr>
        <w:jc w:val="center"/>
        <w:rPr>
          <w:b/>
          <w:bCs/>
          <w:sz w:val="28"/>
          <w:szCs w:val="28"/>
        </w:rPr>
      </w:pPr>
      <w:bookmarkStart w:id="0" w:name="OLE_LINK3"/>
      <w:bookmarkStart w:id="1" w:name="OLE_LINK4"/>
      <w:bookmarkStart w:id="2" w:name="OLE_LINK5"/>
      <w:bookmarkStart w:id="3" w:name="OLE_LINK1"/>
      <w:bookmarkStart w:id="4" w:name="OLE_LINK2"/>
      <w:r w:rsidRPr="00E52C93">
        <w:rPr>
          <w:b/>
          <w:sz w:val="28"/>
          <w:szCs w:val="28"/>
        </w:rPr>
        <w:t>Ministru kabineta noteikumu projekta „</w:t>
      </w:r>
      <w:r w:rsidR="00532411">
        <w:rPr>
          <w:b/>
          <w:sz w:val="28"/>
          <w:szCs w:val="28"/>
        </w:rPr>
        <w:t xml:space="preserve">Grozījumi </w:t>
      </w:r>
      <w:r w:rsidR="00144005" w:rsidRPr="00C24CC1">
        <w:rPr>
          <w:b/>
          <w:sz w:val="28"/>
          <w:szCs w:val="28"/>
        </w:rPr>
        <w:t xml:space="preserve">Ministru kabineta 2011.gada 19.aprīļa noteikumos Nr.312 </w:t>
      </w:r>
      <w:r w:rsidR="000B2EDC" w:rsidRPr="00E52C93">
        <w:rPr>
          <w:b/>
          <w:sz w:val="28"/>
          <w:szCs w:val="28"/>
        </w:rPr>
        <w:t>„</w:t>
      </w:r>
      <w:r w:rsidR="00144005" w:rsidRPr="00755A23">
        <w:rPr>
          <w:b/>
          <w:sz w:val="28"/>
          <w:szCs w:val="28"/>
        </w:rPr>
        <w:t>Enerģijas lietotāju apgādes un kurināmā pārdošanas kārtība izsludinātas enerģētiskās krīzes laikā un valsts apdraudējuma gadījumā</w:t>
      </w:r>
      <w:r w:rsidR="00144005">
        <w:rPr>
          <w:b/>
          <w:sz w:val="28"/>
          <w:szCs w:val="28"/>
        </w:rPr>
        <w:t>”</w:t>
      </w:r>
      <w:r w:rsidRPr="00E52C93">
        <w:rPr>
          <w:b/>
          <w:sz w:val="28"/>
          <w:szCs w:val="28"/>
        </w:rPr>
        <w:t xml:space="preserve">” sākotnējās ietekmes novērtējuma </w:t>
      </w:r>
      <w:smartTag w:uri="schemas-tilde-lv/tildestengine" w:element="veidnes">
        <w:smartTagPr>
          <w:attr w:name="text" w:val="ziņojums"/>
          <w:attr w:name="baseform" w:val="ziņojums"/>
          <w:attr w:name="id" w:val="-1"/>
        </w:smartTagPr>
        <w:r w:rsidRPr="00E52C93">
          <w:rPr>
            <w:b/>
            <w:sz w:val="28"/>
            <w:szCs w:val="28"/>
          </w:rPr>
          <w:t>ziņojums</w:t>
        </w:r>
      </w:smartTag>
      <w:r w:rsidRPr="00E52C93">
        <w:rPr>
          <w:b/>
          <w:sz w:val="28"/>
          <w:szCs w:val="28"/>
        </w:rPr>
        <w:t xml:space="preserve"> (</w:t>
      </w:r>
      <w:r w:rsidRPr="00E52C93">
        <w:rPr>
          <w:b/>
          <w:bCs/>
          <w:sz w:val="28"/>
          <w:szCs w:val="28"/>
        </w:rPr>
        <w:t>anotācija)</w:t>
      </w:r>
      <w:bookmarkEnd w:id="0"/>
      <w:bookmarkEnd w:id="1"/>
      <w:bookmarkEnd w:id="2"/>
      <w:bookmarkEnd w:id="3"/>
      <w:bookmarkEnd w:id="4"/>
    </w:p>
    <w:p w14:paraId="24F35AAE" w14:textId="77777777" w:rsidR="00193E45" w:rsidRPr="00882A82" w:rsidRDefault="00193E45" w:rsidP="00193E45">
      <w:pPr>
        <w:tabs>
          <w:tab w:val="left" w:pos="7230"/>
        </w:tabs>
        <w:rPr>
          <w:color w:val="FF0000"/>
          <w:sz w:val="26"/>
          <w:szCs w:val="26"/>
        </w:rPr>
      </w:pPr>
    </w:p>
    <w:tbl>
      <w:tblPr>
        <w:tblW w:w="93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2717"/>
        <w:gridCol w:w="6095"/>
      </w:tblGrid>
      <w:tr w:rsidR="00193E45" w:rsidRPr="00912A6D" w14:paraId="1101719D" w14:textId="77777777" w:rsidTr="00EA4D18">
        <w:tc>
          <w:tcPr>
            <w:tcW w:w="9336" w:type="dxa"/>
            <w:gridSpan w:val="3"/>
            <w:vAlign w:val="center"/>
          </w:tcPr>
          <w:p w14:paraId="26EA9922" w14:textId="77777777" w:rsidR="00193E45" w:rsidRPr="00912A6D" w:rsidRDefault="00193E45" w:rsidP="00912A6D">
            <w:pPr>
              <w:jc w:val="center"/>
              <w:rPr>
                <w:sz w:val="28"/>
                <w:szCs w:val="28"/>
              </w:rPr>
            </w:pPr>
            <w:r w:rsidRPr="00912A6D">
              <w:rPr>
                <w:b/>
                <w:sz w:val="28"/>
                <w:szCs w:val="28"/>
              </w:rPr>
              <w:t>I. Tiesību akta projekta izstrādes nepieciešamība</w:t>
            </w:r>
          </w:p>
        </w:tc>
      </w:tr>
      <w:tr w:rsidR="00193E45" w:rsidRPr="00912A6D" w14:paraId="41A8FA4D" w14:textId="77777777" w:rsidTr="00E103DD">
        <w:trPr>
          <w:trHeight w:val="439"/>
        </w:trPr>
        <w:tc>
          <w:tcPr>
            <w:tcW w:w="524" w:type="dxa"/>
          </w:tcPr>
          <w:p w14:paraId="7F7059B7" w14:textId="77777777" w:rsidR="00193E45" w:rsidRPr="00912A6D" w:rsidRDefault="00193E45" w:rsidP="00912A6D">
            <w:pPr>
              <w:ind w:left="57" w:right="57"/>
              <w:rPr>
                <w:sz w:val="28"/>
                <w:szCs w:val="28"/>
              </w:rPr>
            </w:pPr>
            <w:r w:rsidRPr="00912A6D">
              <w:rPr>
                <w:sz w:val="28"/>
                <w:szCs w:val="28"/>
              </w:rPr>
              <w:t> 1.</w:t>
            </w:r>
          </w:p>
        </w:tc>
        <w:tc>
          <w:tcPr>
            <w:tcW w:w="2717" w:type="dxa"/>
          </w:tcPr>
          <w:p w14:paraId="142EBED7" w14:textId="77777777" w:rsidR="00193E45" w:rsidRPr="00912A6D" w:rsidRDefault="00193E45" w:rsidP="00F22A3C">
            <w:pPr>
              <w:ind w:left="57" w:right="57"/>
              <w:jc w:val="both"/>
              <w:rPr>
                <w:sz w:val="28"/>
                <w:szCs w:val="28"/>
              </w:rPr>
            </w:pPr>
            <w:r w:rsidRPr="00912A6D">
              <w:rPr>
                <w:sz w:val="28"/>
                <w:szCs w:val="28"/>
              </w:rPr>
              <w:t>Pamatojums</w:t>
            </w:r>
          </w:p>
        </w:tc>
        <w:tc>
          <w:tcPr>
            <w:tcW w:w="6095" w:type="dxa"/>
          </w:tcPr>
          <w:p w14:paraId="6C4C3207" w14:textId="77777777" w:rsidR="00193E45" w:rsidRDefault="00C424CF" w:rsidP="00701AB6">
            <w:pPr>
              <w:ind w:right="151"/>
              <w:jc w:val="both"/>
              <w:rPr>
                <w:sz w:val="28"/>
                <w:szCs w:val="28"/>
              </w:rPr>
            </w:pPr>
            <w:r>
              <w:rPr>
                <w:sz w:val="28"/>
                <w:szCs w:val="28"/>
              </w:rPr>
              <w:t xml:space="preserve">      </w:t>
            </w:r>
            <w:r w:rsidR="00193E45" w:rsidRPr="00912A6D">
              <w:rPr>
                <w:sz w:val="28"/>
                <w:szCs w:val="28"/>
              </w:rPr>
              <w:t xml:space="preserve">Ministru kabineta noteikumu projekts </w:t>
            </w:r>
            <w:r w:rsidR="0003048F" w:rsidRPr="0003048F">
              <w:rPr>
                <w:sz w:val="28"/>
                <w:szCs w:val="28"/>
              </w:rPr>
              <w:t>„</w:t>
            </w:r>
            <w:r w:rsidR="00532411" w:rsidRPr="0003048F">
              <w:rPr>
                <w:sz w:val="28"/>
                <w:szCs w:val="28"/>
              </w:rPr>
              <w:t>Grozījum</w:t>
            </w:r>
            <w:r w:rsidR="00532411">
              <w:rPr>
                <w:sz w:val="28"/>
                <w:szCs w:val="28"/>
              </w:rPr>
              <w:t>i</w:t>
            </w:r>
            <w:r w:rsidR="00532411" w:rsidRPr="0003048F">
              <w:rPr>
                <w:sz w:val="28"/>
                <w:szCs w:val="28"/>
              </w:rPr>
              <w:t xml:space="preserve"> </w:t>
            </w:r>
            <w:r w:rsidR="0003048F" w:rsidRPr="0003048F">
              <w:rPr>
                <w:sz w:val="28"/>
                <w:szCs w:val="28"/>
              </w:rPr>
              <w:t>Ministru kabineta 2011.gada 19.aprīļa noteikumos Nr.312 „Enerģijas lietotāju apgādes un kurināmā pārdošanas kārtība izsludinātas enerģētiskās krīzes laikā un valsts apdraudējuma gadījumā””</w:t>
            </w:r>
            <w:r w:rsidR="0032711D" w:rsidRPr="00912A6D">
              <w:rPr>
                <w:sz w:val="28"/>
                <w:szCs w:val="28"/>
              </w:rPr>
              <w:t xml:space="preserve"> </w:t>
            </w:r>
            <w:r w:rsidR="00193E45" w:rsidRPr="00912A6D">
              <w:rPr>
                <w:sz w:val="28"/>
                <w:szCs w:val="28"/>
              </w:rPr>
              <w:t xml:space="preserve">(turpmāk – </w:t>
            </w:r>
            <w:r w:rsidR="00CA2D4F" w:rsidRPr="00912A6D">
              <w:rPr>
                <w:sz w:val="28"/>
                <w:szCs w:val="28"/>
              </w:rPr>
              <w:t>noteikum</w:t>
            </w:r>
            <w:r w:rsidR="00CA2D4F">
              <w:rPr>
                <w:sz w:val="28"/>
                <w:szCs w:val="28"/>
              </w:rPr>
              <w:t>u projekts</w:t>
            </w:r>
            <w:r w:rsidR="00193E45" w:rsidRPr="00912A6D">
              <w:rPr>
                <w:sz w:val="28"/>
                <w:szCs w:val="28"/>
              </w:rPr>
              <w:t xml:space="preserve">) tiek </w:t>
            </w:r>
            <w:r w:rsidR="00D97223" w:rsidRPr="00912A6D">
              <w:rPr>
                <w:sz w:val="28"/>
                <w:szCs w:val="28"/>
              </w:rPr>
              <w:t>izdot</w:t>
            </w:r>
            <w:r w:rsidR="00CA2D4F">
              <w:rPr>
                <w:sz w:val="28"/>
                <w:szCs w:val="28"/>
              </w:rPr>
              <w:t>s</w:t>
            </w:r>
            <w:r w:rsidR="00D97223" w:rsidRPr="00912A6D">
              <w:rPr>
                <w:sz w:val="28"/>
                <w:szCs w:val="28"/>
              </w:rPr>
              <w:t xml:space="preserve"> </w:t>
            </w:r>
            <w:r w:rsidR="00193E45" w:rsidRPr="00912A6D">
              <w:rPr>
                <w:sz w:val="28"/>
                <w:szCs w:val="28"/>
              </w:rPr>
              <w:t xml:space="preserve">saskaņā </w:t>
            </w:r>
            <w:r w:rsidR="0003048F" w:rsidRPr="00E94581">
              <w:rPr>
                <w:sz w:val="28"/>
                <w:szCs w:val="28"/>
              </w:rPr>
              <w:t>ar Enerģētikas likuma 64.panta pirmo daļu</w:t>
            </w:r>
            <w:r w:rsidR="00701AB6" w:rsidRPr="009F1CDE">
              <w:rPr>
                <w:sz w:val="28"/>
                <w:szCs w:val="28"/>
              </w:rPr>
              <w:t xml:space="preserve"> un 73.pantu</w:t>
            </w:r>
            <w:r w:rsidR="00701AB6">
              <w:rPr>
                <w:sz w:val="28"/>
                <w:szCs w:val="28"/>
              </w:rPr>
              <w:t>.</w:t>
            </w:r>
          </w:p>
          <w:p w14:paraId="605BED3C" w14:textId="090D7C83" w:rsidR="00AA6C17" w:rsidRPr="00912A6D" w:rsidRDefault="00AA6C17" w:rsidP="00701AB6">
            <w:pPr>
              <w:ind w:right="151"/>
              <w:jc w:val="both"/>
              <w:rPr>
                <w:sz w:val="28"/>
                <w:szCs w:val="28"/>
              </w:rPr>
            </w:pPr>
          </w:p>
        </w:tc>
      </w:tr>
      <w:tr w:rsidR="00193E45" w:rsidRPr="00912A6D" w14:paraId="35DE8E50" w14:textId="77777777" w:rsidTr="00E103DD">
        <w:trPr>
          <w:trHeight w:val="561"/>
        </w:trPr>
        <w:tc>
          <w:tcPr>
            <w:tcW w:w="524" w:type="dxa"/>
          </w:tcPr>
          <w:p w14:paraId="0A973E35" w14:textId="77777777" w:rsidR="00193E45" w:rsidRPr="00912A6D" w:rsidRDefault="00193E45" w:rsidP="00912A6D">
            <w:pPr>
              <w:ind w:left="57" w:right="57"/>
              <w:rPr>
                <w:sz w:val="28"/>
                <w:szCs w:val="28"/>
              </w:rPr>
            </w:pPr>
            <w:r w:rsidRPr="00912A6D">
              <w:rPr>
                <w:sz w:val="28"/>
                <w:szCs w:val="28"/>
              </w:rPr>
              <w:t> 2.</w:t>
            </w:r>
          </w:p>
        </w:tc>
        <w:tc>
          <w:tcPr>
            <w:tcW w:w="2717" w:type="dxa"/>
          </w:tcPr>
          <w:p w14:paraId="673A2FBF" w14:textId="2B5F5541" w:rsidR="007A3099" w:rsidRDefault="00193E45" w:rsidP="00F22A3C">
            <w:pPr>
              <w:ind w:left="57" w:right="57"/>
              <w:jc w:val="both"/>
              <w:rPr>
                <w:sz w:val="28"/>
                <w:szCs w:val="28"/>
              </w:rPr>
            </w:pPr>
            <w:r w:rsidRPr="00912A6D">
              <w:rPr>
                <w:sz w:val="28"/>
                <w:szCs w:val="28"/>
              </w:rPr>
              <w:t>Pašreizējā situācija un problēmas, kuru risināšanai tiesību akta projekts izstrādāts, tiesiskā regulējuma mērķis un būtība</w:t>
            </w:r>
          </w:p>
          <w:p w14:paraId="15F02CBB" w14:textId="77777777" w:rsidR="007A3099" w:rsidRPr="007A3099" w:rsidRDefault="007A3099" w:rsidP="007A3099">
            <w:pPr>
              <w:rPr>
                <w:sz w:val="28"/>
                <w:szCs w:val="28"/>
              </w:rPr>
            </w:pPr>
          </w:p>
          <w:p w14:paraId="6183794A" w14:textId="77777777" w:rsidR="007A3099" w:rsidRPr="007A3099" w:rsidRDefault="007A3099" w:rsidP="007A3099">
            <w:pPr>
              <w:rPr>
                <w:sz w:val="28"/>
                <w:szCs w:val="28"/>
              </w:rPr>
            </w:pPr>
          </w:p>
          <w:p w14:paraId="6C006E39" w14:textId="77777777" w:rsidR="007A3099" w:rsidRPr="007A3099" w:rsidRDefault="007A3099" w:rsidP="007A3099">
            <w:pPr>
              <w:rPr>
                <w:sz w:val="28"/>
                <w:szCs w:val="28"/>
              </w:rPr>
            </w:pPr>
          </w:p>
          <w:p w14:paraId="546FD7F0" w14:textId="77777777" w:rsidR="007A3099" w:rsidRPr="007A3099" w:rsidRDefault="007A3099" w:rsidP="007A3099">
            <w:pPr>
              <w:rPr>
                <w:sz w:val="28"/>
                <w:szCs w:val="28"/>
              </w:rPr>
            </w:pPr>
          </w:p>
          <w:p w14:paraId="04C19308" w14:textId="77777777" w:rsidR="007A3099" w:rsidRPr="007A3099" w:rsidRDefault="007A3099" w:rsidP="007A3099">
            <w:pPr>
              <w:rPr>
                <w:sz w:val="28"/>
                <w:szCs w:val="28"/>
              </w:rPr>
            </w:pPr>
          </w:p>
          <w:p w14:paraId="54563D2D" w14:textId="77777777" w:rsidR="007A3099" w:rsidRPr="007A3099" w:rsidRDefault="007A3099" w:rsidP="007A3099">
            <w:pPr>
              <w:rPr>
                <w:sz w:val="28"/>
                <w:szCs w:val="28"/>
              </w:rPr>
            </w:pPr>
          </w:p>
          <w:p w14:paraId="3E75CC23" w14:textId="77777777" w:rsidR="007A3099" w:rsidRPr="007A3099" w:rsidRDefault="007A3099" w:rsidP="007A3099">
            <w:pPr>
              <w:rPr>
                <w:sz w:val="28"/>
                <w:szCs w:val="28"/>
              </w:rPr>
            </w:pPr>
          </w:p>
          <w:p w14:paraId="03566A38" w14:textId="482533BB" w:rsidR="007A3099" w:rsidRDefault="007A3099" w:rsidP="007A3099">
            <w:pPr>
              <w:rPr>
                <w:sz w:val="28"/>
                <w:szCs w:val="28"/>
              </w:rPr>
            </w:pPr>
          </w:p>
          <w:p w14:paraId="563E5EAE" w14:textId="6A3878F0" w:rsidR="00CF0E64" w:rsidRDefault="00CF0E64" w:rsidP="007A3099">
            <w:pPr>
              <w:rPr>
                <w:sz w:val="28"/>
                <w:szCs w:val="28"/>
              </w:rPr>
            </w:pPr>
          </w:p>
          <w:p w14:paraId="083AA99C" w14:textId="77777777" w:rsidR="00CF0E64" w:rsidRPr="00CF0E64" w:rsidRDefault="00CF0E64" w:rsidP="00CF0E64">
            <w:pPr>
              <w:rPr>
                <w:sz w:val="28"/>
                <w:szCs w:val="28"/>
              </w:rPr>
            </w:pPr>
          </w:p>
          <w:p w14:paraId="2E4714FC" w14:textId="77777777" w:rsidR="00CF0E64" w:rsidRPr="00CF0E64" w:rsidRDefault="00CF0E64" w:rsidP="00CF0E64">
            <w:pPr>
              <w:rPr>
                <w:sz w:val="28"/>
                <w:szCs w:val="28"/>
              </w:rPr>
            </w:pPr>
          </w:p>
          <w:p w14:paraId="3BE0BED1" w14:textId="77777777" w:rsidR="00CF0E64" w:rsidRPr="00CF0E64" w:rsidRDefault="00CF0E64" w:rsidP="00CF0E64">
            <w:pPr>
              <w:rPr>
                <w:sz w:val="28"/>
                <w:szCs w:val="28"/>
              </w:rPr>
            </w:pPr>
          </w:p>
          <w:p w14:paraId="3B38F388" w14:textId="77777777" w:rsidR="00CF0E64" w:rsidRPr="00CF0E64" w:rsidRDefault="00CF0E64" w:rsidP="00CF0E64">
            <w:pPr>
              <w:rPr>
                <w:sz w:val="28"/>
                <w:szCs w:val="28"/>
              </w:rPr>
            </w:pPr>
          </w:p>
          <w:p w14:paraId="398D64A6" w14:textId="77777777" w:rsidR="00CF0E64" w:rsidRPr="00CF0E64" w:rsidRDefault="00CF0E64" w:rsidP="00CF0E64">
            <w:pPr>
              <w:rPr>
                <w:sz w:val="28"/>
                <w:szCs w:val="28"/>
              </w:rPr>
            </w:pPr>
          </w:p>
          <w:p w14:paraId="41E3DFF9" w14:textId="77777777" w:rsidR="00CF0E64" w:rsidRPr="00CF0E64" w:rsidRDefault="00CF0E64" w:rsidP="00CF0E64">
            <w:pPr>
              <w:rPr>
                <w:sz w:val="28"/>
                <w:szCs w:val="28"/>
              </w:rPr>
            </w:pPr>
          </w:p>
          <w:p w14:paraId="479ED6B8" w14:textId="77777777" w:rsidR="00CF0E64" w:rsidRPr="00CF0E64" w:rsidRDefault="00CF0E64" w:rsidP="00CF0E64">
            <w:pPr>
              <w:rPr>
                <w:sz w:val="28"/>
                <w:szCs w:val="28"/>
              </w:rPr>
            </w:pPr>
          </w:p>
          <w:p w14:paraId="221F526C" w14:textId="77777777" w:rsidR="00CF0E64" w:rsidRPr="00CF0E64" w:rsidRDefault="00CF0E64" w:rsidP="00CF0E64">
            <w:pPr>
              <w:rPr>
                <w:sz w:val="28"/>
                <w:szCs w:val="28"/>
              </w:rPr>
            </w:pPr>
          </w:p>
          <w:p w14:paraId="57F740E8" w14:textId="77777777" w:rsidR="00CF0E64" w:rsidRPr="00CF0E64" w:rsidRDefault="00CF0E64" w:rsidP="00CF0E64">
            <w:pPr>
              <w:rPr>
                <w:sz w:val="28"/>
                <w:szCs w:val="28"/>
              </w:rPr>
            </w:pPr>
          </w:p>
          <w:p w14:paraId="69F388C2" w14:textId="77777777" w:rsidR="00CF0E64" w:rsidRPr="00CF0E64" w:rsidRDefault="00CF0E64" w:rsidP="00CF0E64">
            <w:pPr>
              <w:rPr>
                <w:sz w:val="28"/>
                <w:szCs w:val="28"/>
              </w:rPr>
            </w:pPr>
          </w:p>
          <w:p w14:paraId="274CA9D7" w14:textId="77777777" w:rsidR="00CF0E64" w:rsidRPr="00CF0E64" w:rsidRDefault="00CF0E64" w:rsidP="00CF0E64">
            <w:pPr>
              <w:rPr>
                <w:sz w:val="28"/>
                <w:szCs w:val="28"/>
              </w:rPr>
            </w:pPr>
          </w:p>
          <w:p w14:paraId="3218211C" w14:textId="77777777" w:rsidR="00CF0E64" w:rsidRPr="00CF0E64" w:rsidRDefault="00CF0E64" w:rsidP="00CF0E64">
            <w:pPr>
              <w:rPr>
                <w:sz w:val="28"/>
                <w:szCs w:val="28"/>
              </w:rPr>
            </w:pPr>
          </w:p>
          <w:p w14:paraId="3B3056F4" w14:textId="77777777" w:rsidR="00CF0E64" w:rsidRPr="00CF0E64" w:rsidRDefault="00CF0E64" w:rsidP="00CF0E64">
            <w:pPr>
              <w:rPr>
                <w:sz w:val="28"/>
                <w:szCs w:val="28"/>
              </w:rPr>
            </w:pPr>
          </w:p>
          <w:p w14:paraId="13848A73" w14:textId="4884A662" w:rsidR="00193E45" w:rsidRPr="00CF0E64" w:rsidRDefault="00CF0E64" w:rsidP="00CF0E64">
            <w:pPr>
              <w:tabs>
                <w:tab w:val="left" w:pos="914"/>
              </w:tabs>
              <w:rPr>
                <w:sz w:val="28"/>
                <w:szCs w:val="28"/>
              </w:rPr>
            </w:pPr>
            <w:r>
              <w:rPr>
                <w:sz w:val="28"/>
                <w:szCs w:val="28"/>
              </w:rPr>
              <w:tab/>
            </w:r>
          </w:p>
        </w:tc>
        <w:tc>
          <w:tcPr>
            <w:tcW w:w="6095" w:type="dxa"/>
          </w:tcPr>
          <w:p w14:paraId="3E46B0F1" w14:textId="780BA761" w:rsidR="00801848" w:rsidRDefault="006343A4" w:rsidP="00E103DD">
            <w:pPr>
              <w:ind w:right="142"/>
              <w:jc w:val="both"/>
              <w:rPr>
                <w:color w:val="000000" w:themeColor="text1"/>
                <w:sz w:val="28"/>
                <w:szCs w:val="28"/>
              </w:rPr>
            </w:pPr>
            <w:r>
              <w:rPr>
                <w:color w:val="000000" w:themeColor="text1"/>
                <w:sz w:val="28"/>
                <w:szCs w:val="28"/>
              </w:rPr>
              <w:t xml:space="preserve">      </w:t>
            </w:r>
            <w:r w:rsidR="00AF4E8A">
              <w:rPr>
                <w:color w:val="000000" w:themeColor="text1"/>
                <w:sz w:val="28"/>
                <w:szCs w:val="28"/>
              </w:rPr>
              <w:t>D</w:t>
            </w:r>
            <w:r w:rsidR="00AF4E8A" w:rsidRPr="00554A5F">
              <w:rPr>
                <w:color w:val="000000" w:themeColor="text1"/>
                <w:sz w:val="28"/>
                <w:szCs w:val="28"/>
              </w:rPr>
              <w:t>abasgāzes drošības rezerv</w:t>
            </w:r>
            <w:r w:rsidR="00AF4E8A">
              <w:rPr>
                <w:color w:val="000000" w:themeColor="text1"/>
                <w:sz w:val="28"/>
                <w:szCs w:val="28"/>
              </w:rPr>
              <w:t xml:space="preserve">e (turpmāk - rezerve) tiek </w:t>
            </w:r>
            <w:r w:rsidR="00F1526F">
              <w:rPr>
                <w:color w:val="000000" w:themeColor="text1"/>
                <w:sz w:val="28"/>
                <w:szCs w:val="28"/>
              </w:rPr>
              <w:t>veidota</w:t>
            </w:r>
            <w:r w:rsidR="00AF4E8A" w:rsidRPr="00554A5F">
              <w:rPr>
                <w:color w:val="000000" w:themeColor="text1"/>
                <w:sz w:val="28"/>
                <w:szCs w:val="28"/>
              </w:rPr>
              <w:t xml:space="preserve">, </w:t>
            </w:r>
            <w:r w:rsidR="00AF4E8A">
              <w:rPr>
                <w:color w:val="000000" w:themeColor="text1"/>
                <w:sz w:val="28"/>
                <w:szCs w:val="28"/>
              </w:rPr>
              <w:t>lai</w:t>
            </w:r>
            <w:r w:rsidR="00AF4E8A" w:rsidRPr="00554A5F">
              <w:rPr>
                <w:color w:val="000000" w:themeColor="text1"/>
                <w:sz w:val="28"/>
                <w:szCs w:val="28"/>
              </w:rPr>
              <w:t>, ievērojot 2010.gada 20.oktobr</w:t>
            </w:r>
            <w:r w:rsidR="00AF4E8A">
              <w:rPr>
                <w:color w:val="000000" w:themeColor="text1"/>
                <w:sz w:val="28"/>
                <w:szCs w:val="28"/>
              </w:rPr>
              <w:t>a</w:t>
            </w:r>
            <w:r w:rsidR="00AF4E8A" w:rsidRPr="00554A5F">
              <w:rPr>
                <w:color w:val="000000" w:themeColor="text1"/>
                <w:sz w:val="28"/>
                <w:szCs w:val="28"/>
              </w:rPr>
              <w:t xml:space="preserve"> Eiropas Parlamenta un Padomes regulu Nr. </w:t>
            </w:r>
            <w:hyperlink r:id="rId8" w:tgtFrame="_blank" w:history="1">
              <w:r w:rsidR="00AF4E8A" w:rsidRPr="00554A5F">
                <w:rPr>
                  <w:color w:val="000000" w:themeColor="text1"/>
                  <w:sz w:val="28"/>
                  <w:szCs w:val="28"/>
                </w:rPr>
                <w:t>994/2010</w:t>
              </w:r>
            </w:hyperlink>
            <w:r w:rsidR="00AF4E8A" w:rsidRPr="00554A5F">
              <w:rPr>
                <w:color w:val="000000" w:themeColor="text1"/>
                <w:sz w:val="28"/>
                <w:szCs w:val="28"/>
              </w:rPr>
              <w:t xml:space="preserve"> par gāzes piegādes drošības aizsardzības pasākumiem un Padomes Direktīvas 2004/67/EK atcelšanu</w:t>
            </w:r>
            <w:r w:rsidR="006911BF">
              <w:rPr>
                <w:color w:val="000000" w:themeColor="text1"/>
                <w:sz w:val="28"/>
                <w:szCs w:val="28"/>
              </w:rPr>
              <w:t xml:space="preserve"> (turpmāk – regula)</w:t>
            </w:r>
            <w:r w:rsidR="00AF4E8A" w:rsidRPr="00554A5F">
              <w:rPr>
                <w:color w:val="000000" w:themeColor="text1"/>
                <w:sz w:val="28"/>
                <w:szCs w:val="28"/>
              </w:rPr>
              <w:t>, enerģētiskās</w:t>
            </w:r>
            <w:r w:rsidR="00AF4E8A" w:rsidRPr="00C206F0">
              <w:rPr>
                <w:color w:val="000000" w:themeColor="text1"/>
                <w:sz w:val="28"/>
                <w:szCs w:val="28"/>
              </w:rPr>
              <w:t xml:space="preserve"> krīzes laikā traucētas dabasgāzes piegādes gadījumā, </w:t>
            </w:r>
            <w:r w:rsidR="00F1526F">
              <w:rPr>
                <w:color w:val="000000" w:themeColor="text1"/>
                <w:sz w:val="28"/>
                <w:szCs w:val="28"/>
              </w:rPr>
              <w:t xml:space="preserve">tā </w:t>
            </w:r>
            <w:r w:rsidR="00AF4E8A" w:rsidRPr="00C206F0">
              <w:rPr>
                <w:color w:val="000000" w:themeColor="text1"/>
                <w:sz w:val="28"/>
                <w:szCs w:val="28"/>
              </w:rPr>
              <w:t>tik</w:t>
            </w:r>
            <w:r w:rsidR="00AF4E8A">
              <w:rPr>
                <w:color w:val="000000" w:themeColor="text1"/>
                <w:sz w:val="28"/>
                <w:szCs w:val="28"/>
              </w:rPr>
              <w:t>tu</w:t>
            </w:r>
            <w:r w:rsidR="00AF4E8A" w:rsidRPr="00C206F0">
              <w:rPr>
                <w:color w:val="000000" w:themeColor="text1"/>
                <w:sz w:val="28"/>
                <w:szCs w:val="28"/>
              </w:rPr>
              <w:t xml:space="preserve"> izmantota nodrošināmo lietotāju apgādei</w:t>
            </w:r>
            <w:r w:rsidR="00AF4E8A">
              <w:rPr>
                <w:color w:val="000000" w:themeColor="text1"/>
                <w:sz w:val="28"/>
                <w:szCs w:val="28"/>
              </w:rPr>
              <w:t xml:space="preserve"> ar dabasgāzi</w:t>
            </w:r>
            <w:r w:rsidR="00AF4E8A" w:rsidRPr="00C206F0">
              <w:rPr>
                <w:color w:val="000000" w:themeColor="text1"/>
                <w:sz w:val="28"/>
                <w:szCs w:val="28"/>
              </w:rPr>
              <w:t>.</w:t>
            </w:r>
            <w:r w:rsidR="0031774C">
              <w:rPr>
                <w:color w:val="000000" w:themeColor="text1"/>
                <w:sz w:val="28"/>
                <w:szCs w:val="28"/>
              </w:rPr>
              <w:t xml:space="preserve"> </w:t>
            </w:r>
          </w:p>
          <w:p w14:paraId="204F81B3" w14:textId="2A563F39" w:rsidR="007A3EA0" w:rsidRPr="008B51AE" w:rsidRDefault="008304D7" w:rsidP="00E103DD">
            <w:pPr>
              <w:ind w:right="142"/>
              <w:jc w:val="both"/>
              <w:rPr>
                <w:color w:val="000000" w:themeColor="text1"/>
                <w:sz w:val="28"/>
                <w:szCs w:val="28"/>
              </w:rPr>
            </w:pPr>
            <w:r>
              <w:rPr>
                <w:color w:val="000000" w:themeColor="text1"/>
                <w:sz w:val="28"/>
                <w:szCs w:val="28"/>
              </w:rPr>
              <w:t>Apskatot citu</w:t>
            </w:r>
            <w:r w:rsidR="007A3099">
              <w:rPr>
                <w:color w:val="000000" w:themeColor="text1"/>
                <w:sz w:val="28"/>
                <w:szCs w:val="28"/>
              </w:rPr>
              <w:t xml:space="preserve"> Eiropas </w:t>
            </w:r>
            <w:r w:rsidR="00532411">
              <w:rPr>
                <w:color w:val="000000" w:themeColor="text1"/>
                <w:sz w:val="28"/>
                <w:szCs w:val="28"/>
              </w:rPr>
              <w:t xml:space="preserve">Savienības </w:t>
            </w:r>
            <w:r w:rsidR="007A3099">
              <w:rPr>
                <w:color w:val="000000" w:themeColor="text1"/>
                <w:sz w:val="28"/>
                <w:szCs w:val="28"/>
              </w:rPr>
              <w:t>dalīb</w:t>
            </w:r>
            <w:r>
              <w:rPr>
                <w:color w:val="000000" w:themeColor="text1"/>
                <w:sz w:val="28"/>
                <w:szCs w:val="28"/>
              </w:rPr>
              <w:t>valstu pieredzi, redzams, ka pilnīgu paļaušanos vienīgi uz brī</w:t>
            </w:r>
            <w:r w:rsidRPr="008B51AE">
              <w:rPr>
                <w:color w:val="000000" w:themeColor="text1"/>
                <w:sz w:val="28"/>
                <w:szCs w:val="28"/>
              </w:rPr>
              <w:t>va tirgus spēju sniegt apgādes drošību izvēlas valstis, kurām ir sava gāzes ieguve</w:t>
            </w:r>
            <w:r w:rsidR="007A3099" w:rsidRPr="008B51AE">
              <w:rPr>
                <w:color w:val="000000" w:themeColor="text1"/>
                <w:sz w:val="28"/>
                <w:szCs w:val="28"/>
              </w:rPr>
              <w:t>, piemēram, Lielbritānija un Nīderlande</w:t>
            </w:r>
            <w:r w:rsidRPr="008B51AE">
              <w:rPr>
                <w:color w:val="000000" w:themeColor="text1"/>
                <w:sz w:val="28"/>
                <w:szCs w:val="28"/>
              </w:rPr>
              <w:t xml:space="preserve">. </w:t>
            </w:r>
          </w:p>
          <w:p w14:paraId="68EFE6DB" w14:textId="7F88F0CD" w:rsidR="00061138" w:rsidRPr="008B51AE" w:rsidRDefault="008304D7" w:rsidP="00E103DD">
            <w:pPr>
              <w:ind w:right="142"/>
              <w:jc w:val="both"/>
              <w:rPr>
                <w:color w:val="000000" w:themeColor="text1"/>
                <w:sz w:val="28"/>
                <w:szCs w:val="28"/>
              </w:rPr>
            </w:pPr>
            <w:r w:rsidRPr="008B51AE">
              <w:rPr>
                <w:color w:val="000000" w:themeColor="text1"/>
                <w:sz w:val="28"/>
                <w:szCs w:val="28"/>
              </w:rPr>
              <w:t xml:space="preserve">Latvijā vismaz tuvākajos gados arī kopēja </w:t>
            </w:r>
            <w:r w:rsidR="00794885" w:rsidRPr="008B51AE">
              <w:rPr>
                <w:color w:val="000000" w:themeColor="text1"/>
                <w:sz w:val="28"/>
                <w:szCs w:val="28"/>
              </w:rPr>
              <w:t xml:space="preserve">brīva </w:t>
            </w:r>
            <w:r w:rsidRPr="008B51AE">
              <w:rPr>
                <w:color w:val="000000" w:themeColor="text1"/>
                <w:sz w:val="28"/>
                <w:szCs w:val="28"/>
              </w:rPr>
              <w:t>dabasgāzes tirgus sākuma periodā</w:t>
            </w:r>
            <w:r w:rsidR="006E11CB" w:rsidRPr="008B51AE">
              <w:rPr>
                <w:color w:val="000000" w:themeColor="text1"/>
                <w:sz w:val="28"/>
                <w:szCs w:val="28"/>
              </w:rPr>
              <w:t xml:space="preserve">, tāpat kā šobrīd, </w:t>
            </w:r>
            <w:r w:rsidR="00794885" w:rsidRPr="008B51AE">
              <w:rPr>
                <w:color w:val="000000" w:themeColor="text1"/>
                <w:sz w:val="28"/>
                <w:szCs w:val="28"/>
              </w:rPr>
              <w:t xml:space="preserve">dabasgāzes apgāde </w:t>
            </w:r>
            <w:r w:rsidR="006E11CB" w:rsidRPr="008B51AE">
              <w:rPr>
                <w:color w:val="000000" w:themeColor="text1"/>
                <w:sz w:val="28"/>
                <w:szCs w:val="28"/>
              </w:rPr>
              <w:t>pārsvarā</w:t>
            </w:r>
            <w:r w:rsidR="00794885" w:rsidRPr="008B51AE">
              <w:rPr>
                <w:color w:val="000000" w:themeColor="text1"/>
                <w:sz w:val="28"/>
                <w:szCs w:val="28"/>
              </w:rPr>
              <w:t xml:space="preserve"> tiks realizēta no </w:t>
            </w:r>
            <w:r w:rsidR="007A3EA0" w:rsidRPr="008B51AE">
              <w:rPr>
                <w:color w:val="000000" w:themeColor="text1"/>
                <w:sz w:val="28"/>
                <w:szCs w:val="28"/>
              </w:rPr>
              <w:t xml:space="preserve">pazemes </w:t>
            </w:r>
            <w:r w:rsidR="00794885" w:rsidRPr="008B51AE">
              <w:rPr>
                <w:color w:val="000000" w:themeColor="text1"/>
                <w:sz w:val="28"/>
                <w:szCs w:val="28"/>
              </w:rPr>
              <w:t xml:space="preserve">gāzes krātuves. </w:t>
            </w:r>
            <w:r w:rsidR="00A20A72" w:rsidRPr="008B51AE">
              <w:rPr>
                <w:color w:val="000000" w:themeColor="text1"/>
                <w:sz w:val="28"/>
                <w:szCs w:val="28"/>
              </w:rPr>
              <w:t>Tāpēc izveidotās rezerves uzglabāšan</w:t>
            </w:r>
            <w:r w:rsidR="003361C4" w:rsidRPr="008B51AE">
              <w:rPr>
                <w:color w:val="000000" w:themeColor="text1"/>
                <w:sz w:val="28"/>
                <w:szCs w:val="28"/>
              </w:rPr>
              <w:t>ai</w:t>
            </w:r>
            <w:r w:rsidR="00A20A72" w:rsidRPr="008B51AE">
              <w:rPr>
                <w:color w:val="000000" w:themeColor="text1"/>
                <w:sz w:val="28"/>
                <w:szCs w:val="28"/>
              </w:rPr>
              <w:t xml:space="preserve"> paredzēts </w:t>
            </w:r>
            <w:r w:rsidR="003361C4" w:rsidRPr="008B51AE">
              <w:rPr>
                <w:color w:val="000000" w:themeColor="text1"/>
                <w:sz w:val="28"/>
                <w:szCs w:val="28"/>
              </w:rPr>
              <w:t>izmantot</w:t>
            </w:r>
            <w:r w:rsidR="00A20A72" w:rsidRPr="008B51AE">
              <w:rPr>
                <w:color w:val="000000" w:themeColor="text1"/>
                <w:sz w:val="28"/>
                <w:szCs w:val="28"/>
              </w:rPr>
              <w:t xml:space="preserve"> Inčukalna pazemes gāzes krātuv</w:t>
            </w:r>
            <w:r w:rsidR="003361C4" w:rsidRPr="008B51AE">
              <w:rPr>
                <w:color w:val="000000" w:themeColor="text1"/>
                <w:sz w:val="28"/>
                <w:szCs w:val="28"/>
              </w:rPr>
              <w:t>i</w:t>
            </w:r>
            <w:r w:rsidR="00A20A72" w:rsidRPr="008B51AE">
              <w:rPr>
                <w:color w:val="000000" w:themeColor="text1"/>
                <w:sz w:val="28"/>
                <w:szCs w:val="28"/>
              </w:rPr>
              <w:t xml:space="preserve">. </w:t>
            </w:r>
          </w:p>
          <w:p w14:paraId="46FACC17" w14:textId="44236779" w:rsidR="00F22A3C" w:rsidRPr="008B51AE" w:rsidRDefault="00061138" w:rsidP="00E103DD">
            <w:pPr>
              <w:ind w:right="142"/>
              <w:jc w:val="both"/>
              <w:rPr>
                <w:color w:val="000000" w:themeColor="text1"/>
                <w:sz w:val="28"/>
                <w:szCs w:val="28"/>
              </w:rPr>
            </w:pPr>
            <w:r w:rsidRPr="008B51AE">
              <w:rPr>
                <w:color w:val="000000" w:themeColor="text1"/>
                <w:sz w:val="28"/>
                <w:szCs w:val="28"/>
              </w:rPr>
              <w:t>N</w:t>
            </w:r>
            <w:r w:rsidR="0031774C" w:rsidRPr="008B51AE">
              <w:rPr>
                <w:color w:val="000000" w:themeColor="text1"/>
                <w:sz w:val="28"/>
                <w:szCs w:val="28"/>
              </w:rPr>
              <w:t xml:space="preserve">oteikumu projekts paredz, ka rezervi </w:t>
            </w:r>
            <w:r w:rsidR="00801848" w:rsidRPr="008B51AE">
              <w:rPr>
                <w:color w:val="000000" w:themeColor="text1"/>
                <w:sz w:val="28"/>
                <w:szCs w:val="28"/>
              </w:rPr>
              <w:t>nodrošina pārvades sistēmas operators</w:t>
            </w:r>
            <w:r w:rsidR="00820359" w:rsidRPr="008B51AE">
              <w:rPr>
                <w:color w:val="000000" w:themeColor="text1"/>
                <w:sz w:val="28"/>
                <w:szCs w:val="28"/>
              </w:rPr>
              <w:t xml:space="preserve"> (turpmāk –</w:t>
            </w:r>
            <w:r w:rsidR="00E9661B">
              <w:rPr>
                <w:color w:val="000000" w:themeColor="text1"/>
                <w:sz w:val="28"/>
                <w:szCs w:val="28"/>
              </w:rPr>
              <w:t xml:space="preserve"> </w:t>
            </w:r>
            <w:r w:rsidR="00820359" w:rsidRPr="008B51AE">
              <w:rPr>
                <w:color w:val="000000" w:themeColor="text1"/>
                <w:sz w:val="28"/>
                <w:szCs w:val="28"/>
              </w:rPr>
              <w:t>PSO)</w:t>
            </w:r>
            <w:r w:rsidR="00801848" w:rsidRPr="008B51AE">
              <w:rPr>
                <w:color w:val="000000" w:themeColor="text1"/>
                <w:sz w:val="28"/>
                <w:szCs w:val="28"/>
              </w:rPr>
              <w:t xml:space="preserve">. </w:t>
            </w:r>
          </w:p>
          <w:p w14:paraId="7AD51089" w14:textId="5AE8592B" w:rsidR="00645D64" w:rsidRPr="008B51AE" w:rsidRDefault="00645D64" w:rsidP="00E103DD">
            <w:pPr>
              <w:ind w:right="142"/>
              <w:jc w:val="right"/>
              <w:rPr>
                <w:color w:val="000000" w:themeColor="text1"/>
                <w:sz w:val="28"/>
                <w:szCs w:val="28"/>
              </w:rPr>
            </w:pPr>
            <w:r w:rsidRPr="008B51AE">
              <w:rPr>
                <w:color w:val="000000" w:themeColor="text1"/>
                <w:sz w:val="28"/>
                <w:szCs w:val="28"/>
              </w:rPr>
              <w:t>1.tabula</w:t>
            </w:r>
          </w:p>
          <w:p w14:paraId="3A7FA598" w14:textId="4E73CDEF" w:rsidR="004E3968" w:rsidRPr="008B51AE" w:rsidRDefault="00735023" w:rsidP="00E103DD">
            <w:pPr>
              <w:pStyle w:val="naiskr"/>
              <w:ind w:right="142"/>
              <w:rPr>
                <w:sz w:val="28"/>
                <w:szCs w:val="28"/>
                <w:lang w:eastAsia="en-US"/>
              </w:rPr>
            </w:pPr>
            <w:r w:rsidRPr="008B51AE">
              <w:rPr>
                <w:sz w:val="28"/>
                <w:szCs w:val="28"/>
                <w:lang w:eastAsia="en-US"/>
              </w:rPr>
              <w:t>Dabasgāzes patēriņš un patēriņa īpatsvars pa lietotāju grupām</w:t>
            </w:r>
          </w:p>
          <w:tbl>
            <w:tblPr>
              <w:tblStyle w:val="TableGrid"/>
              <w:tblW w:w="0" w:type="auto"/>
              <w:tblLayout w:type="fixed"/>
              <w:tblLook w:val="04A0" w:firstRow="1" w:lastRow="0" w:firstColumn="1" w:lastColumn="0" w:noHBand="0" w:noVBand="1"/>
            </w:tblPr>
            <w:tblGrid>
              <w:gridCol w:w="2086"/>
              <w:gridCol w:w="851"/>
              <w:gridCol w:w="850"/>
              <w:gridCol w:w="851"/>
              <w:gridCol w:w="1027"/>
            </w:tblGrid>
            <w:tr w:rsidR="004E3968" w:rsidRPr="008B51AE" w14:paraId="22B289D7" w14:textId="77777777" w:rsidTr="00EA4D18">
              <w:tc>
                <w:tcPr>
                  <w:tcW w:w="2086" w:type="dxa"/>
                  <w:vMerge w:val="restart"/>
                </w:tcPr>
                <w:p w14:paraId="4E00908F" w14:textId="77777777" w:rsidR="004E3968" w:rsidRPr="008B51AE" w:rsidRDefault="004E3968" w:rsidP="00E103DD">
                  <w:pPr>
                    <w:pStyle w:val="naiskr"/>
                    <w:spacing w:before="0" w:after="0"/>
                    <w:ind w:right="142"/>
                    <w:rPr>
                      <w:sz w:val="22"/>
                      <w:szCs w:val="22"/>
                      <w:lang w:eastAsia="en-US"/>
                    </w:rPr>
                  </w:pPr>
                  <w:r w:rsidRPr="008B51AE">
                    <w:rPr>
                      <w:color w:val="000000" w:themeColor="text1"/>
                      <w:sz w:val="22"/>
                      <w:szCs w:val="22"/>
                      <w:lang w:eastAsia="en-US"/>
                    </w:rPr>
                    <w:t>Lietotāju grupa</w:t>
                  </w:r>
                </w:p>
              </w:tc>
              <w:tc>
                <w:tcPr>
                  <w:tcW w:w="1701" w:type="dxa"/>
                  <w:gridSpan w:val="2"/>
                </w:tcPr>
                <w:p w14:paraId="06B69DB6" w14:textId="77777777" w:rsidR="004E3968" w:rsidRPr="008B51AE" w:rsidRDefault="004E3968" w:rsidP="00E103DD">
                  <w:pPr>
                    <w:pStyle w:val="naiskr"/>
                    <w:spacing w:before="0" w:after="0"/>
                    <w:ind w:right="142"/>
                    <w:jc w:val="center"/>
                    <w:rPr>
                      <w:b/>
                      <w:sz w:val="22"/>
                      <w:szCs w:val="22"/>
                      <w:lang w:eastAsia="en-US"/>
                    </w:rPr>
                  </w:pPr>
                  <w:r w:rsidRPr="008B51AE">
                    <w:rPr>
                      <w:b/>
                      <w:sz w:val="22"/>
                      <w:szCs w:val="22"/>
                      <w:lang w:eastAsia="en-US"/>
                    </w:rPr>
                    <w:t>2014.gads</w:t>
                  </w:r>
                </w:p>
              </w:tc>
              <w:tc>
                <w:tcPr>
                  <w:tcW w:w="1878" w:type="dxa"/>
                  <w:gridSpan w:val="2"/>
                </w:tcPr>
                <w:p w14:paraId="26CD07D7" w14:textId="77777777" w:rsidR="004E3968" w:rsidRPr="008B51AE" w:rsidRDefault="004E3968" w:rsidP="00E103DD">
                  <w:pPr>
                    <w:pStyle w:val="naiskr"/>
                    <w:spacing w:before="0" w:after="0"/>
                    <w:ind w:right="142"/>
                    <w:jc w:val="center"/>
                    <w:rPr>
                      <w:b/>
                      <w:sz w:val="22"/>
                      <w:szCs w:val="22"/>
                      <w:lang w:eastAsia="en-US"/>
                    </w:rPr>
                  </w:pPr>
                  <w:r w:rsidRPr="008B51AE">
                    <w:rPr>
                      <w:b/>
                      <w:sz w:val="22"/>
                      <w:szCs w:val="22"/>
                      <w:lang w:eastAsia="en-US"/>
                    </w:rPr>
                    <w:t>2015.gads</w:t>
                  </w:r>
                </w:p>
              </w:tc>
            </w:tr>
            <w:tr w:rsidR="004E3968" w:rsidRPr="008B51AE" w14:paraId="6520DE53" w14:textId="77777777" w:rsidTr="00EA4D18">
              <w:tc>
                <w:tcPr>
                  <w:tcW w:w="2086" w:type="dxa"/>
                  <w:vMerge/>
                </w:tcPr>
                <w:p w14:paraId="365EC291" w14:textId="77777777" w:rsidR="004E3968" w:rsidRPr="008B51AE" w:rsidRDefault="004E3968" w:rsidP="00E103DD">
                  <w:pPr>
                    <w:pStyle w:val="naiskr"/>
                    <w:spacing w:before="0" w:after="0"/>
                    <w:ind w:right="142"/>
                    <w:rPr>
                      <w:sz w:val="22"/>
                      <w:szCs w:val="22"/>
                      <w:lang w:eastAsia="en-US"/>
                    </w:rPr>
                  </w:pPr>
                </w:p>
              </w:tc>
              <w:tc>
                <w:tcPr>
                  <w:tcW w:w="851" w:type="dxa"/>
                </w:tcPr>
                <w:p w14:paraId="6C5AF6C3" w14:textId="77777777" w:rsidR="004E3968" w:rsidRPr="008B51AE" w:rsidRDefault="004E3968" w:rsidP="00E103DD">
                  <w:pPr>
                    <w:pStyle w:val="naiskr"/>
                    <w:spacing w:before="0" w:after="0"/>
                    <w:ind w:left="-92" w:right="142" w:firstLine="7"/>
                    <w:jc w:val="center"/>
                    <w:rPr>
                      <w:color w:val="000000" w:themeColor="text1"/>
                      <w:sz w:val="22"/>
                      <w:szCs w:val="22"/>
                      <w:lang w:eastAsia="en-US"/>
                    </w:rPr>
                  </w:pPr>
                  <w:r w:rsidRPr="008B51AE">
                    <w:rPr>
                      <w:color w:val="000000" w:themeColor="text1"/>
                      <w:sz w:val="22"/>
                      <w:szCs w:val="22"/>
                      <w:lang w:eastAsia="en-US"/>
                    </w:rPr>
                    <w:t>milj.m</w:t>
                  </w:r>
                  <w:r w:rsidRPr="008B51AE">
                    <w:rPr>
                      <w:color w:val="000000" w:themeColor="text1"/>
                      <w:sz w:val="22"/>
                      <w:szCs w:val="22"/>
                      <w:vertAlign w:val="superscript"/>
                      <w:lang w:eastAsia="en-US"/>
                    </w:rPr>
                    <w:t>3</w:t>
                  </w:r>
                </w:p>
              </w:tc>
              <w:tc>
                <w:tcPr>
                  <w:tcW w:w="850" w:type="dxa"/>
                </w:tcPr>
                <w:p w14:paraId="78B9789E" w14:textId="77777777" w:rsidR="004E3968" w:rsidRPr="008B51AE" w:rsidRDefault="004E3968" w:rsidP="00E103DD">
                  <w:pPr>
                    <w:pStyle w:val="naiskr"/>
                    <w:spacing w:before="0" w:after="0"/>
                    <w:ind w:right="142"/>
                    <w:jc w:val="center"/>
                    <w:rPr>
                      <w:color w:val="000000" w:themeColor="text1"/>
                      <w:sz w:val="22"/>
                      <w:szCs w:val="22"/>
                      <w:lang w:eastAsia="en-US"/>
                    </w:rPr>
                  </w:pPr>
                  <w:r w:rsidRPr="008B51AE">
                    <w:rPr>
                      <w:color w:val="000000" w:themeColor="text1"/>
                      <w:sz w:val="22"/>
                      <w:szCs w:val="22"/>
                      <w:lang w:eastAsia="en-US"/>
                    </w:rPr>
                    <w:t>%</w:t>
                  </w:r>
                </w:p>
              </w:tc>
              <w:tc>
                <w:tcPr>
                  <w:tcW w:w="851" w:type="dxa"/>
                </w:tcPr>
                <w:p w14:paraId="7E55473F" w14:textId="77777777" w:rsidR="004E3968" w:rsidRPr="008B51AE" w:rsidRDefault="004E3968" w:rsidP="00E103DD">
                  <w:pPr>
                    <w:pStyle w:val="naiskr"/>
                    <w:spacing w:before="0" w:after="0"/>
                    <w:ind w:left="-92" w:right="142" w:firstLine="7"/>
                    <w:jc w:val="center"/>
                    <w:rPr>
                      <w:color w:val="000000" w:themeColor="text1"/>
                      <w:sz w:val="22"/>
                      <w:szCs w:val="22"/>
                      <w:lang w:eastAsia="en-US"/>
                    </w:rPr>
                  </w:pPr>
                  <w:r w:rsidRPr="008B51AE">
                    <w:rPr>
                      <w:color w:val="000000" w:themeColor="text1"/>
                      <w:sz w:val="22"/>
                      <w:szCs w:val="22"/>
                      <w:lang w:eastAsia="en-US"/>
                    </w:rPr>
                    <w:t>milj.m</w:t>
                  </w:r>
                  <w:r w:rsidRPr="008B51AE">
                    <w:rPr>
                      <w:color w:val="000000" w:themeColor="text1"/>
                      <w:sz w:val="22"/>
                      <w:szCs w:val="22"/>
                      <w:vertAlign w:val="superscript"/>
                      <w:lang w:eastAsia="en-US"/>
                    </w:rPr>
                    <w:t>3</w:t>
                  </w:r>
                </w:p>
              </w:tc>
              <w:tc>
                <w:tcPr>
                  <w:tcW w:w="1027" w:type="dxa"/>
                </w:tcPr>
                <w:p w14:paraId="289B33D9" w14:textId="77777777" w:rsidR="004E3968" w:rsidRPr="008B51AE" w:rsidRDefault="004E3968" w:rsidP="00E103DD">
                  <w:pPr>
                    <w:pStyle w:val="naiskr"/>
                    <w:spacing w:before="0" w:after="0"/>
                    <w:ind w:right="142"/>
                    <w:jc w:val="center"/>
                    <w:rPr>
                      <w:color w:val="000000" w:themeColor="text1"/>
                      <w:sz w:val="22"/>
                      <w:szCs w:val="22"/>
                      <w:lang w:eastAsia="en-US"/>
                    </w:rPr>
                  </w:pPr>
                  <w:r w:rsidRPr="008B51AE">
                    <w:rPr>
                      <w:color w:val="000000" w:themeColor="text1"/>
                      <w:sz w:val="22"/>
                      <w:szCs w:val="22"/>
                      <w:lang w:eastAsia="en-US"/>
                    </w:rPr>
                    <w:t>%</w:t>
                  </w:r>
                </w:p>
              </w:tc>
            </w:tr>
            <w:tr w:rsidR="004E3968" w:rsidRPr="008B51AE" w14:paraId="0B0FA6E9" w14:textId="77777777" w:rsidTr="00EA4D18">
              <w:tc>
                <w:tcPr>
                  <w:tcW w:w="2086" w:type="dxa"/>
                </w:tcPr>
                <w:p w14:paraId="38FE15D5" w14:textId="77777777" w:rsidR="004E3968" w:rsidRPr="008B51AE" w:rsidRDefault="004E3968" w:rsidP="00E103DD">
                  <w:pPr>
                    <w:pStyle w:val="naiskr"/>
                    <w:spacing w:before="0" w:after="0"/>
                    <w:ind w:right="142"/>
                    <w:jc w:val="both"/>
                    <w:rPr>
                      <w:color w:val="000000" w:themeColor="text1"/>
                      <w:sz w:val="22"/>
                      <w:szCs w:val="22"/>
                      <w:lang w:eastAsia="en-US"/>
                    </w:rPr>
                  </w:pPr>
                  <w:r w:rsidRPr="008B51AE">
                    <w:rPr>
                      <w:color w:val="000000" w:themeColor="text1"/>
                      <w:sz w:val="22"/>
                      <w:szCs w:val="22"/>
                      <w:lang w:eastAsia="en-US"/>
                    </w:rPr>
                    <w:t>Mājsaimniecības</w:t>
                  </w:r>
                </w:p>
              </w:tc>
              <w:tc>
                <w:tcPr>
                  <w:tcW w:w="851" w:type="dxa"/>
                </w:tcPr>
                <w:p w14:paraId="069853A4" w14:textId="77777777" w:rsidR="004E3968" w:rsidRPr="008B51AE" w:rsidRDefault="004E3968" w:rsidP="00E103DD">
                  <w:pPr>
                    <w:pStyle w:val="naiskr"/>
                    <w:spacing w:before="0" w:after="0"/>
                    <w:ind w:right="142"/>
                    <w:jc w:val="right"/>
                    <w:rPr>
                      <w:color w:val="000000" w:themeColor="text1"/>
                      <w:sz w:val="22"/>
                      <w:szCs w:val="22"/>
                      <w:lang w:eastAsia="en-US"/>
                    </w:rPr>
                  </w:pPr>
                  <w:r w:rsidRPr="008B51AE">
                    <w:rPr>
                      <w:color w:val="000000" w:themeColor="text1"/>
                      <w:sz w:val="22"/>
                      <w:szCs w:val="22"/>
                      <w:lang w:eastAsia="en-US"/>
                    </w:rPr>
                    <w:t>125</w:t>
                  </w:r>
                </w:p>
              </w:tc>
              <w:tc>
                <w:tcPr>
                  <w:tcW w:w="850" w:type="dxa"/>
                </w:tcPr>
                <w:p w14:paraId="1CCD6417" w14:textId="77777777" w:rsidR="004E3968" w:rsidRPr="008B51AE" w:rsidRDefault="004E3968" w:rsidP="00E103DD">
                  <w:pPr>
                    <w:pStyle w:val="naiskr"/>
                    <w:spacing w:before="0" w:after="0"/>
                    <w:ind w:right="142"/>
                    <w:jc w:val="right"/>
                    <w:rPr>
                      <w:color w:val="000000" w:themeColor="text1"/>
                      <w:sz w:val="22"/>
                      <w:szCs w:val="22"/>
                      <w:lang w:eastAsia="en-US"/>
                    </w:rPr>
                  </w:pPr>
                  <w:r w:rsidRPr="008B51AE">
                    <w:rPr>
                      <w:color w:val="000000" w:themeColor="text1"/>
                      <w:sz w:val="22"/>
                      <w:szCs w:val="22"/>
                      <w:lang w:eastAsia="en-US"/>
                    </w:rPr>
                    <w:t>9,7</w:t>
                  </w:r>
                </w:p>
              </w:tc>
              <w:tc>
                <w:tcPr>
                  <w:tcW w:w="851" w:type="dxa"/>
                </w:tcPr>
                <w:p w14:paraId="0E8591F6" w14:textId="77777777" w:rsidR="004E3968" w:rsidRPr="008B51AE" w:rsidRDefault="004E3968" w:rsidP="00E103DD">
                  <w:pPr>
                    <w:ind w:right="142"/>
                    <w:rPr>
                      <w:bCs/>
                      <w:color w:val="000000" w:themeColor="text1"/>
                      <w:sz w:val="22"/>
                      <w:szCs w:val="22"/>
                      <w:lang w:eastAsia="en-US"/>
                    </w:rPr>
                  </w:pPr>
                  <w:r w:rsidRPr="008B51AE">
                    <w:rPr>
                      <w:bCs/>
                      <w:color w:val="000000" w:themeColor="text1"/>
                      <w:sz w:val="22"/>
                      <w:szCs w:val="22"/>
                    </w:rPr>
                    <w:t>120</w:t>
                  </w:r>
                </w:p>
              </w:tc>
              <w:tc>
                <w:tcPr>
                  <w:tcW w:w="1027" w:type="dxa"/>
                </w:tcPr>
                <w:p w14:paraId="353D4869" w14:textId="77777777" w:rsidR="004E3968" w:rsidRPr="008B51AE" w:rsidRDefault="004E3968" w:rsidP="00E103DD">
                  <w:pPr>
                    <w:ind w:right="142"/>
                    <w:rPr>
                      <w:color w:val="000000" w:themeColor="text1"/>
                      <w:sz w:val="22"/>
                      <w:szCs w:val="22"/>
                    </w:rPr>
                  </w:pPr>
                  <w:r w:rsidRPr="008B51AE">
                    <w:rPr>
                      <w:color w:val="000000" w:themeColor="text1"/>
                      <w:sz w:val="22"/>
                      <w:szCs w:val="22"/>
                    </w:rPr>
                    <w:t>9,1</w:t>
                  </w:r>
                </w:p>
              </w:tc>
            </w:tr>
            <w:tr w:rsidR="004E3968" w:rsidRPr="008B51AE" w14:paraId="7CFA767B" w14:textId="77777777" w:rsidTr="00EA4D18">
              <w:tc>
                <w:tcPr>
                  <w:tcW w:w="2086" w:type="dxa"/>
                </w:tcPr>
                <w:p w14:paraId="7282E60C" w14:textId="77777777" w:rsidR="004E3968" w:rsidRPr="008B51AE" w:rsidRDefault="004E3968" w:rsidP="00E103DD">
                  <w:pPr>
                    <w:pStyle w:val="naiskr"/>
                    <w:spacing w:before="0" w:after="0"/>
                    <w:ind w:right="142"/>
                    <w:jc w:val="both"/>
                    <w:rPr>
                      <w:color w:val="000000" w:themeColor="text1"/>
                      <w:sz w:val="22"/>
                      <w:szCs w:val="22"/>
                      <w:lang w:eastAsia="en-US"/>
                    </w:rPr>
                  </w:pPr>
                  <w:r w:rsidRPr="008B51AE">
                    <w:rPr>
                      <w:color w:val="000000" w:themeColor="text1"/>
                      <w:sz w:val="22"/>
                      <w:szCs w:val="22"/>
                      <w:lang w:eastAsia="en-US"/>
                    </w:rPr>
                    <w:lastRenderedPageBreak/>
                    <w:t>Sociālo pakalpojumu sniedzēji</w:t>
                  </w:r>
                </w:p>
              </w:tc>
              <w:tc>
                <w:tcPr>
                  <w:tcW w:w="851" w:type="dxa"/>
                </w:tcPr>
                <w:p w14:paraId="22C05D69" w14:textId="77777777" w:rsidR="004E3968" w:rsidRPr="008B51AE" w:rsidRDefault="004E3968" w:rsidP="00E103DD">
                  <w:pPr>
                    <w:pStyle w:val="naiskr"/>
                    <w:spacing w:before="0" w:after="0"/>
                    <w:ind w:right="142"/>
                    <w:jc w:val="right"/>
                    <w:rPr>
                      <w:color w:val="000000" w:themeColor="text1"/>
                      <w:sz w:val="22"/>
                      <w:szCs w:val="22"/>
                      <w:lang w:eastAsia="en-US"/>
                    </w:rPr>
                  </w:pPr>
                  <w:r w:rsidRPr="008B51AE">
                    <w:rPr>
                      <w:color w:val="000000" w:themeColor="text1"/>
                      <w:sz w:val="22"/>
                      <w:szCs w:val="22"/>
                      <w:lang w:eastAsia="en-US"/>
                    </w:rPr>
                    <w:t>131</w:t>
                  </w:r>
                </w:p>
              </w:tc>
              <w:tc>
                <w:tcPr>
                  <w:tcW w:w="850" w:type="dxa"/>
                </w:tcPr>
                <w:p w14:paraId="48CC5325" w14:textId="77777777" w:rsidR="004E3968" w:rsidRPr="008B51AE" w:rsidRDefault="004E3968" w:rsidP="00E103DD">
                  <w:pPr>
                    <w:pStyle w:val="naiskr"/>
                    <w:spacing w:before="0" w:after="0"/>
                    <w:ind w:right="142"/>
                    <w:jc w:val="right"/>
                    <w:rPr>
                      <w:color w:val="000000" w:themeColor="text1"/>
                      <w:sz w:val="22"/>
                      <w:szCs w:val="22"/>
                      <w:lang w:eastAsia="en-US"/>
                    </w:rPr>
                  </w:pPr>
                  <w:r w:rsidRPr="008B51AE">
                    <w:rPr>
                      <w:color w:val="000000" w:themeColor="text1"/>
                      <w:sz w:val="22"/>
                      <w:szCs w:val="22"/>
                      <w:lang w:eastAsia="en-US"/>
                    </w:rPr>
                    <w:t>10,1</w:t>
                  </w:r>
                </w:p>
              </w:tc>
              <w:tc>
                <w:tcPr>
                  <w:tcW w:w="851" w:type="dxa"/>
                </w:tcPr>
                <w:p w14:paraId="619E8FA7" w14:textId="77777777" w:rsidR="004E3968" w:rsidRPr="008B51AE" w:rsidRDefault="004E3968" w:rsidP="00E103DD">
                  <w:pPr>
                    <w:ind w:right="142"/>
                    <w:rPr>
                      <w:bCs/>
                      <w:color w:val="000000" w:themeColor="text1"/>
                      <w:sz w:val="22"/>
                      <w:szCs w:val="22"/>
                      <w:lang w:eastAsia="en-US"/>
                    </w:rPr>
                  </w:pPr>
                  <w:r w:rsidRPr="008B51AE">
                    <w:rPr>
                      <w:bCs/>
                      <w:color w:val="000000" w:themeColor="text1"/>
                      <w:sz w:val="22"/>
                      <w:szCs w:val="22"/>
                    </w:rPr>
                    <w:t>125</w:t>
                  </w:r>
                </w:p>
              </w:tc>
              <w:tc>
                <w:tcPr>
                  <w:tcW w:w="1027" w:type="dxa"/>
                </w:tcPr>
                <w:p w14:paraId="1AF9D203" w14:textId="77777777" w:rsidR="004E3968" w:rsidRPr="008B51AE" w:rsidRDefault="004E3968" w:rsidP="00E103DD">
                  <w:pPr>
                    <w:ind w:right="142"/>
                    <w:rPr>
                      <w:color w:val="000000" w:themeColor="text1"/>
                      <w:sz w:val="22"/>
                      <w:szCs w:val="22"/>
                    </w:rPr>
                  </w:pPr>
                  <w:r w:rsidRPr="008B51AE">
                    <w:rPr>
                      <w:color w:val="000000" w:themeColor="text1"/>
                      <w:sz w:val="22"/>
                      <w:szCs w:val="22"/>
                    </w:rPr>
                    <w:t>9,5</w:t>
                  </w:r>
                </w:p>
              </w:tc>
            </w:tr>
            <w:tr w:rsidR="004E3968" w:rsidRPr="008B51AE" w14:paraId="651AF9FA" w14:textId="77777777" w:rsidTr="00EA4D18">
              <w:tc>
                <w:tcPr>
                  <w:tcW w:w="2086" w:type="dxa"/>
                </w:tcPr>
                <w:p w14:paraId="2FA05222" w14:textId="77777777" w:rsidR="004E3968" w:rsidRPr="008B51AE" w:rsidRDefault="004E3968" w:rsidP="00E103DD">
                  <w:pPr>
                    <w:pStyle w:val="naiskr"/>
                    <w:spacing w:before="0" w:after="0"/>
                    <w:ind w:right="142"/>
                    <w:jc w:val="both"/>
                    <w:rPr>
                      <w:color w:val="000000" w:themeColor="text1"/>
                      <w:sz w:val="22"/>
                      <w:szCs w:val="22"/>
                      <w:lang w:eastAsia="en-US"/>
                    </w:rPr>
                  </w:pPr>
                  <w:r w:rsidRPr="008B51AE">
                    <w:rPr>
                      <w:color w:val="000000" w:themeColor="text1"/>
                      <w:sz w:val="22"/>
                      <w:szCs w:val="22"/>
                      <w:lang w:eastAsia="en-US"/>
                    </w:rPr>
                    <w:t>Pārējie lietotāji</w:t>
                  </w:r>
                </w:p>
              </w:tc>
              <w:tc>
                <w:tcPr>
                  <w:tcW w:w="851" w:type="dxa"/>
                </w:tcPr>
                <w:p w14:paraId="347BA929" w14:textId="77777777" w:rsidR="004E3968" w:rsidRPr="008B51AE" w:rsidRDefault="004E3968" w:rsidP="00E103DD">
                  <w:pPr>
                    <w:pStyle w:val="naiskr"/>
                    <w:spacing w:before="0" w:after="0"/>
                    <w:ind w:right="142"/>
                    <w:jc w:val="right"/>
                    <w:rPr>
                      <w:color w:val="000000" w:themeColor="text1"/>
                      <w:sz w:val="22"/>
                      <w:szCs w:val="22"/>
                      <w:lang w:eastAsia="en-US"/>
                    </w:rPr>
                  </w:pPr>
                  <w:r w:rsidRPr="008B51AE">
                    <w:rPr>
                      <w:color w:val="000000" w:themeColor="text1"/>
                      <w:sz w:val="22"/>
                      <w:szCs w:val="22"/>
                      <w:lang w:eastAsia="en-US"/>
                    </w:rPr>
                    <w:t>1038</w:t>
                  </w:r>
                </w:p>
              </w:tc>
              <w:tc>
                <w:tcPr>
                  <w:tcW w:w="850" w:type="dxa"/>
                </w:tcPr>
                <w:p w14:paraId="07155653" w14:textId="77777777" w:rsidR="004E3968" w:rsidRPr="008B51AE" w:rsidRDefault="004E3968" w:rsidP="00E103DD">
                  <w:pPr>
                    <w:pStyle w:val="naiskr"/>
                    <w:spacing w:before="0" w:after="0"/>
                    <w:ind w:right="142"/>
                    <w:jc w:val="right"/>
                    <w:rPr>
                      <w:color w:val="000000" w:themeColor="text1"/>
                      <w:sz w:val="22"/>
                      <w:szCs w:val="22"/>
                      <w:lang w:eastAsia="en-US"/>
                    </w:rPr>
                  </w:pPr>
                  <w:r w:rsidRPr="008B51AE">
                    <w:rPr>
                      <w:color w:val="000000" w:themeColor="text1"/>
                      <w:sz w:val="22"/>
                      <w:szCs w:val="22"/>
                      <w:lang w:eastAsia="en-US"/>
                    </w:rPr>
                    <w:t>80,2</w:t>
                  </w:r>
                </w:p>
              </w:tc>
              <w:tc>
                <w:tcPr>
                  <w:tcW w:w="851" w:type="dxa"/>
                </w:tcPr>
                <w:p w14:paraId="589D6C1E" w14:textId="77777777" w:rsidR="004E3968" w:rsidRPr="008B51AE" w:rsidRDefault="004E3968" w:rsidP="00E103DD">
                  <w:pPr>
                    <w:pStyle w:val="naiskr"/>
                    <w:spacing w:before="0" w:after="0"/>
                    <w:ind w:right="142"/>
                    <w:rPr>
                      <w:bCs/>
                      <w:color w:val="000000" w:themeColor="text1"/>
                      <w:sz w:val="22"/>
                      <w:szCs w:val="22"/>
                      <w:lang w:eastAsia="en-US"/>
                    </w:rPr>
                  </w:pPr>
                  <w:r w:rsidRPr="008B51AE">
                    <w:rPr>
                      <w:bCs/>
                      <w:color w:val="000000" w:themeColor="text1"/>
                      <w:sz w:val="22"/>
                      <w:szCs w:val="22"/>
                      <w:lang w:eastAsia="en-US"/>
                    </w:rPr>
                    <w:t>1073</w:t>
                  </w:r>
                </w:p>
              </w:tc>
              <w:tc>
                <w:tcPr>
                  <w:tcW w:w="1027" w:type="dxa"/>
                </w:tcPr>
                <w:p w14:paraId="2A499D0E" w14:textId="77777777" w:rsidR="004E3968" w:rsidRPr="008B51AE" w:rsidRDefault="004E3968" w:rsidP="00E103DD">
                  <w:pPr>
                    <w:pStyle w:val="naiskr"/>
                    <w:spacing w:before="0" w:after="0"/>
                    <w:ind w:right="142"/>
                    <w:rPr>
                      <w:color w:val="000000" w:themeColor="text1"/>
                      <w:sz w:val="22"/>
                      <w:szCs w:val="22"/>
                      <w:lang w:eastAsia="en-US"/>
                    </w:rPr>
                  </w:pPr>
                  <w:r w:rsidRPr="008B51AE">
                    <w:rPr>
                      <w:color w:val="000000" w:themeColor="text1"/>
                      <w:sz w:val="22"/>
                      <w:szCs w:val="22"/>
                      <w:lang w:eastAsia="en-US"/>
                    </w:rPr>
                    <w:t>81,4</w:t>
                  </w:r>
                </w:p>
              </w:tc>
            </w:tr>
            <w:tr w:rsidR="004E3968" w:rsidRPr="008B51AE" w14:paraId="44CD6AD9" w14:textId="77777777" w:rsidTr="00EA4D18">
              <w:trPr>
                <w:trHeight w:val="77"/>
              </w:trPr>
              <w:tc>
                <w:tcPr>
                  <w:tcW w:w="2086" w:type="dxa"/>
                </w:tcPr>
                <w:p w14:paraId="56F4C822" w14:textId="77777777" w:rsidR="004E3968" w:rsidRPr="008B51AE" w:rsidRDefault="004E3968" w:rsidP="00E103DD">
                  <w:pPr>
                    <w:pStyle w:val="naiskr"/>
                    <w:spacing w:before="0" w:after="0"/>
                    <w:ind w:right="142"/>
                    <w:jc w:val="both"/>
                    <w:rPr>
                      <w:b/>
                      <w:bCs/>
                      <w:color w:val="000000" w:themeColor="text1"/>
                      <w:sz w:val="22"/>
                      <w:szCs w:val="22"/>
                      <w:lang w:eastAsia="en-US"/>
                    </w:rPr>
                  </w:pPr>
                  <w:r w:rsidRPr="008B51AE">
                    <w:rPr>
                      <w:b/>
                      <w:bCs/>
                      <w:color w:val="000000" w:themeColor="text1"/>
                      <w:sz w:val="22"/>
                      <w:szCs w:val="22"/>
                      <w:lang w:eastAsia="en-US"/>
                    </w:rPr>
                    <w:t>KOPĀ</w:t>
                  </w:r>
                </w:p>
                <w:p w14:paraId="07AE91CD" w14:textId="77777777" w:rsidR="004E3968" w:rsidRPr="008B51AE" w:rsidRDefault="004E3968" w:rsidP="00E103DD">
                  <w:pPr>
                    <w:pStyle w:val="naiskr"/>
                    <w:spacing w:before="0" w:after="0"/>
                    <w:ind w:right="142"/>
                    <w:jc w:val="both"/>
                    <w:rPr>
                      <w:b/>
                      <w:bCs/>
                      <w:color w:val="000000" w:themeColor="text1"/>
                      <w:sz w:val="22"/>
                      <w:szCs w:val="22"/>
                      <w:lang w:eastAsia="en-US"/>
                    </w:rPr>
                  </w:pPr>
                </w:p>
              </w:tc>
              <w:tc>
                <w:tcPr>
                  <w:tcW w:w="851" w:type="dxa"/>
                </w:tcPr>
                <w:p w14:paraId="4F1C29F5" w14:textId="77777777" w:rsidR="004E3968" w:rsidRPr="008B51AE" w:rsidRDefault="004E3968" w:rsidP="00E103DD">
                  <w:pPr>
                    <w:pStyle w:val="naiskr"/>
                    <w:spacing w:before="0" w:after="0"/>
                    <w:ind w:right="142"/>
                    <w:jc w:val="right"/>
                    <w:rPr>
                      <w:b/>
                      <w:bCs/>
                      <w:color w:val="000000" w:themeColor="text1"/>
                      <w:sz w:val="22"/>
                      <w:szCs w:val="22"/>
                      <w:lang w:eastAsia="en-US"/>
                    </w:rPr>
                  </w:pPr>
                  <w:r w:rsidRPr="008B51AE">
                    <w:rPr>
                      <w:b/>
                      <w:bCs/>
                      <w:color w:val="000000" w:themeColor="text1"/>
                      <w:sz w:val="22"/>
                      <w:szCs w:val="22"/>
                      <w:lang w:eastAsia="en-US"/>
                    </w:rPr>
                    <w:t>1294</w:t>
                  </w:r>
                </w:p>
              </w:tc>
              <w:tc>
                <w:tcPr>
                  <w:tcW w:w="850" w:type="dxa"/>
                </w:tcPr>
                <w:p w14:paraId="06827699" w14:textId="77777777" w:rsidR="004E3968" w:rsidRPr="008B51AE" w:rsidRDefault="004E3968" w:rsidP="00E103DD">
                  <w:pPr>
                    <w:pStyle w:val="naiskr"/>
                    <w:spacing w:before="0" w:after="0"/>
                    <w:ind w:right="142"/>
                    <w:jc w:val="right"/>
                    <w:rPr>
                      <w:b/>
                      <w:bCs/>
                      <w:color w:val="000000" w:themeColor="text1"/>
                      <w:sz w:val="22"/>
                      <w:szCs w:val="22"/>
                      <w:lang w:eastAsia="en-US"/>
                    </w:rPr>
                  </w:pPr>
                  <w:r w:rsidRPr="008B51AE">
                    <w:rPr>
                      <w:b/>
                      <w:bCs/>
                      <w:color w:val="000000" w:themeColor="text1"/>
                      <w:sz w:val="22"/>
                      <w:szCs w:val="22"/>
                      <w:lang w:eastAsia="en-US"/>
                    </w:rPr>
                    <w:t>100,0</w:t>
                  </w:r>
                </w:p>
              </w:tc>
              <w:tc>
                <w:tcPr>
                  <w:tcW w:w="851" w:type="dxa"/>
                </w:tcPr>
                <w:p w14:paraId="560C6FD9" w14:textId="77777777" w:rsidR="004E3968" w:rsidRPr="008B51AE" w:rsidRDefault="004E3968" w:rsidP="00E103DD">
                  <w:pPr>
                    <w:ind w:right="142"/>
                    <w:rPr>
                      <w:b/>
                      <w:bCs/>
                      <w:color w:val="000000" w:themeColor="text1"/>
                      <w:sz w:val="22"/>
                      <w:szCs w:val="22"/>
                    </w:rPr>
                  </w:pPr>
                  <w:r w:rsidRPr="008B51AE">
                    <w:rPr>
                      <w:b/>
                      <w:bCs/>
                      <w:color w:val="000000" w:themeColor="text1"/>
                      <w:sz w:val="22"/>
                      <w:szCs w:val="22"/>
                    </w:rPr>
                    <w:t>1318</w:t>
                  </w:r>
                </w:p>
              </w:tc>
              <w:tc>
                <w:tcPr>
                  <w:tcW w:w="1027" w:type="dxa"/>
                </w:tcPr>
                <w:p w14:paraId="362BAE60" w14:textId="77777777" w:rsidR="004E3968" w:rsidRPr="008B51AE" w:rsidRDefault="004E3968" w:rsidP="00E103DD">
                  <w:pPr>
                    <w:ind w:right="142"/>
                    <w:rPr>
                      <w:b/>
                      <w:bCs/>
                      <w:color w:val="000000" w:themeColor="text1"/>
                      <w:sz w:val="22"/>
                      <w:szCs w:val="22"/>
                    </w:rPr>
                  </w:pPr>
                  <w:r w:rsidRPr="008B51AE">
                    <w:rPr>
                      <w:b/>
                      <w:bCs/>
                      <w:color w:val="000000" w:themeColor="text1"/>
                      <w:sz w:val="22"/>
                      <w:szCs w:val="22"/>
                      <w:lang w:eastAsia="en-US"/>
                    </w:rPr>
                    <w:t>100,0</w:t>
                  </w:r>
                </w:p>
              </w:tc>
            </w:tr>
          </w:tbl>
          <w:p w14:paraId="1788D5BC" w14:textId="77777777" w:rsidR="00735023" w:rsidRPr="008B51AE" w:rsidRDefault="00735023" w:rsidP="00E103DD">
            <w:pPr>
              <w:pStyle w:val="naiskr"/>
              <w:ind w:right="142"/>
              <w:rPr>
                <w:sz w:val="20"/>
                <w:szCs w:val="20"/>
                <w:lang w:eastAsia="en-US"/>
              </w:rPr>
            </w:pPr>
            <w:r w:rsidRPr="008B51AE">
              <w:rPr>
                <w:sz w:val="20"/>
                <w:szCs w:val="20"/>
                <w:lang w:eastAsia="en-US"/>
              </w:rPr>
              <w:t>Avots: Ekonomikas ministrija</w:t>
            </w:r>
          </w:p>
          <w:p w14:paraId="777C4B09" w14:textId="11D7716E" w:rsidR="000B4A0E" w:rsidRPr="00DA752F" w:rsidRDefault="007271A5" w:rsidP="00E103DD">
            <w:pPr>
              <w:pStyle w:val="Normal1"/>
              <w:spacing w:before="0" w:beforeAutospacing="0" w:after="0" w:afterAutospacing="0"/>
              <w:ind w:right="142"/>
              <w:jc w:val="both"/>
              <w:rPr>
                <w:sz w:val="28"/>
                <w:szCs w:val="28"/>
              </w:rPr>
            </w:pPr>
            <w:r w:rsidRPr="00DA752F">
              <w:rPr>
                <w:sz w:val="28"/>
                <w:szCs w:val="28"/>
              </w:rPr>
              <w:t>Skatoties pēc 2015.gada Latvijas dabasgāzes patēriņa (</w:t>
            </w:r>
            <w:r w:rsidRPr="00DA752F">
              <w:rPr>
                <w:bCs/>
                <w:color w:val="000000" w:themeColor="text1"/>
                <w:sz w:val="28"/>
                <w:szCs w:val="28"/>
              </w:rPr>
              <w:t>1318 milj.</w:t>
            </w:r>
            <w:r w:rsidR="00A54E16" w:rsidRPr="00DA752F">
              <w:rPr>
                <w:color w:val="000000" w:themeColor="text1"/>
                <w:sz w:val="28"/>
                <w:szCs w:val="28"/>
                <w:lang w:eastAsia="en-US"/>
              </w:rPr>
              <w:t xml:space="preserve"> </w:t>
            </w:r>
            <w:r w:rsidRPr="00DA752F">
              <w:rPr>
                <w:color w:val="000000" w:themeColor="text1"/>
                <w:sz w:val="28"/>
                <w:szCs w:val="28"/>
                <w:lang w:eastAsia="en-US"/>
              </w:rPr>
              <w:t>m</w:t>
            </w:r>
            <w:r w:rsidRPr="00DA752F">
              <w:rPr>
                <w:color w:val="000000" w:themeColor="text1"/>
                <w:sz w:val="28"/>
                <w:szCs w:val="28"/>
                <w:vertAlign w:val="superscript"/>
                <w:lang w:eastAsia="en-US"/>
              </w:rPr>
              <w:t>3</w:t>
            </w:r>
            <w:r w:rsidRPr="00DA752F">
              <w:rPr>
                <w:sz w:val="28"/>
                <w:szCs w:val="28"/>
              </w:rPr>
              <w:t xml:space="preserve">), </w:t>
            </w:r>
            <w:r w:rsidR="003361C4" w:rsidRPr="00DA752F">
              <w:rPr>
                <w:sz w:val="28"/>
                <w:szCs w:val="28"/>
              </w:rPr>
              <w:t xml:space="preserve">dabasgāzes daudzums, kas </w:t>
            </w:r>
            <w:r w:rsidR="00D5388B" w:rsidRPr="00DA752F">
              <w:rPr>
                <w:sz w:val="28"/>
                <w:szCs w:val="28"/>
              </w:rPr>
              <w:t xml:space="preserve">būtu nepieciešams nodrošināmo lietotāju apgādei veselu gadu, </w:t>
            </w:r>
            <w:r w:rsidR="003361C4" w:rsidRPr="00DA752F">
              <w:rPr>
                <w:sz w:val="28"/>
                <w:szCs w:val="28"/>
              </w:rPr>
              <w:t xml:space="preserve">ir </w:t>
            </w:r>
            <w:r w:rsidRPr="00DA752F">
              <w:rPr>
                <w:sz w:val="28"/>
                <w:szCs w:val="28"/>
              </w:rPr>
              <w:t xml:space="preserve">aptuveni </w:t>
            </w:r>
            <w:r w:rsidR="007F4588" w:rsidRPr="00DA752F">
              <w:rPr>
                <w:sz w:val="28"/>
                <w:szCs w:val="28"/>
              </w:rPr>
              <w:t>245</w:t>
            </w:r>
            <w:r w:rsidRPr="00DA752F">
              <w:rPr>
                <w:sz w:val="28"/>
                <w:szCs w:val="28"/>
              </w:rPr>
              <w:t xml:space="preserve"> </w:t>
            </w:r>
            <w:r w:rsidRPr="00DA752F">
              <w:rPr>
                <w:bCs/>
                <w:color w:val="000000" w:themeColor="text1"/>
                <w:sz w:val="28"/>
                <w:szCs w:val="28"/>
              </w:rPr>
              <w:t>milj.</w:t>
            </w:r>
            <w:r w:rsidRPr="00DA752F">
              <w:rPr>
                <w:color w:val="000000" w:themeColor="text1"/>
                <w:sz w:val="28"/>
                <w:szCs w:val="28"/>
                <w:lang w:eastAsia="en-US"/>
              </w:rPr>
              <w:t xml:space="preserve"> m</w:t>
            </w:r>
            <w:r w:rsidRPr="00DA752F">
              <w:rPr>
                <w:color w:val="000000" w:themeColor="text1"/>
                <w:sz w:val="28"/>
                <w:szCs w:val="28"/>
                <w:vertAlign w:val="superscript"/>
                <w:lang w:eastAsia="en-US"/>
              </w:rPr>
              <w:t xml:space="preserve">3 </w:t>
            </w:r>
            <w:r w:rsidRPr="00DA752F">
              <w:rPr>
                <w:sz w:val="28"/>
                <w:szCs w:val="28"/>
              </w:rPr>
              <w:t>dabasgāzes</w:t>
            </w:r>
            <w:r w:rsidR="007F4588" w:rsidRPr="00DA752F">
              <w:rPr>
                <w:sz w:val="28"/>
                <w:szCs w:val="28"/>
              </w:rPr>
              <w:t xml:space="preserve">. </w:t>
            </w:r>
            <w:r w:rsidR="003361C4" w:rsidRPr="00DA752F">
              <w:rPr>
                <w:sz w:val="28"/>
                <w:szCs w:val="28"/>
              </w:rPr>
              <w:t xml:space="preserve">Vienlaikus jāņem vērā, ka </w:t>
            </w:r>
            <w:r w:rsidR="007F4588" w:rsidRPr="00DA752F">
              <w:rPr>
                <w:sz w:val="28"/>
                <w:szCs w:val="28"/>
              </w:rPr>
              <w:t xml:space="preserve"> Inčukalna</w:t>
            </w:r>
            <w:r w:rsidR="007F4588" w:rsidRPr="00DA752F">
              <w:rPr>
                <w:color w:val="000000" w:themeColor="text1"/>
                <w:sz w:val="28"/>
                <w:szCs w:val="28"/>
              </w:rPr>
              <w:t xml:space="preserve"> pazemes gāzes krātuvē dabasgāzes </w:t>
            </w:r>
            <w:r w:rsidR="009911C0" w:rsidRPr="00DA752F">
              <w:rPr>
                <w:color w:val="000000" w:themeColor="text1"/>
                <w:sz w:val="28"/>
                <w:szCs w:val="28"/>
              </w:rPr>
              <w:t xml:space="preserve">uzkrāšana ir </w:t>
            </w:r>
            <w:r w:rsidR="007F4588" w:rsidRPr="00DA752F">
              <w:rPr>
                <w:color w:val="000000" w:themeColor="text1"/>
                <w:sz w:val="28"/>
                <w:szCs w:val="28"/>
              </w:rPr>
              <w:t>sezonāl</w:t>
            </w:r>
            <w:r w:rsidR="009911C0" w:rsidRPr="00DA752F">
              <w:rPr>
                <w:color w:val="000000" w:themeColor="text1"/>
                <w:sz w:val="28"/>
                <w:szCs w:val="28"/>
              </w:rPr>
              <w:t>a</w:t>
            </w:r>
            <w:r w:rsidR="00A03B08" w:rsidRPr="00DA752F">
              <w:rPr>
                <w:color w:val="000000" w:themeColor="text1"/>
                <w:sz w:val="28"/>
                <w:szCs w:val="28"/>
              </w:rPr>
              <w:t>.</w:t>
            </w:r>
            <w:r w:rsidR="003361C4" w:rsidRPr="00DA752F">
              <w:rPr>
                <w:color w:val="000000" w:themeColor="text1"/>
                <w:sz w:val="28"/>
                <w:szCs w:val="28"/>
              </w:rPr>
              <w:t xml:space="preserve"> </w:t>
            </w:r>
            <w:r w:rsidR="00F8714E" w:rsidRPr="00DA752F">
              <w:rPr>
                <w:sz w:val="28"/>
                <w:szCs w:val="28"/>
              </w:rPr>
              <w:t xml:space="preserve">Pamatojoties uz </w:t>
            </w:r>
            <w:r w:rsidR="006911BF" w:rsidRPr="00DA752F">
              <w:rPr>
                <w:sz w:val="28"/>
                <w:szCs w:val="28"/>
              </w:rPr>
              <w:t>regulā</w:t>
            </w:r>
            <w:r w:rsidR="00575FBA" w:rsidRPr="00DA752F">
              <w:rPr>
                <w:sz w:val="28"/>
                <w:szCs w:val="28"/>
              </w:rPr>
              <w:t xml:space="preserve"> </w:t>
            </w:r>
            <w:r w:rsidR="00F8714E" w:rsidRPr="00DA752F">
              <w:rPr>
                <w:sz w:val="28"/>
                <w:szCs w:val="28"/>
              </w:rPr>
              <w:t>iekļautajām prasībām</w:t>
            </w:r>
            <w:r w:rsidR="001671F2" w:rsidRPr="00DA752F">
              <w:rPr>
                <w:sz w:val="28"/>
                <w:szCs w:val="28"/>
              </w:rPr>
              <w:t xml:space="preserve"> (6.pants)</w:t>
            </w:r>
            <w:r w:rsidR="00F8714E" w:rsidRPr="00DA752F">
              <w:rPr>
                <w:sz w:val="28"/>
                <w:szCs w:val="28"/>
              </w:rPr>
              <w:t xml:space="preserve">, </w:t>
            </w:r>
            <w:r w:rsidR="00D5388B" w:rsidRPr="00DA752F">
              <w:rPr>
                <w:sz w:val="28"/>
                <w:szCs w:val="28"/>
              </w:rPr>
              <w:t xml:space="preserve">nepieciešams nodrošināt, </w:t>
            </w:r>
            <w:r w:rsidR="00A03B08" w:rsidRPr="00DA752F">
              <w:rPr>
                <w:sz w:val="28"/>
                <w:szCs w:val="28"/>
              </w:rPr>
              <w:t>ka</w:t>
            </w:r>
            <w:r w:rsidR="006911BF" w:rsidRPr="00DA752F">
              <w:rPr>
                <w:sz w:val="28"/>
                <w:szCs w:val="28"/>
              </w:rPr>
              <w:t xml:space="preserve"> </w:t>
            </w:r>
            <w:r w:rsidR="00E9661B" w:rsidRPr="00DA752F">
              <w:rPr>
                <w:sz w:val="28"/>
                <w:szCs w:val="28"/>
              </w:rPr>
              <w:t>nodrošināmiem lietotājiem</w:t>
            </w:r>
            <w:r w:rsidR="00F8714E" w:rsidRPr="00DA752F">
              <w:rPr>
                <w:sz w:val="28"/>
                <w:szCs w:val="28"/>
              </w:rPr>
              <w:t xml:space="preserve"> </w:t>
            </w:r>
            <w:r w:rsidR="00A03B08" w:rsidRPr="00DA752F">
              <w:rPr>
                <w:sz w:val="28"/>
                <w:szCs w:val="28"/>
              </w:rPr>
              <w:t>tiek nodrošināta gāzes apgāde pie jebkādiem nosacījumiem</w:t>
            </w:r>
            <w:r w:rsidR="00F8714E" w:rsidRPr="00DA752F">
              <w:rPr>
                <w:sz w:val="28"/>
                <w:szCs w:val="28"/>
              </w:rPr>
              <w:t>.</w:t>
            </w:r>
          </w:p>
          <w:p w14:paraId="570A098A" w14:textId="1C699DE0" w:rsidR="00DA752F" w:rsidRPr="00DA752F" w:rsidRDefault="00FE0751" w:rsidP="00E103DD">
            <w:pPr>
              <w:ind w:right="142"/>
              <w:jc w:val="both"/>
              <w:rPr>
                <w:sz w:val="28"/>
                <w:szCs w:val="28"/>
              </w:rPr>
            </w:pPr>
            <w:r w:rsidRPr="00DA752F">
              <w:rPr>
                <w:color w:val="000000"/>
                <w:sz w:val="28"/>
                <w:szCs w:val="28"/>
              </w:rPr>
              <w:t>Gāzes piegādes drošība ir dabasgāzes uzņēmumu, dalībvalstu kompetento iestāžu, un Eiropas Komisijas kopīga atbildība, kuras īstenošanai ir pieejama plaša instrumentu izvēle. Minētie instrumenti būtu jāizmanto valsts, reģionālā un Eiropas Savienības kontekstā.</w:t>
            </w:r>
            <w:r w:rsidR="00DA752F" w:rsidRPr="00DA752F">
              <w:rPr>
                <w:color w:val="000000"/>
                <w:sz w:val="28"/>
                <w:szCs w:val="28"/>
              </w:rPr>
              <w:t xml:space="preserve"> </w:t>
            </w:r>
          </w:p>
          <w:p w14:paraId="6EEDE178" w14:textId="354AC6D5" w:rsidR="00FE0751" w:rsidRPr="00DA752F" w:rsidRDefault="00FE0751" w:rsidP="00E103DD">
            <w:pPr>
              <w:ind w:right="142"/>
              <w:jc w:val="both"/>
              <w:rPr>
                <w:sz w:val="28"/>
                <w:szCs w:val="28"/>
              </w:rPr>
            </w:pPr>
            <w:r w:rsidRPr="00DA752F">
              <w:rPr>
                <w:color w:val="000000" w:themeColor="text1"/>
                <w:sz w:val="28"/>
                <w:szCs w:val="28"/>
              </w:rPr>
              <w:t>Apskatot citu Eiropas Savienības dalībvalstu pieredzi</w:t>
            </w:r>
            <w:r w:rsidR="00EE04FE">
              <w:rPr>
                <w:rStyle w:val="FootnoteReference"/>
                <w:color w:val="000000" w:themeColor="text1"/>
                <w:sz w:val="28"/>
                <w:szCs w:val="28"/>
              </w:rPr>
              <w:footnoteReference w:id="1"/>
            </w:r>
            <w:r w:rsidRPr="00DA752F">
              <w:rPr>
                <w:color w:val="000000" w:themeColor="text1"/>
                <w:sz w:val="28"/>
                <w:szCs w:val="28"/>
              </w:rPr>
              <w:t>, redzams, ka pilnīgu paļaušanos vienīgi uz brīva tirgus spēju sniegt apgādes drošību izvēlas valstis, kurām ir sava gāzes ieguve, piemēram, Lielbritānija un Nīderlande. Citas Eiropas Savienības dalībvalstis, kurās dabasgāzes tirdzniecība noris brīva tirgus apstākļos,  rezerves veidoja laika p</w:t>
            </w:r>
            <w:r w:rsidR="000F4A9C">
              <w:rPr>
                <w:color w:val="000000" w:themeColor="text1"/>
                <w:sz w:val="28"/>
                <w:szCs w:val="28"/>
              </w:rPr>
              <w:t>eriodā no 2010. gada līdz 2013.</w:t>
            </w:r>
            <w:r w:rsidRPr="00DA752F">
              <w:rPr>
                <w:color w:val="000000" w:themeColor="text1"/>
                <w:sz w:val="28"/>
                <w:szCs w:val="28"/>
              </w:rPr>
              <w:t xml:space="preserve">gadam un ir izvēlējušās dažādus rezerves veidošanas mehānismus. </w:t>
            </w:r>
          </w:p>
          <w:p w14:paraId="313169E3" w14:textId="4302233B" w:rsidR="009D4C87" w:rsidRPr="00DA752F" w:rsidRDefault="001671F2" w:rsidP="00E103DD">
            <w:pPr>
              <w:ind w:right="142"/>
              <w:jc w:val="both"/>
              <w:rPr>
                <w:sz w:val="28"/>
                <w:szCs w:val="28"/>
              </w:rPr>
            </w:pPr>
            <w:r w:rsidRPr="00DA752F">
              <w:rPr>
                <w:sz w:val="28"/>
                <w:szCs w:val="28"/>
              </w:rPr>
              <w:t>Vienlaikus</w:t>
            </w:r>
            <w:r w:rsidR="00A03B08" w:rsidRPr="00DA752F">
              <w:rPr>
                <w:sz w:val="28"/>
                <w:szCs w:val="28"/>
              </w:rPr>
              <w:t>, a</w:t>
            </w:r>
            <w:r w:rsidR="003361C4" w:rsidRPr="00DA752F">
              <w:rPr>
                <w:sz w:val="28"/>
                <w:szCs w:val="28"/>
              </w:rPr>
              <w:t xml:space="preserve">tbilstoši </w:t>
            </w:r>
            <w:r w:rsidR="006911BF" w:rsidRPr="00DA752F">
              <w:rPr>
                <w:sz w:val="28"/>
                <w:szCs w:val="28"/>
              </w:rPr>
              <w:t>201</w:t>
            </w:r>
            <w:r w:rsidR="003361C4" w:rsidRPr="00DA752F">
              <w:rPr>
                <w:sz w:val="28"/>
                <w:szCs w:val="28"/>
              </w:rPr>
              <w:t>7</w:t>
            </w:r>
            <w:r w:rsidR="006911BF" w:rsidRPr="00DA752F">
              <w:rPr>
                <w:sz w:val="28"/>
                <w:szCs w:val="28"/>
              </w:rPr>
              <w:t xml:space="preserve">.gadā veiktā </w:t>
            </w:r>
            <w:r w:rsidR="003361C4" w:rsidRPr="00DA752F">
              <w:rPr>
                <w:sz w:val="28"/>
                <w:szCs w:val="28"/>
              </w:rPr>
              <w:t xml:space="preserve">Eiropas Komisijas </w:t>
            </w:r>
            <w:r w:rsidR="006911BF" w:rsidRPr="00DA752F">
              <w:rPr>
                <w:rFonts w:eastAsiaTheme="minorHAnsi" w:cstheme="minorBidi"/>
                <w:iCs/>
                <w:sz w:val="28"/>
                <w:szCs w:val="28"/>
                <w:lang w:eastAsia="en-US"/>
              </w:rPr>
              <w:t xml:space="preserve">Apvienotā </w:t>
            </w:r>
            <w:r w:rsidR="00162D29" w:rsidRPr="00DA752F">
              <w:rPr>
                <w:rFonts w:eastAsiaTheme="minorHAnsi" w:cstheme="minorBidi"/>
                <w:iCs/>
                <w:sz w:val="28"/>
                <w:szCs w:val="28"/>
                <w:lang w:eastAsia="en-US"/>
              </w:rPr>
              <w:t>i</w:t>
            </w:r>
            <w:r w:rsidR="006911BF" w:rsidRPr="00DA752F">
              <w:rPr>
                <w:rFonts w:eastAsiaTheme="minorHAnsi" w:cstheme="minorBidi"/>
                <w:iCs/>
                <w:sz w:val="28"/>
                <w:szCs w:val="28"/>
                <w:lang w:eastAsia="en-US"/>
              </w:rPr>
              <w:t xml:space="preserve">zpētes </w:t>
            </w:r>
            <w:r w:rsidR="006911BF" w:rsidRPr="00DA752F">
              <w:rPr>
                <w:sz w:val="28"/>
                <w:szCs w:val="28"/>
              </w:rPr>
              <w:t>centra (</w:t>
            </w:r>
            <w:proofErr w:type="spellStart"/>
            <w:r w:rsidR="00162D29" w:rsidRPr="00DA752F">
              <w:rPr>
                <w:i/>
                <w:sz w:val="28"/>
                <w:szCs w:val="28"/>
              </w:rPr>
              <w:t>Joint</w:t>
            </w:r>
            <w:proofErr w:type="spellEnd"/>
            <w:r w:rsidR="00162D29" w:rsidRPr="00DA752F">
              <w:rPr>
                <w:i/>
                <w:sz w:val="28"/>
                <w:szCs w:val="28"/>
              </w:rPr>
              <w:t xml:space="preserve"> </w:t>
            </w:r>
            <w:proofErr w:type="spellStart"/>
            <w:r w:rsidR="00162D29" w:rsidRPr="00DA752F">
              <w:rPr>
                <w:i/>
                <w:sz w:val="28"/>
                <w:szCs w:val="28"/>
              </w:rPr>
              <w:t>Research</w:t>
            </w:r>
            <w:proofErr w:type="spellEnd"/>
            <w:r w:rsidR="00162D29" w:rsidRPr="00DA752F">
              <w:rPr>
                <w:i/>
                <w:sz w:val="28"/>
                <w:szCs w:val="28"/>
              </w:rPr>
              <w:t xml:space="preserve"> </w:t>
            </w:r>
            <w:proofErr w:type="spellStart"/>
            <w:r w:rsidR="00162D29" w:rsidRPr="00DA752F">
              <w:rPr>
                <w:i/>
                <w:sz w:val="28"/>
                <w:szCs w:val="28"/>
              </w:rPr>
              <w:t>Center</w:t>
            </w:r>
            <w:proofErr w:type="spellEnd"/>
            <w:r w:rsidR="00162D29" w:rsidRPr="00DA752F">
              <w:rPr>
                <w:i/>
                <w:sz w:val="28"/>
                <w:szCs w:val="28"/>
              </w:rPr>
              <w:t xml:space="preserve"> (</w:t>
            </w:r>
            <w:r w:rsidR="006911BF" w:rsidRPr="00DA752F">
              <w:rPr>
                <w:i/>
                <w:sz w:val="28"/>
                <w:szCs w:val="28"/>
              </w:rPr>
              <w:t>JRC</w:t>
            </w:r>
            <w:r w:rsidR="00162D29" w:rsidRPr="00DA752F">
              <w:rPr>
                <w:i/>
                <w:sz w:val="28"/>
                <w:szCs w:val="28"/>
              </w:rPr>
              <w:t>)</w:t>
            </w:r>
            <w:r w:rsidR="006911BF" w:rsidRPr="00DA752F">
              <w:rPr>
                <w:sz w:val="28"/>
                <w:szCs w:val="28"/>
              </w:rPr>
              <w:t>) pētījum</w:t>
            </w:r>
            <w:r w:rsidR="00CF51D1" w:rsidRPr="00DA752F">
              <w:rPr>
                <w:sz w:val="28"/>
                <w:szCs w:val="28"/>
              </w:rPr>
              <w:t xml:space="preserve">a rezultātiem, </w:t>
            </w:r>
            <w:r w:rsidR="006911BF" w:rsidRPr="00DA752F">
              <w:rPr>
                <w:sz w:val="28"/>
                <w:szCs w:val="28"/>
              </w:rPr>
              <w:t xml:space="preserve">balstoties </w:t>
            </w:r>
            <w:r w:rsidR="00CF51D1" w:rsidRPr="00DA752F">
              <w:rPr>
                <w:sz w:val="28"/>
                <w:szCs w:val="28"/>
              </w:rPr>
              <w:t>uz</w:t>
            </w:r>
            <w:r w:rsidR="006911BF" w:rsidRPr="00DA752F">
              <w:rPr>
                <w:sz w:val="28"/>
                <w:szCs w:val="28"/>
              </w:rPr>
              <w:t xml:space="preserve"> riska novērtējum</w:t>
            </w:r>
            <w:r w:rsidR="00CF51D1" w:rsidRPr="00DA752F">
              <w:rPr>
                <w:sz w:val="28"/>
                <w:szCs w:val="28"/>
              </w:rPr>
              <w:t>iem</w:t>
            </w:r>
            <w:r w:rsidR="003361C4" w:rsidRPr="00DA752F">
              <w:rPr>
                <w:sz w:val="28"/>
                <w:szCs w:val="28"/>
              </w:rPr>
              <w:t xml:space="preserve"> (izvērtēti kopumā 12 dažādi risku scenāriji)</w:t>
            </w:r>
            <w:r w:rsidR="00CF51D1" w:rsidRPr="00DA752F">
              <w:rPr>
                <w:sz w:val="28"/>
                <w:szCs w:val="28"/>
              </w:rPr>
              <w:t xml:space="preserve">, ir izsecināts, ka </w:t>
            </w:r>
            <w:r w:rsidR="006911BF" w:rsidRPr="00DA752F">
              <w:rPr>
                <w:sz w:val="28"/>
                <w:szCs w:val="28"/>
              </w:rPr>
              <w:t xml:space="preserve">divu nedēļu laikā ir iespējams novērst jebkuru gāzes apgādes traucējumu </w:t>
            </w:r>
            <w:r w:rsidR="003361C4" w:rsidRPr="00DA752F">
              <w:rPr>
                <w:sz w:val="28"/>
                <w:szCs w:val="28"/>
              </w:rPr>
              <w:t xml:space="preserve">Baltijas </w:t>
            </w:r>
            <w:r w:rsidR="006911BF" w:rsidRPr="00DA752F">
              <w:rPr>
                <w:sz w:val="28"/>
                <w:szCs w:val="28"/>
              </w:rPr>
              <w:t>reģionā, izmantojot alternatīvus gāzes apgādes ceļus</w:t>
            </w:r>
            <w:r w:rsidR="00A03B08" w:rsidRPr="00DA752F">
              <w:rPr>
                <w:sz w:val="28"/>
                <w:szCs w:val="28"/>
              </w:rPr>
              <w:t xml:space="preserve"> vai novēršot tehnisko problēmu</w:t>
            </w:r>
            <w:r w:rsidR="006911BF" w:rsidRPr="00DA752F">
              <w:rPr>
                <w:sz w:val="28"/>
                <w:szCs w:val="28"/>
              </w:rPr>
              <w:t>.</w:t>
            </w:r>
            <w:r w:rsidR="00CF51D1" w:rsidRPr="00DA752F">
              <w:rPr>
                <w:sz w:val="28"/>
                <w:szCs w:val="28"/>
              </w:rPr>
              <w:t xml:space="preserve"> </w:t>
            </w:r>
          </w:p>
          <w:p w14:paraId="729DA8AF" w14:textId="75397454" w:rsidR="00CF51D1" w:rsidRPr="008B51AE" w:rsidRDefault="00CF51D1" w:rsidP="00E103DD">
            <w:pPr>
              <w:ind w:right="142"/>
              <w:jc w:val="both"/>
              <w:rPr>
                <w:sz w:val="28"/>
                <w:szCs w:val="28"/>
              </w:rPr>
            </w:pPr>
            <w:r w:rsidRPr="00DA752F">
              <w:rPr>
                <w:sz w:val="28"/>
                <w:szCs w:val="28"/>
              </w:rPr>
              <w:t xml:space="preserve">Gadījumā, ja </w:t>
            </w:r>
            <w:r w:rsidR="00A03B08" w:rsidRPr="00DA752F">
              <w:rPr>
                <w:sz w:val="28"/>
                <w:szCs w:val="28"/>
              </w:rPr>
              <w:t xml:space="preserve">sakrīt vairāki apstākļi, piemēram, </w:t>
            </w:r>
            <w:r w:rsidRPr="00DA752F">
              <w:rPr>
                <w:sz w:val="28"/>
                <w:szCs w:val="28"/>
              </w:rPr>
              <w:t>nenotiek komerciālās plūsmas</w:t>
            </w:r>
            <w:r w:rsidRPr="008B51AE">
              <w:rPr>
                <w:sz w:val="28"/>
                <w:szCs w:val="28"/>
              </w:rPr>
              <w:t xml:space="preserve"> no Krievijas (visās </w:t>
            </w:r>
            <w:r w:rsidRPr="008B51AE">
              <w:rPr>
                <w:sz w:val="28"/>
                <w:szCs w:val="28"/>
              </w:rPr>
              <w:lastRenderedPageBreak/>
              <w:t>Baltijas valstīs vienlaikus) un nedarbojas cita jebkura infrastruktūras vienība</w:t>
            </w:r>
            <w:r w:rsidR="009D4C87" w:rsidRPr="008B51AE">
              <w:rPr>
                <w:sz w:val="28"/>
                <w:szCs w:val="28"/>
              </w:rPr>
              <w:t xml:space="preserve"> (Klaipēdas sašķidrinātās gāzes terminālis</w:t>
            </w:r>
            <w:r w:rsidR="003361C4" w:rsidRPr="008B51AE">
              <w:rPr>
                <w:sz w:val="28"/>
                <w:szCs w:val="28"/>
              </w:rPr>
              <w:t>, kāda no gāzes mērīšanas stacijām, Inčukalna pazemes gāzes krātuve u.tml.</w:t>
            </w:r>
            <w:r w:rsidR="009D4C87" w:rsidRPr="008B51AE">
              <w:rPr>
                <w:sz w:val="28"/>
                <w:szCs w:val="28"/>
              </w:rPr>
              <w:t>)</w:t>
            </w:r>
            <w:r w:rsidRPr="008B51AE">
              <w:rPr>
                <w:sz w:val="28"/>
                <w:szCs w:val="28"/>
              </w:rPr>
              <w:t>, piegādes problēm</w:t>
            </w:r>
            <w:r w:rsidR="009D4C87" w:rsidRPr="008B51AE">
              <w:rPr>
                <w:sz w:val="28"/>
                <w:szCs w:val="28"/>
              </w:rPr>
              <w:t>u</w:t>
            </w:r>
            <w:r w:rsidRPr="008B51AE">
              <w:rPr>
                <w:sz w:val="28"/>
                <w:szCs w:val="28"/>
              </w:rPr>
              <w:t xml:space="preserve"> var </w:t>
            </w:r>
            <w:r w:rsidR="007C2C8C" w:rsidRPr="008B51AE">
              <w:rPr>
                <w:sz w:val="28"/>
                <w:szCs w:val="28"/>
              </w:rPr>
              <w:t>atrisināt</w:t>
            </w:r>
            <w:r w:rsidRPr="008B51AE">
              <w:rPr>
                <w:sz w:val="28"/>
                <w:szCs w:val="28"/>
              </w:rPr>
              <w:t xml:space="preserve"> divu nedēļu laikā. </w:t>
            </w:r>
          </w:p>
          <w:p w14:paraId="1DE37F5D" w14:textId="299C9996" w:rsidR="00CF51D1" w:rsidRDefault="00CF51D1" w:rsidP="00E103DD">
            <w:pPr>
              <w:ind w:right="142"/>
              <w:jc w:val="both"/>
              <w:rPr>
                <w:sz w:val="28"/>
                <w:szCs w:val="28"/>
              </w:rPr>
            </w:pPr>
            <w:r w:rsidRPr="008B51AE">
              <w:rPr>
                <w:sz w:val="28"/>
                <w:szCs w:val="28"/>
              </w:rPr>
              <w:t>Pie sliktā</w:t>
            </w:r>
            <w:r w:rsidR="00820359" w:rsidRPr="008B51AE">
              <w:rPr>
                <w:sz w:val="28"/>
                <w:szCs w:val="28"/>
              </w:rPr>
              <w:t xml:space="preserve">kā scenārija, kad gāzes apgādes </w:t>
            </w:r>
            <w:r w:rsidRPr="008B51AE">
              <w:rPr>
                <w:sz w:val="28"/>
                <w:szCs w:val="28"/>
              </w:rPr>
              <w:t>pārtraukums notiek tieši divās aukstākajās nedēļās gadā</w:t>
            </w:r>
            <w:r w:rsidR="00820359" w:rsidRPr="008B51AE">
              <w:rPr>
                <w:sz w:val="28"/>
                <w:szCs w:val="28"/>
              </w:rPr>
              <w:t xml:space="preserve"> (</w:t>
            </w:r>
            <w:r w:rsidR="003361C4" w:rsidRPr="008B51AE">
              <w:rPr>
                <w:sz w:val="28"/>
                <w:szCs w:val="28"/>
              </w:rPr>
              <w:t>kādas ir sastopamas</w:t>
            </w:r>
            <w:r w:rsidRPr="008B51AE">
              <w:rPr>
                <w:sz w:val="28"/>
                <w:szCs w:val="28"/>
              </w:rPr>
              <w:t> </w:t>
            </w:r>
            <w:r w:rsidR="003361C4" w:rsidRPr="008B51AE">
              <w:rPr>
                <w:sz w:val="28"/>
                <w:szCs w:val="28"/>
              </w:rPr>
              <w:t>reizi</w:t>
            </w:r>
            <w:r w:rsidR="00602432">
              <w:rPr>
                <w:sz w:val="28"/>
                <w:szCs w:val="28"/>
              </w:rPr>
              <w:t xml:space="preserve"> 20 gados), </w:t>
            </w:r>
            <w:r w:rsidR="008543CE">
              <w:rPr>
                <w:sz w:val="28"/>
                <w:szCs w:val="28"/>
              </w:rPr>
              <w:t xml:space="preserve">patēriņš </w:t>
            </w:r>
            <w:r w:rsidRPr="008B51AE">
              <w:rPr>
                <w:sz w:val="28"/>
                <w:szCs w:val="28"/>
              </w:rPr>
              <w:t>nodrošināmajiem lietotājiem</w:t>
            </w:r>
            <w:r w:rsidR="00B043AB">
              <w:rPr>
                <w:sz w:val="28"/>
                <w:szCs w:val="28"/>
              </w:rPr>
              <w:t>, piemēram</w:t>
            </w:r>
            <w:r w:rsidR="00602432">
              <w:rPr>
                <w:sz w:val="28"/>
                <w:szCs w:val="28"/>
              </w:rPr>
              <w:t>,</w:t>
            </w:r>
            <w:r w:rsidR="00B043AB">
              <w:rPr>
                <w:sz w:val="28"/>
                <w:szCs w:val="28"/>
              </w:rPr>
              <w:t xml:space="preserve"> </w:t>
            </w:r>
            <w:r w:rsidR="00602432">
              <w:rPr>
                <w:sz w:val="28"/>
                <w:szCs w:val="28"/>
              </w:rPr>
              <w:t>2016.-</w:t>
            </w:r>
            <w:r w:rsidR="00B043AB">
              <w:rPr>
                <w:sz w:val="28"/>
                <w:szCs w:val="28"/>
              </w:rPr>
              <w:t>2017.</w:t>
            </w:r>
            <w:r w:rsidR="00602432">
              <w:rPr>
                <w:sz w:val="28"/>
                <w:szCs w:val="28"/>
              </w:rPr>
              <w:t>gada ziemai</w:t>
            </w:r>
            <w:r w:rsidRPr="008B51AE">
              <w:rPr>
                <w:sz w:val="28"/>
                <w:szCs w:val="28"/>
              </w:rPr>
              <w:t xml:space="preserve"> </w:t>
            </w:r>
            <w:r w:rsidR="00B043AB">
              <w:rPr>
                <w:sz w:val="28"/>
                <w:szCs w:val="28"/>
              </w:rPr>
              <w:t>tika prognozēts</w:t>
            </w:r>
            <w:r w:rsidRPr="008B51AE">
              <w:rPr>
                <w:sz w:val="28"/>
                <w:szCs w:val="28"/>
              </w:rPr>
              <w:t xml:space="preserve"> 28,1 milj.m</w:t>
            </w:r>
            <w:r w:rsidRPr="008B51AE">
              <w:rPr>
                <w:sz w:val="28"/>
                <w:szCs w:val="28"/>
                <w:vertAlign w:val="superscript"/>
              </w:rPr>
              <w:t>3</w:t>
            </w:r>
            <w:r w:rsidRPr="008B51AE">
              <w:rPr>
                <w:sz w:val="28"/>
                <w:szCs w:val="28"/>
              </w:rPr>
              <w:t xml:space="preserve"> divās nedēļās.</w:t>
            </w:r>
          </w:p>
          <w:p w14:paraId="65946935" w14:textId="77777777" w:rsidR="00F342AF" w:rsidRPr="00700531" w:rsidRDefault="00F342AF" w:rsidP="00F342AF">
            <w:pPr>
              <w:ind w:right="142"/>
              <w:jc w:val="both"/>
              <w:rPr>
                <w:sz w:val="28"/>
                <w:szCs w:val="28"/>
              </w:rPr>
            </w:pPr>
            <w:r w:rsidRPr="00700531">
              <w:rPr>
                <w:sz w:val="28"/>
                <w:szCs w:val="28"/>
              </w:rPr>
              <w:t>Šobrīd dabasgāzes uzglabāšanas izmaksas veido</w:t>
            </w:r>
            <w:r>
              <w:rPr>
                <w:sz w:val="28"/>
                <w:szCs w:val="28"/>
              </w:rPr>
              <w:t>jas no sekojošām komponentēm</w:t>
            </w:r>
            <w:r w:rsidRPr="00700531">
              <w:rPr>
                <w:sz w:val="28"/>
                <w:szCs w:val="28"/>
              </w:rPr>
              <w:t>:</w:t>
            </w:r>
          </w:p>
          <w:p w14:paraId="09950753" w14:textId="77777777" w:rsidR="00F342AF" w:rsidRPr="00700531" w:rsidRDefault="00F342AF" w:rsidP="00F342AF">
            <w:pPr>
              <w:ind w:right="142"/>
              <w:jc w:val="both"/>
              <w:rPr>
                <w:sz w:val="28"/>
                <w:szCs w:val="28"/>
              </w:rPr>
            </w:pPr>
            <w:r w:rsidRPr="00700531">
              <w:rPr>
                <w:sz w:val="28"/>
                <w:szCs w:val="28"/>
              </w:rPr>
              <w:t>- Iesūknēšanas pakalpojuma bāzes tarifs - 5,28 EUR/tūkst nm³ (bez PVN);</w:t>
            </w:r>
          </w:p>
          <w:p w14:paraId="3546B24D" w14:textId="77777777" w:rsidR="00F342AF" w:rsidRPr="00700531" w:rsidRDefault="00F342AF" w:rsidP="00F342AF">
            <w:pPr>
              <w:ind w:right="142"/>
              <w:jc w:val="both"/>
              <w:rPr>
                <w:sz w:val="28"/>
                <w:szCs w:val="28"/>
              </w:rPr>
            </w:pPr>
            <w:r w:rsidRPr="00700531">
              <w:rPr>
                <w:sz w:val="28"/>
                <w:szCs w:val="28"/>
              </w:rPr>
              <w:t>- Glabāšanas pakalpojuma bāzes tarifs - 10,52 EUR/tūkst nm³ sezonā (bez PVN);</w:t>
            </w:r>
          </w:p>
          <w:p w14:paraId="743301D2" w14:textId="77777777" w:rsidR="00F342AF" w:rsidRPr="00700531" w:rsidRDefault="00F342AF" w:rsidP="00F342AF">
            <w:pPr>
              <w:ind w:right="142"/>
              <w:jc w:val="both"/>
              <w:rPr>
                <w:sz w:val="28"/>
                <w:szCs w:val="28"/>
              </w:rPr>
            </w:pPr>
            <w:r w:rsidRPr="00700531">
              <w:rPr>
                <w:sz w:val="28"/>
                <w:szCs w:val="28"/>
              </w:rPr>
              <w:t>- Izņemšanas pakalpojuma bāzes tarifs - 0,04 EUR/tūkst nm³ (bez PVN).</w:t>
            </w:r>
            <w:r>
              <w:rPr>
                <w:rStyle w:val="FootnoteReference"/>
                <w:sz w:val="28"/>
                <w:szCs w:val="28"/>
              </w:rPr>
              <w:footnoteReference w:id="2"/>
            </w:r>
          </w:p>
          <w:p w14:paraId="63C3B21A" w14:textId="77777777" w:rsidR="00F342AF" w:rsidRDefault="00F342AF" w:rsidP="00E103DD">
            <w:pPr>
              <w:ind w:right="142"/>
              <w:jc w:val="both"/>
              <w:rPr>
                <w:sz w:val="28"/>
                <w:szCs w:val="28"/>
              </w:rPr>
            </w:pPr>
          </w:p>
          <w:p w14:paraId="4EEE6B54" w14:textId="11B21D6A" w:rsidR="001320CE" w:rsidRDefault="001320CE" w:rsidP="00E103DD">
            <w:pPr>
              <w:ind w:right="142"/>
              <w:jc w:val="both"/>
              <w:rPr>
                <w:color w:val="000000"/>
                <w:sz w:val="28"/>
                <w:szCs w:val="28"/>
              </w:rPr>
            </w:pPr>
            <w:r>
              <w:rPr>
                <w:sz w:val="28"/>
                <w:szCs w:val="28"/>
              </w:rPr>
              <w:t>Izstrādājot projektu</w:t>
            </w:r>
            <w:r w:rsidR="000952B5">
              <w:rPr>
                <w:sz w:val="28"/>
                <w:szCs w:val="28"/>
              </w:rPr>
              <w:t>,</w:t>
            </w:r>
            <w:r>
              <w:rPr>
                <w:sz w:val="28"/>
                <w:szCs w:val="28"/>
              </w:rPr>
              <w:t xml:space="preserve"> tika salīdzināti savā starpā trīs </w:t>
            </w:r>
            <w:r>
              <w:rPr>
                <w:color w:val="000000"/>
                <w:sz w:val="28"/>
                <w:szCs w:val="28"/>
              </w:rPr>
              <w:t>r</w:t>
            </w:r>
            <w:r w:rsidRPr="00E103DD">
              <w:rPr>
                <w:color w:val="000000"/>
                <w:sz w:val="28"/>
                <w:szCs w:val="28"/>
              </w:rPr>
              <w:t>ezerv</w:t>
            </w:r>
            <w:r>
              <w:rPr>
                <w:color w:val="000000"/>
                <w:sz w:val="28"/>
                <w:szCs w:val="28"/>
              </w:rPr>
              <w:t>es izveidošanas modeļi</w:t>
            </w:r>
            <w:r w:rsidRPr="00E103DD">
              <w:rPr>
                <w:color w:val="000000"/>
                <w:sz w:val="28"/>
                <w:szCs w:val="28"/>
              </w:rPr>
              <w:t xml:space="preserve">: </w:t>
            </w:r>
          </w:p>
          <w:p w14:paraId="32062388" w14:textId="6C8070DB" w:rsidR="001320CE" w:rsidRPr="00B043AB" w:rsidRDefault="00F54EFA" w:rsidP="00B043AB">
            <w:pPr>
              <w:ind w:right="142"/>
              <w:jc w:val="both"/>
              <w:rPr>
                <w:sz w:val="28"/>
                <w:szCs w:val="28"/>
              </w:rPr>
            </w:pPr>
            <w:r>
              <w:rPr>
                <w:sz w:val="28"/>
                <w:szCs w:val="28"/>
              </w:rPr>
              <w:t xml:space="preserve">I) </w:t>
            </w:r>
            <w:r w:rsidR="001320CE" w:rsidRPr="00B043AB">
              <w:rPr>
                <w:sz w:val="28"/>
                <w:szCs w:val="28"/>
              </w:rPr>
              <w:t>Valsts</w:t>
            </w:r>
            <w:r w:rsidR="00F342AF" w:rsidRPr="00B043AB">
              <w:rPr>
                <w:sz w:val="28"/>
                <w:szCs w:val="28"/>
              </w:rPr>
              <w:t xml:space="preserve"> finansēta</w:t>
            </w:r>
            <w:r w:rsidR="001320CE" w:rsidRPr="00B043AB">
              <w:rPr>
                <w:sz w:val="28"/>
                <w:szCs w:val="28"/>
              </w:rPr>
              <w:t xml:space="preserve"> rezerve (naftas rezervju glabāšanas analogs); </w:t>
            </w:r>
          </w:p>
          <w:p w14:paraId="52A105E7" w14:textId="1676830A" w:rsidR="00F342AF" w:rsidRPr="00F54EFA" w:rsidRDefault="00F54EFA" w:rsidP="00F54EFA">
            <w:pPr>
              <w:ind w:right="142"/>
              <w:jc w:val="both"/>
              <w:rPr>
                <w:sz w:val="28"/>
                <w:szCs w:val="28"/>
              </w:rPr>
            </w:pPr>
            <w:r>
              <w:rPr>
                <w:sz w:val="28"/>
                <w:szCs w:val="28"/>
              </w:rPr>
              <w:t xml:space="preserve">II) </w:t>
            </w:r>
            <w:r w:rsidR="00F342AF" w:rsidRPr="00F54EFA">
              <w:rPr>
                <w:sz w:val="28"/>
                <w:szCs w:val="28"/>
              </w:rPr>
              <w:t>R</w:t>
            </w:r>
            <w:r w:rsidR="001320CE" w:rsidRPr="00F54EFA">
              <w:rPr>
                <w:sz w:val="28"/>
                <w:szCs w:val="28"/>
              </w:rPr>
              <w:t xml:space="preserve">ezervi </w:t>
            </w:r>
            <w:r w:rsidR="00F342AF" w:rsidRPr="00F54EFA">
              <w:rPr>
                <w:sz w:val="28"/>
                <w:szCs w:val="28"/>
              </w:rPr>
              <w:t xml:space="preserve">nodrošina </w:t>
            </w:r>
            <w:r w:rsidR="001320CE" w:rsidRPr="00F54EFA">
              <w:rPr>
                <w:sz w:val="28"/>
                <w:szCs w:val="28"/>
              </w:rPr>
              <w:t>tirgotāj</w:t>
            </w:r>
            <w:r w:rsidR="00F342AF" w:rsidRPr="00F54EFA">
              <w:rPr>
                <w:sz w:val="28"/>
                <w:szCs w:val="28"/>
              </w:rPr>
              <w:t>s</w:t>
            </w:r>
            <w:r w:rsidR="001320CE" w:rsidRPr="00F54EFA">
              <w:rPr>
                <w:sz w:val="28"/>
                <w:szCs w:val="28"/>
              </w:rPr>
              <w:t xml:space="preserve">; </w:t>
            </w:r>
          </w:p>
          <w:p w14:paraId="1ADA6D66" w14:textId="5B8DC550" w:rsidR="001320CE" w:rsidRDefault="00F54EFA" w:rsidP="00F54EFA">
            <w:pPr>
              <w:ind w:right="142"/>
              <w:jc w:val="both"/>
              <w:rPr>
                <w:sz w:val="28"/>
                <w:szCs w:val="28"/>
              </w:rPr>
            </w:pPr>
            <w:r>
              <w:rPr>
                <w:sz w:val="28"/>
                <w:szCs w:val="28"/>
              </w:rPr>
              <w:t xml:space="preserve">III) </w:t>
            </w:r>
            <w:r w:rsidR="00F342AF" w:rsidRPr="00F54EFA">
              <w:rPr>
                <w:sz w:val="28"/>
                <w:szCs w:val="28"/>
              </w:rPr>
              <w:t>R</w:t>
            </w:r>
            <w:r w:rsidR="001320CE" w:rsidRPr="00F54EFA">
              <w:rPr>
                <w:sz w:val="28"/>
                <w:szCs w:val="28"/>
              </w:rPr>
              <w:t xml:space="preserve">ezervi </w:t>
            </w:r>
            <w:r w:rsidR="00F342AF" w:rsidRPr="00F54EFA">
              <w:rPr>
                <w:sz w:val="28"/>
                <w:szCs w:val="28"/>
              </w:rPr>
              <w:t>nodrošina PSO.</w:t>
            </w:r>
          </w:p>
          <w:p w14:paraId="5A0839A0" w14:textId="35373C86" w:rsidR="00F42044" w:rsidRDefault="00F42044" w:rsidP="00F42044">
            <w:pPr>
              <w:pStyle w:val="ListParagraph"/>
              <w:ind w:left="0" w:right="142"/>
              <w:contextualSpacing w:val="0"/>
              <w:jc w:val="both"/>
              <w:rPr>
                <w:sz w:val="28"/>
                <w:szCs w:val="28"/>
                <w:lang w:val="lv-LV"/>
              </w:rPr>
            </w:pPr>
            <w:r w:rsidRPr="00F42044">
              <w:rPr>
                <w:sz w:val="28"/>
                <w:szCs w:val="28"/>
                <w:lang w:val="lv-LV"/>
              </w:rPr>
              <w:t xml:space="preserve">Realizējot </w:t>
            </w:r>
            <w:r w:rsidR="00F54EFA" w:rsidRPr="00F42044">
              <w:rPr>
                <w:sz w:val="28"/>
                <w:szCs w:val="28"/>
                <w:lang w:val="lv-LV"/>
              </w:rPr>
              <w:t>I) model</w:t>
            </w:r>
            <w:r w:rsidRPr="00F42044">
              <w:rPr>
                <w:sz w:val="28"/>
                <w:szCs w:val="28"/>
                <w:lang w:val="lv-LV"/>
              </w:rPr>
              <w:t xml:space="preserve">i, </w:t>
            </w:r>
            <w:r w:rsidR="000952B5">
              <w:rPr>
                <w:sz w:val="28"/>
                <w:szCs w:val="28"/>
                <w:lang w:val="lv-LV"/>
              </w:rPr>
              <w:t xml:space="preserve">pozitīvi vērtējama </w:t>
            </w:r>
            <w:r w:rsidRPr="00F42044">
              <w:rPr>
                <w:sz w:val="28"/>
                <w:szCs w:val="28"/>
                <w:lang w:val="lv-LV"/>
              </w:rPr>
              <w:t>p</w:t>
            </w:r>
            <w:r w:rsidR="00F54EFA" w:rsidRPr="00F42044">
              <w:rPr>
                <w:sz w:val="28"/>
                <w:szCs w:val="28"/>
                <w:lang w:val="lv-LV"/>
              </w:rPr>
              <w:t>ārredzama kontrole no vals</w:t>
            </w:r>
            <w:r w:rsidRPr="00F42044">
              <w:rPr>
                <w:sz w:val="28"/>
                <w:szCs w:val="28"/>
                <w:lang w:val="lv-LV"/>
              </w:rPr>
              <w:t>ts puses rezerves nodrošināšanā, taču, tā arī ir vienīgā pozitīvā iezīme. Modeļa īstenošanai būtu jānosaka un jāadministrē jauna valsts nodeva, jāizsludina iepirkuma konkurss, zinot, ka pastāv risks, ka iepirkumā var nepieteikties neviens pakalpojuma nodrošinātājs. Jānodala pārvades tarif</w:t>
            </w:r>
            <w:r>
              <w:rPr>
                <w:sz w:val="28"/>
                <w:szCs w:val="28"/>
                <w:lang w:val="lv-LV"/>
              </w:rPr>
              <w:t>i</w:t>
            </w:r>
            <w:r w:rsidRPr="00F42044">
              <w:rPr>
                <w:sz w:val="28"/>
                <w:szCs w:val="28"/>
                <w:lang w:val="lv-LV"/>
              </w:rPr>
              <w:t>, lai gāzes tranzīts net</w:t>
            </w:r>
            <w:r>
              <w:rPr>
                <w:sz w:val="28"/>
                <w:szCs w:val="28"/>
                <w:lang w:val="lv-LV"/>
              </w:rPr>
              <w:t>iktu</w:t>
            </w:r>
            <w:r w:rsidRPr="00F42044">
              <w:rPr>
                <w:sz w:val="28"/>
                <w:szCs w:val="28"/>
                <w:lang w:val="lv-LV"/>
              </w:rPr>
              <w:t xml:space="preserve"> aplikts ar tarifa sastāvdaļu par rezerves glabāšanu.</w:t>
            </w:r>
          </w:p>
          <w:p w14:paraId="14409B47" w14:textId="3753488F" w:rsidR="00F42044" w:rsidRPr="000952B5" w:rsidRDefault="00F42044" w:rsidP="000952B5">
            <w:pPr>
              <w:pStyle w:val="ListParagraph"/>
              <w:ind w:left="27" w:right="142"/>
              <w:jc w:val="both"/>
              <w:rPr>
                <w:sz w:val="28"/>
                <w:szCs w:val="28"/>
                <w:lang w:val="lv-LV"/>
              </w:rPr>
            </w:pPr>
            <w:r w:rsidRPr="00F42044">
              <w:rPr>
                <w:sz w:val="28"/>
                <w:szCs w:val="28"/>
                <w:lang w:val="lv-LV"/>
              </w:rPr>
              <w:t xml:space="preserve">Realizējot </w:t>
            </w:r>
            <w:r>
              <w:rPr>
                <w:sz w:val="28"/>
                <w:szCs w:val="28"/>
                <w:lang w:val="lv-LV"/>
              </w:rPr>
              <w:t>I</w:t>
            </w:r>
            <w:r w:rsidRPr="00F42044">
              <w:rPr>
                <w:sz w:val="28"/>
                <w:szCs w:val="28"/>
                <w:lang w:val="lv-LV"/>
              </w:rPr>
              <w:t>I) modeli</w:t>
            </w:r>
            <w:r>
              <w:rPr>
                <w:sz w:val="28"/>
                <w:szCs w:val="28"/>
                <w:lang w:val="lv-LV"/>
              </w:rPr>
              <w:t>, tirgotājam jāsastopas ar i</w:t>
            </w:r>
            <w:r w:rsidRPr="00F42044">
              <w:rPr>
                <w:sz w:val="28"/>
                <w:szCs w:val="28"/>
                <w:lang w:val="lv-LV"/>
              </w:rPr>
              <w:t>erobežojum</w:t>
            </w:r>
            <w:r w:rsidR="00442124">
              <w:rPr>
                <w:sz w:val="28"/>
                <w:szCs w:val="28"/>
                <w:lang w:val="lv-LV"/>
              </w:rPr>
              <w:t>u</w:t>
            </w:r>
            <w:r w:rsidRPr="00F42044">
              <w:rPr>
                <w:sz w:val="28"/>
                <w:szCs w:val="28"/>
                <w:lang w:val="lv-LV"/>
              </w:rPr>
              <w:t xml:space="preserve"> (slogs) u</w:t>
            </w:r>
            <w:r w:rsidR="00442124">
              <w:rPr>
                <w:sz w:val="28"/>
                <w:szCs w:val="28"/>
                <w:lang w:val="lv-LV"/>
              </w:rPr>
              <w:t>zsākot darbību dabasgāzes tirgū. Turklāt, s</w:t>
            </w:r>
            <w:r w:rsidRPr="00442124">
              <w:rPr>
                <w:sz w:val="28"/>
                <w:szCs w:val="28"/>
                <w:lang w:val="lv-LV"/>
              </w:rPr>
              <w:t>alīdzinoši lieli potenciālie izdevumi par gāzes iegādāšanos, pārvadi un uzglabāšanu.</w:t>
            </w:r>
            <w:r w:rsidR="00A53F7D">
              <w:rPr>
                <w:sz w:val="28"/>
                <w:szCs w:val="28"/>
                <w:lang w:val="lv-LV"/>
              </w:rPr>
              <w:t xml:space="preserve">  </w:t>
            </w:r>
            <w:r w:rsidR="00A53F7D" w:rsidRPr="00A53F7D">
              <w:rPr>
                <w:sz w:val="28"/>
                <w:szCs w:val="28"/>
                <w:lang w:val="lv-LV"/>
              </w:rPr>
              <w:t xml:space="preserve"> Pastāvot šādam modelim, tirgotājam ir iespēja rezervi glabāt ārpus Latvijas, papildus tam tikai kā </w:t>
            </w:r>
            <w:r w:rsidR="00A53F7D" w:rsidRPr="00A53F7D">
              <w:rPr>
                <w:sz w:val="28"/>
                <w:szCs w:val="28"/>
                <w:lang w:val="lv-LV"/>
              </w:rPr>
              <w:lastRenderedPageBreak/>
              <w:t xml:space="preserve">jaudas rezervāciju, tādēļ uzraudzība </w:t>
            </w:r>
            <w:r w:rsidR="000952B5">
              <w:rPr>
                <w:sz w:val="28"/>
                <w:szCs w:val="28"/>
                <w:lang w:val="lv-LV"/>
              </w:rPr>
              <w:t>bū</w:t>
            </w:r>
            <w:r w:rsidR="000952B5" w:rsidRPr="000952B5">
              <w:rPr>
                <w:sz w:val="28"/>
                <w:szCs w:val="28"/>
                <w:lang w:val="lv-LV"/>
              </w:rPr>
              <w:t>tu</w:t>
            </w:r>
            <w:r w:rsidR="00A53F7D" w:rsidRPr="000952B5">
              <w:rPr>
                <w:sz w:val="28"/>
                <w:szCs w:val="28"/>
                <w:lang w:val="lv-LV"/>
              </w:rPr>
              <w:t xml:space="preserve"> sarežģīta un nepārskatāma.</w:t>
            </w:r>
          </w:p>
          <w:p w14:paraId="227C3851" w14:textId="70011CB3" w:rsidR="006E28C3" w:rsidRPr="00442124" w:rsidRDefault="00442124" w:rsidP="00A53F7D">
            <w:pPr>
              <w:pStyle w:val="ListParagraph"/>
              <w:ind w:left="0" w:right="142"/>
              <w:contextualSpacing w:val="0"/>
              <w:jc w:val="both"/>
              <w:rPr>
                <w:sz w:val="28"/>
                <w:szCs w:val="28"/>
                <w:lang w:val="lv-LV"/>
              </w:rPr>
            </w:pPr>
            <w:r w:rsidRPr="00F42044">
              <w:rPr>
                <w:sz w:val="28"/>
                <w:szCs w:val="28"/>
                <w:lang w:val="lv-LV"/>
              </w:rPr>
              <w:t xml:space="preserve">Realizējot </w:t>
            </w:r>
            <w:r>
              <w:rPr>
                <w:sz w:val="28"/>
                <w:szCs w:val="28"/>
                <w:lang w:val="lv-LV"/>
              </w:rPr>
              <w:t>III</w:t>
            </w:r>
            <w:r w:rsidRPr="00F42044">
              <w:rPr>
                <w:sz w:val="28"/>
                <w:szCs w:val="28"/>
                <w:lang w:val="lv-LV"/>
              </w:rPr>
              <w:t>) modeli</w:t>
            </w:r>
            <w:r>
              <w:rPr>
                <w:sz w:val="28"/>
                <w:szCs w:val="28"/>
                <w:lang w:val="lv-LV"/>
              </w:rPr>
              <w:t xml:space="preserve">, </w:t>
            </w:r>
            <w:r w:rsidR="00A03B08" w:rsidRPr="00442124">
              <w:rPr>
                <w:sz w:val="28"/>
                <w:szCs w:val="28"/>
                <w:lang w:val="lv-LV"/>
              </w:rPr>
              <w:t xml:space="preserve">PSO </w:t>
            </w:r>
            <w:r w:rsidR="001671F2" w:rsidRPr="00442124">
              <w:rPr>
                <w:sz w:val="28"/>
                <w:szCs w:val="28"/>
                <w:lang w:val="lv-LV"/>
              </w:rPr>
              <w:t>nosaka rezerves apjomu</w:t>
            </w:r>
            <w:r w:rsidR="00A03B08" w:rsidRPr="00442124">
              <w:rPr>
                <w:sz w:val="28"/>
                <w:szCs w:val="28"/>
                <w:lang w:val="lv-LV"/>
              </w:rPr>
              <w:t xml:space="preserve"> vadoties no nodrošināmo lietotāju patēriņa prognozēm, </w:t>
            </w:r>
            <w:r w:rsidR="00D5388B" w:rsidRPr="00442124">
              <w:rPr>
                <w:sz w:val="28"/>
                <w:szCs w:val="28"/>
                <w:lang w:val="lv-LV"/>
              </w:rPr>
              <w:t>gāzes lietošanas sezonas, cauruļvadu sistēmā pieejamās gāzes u.c.</w:t>
            </w:r>
            <w:r w:rsidR="00E9661B" w:rsidRPr="00442124">
              <w:rPr>
                <w:sz w:val="28"/>
                <w:szCs w:val="28"/>
                <w:lang w:val="lv-LV"/>
              </w:rPr>
              <w:t xml:space="preserve"> </w:t>
            </w:r>
            <w:r w:rsidR="00D5388B" w:rsidRPr="00442124">
              <w:rPr>
                <w:sz w:val="28"/>
                <w:szCs w:val="28"/>
                <w:lang w:val="lv-LV"/>
              </w:rPr>
              <w:t>iespējamiem faktoriem.</w:t>
            </w:r>
            <w:r w:rsidR="001D3AE6" w:rsidRPr="00442124">
              <w:rPr>
                <w:sz w:val="28"/>
                <w:szCs w:val="28"/>
                <w:lang w:val="lv-LV"/>
              </w:rPr>
              <w:t xml:space="preserve"> </w:t>
            </w:r>
            <w:r w:rsidR="00286309" w:rsidRPr="00286309">
              <w:rPr>
                <w:sz w:val="28"/>
                <w:szCs w:val="28"/>
                <w:lang w:val="lv-LV"/>
              </w:rPr>
              <w:t>PSO, izvērtējot ekonomiski efektīvāko risinājumu, veido rezervi pats vai iegādājas šādu pakalpojumu no gāzes tirgotāja, ievērojot normatīvajos aktos noteiktās prasības attiecībā uz iepirkumu procesu.</w:t>
            </w:r>
            <w:r w:rsidR="00286309">
              <w:rPr>
                <w:lang w:val="lv-LV"/>
              </w:rPr>
              <w:t xml:space="preserve"> </w:t>
            </w:r>
            <w:r w:rsidR="00B02590" w:rsidRPr="00442124">
              <w:rPr>
                <w:sz w:val="28"/>
                <w:szCs w:val="28"/>
                <w:lang w:val="lv-LV"/>
              </w:rPr>
              <w:t xml:space="preserve">Ar rezerves iegādi saistīto PSO izmaksu </w:t>
            </w:r>
            <w:r w:rsidR="00D5388B" w:rsidRPr="00442124">
              <w:rPr>
                <w:sz w:val="28"/>
                <w:szCs w:val="28"/>
                <w:lang w:val="lv-LV"/>
              </w:rPr>
              <w:t>atgūšanu</w:t>
            </w:r>
            <w:r w:rsidR="00B02590" w:rsidRPr="00442124">
              <w:rPr>
                <w:sz w:val="28"/>
                <w:szCs w:val="28"/>
                <w:lang w:val="lv-LV"/>
              </w:rPr>
              <w:t xml:space="preserve"> būtu iespējams </w:t>
            </w:r>
            <w:r w:rsidR="00D5388B" w:rsidRPr="00442124">
              <w:rPr>
                <w:sz w:val="28"/>
                <w:szCs w:val="28"/>
                <w:lang w:val="lv-LV"/>
              </w:rPr>
              <w:t>pārdalīt uz</w:t>
            </w:r>
            <w:r w:rsidR="00B02590" w:rsidRPr="00442124">
              <w:rPr>
                <w:sz w:val="28"/>
                <w:szCs w:val="28"/>
                <w:lang w:val="lv-LV"/>
              </w:rPr>
              <w:t xml:space="preserve"> vair</w:t>
            </w:r>
            <w:r w:rsidR="00D5388B" w:rsidRPr="00442124">
              <w:rPr>
                <w:sz w:val="28"/>
                <w:szCs w:val="28"/>
                <w:lang w:val="lv-LV"/>
              </w:rPr>
              <w:t>ākiem gadiem</w:t>
            </w:r>
            <w:r w:rsidR="00B02590" w:rsidRPr="00442124">
              <w:rPr>
                <w:sz w:val="28"/>
                <w:szCs w:val="28"/>
                <w:lang w:val="lv-LV"/>
              </w:rPr>
              <w:t>, tādējādi mazinot iespējamo</w:t>
            </w:r>
            <w:r w:rsidR="00D5388B" w:rsidRPr="00442124">
              <w:rPr>
                <w:sz w:val="28"/>
                <w:szCs w:val="28"/>
                <w:lang w:val="lv-LV"/>
              </w:rPr>
              <w:t xml:space="preserve"> negatīvo</w:t>
            </w:r>
            <w:r w:rsidR="00B02590" w:rsidRPr="00442124">
              <w:rPr>
                <w:sz w:val="28"/>
                <w:szCs w:val="28"/>
                <w:lang w:val="lv-LV"/>
              </w:rPr>
              <w:t xml:space="preserve"> ietekmi uz pārvades tarifu.</w:t>
            </w:r>
            <w:r>
              <w:rPr>
                <w:sz w:val="28"/>
                <w:szCs w:val="28"/>
                <w:lang w:val="lv-LV"/>
              </w:rPr>
              <w:t xml:space="preserve"> </w:t>
            </w:r>
            <w:r w:rsidR="00CA1F66" w:rsidRPr="00442124">
              <w:rPr>
                <w:sz w:val="28"/>
                <w:szCs w:val="28"/>
                <w:lang w:val="lv-LV"/>
              </w:rPr>
              <w:t xml:space="preserve">Tādējādi </w:t>
            </w:r>
            <w:r w:rsidR="001320CE" w:rsidRPr="00442124">
              <w:rPr>
                <w:sz w:val="28"/>
                <w:szCs w:val="28"/>
                <w:lang w:val="lv-LV"/>
              </w:rPr>
              <w:t>modelis</w:t>
            </w:r>
            <w:r w:rsidR="00CA1F66" w:rsidRPr="00442124">
              <w:rPr>
                <w:sz w:val="28"/>
                <w:szCs w:val="28"/>
                <w:lang w:val="lv-LV"/>
              </w:rPr>
              <w:t>, kad PSO veic rezerves nodrošināšanu un uzglabāšanu būtu vieglāk pārredzams un administrējams salīdzinoši ar potenciālo dabasgāzes tirgotāju uzraudzību rezerves nodrošināšanas kontekstā</w:t>
            </w:r>
            <w:r w:rsidR="00AF4DA0" w:rsidRPr="00442124">
              <w:rPr>
                <w:sz w:val="28"/>
                <w:szCs w:val="28"/>
                <w:lang w:val="lv-LV"/>
              </w:rPr>
              <w:t>, kā arī valsts iesaistes scenārijā</w:t>
            </w:r>
            <w:r w:rsidR="00CA1F66" w:rsidRPr="00442124">
              <w:rPr>
                <w:sz w:val="28"/>
                <w:szCs w:val="28"/>
                <w:lang w:val="lv-LV"/>
              </w:rPr>
              <w:t>.</w:t>
            </w:r>
            <w:r>
              <w:rPr>
                <w:sz w:val="28"/>
                <w:szCs w:val="28"/>
                <w:lang w:val="lv-LV"/>
              </w:rPr>
              <w:t xml:space="preserve"> </w:t>
            </w:r>
            <w:r w:rsidR="003361C4" w:rsidRPr="00442124">
              <w:rPr>
                <w:color w:val="000000" w:themeColor="text1"/>
                <w:sz w:val="28"/>
                <w:szCs w:val="28"/>
                <w:lang w:val="lv-LV"/>
              </w:rPr>
              <w:t xml:space="preserve">Krīzes gadījumā, </w:t>
            </w:r>
            <w:r w:rsidR="000618BB" w:rsidRPr="00442124">
              <w:rPr>
                <w:color w:val="000000" w:themeColor="text1"/>
                <w:sz w:val="28"/>
                <w:szCs w:val="28"/>
                <w:lang w:val="lv-LV"/>
              </w:rPr>
              <w:t>PSO</w:t>
            </w:r>
            <w:r w:rsidR="002F3CD8" w:rsidRPr="00442124">
              <w:rPr>
                <w:color w:val="000000" w:themeColor="text1"/>
                <w:sz w:val="28"/>
                <w:szCs w:val="28"/>
                <w:lang w:val="lv-LV"/>
              </w:rPr>
              <w:t xml:space="preserve">, saskaņā ar dabasgāzes pārvades sistēmas lietošanas noteikumiem, pievadīs rezervi dabasgāzes sadales sistēmas operatoram, kurš nodrošinās rezerves piegādi </w:t>
            </w:r>
            <w:r w:rsidR="00630EC3" w:rsidRPr="00442124">
              <w:rPr>
                <w:color w:val="000000" w:themeColor="text1"/>
                <w:sz w:val="28"/>
                <w:szCs w:val="28"/>
                <w:lang w:val="lv-LV"/>
              </w:rPr>
              <w:t>mājsaimniecībām</w:t>
            </w:r>
            <w:r w:rsidR="002F3CD8" w:rsidRPr="00442124">
              <w:rPr>
                <w:color w:val="000000" w:themeColor="text1"/>
                <w:sz w:val="28"/>
                <w:szCs w:val="28"/>
                <w:lang w:val="lv-LV"/>
              </w:rPr>
              <w:t>,</w:t>
            </w:r>
            <w:r w:rsidR="00000B59" w:rsidRPr="00442124">
              <w:rPr>
                <w:color w:val="000000" w:themeColor="text1"/>
                <w:sz w:val="28"/>
                <w:szCs w:val="28"/>
                <w:lang w:val="lv-LV"/>
              </w:rPr>
              <w:t xml:space="preserve"> </w:t>
            </w:r>
            <w:r w:rsidR="00000B59" w:rsidRPr="00442124">
              <w:rPr>
                <w:sz w:val="28"/>
                <w:szCs w:val="28"/>
                <w:lang w:val="lv-LV"/>
              </w:rPr>
              <w:t>skolām, pirmsskolas izglītības iestādēm, slimnīcām, valsts un pašvaldību ilgstošas sociālās aprūpes un sociālās rehabilitācijas institūcijām, krīzes centriem, sociālās rehabilitācijas institūcijas personām, kurām izveidojusies atkarība no narkotiskajām, toksiskajām vai citām apreibinošām vielām, avārijas dienestiem, telekomunikāciju mezgliem, Neatliekamās medicīniskās palīdzības dienestam, Valsts ugunsdzēsības un glābšanas dienestam, Nacionālajiem bruņotajiem spēkiem, Valsts policijai, Valsts robežsardzei, valsts drošības iestādēm, ūdensapgādes un kanalizācijas stacijām, brīvības atņemšanas iestādēm, mobilizējamiem civilās aizsardzības formējumiem.</w:t>
            </w:r>
          </w:p>
          <w:p w14:paraId="1C87D7E5" w14:textId="77777777" w:rsidR="00766B4F" w:rsidRDefault="00630EC3" w:rsidP="00E103DD">
            <w:pPr>
              <w:ind w:right="142"/>
              <w:jc w:val="both"/>
              <w:rPr>
                <w:color w:val="000000" w:themeColor="text1"/>
                <w:sz w:val="28"/>
                <w:szCs w:val="28"/>
              </w:rPr>
            </w:pPr>
            <w:r>
              <w:rPr>
                <w:color w:val="000000" w:themeColor="text1"/>
                <w:sz w:val="28"/>
                <w:szCs w:val="28"/>
              </w:rPr>
              <w:t>Vienlaikus j</w:t>
            </w:r>
            <w:r w:rsidR="006E28C3">
              <w:rPr>
                <w:color w:val="000000" w:themeColor="text1"/>
                <w:sz w:val="28"/>
                <w:szCs w:val="28"/>
              </w:rPr>
              <w:t>āmin, ka k</w:t>
            </w:r>
            <w:r w:rsidR="00D8445D">
              <w:rPr>
                <w:color w:val="000000" w:themeColor="text1"/>
                <w:sz w:val="28"/>
                <w:szCs w:val="28"/>
              </w:rPr>
              <w:t xml:space="preserve">opš Latvijas Republikas </w:t>
            </w:r>
            <w:r w:rsidR="00C12A42">
              <w:rPr>
                <w:color w:val="000000" w:themeColor="text1"/>
                <w:sz w:val="28"/>
                <w:szCs w:val="28"/>
              </w:rPr>
              <w:t xml:space="preserve">neatkarības atjaunošanas </w:t>
            </w:r>
            <w:r w:rsidR="00D8445D">
              <w:rPr>
                <w:color w:val="000000" w:themeColor="text1"/>
                <w:sz w:val="28"/>
                <w:szCs w:val="28"/>
              </w:rPr>
              <w:t>1990.gada 4.maijā</w:t>
            </w:r>
            <w:r w:rsidR="00C12A42">
              <w:rPr>
                <w:color w:val="000000" w:themeColor="text1"/>
                <w:sz w:val="28"/>
                <w:szCs w:val="28"/>
              </w:rPr>
              <w:t xml:space="preserve"> Latvijā nav tikusi izsludināta enerģētiskā krīze, kas būtu saistīta ar dabasgāzes apgādi.</w:t>
            </w:r>
          </w:p>
          <w:p w14:paraId="06EA79B8" w14:textId="77777777" w:rsidR="00B02590" w:rsidRDefault="003361C4" w:rsidP="00E103DD">
            <w:pPr>
              <w:ind w:right="142"/>
              <w:jc w:val="both"/>
              <w:rPr>
                <w:color w:val="000000" w:themeColor="text1"/>
                <w:sz w:val="28"/>
                <w:szCs w:val="28"/>
              </w:rPr>
            </w:pPr>
            <w:r>
              <w:rPr>
                <w:color w:val="000000" w:themeColor="text1"/>
                <w:sz w:val="28"/>
                <w:szCs w:val="28"/>
              </w:rPr>
              <w:t>Noteikumu projektā noteiktais risinājums</w:t>
            </w:r>
            <w:r w:rsidR="00442124">
              <w:rPr>
                <w:color w:val="000000" w:themeColor="text1"/>
                <w:sz w:val="28"/>
                <w:szCs w:val="28"/>
              </w:rPr>
              <w:t xml:space="preserve"> (III modelis)</w:t>
            </w:r>
            <w:r>
              <w:rPr>
                <w:color w:val="000000" w:themeColor="text1"/>
                <w:sz w:val="28"/>
                <w:szCs w:val="28"/>
              </w:rPr>
              <w:t xml:space="preserve"> </w:t>
            </w:r>
            <w:r w:rsidR="00D5388B">
              <w:rPr>
                <w:color w:val="000000" w:themeColor="text1"/>
                <w:sz w:val="28"/>
                <w:szCs w:val="28"/>
              </w:rPr>
              <w:t xml:space="preserve">Latvijas pašreizējā situācijā </w:t>
            </w:r>
            <w:r w:rsidR="000618BB">
              <w:rPr>
                <w:color w:val="000000" w:themeColor="text1"/>
                <w:sz w:val="28"/>
                <w:szCs w:val="28"/>
              </w:rPr>
              <w:t xml:space="preserve">ir atzīts kā </w:t>
            </w:r>
            <w:r w:rsidR="000618BB">
              <w:rPr>
                <w:color w:val="000000" w:themeColor="text1"/>
                <w:sz w:val="28"/>
                <w:szCs w:val="28"/>
              </w:rPr>
              <w:lastRenderedPageBreak/>
              <w:t>optimālākais</w:t>
            </w:r>
            <w:r w:rsidR="00B02590">
              <w:rPr>
                <w:color w:val="000000" w:themeColor="text1"/>
                <w:sz w:val="28"/>
                <w:szCs w:val="28"/>
              </w:rPr>
              <w:t>, jo tā īstenošanā piedalās iespēja</w:t>
            </w:r>
            <w:r w:rsidR="001671F2">
              <w:rPr>
                <w:color w:val="000000" w:themeColor="text1"/>
                <w:sz w:val="28"/>
                <w:szCs w:val="28"/>
              </w:rPr>
              <w:t>mi</w:t>
            </w:r>
            <w:r w:rsidR="00B02590">
              <w:rPr>
                <w:color w:val="000000" w:themeColor="text1"/>
                <w:sz w:val="28"/>
                <w:szCs w:val="28"/>
              </w:rPr>
              <w:t xml:space="preserve"> mazāk</w:t>
            </w:r>
            <w:r w:rsidR="000618BB">
              <w:rPr>
                <w:color w:val="000000" w:themeColor="text1"/>
                <w:sz w:val="28"/>
                <w:szCs w:val="28"/>
              </w:rPr>
              <w:t>ai</w:t>
            </w:r>
            <w:r w:rsidR="00B02590">
              <w:rPr>
                <w:color w:val="000000" w:themeColor="text1"/>
                <w:sz w:val="28"/>
                <w:szCs w:val="28"/>
              </w:rPr>
              <w:t xml:space="preserve">s iesaistīto pušu skaits, tas neuzliek </w:t>
            </w:r>
            <w:r w:rsidR="00D5388B">
              <w:rPr>
                <w:color w:val="000000" w:themeColor="text1"/>
                <w:sz w:val="28"/>
                <w:szCs w:val="28"/>
              </w:rPr>
              <w:t xml:space="preserve">papildu </w:t>
            </w:r>
            <w:r w:rsidR="00B02590">
              <w:rPr>
                <w:color w:val="000000" w:themeColor="text1"/>
                <w:sz w:val="28"/>
                <w:szCs w:val="28"/>
              </w:rPr>
              <w:t>administratīvo slogu un nekropļo tirgus darbības principus.</w:t>
            </w:r>
          </w:p>
          <w:p w14:paraId="12893C64" w14:textId="1C57E9A7" w:rsidR="00AA6C17" w:rsidRPr="001278E9" w:rsidRDefault="00AA6C17" w:rsidP="00E103DD">
            <w:pPr>
              <w:ind w:right="142"/>
              <w:jc w:val="both"/>
              <w:rPr>
                <w:sz w:val="28"/>
                <w:szCs w:val="28"/>
              </w:rPr>
            </w:pPr>
          </w:p>
        </w:tc>
      </w:tr>
      <w:tr w:rsidR="00193E45" w:rsidRPr="00912A6D" w14:paraId="34B71005" w14:textId="77777777" w:rsidTr="00E103DD">
        <w:trPr>
          <w:trHeight w:val="706"/>
        </w:trPr>
        <w:tc>
          <w:tcPr>
            <w:tcW w:w="524" w:type="dxa"/>
          </w:tcPr>
          <w:p w14:paraId="36065F91" w14:textId="59230291" w:rsidR="00193E45" w:rsidRPr="00912A6D" w:rsidRDefault="00193E45" w:rsidP="00912A6D">
            <w:pPr>
              <w:ind w:left="57" w:right="57"/>
              <w:rPr>
                <w:sz w:val="28"/>
                <w:szCs w:val="28"/>
              </w:rPr>
            </w:pPr>
            <w:r w:rsidRPr="00912A6D">
              <w:rPr>
                <w:sz w:val="28"/>
                <w:szCs w:val="28"/>
              </w:rPr>
              <w:lastRenderedPageBreak/>
              <w:t> 3.</w:t>
            </w:r>
          </w:p>
        </w:tc>
        <w:tc>
          <w:tcPr>
            <w:tcW w:w="2717" w:type="dxa"/>
          </w:tcPr>
          <w:p w14:paraId="2D8D029C" w14:textId="77777777" w:rsidR="00193E45" w:rsidRPr="00912A6D" w:rsidRDefault="00193E45" w:rsidP="00912A6D">
            <w:pPr>
              <w:ind w:left="57" w:right="57"/>
              <w:jc w:val="both"/>
              <w:rPr>
                <w:sz w:val="28"/>
                <w:szCs w:val="28"/>
              </w:rPr>
            </w:pPr>
            <w:r w:rsidRPr="00912A6D">
              <w:rPr>
                <w:sz w:val="28"/>
                <w:szCs w:val="28"/>
              </w:rPr>
              <w:t>Projekta izstrādē iesaistītās institūcijas</w:t>
            </w:r>
          </w:p>
        </w:tc>
        <w:tc>
          <w:tcPr>
            <w:tcW w:w="6095" w:type="dxa"/>
          </w:tcPr>
          <w:p w14:paraId="15A9F8B6" w14:textId="77777777" w:rsidR="00193E45" w:rsidRPr="00290056" w:rsidRDefault="00766B4F" w:rsidP="00967EF4">
            <w:pPr>
              <w:ind w:left="57" w:right="57" w:firstLine="284"/>
              <w:jc w:val="both"/>
              <w:rPr>
                <w:sz w:val="28"/>
                <w:szCs w:val="28"/>
              </w:rPr>
            </w:pPr>
            <w:r>
              <w:rPr>
                <w:sz w:val="28"/>
                <w:szCs w:val="28"/>
              </w:rPr>
              <w:t>Nav.</w:t>
            </w:r>
          </w:p>
        </w:tc>
      </w:tr>
      <w:tr w:rsidR="00193E45" w:rsidRPr="00912A6D" w14:paraId="05AC291F" w14:textId="77777777" w:rsidTr="00E103DD">
        <w:trPr>
          <w:trHeight w:val="384"/>
        </w:trPr>
        <w:tc>
          <w:tcPr>
            <w:tcW w:w="524" w:type="dxa"/>
          </w:tcPr>
          <w:p w14:paraId="6DEE689B" w14:textId="77777777" w:rsidR="00193E45" w:rsidRPr="00912A6D" w:rsidRDefault="00193E45" w:rsidP="00912A6D">
            <w:pPr>
              <w:ind w:left="57" w:right="57"/>
              <w:rPr>
                <w:sz w:val="28"/>
                <w:szCs w:val="28"/>
              </w:rPr>
            </w:pPr>
            <w:r w:rsidRPr="00912A6D">
              <w:rPr>
                <w:sz w:val="28"/>
                <w:szCs w:val="28"/>
              </w:rPr>
              <w:t> 4.</w:t>
            </w:r>
          </w:p>
        </w:tc>
        <w:tc>
          <w:tcPr>
            <w:tcW w:w="2717" w:type="dxa"/>
          </w:tcPr>
          <w:p w14:paraId="6E2FE583" w14:textId="77777777" w:rsidR="00193E45" w:rsidRPr="00912A6D" w:rsidRDefault="00193E45" w:rsidP="00912A6D">
            <w:pPr>
              <w:ind w:left="57" w:right="57"/>
              <w:jc w:val="both"/>
              <w:rPr>
                <w:sz w:val="28"/>
                <w:szCs w:val="28"/>
              </w:rPr>
            </w:pPr>
            <w:r w:rsidRPr="00912A6D">
              <w:rPr>
                <w:sz w:val="28"/>
                <w:szCs w:val="28"/>
              </w:rPr>
              <w:t>Cita informācija</w:t>
            </w:r>
          </w:p>
        </w:tc>
        <w:tc>
          <w:tcPr>
            <w:tcW w:w="6095" w:type="dxa"/>
          </w:tcPr>
          <w:p w14:paraId="3E84BF50" w14:textId="77777777" w:rsidR="00193E45" w:rsidRPr="00912A6D" w:rsidRDefault="00193E45" w:rsidP="00912A6D">
            <w:pPr>
              <w:pStyle w:val="naiskr"/>
              <w:spacing w:before="0" w:after="0"/>
              <w:ind w:left="57" w:right="57" w:firstLine="284"/>
              <w:rPr>
                <w:sz w:val="28"/>
                <w:szCs w:val="28"/>
              </w:rPr>
            </w:pPr>
            <w:r w:rsidRPr="00912A6D">
              <w:rPr>
                <w:sz w:val="28"/>
                <w:szCs w:val="28"/>
              </w:rPr>
              <w:t>Nav</w:t>
            </w:r>
            <w:r w:rsidR="001803AF">
              <w:rPr>
                <w:sz w:val="28"/>
                <w:szCs w:val="28"/>
              </w:rPr>
              <w:t>.</w:t>
            </w:r>
          </w:p>
        </w:tc>
      </w:tr>
    </w:tbl>
    <w:p w14:paraId="38B2418F" w14:textId="77777777" w:rsidR="00193E45" w:rsidRPr="00912A6D" w:rsidRDefault="00193E45" w:rsidP="00912A6D">
      <w:pPr>
        <w:ind w:left="57" w:right="57"/>
        <w:rPr>
          <w:color w:val="FF0000"/>
          <w:sz w:val="28"/>
          <w:szCs w:val="28"/>
        </w:rPr>
      </w:pPr>
    </w:p>
    <w:tbl>
      <w:tblPr>
        <w:tblW w:w="9336"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2718"/>
        <w:gridCol w:w="6095"/>
      </w:tblGrid>
      <w:tr w:rsidR="00193E45" w:rsidRPr="00912A6D" w14:paraId="2A65A7B2" w14:textId="77777777" w:rsidTr="004A1917">
        <w:tc>
          <w:tcPr>
            <w:tcW w:w="9336" w:type="dxa"/>
            <w:gridSpan w:val="3"/>
            <w:tcBorders>
              <w:top w:val="single" w:sz="4" w:space="0" w:color="auto"/>
              <w:left w:val="single" w:sz="4" w:space="0" w:color="auto"/>
              <w:bottom w:val="single" w:sz="4" w:space="0" w:color="auto"/>
              <w:right w:val="single" w:sz="4" w:space="0" w:color="auto"/>
            </w:tcBorders>
            <w:vAlign w:val="center"/>
            <w:hideMark/>
          </w:tcPr>
          <w:p w14:paraId="2989E6BD" w14:textId="77777777" w:rsidR="00193E45" w:rsidRPr="00912A6D" w:rsidRDefault="00193E45" w:rsidP="00912A6D">
            <w:pPr>
              <w:ind w:left="57" w:right="57"/>
              <w:jc w:val="center"/>
              <w:rPr>
                <w:b/>
                <w:sz w:val="28"/>
                <w:szCs w:val="28"/>
              </w:rPr>
            </w:pPr>
            <w:r w:rsidRPr="00912A6D">
              <w:rPr>
                <w:b/>
                <w:sz w:val="28"/>
                <w:szCs w:val="28"/>
              </w:rPr>
              <w:t>II. Tiesību akta projekta ietekme uz sabiedrību tautsaimniecības attīstību un administratīvo slogu</w:t>
            </w:r>
          </w:p>
        </w:tc>
      </w:tr>
      <w:tr w:rsidR="00193E45" w:rsidRPr="00912A6D" w14:paraId="3BB7E795" w14:textId="77777777" w:rsidTr="004A1917">
        <w:trPr>
          <w:trHeight w:val="467"/>
        </w:trPr>
        <w:tc>
          <w:tcPr>
            <w:tcW w:w="523" w:type="dxa"/>
            <w:tcBorders>
              <w:top w:val="single" w:sz="4" w:space="0" w:color="auto"/>
              <w:left w:val="single" w:sz="4" w:space="0" w:color="auto"/>
              <w:bottom w:val="single" w:sz="4" w:space="0" w:color="auto"/>
              <w:right w:val="single" w:sz="4" w:space="0" w:color="auto"/>
            </w:tcBorders>
            <w:hideMark/>
          </w:tcPr>
          <w:p w14:paraId="18DF12A3" w14:textId="77777777" w:rsidR="00193E45" w:rsidRPr="00912A6D" w:rsidRDefault="00193E45" w:rsidP="00912A6D">
            <w:pPr>
              <w:ind w:left="57" w:right="57"/>
              <w:rPr>
                <w:sz w:val="28"/>
                <w:szCs w:val="28"/>
              </w:rPr>
            </w:pPr>
            <w:r w:rsidRPr="00912A6D">
              <w:rPr>
                <w:sz w:val="28"/>
                <w:szCs w:val="28"/>
              </w:rPr>
              <w:t> 1.</w:t>
            </w:r>
          </w:p>
        </w:tc>
        <w:tc>
          <w:tcPr>
            <w:tcW w:w="2718" w:type="dxa"/>
            <w:tcBorders>
              <w:top w:val="single" w:sz="4" w:space="0" w:color="auto"/>
              <w:left w:val="single" w:sz="4" w:space="0" w:color="auto"/>
              <w:bottom w:val="single" w:sz="4" w:space="0" w:color="auto"/>
              <w:right w:val="single" w:sz="4" w:space="0" w:color="auto"/>
            </w:tcBorders>
            <w:hideMark/>
          </w:tcPr>
          <w:p w14:paraId="40DAA8D1" w14:textId="77777777" w:rsidR="00193E45" w:rsidRPr="00912A6D" w:rsidRDefault="00193E45" w:rsidP="00912A6D">
            <w:pPr>
              <w:ind w:left="57" w:right="57"/>
              <w:jc w:val="both"/>
              <w:rPr>
                <w:sz w:val="28"/>
                <w:szCs w:val="28"/>
              </w:rPr>
            </w:pPr>
            <w:r w:rsidRPr="00912A6D">
              <w:rPr>
                <w:sz w:val="28"/>
                <w:szCs w:val="28"/>
              </w:rPr>
              <w:t xml:space="preserve"> Sabiedrības </w:t>
            </w:r>
            <w:proofErr w:type="spellStart"/>
            <w:r w:rsidRPr="00912A6D">
              <w:rPr>
                <w:sz w:val="28"/>
                <w:szCs w:val="28"/>
              </w:rPr>
              <w:t>mērķgrupas</w:t>
            </w:r>
            <w:proofErr w:type="spellEnd"/>
            <w:r w:rsidRPr="00912A6D">
              <w:rPr>
                <w:sz w:val="28"/>
                <w:szCs w:val="28"/>
              </w:rPr>
              <w:t>,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hideMark/>
          </w:tcPr>
          <w:p w14:paraId="1F8B3D35" w14:textId="33A7DAD9" w:rsidR="00193E45" w:rsidRPr="0043016A" w:rsidRDefault="00F52175" w:rsidP="0043016A">
            <w:pPr>
              <w:spacing w:before="100" w:beforeAutospacing="1" w:after="100" w:afterAutospacing="1"/>
              <w:ind w:firstLine="502"/>
              <w:jc w:val="both"/>
              <w:rPr>
                <w:sz w:val="28"/>
                <w:szCs w:val="28"/>
                <w:u w:val="single"/>
              </w:rPr>
            </w:pPr>
            <w:r w:rsidRPr="00912A6D">
              <w:rPr>
                <w:iCs/>
                <w:sz w:val="28"/>
                <w:szCs w:val="28"/>
              </w:rPr>
              <w:t>Noteikum</w:t>
            </w:r>
            <w:r w:rsidR="002D3EAC">
              <w:rPr>
                <w:iCs/>
                <w:sz w:val="28"/>
                <w:szCs w:val="28"/>
              </w:rPr>
              <w:t xml:space="preserve">u projekts attiecas uz </w:t>
            </w:r>
            <w:r w:rsidR="001803AF" w:rsidRPr="00C206F0">
              <w:rPr>
                <w:color w:val="000000" w:themeColor="text1"/>
                <w:sz w:val="28"/>
                <w:szCs w:val="28"/>
              </w:rPr>
              <w:t>dabasgāzes pārvades sistēmas operator</w:t>
            </w:r>
            <w:r w:rsidR="001803AF">
              <w:rPr>
                <w:color w:val="000000" w:themeColor="text1"/>
                <w:sz w:val="28"/>
                <w:szCs w:val="28"/>
              </w:rPr>
              <w:t>u</w:t>
            </w:r>
            <w:r w:rsidR="00D0325F">
              <w:rPr>
                <w:color w:val="000000" w:themeColor="text1"/>
                <w:sz w:val="28"/>
                <w:szCs w:val="28"/>
              </w:rPr>
              <w:t>, publisko tirgotāju</w:t>
            </w:r>
            <w:r w:rsidR="0043016A">
              <w:rPr>
                <w:color w:val="000000" w:themeColor="text1"/>
                <w:sz w:val="28"/>
                <w:szCs w:val="28"/>
              </w:rPr>
              <w:t>,</w:t>
            </w:r>
            <w:r w:rsidR="001803AF">
              <w:rPr>
                <w:color w:val="000000" w:themeColor="text1"/>
                <w:sz w:val="28"/>
                <w:szCs w:val="28"/>
              </w:rPr>
              <w:t xml:space="preserve"> dabasgāzes tirgotājiem</w:t>
            </w:r>
            <w:r w:rsidR="0043016A">
              <w:rPr>
                <w:color w:val="000000" w:themeColor="text1"/>
                <w:sz w:val="28"/>
                <w:szCs w:val="28"/>
              </w:rPr>
              <w:t xml:space="preserve">, kā arī dabasgāzes galapatērētājiem uz kuriem </w:t>
            </w:r>
            <w:r w:rsidR="00AB6C60">
              <w:rPr>
                <w:iCs/>
                <w:sz w:val="28"/>
                <w:szCs w:val="28"/>
              </w:rPr>
              <w:t xml:space="preserve"> </w:t>
            </w:r>
            <w:r w:rsidR="0043016A" w:rsidRPr="00554A5F">
              <w:rPr>
                <w:color w:val="000000" w:themeColor="text1"/>
                <w:sz w:val="28"/>
                <w:szCs w:val="28"/>
              </w:rPr>
              <w:t>enerģētiskās</w:t>
            </w:r>
            <w:r w:rsidR="0043016A" w:rsidRPr="00C206F0">
              <w:rPr>
                <w:color w:val="000000" w:themeColor="text1"/>
                <w:sz w:val="28"/>
                <w:szCs w:val="28"/>
              </w:rPr>
              <w:t xml:space="preserve"> krīzes laikā, traucētas dabasgāzes piegādes gadījumā</w:t>
            </w:r>
            <w:r w:rsidR="0043016A">
              <w:rPr>
                <w:color w:val="000000" w:themeColor="text1"/>
                <w:sz w:val="28"/>
                <w:szCs w:val="28"/>
              </w:rPr>
              <w:t xml:space="preserve"> attieksies patēriņa </w:t>
            </w:r>
            <w:r w:rsidR="0043016A" w:rsidRPr="0043016A">
              <w:rPr>
                <w:sz w:val="28"/>
                <w:szCs w:val="28"/>
              </w:rPr>
              <w:t>ierobežojumi.</w:t>
            </w:r>
          </w:p>
        </w:tc>
      </w:tr>
      <w:tr w:rsidR="00193E45" w:rsidRPr="00912A6D" w14:paraId="60CBBFAB" w14:textId="77777777" w:rsidTr="004A1917">
        <w:trPr>
          <w:trHeight w:val="523"/>
        </w:trPr>
        <w:tc>
          <w:tcPr>
            <w:tcW w:w="523" w:type="dxa"/>
            <w:tcBorders>
              <w:top w:val="single" w:sz="4" w:space="0" w:color="auto"/>
              <w:left w:val="single" w:sz="4" w:space="0" w:color="auto"/>
              <w:bottom w:val="single" w:sz="4" w:space="0" w:color="auto"/>
              <w:right w:val="single" w:sz="4" w:space="0" w:color="auto"/>
            </w:tcBorders>
            <w:hideMark/>
          </w:tcPr>
          <w:p w14:paraId="193C03FE" w14:textId="77777777" w:rsidR="00193E45" w:rsidRPr="00912A6D" w:rsidRDefault="00193E45" w:rsidP="00912A6D">
            <w:pPr>
              <w:ind w:left="57" w:right="57"/>
              <w:rPr>
                <w:sz w:val="28"/>
                <w:szCs w:val="28"/>
              </w:rPr>
            </w:pPr>
            <w:r w:rsidRPr="00912A6D">
              <w:rPr>
                <w:sz w:val="28"/>
                <w:szCs w:val="28"/>
              </w:rPr>
              <w:t> 2.</w:t>
            </w:r>
          </w:p>
        </w:tc>
        <w:tc>
          <w:tcPr>
            <w:tcW w:w="2718" w:type="dxa"/>
            <w:tcBorders>
              <w:top w:val="single" w:sz="4" w:space="0" w:color="auto"/>
              <w:left w:val="single" w:sz="4" w:space="0" w:color="auto"/>
              <w:bottom w:val="single" w:sz="4" w:space="0" w:color="auto"/>
              <w:right w:val="single" w:sz="4" w:space="0" w:color="auto"/>
            </w:tcBorders>
            <w:hideMark/>
          </w:tcPr>
          <w:p w14:paraId="2E71D7FA" w14:textId="77777777" w:rsidR="00193E45" w:rsidRPr="00912A6D" w:rsidRDefault="00193E45" w:rsidP="00912A6D">
            <w:pPr>
              <w:ind w:left="57" w:right="57"/>
              <w:jc w:val="both"/>
              <w:rPr>
                <w:sz w:val="28"/>
                <w:szCs w:val="28"/>
              </w:rPr>
            </w:pPr>
            <w:r w:rsidRPr="00912A6D">
              <w:rPr>
                <w:sz w:val="28"/>
                <w:szCs w:val="28"/>
              </w:rPr>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hideMark/>
          </w:tcPr>
          <w:p w14:paraId="0C9746F1" w14:textId="77777777" w:rsidR="00193E45" w:rsidRDefault="002E6C58" w:rsidP="00575FBA">
            <w:pPr>
              <w:ind w:left="57" w:right="57" w:firstLine="284"/>
              <w:jc w:val="both"/>
              <w:rPr>
                <w:color w:val="000000" w:themeColor="text1"/>
                <w:sz w:val="28"/>
                <w:szCs w:val="28"/>
              </w:rPr>
            </w:pPr>
            <w:r>
              <w:rPr>
                <w:color w:val="000000" w:themeColor="text1"/>
                <w:sz w:val="28"/>
                <w:szCs w:val="28"/>
              </w:rPr>
              <w:t xml:space="preserve">Noteikumu projekts paredzēs kārtību, kā tiks </w:t>
            </w:r>
            <w:r w:rsidRPr="00554A5F">
              <w:rPr>
                <w:color w:val="000000" w:themeColor="text1"/>
                <w:sz w:val="28"/>
                <w:szCs w:val="28"/>
              </w:rPr>
              <w:t>nodrošin</w:t>
            </w:r>
            <w:r>
              <w:rPr>
                <w:color w:val="000000" w:themeColor="text1"/>
                <w:sz w:val="28"/>
                <w:szCs w:val="28"/>
              </w:rPr>
              <w:t>āta</w:t>
            </w:r>
            <w:r w:rsidRPr="00554A5F">
              <w:rPr>
                <w:color w:val="000000" w:themeColor="text1"/>
                <w:sz w:val="28"/>
                <w:szCs w:val="28"/>
              </w:rPr>
              <w:t xml:space="preserve"> dabasgāzes drošības rezerv</w:t>
            </w:r>
            <w:r>
              <w:rPr>
                <w:color w:val="000000" w:themeColor="text1"/>
                <w:sz w:val="28"/>
                <w:szCs w:val="28"/>
              </w:rPr>
              <w:t>e</w:t>
            </w:r>
            <w:r w:rsidR="00F8714E">
              <w:rPr>
                <w:color w:val="000000" w:themeColor="text1"/>
                <w:sz w:val="28"/>
                <w:szCs w:val="28"/>
              </w:rPr>
              <w:t xml:space="preserve">, </w:t>
            </w:r>
            <w:r w:rsidRPr="00554A5F">
              <w:rPr>
                <w:color w:val="000000" w:themeColor="text1"/>
                <w:sz w:val="28"/>
                <w:szCs w:val="28"/>
              </w:rPr>
              <w:t xml:space="preserve">kas, ievērojot </w:t>
            </w:r>
            <w:r w:rsidR="00575FBA" w:rsidRPr="00295128">
              <w:rPr>
                <w:sz w:val="28"/>
                <w:szCs w:val="28"/>
              </w:rPr>
              <w:t>Eiropas Parlamenta un Padomes 2010.gada 20.oktobra Regul</w:t>
            </w:r>
            <w:r w:rsidR="00575FBA">
              <w:rPr>
                <w:sz w:val="28"/>
                <w:szCs w:val="28"/>
              </w:rPr>
              <w:t>u</w:t>
            </w:r>
            <w:r w:rsidR="00575FBA" w:rsidRPr="00295128">
              <w:rPr>
                <w:sz w:val="28"/>
                <w:szCs w:val="28"/>
              </w:rPr>
              <w:t xml:space="preserve"> (ES) Nr. 994/2010 par gāzes piegādes drošības aizsardzības pasākumiem un Padomes Direktīvas 2004/67/EK</w:t>
            </w:r>
            <w:r w:rsidR="00575FBA">
              <w:rPr>
                <w:sz w:val="28"/>
                <w:szCs w:val="28"/>
              </w:rPr>
              <w:t xml:space="preserve"> atcelšanu</w:t>
            </w:r>
            <w:r w:rsidR="00004BA5">
              <w:rPr>
                <w:sz w:val="28"/>
                <w:szCs w:val="28"/>
              </w:rPr>
              <w:t>,</w:t>
            </w:r>
            <w:r w:rsidR="00004BA5">
              <w:rPr>
                <w:color w:val="000000" w:themeColor="text1"/>
                <w:sz w:val="28"/>
                <w:szCs w:val="28"/>
              </w:rPr>
              <w:t xml:space="preserve"> </w:t>
            </w:r>
            <w:r w:rsidRPr="00554A5F">
              <w:rPr>
                <w:color w:val="000000" w:themeColor="text1"/>
                <w:sz w:val="28"/>
                <w:szCs w:val="28"/>
              </w:rPr>
              <w:t>enerģētiskās</w:t>
            </w:r>
            <w:r w:rsidRPr="00C206F0">
              <w:rPr>
                <w:color w:val="000000" w:themeColor="text1"/>
                <w:sz w:val="28"/>
                <w:szCs w:val="28"/>
              </w:rPr>
              <w:t xml:space="preserve"> krīzes laikā, traucētas dabasgāzes piegādes gadījumā, tiks izmantota nodrošināmo lietotāju apgādei</w:t>
            </w:r>
            <w:r>
              <w:rPr>
                <w:color w:val="000000" w:themeColor="text1"/>
                <w:sz w:val="28"/>
                <w:szCs w:val="28"/>
              </w:rPr>
              <w:t xml:space="preserve">, pēc iespējas </w:t>
            </w:r>
            <w:r w:rsidR="00D008F5">
              <w:rPr>
                <w:color w:val="000000" w:themeColor="text1"/>
                <w:sz w:val="28"/>
                <w:szCs w:val="28"/>
              </w:rPr>
              <w:t>samazinot negatīvo ietekmi uz tautsaimniecību.</w:t>
            </w:r>
          </w:p>
          <w:p w14:paraId="60776E35" w14:textId="05DA2DE8" w:rsidR="00AA6C17" w:rsidRPr="00912A6D" w:rsidRDefault="00AA6C17" w:rsidP="00575FBA">
            <w:pPr>
              <w:ind w:left="57" w:right="57" w:firstLine="284"/>
              <w:jc w:val="both"/>
              <w:rPr>
                <w:sz w:val="28"/>
                <w:szCs w:val="28"/>
              </w:rPr>
            </w:pPr>
          </w:p>
        </w:tc>
      </w:tr>
      <w:tr w:rsidR="00193E45" w:rsidRPr="00912A6D" w14:paraId="126D9F49" w14:textId="77777777" w:rsidTr="004A1917">
        <w:trPr>
          <w:trHeight w:val="517"/>
        </w:trPr>
        <w:tc>
          <w:tcPr>
            <w:tcW w:w="523" w:type="dxa"/>
            <w:tcBorders>
              <w:top w:val="single" w:sz="4" w:space="0" w:color="auto"/>
              <w:left w:val="single" w:sz="4" w:space="0" w:color="auto"/>
              <w:bottom w:val="single" w:sz="4" w:space="0" w:color="auto"/>
              <w:right w:val="single" w:sz="4" w:space="0" w:color="auto"/>
            </w:tcBorders>
            <w:hideMark/>
          </w:tcPr>
          <w:p w14:paraId="0384E9DA" w14:textId="77777777" w:rsidR="00193E45" w:rsidRPr="00912A6D" w:rsidRDefault="00193E45" w:rsidP="00912A6D">
            <w:pPr>
              <w:ind w:left="57" w:right="57"/>
              <w:rPr>
                <w:sz w:val="28"/>
                <w:szCs w:val="28"/>
              </w:rPr>
            </w:pPr>
            <w:r w:rsidRPr="00912A6D">
              <w:rPr>
                <w:sz w:val="28"/>
                <w:szCs w:val="28"/>
              </w:rPr>
              <w:t> 3.</w:t>
            </w:r>
          </w:p>
        </w:tc>
        <w:tc>
          <w:tcPr>
            <w:tcW w:w="2718" w:type="dxa"/>
            <w:tcBorders>
              <w:top w:val="single" w:sz="4" w:space="0" w:color="auto"/>
              <w:left w:val="single" w:sz="4" w:space="0" w:color="auto"/>
              <w:bottom w:val="single" w:sz="4" w:space="0" w:color="auto"/>
              <w:right w:val="single" w:sz="4" w:space="0" w:color="auto"/>
            </w:tcBorders>
            <w:hideMark/>
          </w:tcPr>
          <w:p w14:paraId="1D0C04CC" w14:textId="77777777" w:rsidR="00193E45" w:rsidRPr="00912A6D" w:rsidRDefault="00193E45" w:rsidP="00912A6D">
            <w:pPr>
              <w:ind w:left="57" w:right="57"/>
              <w:jc w:val="both"/>
              <w:rPr>
                <w:sz w:val="28"/>
                <w:szCs w:val="28"/>
              </w:rPr>
            </w:pPr>
            <w:r w:rsidRPr="00912A6D">
              <w:rPr>
                <w:sz w:val="28"/>
                <w:szCs w:val="28"/>
              </w:rPr>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hideMark/>
          </w:tcPr>
          <w:p w14:paraId="7120CD37" w14:textId="77777777" w:rsidR="00193E45" w:rsidRPr="00967EF4" w:rsidRDefault="00727E79" w:rsidP="00F64E50">
            <w:pPr>
              <w:ind w:left="57" w:right="57" w:firstLine="284"/>
              <w:jc w:val="both"/>
              <w:rPr>
                <w:sz w:val="28"/>
                <w:szCs w:val="28"/>
              </w:rPr>
            </w:pPr>
            <w:r w:rsidRPr="00596363">
              <w:rPr>
                <w:sz w:val="28"/>
                <w:szCs w:val="28"/>
              </w:rPr>
              <w:t>Projekts šo jomu neskar.</w:t>
            </w:r>
          </w:p>
        </w:tc>
      </w:tr>
      <w:tr w:rsidR="00193E45" w:rsidRPr="00912A6D" w14:paraId="738E666E" w14:textId="77777777" w:rsidTr="004A1917">
        <w:tc>
          <w:tcPr>
            <w:tcW w:w="523" w:type="dxa"/>
            <w:tcBorders>
              <w:top w:val="single" w:sz="4" w:space="0" w:color="auto"/>
              <w:left w:val="single" w:sz="4" w:space="0" w:color="auto"/>
              <w:bottom w:val="single" w:sz="4" w:space="0" w:color="auto"/>
              <w:right w:val="single" w:sz="4" w:space="0" w:color="auto"/>
            </w:tcBorders>
            <w:hideMark/>
          </w:tcPr>
          <w:p w14:paraId="12846101" w14:textId="77777777" w:rsidR="00193E45" w:rsidRPr="00912A6D" w:rsidRDefault="00193E45" w:rsidP="00912A6D">
            <w:pPr>
              <w:ind w:left="57" w:right="57"/>
              <w:rPr>
                <w:sz w:val="28"/>
                <w:szCs w:val="28"/>
              </w:rPr>
            </w:pPr>
            <w:r w:rsidRPr="00912A6D">
              <w:rPr>
                <w:sz w:val="28"/>
                <w:szCs w:val="28"/>
              </w:rPr>
              <w:t> 4.</w:t>
            </w:r>
          </w:p>
        </w:tc>
        <w:tc>
          <w:tcPr>
            <w:tcW w:w="2718" w:type="dxa"/>
            <w:tcBorders>
              <w:top w:val="single" w:sz="4" w:space="0" w:color="auto"/>
              <w:left w:val="single" w:sz="4" w:space="0" w:color="auto"/>
              <w:bottom w:val="single" w:sz="4" w:space="0" w:color="auto"/>
              <w:right w:val="single" w:sz="4" w:space="0" w:color="auto"/>
            </w:tcBorders>
            <w:hideMark/>
          </w:tcPr>
          <w:p w14:paraId="7B8A20A7" w14:textId="77777777" w:rsidR="00193E45" w:rsidRPr="00912A6D" w:rsidRDefault="00193E45" w:rsidP="00912A6D">
            <w:pPr>
              <w:ind w:left="57" w:right="57"/>
              <w:jc w:val="both"/>
              <w:rPr>
                <w:sz w:val="28"/>
                <w:szCs w:val="28"/>
              </w:rPr>
            </w:pPr>
            <w:r w:rsidRPr="00912A6D">
              <w:rPr>
                <w:sz w:val="28"/>
                <w:szCs w:val="28"/>
              </w:rPr>
              <w:t> Cita informācija</w:t>
            </w:r>
          </w:p>
        </w:tc>
        <w:tc>
          <w:tcPr>
            <w:tcW w:w="6095" w:type="dxa"/>
            <w:tcBorders>
              <w:top w:val="single" w:sz="4" w:space="0" w:color="auto"/>
              <w:left w:val="single" w:sz="4" w:space="0" w:color="auto"/>
              <w:bottom w:val="single" w:sz="4" w:space="0" w:color="auto"/>
              <w:right w:val="single" w:sz="4" w:space="0" w:color="auto"/>
            </w:tcBorders>
            <w:hideMark/>
          </w:tcPr>
          <w:p w14:paraId="7D1396D5" w14:textId="77777777" w:rsidR="00193E45" w:rsidRPr="00912A6D" w:rsidRDefault="00193E45" w:rsidP="00912A6D">
            <w:pPr>
              <w:ind w:left="57" w:right="57" w:firstLine="284"/>
              <w:rPr>
                <w:sz w:val="28"/>
                <w:szCs w:val="28"/>
              </w:rPr>
            </w:pPr>
            <w:r w:rsidRPr="00912A6D">
              <w:rPr>
                <w:sz w:val="28"/>
                <w:szCs w:val="28"/>
              </w:rPr>
              <w:t>Nav</w:t>
            </w:r>
          </w:p>
        </w:tc>
      </w:tr>
    </w:tbl>
    <w:p w14:paraId="42EFE4A8" w14:textId="77777777" w:rsidR="004A1917" w:rsidRDefault="004A1917"/>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6379"/>
      </w:tblGrid>
      <w:tr w:rsidR="00BE2C01" w:rsidRPr="00295128" w14:paraId="328ABFE0" w14:textId="77777777" w:rsidTr="00F01485">
        <w:tc>
          <w:tcPr>
            <w:tcW w:w="9356" w:type="dxa"/>
            <w:gridSpan w:val="3"/>
            <w:shd w:val="clear" w:color="auto" w:fill="auto"/>
            <w:hideMark/>
          </w:tcPr>
          <w:p w14:paraId="1F76FB13" w14:textId="77777777" w:rsidR="00BE2C01" w:rsidRPr="00295128" w:rsidRDefault="00BE2C01" w:rsidP="00315148">
            <w:pPr>
              <w:jc w:val="center"/>
              <w:rPr>
                <w:b/>
                <w:bCs/>
                <w:sz w:val="28"/>
                <w:szCs w:val="28"/>
              </w:rPr>
            </w:pPr>
            <w:r w:rsidRPr="00295128">
              <w:rPr>
                <w:b/>
                <w:bCs/>
                <w:sz w:val="28"/>
                <w:szCs w:val="28"/>
              </w:rPr>
              <w:t>V. Tiesību akta projekta atbilstība Latvijas Republikas starptautiskajām saistībām</w:t>
            </w:r>
          </w:p>
        </w:tc>
      </w:tr>
      <w:tr w:rsidR="00BE2C01" w:rsidRPr="00295128" w14:paraId="7E4C5843" w14:textId="77777777" w:rsidTr="00E103DD">
        <w:tc>
          <w:tcPr>
            <w:tcW w:w="568" w:type="dxa"/>
            <w:shd w:val="clear" w:color="auto" w:fill="auto"/>
            <w:hideMark/>
          </w:tcPr>
          <w:p w14:paraId="0FEFC227" w14:textId="77777777" w:rsidR="00BE2C01" w:rsidRPr="00295128" w:rsidRDefault="00BE2C01" w:rsidP="00315148">
            <w:pPr>
              <w:rPr>
                <w:sz w:val="22"/>
              </w:rPr>
            </w:pPr>
            <w:r w:rsidRPr="00295128">
              <w:rPr>
                <w:sz w:val="22"/>
              </w:rPr>
              <w:t>1.</w:t>
            </w:r>
          </w:p>
        </w:tc>
        <w:tc>
          <w:tcPr>
            <w:tcW w:w="2409" w:type="dxa"/>
            <w:shd w:val="clear" w:color="auto" w:fill="auto"/>
            <w:hideMark/>
          </w:tcPr>
          <w:p w14:paraId="7BF81A78" w14:textId="77777777" w:rsidR="00BE2C01" w:rsidRPr="00295128" w:rsidRDefault="00BE2C01" w:rsidP="00315148">
            <w:pPr>
              <w:rPr>
                <w:sz w:val="28"/>
                <w:szCs w:val="28"/>
              </w:rPr>
            </w:pPr>
            <w:r w:rsidRPr="00295128">
              <w:rPr>
                <w:sz w:val="28"/>
                <w:szCs w:val="28"/>
              </w:rPr>
              <w:t>Saistības pret Eiropas Savienību</w:t>
            </w:r>
          </w:p>
        </w:tc>
        <w:tc>
          <w:tcPr>
            <w:tcW w:w="6379" w:type="dxa"/>
            <w:shd w:val="clear" w:color="auto" w:fill="auto"/>
            <w:hideMark/>
          </w:tcPr>
          <w:p w14:paraId="781C78A8" w14:textId="3F4FC141" w:rsidR="00BE2C01" w:rsidRPr="00295128" w:rsidRDefault="00012BB8" w:rsidP="00315148">
            <w:pPr>
              <w:pStyle w:val="doc-ti"/>
              <w:spacing w:before="0" w:after="0"/>
              <w:jc w:val="both"/>
              <w:rPr>
                <w:b w:val="0"/>
                <w:sz w:val="28"/>
                <w:szCs w:val="28"/>
              </w:rPr>
            </w:pPr>
            <w:r>
              <w:rPr>
                <w:b w:val="0"/>
                <w:sz w:val="28"/>
                <w:szCs w:val="28"/>
              </w:rPr>
              <w:t xml:space="preserve">   </w:t>
            </w:r>
            <w:r w:rsidR="00BE2C01" w:rsidRPr="00295128">
              <w:rPr>
                <w:b w:val="0"/>
                <w:sz w:val="28"/>
                <w:szCs w:val="28"/>
              </w:rPr>
              <w:t>Eiropas Parlamenta un Padomes 2010.gada 20.oktobra Regula (ES) Nr. 994/2010 par gāzes piegādes drošības aizsardzības pasākumiem un Padomes Direktīvas 2004/67/EK</w:t>
            </w:r>
            <w:r w:rsidR="00004BA5">
              <w:rPr>
                <w:b w:val="0"/>
                <w:sz w:val="28"/>
                <w:szCs w:val="28"/>
              </w:rPr>
              <w:t xml:space="preserve"> atcelšanu</w:t>
            </w:r>
            <w:r w:rsidR="00BE2C01" w:rsidRPr="00295128">
              <w:rPr>
                <w:b w:val="0"/>
                <w:sz w:val="28"/>
                <w:szCs w:val="28"/>
              </w:rPr>
              <w:t>.</w:t>
            </w:r>
          </w:p>
          <w:p w14:paraId="22894360" w14:textId="77777777" w:rsidR="00BE2C01" w:rsidRDefault="00BE2C01" w:rsidP="00315148">
            <w:pPr>
              <w:pStyle w:val="doc-ti"/>
              <w:spacing w:before="0" w:after="0"/>
              <w:jc w:val="both"/>
              <w:rPr>
                <w:b w:val="0"/>
                <w:color w:val="000000"/>
                <w:sz w:val="28"/>
                <w:szCs w:val="28"/>
              </w:rPr>
            </w:pPr>
            <w:r w:rsidRPr="00295128">
              <w:rPr>
                <w:b w:val="0"/>
                <w:color w:val="000000"/>
                <w:sz w:val="28"/>
                <w:szCs w:val="28"/>
              </w:rPr>
              <w:t>Publicēta “Eiropas Savienības Oficiālajā Vēstnesī” L 295, 12.11.2010., 1.-22. lpp.</w:t>
            </w:r>
          </w:p>
          <w:p w14:paraId="774DCA07" w14:textId="77777777" w:rsidR="00AA6C17" w:rsidRPr="00295128" w:rsidRDefault="00AA6C17" w:rsidP="00315148">
            <w:pPr>
              <w:pStyle w:val="doc-ti"/>
              <w:spacing w:before="0" w:after="0"/>
              <w:jc w:val="both"/>
              <w:rPr>
                <w:b w:val="0"/>
                <w:color w:val="000000"/>
                <w:sz w:val="28"/>
                <w:szCs w:val="28"/>
              </w:rPr>
            </w:pPr>
          </w:p>
        </w:tc>
      </w:tr>
      <w:tr w:rsidR="00BE2C01" w:rsidRPr="00295128" w14:paraId="49BFE907" w14:textId="77777777" w:rsidTr="00E103DD">
        <w:tc>
          <w:tcPr>
            <w:tcW w:w="568" w:type="dxa"/>
            <w:shd w:val="clear" w:color="auto" w:fill="auto"/>
            <w:hideMark/>
          </w:tcPr>
          <w:p w14:paraId="51E30DEE" w14:textId="77777777" w:rsidR="00BE2C01" w:rsidRPr="00295128" w:rsidRDefault="00BE2C01" w:rsidP="00315148">
            <w:pPr>
              <w:rPr>
                <w:sz w:val="22"/>
              </w:rPr>
            </w:pPr>
            <w:r w:rsidRPr="00295128">
              <w:rPr>
                <w:sz w:val="22"/>
              </w:rPr>
              <w:lastRenderedPageBreak/>
              <w:t>2.</w:t>
            </w:r>
          </w:p>
        </w:tc>
        <w:tc>
          <w:tcPr>
            <w:tcW w:w="2409" w:type="dxa"/>
            <w:shd w:val="clear" w:color="auto" w:fill="auto"/>
            <w:hideMark/>
          </w:tcPr>
          <w:p w14:paraId="0E9A4C97" w14:textId="77777777" w:rsidR="00BE2C01" w:rsidRPr="00295128" w:rsidRDefault="00BE2C01" w:rsidP="00315148">
            <w:pPr>
              <w:rPr>
                <w:sz w:val="28"/>
                <w:szCs w:val="28"/>
              </w:rPr>
            </w:pPr>
            <w:r w:rsidRPr="00295128">
              <w:rPr>
                <w:sz w:val="28"/>
                <w:szCs w:val="28"/>
              </w:rPr>
              <w:t>Citas starptautiskās saistības</w:t>
            </w:r>
          </w:p>
        </w:tc>
        <w:tc>
          <w:tcPr>
            <w:tcW w:w="6379" w:type="dxa"/>
            <w:shd w:val="clear" w:color="auto" w:fill="auto"/>
            <w:hideMark/>
          </w:tcPr>
          <w:p w14:paraId="5078EA43" w14:textId="77777777" w:rsidR="00BE2C01" w:rsidRPr="00295128" w:rsidRDefault="00BE2C01" w:rsidP="00315148">
            <w:pPr>
              <w:jc w:val="both"/>
              <w:rPr>
                <w:sz w:val="28"/>
                <w:szCs w:val="28"/>
              </w:rPr>
            </w:pPr>
            <w:r w:rsidRPr="00295128">
              <w:rPr>
                <w:sz w:val="28"/>
                <w:szCs w:val="28"/>
              </w:rPr>
              <w:t>Projekts šo jomu neskar.</w:t>
            </w:r>
          </w:p>
        </w:tc>
      </w:tr>
      <w:tr w:rsidR="00BE2C01" w:rsidRPr="00295128" w14:paraId="343BB46D" w14:textId="77777777" w:rsidTr="00E103DD">
        <w:trPr>
          <w:trHeight w:val="333"/>
        </w:trPr>
        <w:tc>
          <w:tcPr>
            <w:tcW w:w="568" w:type="dxa"/>
            <w:shd w:val="clear" w:color="auto" w:fill="auto"/>
            <w:hideMark/>
          </w:tcPr>
          <w:p w14:paraId="625B7F77" w14:textId="77777777" w:rsidR="00BE2C01" w:rsidRPr="00295128" w:rsidRDefault="00BE2C01" w:rsidP="00315148">
            <w:pPr>
              <w:rPr>
                <w:sz w:val="22"/>
              </w:rPr>
            </w:pPr>
            <w:r w:rsidRPr="00295128">
              <w:rPr>
                <w:sz w:val="22"/>
              </w:rPr>
              <w:t>3.</w:t>
            </w:r>
          </w:p>
        </w:tc>
        <w:tc>
          <w:tcPr>
            <w:tcW w:w="2409" w:type="dxa"/>
            <w:shd w:val="clear" w:color="auto" w:fill="auto"/>
            <w:hideMark/>
          </w:tcPr>
          <w:p w14:paraId="6B35F4D5" w14:textId="77777777" w:rsidR="00BE2C01" w:rsidRPr="00295128" w:rsidRDefault="00BE2C01" w:rsidP="00315148">
            <w:pPr>
              <w:rPr>
                <w:sz w:val="28"/>
                <w:szCs w:val="28"/>
              </w:rPr>
            </w:pPr>
            <w:r w:rsidRPr="00295128">
              <w:rPr>
                <w:sz w:val="28"/>
                <w:szCs w:val="28"/>
              </w:rPr>
              <w:t>Cita informācija</w:t>
            </w:r>
          </w:p>
        </w:tc>
        <w:tc>
          <w:tcPr>
            <w:tcW w:w="6379" w:type="dxa"/>
            <w:shd w:val="clear" w:color="auto" w:fill="auto"/>
            <w:hideMark/>
          </w:tcPr>
          <w:p w14:paraId="0FFE9235" w14:textId="77777777" w:rsidR="00BE2C01" w:rsidRPr="00295128" w:rsidRDefault="00BE2C01" w:rsidP="00315148">
            <w:pPr>
              <w:rPr>
                <w:sz w:val="28"/>
                <w:szCs w:val="28"/>
              </w:rPr>
            </w:pPr>
            <w:r w:rsidRPr="00295128">
              <w:rPr>
                <w:sz w:val="28"/>
                <w:szCs w:val="28"/>
              </w:rPr>
              <w:t>Nav.</w:t>
            </w:r>
          </w:p>
        </w:tc>
      </w:tr>
    </w:tbl>
    <w:p w14:paraId="718583C6" w14:textId="77777777" w:rsidR="00BE2C01" w:rsidRPr="00295128" w:rsidRDefault="00BE2C01" w:rsidP="00BE2C01"/>
    <w:tbl>
      <w:tblPr>
        <w:tblW w:w="494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542"/>
        <w:gridCol w:w="475"/>
        <w:gridCol w:w="1917"/>
        <w:gridCol w:w="566"/>
        <w:gridCol w:w="2884"/>
      </w:tblGrid>
      <w:tr w:rsidR="00BE2C01" w:rsidRPr="00295128" w14:paraId="3EA28CBD" w14:textId="77777777" w:rsidTr="00B40300">
        <w:tc>
          <w:tcPr>
            <w:tcW w:w="5000" w:type="pct"/>
            <w:gridSpan w:val="6"/>
            <w:shd w:val="clear" w:color="auto" w:fill="auto"/>
          </w:tcPr>
          <w:p w14:paraId="2A1D3C64" w14:textId="77777777" w:rsidR="00BE2C01" w:rsidRPr="00B60B88" w:rsidRDefault="00BE2C01" w:rsidP="00315148">
            <w:pPr>
              <w:jc w:val="center"/>
              <w:rPr>
                <w:sz w:val="28"/>
                <w:szCs w:val="28"/>
              </w:rPr>
            </w:pPr>
            <w:r w:rsidRPr="00B60B88">
              <w:rPr>
                <w:b/>
                <w:bCs/>
                <w:sz w:val="28"/>
                <w:szCs w:val="28"/>
              </w:rPr>
              <w:t>1. tabula</w:t>
            </w:r>
            <w:r w:rsidRPr="00B60B88">
              <w:rPr>
                <w:b/>
                <w:bCs/>
                <w:sz w:val="28"/>
                <w:szCs w:val="28"/>
              </w:rPr>
              <w:br/>
              <w:t>Tiesību akta projekta atbilstība ES tiesību aktiem</w:t>
            </w:r>
          </w:p>
        </w:tc>
      </w:tr>
      <w:tr w:rsidR="00BE2C01" w:rsidRPr="00295128" w14:paraId="2D8C4525" w14:textId="77777777" w:rsidTr="00B40300">
        <w:tc>
          <w:tcPr>
            <w:tcW w:w="1006" w:type="pct"/>
            <w:shd w:val="clear" w:color="auto" w:fill="auto"/>
          </w:tcPr>
          <w:p w14:paraId="7CFE0247" w14:textId="77777777" w:rsidR="00BE2C01" w:rsidRPr="00B60B88" w:rsidRDefault="00BE2C01" w:rsidP="00315148">
            <w:pPr>
              <w:rPr>
                <w:sz w:val="28"/>
                <w:szCs w:val="28"/>
              </w:rPr>
            </w:pPr>
            <w:r w:rsidRPr="00B60B88">
              <w:rPr>
                <w:sz w:val="28"/>
                <w:szCs w:val="28"/>
              </w:rPr>
              <w:t>Attiecīgā ES tiesību akta datums, numurs un nosaukums</w:t>
            </w:r>
          </w:p>
        </w:tc>
        <w:tc>
          <w:tcPr>
            <w:tcW w:w="3994" w:type="pct"/>
            <w:gridSpan w:val="5"/>
            <w:shd w:val="clear" w:color="auto" w:fill="auto"/>
          </w:tcPr>
          <w:p w14:paraId="37AA52E8" w14:textId="71B5A4DD" w:rsidR="00BE2C01" w:rsidRPr="00B60B88" w:rsidRDefault="00012BB8" w:rsidP="00315148">
            <w:pPr>
              <w:jc w:val="both"/>
              <w:rPr>
                <w:sz w:val="28"/>
                <w:szCs w:val="28"/>
              </w:rPr>
            </w:pPr>
            <w:r>
              <w:rPr>
                <w:sz w:val="28"/>
                <w:szCs w:val="28"/>
              </w:rPr>
              <w:t xml:space="preserve">     </w:t>
            </w:r>
            <w:r w:rsidR="00BE2C01" w:rsidRPr="00B60B88">
              <w:rPr>
                <w:sz w:val="28"/>
                <w:szCs w:val="28"/>
              </w:rPr>
              <w:t>Eiropas Parlamenta un Padomes 2010. gada 20. oktobra Regula (ES) Nr. 994/2010 par gāzes piegādes drošības aizsardzības pasākumiem un Padomes Direktīvas 2004/67/EK</w:t>
            </w:r>
            <w:r w:rsidR="00004BA5">
              <w:rPr>
                <w:sz w:val="28"/>
                <w:szCs w:val="28"/>
              </w:rPr>
              <w:t xml:space="preserve"> atcelšanu</w:t>
            </w:r>
            <w:r w:rsidR="00BE2C01" w:rsidRPr="00B60B88">
              <w:rPr>
                <w:sz w:val="28"/>
                <w:szCs w:val="28"/>
              </w:rPr>
              <w:t>.</w:t>
            </w:r>
          </w:p>
          <w:p w14:paraId="1C3B6487" w14:textId="77777777" w:rsidR="00BE2C01" w:rsidRPr="00B60B88" w:rsidRDefault="00BE2C01" w:rsidP="00315148">
            <w:pPr>
              <w:jc w:val="both"/>
              <w:rPr>
                <w:sz w:val="28"/>
                <w:szCs w:val="28"/>
              </w:rPr>
            </w:pPr>
            <w:r w:rsidRPr="00B60B88">
              <w:rPr>
                <w:sz w:val="28"/>
                <w:szCs w:val="28"/>
              </w:rPr>
              <w:t>Publicēta “Eiropas Savienības Oficiālajā Vēstnesī” L 295, 12.11.2010., 1.-22. lpp.</w:t>
            </w:r>
          </w:p>
        </w:tc>
      </w:tr>
      <w:tr w:rsidR="00BE2C01" w:rsidRPr="00295128" w14:paraId="6A733BBA" w14:textId="77777777" w:rsidTr="00E103DD">
        <w:tc>
          <w:tcPr>
            <w:tcW w:w="1006" w:type="pct"/>
            <w:shd w:val="clear" w:color="auto" w:fill="auto"/>
            <w:hideMark/>
          </w:tcPr>
          <w:p w14:paraId="79455575" w14:textId="77777777" w:rsidR="00BE2C01" w:rsidRPr="00B60B88" w:rsidRDefault="00BE2C01" w:rsidP="00315148">
            <w:pPr>
              <w:jc w:val="center"/>
              <w:rPr>
                <w:sz w:val="28"/>
                <w:szCs w:val="28"/>
              </w:rPr>
            </w:pPr>
            <w:r w:rsidRPr="00B60B88">
              <w:rPr>
                <w:sz w:val="28"/>
                <w:szCs w:val="28"/>
              </w:rPr>
              <w:t>A</w:t>
            </w:r>
          </w:p>
        </w:tc>
        <w:tc>
          <w:tcPr>
            <w:tcW w:w="1091" w:type="pct"/>
            <w:gridSpan w:val="2"/>
            <w:shd w:val="clear" w:color="auto" w:fill="auto"/>
            <w:hideMark/>
          </w:tcPr>
          <w:p w14:paraId="73EC7278" w14:textId="77777777" w:rsidR="00BE2C01" w:rsidRPr="00B60B88" w:rsidRDefault="00BE2C01" w:rsidP="00315148">
            <w:pPr>
              <w:jc w:val="center"/>
              <w:rPr>
                <w:sz w:val="28"/>
                <w:szCs w:val="28"/>
              </w:rPr>
            </w:pPr>
            <w:r w:rsidRPr="00B60B88">
              <w:rPr>
                <w:sz w:val="28"/>
                <w:szCs w:val="28"/>
              </w:rPr>
              <w:t>B</w:t>
            </w:r>
          </w:p>
        </w:tc>
        <w:tc>
          <w:tcPr>
            <w:tcW w:w="1343" w:type="pct"/>
            <w:gridSpan w:val="2"/>
            <w:shd w:val="clear" w:color="auto" w:fill="auto"/>
            <w:hideMark/>
          </w:tcPr>
          <w:p w14:paraId="50F0674B" w14:textId="77777777" w:rsidR="00BE2C01" w:rsidRPr="00B60B88" w:rsidRDefault="00BE2C01" w:rsidP="00315148">
            <w:pPr>
              <w:jc w:val="center"/>
              <w:rPr>
                <w:sz w:val="28"/>
                <w:szCs w:val="28"/>
              </w:rPr>
            </w:pPr>
            <w:r w:rsidRPr="00B60B88">
              <w:rPr>
                <w:sz w:val="28"/>
                <w:szCs w:val="28"/>
              </w:rPr>
              <w:t>C</w:t>
            </w:r>
          </w:p>
        </w:tc>
        <w:tc>
          <w:tcPr>
            <w:tcW w:w="1560" w:type="pct"/>
            <w:shd w:val="clear" w:color="auto" w:fill="auto"/>
            <w:hideMark/>
          </w:tcPr>
          <w:p w14:paraId="31B79245" w14:textId="77777777" w:rsidR="00BE2C01" w:rsidRPr="00B60B88" w:rsidRDefault="00BE2C01" w:rsidP="00315148">
            <w:pPr>
              <w:jc w:val="center"/>
              <w:rPr>
                <w:sz w:val="28"/>
                <w:szCs w:val="28"/>
              </w:rPr>
            </w:pPr>
            <w:r w:rsidRPr="00B60B88">
              <w:rPr>
                <w:sz w:val="28"/>
                <w:szCs w:val="28"/>
              </w:rPr>
              <w:t>D</w:t>
            </w:r>
          </w:p>
        </w:tc>
      </w:tr>
      <w:tr w:rsidR="00BE2C01" w:rsidRPr="00295128" w14:paraId="704F8F40" w14:textId="77777777" w:rsidTr="00E103DD">
        <w:tc>
          <w:tcPr>
            <w:tcW w:w="1006" w:type="pct"/>
            <w:tcBorders>
              <w:top w:val="single" w:sz="4" w:space="0" w:color="auto"/>
              <w:left w:val="single" w:sz="4" w:space="0" w:color="auto"/>
              <w:bottom w:val="single" w:sz="4" w:space="0" w:color="auto"/>
              <w:right w:val="single" w:sz="4" w:space="0" w:color="auto"/>
            </w:tcBorders>
            <w:shd w:val="clear" w:color="auto" w:fill="auto"/>
            <w:hideMark/>
          </w:tcPr>
          <w:p w14:paraId="61C74687" w14:textId="77777777" w:rsidR="00BE2C01" w:rsidRPr="00B60B88" w:rsidRDefault="00BE2C01" w:rsidP="00315148">
            <w:pPr>
              <w:jc w:val="center"/>
              <w:rPr>
                <w:sz w:val="28"/>
                <w:szCs w:val="28"/>
              </w:rPr>
            </w:pPr>
            <w:r w:rsidRPr="00B60B88">
              <w:rPr>
                <w:sz w:val="28"/>
                <w:szCs w:val="28"/>
              </w:rPr>
              <w:t>Attiecīgā ES tiesību akta panta numurs (uzskaitot katru tiesību akta vienību – pantu, daļu, punktu, apakšpunktu)</w:t>
            </w:r>
          </w:p>
        </w:tc>
        <w:tc>
          <w:tcPr>
            <w:tcW w:w="1091" w:type="pct"/>
            <w:gridSpan w:val="2"/>
            <w:tcBorders>
              <w:top w:val="single" w:sz="4" w:space="0" w:color="auto"/>
              <w:left w:val="single" w:sz="4" w:space="0" w:color="auto"/>
              <w:bottom w:val="single" w:sz="4" w:space="0" w:color="auto"/>
              <w:right w:val="single" w:sz="4" w:space="0" w:color="auto"/>
            </w:tcBorders>
            <w:shd w:val="clear" w:color="auto" w:fill="auto"/>
            <w:hideMark/>
          </w:tcPr>
          <w:p w14:paraId="34E9A1D4" w14:textId="77777777" w:rsidR="00BE2C01" w:rsidRPr="00B60B88" w:rsidRDefault="00BE2C01" w:rsidP="00315148">
            <w:pPr>
              <w:jc w:val="center"/>
              <w:rPr>
                <w:sz w:val="28"/>
                <w:szCs w:val="28"/>
              </w:rPr>
            </w:pPr>
            <w:r w:rsidRPr="00B60B88">
              <w:rPr>
                <w:sz w:val="28"/>
                <w:szCs w:val="28"/>
              </w:rPr>
              <w:t>Projekta vienība, kas pārņem vai ievieš katru šīs tabulas A ailē minēto ES tiesību akta vienību, vai tiesību akts, kur attiecīgā ES tiesību akta vienība pārņemta vai ieviesta</w:t>
            </w:r>
          </w:p>
        </w:tc>
        <w:tc>
          <w:tcPr>
            <w:tcW w:w="1343" w:type="pct"/>
            <w:gridSpan w:val="2"/>
            <w:tcBorders>
              <w:top w:val="single" w:sz="4" w:space="0" w:color="auto"/>
              <w:left w:val="single" w:sz="4" w:space="0" w:color="auto"/>
              <w:bottom w:val="single" w:sz="4" w:space="0" w:color="auto"/>
              <w:right w:val="single" w:sz="4" w:space="0" w:color="auto"/>
            </w:tcBorders>
            <w:shd w:val="clear" w:color="auto" w:fill="auto"/>
            <w:hideMark/>
          </w:tcPr>
          <w:p w14:paraId="01F2145E" w14:textId="77777777" w:rsidR="00BE2C01" w:rsidRPr="00B60B88" w:rsidRDefault="00BE2C01" w:rsidP="00315148">
            <w:pPr>
              <w:jc w:val="center"/>
              <w:rPr>
                <w:sz w:val="28"/>
                <w:szCs w:val="28"/>
              </w:rPr>
            </w:pPr>
            <w:r w:rsidRPr="00B60B88">
              <w:rPr>
                <w:sz w:val="28"/>
                <w:szCs w:val="28"/>
              </w:rPr>
              <w:t>Informācija par to, vai šīs tabulas A ailē minētās ES tiesību akta vienības tiek pārņemtas vai ieviestas pilnībā vai daļēji.</w:t>
            </w:r>
          </w:p>
          <w:p w14:paraId="3F03FF2A" w14:textId="77777777" w:rsidR="00BE2C01" w:rsidRPr="00B60B88" w:rsidRDefault="00BE2C01" w:rsidP="00315148">
            <w:pPr>
              <w:jc w:val="center"/>
              <w:rPr>
                <w:sz w:val="28"/>
                <w:szCs w:val="28"/>
              </w:rPr>
            </w:pPr>
            <w:r w:rsidRPr="00B60B88">
              <w:rPr>
                <w:sz w:val="28"/>
                <w:szCs w:val="28"/>
              </w:rPr>
              <w:t>Ja attiecīgā ES tiesību akta vienība tiek pārņemta vai ieviesta daļēji, sniedz attiecīgu skaidrojumu, kā arī precīzi norāda, kad un kādā veidā ES tiesību akta vienība tiks pārņemta vai ieviesta pilnībā.</w:t>
            </w:r>
          </w:p>
          <w:p w14:paraId="1760BDC3" w14:textId="77777777" w:rsidR="00BE2C01" w:rsidRPr="00B60B88" w:rsidRDefault="00BE2C01" w:rsidP="00315148">
            <w:pPr>
              <w:jc w:val="center"/>
              <w:rPr>
                <w:sz w:val="28"/>
                <w:szCs w:val="28"/>
              </w:rPr>
            </w:pPr>
            <w:r w:rsidRPr="00B60B88">
              <w:rPr>
                <w:sz w:val="28"/>
                <w:szCs w:val="28"/>
              </w:rPr>
              <w:t>Norāda institūciju, kas ir atbildīga par šo saistību izpildi pilnībā</w:t>
            </w:r>
          </w:p>
        </w:tc>
        <w:tc>
          <w:tcPr>
            <w:tcW w:w="1560" w:type="pct"/>
            <w:tcBorders>
              <w:top w:val="single" w:sz="4" w:space="0" w:color="auto"/>
              <w:left w:val="single" w:sz="4" w:space="0" w:color="auto"/>
              <w:bottom w:val="single" w:sz="4" w:space="0" w:color="auto"/>
              <w:right w:val="single" w:sz="4" w:space="0" w:color="auto"/>
            </w:tcBorders>
            <w:shd w:val="clear" w:color="auto" w:fill="auto"/>
            <w:hideMark/>
          </w:tcPr>
          <w:p w14:paraId="755CA19A" w14:textId="77777777" w:rsidR="00BE2C01" w:rsidRPr="00B60B88" w:rsidRDefault="00BE2C01" w:rsidP="00315148">
            <w:pPr>
              <w:jc w:val="center"/>
              <w:rPr>
                <w:sz w:val="28"/>
                <w:szCs w:val="28"/>
              </w:rPr>
            </w:pPr>
            <w:r w:rsidRPr="00B60B88">
              <w:rPr>
                <w:sz w:val="28"/>
                <w:szCs w:val="28"/>
              </w:rPr>
              <w:t>Informācija par to, vai šīs tabulas B ailē minētās projekta vienības paredz stingrākas prasības nekā šīs tabulas A ailē minētās ES tiesību akta vienības.</w:t>
            </w:r>
          </w:p>
          <w:p w14:paraId="7DB080E2" w14:textId="77777777" w:rsidR="00BE2C01" w:rsidRPr="00B60B88" w:rsidRDefault="00BE2C01" w:rsidP="00315148">
            <w:pPr>
              <w:jc w:val="center"/>
              <w:rPr>
                <w:sz w:val="28"/>
                <w:szCs w:val="28"/>
              </w:rPr>
            </w:pPr>
            <w:r w:rsidRPr="00B60B88">
              <w:rPr>
                <w:sz w:val="28"/>
                <w:szCs w:val="28"/>
              </w:rPr>
              <w:t>Ja projekts satur stingrākas prasības nekā attiecīgais ES tiesību akts, norāda pamatojumu un samērīgumu.</w:t>
            </w:r>
          </w:p>
          <w:p w14:paraId="774D6CB0" w14:textId="77777777" w:rsidR="00BE2C01" w:rsidRPr="00B60B88" w:rsidRDefault="00BE2C01" w:rsidP="00315148">
            <w:pPr>
              <w:jc w:val="center"/>
              <w:rPr>
                <w:sz w:val="28"/>
                <w:szCs w:val="28"/>
              </w:rPr>
            </w:pPr>
            <w:r w:rsidRPr="00B60B88">
              <w:rPr>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rsidR="00BE2C01" w:rsidRPr="00295128" w14:paraId="3E408778" w14:textId="77777777" w:rsidTr="00E103DD">
        <w:tc>
          <w:tcPr>
            <w:tcW w:w="1006" w:type="pct"/>
            <w:tcBorders>
              <w:top w:val="single" w:sz="4" w:space="0" w:color="auto"/>
              <w:left w:val="single" w:sz="4" w:space="0" w:color="auto"/>
              <w:bottom w:val="single" w:sz="4" w:space="0" w:color="auto"/>
              <w:right w:val="single" w:sz="4" w:space="0" w:color="auto"/>
            </w:tcBorders>
            <w:shd w:val="clear" w:color="auto" w:fill="auto"/>
          </w:tcPr>
          <w:p w14:paraId="37377912" w14:textId="703F3600" w:rsidR="00BE2C01" w:rsidRPr="00B60B88" w:rsidRDefault="00BE2C01" w:rsidP="00315148">
            <w:pPr>
              <w:jc w:val="center"/>
              <w:rPr>
                <w:sz w:val="28"/>
                <w:szCs w:val="28"/>
              </w:rPr>
            </w:pPr>
          </w:p>
        </w:tc>
        <w:tc>
          <w:tcPr>
            <w:tcW w:w="1091" w:type="pct"/>
            <w:gridSpan w:val="2"/>
            <w:tcBorders>
              <w:top w:val="single" w:sz="4" w:space="0" w:color="auto"/>
              <w:left w:val="single" w:sz="4" w:space="0" w:color="auto"/>
              <w:bottom w:val="single" w:sz="4" w:space="0" w:color="auto"/>
              <w:right w:val="single" w:sz="4" w:space="0" w:color="auto"/>
            </w:tcBorders>
            <w:shd w:val="clear" w:color="auto" w:fill="auto"/>
          </w:tcPr>
          <w:p w14:paraId="662C73E4" w14:textId="588B3A0F" w:rsidR="00BE2C01" w:rsidRPr="00F01485" w:rsidRDefault="00BE2C01" w:rsidP="00F01485">
            <w:pPr>
              <w:jc w:val="both"/>
              <w:rPr>
                <w:color w:val="000000" w:themeColor="text1"/>
                <w:sz w:val="28"/>
                <w:szCs w:val="28"/>
              </w:rPr>
            </w:pPr>
          </w:p>
        </w:tc>
        <w:tc>
          <w:tcPr>
            <w:tcW w:w="1343" w:type="pct"/>
            <w:gridSpan w:val="2"/>
            <w:tcBorders>
              <w:top w:val="single" w:sz="4" w:space="0" w:color="auto"/>
              <w:left w:val="single" w:sz="4" w:space="0" w:color="auto"/>
              <w:bottom w:val="single" w:sz="4" w:space="0" w:color="auto"/>
              <w:right w:val="single" w:sz="4" w:space="0" w:color="auto"/>
            </w:tcBorders>
            <w:shd w:val="clear" w:color="auto" w:fill="auto"/>
          </w:tcPr>
          <w:p w14:paraId="4D274AB7" w14:textId="498398D7" w:rsidR="00BE2C01" w:rsidRPr="00BE154E" w:rsidRDefault="00BE2C01" w:rsidP="00315148">
            <w:pPr>
              <w:jc w:val="both"/>
              <w:rPr>
                <w:sz w:val="28"/>
                <w:szCs w:val="28"/>
              </w:rPr>
            </w:pPr>
          </w:p>
        </w:tc>
        <w:tc>
          <w:tcPr>
            <w:tcW w:w="1560" w:type="pct"/>
            <w:tcBorders>
              <w:top w:val="single" w:sz="4" w:space="0" w:color="auto"/>
              <w:left w:val="single" w:sz="4" w:space="0" w:color="auto"/>
              <w:bottom w:val="single" w:sz="4" w:space="0" w:color="auto"/>
              <w:right w:val="single" w:sz="4" w:space="0" w:color="auto"/>
            </w:tcBorders>
            <w:shd w:val="clear" w:color="auto" w:fill="auto"/>
          </w:tcPr>
          <w:p w14:paraId="776A25FE" w14:textId="7704B9A6" w:rsidR="00BE2C01" w:rsidRPr="00B60B88" w:rsidRDefault="00004BA5" w:rsidP="00315148">
            <w:pPr>
              <w:jc w:val="center"/>
              <w:rPr>
                <w:sz w:val="28"/>
                <w:szCs w:val="28"/>
              </w:rPr>
            </w:pPr>
            <w:r w:rsidRPr="00B60B88">
              <w:rPr>
                <w:sz w:val="28"/>
                <w:szCs w:val="28"/>
              </w:rPr>
              <w:t>Normatīvā akta projekta vienība neparedz stingrākas prasības</w:t>
            </w:r>
          </w:p>
        </w:tc>
      </w:tr>
      <w:tr w:rsidR="00BE2C01" w:rsidRPr="00295128" w14:paraId="64971C6C" w14:textId="77777777" w:rsidTr="00E103DD">
        <w:tc>
          <w:tcPr>
            <w:tcW w:w="1006" w:type="pct"/>
            <w:tcBorders>
              <w:top w:val="single" w:sz="4" w:space="0" w:color="auto"/>
              <w:left w:val="single" w:sz="4" w:space="0" w:color="auto"/>
              <w:bottom w:val="single" w:sz="4" w:space="0" w:color="auto"/>
              <w:right w:val="single" w:sz="4" w:space="0" w:color="auto"/>
            </w:tcBorders>
            <w:shd w:val="clear" w:color="auto" w:fill="auto"/>
          </w:tcPr>
          <w:p w14:paraId="4C99ECB8" w14:textId="77777777" w:rsidR="00BE2C01" w:rsidRPr="00B60B88" w:rsidRDefault="00BE2C01" w:rsidP="00315148">
            <w:pPr>
              <w:jc w:val="center"/>
              <w:rPr>
                <w:sz w:val="28"/>
                <w:szCs w:val="28"/>
              </w:rPr>
            </w:pPr>
            <w:r w:rsidRPr="00B60B88">
              <w:rPr>
                <w:sz w:val="28"/>
                <w:szCs w:val="28"/>
              </w:rPr>
              <w:lastRenderedPageBreak/>
              <w:t>8.panta</w:t>
            </w:r>
          </w:p>
          <w:p w14:paraId="481B3EC9" w14:textId="77777777" w:rsidR="00BE2C01" w:rsidRPr="00B60B88" w:rsidRDefault="00BE2C01" w:rsidP="00315148">
            <w:pPr>
              <w:jc w:val="center"/>
              <w:rPr>
                <w:sz w:val="28"/>
                <w:szCs w:val="28"/>
              </w:rPr>
            </w:pPr>
            <w:r w:rsidRPr="00B60B88">
              <w:rPr>
                <w:sz w:val="28"/>
                <w:szCs w:val="28"/>
              </w:rPr>
              <w:t>1.punkts</w:t>
            </w:r>
          </w:p>
        </w:tc>
        <w:tc>
          <w:tcPr>
            <w:tcW w:w="1091" w:type="pct"/>
            <w:gridSpan w:val="2"/>
            <w:tcBorders>
              <w:top w:val="single" w:sz="4" w:space="0" w:color="auto"/>
              <w:left w:val="single" w:sz="4" w:space="0" w:color="auto"/>
              <w:bottom w:val="single" w:sz="4" w:space="0" w:color="auto"/>
              <w:right w:val="single" w:sz="4" w:space="0" w:color="auto"/>
            </w:tcBorders>
            <w:shd w:val="clear" w:color="auto" w:fill="auto"/>
          </w:tcPr>
          <w:p w14:paraId="58448D18" w14:textId="71EE526A" w:rsidR="00BE2C01" w:rsidRPr="00B60B88" w:rsidRDefault="00F01485" w:rsidP="0043016A">
            <w:pPr>
              <w:jc w:val="center"/>
              <w:rPr>
                <w:sz w:val="28"/>
                <w:szCs w:val="28"/>
              </w:rPr>
            </w:pPr>
            <w:r w:rsidRPr="00F01485">
              <w:rPr>
                <w:color w:val="000000" w:themeColor="text1"/>
                <w:sz w:val="28"/>
                <w:szCs w:val="28"/>
                <w:shd w:val="clear" w:color="auto" w:fill="FFFFFF"/>
              </w:rPr>
              <w:t>34</w:t>
            </w:r>
            <w:r w:rsidR="0043016A">
              <w:rPr>
                <w:color w:val="000000" w:themeColor="text1"/>
                <w:sz w:val="28"/>
                <w:szCs w:val="28"/>
                <w:vertAlign w:val="superscript"/>
              </w:rPr>
              <w:t>1</w:t>
            </w:r>
            <w:r w:rsidRPr="00F01485">
              <w:rPr>
                <w:color w:val="000000" w:themeColor="text1"/>
                <w:sz w:val="28"/>
                <w:szCs w:val="28"/>
                <w:shd w:val="clear" w:color="auto" w:fill="FFFFFF"/>
              </w:rPr>
              <w:t>.</w:t>
            </w:r>
            <w:r w:rsidRPr="00C206F0">
              <w:rPr>
                <w:color w:val="000000" w:themeColor="text1"/>
                <w:sz w:val="28"/>
                <w:szCs w:val="28"/>
              </w:rPr>
              <w:t xml:space="preserve"> </w:t>
            </w:r>
            <w:r w:rsidR="00BE2C01" w:rsidRPr="00B60B88">
              <w:rPr>
                <w:sz w:val="28"/>
                <w:szCs w:val="28"/>
              </w:rPr>
              <w:t>punkts</w:t>
            </w:r>
          </w:p>
        </w:tc>
        <w:tc>
          <w:tcPr>
            <w:tcW w:w="1343" w:type="pct"/>
            <w:gridSpan w:val="2"/>
            <w:tcBorders>
              <w:top w:val="single" w:sz="4" w:space="0" w:color="auto"/>
              <w:left w:val="single" w:sz="4" w:space="0" w:color="auto"/>
              <w:bottom w:val="single" w:sz="4" w:space="0" w:color="auto"/>
              <w:right w:val="single" w:sz="4" w:space="0" w:color="auto"/>
            </w:tcBorders>
            <w:shd w:val="clear" w:color="auto" w:fill="auto"/>
          </w:tcPr>
          <w:p w14:paraId="58E5B705" w14:textId="77777777" w:rsidR="00BE2C01" w:rsidRPr="00B60B88" w:rsidRDefault="00BE2C01" w:rsidP="00315148">
            <w:pPr>
              <w:jc w:val="center"/>
              <w:rPr>
                <w:b/>
                <w:sz w:val="28"/>
                <w:szCs w:val="28"/>
              </w:rPr>
            </w:pPr>
            <w:r w:rsidRPr="00B60B88">
              <w:rPr>
                <w:sz w:val="28"/>
                <w:szCs w:val="28"/>
              </w:rPr>
              <w:t>ES tiesību akta norma tiek īstenota pilnībā.</w:t>
            </w:r>
          </w:p>
        </w:tc>
        <w:tc>
          <w:tcPr>
            <w:tcW w:w="1560" w:type="pct"/>
            <w:tcBorders>
              <w:top w:val="single" w:sz="4" w:space="0" w:color="auto"/>
              <w:left w:val="single" w:sz="4" w:space="0" w:color="auto"/>
              <w:bottom w:val="single" w:sz="4" w:space="0" w:color="auto"/>
              <w:right w:val="single" w:sz="4" w:space="0" w:color="auto"/>
            </w:tcBorders>
            <w:shd w:val="clear" w:color="auto" w:fill="auto"/>
          </w:tcPr>
          <w:p w14:paraId="7FAB2AD5" w14:textId="77777777" w:rsidR="00BE2C01" w:rsidRPr="00B60B88" w:rsidRDefault="00BE2C01" w:rsidP="00315148">
            <w:pPr>
              <w:jc w:val="center"/>
              <w:rPr>
                <w:sz w:val="28"/>
                <w:szCs w:val="28"/>
              </w:rPr>
            </w:pPr>
            <w:r w:rsidRPr="00B60B88">
              <w:rPr>
                <w:sz w:val="28"/>
                <w:szCs w:val="28"/>
              </w:rPr>
              <w:t>Normatīvā akta projekta vienība neparedz stingrākas prasības</w:t>
            </w:r>
          </w:p>
        </w:tc>
      </w:tr>
      <w:tr w:rsidR="00BE2C01" w:rsidRPr="00295128" w14:paraId="20EF7140" w14:textId="77777777" w:rsidTr="00B40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81"/>
        </w:trPr>
        <w:tc>
          <w:tcPr>
            <w:tcW w:w="2097" w:type="pct"/>
            <w:gridSpan w:val="3"/>
            <w:tcBorders>
              <w:top w:val="single" w:sz="4" w:space="0" w:color="000000"/>
              <w:left w:val="single" w:sz="4" w:space="0" w:color="000000"/>
              <w:bottom w:val="single" w:sz="4" w:space="0" w:color="000000"/>
              <w:right w:val="single" w:sz="4" w:space="0" w:color="000000"/>
            </w:tcBorders>
            <w:shd w:val="clear" w:color="000000" w:fill="FFFFFF"/>
          </w:tcPr>
          <w:p w14:paraId="142A3C92" w14:textId="77777777" w:rsidR="00BE2C01" w:rsidRPr="00B60B88" w:rsidRDefault="00BE2C01" w:rsidP="00315148">
            <w:pPr>
              <w:autoSpaceDE w:val="0"/>
              <w:autoSpaceDN w:val="0"/>
              <w:adjustRightInd w:val="0"/>
              <w:ind w:left="57"/>
              <w:rPr>
                <w:spacing w:val="-3"/>
                <w:sz w:val="28"/>
                <w:szCs w:val="28"/>
              </w:rPr>
            </w:pPr>
            <w:r w:rsidRPr="00B60B88">
              <w:rPr>
                <w:spacing w:val="-3"/>
                <w:sz w:val="28"/>
                <w:szCs w:val="28"/>
              </w:rPr>
              <w:t>Kā ir izmantota ES tiesību aktā paredzētā rīcības brīvība dalībvalstij pārņemt vai ieviest noteiktas ES tiesību akta normas?</w:t>
            </w:r>
          </w:p>
          <w:p w14:paraId="33625EA5" w14:textId="77777777" w:rsidR="00BE2C01" w:rsidRPr="00B60B88" w:rsidRDefault="00BE2C01" w:rsidP="00315148">
            <w:pPr>
              <w:autoSpaceDE w:val="0"/>
              <w:autoSpaceDN w:val="0"/>
              <w:adjustRightInd w:val="0"/>
              <w:ind w:left="57"/>
              <w:rPr>
                <w:sz w:val="28"/>
                <w:szCs w:val="28"/>
              </w:rPr>
            </w:pPr>
            <w:r w:rsidRPr="00B60B88">
              <w:rPr>
                <w:spacing w:val="-3"/>
                <w:sz w:val="28"/>
                <w:szCs w:val="28"/>
              </w:rPr>
              <w:t>Kādēļ?</w:t>
            </w:r>
          </w:p>
        </w:tc>
        <w:tc>
          <w:tcPr>
            <w:tcW w:w="2903" w:type="pct"/>
            <w:gridSpan w:val="3"/>
            <w:tcBorders>
              <w:top w:val="single" w:sz="4" w:space="0" w:color="000000"/>
              <w:left w:val="single" w:sz="4" w:space="0" w:color="000000"/>
              <w:bottom w:val="single" w:sz="4" w:space="0" w:color="000000"/>
              <w:right w:val="single" w:sz="4" w:space="0" w:color="000000"/>
            </w:tcBorders>
            <w:shd w:val="clear" w:color="000000" w:fill="FFFFFF"/>
          </w:tcPr>
          <w:p w14:paraId="5FD59CDB" w14:textId="77777777" w:rsidR="00BE2C01" w:rsidRPr="00B60B88" w:rsidRDefault="00BE2C01" w:rsidP="00315148">
            <w:pPr>
              <w:autoSpaceDE w:val="0"/>
              <w:autoSpaceDN w:val="0"/>
              <w:adjustRightInd w:val="0"/>
              <w:ind w:left="57"/>
              <w:rPr>
                <w:sz w:val="28"/>
                <w:szCs w:val="28"/>
              </w:rPr>
            </w:pPr>
            <w:r w:rsidRPr="00B60B88">
              <w:rPr>
                <w:sz w:val="28"/>
                <w:szCs w:val="28"/>
              </w:rPr>
              <w:t>Projekts šo jomu neskar</w:t>
            </w:r>
            <w:r>
              <w:rPr>
                <w:sz w:val="28"/>
                <w:szCs w:val="28"/>
              </w:rPr>
              <w:t>.</w:t>
            </w:r>
          </w:p>
        </w:tc>
      </w:tr>
      <w:tr w:rsidR="00BE2C01" w:rsidRPr="00295128" w14:paraId="3A0BB68C" w14:textId="77777777" w:rsidTr="00B40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13"/>
        </w:trPr>
        <w:tc>
          <w:tcPr>
            <w:tcW w:w="2097" w:type="pct"/>
            <w:gridSpan w:val="3"/>
            <w:tcBorders>
              <w:top w:val="single" w:sz="4" w:space="0" w:color="000000"/>
              <w:left w:val="single" w:sz="4" w:space="0" w:color="000000"/>
              <w:bottom w:val="single" w:sz="4" w:space="0" w:color="000000"/>
              <w:right w:val="single" w:sz="4" w:space="0" w:color="000000"/>
            </w:tcBorders>
            <w:shd w:val="clear" w:color="000000" w:fill="FFFFFF"/>
          </w:tcPr>
          <w:p w14:paraId="1CD8691D" w14:textId="77777777" w:rsidR="00BE2C01" w:rsidRPr="00B60B88" w:rsidRDefault="00BE2C01" w:rsidP="00315148">
            <w:pPr>
              <w:autoSpaceDE w:val="0"/>
              <w:autoSpaceDN w:val="0"/>
              <w:adjustRightInd w:val="0"/>
              <w:ind w:left="57"/>
              <w:rPr>
                <w:sz w:val="28"/>
                <w:szCs w:val="28"/>
              </w:rPr>
            </w:pPr>
            <w:r w:rsidRPr="00B60B88">
              <w:rPr>
                <w:spacing w:val="-4"/>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03" w:type="pct"/>
            <w:gridSpan w:val="3"/>
            <w:tcBorders>
              <w:top w:val="single" w:sz="4" w:space="0" w:color="000000"/>
              <w:left w:val="single" w:sz="4" w:space="0" w:color="000000"/>
              <w:bottom w:val="single" w:sz="4" w:space="0" w:color="000000"/>
              <w:right w:val="single" w:sz="4" w:space="0" w:color="000000"/>
            </w:tcBorders>
            <w:shd w:val="clear" w:color="000000" w:fill="FFFFFF"/>
          </w:tcPr>
          <w:p w14:paraId="35452E3D" w14:textId="77777777" w:rsidR="00BE2C01" w:rsidRPr="00B60B88" w:rsidRDefault="00BE2C01" w:rsidP="00315148">
            <w:pPr>
              <w:autoSpaceDE w:val="0"/>
              <w:autoSpaceDN w:val="0"/>
              <w:adjustRightInd w:val="0"/>
              <w:ind w:left="57"/>
              <w:rPr>
                <w:sz w:val="28"/>
                <w:szCs w:val="28"/>
              </w:rPr>
            </w:pPr>
            <w:r w:rsidRPr="00B60B88">
              <w:rPr>
                <w:sz w:val="28"/>
                <w:szCs w:val="28"/>
              </w:rPr>
              <w:t>Projekts šo jomu neskar</w:t>
            </w:r>
            <w:r>
              <w:rPr>
                <w:sz w:val="28"/>
                <w:szCs w:val="28"/>
              </w:rPr>
              <w:t>.</w:t>
            </w:r>
          </w:p>
        </w:tc>
      </w:tr>
      <w:tr w:rsidR="00BE2C01" w:rsidRPr="00295128" w14:paraId="692A6691" w14:textId="77777777" w:rsidTr="00B40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79"/>
        </w:trPr>
        <w:tc>
          <w:tcPr>
            <w:tcW w:w="2097" w:type="pct"/>
            <w:gridSpan w:val="3"/>
            <w:tcBorders>
              <w:top w:val="single" w:sz="4" w:space="0" w:color="000000"/>
              <w:left w:val="single" w:sz="4" w:space="0" w:color="000000"/>
              <w:bottom w:val="single" w:sz="4" w:space="0" w:color="000000"/>
              <w:right w:val="single" w:sz="4" w:space="0" w:color="000000"/>
            </w:tcBorders>
            <w:shd w:val="clear" w:color="000000" w:fill="FFFFFF"/>
          </w:tcPr>
          <w:p w14:paraId="6E66F146" w14:textId="77777777" w:rsidR="00BE2C01" w:rsidRPr="00B60B88" w:rsidRDefault="00BE2C01" w:rsidP="00315148">
            <w:pPr>
              <w:autoSpaceDE w:val="0"/>
              <w:autoSpaceDN w:val="0"/>
              <w:adjustRightInd w:val="0"/>
              <w:ind w:left="57"/>
              <w:rPr>
                <w:sz w:val="28"/>
                <w:szCs w:val="28"/>
              </w:rPr>
            </w:pPr>
            <w:r w:rsidRPr="00B60B88">
              <w:rPr>
                <w:sz w:val="28"/>
                <w:szCs w:val="28"/>
              </w:rPr>
              <w:t>Cita informācija</w:t>
            </w:r>
          </w:p>
        </w:tc>
        <w:tc>
          <w:tcPr>
            <w:tcW w:w="2903" w:type="pct"/>
            <w:gridSpan w:val="3"/>
            <w:tcBorders>
              <w:top w:val="single" w:sz="4" w:space="0" w:color="000000"/>
              <w:left w:val="single" w:sz="4" w:space="0" w:color="000000"/>
              <w:bottom w:val="single" w:sz="4" w:space="0" w:color="000000"/>
              <w:right w:val="single" w:sz="4" w:space="0" w:color="000000"/>
            </w:tcBorders>
            <w:shd w:val="clear" w:color="000000" w:fill="FFFFFF"/>
          </w:tcPr>
          <w:p w14:paraId="7E42F127" w14:textId="77777777" w:rsidR="00BE2C01" w:rsidRPr="00B60B88" w:rsidRDefault="00BE2C01" w:rsidP="00315148">
            <w:pPr>
              <w:autoSpaceDE w:val="0"/>
              <w:autoSpaceDN w:val="0"/>
              <w:adjustRightInd w:val="0"/>
              <w:ind w:left="57"/>
              <w:jc w:val="both"/>
              <w:rPr>
                <w:sz w:val="28"/>
                <w:szCs w:val="28"/>
              </w:rPr>
            </w:pPr>
            <w:r w:rsidRPr="00B60B88">
              <w:rPr>
                <w:sz w:val="28"/>
                <w:szCs w:val="28"/>
              </w:rPr>
              <w:t>Projekts šo jomu neskar</w:t>
            </w:r>
            <w:r>
              <w:rPr>
                <w:sz w:val="28"/>
                <w:szCs w:val="28"/>
              </w:rPr>
              <w:t>.</w:t>
            </w:r>
          </w:p>
        </w:tc>
      </w:tr>
      <w:tr w:rsidR="00BE2C01" w:rsidRPr="00295128" w14:paraId="163FC596" w14:textId="77777777" w:rsidTr="00B40300">
        <w:tc>
          <w:tcPr>
            <w:tcW w:w="5000" w:type="pct"/>
            <w:gridSpan w:val="6"/>
            <w:shd w:val="clear" w:color="auto" w:fill="auto"/>
            <w:hideMark/>
          </w:tcPr>
          <w:p w14:paraId="17FE29D3" w14:textId="77777777" w:rsidR="00BE2C01" w:rsidRDefault="00BE2C01" w:rsidP="00315148">
            <w:pPr>
              <w:jc w:val="center"/>
              <w:rPr>
                <w:b/>
                <w:bCs/>
                <w:sz w:val="28"/>
                <w:szCs w:val="28"/>
              </w:rPr>
            </w:pPr>
            <w:r w:rsidRPr="00B60B88">
              <w:rPr>
                <w:b/>
                <w:bCs/>
                <w:sz w:val="28"/>
                <w:szCs w:val="28"/>
              </w:rPr>
              <w:t>2. tabula</w:t>
            </w:r>
            <w:r w:rsidRPr="00B60B88">
              <w:rPr>
                <w:b/>
                <w:bCs/>
                <w:sz w:val="28"/>
                <w:szCs w:val="28"/>
              </w:rPr>
              <w:br/>
              <w:t>Ar tiesību akta projektu izpildītās vai uzņemtās saistības, kas izriet no starptautiskajiem tiesību aktiem vai starptautiskas institūcijas</w:t>
            </w:r>
            <w:r w:rsidR="00E103DD">
              <w:rPr>
                <w:b/>
                <w:bCs/>
                <w:sz w:val="28"/>
                <w:szCs w:val="28"/>
              </w:rPr>
              <w:t xml:space="preserve"> vai organizācijas dokumentiem. </w:t>
            </w:r>
            <w:r w:rsidRPr="00B60B88">
              <w:rPr>
                <w:b/>
                <w:bCs/>
                <w:sz w:val="28"/>
                <w:szCs w:val="28"/>
              </w:rPr>
              <w:t>Pasākumi šo saistību izpildei</w:t>
            </w:r>
          </w:p>
          <w:p w14:paraId="1AADBD31" w14:textId="1BB77B8D" w:rsidR="00AA6C17" w:rsidRPr="00B60B88" w:rsidRDefault="00AA6C17" w:rsidP="00315148">
            <w:pPr>
              <w:jc w:val="center"/>
              <w:rPr>
                <w:b/>
                <w:bCs/>
                <w:sz w:val="28"/>
                <w:szCs w:val="28"/>
              </w:rPr>
            </w:pPr>
          </w:p>
        </w:tc>
      </w:tr>
      <w:tr w:rsidR="00BE2C01" w:rsidRPr="00295128" w14:paraId="6EA497D3" w14:textId="77777777" w:rsidTr="00E10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0"/>
        </w:trPr>
        <w:tc>
          <w:tcPr>
            <w:tcW w:w="1840" w:type="pct"/>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14:paraId="278BDB98" w14:textId="77777777" w:rsidR="00BE2C01" w:rsidRPr="00B60B88" w:rsidRDefault="00BE2C01" w:rsidP="00315148">
            <w:pPr>
              <w:autoSpaceDE w:val="0"/>
              <w:autoSpaceDN w:val="0"/>
              <w:adjustRightInd w:val="0"/>
              <w:ind w:left="57"/>
              <w:rPr>
                <w:sz w:val="28"/>
                <w:szCs w:val="28"/>
              </w:rPr>
            </w:pPr>
            <w:r w:rsidRPr="00B60B88">
              <w:rPr>
                <w:sz w:val="28"/>
                <w:szCs w:val="28"/>
              </w:rPr>
              <w:t>Attiecīgā starptautiskā tiesību akta vai starptautiskas institūcijas vai organizācijas dokumenta (turpmāk – starptautiskais dokuments) datums, numurs un nosaukums</w:t>
            </w:r>
          </w:p>
        </w:tc>
        <w:tc>
          <w:tcPr>
            <w:tcW w:w="3160" w:type="pct"/>
            <w:gridSpan w:val="4"/>
            <w:tcBorders>
              <w:top w:val="single" w:sz="4" w:space="0" w:color="000000"/>
              <w:left w:val="single" w:sz="4" w:space="0" w:color="000000"/>
              <w:bottom w:val="single" w:sz="4" w:space="0" w:color="000000"/>
              <w:right w:val="single" w:sz="4" w:space="0" w:color="000000"/>
            </w:tcBorders>
            <w:shd w:val="clear" w:color="000000" w:fill="FFFFFF"/>
          </w:tcPr>
          <w:p w14:paraId="3B74105D" w14:textId="77777777" w:rsidR="00BE2C01" w:rsidRPr="00B60B88" w:rsidRDefault="00BE2C01" w:rsidP="00315148">
            <w:pPr>
              <w:autoSpaceDE w:val="0"/>
              <w:autoSpaceDN w:val="0"/>
              <w:adjustRightInd w:val="0"/>
              <w:ind w:left="57"/>
              <w:rPr>
                <w:sz w:val="28"/>
                <w:szCs w:val="28"/>
              </w:rPr>
            </w:pPr>
            <w:r w:rsidRPr="00B60B88">
              <w:rPr>
                <w:sz w:val="28"/>
                <w:szCs w:val="28"/>
              </w:rPr>
              <w:t>Projekts šo jomu neskar</w:t>
            </w:r>
          </w:p>
        </w:tc>
      </w:tr>
      <w:tr w:rsidR="00BE2C01" w:rsidRPr="00295128" w14:paraId="6FFDBD3F" w14:textId="77777777" w:rsidTr="00E10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0"/>
        </w:trPr>
        <w:tc>
          <w:tcPr>
            <w:tcW w:w="1840" w:type="pct"/>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14:paraId="3B6163E7" w14:textId="77777777" w:rsidR="00BE2C01" w:rsidRPr="00B60B88" w:rsidRDefault="00BE2C01" w:rsidP="00315148">
            <w:pPr>
              <w:autoSpaceDE w:val="0"/>
              <w:autoSpaceDN w:val="0"/>
              <w:adjustRightInd w:val="0"/>
              <w:ind w:left="57"/>
              <w:jc w:val="center"/>
              <w:rPr>
                <w:sz w:val="28"/>
                <w:szCs w:val="28"/>
              </w:rPr>
            </w:pPr>
            <w:r w:rsidRPr="00B60B88">
              <w:rPr>
                <w:sz w:val="28"/>
                <w:szCs w:val="28"/>
              </w:rPr>
              <w:t>A</w:t>
            </w:r>
          </w:p>
        </w:tc>
        <w:tc>
          <w:tcPr>
            <w:tcW w:w="1294" w:type="pct"/>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14:paraId="22425E46" w14:textId="77777777" w:rsidR="00BE2C01" w:rsidRPr="00B60B88" w:rsidRDefault="00BE2C01" w:rsidP="00315148">
            <w:pPr>
              <w:autoSpaceDE w:val="0"/>
              <w:autoSpaceDN w:val="0"/>
              <w:adjustRightInd w:val="0"/>
              <w:ind w:left="57"/>
              <w:jc w:val="center"/>
              <w:rPr>
                <w:sz w:val="28"/>
                <w:szCs w:val="28"/>
              </w:rPr>
            </w:pPr>
            <w:r w:rsidRPr="00B60B88">
              <w:rPr>
                <w:sz w:val="28"/>
                <w:szCs w:val="28"/>
              </w:rPr>
              <w:t>B</w:t>
            </w:r>
          </w:p>
        </w:tc>
        <w:tc>
          <w:tcPr>
            <w:tcW w:w="1866" w:type="pct"/>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14:paraId="67277699" w14:textId="77777777" w:rsidR="00BE2C01" w:rsidRPr="00B60B88" w:rsidRDefault="00BE2C01" w:rsidP="00315148">
            <w:pPr>
              <w:autoSpaceDE w:val="0"/>
              <w:autoSpaceDN w:val="0"/>
              <w:adjustRightInd w:val="0"/>
              <w:ind w:left="57"/>
              <w:jc w:val="center"/>
              <w:rPr>
                <w:sz w:val="28"/>
                <w:szCs w:val="28"/>
              </w:rPr>
            </w:pPr>
            <w:r w:rsidRPr="00B60B88">
              <w:rPr>
                <w:sz w:val="28"/>
                <w:szCs w:val="28"/>
              </w:rPr>
              <w:t>C</w:t>
            </w:r>
          </w:p>
        </w:tc>
      </w:tr>
      <w:tr w:rsidR="00BE2C01" w:rsidRPr="00295128" w14:paraId="15E4B82F" w14:textId="77777777" w:rsidTr="00E10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0"/>
        </w:trPr>
        <w:tc>
          <w:tcPr>
            <w:tcW w:w="1840" w:type="pct"/>
            <w:gridSpan w:val="2"/>
            <w:tcBorders>
              <w:top w:val="single" w:sz="4" w:space="0" w:color="000000"/>
              <w:left w:val="single" w:sz="4" w:space="0" w:color="000000"/>
              <w:bottom w:val="single" w:sz="4" w:space="0" w:color="000000"/>
              <w:right w:val="single" w:sz="4" w:space="0" w:color="000000"/>
            </w:tcBorders>
            <w:shd w:val="clear" w:color="000000" w:fill="FFFFFF"/>
          </w:tcPr>
          <w:p w14:paraId="745208C7" w14:textId="77777777" w:rsidR="00BE2C01" w:rsidRPr="00B60B88" w:rsidRDefault="00BE2C01" w:rsidP="00315148">
            <w:pPr>
              <w:autoSpaceDE w:val="0"/>
              <w:autoSpaceDN w:val="0"/>
              <w:adjustRightInd w:val="0"/>
              <w:ind w:left="57"/>
              <w:rPr>
                <w:sz w:val="28"/>
                <w:szCs w:val="28"/>
              </w:rPr>
            </w:pPr>
            <w:r w:rsidRPr="00B60B88">
              <w:rPr>
                <w:sz w:val="28"/>
                <w:szCs w:val="28"/>
              </w:rPr>
              <w:t>Starptautiskās saistības (pēc būtības), kas izriet no norādītā starptautiskā dokumenta.</w:t>
            </w:r>
          </w:p>
          <w:p w14:paraId="0A27B3E8" w14:textId="77777777" w:rsidR="00BE2C01" w:rsidRPr="00B60B88" w:rsidRDefault="00BE2C01" w:rsidP="00315148">
            <w:pPr>
              <w:autoSpaceDE w:val="0"/>
              <w:autoSpaceDN w:val="0"/>
              <w:adjustRightInd w:val="0"/>
              <w:ind w:left="57"/>
              <w:rPr>
                <w:sz w:val="28"/>
                <w:szCs w:val="28"/>
              </w:rPr>
            </w:pPr>
            <w:r w:rsidRPr="00B60B88">
              <w:rPr>
                <w:sz w:val="28"/>
                <w:szCs w:val="28"/>
              </w:rPr>
              <w:t>Konkrēti veicamie pasākumi vai uzdevumi, kas nepieciešami šo starptautisko saistību izpildei</w:t>
            </w:r>
          </w:p>
        </w:tc>
        <w:tc>
          <w:tcPr>
            <w:tcW w:w="1294" w:type="pct"/>
            <w:gridSpan w:val="2"/>
            <w:tcBorders>
              <w:top w:val="single" w:sz="4" w:space="0" w:color="000000"/>
              <w:left w:val="single" w:sz="4" w:space="0" w:color="000000"/>
              <w:bottom w:val="single" w:sz="4" w:space="0" w:color="000000"/>
              <w:right w:val="single" w:sz="4" w:space="0" w:color="000000"/>
            </w:tcBorders>
            <w:shd w:val="clear" w:color="000000" w:fill="FFFFFF"/>
          </w:tcPr>
          <w:p w14:paraId="302D7744" w14:textId="77777777" w:rsidR="00BE2C01" w:rsidRPr="00B60B88" w:rsidRDefault="00BE2C01" w:rsidP="00315148">
            <w:pPr>
              <w:autoSpaceDE w:val="0"/>
              <w:autoSpaceDN w:val="0"/>
              <w:adjustRightInd w:val="0"/>
              <w:ind w:left="57"/>
              <w:rPr>
                <w:sz w:val="28"/>
                <w:szCs w:val="28"/>
              </w:rPr>
            </w:pPr>
            <w:r w:rsidRPr="00B60B88">
              <w:rPr>
                <w:sz w:val="28"/>
                <w:szCs w:val="28"/>
              </w:rPr>
              <w:t xml:space="preserve">Ja pasākumi vai uzdevumi, ar ko tiks izpildītas starptautiskās saistības, tiek noteikti projektā, norāda attiecīgo projekta vienību vai norāda dokumentu, kurā sniegts izvērsts </w:t>
            </w:r>
            <w:r w:rsidRPr="00B60B88">
              <w:rPr>
                <w:sz w:val="28"/>
                <w:szCs w:val="28"/>
              </w:rPr>
              <w:lastRenderedPageBreak/>
              <w:t>skaidrojums, kādā veidā tiks nodrošināta starptautisko saistību izpilde</w:t>
            </w:r>
          </w:p>
        </w:tc>
        <w:tc>
          <w:tcPr>
            <w:tcW w:w="1866" w:type="pct"/>
            <w:gridSpan w:val="2"/>
            <w:tcBorders>
              <w:top w:val="single" w:sz="4" w:space="0" w:color="000000"/>
              <w:left w:val="single" w:sz="4" w:space="0" w:color="000000"/>
              <w:bottom w:val="single" w:sz="4" w:space="0" w:color="000000"/>
              <w:right w:val="single" w:sz="4" w:space="0" w:color="000000"/>
            </w:tcBorders>
            <w:shd w:val="clear" w:color="000000" w:fill="FFFFFF"/>
          </w:tcPr>
          <w:p w14:paraId="5B453714" w14:textId="77777777" w:rsidR="00BE2C01" w:rsidRPr="00B60B88" w:rsidRDefault="00BE2C01" w:rsidP="00315148">
            <w:pPr>
              <w:autoSpaceDE w:val="0"/>
              <w:autoSpaceDN w:val="0"/>
              <w:adjustRightInd w:val="0"/>
              <w:ind w:left="57"/>
              <w:rPr>
                <w:sz w:val="28"/>
                <w:szCs w:val="28"/>
              </w:rPr>
            </w:pPr>
            <w:r w:rsidRPr="00B60B88">
              <w:rPr>
                <w:sz w:val="28"/>
                <w:szCs w:val="28"/>
              </w:rPr>
              <w:lastRenderedPageBreak/>
              <w:t>Informācija par to, vai starptautiskās saistības, kas minētas šīs tabulas A ailē, tiek izpildītas pilnībā vai daļēji.</w:t>
            </w:r>
          </w:p>
          <w:p w14:paraId="095EF022" w14:textId="77777777" w:rsidR="00BE2C01" w:rsidRPr="00B60B88" w:rsidRDefault="00BE2C01" w:rsidP="00315148">
            <w:pPr>
              <w:autoSpaceDE w:val="0"/>
              <w:autoSpaceDN w:val="0"/>
              <w:adjustRightInd w:val="0"/>
              <w:ind w:left="57"/>
              <w:rPr>
                <w:sz w:val="28"/>
                <w:szCs w:val="28"/>
              </w:rPr>
            </w:pPr>
            <w:r w:rsidRPr="00B60B88">
              <w:rPr>
                <w:sz w:val="28"/>
                <w:szCs w:val="28"/>
              </w:rPr>
              <w:t xml:space="preserve">Ja attiecīgās starptautiskās saistības tiek izpildītas daļēji, sniedz attiecīgu skaidrojumu, kā arī precīzi norāda, kad un kādā veidā starptautiskās </w:t>
            </w:r>
            <w:r w:rsidRPr="00B60B88">
              <w:rPr>
                <w:sz w:val="28"/>
                <w:szCs w:val="28"/>
              </w:rPr>
              <w:lastRenderedPageBreak/>
              <w:t>saistības tiks izpildītas pilnībā.</w:t>
            </w:r>
          </w:p>
          <w:p w14:paraId="1A2EF11D" w14:textId="77777777" w:rsidR="00BE2C01" w:rsidRPr="00B60B88" w:rsidRDefault="00BE2C01" w:rsidP="00315148">
            <w:pPr>
              <w:autoSpaceDE w:val="0"/>
              <w:autoSpaceDN w:val="0"/>
              <w:adjustRightInd w:val="0"/>
              <w:ind w:left="57" w:right="57"/>
              <w:rPr>
                <w:sz w:val="28"/>
                <w:szCs w:val="28"/>
              </w:rPr>
            </w:pPr>
            <w:r w:rsidRPr="00B60B88">
              <w:rPr>
                <w:sz w:val="28"/>
                <w:szCs w:val="28"/>
              </w:rPr>
              <w:t>Norāda institūciju, kas ir atbildīga par šo saistību izpildi pilnībā</w:t>
            </w:r>
          </w:p>
        </w:tc>
      </w:tr>
      <w:tr w:rsidR="00BE2C01" w:rsidRPr="00295128" w14:paraId="28C37FA7" w14:textId="77777777" w:rsidTr="00E10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0"/>
        </w:trPr>
        <w:tc>
          <w:tcPr>
            <w:tcW w:w="1840" w:type="pct"/>
            <w:gridSpan w:val="2"/>
            <w:tcBorders>
              <w:top w:val="single" w:sz="4" w:space="0" w:color="000000"/>
              <w:left w:val="single" w:sz="4" w:space="0" w:color="000000"/>
              <w:bottom w:val="single" w:sz="4" w:space="0" w:color="000000"/>
              <w:right w:val="single" w:sz="4" w:space="0" w:color="000000"/>
            </w:tcBorders>
            <w:shd w:val="clear" w:color="000000" w:fill="FFFFFF"/>
          </w:tcPr>
          <w:p w14:paraId="027AA3F7" w14:textId="77777777" w:rsidR="00BE2C01" w:rsidRPr="00B60B88" w:rsidRDefault="00BE2C01" w:rsidP="00315148">
            <w:pPr>
              <w:autoSpaceDE w:val="0"/>
              <w:autoSpaceDN w:val="0"/>
              <w:adjustRightInd w:val="0"/>
              <w:ind w:left="57"/>
              <w:rPr>
                <w:sz w:val="28"/>
                <w:szCs w:val="28"/>
              </w:rPr>
            </w:pPr>
            <w:r w:rsidRPr="00B60B88">
              <w:rPr>
                <w:sz w:val="28"/>
                <w:szCs w:val="28"/>
              </w:rPr>
              <w:lastRenderedPageBreak/>
              <w:t>Projekts šo jomu neskar</w:t>
            </w:r>
          </w:p>
        </w:tc>
        <w:tc>
          <w:tcPr>
            <w:tcW w:w="1294" w:type="pct"/>
            <w:gridSpan w:val="2"/>
            <w:tcBorders>
              <w:top w:val="single" w:sz="4" w:space="0" w:color="000000"/>
              <w:left w:val="single" w:sz="4" w:space="0" w:color="000000"/>
              <w:bottom w:val="single" w:sz="4" w:space="0" w:color="000000"/>
              <w:right w:val="single" w:sz="4" w:space="0" w:color="000000"/>
            </w:tcBorders>
            <w:shd w:val="clear" w:color="000000" w:fill="FFFFFF"/>
          </w:tcPr>
          <w:p w14:paraId="35F0F9BF" w14:textId="77777777" w:rsidR="00BE2C01" w:rsidRPr="00B60B88" w:rsidRDefault="00BE2C01" w:rsidP="00315148">
            <w:pPr>
              <w:autoSpaceDE w:val="0"/>
              <w:autoSpaceDN w:val="0"/>
              <w:adjustRightInd w:val="0"/>
              <w:ind w:left="57"/>
              <w:rPr>
                <w:sz w:val="28"/>
                <w:szCs w:val="28"/>
              </w:rPr>
            </w:pPr>
            <w:r w:rsidRPr="00B60B88">
              <w:rPr>
                <w:sz w:val="28"/>
                <w:szCs w:val="28"/>
              </w:rPr>
              <w:t>Projekts šo jomu neskar</w:t>
            </w:r>
            <w:r>
              <w:rPr>
                <w:sz w:val="28"/>
                <w:szCs w:val="28"/>
              </w:rPr>
              <w:t>.</w:t>
            </w:r>
          </w:p>
        </w:tc>
        <w:tc>
          <w:tcPr>
            <w:tcW w:w="1866" w:type="pct"/>
            <w:gridSpan w:val="2"/>
            <w:tcBorders>
              <w:top w:val="single" w:sz="4" w:space="0" w:color="000000"/>
              <w:left w:val="single" w:sz="4" w:space="0" w:color="000000"/>
              <w:bottom w:val="single" w:sz="4" w:space="0" w:color="000000"/>
              <w:right w:val="single" w:sz="4" w:space="0" w:color="000000"/>
            </w:tcBorders>
            <w:shd w:val="clear" w:color="000000" w:fill="FFFFFF"/>
          </w:tcPr>
          <w:p w14:paraId="78A9E502" w14:textId="77777777" w:rsidR="00BE2C01" w:rsidRPr="00B60B88" w:rsidRDefault="00BE2C01" w:rsidP="00315148">
            <w:pPr>
              <w:autoSpaceDE w:val="0"/>
              <w:autoSpaceDN w:val="0"/>
              <w:adjustRightInd w:val="0"/>
              <w:ind w:left="57"/>
              <w:rPr>
                <w:sz w:val="28"/>
                <w:szCs w:val="28"/>
              </w:rPr>
            </w:pPr>
            <w:r w:rsidRPr="00B60B88">
              <w:rPr>
                <w:sz w:val="28"/>
                <w:szCs w:val="28"/>
              </w:rPr>
              <w:t>Projekts šo jomu neskar</w:t>
            </w:r>
            <w:r>
              <w:rPr>
                <w:sz w:val="28"/>
                <w:szCs w:val="28"/>
              </w:rPr>
              <w:t>.</w:t>
            </w:r>
          </w:p>
        </w:tc>
      </w:tr>
      <w:tr w:rsidR="00BE2C01" w:rsidRPr="00295128" w14:paraId="77F2A9D7" w14:textId="77777777" w:rsidTr="00E10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0"/>
        </w:trPr>
        <w:tc>
          <w:tcPr>
            <w:tcW w:w="1840" w:type="pct"/>
            <w:gridSpan w:val="2"/>
            <w:tcBorders>
              <w:top w:val="single" w:sz="4" w:space="0" w:color="000000"/>
              <w:left w:val="single" w:sz="4" w:space="0" w:color="000000"/>
              <w:bottom w:val="single" w:sz="4" w:space="0" w:color="000000"/>
              <w:right w:val="single" w:sz="4" w:space="0" w:color="000000"/>
            </w:tcBorders>
            <w:shd w:val="clear" w:color="000000" w:fill="FFFFFF"/>
          </w:tcPr>
          <w:p w14:paraId="6F05024E" w14:textId="77777777" w:rsidR="00BE2C01" w:rsidRPr="00B60B88" w:rsidRDefault="00BE2C01" w:rsidP="00315148">
            <w:pPr>
              <w:autoSpaceDE w:val="0"/>
              <w:autoSpaceDN w:val="0"/>
              <w:adjustRightInd w:val="0"/>
              <w:ind w:left="57"/>
              <w:rPr>
                <w:sz w:val="28"/>
                <w:szCs w:val="28"/>
              </w:rPr>
            </w:pPr>
            <w:r w:rsidRPr="00B60B88">
              <w:rPr>
                <w:sz w:val="28"/>
                <w:szCs w:val="28"/>
              </w:rPr>
              <w:t>Vai starptautiskajā dokumentā paredzētās saistības nav pretrunā ar jau esošajām Latvijas Republikas starptautiskajām saistībām</w:t>
            </w:r>
          </w:p>
        </w:tc>
        <w:tc>
          <w:tcPr>
            <w:tcW w:w="3160" w:type="pct"/>
            <w:gridSpan w:val="4"/>
            <w:tcBorders>
              <w:top w:val="single" w:sz="4" w:space="0" w:color="000000"/>
              <w:left w:val="single" w:sz="4" w:space="0" w:color="000000"/>
              <w:bottom w:val="single" w:sz="4" w:space="0" w:color="000000"/>
              <w:right w:val="single" w:sz="4" w:space="0" w:color="000000"/>
            </w:tcBorders>
            <w:shd w:val="clear" w:color="000000" w:fill="FFFFFF"/>
          </w:tcPr>
          <w:p w14:paraId="2E3665F8" w14:textId="77777777" w:rsidR="00BE2C01" w:rsidRPr="00B60B88" w:rsidRDefault="00BE2C01" w:rsidP="00315148">
            <w:pPr>
              <w:autoSpaceDE w:val="0"/>
              <w:autoSpaceDN w:val="0"/>
              <w:adjustRightInd w:val="0"/>
              <w:ind w:left="57"/>
              <w:rPr>
                <w:sz w:val="28"/>
                <w:szCs w:val="28"/>
              </w:rPr>
            </w:pPr>
            <w:r w:rsidRPr="00B60B88">
              <w:rPr>
                <w:sz w:val="28"/>
                <w:szCs w:val="28"/>
              </w:rPr>
              <w:t>Projekts šo jomu neskar</w:t>
            </w:r>
            <w:r>
              <w:rPr>
                <w:sz w:val="28"/>
                <w:szCs w:val="28"/>
              </w:rPr>
              <w:t>.</w:t>
            </w:r>
          </w:p>
        </w:tc>
      </w:tr>
      <w:tr w:rsidR="00BE2C01" w:rsidRPr="00295128" w14:paraId="3829DE00" w14:textId="77777777" w:rsidTr="00E10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0"/>
        </w:trPr>
        <w:tc>
          <w:tcPr>
            <w:tcW w:w="1840" w:type="pct"/>
            <w:gridSpan w:val="2"/>
            <w:tcBorders>
              <w:top w:val="single" w:sz="4" w:space="0" w:color="000000"/>
              <w:left w:val="single" w:sz="4" w:space="0" w:color="000000"/>
              <w:bottom w:val="single" w:sz="4" w:space="0" w:color="000000"/>
              <w:right w:val="single" w:sz="4" w:space="0" w:color="000000"/>
            </w:tcBorders>
            <w:shd w:val="clear" w:color="000000" w:fill="FFFFFF"/>
          </w:tcPr>
          <w:p w14:paraId="336A99A3" w14:textId="77777777" w:rsidR="00BE2C01" w:rsidRPr="00B60B88" w:rsidRDefault="00BE2C01" w:rsidP="00315148">
            <w:pPr>
              <w:autoSpaceDE w:val="0"/>
              <w:autoSpaceDN w:val="0"/>
              <w:adjustRightInd w:val="0"/>
              <w:ind w:left="57"/>
              <w:rPr>
                <w:sz w:val="28"/>
                <w:szCs w:val="28"/>
              </w:rPr>
            </w:pPr>
            <w:r w:rsidRPr="00B60B88">
              <w:rPr>
                <w:sz w:val="28"/>
                <w:szCs w:val="28"/>
              </w:rPr>
              <w:t>Cita informācij</w:t>
            </w:r>
            <w:r>
              <w:rPr>
                <w:sz w:val="28"/>
                <w:szCs w:val="28"/>
              </w:rPr>
              <w:t>a</w:t>
            </w:r>
          </w:p>
        </w:tc>
        <w:tc>
          <w:tcPr>
            <w:tcW w:w="3160" w:type="pct"/>
            <w:gridSpan w:val="4"/>
            <w:tcBorders>
              <w:top w:val="single" w:sz="4" w:space="0" w:color="000000"/>
              <w:left w:val="single" w:sz="4" w:space="0" w:color="000000"/>
              <w:bottom w:val="single" w:sz="4" w:space="0" w:color="000000"/>
              <w:right w:val="single" w:sz="4" w:space="0" w:color="000000"/>
            </w:tcBorders>
            <w:shd w:val="clear" w:color="000000" w:fill="FFFFFF"/>
          </w:tcPr>
          <w:p w14:paraId="1B94D7DC" w14:textId="77777777" w:rsidR="00BE2C01" w:rsidRPr="00B60B88" w:rsidRDefault="00BE2C01" w:rsidP="00315148">
            <w:pPr>
              <w:autoSpaceDE w:val="0"/>
              <w:autoSpaceDN w:val="0"/>
              <w:adjustRightInd w:val="0"/>
              <w:ind w:left="57"/>
              <w:rPr>
                <w:sz w:val="28"/>
                <w:szCs w:val="28"/>
              </w:rPr>
            </w:pPr>
            <w:r w:rsidRPr="00B60B88">
              <w:rPr>
                <w:sz w:val="28"/>
                <w:szCs w:val="28"/>
              </w:rPr>
              <w:t>Nav</w:t>
            </w:r>
            <w:r>
              <w:rPr>
                <w:sz w:val="28"/>
                <w:szCs w:val="28"/>
              </w:rPr>
              <w:t>.</w:t>
            </w:r>
          </w:p>
        </w:tc>
      </w:tr>
    </w:tbl>
    <w:p w14:paraId="1B61772A" w14:textId="77777777" w:rsidR="00D60E14" w:rsidRPr="00894C55" w:rsidRDefault="00D60E14" w:rsidP="00D60E14">
      <w:pPr>
        <w:shd w:val="clear" w:color="auto" w:fill="FFFFFF"/>
        <w:ind w:firstLine="301"/>
        <w:rPr>
          <w:color w:val="414142"/>
        </w:rPr>
      </w:pPr>
    </w:p>
    <w:p w14:paraId="38FC904F" w14:textId="77777777" w:rsidR="001A3F49" w:rsidRPr="00912A6D" w:rsidRDefault="001A3F49" w:rsidP="00F01485">
      <w:pPr>
        <w:ind w:right="57"/>
        <w:rPr>
          <w:sz w:val="28"/>
          <w:szCs w:val="28"/>
        </w:rPr>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8"/>
        <w:gridCol w:w="3823"/>
        <w:gridCol w:w="4791"/>
      </w:tblGrid>
      <w:tr w:rsidR="00193E45" w:rsidRPr="00912A6D" w14:paraId="4004D4C1" w14:textId="77777777" w:rsidTr="00B40300">
        <w:trPr>
          <w:jc w:val="center"/>
        </w:trPr>
        <w:tc>
          <w:tcPr>
            <w:tcW w:w="9392" w:type="dxa"/>
            <w:gridSpan w:val="3"/>
          </w:tcPr>
          <w:p w14:paraId="4C38F466" w14:textId="77777777" w:rsidR="00193E45" w:rsidRPr="00912A6D" w:rsidRDefault="00193E45" w:rsidP="00912A6D">
            <w:pPr>
              <w:pStyle w:val="naisnod"/>
              <w:spacing w:before="0" w:after="0"/>
              <w:ind w:left="57" w:right="57"/>
              <w:rPr>
                <w:sz w:val="28"/>
                <w:szCs w:val="28"/>
              </w:rPr>
            </w:pPr>
            <w:r w:rsidRPr="00912A6D">
              <w:rPr>
                <w:sz w:val="28"/>
                <w:szCs w:val="28"/>
              </w:rPr>
              <w:t>VI. Sabiedrības līdzdalība un komunikācijas aktivitātes</w:t>
            </w:r>
          </w:p>
        </w:tc>
      </w:tr>
      <w:tr w:rsidR="00193E45" w:rsidRPr="00912A6D" w14:paraId="619C75EB" w14:textId="77777777" w:rsidTr="00B40300">
        <w:trPr>
          <w:trHeight w:val="557"/>
          <w:jc w:val="center"/>
        </w:trPr>
        <w:tc>
          <w:tcPr>
            <w:tcW w:w="778" w:type="dxa"/>
          </w:tcPr>
          <w:p w14:paraId="1462D8F1" w14:textId="77777777" w:rsidR="00193E45" w:rsidRPr="00912A6D" w:rsidRDefault="00193E45" w:rsidP="00912A6D">
            <w:pPr>
              <w:pStyle w:val="naiskr"/>
              <w:spacing w:before="0" w:after="0"/>
              <w:ind w:left="57" w:right="57"/>
              <w:rPr>
                <w:bCs/>
                <w:sz w:val="28"/>
                <w:szCs w:val="28"/>
              </w:rPr>
            </w:pPr>
            <w:r w:rsidRPr="00912A6D">
              <w:rPr>
                <w:bCs/>
                <w:sz w:val="28"/>
                <w:szCs w:val="28"/>
              </w:rPr>
              <w:t>1.</w:t>
            </w:r>
          </w:p>
        </w:tc>
        <w:tc>
          <w:tcPr>
            <w:tcW w:w="3823" w:type="dxa"/>
          </w:tcPr>
          <w:p w14:paraId="2F294D73" w14:textId="77777777" w:rsidR="00F1506E" w:rsidRPr="00912A6D" w:rsidRDefault="00193E45" w:rsidP="00D34D7B">
            <w:pPr>
              <w:pStyle w:val="naiskr"/>
              <w:tabs>
                <w:tab w:val="left" w:pos="170"/>
              </w:tabs>
              <w:spacing w:before="0" w:after="0"/>
              <w:ind w:left="57" w:right="57"/>
              <w:jc w:val="both"/>
              <w:rPr>
                <w:sz w:val="28"/>
                <w:szCs w:val="28"/>
              </w:rPr>
            </w:pPr>
            <w:r w:rsidRPr="00912A6D">
              <w:rPr>
                <w:sz w:val="28"/>
                <w:szCs w:val="28"/>
              </w:rPr>
              <w:t>P</w:t>
            </w:r>
            <w:r w:rsidR="00912A6D">
              <w:rPr>
                <w:sz w:val="28"/>
                <w:szCs w:val="28"/>
              </w:rPr>
              <w:t xml:space="preserve">lānotās sabiedrības līdzdalības </w:t>
            </w:r>
            <w:r w:rsidRPr="00912A6D">
              <w:rPr>
                <w:sz w:val="28"/>
                <w:szCs w:val="28"/>
              </w:rPr>
              <w:t>un komunikācijas aktivitātes saistībā ar projektu</w:t>
            </w:r>
          </w:p>
        </w:tc>
        <w:tc>
          <w:tcPr>
            <w:tcW w:w="4791" w:type="dxa"/>
          </w:tcPr>
          <w:p w14:paraId="5E8CFB95" w14:textId="1152F598" w:rsidR="00F1506E" w:rsidRPr="00F1506E" w:rsidRDefault="00124ADC" w:rsidP="00812AE0">
            <w:pPr>
              <w:ind w:right="148"/>
              <w:jc w:val="both"/>
            </w:pPr>
            <w:r>
              <w:rPr>
                <w:sz w:val="28"/>
                <w:szCs w:val="28"/>
              </w:rPr>
              <w:t xml:space="preserve">    </w:t>
            </w:r>
            <w:r w:rsidR="003D5E4F">
              <w:rPr>
                <w:sz w:val="28"/>
                <w:szCs w:val="28"/>
              </w:rPr>
              <w:t>Ar izstrādāto noteikumu projektu ir iespējams iepazīties Ekonomikas ministrijas tīmekļvietnē</w:t>
            </w:r>
            <w:r w:rsidR="00053E99">
              <w:rPr>
                <w:rStyle w:val="FootnoteReference"/>
                <w:sz w:val="28"/>
                <w:szCs w:val="28"/>
              </w:rPr>
              <w:footnoteReference w:id="3"/>
            </w:r>
            <w:r w:rsidR="003D5E4F">
              <w:rPr>
                <w:sz w:val="28"/>
                <w:szCs w:val="28"/>
              </w:rPr>
              <w:t>.</w:t>
            </w:r>
            <w:r w:rsidR="003D5E4F">
              <w:t xml:space="preserve"> </w:t>
            </w:r>
          </w:p>
        </w:tc>
      </w:tr>
      <w:tr w:rsidR="00193E45" w:rsidRPr="00912A6D" w14:paraId="349C230B" w14:textId="77777777" w:rsidTr="00B40300">
        <w:trPr>
          <w:trHeight w:val="339"/>
          <w:jc w:val="center"/>
        </w:trPr>
        <w:tc>
          <w:tcPr>
            <w:tcW w:w="778" w:type="dxa"/>
          </w:tcPr>
          <w:p w14:paraId="4A649CB3" w14:textId="77777777" w:rsidR="00193E45" w:rsidRPr="00912A6D" w:rsidRDefault="00193E45" w:rsidP="00912A6D">
            <w:pPr>
              <w:pStyle w:val="naiskr"/>
              <w:spacing w:before="0" w:after="0"/>
              <w:ind w:left="57" w:right="57"/>
              <w:rPr>
                <w:bCs/>
                <w:sz w:val="28"/>
                <w:szCs w:val="28"/>
              </w:rPr>
            </w:pPr>
            <w:r w:rsidRPr="00912A6D">
              <w:rPr>
                <w:bCs/>
                <w:sz w:val="28"/>
                <w:szCs w:val="28"/>
              </w:rPr>
              <w:t>2.</w:t>
            </w:r>
          </w:p>
        </w:tc>
        <w:tc>
          <w:tcPr>
            <w:tcW w:w="3823" w:type="dxa"/>
          </w:tcPr>
          <w:p w14:paraId="10DC6130" w14:textId="77777777" w:rsidR="00193E45" w:rsidRPr="00912A6D" w:rsidRDefault="00193E45" w:rsidP="00912A6D">
            <w:pPr>
              <w:pStyle w:val="naiskr"/>
              <w:spacing w:before="0" w:after="0"/>
              <w:ind w:left="57" w:right="57"/>
              <w:jc w:val="both"/>
              <w:rPr>
                <w:sz w:val="28"/>
                <w:szCs w:val="28"/>
              </w:rPr>
            </w:pPr>
            <w:r w:rsidRPr="00912A6D">
              <w:rPr>
                <w:sz w:val="28"/>
                <w:szCs w:val="28"/>
              </w:rPr>
              <w:t xml:space="preserve">Sabiedrības līdzdalība projekta izstrādē </w:t>
            </w:r>
          </w:p>
        </w:tc>
        <w:tc>
          <w:tcPr>
            <w:tcW w:w="4791" w:type="dxa"/>
          </w:tcPr>
          <w:p w14:paraId="71891FF6" w14:textId="36A481D7" w:rsidR="008C5C24" w:rsidRPr="00912A6D" w:rsidRDefault="00912A6D" w:rsidP="00812AE0">
            <w:pPr>
              <w:pStyle w:val="naiskr"/>
              <w:spacing w:before="0" w:after="0"/>
              <w:ind w:right="148"/>
              <w:jc w:val="both"/>
              <w:rPr>
                <w:sz w:val="28"/>
                <w:szCs w:val="28"/>
              </w:rPr>
            </w:pPr>
            <w:r>
              <w:rPr>
                <w:sz w:val="28"/>
                <w:szCs w:val="28"/>
              </w:rPr>
              <w:t xml:space="preserve">    </w:t>
            </w:r>
            <w:r w:rsidR="003D5E4F">
              <w:rPr>
                <w:sz w:val="28"/>
                <w:szCs w:val="28"/>
              </w:rPr>
              <w:t xml:space="preserve">Noteikumu projekts publicēts Ekonomikas ministrijas tīmekļvietnē, tādā veidā nodrošinot sabiedrības informēšanu un iespēju paust viedokli. </w:t>
            </w:r>
          </w:p>
        </w:tc>
      </w:tr>
      <w:tr w:rsidR="00193E45" w:rsidRPr="00912A6D" w14:paraId="4AE16712" w14:textId="77777777" w:rsidTr="00B40300">
        <w:trPr>
          <w:trHeight w:val="375"/>
          <w:jc w:val="center"/>
        </w:trPr>
        <w:tc>
          <w:tcPr>
            <w:tcW w:w="778" w:type="dxa"/>
          </w:tcPr>
          <w:p w14:paraId="64F92E71" w14:textId="77777777" w:rsidR="00193E45" w:rsidRPr="00912A6D" w:rsidRDefault="00193E45" w:rsidP="00912A6D">
            <w:pPr>
              <w:pStyle w:val="naiskr"/>
              <w:spacing w:before="0" w:after="0"/>
              <w:ind w:left="57" w:right="57"/>
              <w:rPr>
                <w:bCs/>
                <w:sz w:val="28"/>
                <w:szCs w:val="28"/>
              </w:rPr>
            </w:pPr>
            <w:r w:rsidRPr="00912A6D">
              <w:rPr>
                <w:bCs/>
                <w:sz w:val="28"/>
                <w:szCs w:val="28"/>
              </w:rPr>
              <w:t>3.</w:t>
            </w:r>
          </w:p>
        </w:tc>
        <w:tc>
          <w:tcPr>
            <w:tcW w:w="3823" w:type="dxa"/>
          </w:tcPr>
          <w:p w14:paraId="46778FE6" w14:textId="77777777" w:rsidR="00193E45" w:rsidRPr="00912A6D" w:rsidRDefault="00193E45" w:rsidP="00912A6D">
            <w:pPr>
              <w:pStyle w:val="naiskr"/>
              <w:spacing w:before="0" w:after="0"/>
              <w:ind w:left="57" w:right="57"/>
              <w:jc w:val="both"/>
              <w:rPr>
                <w:sz w:val="28"/>
                <w:szCs w:val="28"/>
              </w:rPr>
            </w:pPr>
            <w:r w:rsidRPr="00912A6D">
              <w:rPr>
                <w:sz w:val="28"/>
                <w:szCs w:val="28"/>
              </w:rPr>
              <w:t xml:space="preserve">Sabiedrības līdzdalības rezultāti </w:t>
            </w:r>
          </w:p>
        </w:tc>
        <w:tc>
          <w:tcPr>
            <w:tcW w:w="4791" w:type="dxa"/>
          </w:tcPr>
          <w:p w14:paraId="73D84524" w14:textId="29492E22" w:rsidR="00193E45" w:rsidRPr="00912A6D" w:rsidRDefault="008C5C24" w:rsidP="004A1917">
            <w:pPr>
              <w:pStyle w:val="naiskr"/>
              <w:spacing w:before="0" w:after="0"/>
              <w:ind w:left="57" w:right="148" w:firstLine="284"/>
              <w:jc w:val="both"/>
              <w:rPr>
                <w:sz w:val="28"/>
                <w:szCs w:val="28"/>
              </w:rPr>
            </w:pPr>
            <w:r w:rsidRPr="00912A6D">
              <w:rPr>
                <w:sz w:val="28"/>
                <w:szCs w:val="28"/>
              </w:rPr>
              <w:t>Noteikumu</w:t>
            </w:r>
            <w:r w:rsidR="00812AE0">
              <w:rPr>
                <w:sz w:val="28"/>
                <w:szCs w:val="28"/>
              </w:rPr>
              <w:t xml:space="preserve"> projekta</w:t>
            </w:r>
            <w:r w:rsidRPr="00912A6D">
              <w:rPr>
                <w:sz w:val="28"/>
                <w:szCs w:val="28"/>
              </w:rPr>
              <w:t xml:space="preserve"> izstrādē ir ņemti vērā nozares speciālistu sniegtie priekšlikumi.</w:t>
            </w:r>
          </w:p>
        </w:tc>
      </w:tr>
      <w:tr w:rsidR="00193E45" w:rsidRPr="00912A6D" w14:paraId="64720F92" w14:textId="77777777" w:rsidTr="00B40300">
        <w:trPr>
          <w:trHeight w:val="476"/>
          <w:jc w:val="center"/>
        </w:trPr>
        <w:tc>
          <w:tcPr>
            <w:tcW w:w="778" w:type="dxa"/>
          </w:tcPr>
          <w:p w14:paraId="443BF415" w14:textId="77777777" w:rsidR="00193E45" w:rsidRPr="00912A6D" w:rsidRDefault="00193E45" w:rsidP="00912A6D">
            <w:pPr>
              <w:pStyle w:val="naiskr"/>
              <w:spacing w:before="0" w:after="0"/>
              <w:ind w:left="57" w:right="57"/>
              <w:rPr>
                <w:bCs/>
                <w:sz w:val="28"/>
                <w:szCs w:val="28"/>
              </w:rPr>
            </w:pPr>
            <w:r w:rsidRPr="00912A6D">
              <w:rPr>
                <w:bCs/>
                <w:sz w:val="28"/>
                <w:szCs w:val="28"/>
              </w:rPr>
              <w:t>4.</w:t>
            </w:r>
          </w:p>
        </w:tc>
        <w:tc>
          <w:tcPr>
            <w:tcW w:w="3823" w:type="dxa"/>
          </w:tcPr>
          <w:p w14:paraId="4B0F9B9A" w14:textId="77777777" w:rsidR="00193E45" w:rsidRPr="00912A6D" w:rsidRDefault="00193E45" w:rsidP="00912A6D">
            <w:pPr>
              <w:pStyle w:val="naiskr"/>
              <w:spacing w:before="0" w:after="0"/>
              <w:ind w:left="57" w:right="57"/>
              <w:jc w:val="both"/>
              <w:rPr>
                <w:sz w:val="28"/>
                <w:szCs w:val="28"/>
              </w:rPr>
            </w:pPr>
            <w:r w:rsidRPr="00912A6D">
              <w:rPr>
                <w:sz w:val="28"/>
                <w:szCs w:val="28"/>
              </w:rPr>
              <w:t>Cita informācija</w:t>
            </w:r>
          </w:p>
        </w:tc>
        <w:tc>
          <w:tcPr>
            <w:tcW w:w="4791" w:type="dxa"/>
          </w:tcPr>
          <w:p w14:paraId="30D131D9" w14:textId="77777777" w:rsidR="00193E45" w:rsidRPr="00912A6D" w:rsidRDefault="00193E45" w:rsidP="004A1917">
            <w:pPr>
              <w:pStyle w:val="naiskr"/>
              <w:spacing w:before="0" w:after="0"/>
              <w:ind w:left="57" w:right="148" w:firstLine="284"/>
              <w:rPr>
                <w:sz w:val="28"/>
                <w:szCs w:val="28"/>
              </w:rPr>
            </w:pPr>
            <w:r w:rsidRPr="00912A6D">
              <w:rPr>
                <w:sz w:val="28"/>
                <w:szCs w:val="28"/>
              </w:rPr>
              <w:t>Nav.</w:t>
            </w:r>
          </w:p>
        </w:tc>
      </w:tr>
    </w:tbl>
    <w:p w14:paraId="06CC47A8" w14:textId="77777777" w:rsidR="00193E45" w:rsidRDefault="00193E45" w:rsidP="00912A6D">
      <w:pPr>
        <w:ind w:left="57" w:right="57"/>
        <w:rPr>
          <w:color w:val="FF0000"/>
          <w:sz w:val="28"/>
          <w:szCs w:val="28"/>
        </w:rPr>
      </w:pPr>
    </w:p>
    <w:p w14:paraId="65E5B5EC" w14:textId="77777777" w:rsidR="001A3F49" w:rsidRPr="00912A6D" w:rsidRDefault="001A3F49" w:rsidP="00912A6D">
      <w:pPr>
        <w:ind w:left="57" w:right="57"/>
        <w:rPr>
          <w:color w:val="FF0000"/>
          <w:sz w:val="28"/>
          <w:szCs w:val="28"/>
        </w:rPr>
      </w:pPr>
    </w:p>
    <w:tbl>
      <w:tblPr>
        <w:tblW w:w="9333"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
        <w:gridCol w:w="4006"/>
        <w:gridCol w:w="4820"/>
      </w:tblGrid>
      <w:tr w:rsidR="00193E45" w:rsidRPr="00912A6D" w14:paraId="4700AEBF" w14:textId="77777777" w:rsidTr="006C6F53">
        <w:trPr>
          <w:trHeight w:val="65"/>
        </w:trPr>
        <w:tc>
          <w:tcPr>
            <w:tcW w:w="9333" w:type="dxa"/>
            <w:gridSpan w:val="3"/>
          </w:tcPr>
          <w:p w14:paraId="3880F9EC" w14:textId="77777777" w:rsidR="00193E45" w:rsidRPr="00912A6D" w:rsidRDefault="00193E45" w:rsidP="00912A6D">
            <w:pPr>
              <w:ind w:left="57" w:right="57"/>
              <w:jc w:val="center"/>
              <w:rPr>
                <w:sz w:val="28"/>
                <w:szCs w:val="28"/>
              </w:rPr>
            </w:pPr>
            <w:r w:rsidRPr="00912A6D">
              <w:rPr>
                <w:b/>
                <w:sz w:val="28"/>
                <w:szCs w:val="28"/>
              </w:rPr>
              <w:t>VII. Tiesību akta projekta izpildes nodrošināšana un tās ietekme uz institūcijām</w:t>
            </w:r>
          </w:p>
        </w:tc>
      </w:tr>
      <w:tr w:rsidR="00193E45" w:rsidRPr="00912A6D" w14:paraId="4168CBCC" w14:textId="77777777" w:rsidTr="00F01485">
        <w:trPr>
          <w:trHeight w:val="427"/>
        </w:trPr>
        <w:tc>
          <w:tcPr>
            <w:tcW w:w="507" w:type="dxa"/>
          </w:tcPr>
          <w:p w14:paraId="003CB154" w14:textId="77777777" w:rsidR="00193E45" w:rsidRPr="00912A6D" w:rsidRDefault="00193E45" w:rsidP="00912A6D">
            <w:pPr>
              <w:ind w:left="57" w:right="57"/>
              <w:rPr>
                <w:sz w:val="28"/>
                <w:szCs w:val="28"/>
              </w:rPr>
            </w:pPr>
            <w:r w:rsidRPr="00912A6D">
              <w:rPr>
                <w:sz w:val="28"/>
                <w:szCs w:val="28"/>
              </w:rPr>
              <w:t> 1.</w:t>
            </w:r>
          </w:p>
        </w:tc>
        <w:tc>
          <w:tcPr>
            <w:tcW w:w="4006" w:type="dxa"/>
          </w:tcPr>
          <w:p w14:paraId="336B921F" w14:textId="77777777" w:rsidR="00193E45" w:rsidRPr="00912A6D" w:rsidRDefault="00193E45" w:rsidP="00912A6D">
            <w:pPr>
              <w:ind w:left="57" w:right="57"/>
              <w:jc w:val="both"/>
              <w:rPr>
                <w:sz w:val="28"/>
                <w:szCs w:val="28"/>
              </w:rPr>
            </w:pPr>
            <w:r w:rsidRPr="00912A6D">
              <w:rPr>
                <w:sz w:val="28"/>
                <w:szCs w:val="28"/>
              </w:rPr>
              <w:t> Projekta izpildē iesaistītās institūcijas</w:t>
            </w:r>
          </w:p>
        </w:tc>
        <w:tc>
          <w:tcPr>
            <w:tcW w:w="4820" w:type="dxa"/>
          </w:tcPr>
          <w:p w14:paraId="40D1885A" w14:textId="77777777" w:rsidR="00193E45" w:rsidRPr="00912A6D" w:rsidRDefault="00F909A0" w:rsidP="001A6FAE">
            <w:pPr>
              <w:pStyle w:val="naisnod"/>
              <w:spacing w:before="0" w:after="0"/>
              <w:ind w:left="142" w:right="141" w:firstLine="283"/>
              <w:jc w:val="both"/>
              <w:rPr>
                <w:b w:val="0"/>
                <w:sz w:val="28"/>
                <w:szCs w:val="28"/>
              </w:rPr>
            </w:pPr>
            <w:r w:rsidRPr="00912A6D">
              <w:rPr>
                <w:b w:val="0"/>
                <w:sz w:val="28"/>
                <w:szCs w:val="28"/>
              </w:rPr>
              <w:t>Dabasgāzes pārvades</w:t>
            </w:r>
            <w:r w:rsidR="009E4496">
              <w:rPr>
                <w:b w:val="0"/>
                <w:sz w:val="28"/>
                <w:szCs w:val="28"/>
              </w:rPr>
              <w:t xml:space="preserve"> un sadales sistēmas operatori</w:t>
            </w:r>
            <w:r w:rsidR="00723E79" w:rsidRPr="00912A6D">
              <w:rPr>
                <w:b w:val="0"/>
                <w:sz w:val="28"/>
                <w:szCs w:val="28"/>
              </w:rPr>
              <w:t xml:space="preserve">, gāzes </w:t>
            </w:r>
            <w:r w:rsidR="0037481A">
              <w:rPr>
                <w:b w:val="0"/>
                <w:sz w:val="28"/>
                <w:szCs w:val="28"/>
              </w:rPr>
              <w:t>sistēmas lietotājs</w:t>
            </w:r>
            <w:r w:rsidR="0037481A" w:rsidRPr="00912A6D">
              <w:rPr>
                <w:b w:val="0"/>
                <w:sz w:val="28"/>
                <w:szCs w:val="28"/>
              </w:rPr>
              <w:t xml:space="preserve"> </w:t>
            </w:r>
            <w:r w:rsidR="00193E45" w:rsidRPr="00912A6D">
              <w:rPr>
                <w:b w:val="0"/>
                <w:sz w:val="28"/>
                <w:szCs w:val="28"/>
              </w:rPr>
              <w:t>un valsts institūcijas, kas kontrolē</w:t>
            </w:r>
            <w:r w:rsidRPr="00912A6D">
              <w:rPr>
                <w:b w:val="0"/>
                <w:sz w:val="28"/>
                <w:szCs w:val="28"/>
              </w:rPr>
              <w:t xml:space="preserve"> un uzrauga </w:t>
            </w:r>
            <w:r w:rsidR="007E4BC7">
              <w:rPr>
                <w:b w:val="0"/>
                <w:sz w:val="28"/>
                <w:szCs w:val="28"/>
              </w:rPr>
              <w:t>gāzes</w:t>
            </w:r>
            <w:r w:rsidRPr="00912A6D">
              <w:rPr>
                <w:b w:val="0"/>
                <w:sz w:val="28"/>
                <w:szCs w:val="28"/>
              </w:rPr>
              <w:t xml:space="preserve"> ievadīšanas un transportēšanas procesus dabasgāzes sistēmā</w:t>
            </w:r>
            <w:r w:rsidR="00723E79" w:rsidRPr="00912A6D">
              <w:rPr>
                <w:b w:val="0"/>
                <w:sz w:val="28"/>
                <w:szCs w:val="28"/>
              </w:rPr>
              <w:t>.</w:t>
            </w:r>
            <w:r w:rsidRPr="00912A6D" w:rsidDel="00F909A0">
              <w:rPr>
                <w:b w:val="0"/>
                <w:sz w:val="28"/>
                <w:szCs w:val="28"/>
              </w:rPr>
              <w:t xml:space="preserve"> </w:t>
            </w:r>
          </w:p>
        </w:tc>
      </w:tr>
      <w:tr w:rsidR="00193E45" w:rsidRPr="00912A6D" w14:paraId="2E5BA39A" w14:textId="77777777" w:rsidTr="00F01485">
        <w:trPr>
          <w:trHeight w:val="463"/>
        </w:trPr>
        <w:tc>
          <w:tcPr>
            <w:tcW w:w="507" w:type="dxa"/>
          </w:tcPr>
          <w:p w14:paraId="6C5F288C" w14:textId="77777777" w:rsidR="00193E45" w:rsidRPr="00912A6D" w:rsidRDefault="00193E45" w:rsidP="00912A6D">
            <w:pPr>
              <w:ind w:left="57" w:right="57"/>
              <w:rPr>
                <w:sz w:val="28"/>
                <w:szCs w:val="28"/>
              </w:rPr>
            </w:pPr>
            <w:r w:rsidRPr="00912A6D">
              <w:rPr>
                <w:sz w:val="28"/>
                <w:szCs w:val="28"/>
              </w:rPr>
              <w:t> 2.</w:t>
            </w:r>
          </w:p>
        </w:tc>
        <w:tc>
          <w:tcPr>
            <w:tcW w:w="4006" w:type="dxa"/>
          </w:tcPr>
          <w:p w14:paraId="19A38217" w14:textId="77777777" w:rsidR="00193E45" w:rsidRPr="00912A6D" w:rsidRDefault="00193E45" w:rsidP="00912A6D">
            <w:pPr>
              <w:ind w:left="57" w:right="57"/>
              <w:jc w:val="both"/>
              <w:rPr>
                <w:sz w:val="28"/>
                <w:szCs w:val="28"/>
              </w:rPr>
            </w:pPr>
            <w:r w:rsidRPr="00912A6D">
              <w:rPr>
                <w:sz w:val="28"/>
                <w:szCs w:val="28"/>
              </w:rPr>
              <w:t xml:space="preserve"> Projekta izpildes ietekme uz pārvaldes funkcijām un institucionālo struktūru. Jaunu </w:t>
            </w:r>
            <w:r w:rsidRPr="00912A6D">
              <w:rPr>
                <w:sz w:val="28"/>
                <w:szCs w:val="28"/>
              </w:rPr>
              <w:lastRenderedPageBreak/>
              <w:t>institūciju izveide, esošu institūciju likvidācija vai reorganizācija, to ietekme uz institūcijas cilvēkresursiem</w:t>
            </w:r>
          </w:p>
        </w:tc>
        <w:tc>
          <w:tcPr>
            <w:tcW w:w="4820" w:type="dxa"/>
          </w:tcPr>
          <w:p w14:paraId="30C27051" w14:textId="77777777" w:rsidR="00193E45" w:rsidRPr="00912A6D" w:rsidRDefault="00193E45" w:rsidP="00912A6D">
            <w:pPr>
              <w:pStyle w:val="naisnod"/>
              <w:spacing w:before="0" w:after="0"/>
              <w:ind w:left="57" w:right="57" w:firstLine="368"/>
              <w:jc w:val="both"/>
              <w:rPr>
                <w:b w:val="0"/>
                <w:sz w:val="28"/>
                <w:szCs w:val="28"/>
              </w:rPr>
            </w:pPr>
            <w:r w:rsidRPr="00912A6D">
              <w:rPr>
                <w:b w:val="0"/>
                <w:sz w:val="28"/>
                <w:szCs w:val="28"/>
              </w:rPr>
              <w:lastRenderedPageBreak/>
              <w:t xml:space="preserve">Jaunas institūcijas netiks veidotas un nav nepieciešams likvidēt vai reorganizēt esošās institūcijas. Līdz ar to </w:t>
            </w:r>
            <w:r w:rsidR="006264EF" w:rsidRPr="00912A6D">
              <w:rPr>
                <w:b w:val="0"/>
                <w:sz w:val="28"/>
                <w:szCs w:val="28"/>
              </w:rPr>
              <w:t>n</w:t>
            </w:r>
            <w:r w:rsidR="00696F5F" w:rsidRPr="00912A6D">
              <w:rPr>
                <w:b w:val="0"/>
                <w:sz w:val="28"/>
                <w:szCs w:val="28"/>
              </w:rPr>
              <w:t xml:space="preserve">oteikumu </w:t>
            </w:r>
            <w:r w:rsidRPr="00912A6D">
              <w:rPr>
                <w:b w:val="0"/>
                <w:sz w:val="28"/>
                <w:szCs w:val="28"/>
              </w:rPr>
              <w:lastRenderedPageBreak/>
              <w:t>izpilde neietekmēs institūciju cilvēkresursus.</w:t>
            </w:r>
          </w:p>
        </w:tc>
      </w:tr>
      <w:tr w:rsidR="00193E45" w:rsidRPr="00912A6D" w14:paraId="2F5698B0" w14:textId="77777777" w:rsidTr="00F01485">
        <w:trPr>
          <w:trHeight w:val="476"/>
        </w:trPr>
        <w:tc>
          <w:tcPr>
            <w:tcW w:w="507" w:type="dxa"/>
          </w:tcPr>
          <w:p w14:paraId="0CA00C10" w14:textId="77777777" w:rsidR="00193E45" w:rsidRPr="00912A6D" w:rsidRDefault="00193E45" w:rsidP="00912A6D">
            <w:pPr>
              <w:ind w:left="57" w:right="57"/>
              <w:rPr>
                <w:sz w:val="28"/>
                <w:szCs w:val="28"/>
              </w:rPr>
            </w:pPr>
            <w:r w:rsidRPr="00912A6D">
              <w:rPr>
                <w:sz w:val="28"/>
                <w:szCs w:val="28"/>
              </w:rPr>
              <w:t> 3.</w:t>
            </w:r>
          </w:p>
        </w:tc>
        <w:tc>
          <w:tcPr>
            <w:tcW w:w="4006" w:type="dxa"/>
          </w:tcPr>
          <w:p w14:paraId="72FB6F5E" w14:textId="77777777" w:rsidR="00193E45" w:rsidRPr="00912A6D" w:rsidRDefault="00193E45" w:rsidP="00912A6D">
            <w:pPr>
              <w:ind w:left="57" w:right="57"/>
              <w:jc w:val="both"/>
              <w:rPr>
                <w:sz w:val="28"/>
                <w:szCs w:val="28"/>
              </w:rPr>
            </w:pPr>
            <w:r w:rsidRPr="00912A6D">
              <w:rPr>
                <w:sz w:val="28"/>
                <w:szCs w:val="28"/>
              </w:rPr>
              <w:t> Cita informācija</w:t>
            </w:r>
          </w:p>
        </w:tc>
        <w:tc>
          <w:tcPr>
            <w:tcW w:w="4820" w:type="dxa"/>
          </w:tcPr>
          <w:p w14:paraId="32EC53C6" w14:textId="77777777" w:rsidR="00193E45" w:rsidRPr="00912A6D" w:rsidRDefault="00193E45" w:rsidP="00912A6D">
            <w:pPr>
              <w:ind w:left="57" w:right="57" w:firstLine="368"/>
              <w:jc w:val="both"/>
              <w:rPr>
                <w:sz w:val="28"/>
                <w:szCs w:val="28"/>
              </w:rPr>
            </w:pPr>
            <w:r w:rsidRPr="00912A6D">
              <w:rPr>
                <w:sz w:val="28"/>
                <w:szCs w:val="28"/>
              </w:rPr>
              <w:t>Nav.</w:t>
            </w:r>
          </w:p>
        </w:tc>
      </w:tr>
    </w:tbl>
    <w:p w14:paraId="282C75E6" w14:textId="77777777" w:rsidR="00193E45" w:rsidRPr="00912A6D" w:rsidRDefault="00193E45" w:rsidP="006C6F53">
      <w:pPr>
        <w:pStyle w:val="naisf"/>
        <w:tabs>
          <w:tab w:val="left" w:pos="6710"/>
        </w:tabs>
        <w:spacing w:before="120" w:after="240"/>
        <w:jc w:val="center"/>
        <w:rPr>
          <w:i/>
          <w:sz w:val="28"/>
          <w:szCs w:val="28"/>
        </w:rPr>
      </w:pPr>
      <w:r w:rsidRPr="00912A6D">
        <w:rPr>
          <w:i/>
          <w:sz w:val="28"/>
          <w:szCs w:val="28"/>
        </w:rPr>
        <w:t>Anotācijas III, IV un V sadaļa - projekts šīs jomas neskar.</w:t>
      </w:r>
    </w:p>
    <w:p w14:paraId="4CB3C9DA" w14:textId="77777777" w:rsidR="00811B43" w:rsidRDefault="00811B43" w:rsidP="00811B43">
      <w:pPr>
        <w:jc w:val="both"/>
        <w:rPr>
          <w:sz w:val="28"/>
          <w:szCs w:val="28"/>
        </w:rPr>
      </w:pPr>
      <w:r>
        <w:rPr>
          <w:sz w:val="28"/>
          <w:szCs w:val="28"/>
        </w:rPr>
        <w:t>Ministru pre</w:t>
      </w:r>
      <w:r w:rsidR="0049065F">
        <w:rPr>
          <w:sz w:val="28"/>
          <w:szCs w:val="28"/>
        </w:rPr>
        <w:t>zidenta biedrs,</w:t>
      </w:r>
      <w:r w:rsidR="0049065F">
        <w:rPr>
          <w:sz w:val="28"/>
          <w:szCs w:val="28"/>
        </w:rPr>
        <w:tab/>
      </w:r>
      <w:r w:rsidR="0049065F">
        <w:rPr>
          <w:sz w:val="28"/>
          <w:szCs w:val="28"/>
        </w:rPr>
        <w:tab/>
      </w:r>
      <w:r w:rsidR="0049065F">
        <w:rPr>
          <w:sz w:val="28"/>
          <w:szCs w:val="28"/>
        </w:rPr>
        <w:tab/>
      </w:r>
      <w:r w:rsidR="0049065F">
        <w:rPr>
          <w:sz w:val="28"/>
          <w:szCs w:val="28"/>
        </w:rPr>
        <w:tab/>
      </w:r>
      <w:r w:rsidR="0049065F">
        <w:rPr>
          <w:sz w:val="28"/>
          <w:szCs w:val="28"/>
        </w:rPr>
        <w:tab/>
      </w:r>
      <w:r w:rsidR="0049065F">
        <w:rPr>
          <w:sz w:val="28"/>
          <w:szCs w:val="28"/>
        </w:rPr>
        <w:tab/>
      </w:r>
    </w:p>
    <w:p w14:paraId="28538D1C" w14:textId="77777777" w:rsidR="00124ADC" w:rsidRDefault="00967EF4" w:rsidP="00811B43">
      <w:pPr>
        <w:tabs>
          <w:tab w:val="left" w:pos="-142"/>
        </w:tabs>
        <w:spacing w:line="276" w:lineRule="auto"/>
        <w:rPr>
          <w:sz w:val="28"/>
          <w:szCs w:val="28"/>
        </w:rPr>
      </w:pPr>
      <w:r>
        <w:rPr>
          <w:sz w:val="28"/>
          <w:szCs w:val="28"/>
        </w:rPr>
        <w:t xml:space="preserve">ekonomikas </w:t>
      </w:r>
      <w:r w:rsidR="00811B43">
        <w:rPr>
          <w:sz w:val="28"/>
          <w:szCs w:val="28"/>
        </w:rPr>
        <w:t>ministrs</w:t>
      </w:r>
      <w:r w:rsidR="0049065F">
        <w:rPr>
          <w:sz w:val="28"/>
          <w:szCs w:val="28"/>
        </w:rPr>
        <w:tab/>
      </w:r>
      <w:r w:rsidR="0049065F">
        <w:rPr>
          <w:sz w:val="28"/>
          <w:szCs w:val="28"/>
        </w:rPr>
        <w:tab/>
      </w:r>
      <w:r w:rsidR="0049065F">
        <w:rPr>
          <w:sz w:val="28"/>
          <w:szCs w:val="28"/>
        </w:rPr>
        <w:tab/>
      </w:r>
      <w:r w:rsidR="0049065F">
        <w:rPr>
          <w:sz w:val="28"/>
          <w:szCs w:val="28"/>
        </w:rPr>
        <w:tab/>
      </w:r>
      <w:r w:rsidR="0049065F">
        <w:rPr>
          <w:sz w:val="28"/>
          <w:szCs w:val="28"/>
        </w:rPr>
        <w:tab/>
      </w:r>
      <w:r w:rsidR="0049065F">
        <w:rPr>
          <w:sz w:val="28"/>
          <w:szCs w:val="28"/>
        </w:rPr>
        <w:tab/>
      </w:r>
      <w:r w:rsidR="0049065F">
        <w:rPr>
          <w:sz w:val="28"/>
          <w:szCs w:val="28"/>
        </w:rPr>
        <w:tab/>
      </w:r>
      <w:proofErr w:type="spellStart"/>
      <w:r w:rsidR="0049065F">
        <w:rPr>
          <w:sz w:val="28"/>
          <w:szCs w:val="28"/>
        </w:rPr>
        <w:t>A.Ašeradens</w:t>
      </w:r>
      <w:proofErr w:type="spellEnd"/>
    </w:p>
    <w:p w14:paraId="285927A4" w14:textId="77777777" w:rsidR="00811B43" w:rsidRDefault="00811B43" w:rsidP="00811B43">
      <w:pPr>
        <w:tabs>
          <w:tab w:val="left" w:pos="-142"/>
        </w:tabs>
        <w:spacing w:line="276" w:lineRule="auto"/>
        <w:rPr>
          <w:sz w:val="28"/>
          <w:szCs w:val="28"/>
        </w:rPr>
      </w:pPr>
    </w:p>
    <w:p w14:paraId="7F528874" w14:textId="77777777" w:rsidR="00747AAB" w:rsidRPr="00912A6D" w:rsidRDefault="00747AAB" w:rsidP="00747AAB">
      <w:pPr>
        <w:rPr>
          <w:sz w:val="28"/>
          <w:szCs w:val="28"/>
        </w:rPr>
      </w:pPr>
      <w:r w:rsidRPr="00912A6D">
        <w:rPr>
          <w:sz w:val="28"/>
          <w:szCs w:val="28"/>
        </w:rPr>
        <w:t>Vīza:</w:t>
      </w:r>
    </w:p>
    <w:p w14:paraId="1C49CE18" w14:textId="77777777" w:rsidR="00CB5FD4" w:rsidRDefault="00C111BB" w:rsidP="00967EF4">
      <w:pPr>
        <w:tabs>
          <w:tab w:val="left" w:pos="5670"/>
          <w:tab w:val="right" w:pos="9072"/>
        </w:tabs>
        <w:rPr>
          <w:sz w:val="28"/>
          <w:szCs w:val="28"/>
        </w:rPr>
      </w:pPr>
      <w:r>
        <w:rPr>
          <w:sz w:val="28"/>
          <w:szCs w:val="28"/>
        </w:rPr>
        <w:t>Valsts sekretār</w:t>
      </w:r>
      <w:r w:rsidR="00967EF4">
        <w:rPr>
          <w:sz w:val="28"/>
          <w:szCs w:val="28"/>
        </w:rPr>
        <w:t xml:space="preserve">s </w:t>
      </w:r>
      <w:r w:rsidR="0049065F">
        <w:rPr>
          <w:sz w:val="28"/>
          <w:szCs w:val="28"/>
        </w:rPr>
        <w:tab/>
        <w:t xml:space="preserve">                              </w:t>
      </w:r>
      <w:proofErr w:type="spellStart"/>
      <w:r w:rsidR="00967EF4">
        <w:rPr>
          <w:sz w:val="28"/>
          <w:szCs w:val="28"/>
        </w:rPr>
        <w:t>J.Stinka</w:t>
      </w:r>
      <w:proofErr w:type="spellEnd"/>
    </w:p>
    <w:p w14:paraId="56741D40" w14:textId="77777777" w:rsidR="00193E45" w:rsidRPr="00053B75" w:rsidRDefault="00193E45" w:rsidP="00967EF4">
      <w:pPr>
        <w:tabs>
          <w:tab w:val="right" w:pos="9072"/>
        </w:tabs>
        <w:rPr>
          <w:sz w:val="20"/>
        </w:rPr>
      </w:pPr>
    </w:p>
    <w:p w14:paraId="3F92F25F" w14:textId="77777777" w:rsidR="00193E45" w:rsidRDefault="00193E45" w:rsidP="00193E45">
      <w:pPr>
        <w:rPr>
          <w:sz w:val="20"/>
        </w:rPr>
      </w:pPr>
    </w:p>
    <w:p w14:paraId="0369035A" w14:textId="77777777" w:rsidR="00D15797" w:rsidRPr="00D15797" w:rsidRDefault="00D15797" w:rsidP="00D15797">
      <w:pPr>
        <w:keepLines/>
        <w:widowControl w:val="0"/>
        <w:jc w:val="both"/>
        <w:rPr>
          <w:sz w:val="20"/>
          <w:szCs w:val="20"/>
        </w:rPr>
      </w:pPr>
    </w:p>
    <w:p w14:paraId="52D32B75" w14:textId="34CB783F" w:rsidR="00636F59" w:rsidRPr="00714EC3" w:rsidRDefault="00636F59" w:rsidP="00636F59">
      <w:pPr>
        <w:rPr>
          <w:color w:val="000000" w:themeColor="text1"/>
          <w:sz w:val="20"/>
          <w:szCs w:val="20"/>
        </w:rPr>
      </w:pPr>
      <w:r w:rsidRPr="00714EC3">
        <w:rPr>
          <w:color w:val="000000" w:themeColor="text1"/>
          <w:sz w:val="20"/>
          <w:szCs w:val="20"/>
        </w:rPr>
        <w:fldChar w:fldCharType="begin"/>
      </w:r>
      <w:r w:rsidRPr="00714EC3">
        <w:rPr>
          <w:color w:val="000000" w:themeColor="text1"/>
          <w:sz w:val="20"/>
          <w:szCs w:val="20"/>
        </w:rPr>
        <w:instrText xml:space="preserve"> TIME \@ "dd.MM.yyyy HH:mm" </w:instrText>
      </w:r>
      <w:r w:rsidRPr="00714EC3">
        <w:rPr>
          <w:color w:val="000000" w:themeColor="text1"/>
          <w:sz w:val="20"/>
          <w:szCs w:val="20"/>
        </w:rPr>
        <w:fldChar w:fldCharType="separate"/>
      </w:r>
      <w:r w:rsidR="00AA6C17">
        <w:rPr>
          <w:noProof/>
          <w:color w:val="000000" w:themeColor="text1"/>
          <w:sz w:val="20"/>
          <w:szCs w:val="20"/>
        </w:rPr>
        <w:t>10.03.2017 14:42</w:t>
      </w:r>
      <w:r w:rsidRPr="00714EC3">
        <w:rPr>
          <w:color w:val="000000" w:themeColor="text1"/>
          <w:sz w:val="20"/>
          <w:szCs w:val="20"/>
        </w:rPr>
        <w:fldChar w:fldCharType="end"/>
      </w:r>
    </w:p>
    <w:bookmarkStart w:id="5" w:name="_GoBack"/>
    <w:p w14:paraId="0A371859" w14:textId="77777777" w:rsidR="00636F59" w:rsidRPr="00714EC3" w:rsidRDefault="007D40A1" w:rsidP="00636F59">
      <w:pPr>
        <w:rPr>
          <w:color w:val="000000"/>
          <w:sz w:val="20"/>
          <w:szCs w:val="20"/>
        </w:rPr>
      </w:pPr>
      <w:r>
        <w:fldChar w:fldCharType="begin"/>
      </w:r>
      <w:r>
        <w:instrText xml:space="preserve"> NUMWORDS   \* MERGEFORMAT </w:instrText>
      </w:r>
      <w:r>
        <w:fldChar w:fldCharType="separate"/>
      </w:r>
      <w:r w:rsidR="00AA6C17" w:rsidRPr="00AA6C17">
        <w:rPr>
          <w:noProof/>
          <w:color w:val="000000"/>
          <w:sz w:val="20"/>
          <w:szCs w:val="20"/>
        </w:rPr>
        <w:t>1790</w:t>
      </w:r>
      <w:r>
        <w:rPr>
          <w:noProof/>
          <w:color w:val="000000"/>
          <w:sz w:val="20"/>
          <w:szCs w:val="20"/>
        </w:rPr>
        <w:fldChar w:fldCharType="end"/>
      </w:r>
    </w:p>
    <w:bookmarkEnd w:id="5"/>
    <w:p w14:paraId="759B158A" w14:textId="77777777" w:rsidR="00144005" w:rsidRPr="001B3D41" w:rsidRDefault="00144005" w:rsidP="00144005">
      <w:pPr>
        <w:rPr>
          <w:color w:val="000000" w:themeColor="text1"/>
          <w:sz w:val="20"/>
          <w:szCs w:val="20"/>
        </w:rPr>
      </w:pPr>
      <w:proofErr w:type="spellStart"/>
      <w:r w:rsidRPr="001B3D41">
        <w:rPr>
          <w:color w:val="000000" w:themeColor="text1"/>
          <w:sz w:val="20"/>
          <w:szCs w:val="20"/>
        </w:rPr>
        <w:t>K.Piģēns</w:t>
      </w:r>
      <w:proofErr w:type="spellEnd"/>
      <w:r w:rsidRPr="001B3D41">
        <w:rPr>
          <w:color w:val="000000" w:themeColor="text1"/>
          <w:sz w:val="20"/>
          <w:szCs w:val="20"/>
        </w:rPr>
        <w:t xml:space="preserve">, </w:t>
      </w:r>
    </w:p>
    <w:p w14:paraId="599654CE" w14:textId="77777777" w:rsidR="00144005" w:rsidRPr="001B3D41" w:rsidRDefault="00144005" w:rsidP="00144005">
      <w:pPr>
        <w:rPr>
          <w:color w:val="000000" w:themeColor="text1"/>
          <w:sz w:val="20"/>
          <w:szCs w:val="20"/>
        </w:rPr>
      </w:pPr>
      <w:r w:rsidRPr="001B3D41">
        <w:rPr>
          <w:noProof/>
          <w:color w:val="000000" w:themeColor="text1"/>
          <w:sz w:val="20"/>
          <w:szCs w:val="20"/>
        </w:rPr>
        <w:t>67013133</w:t>
      </w:r>
      <w:r w:rsidRPr="001B3D41">
        <w:rPr>
          <w:color w:val="000000" w:themeColor="text1"/>
          <w:sz w:val="20"/>
          <w:szCs w:val="20"/>
        </w:rPr>
        <w:t xml:space="preserve">, </w:t>
      </w:r>
    </w:p>
    <w:p w14:paraId="77403E78" w14:textId="77777777" w:rsidR="00144005" w:rsidRPr="001B3D41" w:rsidRDefault="004A4845" w:rsidP="00144005">
      <w:pPr>
        <w:rPr>
          <w:color w:val="000000" w:themeColor="text1"/>
          <w:sz w:val="20"/>
          <w:szCs w:val="20"/>
        </w:rPr>
      </w:pPr>
      <w:hyperlink r:id="rId9" w:history="1">
        <w:r w:rsidR="00144005" w:rsidRPr="001B3D41">
          <w:rPr>
            <w:color w:val="000000" w:themeColor="text1"/>
            <w:sz w:val="20"/>
            <w:szCs w:val="20"/>
            <w:u w:val="single"/>
          </w:rPr>
          <w:t>Karlis.Pigens@em.gov.lv</w:t>
        </w:r>
      </w:hyperlink>
      <w:r w:rsidR="00144005" w:rsidRPr="001B3D41">
        <w:rPr>
          <w:color w:val="000000" w:themeColor="text1"/>
          <w:sz w:val="20"/>
          <w:szCs w:val="20"/>
        </w:rPr>
        <w:t xml:space="preserve"> </w:t>
      </w:r>
    </w:p>
    <w:p w14:paraId="76A9876A" w14:textId="77777777" w:rsidR="00193E45" w:rsidRPr="00124ADC" w:rsidRDefault="00437385" w:rsidP="00B40300">
      <w:pPr>
        <w:tabs>
          <w:tab w:val="left" w:pos="1080"/>
        </w:tabs>
        <w:ind w:right="-2"/>
        <w:jc w:val="both"/>
        <w:rPr>
          <w:sz w:val="20"/>
          <w:szCs w:val="20"/>
          <w:lang w:val="de-DE"/>
        </w:rPr>
      </w:pPr>
      <w:r w:rsidRPr="00437385">
        <w:rPr>
          <w:sz w:val="20"/>
          <w:szCs w:val="20"/>
          <w:lang w:val="de-DE"/>
        </w:rPr>
        <w:t xml:space="preserve"> </w:t>
      </w:r>
    </w:p>
    <w:sectPr w:rsidR="00193E45" w:rsidRPr="00124ADC" w:rsidSect="00F01485">
      <w:headerReference w:type="even" r:id="rId10"/>
      <w:headerReference w:type="default" r:id="rId11"/>
      <w:footerReference w:type="default" r:id="rId12"/>
      <w:footerReference w:type="first" r:id="rId13"/>
      <w:pgSz w:w="11906" w:h="16838" w:code="9"/>
      <w:pgMar w:top="851" w:right="851" w:bottom="1702" w:left="1701" w:header="709" w:footer="6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A91D0" w14:textId="77777777" w:rsidR="004A4845" w:rsidRDefault="004A4845">
      <w:r>
        <w:separator/>
      </w:r>
    </w:p>
  </w:endnote>
  <w:endnote w:type="continuationSeparator" w:id="0">
    <w:p w14:paraId="1932B740" w14:textId="77777777" w:rsidR="004A4845" w:rsidRDefault="004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EUAlbertina"/>
    <w:panose1 w:val="00000000000000000000"/>
    <w:charset w:val="00"/>
    <w:family w:val="roman"/>
    <w:notTrueType/>
    <w:pitch w:val="default"/>
    <w:sig w:usb0="00000005"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D2EBE" w14:textId="16108D4B" w:rsidR="00426C37" w:rsidRDefault="00CF0E64" w:rsidP="00144005">
    <w:pPr>
      <w:jc w:val="both"/>
    </w:pPr>
    <w:r w:rsidRPr="0069431E">
      <w:rPr>
        <w:noProof/>
        <w:sz w:val="20"/>
        <w:szCs w:val="20"/>
      </w:rPr>
      <w:fldChar w:fldCharType="begin"/>
    </w:r>
    <w:r w:rsidRPr="0069431E">
      <w:rPr>
        <w:noProof/>
        <w:sz w:val="20"/>
        <w:szCs w:val="20"/>
      </w:rPr>
      <w:instrText xml:space="preserve"> FILENAME   \* MERGEFORMAT </w:instrText>
    </w:r>
    <w:r w:rsidRPr="0069431E">
      <w:rPr>
        <w:noProof/>
        <w:sz w:val="20"/>
        <w:szCs w:val="20"/>
      </w:rPr>
      <w:fldChar w:fldCharType="separate"/>
    </w:r>
    <w:r w:rsidR="009A175C">
      <w:rPr>
        <w:noProof/>
        <w:sz w:val="20"/>
        <w:szCs w:val="20"/>
      </w:rPr>
      <w:t>EMAnot_100317_rez.docx</w:t>
    </w:r>
    <w:r w:rsidRPr="0069431E">
      <w:rPr>
        <w:noProof/>
        <w:sz w:val="20"/>
        <w:szCs w:val="20"/>
      </w:rPr>
      <w:fldChar w:fldCharType="end"/>
    </w:r>
    <w:r w:rsidR="00144005" w:rsidRPr="00CF0E64">
      <w:rPr>
        <w:rFonts w:eastAsia="Calibri"/>
        <w:noProof/>
        <w:sz w:val="20"/>
        <w:szCs w:val="20"/>
        <w:lang w:eastAsia="en-US"/>
      </w:rPr>
      <w:t>;</w:t>
    </w:r>
    <w:r w:rsidR="00144005" w:rsidRPr="00144005">
      <w:rPr>
        <w:sz w:val="20"/>
        <w:szCs w:val="20"/>
      </w:rPr>
      <w:t xml:space="preserve"> Ministru kabineta noteikumu projekta „</w:t>
    </w:r>
    <w:r w:rsidR="00532411" w:rsidRPr="00144005">
      <w:rPr>
        <w:sz w:val="20"/>
        <w:szCs w:val="20"/>
      </w:rPr>
      <w:t>Grozījum</w:t>
    </w:r>
    <w:r w:rsidR="00532411">
      <w:rPr>
        <w:sz w:val="20"/>
        <w:szCs w:val="20"/>
      </w:rPr>
      <w:t>i</w:t>
    </w:r>
    <w:r w:rsidR="00532411" w:rsidRPr="00144005">
      <w:rPr>
        <w:sz w:val="20"/>
        <w:szCs w:val="20"/>
      </w:rPr>
      <w:t xml:space="preserve"> </w:t>
    </w:r>
    <w:r w:rsidR="00144005" w:rsidRPr="00144005">
      <w:rPr>
        <w:sz w:val="20"/>
        <w:szCs w:val="20"/>
      </w:rPr>
      <w:t xml:space="preserve">Ministru kabineta 2011.gada 19.aprīļa noteikumos Nr.312 “Enerģijas lietotāju apgādes un kurināmā pārdošanas kārtība izsludinātas enerģētiskās krīzes laikā un valsts apdraudējuma gadījumā”” sākotnējās ietekmes novērtējuma </w:t>
    </w:r>
    <w:smartTag w:uri="schemas-tilde-lv/tildestengine" w:element="veidnes">
      <w:smartTagPr>
        <w:attr w:name="text" w:val="ziņojums"/>
        <w:attr w:name="baseform" w:val="ziņojums"/>
        <w:attr w:name="id" w:val="-1"/>
      </w:smartTagPr>
      <w:r w:rsidR="00144005" w:rsidRPr="00144005">
        <w:rPr>
          <w:sz w:val="20"/>
          <w:szCs w:val="20"/>
        </w:rPr>
        <w:t>ziņojums</w:t>
      </w:r>
    </w:smartTag>
    <w:r w:rsidR="00144005" w:rsidRPr="00144005">
      <w:rPr>
        <w:sz w:val="20"/>
        <w:szCs w:val="20"/>
      </w:rPr>
      <w:t xml:space="preserve"> (</w:t>
    </w:r>
    <w:r w:rsidR="00144005" w:rsidRPr="00144005">
      <w:rPr>
        <w:bCs/>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9BAEF" w14:textId="42DF755A" w:rsidR="00144005" w:rsidRPr="00144005" w:rsidRDefault="00A82B20" w:rsidP="00144005">
    <w:pPr>
      <w:jc w:val="both"/>
      <w:rPr>
        <w:bCs/>
        <w:sz w:val="20"/>
        <w:szCs w:val="20"/>
      </w:rPr>
    </w:pPr>
    <w:r w:rsidRPr="00144005">
      <w:rPr>
        <w:sz w:val="20"/>
        <w:szCs w:val="20"/>
      </w:rPr>
      <w:fldChar w:fldCharType="begin"/>
    </w:r>
    <w:r w:rsidRPr="00144005">
      <w:rPr>
        <w:sz w:val="20"/>
        <w:szCs w:val="20"/>
      </w:rPr>
      <w:instrText xml:space="preserve"> FILENAME   \* MERGEFORMAT </w:instrText>
    </w:r>
    <w:r w:rsidRPr="00144005">
      <w:rPr>
        <w:sz w:val="20"/>
        <w:szCs w:val="20"/>
      </w:rPr>
      <w:fldChar w:fldCharType="separate"/>
    </w:r>
    <w:r w:rsidR="009A175C">
      <w:rPr>
        <w:noProof/>
        <w:sz w:val="20"/>
        <w:szCs w:val="20"/>
      </w:rPr>
      <w:t>EMAnot_100317_rez.docx</w:t>
    </w:r>
    <w:r w:rsidRPr="00144005">
      <w:rPr>
        <w:sz w:val="20"/>
        <w:szCs w:val="20"/>
      </w:rPr>
      <w:fldChar w:fldCharType="end"/>
    </w:r>
    <w:r w:rsidR="00426C37" w:rsidRPr="00144005">
      <w:rPr>
        <w:sz w:val="20"/>
        <w:szCs w:val="20"/>
      </w:rPr>
      <w:t xml:space="preserve">; </w:t>
    </w:r>
    <w:r w:rsidR="00144005" w:rsidRPr="00144005">
      <w:rPr>
        <w:sz w:val="20"/>
        <w:szCs w:val="20"/>
      </w:rPr>
      <w:t>Ministru kabineta noteikumu projekta „</w:t>
    </w:r>
    <w:r w:rsidR="00532411" w:rsidRPr="00144005">
      <w:rPr>
        <w:sz w:val="20"/>
        <w:szCs w:val="20"/>
      </w:rPr>
      <w:t>Grozījum</w:t>
    </w:r>
    <w:r w:rsidR="00532411">
      <w:rPr>
        <w:sz w:val="20"/>
        <w:szCs w:val="20"/>
      </w:rPr>
      <w:t>i</w:t>
    </w:r>
    <w:r w:rsidR="00532411" w:rsidRPr="00144005">
      <w:rPr>
        <w:sz w:val="20"/>
        <w:szCs w:val="20"/>
      </w:rPr>
      <w:t xml:space="preserve"> </w:t>
    </w:r>
    <w:r w:rsidR="00144005" w:rsidRPr="00144005">
      <w:rPr>
        <w:sz w:val="20"/>
        <w:szCs w:val="20"/>
      </w:rPr>
      <w:t xml:space="preserve">Ministru kabineta 2011.gada 19.aprīļa noteikumos Nr.312 “Enerģijas lietotāju apgādes un kurināmā pārdošanas kārtība izsludinātas enerģētiskās krīzes laikā un valsts apdraudējuma gadījumā”” sākotnējās ietekmes novērtējuma </w:t>
    </w:r>
    <w:smartTag w:uri="schemas-tilde-lv/tildestengine" w:element="veidnes">
      <w:smartTagPr>
        <w:attr w:name="text" w:val="ziņojums"/>
        <w:attr w:name="baseform" w:val="ziņojums"/>
        <w:attr w:name="id" w:val="-1"/>
      </w:smartTagPr>
      <w:r w:rsidR="00144005" w:rsidRPr="00144005">
        <w:rPr>
          <w:sz w:val="20"/>
          <w:szCs w:val="20"/>
        </w:rPr>
        <w:t>ziņojums</w:t>
      </w:r>
    </w:smartTag>
    <w:r w:rsidR="00144005" w:rsidRPr="00144005">
      <w:rPr>
        <w:sz w:val="20"/>
        <w:szCs w:val="20"/>
      </w:rPr>
      <w:t xml:space="preserve"> (</w:t>
    </w:r>
    <w:r w:rsidR="00144005" w:rsidRPr="00144005">
      <w:rPr>
        <w:bCs/>
        <w:sz w:val="20"/>
        <w:szCs w:val="20"/>
      </w:rPr>
      <w:t>anotācija)</w:t>
    </w:r>
  </w:p>
  <w:p w14:paraId="24C527E9" w14:textId="77777777" w:rsidR="00426C37" w:rsidRPr="0079607B" w:rsidRDefault="00426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41C7B" w14:textId="77777777" w:rsidR="004A4845" w:rsidRDefault="004A4845">
      <w:r>
        <w:separator/>
      </w:r>
    </w:p>
  </w:footnote>
  <w:footnote w:type="continuationSeparator" w:id="0">
    <w:p w14:paraId="563E4A9C" w14:textId="77777777" w:rsidR="004A4845" w:rsidRDefault="004A4845">
      <w:r>
        <w:continuationSeparator/>
      </w:r>
    </w:p>
  </w:footnote>
  <w:footnote w:id="1">
    <w:p w14:paraId="200B8E4F" w14:textId="6FA94E32" w:rsidR="00EE04FE" w:rsidRDefault="00EE04FE" w:rsidP="00CA1F66">
      <w:pPr>
        <w:pStyle w:val="FootnoteText"/>
        <w:jc w:val="both"/>
      </w:pPr>
      <w:r>
        <w:rPr>
          <w:rStyle w:val="FootnoteReference"/>
        </w:rPr>
        <w:footnoteRef/>
      </w:r>
      <w:r>
        <w:t xml:space="preserve"> </w:t>
      </w:r>
      <w:r w:rsidR="00CA1F66" w:rsidRPr="00CA1F66">
        <w:rPr>
          <w:color w:val="000000" w:themeColor="text1"/>
          <w:sz w:val="16"/>
          <w:szCs w:val="16"/>
        </w:rPr>
        <w:t>Eiropas Komisijas pētījums angļu valodā pieejams: (</w:t>
      </w:r>
      <w:hyperlink r:id="rId1" w:history="1">
        <w:r w:rsidR="00CA1F66" w:rsidRPr="00CA1F66">
          <w:rPr>
            <w:rStyle w:val="Hyperlink"/>
            <w:color w:val="000000" w:themeColor="text1"/>
            <w:sz w:val="16"/>
            <w:szCs w:val="16"/>
          </w:rPr>
          <w:t>https://ec.europa.eu/energy/sites/ener/files/documents/REPORT-Gas%20Storage-20150728.pdf</w:t>
        </w:r>
      </w:hyperlink>
      <w:r w:rsidR="00CA1F66" w:rsidRPr="00CA1F66">
        <w:rPr>
          <w:color w:val="000000" w:themeColor="text1"/>
          <w:sz w:val="16"/>
          <w:szCs w:val="16"/>
        </w:rPr>
        <w:t>).</w:t>
      </w:r>
    </w:p>
  </w:footnote>
  <w:footnote w:id="2">
    <w:p w14:paraId="63D9CAED" w14:textId="168037A4" w:rsidR="00F342AF" w:rsidRDefault="00F342AF" w:rsidP="00F342AF">
      <w:pPr>
        <w:pStyle w:val="FootnoteText"/>
      </w:pPr>
      <w:r>
        <w:rPr>
          <w:rStyle w:val="FootnoteReference"/>
        </w:rPr>
        <w:footnoteRef/>
      </w:r>
      <w:r>
        <w:t xml:space="preserve"> </w:t>
      </w:r>
      <w:r w:rsidR="0093343A">
        <w:rPr>
          <w:color w:val="000000" w:themeColor="text1"/>
        </w:rPr>
        <w:t xml:space="preserve">Sabiedrisko pakalpojumu regulēšanas komisijas </w:t>
      </w:r>
      <w:r w:rsidRPr="00700531">
        <w:rPr>
          <w:color w:val="000000" w:themeColor="text1"/>
        </w:rPr>
        <w:t xml:space="preserve"> informācija</w:t>
      </w:r>
      <w:r>
        <w:rPr>
          <w:color w:val="000000" w:themeColor="text1"/>
        </w:rPr>
        <w:t xml:space="preserve"> aplūkojama</w:t>
      </w:r>
      <w:r w:rsidRPr="00700531">
        <w:rPr>
          <w:color w:val="000000" w:themeColor="text1"/>
        </w:rPr>
        <w:t xml:space="preserve">: </w:t>
      </w:r>
      <w:r w:rsidRPr="00E74760">
        <w:rPr>
          <w:rStyle w:val="Hyperlink"/>
          <w:color w:val="000000" w:themeColor="text1"/>
          <w:sz w:val="16"/>
          <w:szCs w:val="16"/>
        </w:rPr>
        <w:t>(</w:t>
      </w:r>
      <w:hyperlink r:id="rId2" w:anchor="Tarifi95" w:history="1">
        <w:r w:rsidR="0093343A" w:rsidRPr="00E74760">
          <w:rPr>
            <w:rStyle w:val="Hyperlink"/>
            <w:color w:val="000000" w:themeColor="text1"/>
            <w:sz w:val="16"/>
            <w:szCs w:val="16"/>
          </w:rPr>
          <w:t>https://www.sprk.gov.lv/lapas/dabasgaze-lietotajiem#Tarifi95</w:t>
        </w:r>
      </w:hyperlink>
      <w:r w:rsidR="0093343A" w:rsidRPr="00E74760">
        <w:rPr>
          <w:rStyle w:val="Hyperlink"/>
          <w:color w:val="000000" w:themeColor="text1"/>
          <w:sz w:val="16"/>
          <w:szCs w:val="16"/>
        </w:rPr>
        <w:t>)</w:t>
      </w:r>
      <w:r w:rsidR="0093343A">
        <w:rPr>
          <w:color w:val="000000" w:themeColor="text1"/>
        </w:rPr>
        <w:t xml:space="preserve"> </w:t>
      </w:r>
    </w:p>
  </w:footnote>
  <w:footnote w:id="3">
    <w:p w14:paraId="2EFA3247" w14:textId="77777777" w:rsidR="00053E99" w:rsidRDefault="00053E99">
      <w:pPr>
        <w:pStyle w:val="FootnoteText"/>
      </w:pPr>
      <w:r>
        <w:rPr>
          <w:rStyle w:val="FootnoteReference"/>
        </w:rPr>
        <w:footnoteRef/>
      </w:r>
      <w:r>
        <w:t xml:space="preserve"> Aplūkojama: (</w:t>
      </w:r>
      <w:r w:rsidRPr="00053E99">
        <w:t>https://www.em.gov.lv/lv/par_ministriju/sabiedribas_lidzdaliba/diskusiju_dokumenti/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B0B7B" w14:textId="77777777" w:rsidR="00A735A2" w:rsidRDefault="00A735A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B4395C" w14:textId="77777777" w:rsidR="00A735A2" w:rsidRDefault="00A73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C75C0" w14:textId="77777777" w:rsidR="00A735A2" w:rsidRDefault="00A735A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6C17">
      <w:rPr>
        <w:rStyle w:val="PageNumber"/>
        <w:noProof/>
      </w:rPr>
      <w:t>9</w:t>
    </w:r>
    <w:r>
      <w:rPr>
        <w:rStyle w:val="PageNumber"/>
      </w:rPr>
      <w:fldChar w:fldCharType="end"/>
    </w:r>
  </w:p>
  <w:p w14:paraId="03AE1AE6" w14:textId="77777777" w:rsidR="00A735A2" w:rsidRDefault="00A73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6141A9"/>
    <w:multiLevelType w:val="hybridMultilevel"/>
    <w:tmpl w:val="7890D29A"/>
    <w:lvl w:ilvl="0" w:tplc="81784664">
      <w:start w:val="2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FDE44A7"/>
    <w:multiLevelType w:val="hybridMultilevel"/>
    <w:tmpl w:val="8038764E"/>
    <w:lvl w:ilvl="0" w:tplc="0426000B">
      <w:start w:val="1"/>
      <w:numFmt w:val="bullet"/>
      <w:lvlText w:val=""/>
      <w:lvlJc w:val="left"/>
      <w:pPr>
        <w:ind w:left="747" w:hanging="360"/>
      </w:pPr>
      <w:rPr>
        <w:rFonts w:ascii="Wingdings" w:hAnsi="Wingdings" w:hint="default"/>
      </w:rPr>
    </w:lvl>
    <w:lvl w:ilvl="1" w:tplc="04260003" w:tentative="1">
      <w:start w:val="1"/>
      <w:numFmt w:val="bullet"/>
      <w:lvlText w:val="o"/>
      <w:lvlJc w:val="left"/>
      <w:pPr>
        <w:ind w:left="1467" w:hanging="360"/>
      </w:pPr>
      <w:rPr>
        <w:rFonts w:ascii="Courier New" w:hAnsi="Courier New" w:cs="Courier New" w:hint="default"/>
      </w:rPr>
    </w:lvl>
    <w:lvl w:ilvl="2" w:tplc="04260005" w:tentative="1">
      <w:start w:val="1"/>
      <w:numFmt w:val="bullet"/>
      <w:lvlText w:val=""/>
      <w:lvlJc w:val="left"/>
      <w:pPr>
        <w:ind w:left="2187" w:hanging="360"/>
      </w:pPr>
      <w:rPr>
        <w:rFonts w:ascii="Wingdings" w:hAnsi="Wingdings" w:hint="default"/>
      </w:rPr>
    </w:lvl>
    <w:lvl w:ilvl="3" w:tplc="04260001" w:tentative="1">
      <w:start w:val="1"/>
      <w:numFmt w:val="bullet"/>
      <w:lvlText w:val=""/>
      <w:lvlJc w:val="left"/>
      <w:pPr>
        <w:ind w:left="2907" w:hanging="360"/>
      </w:pPr>
      <w:rPr>
        <w:rFonts w:ascii="Symbol" w:hAnsi="Symbol" w:hint="default"/>
      </w:rPr>
    </w:lvl>
    <w:lvl w:ilvl="4" w:tplc="04260003" w:tentative="1">
      <w:start w:val="1"/>
      <w:numFmt w:val="bullet"/>
      <w:lvlText w:val="o"/>
      <w:lvlJc w:val="left"/>
      <w:pPr>
        <w:ind w:left="3627" w:hanging="360"/>
      </w:pPr>
      <w:rPr>
        <w:rFonts w:ascii="Courier New" w:hAnsi="Courier New" w:cs="Courier New" w:hint="default"/>
      </w:rPr>
    </w:lvl>
    <w:lvl w:ilvl="5" w:tplc="04260005" w:tentative="1">
      <w:start w:val="1"/>
      <w:numFmt w:val="bullet"/>
      <w:lvlText w:val=""/>
      <w:lvlJc w:val="left"/>
      <w:pPr>
        <w:ind w:left="4347" w:hanging="360"/>
      </w:pPr>
      <w:rPr>
        <w:rFonts w:ascii="Wingdings" w:hAnsi="Wingdings" w:hint="default"/>
      </w:rPr>
    </w:lvl>
    <w:lvl w:ilvl="6" w:tplc="04260001" w:tentative="1">
      <w:start w:val="1"/>
      <w:numFmt w:val="bullet"/>
      <w:lvlText w:val=""/>
      <w:lvlJc w:val="left"/>
      <w:pPr>
        <w:ind w:left="5067" w:hanging="360"/>
      </w:pPr>
      <w:rPr>
        <w:rFonts w:ascii="Symbol" w:hAnsi="Symbol" w:hint="default"/>
      </w:rPr>
    </w:lvl>
    <w:lvl w:ilvl="7" w:tplc="04260003" w:tentative="1">
      <w:start w:val="1"/>
      <w:numFmt w:val="bullet"/>
      <w:lvlText w:val="o"/>
      <w:lvlJc w:val="left"/>
      <w:pPr>
        <w:ind w:left="5787" w:hanging="360"/>
      </w:pPr>
      <w:rPr>
        <w:rFonts w:ascii="Courier New" w:hAnsi="Courier New" w:cs="Courier New" w:hint="default"/>
      </w:rPr>
    </w:lvl>
    <w:lvl w:ilvl="8" w:tplc="04260005" w:tentative="1">
      <w:start w:val="1"/>
      <w:numFmt w:val="bullet"/>
      <w:lvlText w:val=""/>
      <w:lvlJc w:val="left"/>
      <w:pPr>
        <w:ind w:left="6507" w:hanging="360"/>
      </w:pPr>
      <w:rPr>
        <w:rFonts w:ascii="Wingdings" w:hAnsi="Wingdings" w:hint="default"/>
      </w:rPr>
    </w:lvl>
  </w:abstractNum>
  <w:abstractNum w:abstractNumId="6" w15:restartNumberingAfterBreak="0">
    <w:nsid w:val="23331831"/>
    <w:multiLevelType w:val="hybridMultilevel"/>
    <w:tmpl w:val="B3F69290"/>
    <w:lvl w:ilvl="0" w:tplc="1F54439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3288429E"/>
    <w:multiLevelType w:val="hybridMultilevel"/>
    <w:tmpl w:val="FAF4007A"/>
    <w:lvl w:ilvl="0" w:tplc="D37E2D3E">
      <w:start w:val="9"/>
      <w:numFmt w:val="bullet"/>
      <w:lvlText w:val="-"/>
      <w:lvlJc w:val="left"/>
      <w:pPr>
        <w:ind w:left="701" w:hanging="3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9" w15:restartNumberingAfterBreak="0">
    <w:nsid w:val="3CB7017B"/>
    <w:multiLevelType w:val="hybridMultilevel"/>
    <w:tmpl w:val="0F9E85D2"/>
    <w:lvl w:ilvl="0" w:tplc="B59824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209115C"/>
    <w:multiLevelType w:val="hybridMultilevel"/>
    <w:tmpl w:val="4202A2F8"/>
    <w:lvl w:ilvl="0" w:tplc="82965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2B2693E"/>
    <w:multiLevelType w:val="hybridMultilevel"/>
    <w:tmpl w:val="6FC455AC"/>
    <w:lvl w:ilvl="0" w:tplc="42562AB2">
      <w:numFmt w:val="bullet"/>
      <w:lvlText w:val="-"/>
      <w:lvlJc w:val="left"/>
      <w:pPr>
        <w:ind w:left="701" w:hanging="3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12" w15:restartNumberingAfterBreak="0">
    <w:nsid w:val="45947D18"/>
    <w:multiLevelType w:val="hybridMultilevel"/>
    <w:tmpl w:val="2438C2FA"/>
    <w:lvl w:ilvl="0" w:tplc="0630B5BA">
      <w:numFmt w:val="bullet"/>
      <w:lvlText w:val="-"/>
      <w:lvlJc w:val="left"/>
      <w:pPr>
        <w:ind w:left="467" w:hanging="360"/>
      </w:pPr>
      <w:rPr>
        <w:rFonts w:ascii="Times New Roman" w:eastAsia="Times New Roman" w:hAnsi="Times New Roman" w:cs="Times New Roman" w:hint="default"/>
      </w:rPr>
    </w:lvl>
    <w:lvl w:ilvl="1" w:tplc="04260003" w:tentative="1">
      <w:start w:val="1"/>
      <w:numFmt w:val="bullet"/>
      <w:lvlText w:val="o"/>
      <w:lvlJc w:val="left"/>
      <w:pPr>
        <w:ind w:left="1187" w:hanging="360"/>
      </w:pPr>
      <w:rPr>
        <w:rFonts w:ascii="Courier New" w:hAnsi="Courier New" w:cs="Courier New" w:hint="default"/>
      </w:rPr>
    </w:lvl>
    <w:lvl w:ilvl="2" w:tplc="04260005" w:tentative="1">
      <w:start w:val="1"/>
      <w:numFmt w:val="bullet"/>
      <w:lvlText w:val=""/>
      <w:lvlJc w:val="left"/>
      <w:pPr>
        <w:ind w:left="1907" w:hanging="360"/>
      </w:pPr>
      <w:rPr>
        <w:rFonts w:ascii="Wingdings" w:hAnsi="Wingdings" w:hint="default"/>
      </w:rPr>
    </w:lvl>
    <w:lvl w:ilvl="3" w:tplc="04260001" w:tentative="1">
      <w:start w:val="1"/>
      <w:numFmt w:val="bullet"/>
      <w:lvlText w:val=""/>
      <w:lvlJc w:val="left"/>
      <w:pPr>
        <w:ind w:left="2627" w:hanging="360"/>
      </w:pPr>
      <w:rPr>
        <w:rFonts w:ascii="Symbol" w:hAnsi="Symbol" w:hint="default"/>
      </w:rPr>
    </w:lvl>
    <w:lvl w:ilvl="4" w:tplc="04260003" w:tentative="1">
      <w:start w:val="1"/>
      <w:numFmt w:val="bullet"/>
      <w:lvlText w:val="o"/>
      <w:lvlJc w:val="left"/>
      <w:pPr>
        <w:ind w:left="3347" w:hanging="360"/>
      </w:pPr>
      <w:rPr>
        <w:rFonts w:ascii="Courier New" w:hAnsi="Courier New" w:cs="Courier New" w:hint="default"/>
      </w:rPr>
    </w:lvl>
    <w:lvl w:ilvl="5" w:tplc="04260005" w:tentative="1">
      <w:start w:val="1"/>
      <w:numFmt w:val="bullet"/>
      <w:lvlText w:val=""/>
      <w:lvlJc w:val="left"/>
      <w:pPr>
        <w:ind w:left="4067" w:hanging="360"/>
      </w:pPr>
      <w:rPr>
        <w:rFonts w:ascii="Wingdings" w:hAnsi="Wingdings" w:hint="default"/>
      </w:rPr>
    </w:lvl>
    <w:lvl w:ilvl="6" w:tplc="04260001" w:tentative="1">
      <w:start w:val="1"/>
      <w:numFmt w:val="bullet"/>
      <w:lvlText w:val=""/>
      <w:lvlJc w:val="left"/>
      <w:pPr>
        <w:ind w:left="4787" w:hanging="360"/>
      </w:pPr>
      <w:rPr>
        <w:rFonts w:ascii="Symbol" w:hAnsi="Symbol" w:hint="default"/>
      </w:rPr>
    </w:lvl>
    <w:lvl w:ilvl="7" w:tplc="04260003" w:tentative="1">
      <w:start w:val="1"/>
      <w:numFmt w:val="bullet"/>
      <w:lvlText w:val="o"/>
      <w:lvlJc w:val="left"/>
      <w:pPr>
        <w:ind w:left="5507" w:hanging="360"/>
      </w:pPr>
      <w:rPr>
        <w:rFonts w:ascii="Courier New" w:hAnsi="Courier New" w:cs="Courier New" w:hint="default"/>
      </w:rPr>
    </w:lvl>
    <w:lvl w:ilvl="8" w:tplc="04260005" w:tentative="1">
      <w:start w:val="1"/>
      <w:numFmt w:val="bullet"/>
      <w:lvlText w:val=""/>
      <w:lvlJc w:val="left"/>
      <w:pPr>
        <w:ind w:left="6227" w:hanging="360"/>
      </w:pPr>
      <w:rPr>
        <w:rFonts w:ascii="Wingdings" w:hAnsi="Wingdings" w:hint="default"/>
      </w:rPr>
    </w:lvl>
  </w:abstractNum>
  <w:abstractNum w:abstractNumId="13"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06D13D9"/>
    <w:multiLevelType w:val="hybridMultilevel"/>
    <w:tmpl w:val="5C9C32C8"/>
    <w:lvl w:ilvl="0" w:tplc="F7D0733C">
      <w:numFmt w:val="bullet"/>
      <w:lvlText w:val="-"/>
      <w:lvlJc w:val="left"/>
      <w:pPr>
        <w:ind w:left="720" w:hanging="360"/>
      </w:pPr>
      <w:rPr>
        <w:rFonts w:ascii="Calibri" w:eastAsiaTheme="minorHAnsi" w:hAnsi="Calibri" w:cs="Consola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4EC72BC"/>
    <w:multiLevelType w:val="hybridMultilevel"/>
    <w:tmpl w:val="B51C6884"/>
    <w:lvl w:ilvl="0" w:tplc="4888DC16">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A982878"/>
    <w:multiLevelType w:val="hybridMultilevel"/>
    <w:tmpl w:val="E10E997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7DA914A5"/>
    <w:multiLevelType w:val="hybridMultilevel"/>
    <w:tmpl w:val="F384A516"/>
    <w:lvl w:ilvl="0" w:tplc="F004688A">
      <w:start w:val="1"/>
      <w:numFmt w:val="decimal"/>
      <w:lvlText w:val="%1."/>
      <w:lvlJc w:val="left"/>
      <w:pPr>
        <w:ind w:left="720" w:hanging="360"/>
      </w:pPr>
      <w:rPr>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0"/>
  </w:num>
  <w:num w:numId="3">
    <w:abstractNumId w:val="4"/>
  </w:num>
  <w:num w:numId="4">
    <w:abstractNumId w:val="2"/>
  </w:num>
  <w:num w:numId="5">
    <w:abstractNumId w:val="0"/>
  </w:num>
  <w:num w:numId="6">
    <w:abstractNumId w:val="16"/>
  </w:num>
  <w:num w:numId="7">
    <w:abstractNumId w:val="21"/>
  </w:num>
  <w:num w:numId="8">
    <w:abstractNumId w:val="13"/>
  </w:num>
  <w:num w:numId="9">
    <w:abstractNumId w:val="3"/>
  </w:num>
  <w:num w:numId="10">
    <w:abstractNumId w:val="14"/>
  </w:num>
  <w:num w:numId="11">
    <w:abstractNumId w:val="15"/>
  </w:num>
  <w:num w:numId="12">
    <w:abstractNumId w:val="17"/>
  </w:num>
  <w:num w:numId="13">
    <w:abstractNumId w:val="18"/>
  </w:num>
  <w:num w:numId="14">
    <w:abstractNumId w:val="6"/>
  </w:num>
  <w:num w:numId="15">
    <w:abstractNumId w:val="10"/>
  </w:num>
  <w:num w:numId="16">
    <w:abstractNumId w:val="8"/>
  </w:num>
  <w:num w:numId="17">
    <w:abstractNumId w:val="11"/>
  </w:num>
  <w:num w:numId="18">
    <w:abstractNumId w:val="12"/>
  </w:num>
  <w:num w:numId="19">
    <w:abstractNumId w:val="1"/>
  </w:num>
  <w:num w:numId="20">
    <w:abstractNumId w:val="22"/>
  </w:num>
  <w:num w:numId="21">
    <w:abstractNumId w:val="24"/>
  </w:num>
  <w:num w:numId="22">
    <w:abstractNumId w:val="19"/>
  </w:num>
  <w:num w:numId="23">
    <w:abstractNumId w:val="9"/>
  </w:num>
  <w:num w:numId="24">
    <w:abstractNumId w:val="2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B59"/>
    <w:rsid w:val="00004959"/>
    <w:rsid w:val="00004BA5"/>
    <w:rsid w:val="00007A3D"/>
    <w:rsid w:val="00007C62"/>
    <w:rsid w:val="00011D24"/>
    <w:rsid w:val="00012BB8"/>
    <w:rsid w:val="00013FF4"/>
    <w:rsid w:val="00015973"/>
    <w:rsid w:val="00020423"/>
    <w:rsid w:val="00020FE1"/>
    <w:rsid w:val="00022E13"/>
    <w:rsid w:val="00023E7C"/>
    <w:rsid w:val="0003048F"/>
    <w:rsid w:val="000312DB"/>
    <w:rsid w:val="00032388"/>
    <w:rsid w:val="00033427"/>
    <w:rsid w:val="0003379D"/>
    <w:rsid w:val="00035CE2"/>
    <w:rsid w:val="00042899"/>
    <w:rsid w:val="00042D0E"/>
    <w:rsid w:val="00045178"/>
    <w:rsid w:val="0004699E"/>
    <w:rsid w:val="00053445"/>
    <w:rsid w:val="00053E99"/>
    <w:rsid w:val="00054A3F"/>
    <w:rsid w:val="0005553B"/>
    <w:rsid w:val="00056ED2"/>
    <w:rsid w:val="0005711F"/>
    <w:rsid w:val="000604D2"/>
    <w:rsid w:val="00061138"/>
    <w:rsid w:val="000618BB"/>
    <w:rsid w:val="00061C83"/>
    <w:rsid w:val="00067B8A"/>
    <w:rsid w:val="000701A4"/>
    <w:rsid w:val="000704C8"/>
    <w:rsid w:val="00084F2F"/>
    <w:rsid w:val="0008764A"/>
    <w:rsid w:val="0009005E"/>
    <w:rsid w:val="00091985"/>
    <w:rsid w:val="000941C5"/>
    <w:rsid w:val="000952B5"/>
    <w:rsid w:val="00096A3E"/>
    <w:rsid w:val="000A2CD9"/>
    <w:rsid w:val="000A4B98"/>
    <w:rsid w:val="000A5505"/>
    <w:rsid w:val="000A5A22"/>
    <w:rsid w:val="000A624C"/>
    <w:rsid w:val="000A6451"/>
    <w:rsid w:val="000B038C"/>
    <w:rsid w:val="000B064E"/>
    <w:rsid w:val="000B0DBC"/>
    <w:rsid w:val="000B1D4D"/>
    <w:rsid w:val="000B22CF"/>
    <w:rsid w:val="000B2EDC"/>
    <w:rsid w:val="000B4A0E"/>
    <w:rsid w:val="000B4C1E"/>
    <w:rsid w:val="000B617F"/>
    <w:rsid w:val="000B65B3"/>
    <w:rsid w:val="000B69CF"/>
    <w:rsid w:val="000C357E"/>
    <w:rsid w:val="000C4249"/>
    <w:rsid w:val="000C4941"/>
    <w:rsid w:val="000C7730"/>
    <w:rsid w:val="000C790C"/>
    <w:rsid w:val="000D1338"/>
    <w:rsid w:val="000D1C54"/>
    <w:rsid w:val="000D46AA"/>
    <w:rsid w:val="000D5B55"/>
    <w:rsid w:val="000D6BAF"/>
    <w:rsid w:val="000E1C39"/>
    <w:rsid w:val="000E21B9"/>
    <w:rsid w:val="000F061D"/>
    <w:rsid w:val="000F0E60"/>
    <w:rsid w:val="000F4794"/>
    <w:rsid w:val="000F4870"/>
    <w:rsid w:val="000F4A9C"/>
    <w:rsid w:val="000F5697"/>
    <w:rsid w:val="000F6162"/>
    <w:rsid w:val="00100CB1"/>
    <w:rsid w:val="00102A15"/>
    <w:rsid w:val="00106417"/>
    <w:rsid w:val="0011244A"/>
    <w:rsid w:val="00113F3B"/>
    <w:rsid w:val="0011461E"/>
    <w:rsid w:val="001152DB"/>
    <w:rsid w:val="00120766"/>
    <w:rsid w:val="00124ADC"/>
    <w:rsid w:val="00124F12"/>
    <w:rsid w:val="001261F5"/>
    <w:rsid w:val="00126A07"/>
    <w:rsid w:val="001278E9"/>
    <w:rsid w:val="0013160C"/>
    <w:rsid w:val="001320CE"/>
    <w:rsid w:val="001334C0"/>
    <w:rsid w:val="001373CC"/>
    <w:rsid w:val="00137D89"/>
    <w:rsid w:val="00141136"/>
    <w:rsid w:val="00142CB5"/>
    <w:rsid w:val="00144005"/>
    <w:rsid w:val="00144E3A"/>
    <w:rsid w:val="00146E24"/>
    <w:rsid w:val="0014765B"/>
    <w:rsid w:val="0015060C"/>
    <w:rsid w:val="00155AE8"/>
    <w:rsid w:val="0016018A"/>
    <w:rsid w:val="00161B0C"/>
    <w:rsid w:val="00161F0E"/>
    <w:rsid w:val="001627FF"/>
    <w:rsid w:val="00162D29"/>
    <w:rsid w:val="0016588C"/>
    <w:rsid w:val="001671F2"/>
    <w:rsid w:val="00170E2A"/>
    <w:rsid w:val="0017683A"/>
    <w:rsid w:val="00177394"/>
    <w:rsid w:val="00177CF1"/>
    <w:rsid w:val="001803AF"/>
    <w:rsid w:val="001813F5"/>
    <w:rsid w:val="00181F05"/>
    <w:rsid w:val="00182C18"/>
    <w:rsid w:val="0018387B"/>
    <w:rsid w:val="00183CC2"/>
    <w:rsid w:val="0018489C"/>
    <w:rsid w:val="001860E1"/>
    <w:rsid w:val="00187E9D"/>
    <w:rsid w:val="001900E4"/>
    <w:rsid w:val="00190F88"/>
    <w:rsid w:val="00193E45"/>
    <w:rsid w:val="00195D64"/>
    <w:rsid w:val="001A3F49"/>
    <w:rsid w:val="001A4066"/>
    <w:rsid w:val="001A4B82"/>
    <w:rsid w:val="001A6AE4"/>
    <w:rsid w:val="001A6B67"/>
    <w:rsid w:val="001A6FAE"/>
    <w:rsid w:val="001A7431"/>
    <w:rsid w:val="001B01FD"/>
    <w:rsid w:val="001B101F"/>
    <w:rsid w:val="001B20D9"/>
    <w:rsid w:val="001B2E01"/>
    <w:rsid w:val="001B31BD"/>
    <w:rsid w:val="001B4A71"/>
    <w:rsid w:val="001B6AB3"/>
    <w:rsid w:val="001B6DEF"/>
    <w:rsid w:val="001B75E2"/>
    <w:rsid w:val="001C25F1"/>
    <w:rsid w:val="001C4C84"/>
    <w:rsid w:val="001C74CD"/>
    <w:rsid w:val="001D05D6"/>
    <w:rsid w:val="001D0A1B"/>
    <w:rsid w:val="001D3AE6"/>
    <w:rsid w:val="001D5B54"/>
    <w:rsid w:val="001D7368"/>
    <w:rsid w:val="001E08CD"/>
    <w:rsid w:val="001E1DBF"/>
    <w:rsid w:val="001E3136"/>
    <w:rsid w:val="001E4639"/>
    <w:rsid w:val="001E4A7D"/>
    <w:rsid w:val="001E4D48"/>
    <w:rsid w:val="001E5B05"/>
    <w:rsid w:val="001F0085"/>
    <w:rsid w:val="001F2FA4"/>
    <w:rsid w:val="001F3263"/>
    <w:rsid w:val="001F43A8"/>
    <w:rsid w:val="001F5B7B"/>
    <w:rsid w:val="001F5CD6"/>
    <w:rsid w:val="001F7C6E"/>
    <w:rsid w:val="002059BF"/>
    <w:rsid w:val="00206A35"/>
    <w:rsid w:val="0021263D"/>
    <w:rsid w:val="002129DF"/>
    <w:rsid w:val="00213F0C"/>
    <w:rsid w:val="00214094"/>
    <w:rsid w:val="00215121"/>
    <w:rsid w:val="0021592D"/>
    <w:rsid w:val="00222D76"/>
    <w:rsid w:val="00223EB1"/>
    <w:rsid w:val="00225DA2"/>
    <w:rsid w:val="0022770D"/>
    <w:rsid w:val="00230647"/>
    <w:rsid w:val="00231344"/>
    <w:rsid w:val="00231365"/>
    <w:rsid w:val="00231B20"/>
    <w:rsid w:val="00231CAE"/>
    <w:rsid w:val="0023436E"/>
    <w:rsid w:val="0023442F"/>
    <w:rsid w:val="002347C0"/>
    <w:rsid w:val="00235A8B"/>
    <w:rsid w:val="0024130C"/>
    <w:rsid w:val="00241A6C"/>
    <w:rsid w:val="00242135"/>
    <w:rsid w:val="00242A6C"/>
    <w:rsid w:val="00242D2B"/>
    <w:rsid w:val="00244474"/>
    <w:rsid w:val="00250A0F"/>
    <w:rsid w:val="002512DC"/>
    <w:rsid w:val="002579EE"/>
    <w:rsid w:val="00257FDB"/>
    <w:rsid w:val="00261E2B"/>
    <w:rsid w:val="002621B9"/>
    <w:rsid w:val="00262E2B"/>
    <w:rsid w:val="00265F0D"/>
    <w:rsid w:val="00270429"/>
    <w:rsid w:val="002709C6"/>
    <w:rsid w:val="0027214E"/>
    <w:rsid w:val="002721B6"/>
    <w:rsid w:val="002723E9"/>
    <w:rsid w:val="002768D9"/>
    <w:rsid w:val="00277929"/>
    <w:rsid w:val="00280D1A"/>
    <w:rsid w:val="00281FC1"/>
    <w:rsid w:val="00283B82"/>
    <w:rsid w:val="002846E9"/>
    <w:rsid w:val="00284C34"/>
    <w:rsid w:val="00286309"/>
    <w:rsid w:val="00287E5B"/>
    <w:rsid w:val="00290056"/>
    <w:rsid w:val="0029066C"/>
    <w:rsid w:val="00291645"/>
    <w:rsid w:val="00297520"/>
    <w:rsid w:val="00297D6E"/>
    <w:rsid w:val="002A1535"/>
    <w:rsid w:val="002A40B6"/>
    <w:rsid w:val="002A61C9"/>
    <w:rsid w:val="002A777D"/>
    <w:rsid w:val="002B3869"/>
    <w:rsid w:val="002B50DB"/>
    <w:rsid w:val="002B6777"/>
    <w:rsid w:val="002C12AB"/>
    <w:rsid w:val="002C1A7A"/>
    <w:rsid w:val="002C7CAC"/>
    <w:rsid w:val="002D3306"/>
    <w:rsid w:val="002D3EAC"/>
    <w:rsid w:val="002D473F"/>
    <w:rsid w:val="002D48AA"/>
    <w:rsid w:val="002D7BAA"/>
    <w:rsid w:val="002D7F54"/>
    <w:rsid w:val="002E0E16"/>
    <w:rsid w:val="002E2D9B"/>
    <w:rsid w:val="002E3013"/>
    <w:rsid w:val="002E3FF4"/>
    <w:rsid w:val="002E4FFE"/>
    <w:rsid w:val="002E6C58"/>
    <w:rsid w:val="002E7BCC"/>
    <w:rsid w:val="002E7C6E"/>
    <w:rsid w:val="002F3BB7"/>
    <w:rsid w:val="002F3CD8"/>
    <w:rsid w:val="002F54BD"/>
    <w:rsid w:val="002F57C3"/>
    <w:rsid w:val="002F6B1E"/>
    <w:rsid w:val="002F78C8"/>
    <w:rsid w:val="00301CF3"/>
    <w:rsid w:val="00301D2B"/>
    <w:rsid w:val="003078E4"/>
    <w:rsid w:val="003101A7"/>
    <w:rsid w:val="00312F59"/>
    <w:rsid w:val="00313560"/>
    <w:rsid w:val="00313AD1"/>
    <w:rsid w:val="00314C96"/>
    <w:rsid w:val="0031774C"/>
    <w:rsid w:val="0032226E"/>
    <w:rsid w:val="0032333B"/>
    <w:rsid w:val="003260A8"/>
    <w:rsid w:val="0032711D"/>
    <w:rsid w:val="0032715C"/>
    <w:rsid w:val="003307B1"/>
    <w:rsid w:val="00331E2B"/>
    <w:rsid w:val="00335CF7"/>
    <w:rsid w:val="003361C4"/>
    <w:rsid w:val="00337CA5"/>
    <w:rsid w:val="00337CF8"/>
    <w:rsid w:val="003416C7"/>
    <w:rsid w:val="00343716"/>
    <w:rsid w:val="003439D8"/>
    <w:rsid w:val="003444D1"/>
    <w:rsid w:val="0034475A"/>
    <w:rsid w:val="0034495D"/>
    <w:rsid w:val="0035094D"/>
    <w:rsid w:val="00362478"/>
    <w:rsid w:val="003642C0"/>
    <w:rsid w:val="00365984"/>
    <w:rsid w:val="00373439"/>
    <w:rsid w:val="0037481A"/>
    <w:rsid w:val="00375B25"/>
    <w:rsid w:val="00384BFF"/>
    <w:rsid w:val="0039028B"/>
    <w:rsid w:val="003904F9"/>
    <w:rsid w:val="00396542"/>
    <w:rsid w:val="0039685B"/>
    <w:rsid w:val="003A0A64"/>
    <w:rsid w:val="003A12AD"/>
    <w:rsid w:val="003A2073"/>
    <w:rsid w:val="003A31A6"/>
    <w:rsid w:val="003A60BD"/>
    <w:rsid w:val="003A7F0C"/>
    <w:rsid w:val="003A7F79"/>
    <w:rsid w:val="003B0CF3"/>
    <w:rsid w:val="003B2B58"/>
    <w:rsid w:val="003B37A7"/>
    <w:rsid w:val="003B6404"/>
    <w:rsid w:val="003B6ED2"/>
    <w:rsid w:val="003B7AC3"/>
    <w:rsid w:val="003C0BD6"/>
    <w:rsid w:val="003C3BAB"/>
    <w:rsid w:val="003C449B"/>
    <w:rsid w:val="003C52F2"/>
    <w:rsid w:val="003C6BD8"/>
    <w:rsid w:val="003D16D6"/>
    <w:rsid w:val="003D21FF"/>
    <w:rsid w:val="003D5E4F"/>
    <w:rsid w:val="003E30FB"/>
    <w:rsid w:val="003E3C4B"/>
    <w:rsid w:val="003E44C9"/>
    <w:rsid w:val="003E5FFB"/>
    <w:rsid w:val="003E63A7"/>
    <w:rsid w:val="003F0112"/>
    <w:rsid w:val="003F071A"/>
    <w:rsid w:val="003F0B3D"/>
    <w:rsid w:val="003F160B"/>
    <w:rsid w:val="003F230C"/>
    <w:rsid w:val="003F2D9D"/>
    <w:rsid w:val="003F5747"/>
    <w:rsid w:val="003F659B"/>
    <w:rsid w:val="00400032"/>
    <w:rsid w:val="004009B5"/>
    <w:rsid w:val="00400B5B"/>
    <w:rsid w:val="00400F32"/>
    <w:rsid w:val="0040443C"/>
    <w:rsid w:val="00404B62"/>
    <w:rsid w:val="00404F48"/>
    <w:rsid w:val="004053FE"/>
    <w:rsid w:val="00405A00"/>
    <w:rsid w:val="0040629F"/>
    <w:rsid w:val="00407529"/>
    <w:rsid w:val="0041278A"/>
    <w:rsid w:val="004127A9"/>
    <w:rsid w:val="00414DB2"/>
    <w:rsid w:val="00420870"/>
    <w:rsid w:val="00420876"/>
    <w:rsid w:val="00426880"/>
    <w:rsid w:val="00426C37"/>
    <w:rsid w:val="0043016A"/>
    <w:rsid w:val="0043240D"/>
    <w:rsid w:val="004367EE"/>
    <w:rsid w:val="00437385"/>
    <w:rsid w:val="0043791B"/>
    <w:rsid w:val="00440EBA"/>
    <w:rsid w:val="00441483"/>
    <w:rsid w:val="00441BCB"/>
    <w:rsid w:val="00441C28"/>
    <w:rsid w:val="00442124"/>
    <w:rsid w:val="004427D6"/>
    <w:rsid w:val="00443978"/>
    <w:rsid w:val="00445273"/>
    <w:rsid w:val="0045176A"/>
    <w:rsid w:val="00451F65"/>
    <w:rsid w:val="00452DE3"/>
    <w:rsid w:val="00456332"/>
    <w:rsid w:val="00461826"/>
    <w:rsid w:val="004624A3"/>
    <w:rsid w:val="004636C4"/>
    <w:rsid w:val="00466838"/>
    <w:rsid w:val="00470164"/>
    <w:rsid w:val="004746C8"/>
    <w:rsid w:val="00475203"/>
    <w:rsid w:val="00476B6F"/>
    <w:rsid w:val="004772F7"/>
    <w:rsid w:val="004800F9"/>
    <w:rsid w:val="004802BA"/>
    <w:rsid w:val="00485BB5"/>
    <w:rsid w:val="00487B0A"/>
    <w:rsid w:val="00487FED"/>
    <w:rsid w:val="0049065F"/>
    <w:rsid w:val="004910D1"/>
    <w:rsid w:val="0049134A"/>
    <w:rsid w:val="00491A89"/>
    <w:rsid w:val="004940BA"/>
    <w:rsid w:val="004942F6"/>
    <w:rsid w:val="004A1917"/>
    <w:rsid w:val="004A1B92"/>
    <w:rsid w:val="004A26E4"/>
    <w:rsid w:val="004A4845"/>
    <w:rsid w:val="004A58CB"/>
    <w:rsid w:val="004B1795"/>
    <w:rsid w:val="004B3D2B"/>
    <w:rsid w:val="004B56DD"/>
    <w:rsid w:val="004B6C7E"/>
    <w:rsid w:val="004C020F"/>
    <w:rsid w:val="004C1AFD"/>
    <w:rsid w:val="004C558B"/>
    <w:rsid w:val="004C58AF"/>
    <w:rsid w:val="004D016C"/>
    <w:rsid w:val="004D33E5"/>
    <w:rsid w:val="004D618C"/>
    <w:rsid w:val="004D623F"/>
    <w:rsid w:val="004D7A1E"/>
    <w:rsid w:val="004E0CF3"/>
    <w:rsid w:val="004E31E0"/>
    <w:rsid w:val="004E3748"/>
    <w:rsid w:val="004E3968"/>
    <w:rsid w:val="004F16ED"/>
    <w:rsid w:val="004F1CE8"/>
    <w:rsid w:val="004F1F88"/>
    <w:rsid w:val="004F3414"/>
    <w:rsid w:val="004F5F1B"/>
    <w:rsid w:val="00502374"/>
    <w:rsid w:val="0050594A"/>
    <w:rsid w:val="00505A52"/>
    <w:rsid w:val="005060A1"/>
    <w:rsid w:val="005101C8"/>
    <w:rsid w:val="00514C7E"/>
    <w:rsid w:val="005152C1"/>
    <w:rsid w:val="00516072"/>
    <w:rsid w:val="00516697"/>
    <w:rsid w:val="00521535"/>
    <w:rsid w:val="00527C93"/>
    <w:rsid w:val="00530686"/>
    <w:rsid w:val="00532411"/>
    <w:rsid w:val="0053284D"/>
    <w:rsid w:val="005331BA"/>
    <w:rsid w:val="005332EC"/>
    <w:rsid w:val="00534418"/>
    <w:rsid w:val="00534F05"/>
    <w:rsid w:val="005353AB"/>
    <w:rsid w:val="00537C87"/>
    <w:rsid w:val="0054236A"/>
    <w:rsid w:val="00544CC2"/>
    <w:rsid w:val="00545943"/>
    <w:rsid w:val="005477F7"/>
    <w:rsid w:val="00550853"/>
    <w:rsid w:val="00551541"/>
    <w:rsid w:val="00552DDA"/>
    <w:rsid w:val="00553017"/>
    <w:rsid w:val="005560BC"/>
    <w:rsid w:val="005573BE"/>
    <w:rsid w:val="00560E2F"/>
    <w:rsid w:val="005610E2"/>
    <w:rsid w:val="00561A37"/>
    <w:rsid w:val="005641E4"/>
    <w:rsid w:val="00564641"/>
    <w:rsid w:val="00567A16"/>
    <w:rsid w:val="00570AA6"/>
    <w:rsid w:val="00572700"/>
    <w:rsid w:val="00572A7A"/>
    <w:rsid w:val="00573E98"/>
    <w:rsid w:val="00575FBA"/>
    <w:rsid w:val="00580468"/>
    <w:rsid w:val="00580FB7"/>
    <w:rsid w:val="0058603B"/>
    <w:rsid w:val="00587B9C"/>
    <w:rsid w:val="0059390D"/>
    <w:rsid w:val="0059431B"/>
    <w:rsid w:val="005947E4"/>
    <w:rsid w:val="00596363"/>
    <w:rsid w:val="005A086D"/>
    <w:rsid w:val="005A39CC"/>
    <w:rsid w:val="005A6D78"/>
    <w:rsid w:val="005A7FB1"/>
    <w:rsid w:val="005B017F"/>
    <w:rsid w:val="005B3373"/>
    <w:rsid w:val="005B4730"/>
    <w:rsid w:val="005C23A4"/>
    <w:rsid w:val="005D0E10"/>
    <w:rsid w:val="005D2968"/>
    <w:rsid w:val="005E0222"/>
    <w:rsid w:val="005E05D7"/>
    <w:rsid w:val="005E0E6E"/>
    <w:rsid w:val="005E1EE5"/>
    <w:rsid w:val="005E41E7"/>
    <w:rsid w:val="005E450F"/>
    <w:rsid w:val="005E7D3F"/>
    <w:rsid w:val="005F4699"/>
    <w:rsid w:val="005F5D61"/>
    <w:rsid w:val="005F5E2C"/>
    <w:rsid w:val="005F5F55"/>
    <w:rsid w:val="00601B5E"/>
    <w:rsid w:val="00602432"/>
    <w:rsid w:val="00604166"/>
    <w:rsid w:val="00605E8E"/>
    <w:rsid w:val="00612F7F"/>
    <w:rsid w:val="00613760"/>
    <w:rsid w:val="00616859"/>
    <w:rsid w:val="00620F03"/>
    <w:rsid w:val="00622790"/>
    <w:rsid w:val="0062298A"/>
    <w:rsid w:val="00623F65"/>
    <w:rsid w:val="00624ED5"/>
    <w:rsid w:val="0062512B"/>
    <w:rsid w:val="006264EF"/>
    <w:rsid w:val="00626514"/>
    <w:rsid w:val="00626589"/>
    <w:rsid w:val="0062761F"/>
    <w:rsid w:val="00630EC3"/>
    <w:rsid w:val="006339A0"/>
    <w:rsid w:val="006343A4"/>
    <w:rsid w:val="00636F59"/>
    <w:rsid w:val="006413A8"/>
    <w:rsid w:val="0064293B"/>
    <w:rsid w:val="00642E56"/>
    <w:rsid w:val="00644331"/>
    <w:rsid w:val="006444E4"/>
    <w:rsid w:val="006446A4"/>
    <w:rsid w:val="00645D64"/>
    <w:rsid w:val="00651E00"/>
    <w:rsid w:val="00652825"/>
    <w:rsid w:val="006570D6"/>
    <w:rsid w:val="00660DE1"/>
    <w:rsid w:val="00662151"/>
    <w:rsid w:val="006624F1"/>
    <w:rsid w:val="00662EE9"/>
    <w:rsid w:val="00664750"/>
    <w:rsid w:val="006648BB"/>
    <w:rsid w:val="00666AC0"/>
    <w:rsid w:val="00666B88"/>
    <w:rsid w:val="00667FE4"/>
    <w:rsid w:val="00674572"/>
    <w:rsid w:val="00674F6D"/>
    <w:rsid w:val="00684D07"/>
    <w:rsid w:val="006863CD"/>
    <w:rsid w:val="00686A22"/>
    <w:rsid w:val="00687763"/>
    <w:rsid w:val="00690E61"/>
    <w:rsid w:val="006911BF"/>
    <w:rsid w:val="006915DA"/>
    <w:rsid w:val="00691C30"/>
    <w:rsid w:val="00692B0D"/>
    <w:rsid w:val="00692DBC"/>
    <w:rsid w:val="00693E0E"/>
    <w:rsid w:val="00696F5F"/>
    <w:rsid w:val="006A0A17"/>
    <w:rsid w:val="006A1AE3"/>
    <w:rsid w:val="006A27A9"/>
    <w:rsid w:val="006B101E"/>
    <w:rsid w:val="006B2F2A"/>
    <w:rsid w:val="006B7689"/>
    <w:rsid w:val="006B7C94"/>
    <w:rsid w:val="006C2A82"/>
    <w:rsid w:val="006C2C96"/>
    <w:rsid w:val="006C30E1"/>
    <w:rsid w:val="006C391E"/>
    <w:rsid w:val="006C4607"/>
    <w:rsid w:val="006C4D33"/>
    <w:rsid w:val="006C6F53"/>
    <w:rsid w:val="006C7451"/>
    <w:rsid w:val="006C7561"/>
    <w:rsid w:val="006D0FF9"/>
    <w:rsid w:val="006D1F55"/>
    <w:rsid w:val="006D48F1"/>
    <w:rsid w:val="006D5702"/>
    <w:rsid w:val="006E11CB"/>
    <w:rsid w:val="006E1380"/>
    <w:rsid w:val="006E25D2"/>
    <w:rsid w:val="006E28C3"/>
    <w:rsid w:val="006E2CA1"/>
    <w:rsid w:val="006E2DF2"/>
    <w:rsid w:val="006E3CB8"/>
    <w:rsid w:val="006E3FB0"/>
    <w:rsid w:val="006E7EB7"/>
    <w:rsid w:val="006F05D4"/>
    <w:rsid w:val="006F3D17"/>
    <w:rsid w:val="006F45BE"/>
    <w:rsid w:val="006F5782"/>
    <w:rsid w:val="007004FC"/>
    <w:rsid w:val="00700531"/>
    <w:rsid w:val="007005F0"/>
    <w:rsid w:val="00701AB6"/>
    <w:rsid w:val="00704877"/>
    <w:rsid w:val="00706670"/>
    <w:rsid w:val="007069BD"/>
    <w:rsid w:val="00706FE3"/>
    <w:rsid w:val="00711003"/>
    <w:rsid w:val="00715412"/>
    <w:rsid w:val="00717E74"/>
    <w:rsid w:val="0072170E"/>
    <w:rsid w:val="007225D9"/>
    <w:rsid w:val="007225F5"/>
    <w:rsid w:val="00723E79"/>
    <w:rsid w:val="00723F65"/>
    <w:rsid w:val="0072417C"/>
    <w:rsid w:val="00726B33"/>
    <w:rsid w:val="007271A5"/>
    <w:rsid w:val="00727E79"/>
    <w:rsid w:val="00730575"/>
    <w:rsid w:val="00734450"/>
    <w:rsid w:val="0073452D"/>
    <w:rsid w:val="00735023"/>
    <w:rsid w:val="007351FE"/>
    <w:rsid w:val="007363E4"/>
    <w:rsid w:val="00736E73"/>
    <w:rsid w:val="00737857"/>
    <w:rsid w:val="007408C9"/>
    <w:rsid w:val="00740E29"/>
    <w:rsid w:val="00741322"/>
    <w:rsid w:val="00743F6E"/>
    <w:rsid w:val="00745F67"/>
    <w:rsid w:val="00747AAB"/>
    <w:rsid w:val="0075039E"/>
    <w:rsid w:val="00751422"/>
    <w:rsid w:val="00752D9D"/>
    <w:rsid w:val="00754784"/>
    <w:rsid w:val="00756837"/>
    <w:rsid w:val="007568FB"/>
    <w:rsid w:val="00757C6E"/>
    <w:rsid w:val="00760EC3"/>
    <w:rsid w:val="00762BDA"/>
    <w:rsid w:val="00764AE2"/>
    <w:rsid w:val="00766200"/>
    <w:rsid w:val="007666FB"/>
    <w:rsid w:val="00766B4F"/>
    <w:rsid w:val="00767F08"/>
    <w:rsid w:val="0077241D"/>
    <w:rsid w:val="00773094"/>
    <w:rsid w:val="00773408"/>
    <w:rsid w:val="00773F7F"/>
    <w:rsid w:val="00777D88"/>
    <w:rsid w:val="00777FA2"/>
    <w:rsid w:val="007805FD"/>
    <w:rsid w:val="00780A39"/>
    <w:rsid w:val="00781565"/>
    <w:rsid w:val="007840F1"/>
    <w:rsid w:val="00784190"/>
    <w:rsid w:val="00784422"/>
    <w:rsid w:val="00784C61"/>
    <w:rsid w:val="00791D71"/>
    <w:rsid w:val="007921BB"/>
    <w:rsid w:val="00792B7C"/>
    <w:rsid w:val="00792EDE"/>
    <w:rsid w:val="00794885"/>
    <w:rsid w:val="00795072"/>
    <w:rsid w:val="0079607B"/>
    <w:rsid w:val="00796293"/>
    <w:rsid w:val="007A012B"/>
    <w:rsid w:val="007A3099"/>
    <w:rsid w:val="007A30FA"/>
    <w:rsid w:val="007A3124"/>
    <w:rsid w:val="007A3EA0"/>
    <w:rsid w:val="007A4ED3"/>
    <w:rsid w:val="007B05EA"/>
    <w:rsid w:val="007B0BE0"/>
    <w:rsid w:val="007B3B54"/>
    <w:rsid w:val="007B3FA0"/>
    <w:rsid w:val="007B519D"/>
    <w:rsid w:val="007B6E26"/>
    <w:rsid w:val="007B7A7D"/>
    <w:rsid w:val="007C0F2C"/>
    <w:rsid w:val="007C2BCC"/>
    <w:rsid w:val="007C2C8C"/>
    <w:rsid w:val="007C4EF0"/>
    <w:rsid w:val="007C67E3"/>
    <w:rsid w:val="007C6B53"/>
    <w:rsid w:val="007D099D"/>
    <w:rsid w:val="007D0CB8"/>
    <w:rsid w:val="007D40A1"/>
    <w:rsid w:val="007D4345"/>
    <w:rsid w:val="007D6961"/>
    <w:rsid w:val="007E0E1B"/>
    <w:rsid w:val="007E2664"/>
    <w:rsid w:val="007E3ABF"/>
    <w:rsid w:val="007E4BC7"/>
    <w:rsid w:val="007E5BFA"/>
    <w:rsid w:val="007E6689"/>
    <w:rsid w:val="007E6F90"/>
    <w:rsid w:val="007E71B1"/>
    <w:rsid w:val="007E731C"/>
    <w:rsid w:val="007E7409"/>
    <w:rsid w:val="007E7A7A"/>
    <w:rsid w:val="007F0A03"/>
    <w:rsid w:val="007F1D9A"/>
    <w:rsid w:val="007F2BAB"/>
    <w:rsid w:val="007F4588"/>
    <w:rsid w:val="007F5E40"/>
    <w:rsid w:val="007F7299"/>
    <w:rsid w:val="007F75DA"/>
    <w:rsid w:val="007F76A4"/>
    <w:rsid w:val="008004A5"/>
    <w:rsid w:val="00801848"/>
    <w:rsid w:val="00802F00"/>
    <w:rsid w:val="00804310"/>
    <w:rsid w:val="008059CB"/>
    <w:rsid w:val="00810040"/>
    <w:rsid w:val="008104BF"/>
    <w:rsid w:val="008104E0"/>
    <w:rsid w:val="00811B43"/>
    <w:rsid w:val="0081299B"/>
    <w:rsid w:val="00812AE0"/>
    <w:rsid w:val="00813373"/>
    <w:rsid w:val="008134A7"/>
    <w:rsid w:val="00816A82"/>
    <w:rsid w:val="008171F3"/>
    <w:rsid w:val="008176C5"/>
    <w:rsid w:val="0082023A"/>
    <w:rsid w:val="00820359"/>
    <w:rsid w:val="00821A7A"/>
    <w:rsid w:val="00822E04"/>
    <w:rsid w:val="008253F8"/>
    <w:rsid w:val="00827E9F"/>
    <w:rsid w:val="008304D7"/>
    <w:rsid w:val="008310B4"/>
    <w:rsid w:val="00831902"/>
    <w:rsid w:val="008325E4"/>
    <w:rsid w:val="00832A2B"/>
    <w:rsid w:val="00832FA8"/>
    <w:rsid w:val="00834F23"/>
    <w:rsid w:val="00836927"/>
    <w:rsid w:val="0083727C"/>
    <w:rsid w:val="00842733"/>
    <w:rsid w:val="00844B60"/>
    <w:rsid w:val="00845811"/>
    <w:rsid w:val="00845CE6"/>
    <w:rsid w:val="00846994"/>
    <w:rsid w:val="00846A85"/>
    <w:rsid w:val="00850451"/>
    <w:rsid w:val="0085101A"/>
    <w:rsid w:val="00851458"/>
    <w:rsid w:val="00852042"/>
    <w:rsid w:val="008525D6"/>
    <w:rsid w:val="008534C9"/>
    <w:rsid w:val="008542BA"/>
    <w:rsid w:val="008543CE"/>
    <w:rsid w:val="008550FB"/>
    <w:rsid w:val="0085599D"/>
    <w:rsid w:val="0085721E"/>
    <w:rsid w:val="00865C66"/>
    <w:rsid w:val="008678A9"/>
    <w:rsid w:val="00871F5C"/>
    <w:rsid w:val="00873300"/>
    <w:rsid w:val="0087510C"/>
    <w:rsid w:val="00875637"/>
    <w:rsid w:val="00875A6F"/>
    <w:rsid w:val="0087752C"/>
    <w:rsid w:val="008779C6"/>
    <w:rsid w:val="008824CB"/>
    <w:rsid w:val="00884487"/>
    <w:rsid w:val="0088525E"/>
    <w:rsid w:val="00885DF9"/>
    <w:rsid w:val="008863B5"/>
    <w:rsid w:val="00891910"/>
    <w:rsid w:val="008937A7"/>
    <w:rsid w:val="00893D7F"/>
    <w:rsid w:val="00895AE0"/>
    <w:rsid w:val="008963AB"/>
    <w:rsid w:val="008967DB"/>
    <w:rsid w:val="0089738E"/>
    <w:rsid w:val="008A02EE"/>
    <w:rsid w:val="008A4BEA"/>
    <w:rsid w:val="008B23C8"/>
    <w:rsid w:val="008B45E2"/>
    <w:rsid w:val="008B51AE"/>
    <w:rsid w:val="008B5A90"/>
    <w:rsid w:val="008B5CD1"/>
    <w:rsid w:val="008B5DB9"/>
    <w:rsid w:val="008B5FDB"/>
    <w:rsid w:val="008B610E"/>
    <w:rsid w:val="008C1A4D"/>
    <w:rsid w:val="008C440F"/>
    <w:rsid w:val="008C50F4"/>
    <w:rsid w:val="008C5649"/>
    <w:rsid w:val="008C5C24"/>
    <w:rsid w:val="008D1E68"/>
    <w:rsid w:val="008D5E9E"/>
    <w:rsid w:val="008D5F3B"/>
    <w:rsid w:val="008D6977"/>
    <w:rsid w:val="008D6D66"/>
    <w:rsid w:val="008E0E15"/>
    <w:rsid w:val="008E3127"/>
    <w:rsid w:val="008E44A2"/>
    <w:rsid w:val="008E697D"/>
    <w:rsid w:val="008E6A10"/>
    <w:rsid w:val="008F1EFC"/>
    <w:rsid w:val="008F2E7A"/>
    <w:rsid w:val="00901D64"/>
    <w:rsid w:val="00902797"/>
    <w:rsid w:val="0090291B"/>
    <w:rsid w:val="00903263"/>
    <w:rsid w:val="009042F4"/>
    <w:rsid w:val="00906A21"/>
    <w:rsid w:val="009079C3"/>
    <w:rsid w:val="00910462"/>
    <w:rsid w:val="00910B14"/>
    <w:rsid w:val="00912A6D"/>
    <w:rsid w:val="00913F76"/>
    <w:rsid w:val="0091476F"/>
    <w:rsid w:val="00914FAF"/>
    <w:rsid w:val="00915AB1"/>
    <w:rsid w:val="00917532"/>
    <w:rsid w:val="00920073"/>
    <w:rsid w:val="00920BFB"/>
    <w:rsid w:val="00920E33"/>
    <w:rsid w:val="009235BA"/>
    <w:rsid w:val="00924023"/>
    <w:rsid w:val="009242B6"/>
    <w:rsid w:val="00924B5C"/>
    <w:rsid w:val="00924CE2"/>
    <w:rsid w:val="009256E6"/>
    <w:rsid w:val="00925B9F"/>
    <w:rsid w:val="009302E0"/>
    <w:rsid w:val="00931AED"/>
    <w:rsid w:val="0093343A"/>
    <w:rsid w:val="00933DE5"/>
    <w:rsid w:val="009356C2"/>
    <w:rsid w:val="0093754C"/>
    <w:rsid w:val="009408E4"/>
    <w:rsid w:val="009476A3"/>
    <w:rsid w:val="0095334F"/>
    <w:rsid w:val="0095467D"/>
    <w:rsid w:val="00955DE4"/>
    <w:rsid w:val="00965897"/>
    <w:rsid w:val="00966AE6"/>
    <w:rsid w:val="0096765C"/>
    <w:rsid w:val="00967DBC"/>
    <w:rsid w:val="00967EF4"/>
    <w:rsid w:val="009727E4"/>
    <w:rsid w:val="009741D8"/>
    <w:rsid w:val="00980B2E"/>
    <w:rsid w:val="009835BD"/>
    <w:rsid w:val="0098597A"/>
    <w:rsid w:val="00987819"/>
    <w:rsid w:val="009911C0"/>
    <w:rsid w:val="009934C5"/>
    <w:rsid w:val="00994356"/>
    <w:rsid w:val="00994C0F"/>
    <w:rsid w:val="009964C8"/>
    <w:rsid w:val="009A175C"/>
    <w:rsid w:val="009A3F76"/>
    <w:rsid w:val="009A5C53"/>
    <w:rsid w:val="009B0F7B"/>
    <w:rsid w:val="009B22D7"/>
    <w:rsid w:val="009B369F"/>
    <w:rsid w:val="009B3854"/>
    <w:rsid w:val="009B554C"/>
    <w:rsid w:val="009B72ED"/>
    <w:rsid w:val="009C08B3"/>
    <w:rsid w:val="009C198E"/>
    <w:rsid w:val="009C2F4A"/>
    <w:rsid w:val="009C32F1"/>
    <w:rsid w:val="009C4606"/>
    <w:rsid w:val="009C4885"/>
    <w:rsid w:val="009C5675"/>
    <w:rsid w:val="009C694B"/>
    <w:rsid w:val="009C6DEB"/>
    <w:rsid w:val="009D3DB0"/>
    <w:rsid w:val="009D44F9"/>
    <w:rsid w:val="009D4C87"/>
    <w:rsid w:val="009D6504"/>
    <w:rsid w:val="009D7946"/>
    <w:rsid w:val="009E12D7"/>
    <w:rsid w:val="009E3892"/>
    <w:rsid w:val="009E3FA4"/>
    <w:rsid w:val="009E4496"/>
    <w:rsid w:val="009E5925"/>
    <w:rsid w:val="009E661A"/>
    <w:rsid w:val="009E6A44"/>
    <w:rsid w:val="009F1CD4"/>
    <w:rsid w:val="009F27C2"/>
    <w:rsid w:val="009F3195"/>
    <w:rsid w:val="009F5102"/>
    <w:rsid w:val="009F7D2B"/>
    <w:rsid w:val="00A0162F"/>
    <w:rsid w:val="00A03B08"/>
    <w:rsid w:val="00A06781"/>
    <w:rsid w:val="00A074C3"/>
    <w:rsid w:val="00A145FE"/>
    <w:rsid w:val="00A1509C"/>
    <w:rsid w:val="00A16443"/>
    <w:rsid w:val="00A16BFD"/>
    <w:rsid w:val="00A20A72"/>
    <w:rsid w:val="00A2250D"/>
    <w:rsid w:val="00A23DDB"/>
    <w:rsid w:val="00A23ECB"/>
    <w:rsid w:val="00A2489F"/>
    <w:rsid w:val="00A24DA7"/>
    <w:rsid w:val="00A34260"/>
    <w:rsid w:val="00A34517"/>
    <w:rsid w:val="00A36AC7"/>
    <w:rsid w:val="00A408C9"/>
    <w:rsid w:val="00A4360F"/>
    <w:rsid w:val="00A442FD"/>
    <w:rsid w:val="00A524DE"/>
    <w:rsid w:val="00A52512"/>
    <w:rsid w:val="00A52FFD"/>
    <w:rsid w:val="00A53F7D"/>
    <w:rsid w:val="00A54E16"/>
    <w:rsid w:val="00A5554C"/>
    <w:rsid w:val="00A61935"/>
    <w:rsid w:val="00A62D80"/>
    <w:rsid w:val="00A639E5"/>
    <w:rsid w:val="00A64ACE"/>
    <w:rsid w:val="00A65481"/>
    <w:rsid w:val="00A70CFD"/>
    <w:rsid w:val="00A7162F"/>
    <w:rsid w:val="00A72A0B"/>
    <w:rsid w:val="00A735A2"/>
    <w:rsid w:val="00A7399A"/>
    <w:rsid w:val="00A77BC5"/>
    <w:rsid w:val="00A77E71"/>
    <w:rsid w:val="00A8185D"/>
    <w:rsid w:val="00A81E42"/>
    <w:rsid w:val="00A82B20"/>
    <w:rsid w:val="00A8598A"/>
    <w:rsid w:val="00A864FE"/>
    <w:rsid w:val="00A86F41"/>
    <w:rsid w:val="00A87137"/>
    <w:rsid w:val="00A879CD"/>
    <w:rsid w:val="00A87D04"/>
    <w:rsid w:val="00A950C5"/>
    <w:rsid w:val="00A955A5"/>
    <w:rsid w:val="00A95C41"/>
    <w:rsid w:val="00A963F6"/>
    <w:rsid w:val="00AA0A1F"/>
    <w:rsid w:val="00AA1D25"/>
    <w:rsid w:val="00AA4AD1"/>
    <w:rsid w:val="00AA521B"/>
    <w:rsid w:val="00AA5415"/>
    <w:rsid w:val="00AA6524"/>
    <w:rsid w:val="00AA6C17"/>
    <w:rsid w:val="00AB002C"/>
    <w:rsid w:val="00AB05DA"/>
    <w:rsid w:val="00AB2472"/>
    <w:rsid w:val="00AB2A1B"/>
    <w:rsid w:val="00AB2B1A"/>
    <w:rsid w:val="00AB397F"/>
    <w:rsid w:val="00AB3CED"/>
    <w:rsid w:val="00AB521D"/>
    <w:rsid w:val="00AB5832"/>
    <w:rsid w:val="00AB6C60"/>
    <w:rsid w:val="00AC4F4A"/>
    <w:rsid w:val="00AC51F2"/>
    <w:rsid w:val="00AC698B"/>
    <w:rsid w:val="00AD36B7"/>
    <w:rsid w:val="00AD7A0C"/>
    <w:rsid w:val="00AD7C24"/>
    <w:rsid w:val="00AD7C3B"/>
    <w:rsid w:val="00AE5066"/>
    <w:rsid w:val="00AE5E24"/>
    <w:rsid w:val="00AE61B7"/>
    <w:rsid w:val="00AE6B1E"/>
    <w:rsid w:val="00AE6CBA"/>
    <w:rsid w:val="00AE6D64"/>
    <w:rsid w:val="00AE79AD"/>
    <w:rsid w:val="00AF0825"/>
    <w:rsid w:val="00AF2793"/>
    <w:rsid w:val="00AF35E4"/>
    <w:rsid w:val="00AF4DA0"/>
    <w:rsid w:val="00AF4E8A"/>
    <w:rsid w:val="00AF5289"/>
    <w:rsid w:val="00AF5CDE"/>
    <w:rsid w:val="00B02590"/>
    <w:rsid w:val="00B043AB"/>
    <w:rsid w:val="00B051B0"/>
    <w:rsid w:val="00B05BA6"/>
    <w:rsid w:val="00B068F0"/>
    <w:rsid w:val="00B11A57"/>
    <w:rsid w:val="00B12A9E"/>
    <w:rsid w:val="00B13568"/>
    <w:rsid w:val="00B143FC"/>
    <w:rsid w:val="00B164B7"/>
    <w:rsid w:val="00B176BD"/>
    <w:rsid w:val="00B17767"/>
    <w:rsid w:val="00B211C3"/>
    <w:rsid w:val="00B221D3"/>
    <w:rsid w:val="00B25597"/>
    <w:rsid w:val="00B25DE1"/>
    <w:rsid w:val="00B267B9"/>
    <w:rsid w:val="00B33E09"/>
    <w:rsid w:val="00B34B28"/>
    <w:rsid w:val="00B363F2"/>
    <w:rsid w:val="00B40300"/>
    <w:rsid w:val="00B407CC"/>
    <w:rsid w:val="00B50708"/>
    <w:rsid w:val="00B509F1"/>
    <w:rsid w:val="00B50C68"/>
    <w:rsid w:val="00B51293"/>
    <w:rsid w:val="00B524C2"/>
    <w:rsid w:val="00B52B1E"/>
    <w:rsid w:val="00B545A4"/>
    <w:rsid w:val="00B54D7B"/>
    <w:rsid w:val="00B55481"/>
    <w:rsid w:val="00B56122"/>
    <w:rsid w:val="00B567A4"/>
    <w:rsid w:val="00B56C32"/>
    <w:rsid w:val="00B56F98"/>
    <w:rsid w:val="00B572E0"/>
    <w:rsid w:val="00B57ACF"/>
    <w:rsid w:val="00B60CA0"/>
    <w:rsid w:val="00B631A9"/>
    <w:rsid w:val="00B63E0F"/>
    <w:rsid w:val="00B64BB1"/>
    <w:rsid w:val="00B7012B"/>
    <w:rsid w:val="00B73166"/>
    <w:rsid w:val="00B833C5"/>
    <w:rsid w:val="00B8426C"/>
    <w:rsid w:val="00B842FD"/>
    <w:rsid w:val="00B868DE"/>
    <w:rsid w:val="00B87A70"/>
    <w:rsid w:val="00B90271"/>
    <w:rsid w:val="00B91B8D"/>
    <w:rsid w:val="00B924F5"/>
    <w:rsid w:val="00B93B99"/>
    <w:rsid w:val="00B94E90"/>
    <w:rsid w:val="00B956F9"/>
    <w:rsid w:val="00BA0D9E"/>
    <w:rsid w:val="00BA15AB"/>
    <w:rsid w:val="00BA1C48"/>
    <w:rsid w:val="00BA23D3"/>
    <w:rsid w:val="00BB0A82"/>
    <w:rsid w:val="00BB2420"/>
    <w:rsid w:val="00BB42CA"/>
    <w:rsid w:val="00BB67D2"/>
    <w:rsid w:val="00BB7989"/>
    <w:rsid w:val="00BB7C94"/>
    <w:rsid w:val="00BC0A9D"/>
    <w:rsid w:val="00BC14F1"/>
    <w:rsid w:val="00BC2C50"/>
    <w:rsid w:val="00BC2F4F"/>
    <w:rsid w:val="00BC484C"/>
    <w:rsid w:val="00BC7336"/>
    <w:rsid w:val="00BD4448"/>
    <w:rsid w:val="00BD5D51"/>
    <w:rsid w:val="00BD63F2"/>
    <w:rsid w:val="00BD7CCD"/>
    <w:rsid w:val="00BE2540"/>
    <w:rsid w:val="00BE2C01"/>
    <w:rsid w:val="00BF05EB"/>
    <w:rsid w:val="00BF40ED"/>
    <w:rsid w:val="00BF59CC"/>
    <w:rsid w:val="00BF5BC2"/>
    <w:rsid w:val="00BF7637"/>
    <w:rsid w:val="00C111BB"/>
    <w:rsid w:val="00C1133D"/>
    <w:rsid w:val="00C11761"/>
    <w:rsid w:val="00C12A42"/>
    <w:rsid w:val="00C13494"/>
    <w:rsid w:val="00C144B7"/>
    <w:rsid w:val="00C175ED"/>
    <w:rsid w:val="00C176FA"/>
    <w:rsid w:val="00C24C9E"/>
    <w:rsid w:val="00C27A08"/>
    <w:rsid w:val="00C31312"/>
    <w:rsid w:val="00C326C6"/>
    <w:rsid w:val="00C35295"/>
    <w:rsid w:val="00C36ADD"/>
    <w:rsid w:val="00C36E74"/>
    <w:rsid w:val="00C40595"/>
    <w:rsid w:val="00C41621"/>
    <w:rsid w:val="00C424CF"/>
    <w:rsid w:val="00C42B1F"/>
    <w:rsid w:val="00C449FA"/>
    <w:rsid w:val="00C5384F"/>
    <w:rsid w:val="00C56964"/>
    <w:rsid w:val="00C65021"/>
    <w:rsid w:val="00C656D5"/>
    <w:rsid w:val="00C65860"/>
    <w:rsid w:val="00C66D7D"/>
    <w:rsid w:val="00C67103"/>
    <w:rsid w:val="00C71BB9"/>
    <w:rsid w:val="00C72E81"/>
    <w:rsid w:val="00C734D9"/>
    <w:rsid w:val="00C73507"/>
    <w:rsid w:val="00C74061"/>
    <w:rsid w:val="00C760BC"/>
    <w:rsid w:val="00C762A5"/>
    <w:rsid w:val="00C76315"/>
    <w:rsid w:val="00C844DC"/>
    <w:rsid w:val="00C94C28"/>
    <w:rsid w:val="00CA1220"/>
    <w:rsid w:val="00CA1F66"/>
    <w:rsid w:val="00CA2D4F"/>
    <w:rsid w:val="00CA4EB9"/>
    <w:rsid w:val="00CA5D2D"/>
    <w:rsid w:val="00CA7339"/>
    <w:rsid w:val="00CA7B65"/>
    <w:rsid w:val="00CB0247"/>
    <w:rsid w:val="00CB0831"/>
    <w:rsid w:val="00CB3409"/>
    <w:rsid w:val="00CB3440"/>
    <w:rsid w:val="00CB5FD4"/>
    <w:rsid w:val="00CB6531"/>
    <w:rsid w:val="00CC045A"/>
    <w:rsid w:val="00CC14FD"/>
    <w:rsid w:val="00CC1692"/>
    <w:rsid w:val="00CC2D72"/>
    <w:rsid w:val="00CC3093"/>
    <w:rsid w:val="00CC4A04"/>
    <w:rsid w:val="00CC5164"/>
    <w:rsid w:val="00CC57EF"/>
    <w:rsid w:val="00CC7DF4"/>
    <w:rsid w:val="00CD045E"/>
    <w:rsid w:val="00CD0767"/>
    <w:rsid w:val="00CD11DC"/>
    <w:rsid w:val="00CD138B"/>
    <w:rsid w:val="00CD30E5"/>
    <w:rsid w:val="00CD3E31"/>
    <w:rsid w:val="00CD74A3"/>
    <w:rsid w:val="00CE0527"/>
    <w:rsid w:val="00CE0E80"/>
    <w:rsid w:val="00CE1061"/>
    <w:rsid w:val="00CE12B8"/>
    <w:rsid w:val="00CE1D10"/>
    <w:rsid w:val="00CE501B"/>
    <w:rsid w:val="00CE5B23"/>
    <w:rsid w:val="00CE5C01"/>
    <w:rsid w:val="00CF028D"/>
    <w:rsid w:val="00CF0E64"/>
    <w:rsid w:val="00CF51D1"/>
    <w:rsid w:val="00CF70AD"/>
    <w:rsid w:val="00CF7729"/>
    <w:rsid w:val="00D00059"/>
    <w:rsid w:val="00D008F5"/>
    <w:rsid w:val="00D0113A"/>
    <w:rsid w:val="00D0181A"/>
    <w:rsid w:val="00D0325F"/>
    <w:rsid w:val="00D107FA"/>
    <w:rsid w:val="00D11F3B"/>
    <w:rsid w:val="00D12275"/>
    <w:rsid w:val="00D12766"/>
    <w:rsid w:val="00D13936"/>
    <w:rsid w:val="00D15797"/>
    <w:rsid w:val="00D15F3B"/>
    <w:rsid w:val="00D16159"/>
    <w:rsid w:val="00D20FF4"/>
    <w:rsid w:val="00D24D2C"/>
    <w:rsid w:val="00D3200D"/>
    <w:rsid w:val="00D3323D"/>
    <w:rsid w:val="00D33884"/>
    <w:rsid w:val="00D33AF2"/>
    <w:rsid w:val="00D34D7B"/>
    <w:rsid w:val="00D35881"/>
    <w:rsid w:val="00D3632E"/>
    <w:rsid w:val="00D40C36"/>
    <w:rsid w:val="00D4313E"/>
    <w:rsid w:val="00D44F56"/>
    <w:rsid w:val="00D45045"/>
    <w:rsid w:val="00D458FC"/>
    <w:rsid w:val="00D45F07"/>
    <w:rsid w:val="00D46D1E"/>
    <w:rsid w:val="00D47E0A"/>
    <w:rsid w:val="00D5388B"/>
    <w:rsid w:val="00D572E6"/>
    <w:rsid w:val="00D60E14"/>
    <w:rsid w:val="00D63123"/>
    <w:rsid w:val="00D63DA4"/>
    <w:rsid w:val="00D6514E"/>
    <w:rsid w:val="00D663FB"/>
    <w:rsid w:val="00D7399A"/>
    <w:rsid w:val="00D76406"/>
    <w:rsid w:val="00D8445D"/>
    <w:rsid w:val="00D85642"/>
    <w:rsid w:val="00D856A1"/>
    <w:rsid w:val="00D9307E"/>
    <w:rsid w:val="00D9350C"/>
    <w:rsid w:val="00D93C45"/>
    <w:rsid w:val="00D945D9"/>
    <w:rsid w:val="00D94A16"/>
    <w:rsid w:val="00D97223"/>
    <w:rsid w:val="00DA5F93"/>
    <w:rsid w:val="00DA752F"/>
    <w:rsid w:val="00DA7DA5"/>
    <w:rsid w:val="00DB073B"/>
    <w:rsid w:val="00DB09FC"/>
    <w:rsid w:val="00DB1732"/>
    <w:rsid w:val="00DB78F0"/>
    <w:rsid w:val="00DC29AA"/>
    <w:rsid w:val="00DC2E43"/>
    <w:rsid w:val="00DC4EEC"/>
    <w:rsid w:val="00DD095C"/>
    <w:rsid w:val="00DD1020"/>
    <w:rsid w:val="00DD1330"/>
    <w:rsid w:val="00DD1AB3"/>
    <w:rsid w:val="00DD3397"/>
    <w:rsid w:val="00DD58A1"/>
    <w:rsid w:val="00DD6827"/>
    <w:rsid w:val="00DE0B83"/>
    <w:rsid w:val="00DE1664"/>
    <w:rsid w:val="00DE1A81"/>
    <w:rsid w:val="00DE1C13"/>
    <w:rsid w:val="00DE277D"/>
    <w:rsid w:val="00DE356F"/>
    <w:rsid w:val="00DE4543"/>
    <w:rsid w:val="00DE4E10"/>
    <w:rsid w:val="00DF0168"/>
    <w:rsid w:val="00DF2694"/>
    <w:rsid w:val="00DF5DB6"/>
    <w:rsid w:val="00DF644D"/>
    <w:rsid w:val="00DF6A69"/>
    <w:rsid w:val="00E00C5D"/>
    <w:rsid w:val="00E00D78"/>
    <w:rsid w:val="00E02ABF"/>
    <w:rsid w:val="00E103DD"/>
    <w:rsid w:val="00E116CF"/>
    <w:rsid w:val="00E143B0"/>
    <w:rsid w:val="00E14576"/>
    <w:rsid w:val="00E14995"/>
    <w:rsid w:val="00E14D4D"/>
    <w:rsid w:val="00E15FA9"/>
    <w:rsid w:val="00E16E9A"/>
    <w:rsid w:val="00E179CD"/>
    <w:rsid w:val="00E224CC"/>
    <w:rsid w:val="00E22CC1"/>
    <w:rsid w:val="00E23E8D"/>
    <w:rsid w:val="00E250F7"/>
    <w:rsid w:val="00E2557D"/>
    <w:rsid w:val="00E25E02"/>
    <w:rsid w:val="00E30957"/>
    <w:rsid w:val="00E3159B"/>
    <w:rsid w:val="00E35726"/>
    <w:rsid w:val="00E37F98"/>
    <w:rsid w:val="00E41E74"/>
    <w:rsid w:val="00E4497E"/>
    <w:rsid w:val="00E45110"/>
    <w:rsid w:val="00E46559"/>
    <w:rsid w:val="00E504E5"/>
    <w:rsid w:val="00E554E9"/>
    <w:rsid w:val="00E55C52"/>
    <w:rsid w:val="00E56083"/>
    <w:rsid w:val="00E571AD"/>
    <w:rsid w:val="00E61E48"/>
    <w:rsid w:val="00E6670C"/>
    <w:rsid w:val="00E70DDC"/>
    <w:rsid w:val="00E7374E"/>
    <w:rsid w:val="00E74760"/>
    <w:rsid w:val="00E7656A"/>
    <w:rsid w:val="00E76B96"/>
    <w:rsid w:val="00E775A8"/>
    <w:rsid w:val="00E776E8"/>
    <w:rsid w:val="00E80FC2"/>
    <w:rsid w:val="00E81339"/>
    <w:rsid w:val="00E82EF6"/>
    <w:rsid w:val="00E84871"/>
    <w:rsid w:val="00E84E03"/>
    <w:rsid w:val="00E8529D"/>
    <w:rsid w:val="00E8539B"/>
    <w:rsid w:val="00E92C1F"/>
    <w:rsid w:val="00E95D4B"/>
    <w:rsid w:val="00E95EBA"/>
    <w:rsid w:val="00E9661B"/>
    <w:rsid w:val="00E97AAF"/>
    <w:rsid w:val="00EA0679"/>
    <w:rsid w:val="00EA0B61"/>
    <w:rsid w:val="00EA4D18"/>
    <w:rsid w:val="00EA7EEC"/>
    <w:rsid w:val="00EB0FD8"/>
    <w:rsid w:val="00EB1276"/>
    <w:rsid w:val="00EB199F"/>
    <w:rsid w:val="00EB3569"/>
    <w:rsid w:val="00EB5F1A"/>
    <w:rsid w:val="00EC08AE"/>
    <w:rsid w:val="00EC23F7"/>
    <w:rsid w:val="00EC4BD8"/>
    <w:rsid w:val="00EC63EB"/>
    <w:rsid w:val="00EC7D47"/>
    <w:rsid w:val="00ED1073"/>
    <w:rsid w:val="00ED412F"/>
    <w:rsid w:val="00ED57AE"/>
    <w:rsid w:val="00ED6ED2"/>
    <w:rsid w:val="00ED7059"/>
    <w:rsid w:val="00EE04FE"/>
    <w:rsid w:val="00EE4C1C"/>
    <w:rsid w:val="00EF1A7B"/>
    <w:rsid w:val="00EF1DF6"/>
    <w:rsid w:val="00EF1F0C"/>
    <w:rsid w:val="00EF36B2"/>
    <w:rsid w:val="00EF4D83"/>
    <w:rsid w:val="00EF6EAB"/>
    <w:rsid w:val="00F01485"/>
    <w:rsid w:val="00F02863"/>
    <w:rsid w:val="00F03F96"/>
    <w:rsid w:val="00F13F47"/>
    <w:rsid w:val="00F14FB1"/>
    <w:rsid w:val="00F1506E"/>
    <w:rsid w:val="00F1526F"/>
    <w:rsid w:val="00F1723D"/>
    <w:rsid w:val="00F201D8"/>
    <w:rsid w:val="00F201EC"/>
    <w:rsid w:val="00F208A9"/>
    <w:rsid w:val="00F20CDF"/>
    <w:rsid w:val="00F22A3C"/>
    <w:rsid w:val="00F232FE"/>
    <w:rsid w:val="00F31E83"/>
    <w:rsid w:val="00F32297"/>
    <w:rsid w:val="00F32F30"/>
    <w:rsid w:val="00F33C58"/>
    <w:rsid w:val="00F342AF"/>
    <w:rsid w:val="00F35F7F"/>
    <w:rsid w:val="00F37AF5"/>
    <w:rsid w:val="00F41D6D"/>
    <w:rsid w:val="00F41D75"/>
    <w:rsid w:val="00F42044"/>
    <w:rsid w:val="00F43918"/>
    <w:rsid w:val="00F466EE"/>
    <w:rsid w:val="00F467EF"/>
    <w:rsid w:val="00F47BE1"/>
    <w:rsid w:val="00F50B4D"/>
    <w:rsid w:val="00F51250"/>
    <w:rsid w:val="00F5139D"/>
    <w:rsid w:val="00F51BEB"/>
    <w:rsid w:val="00F52175"/>
    <w:rsid w:val="00F5297F"/>
    <w:rsid w:val="00F540EB"/>
    <w:rsid w:val="00F5435E"/>
    <w:rsid w:val="00F54EFA"/>
    <w:rsid w:val="00F567F3"/>
    <w:rsid w:val="00F56F2D"/>
    <w:rsid w:val="00F60FDD"/>
    <w:rsid w:val="00F63074"/>
    <w:rsid w:val="00F63DAC"/>
    <w:rsid w:val="00F64E50"/>
    <w:rsid w:val="00F64EF2"/>
    <w:rsid w:val="00F65B25"/>
    <w:rsid w:val="00F72B39"/>
    <w:rsid w:val="00F72EE7"/>
    <w:rsid w:val="00F731C7"/>
    <w:rsid w:val="00F7454F"/>
    <w:rsid w:val="00F7582B"/>
    <w:rsid w:val="00F77988"/>
    <w:rsid w:val="00F77F48"/>
    <w:rsid w:val="00F801EC"/>
    <w:rsid w:val="00F812B9"/>
    <w:rsid w:val="00F83E78"/>
    <w:rsid w:val="00F8714E"/>
    <w:rsid w:val="00F909A0"/>
    <w:rsid w:val="00F964F8"/>
    <w:rsid w:val="00F9700E"/>
    <w:rsid w:val="00FA2343"/>
    <w:rsid w:val="00FA60A5"/>
    <w:rsid w:val="00FA63D3"/>
    <w:rsid w:val="00FA6C3B"/>
    <w:rsid w:val="00FB18B5"/>
    <w:rsid w:val="00FB1995"/>
    <w:rsid w:val="00FB2207"/>
    <w:rsid w:val="00FB30F1"/>
    <w:rsid w:val="00FB53E7"/>
    <w:rsid w:val="00FB5A1E"/>
    <w:rsid w:val="00FC1BD1"/>
    <w:rsid w:val="00FC466D"/>
    <w:rsid w:val="00FC554D"/>
    <w:rsid w:val="00FD11BB"/>
    <w:rsid w:val="00FD1A00"/>
    <w:rsid w:val="00FD2F0E"/>
    <w:rsid w:val="00FD4472"/>
    <w:rsid w:val="00FD4D0A"/>
    <w:rsid w:val="00FD5F30"/>
    <w:rsid w:val="00FD7109"/>
    <w:rsid w:val="00FD76CC"/>
    <w:rsid w:val="00FD7C7B"/>
    <w:rsid w:val="00FE0751"/>
    <w:rsid w:val="00FE0BEB"/>
    <w:rsid w:val="00FE0D1B"/>
    <w:rsid w:val="00FE19EF"/>
    <w:rsid w:val="00FE3865"/>
    <w:rsid w:val="00FE4483"/>
    <w:rsid w:val="00FE56E7"/>
    <w:rsid w:val="00FE6328"/>
    <w:rsid w:val="00FE7CD9"/>
    <w:rsid w:val="00FF017B"/>
    <w:rsid w:val="00FF227D"/>
    <w:rsid w:val="00FF2D6E"/>
    <w:rsid w:val="00FF54CC"/>
    <w:rsid w:val="00FF5A7F"/>
    <w:rsid w:val="00FF71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2E081A8"/>
  <w15:docId w15:val="{374C19F9-413C-4194-BD0F-AF5940BC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qFormat/>
    <w:rsid w:val="008C5649"/>
    <w:rPr>
      <w:sz w:val="16"/>
      <w:szCs w:val="16"/>
    </w:rPr>
  </w:style>
  <w:style w:type="paragraph" w:styleId="CommentText">
    <w:name w:val="annotation text"/>
    <w:basedOn w:val="Normal"/>
    <w:link w:val="CommentTextChar"/>
    <w:uiPriority w:val="99"/>
    <w:rsid w:val="008C5649"/>
    <w:rPr>
      <w:sz w:val="20"/>
      <w:szCs w:val="20"/>
    </w:rPr>
  </w:style>
  <w:style w:type="character" w:customStyle="1" w:styleId="CommentTextChar">
    <w:name w:val="Comment Text Char"/>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semiHidden/>
    <w:rsid w:val="008C5649"/>
    <w:rPr>
      <w:sz w:val="20"/>
      <w:szCs w:val="20"/>
    </w:rPr>
  </w:style>
  <w:style w:type="character" w:styleId="FootnoteReference">
    <w:name w:val="footnote reference"/>
    <w:aliases w:val="Footnote Reference Number,SUPERS"/>
    <w:uiPriority w:val="99"/>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eastAsia="x-none"/>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uiPriority w:val="22"/>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rsid w:val="00343716"/>
    <w:pPr>
      <w:spacing w:after="120"/>
    </w:pPr>
  </w:style>
  <w:style w:type="character" w:customStyle="1" w:styleId="BodyTextChar">
    <w:name w:val="Body Text Char"/>
    <w:link w:val="BodyText"/>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aliases w:val="2,Strip"/>
    <w:basedOn w:val="Normal"/>
    <w:link w:val="ListParagraphChar"/>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semiHidden/>
    <w:locked/>
    <w:rsid w:val="003D5E4F"/>
  </w:style>
  <w:style w:type="paragraph" w:customStyle="1" w:styleId="tv213">
    <w:name w:val="tv213"/>
    <w:basedOn w:val="Normal"/>
    <w:uiPriority w:val="99"/>
    <w:rsid w:val="00735023"/>
    <w:pPr>
      <w:spacing w:before="100" w:beforeAutospacing="1" w:after="100" w:afterAutospacing="1"/>
    </w:pPr>
    <w:rPr>
      <w:rFonts w:eastAsiaTheme="minorHAnsi"/>
    </w:rPr>
  </w:style>
  <w:style w:type="character" w:customStyle="1" w:styleId="apple-converted-space">
    <w:name w:val="apple-converted-space"/>
    <w:basedOn w:val="DefaultParagraphFont"/>
    <w:rsid w:val="006E28C3"/>
  </w:style>
  <w:style w:type="character" w:styleId="PlaceholderText">
    <w:name w:val="Placeholder Text"/>
    <w:basedOn w:val="DefaultParagraphFont"/>
    <w:uiPriority w:val="99"/>
    <w:semiHidden/>
    <w:rsid w:val="00D60E14"/>
    <w:rPr>
      <w:color w:val="808080"/>
    </w:rPr>
  </w:style>
  <w:style w:type="paragraph" w:customStyle="1" w:styleId="doc-ti">
    <w:name w:val="doc-ti"/>
    <w:basedOn w:val="Normal"/>
    <w:rsid w:val="00BE2C01"/>
    <w:pPr>
      <w:spacing w:before="240" w:after="120"/>
      <w:jc w:val="center"/>
    </w:pPr>
    <w:rPr>
      <w:b/>
      <w:bCs/>
      <w:sz w:val="18"/>
      <w:szCs w:val="18"/>
    </w:rPr>
  </w:style>
  <w:style w:type="paragraph" w:customStyle="1" w:styleId="Normal1">
    <w:name w:val="Normal1"/>
    <w:basedOn w:val="Normal"/>
    <w:rsid w:val="00F8714E"/>
    <w:pPr>
      <w:spacing w:before="100" w:beforeAutospacing="1" w:after="100" w:afterAutospacing="1"/>
    </w:pPr>
  </w:style>
  <w:style w:type="character" w:customStyle="1" w:styleId="word">
    <w:name w:val="word"/>
    <w:basedOn w:val="DefaultParagraphFont"/>
    <w:rsid w:val="00CF51D1"/>
  </w:style>
  <w:style w:type="character" w:customStyle="1" w:styleId="ListParagraphChar">
    <w:name w:val="List Paragraph Char"/>
    <w:aliases w:val="2 Char,Strip Char"/>
    <w:link w:val="ListParagraph"/>
    <w:uiPriority w:val="34"/>
    <w:locked/>
    <w:rsid w:val="00FE0751"/>
    <w:rPr>
      <w:sz w:val="24"/>
      <w:szCs w:val="24"/>
      <w:lang w:val="en-GB" w:eastAsia="en-US"/>
    </w:rPr>
  </w:style>
  <w:style w:type="paragraph" w:styleId="PlainText">
    <w:name w:val="Plain Text"/>
    <w:basedOn w:val="Normal"/>
    <w:link w:val="PlainTextChar"/>
    <w:uiPriority w:val="99"/>
    <w:semiHidden/>
    <w:unhideWhenUsed/>
    <w:rsid w:val="00DA752F"/>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DA752F"/>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4231">
      <w:bodyDiv w:val="1"/>
      <w:marLeft w:val="0"/>
      <w:marRight w:val="0"/>
      <w:marTop w:val="0"/>
      <w:marBottom w:val="0"/>
      <w:divBdr>
        <w:top w:val="none" w:sz="0" w:space="0" w:color="auto"/>
        <w:left w:val="none" w:sz="0" w:space="0" w:color="auto"/>
        <w:bottom w:val="none" w:sz="0" w:space="0" w:color="auto"/>
        <w:right w:val="none" w:sz="0" w:space="0" w:color="auto"/>
      </w:divBdr>
    </w:div>
    <w:div w:id="173763188">
      <w:bodyDiv w:val="1"/>
      <w:marLeft w:val="0"/>
      <w:marRight w:val="0"/>
      <w:marTop w:val="0"/>
      <w:marBottom w:val="0"/>
      <w:divBdr>
        <w:top w:val="none" w:sz="0" w:space="0" w:color="auto"/>
        <w:left w:val="none" w:sz="0" w:space="0" w:color="auto"/>
        <w:bottom w:val="none" w:sz="0" w:space="0" w:color="auto"/>
        <w:right w:val="none" w:sz="0" w:space="0" w:color="auto"/>
      </w:divBdr>
    </w:div>
    <w:div w:id="619605294">
      <w:bodyDiv w:val="1"/>
      <w:marLeft w:val="0"/>
      <w:marRight w:val="0"/>
      <w:marTop w:val="0"/>
      <w:marBottom w:val="0"/>
      <w:divBdr>
        <w:top w:val="none" w:sz="0" w:space="0" w:color="auto"/>
        <w:left w:val="none" w:sz="0" w:space="0" w:color="auto"/>
        <w:bottom w:val="none" w:sz="0" w:space="0" w:color="auto"/>
        <w:right w:val="none" w:sz="0" w:space="0" w:color="auto"/>
      </w:divBdr>
    </w:div>
    <w:div w:id="1392117225">
      <w:bodyDiv w:val="1"/>
      <w:marLeft w:val="0"/>
      <w:marRight w:val="0"/>
      <w:marTop w:val="0"/>
      <w:marBottom w:val="0"/>
      <w:divBdr>
        <w:top w:val="none" w:sz="0" w:space="0" w:color="auto"/>
        <w:left w:val="none" w:sz="0" w:space="0" w:color="auto"/>
        <w:bottom w:val="none" w:sz="0" w:space="0" w:color="auto"/>
        <w:right w:val="none" w:sz="0" w:space="0" w:color="auto"/>
      </w:divBdr>
    </w:div>
    <w:div w:id="1626545815">
      <w:bodyDiv w:val="1"/>
      <w:marLeft w:val="0"/>
      <w:marRight w:val="0"/>
      <w:marTop w:val="0"/>
      <w:marBottom w:val="0"/>
      <w:divBdr>
        <w:top w:val="none" w:sz="0" w:space="0" w:color="auto"/>
        <w:left w:val="none" w:sz="0" w:space="0" w:color="auto"/>
        <w:bottom w:val="none" w:sz="0" w:space="0" w:color="auto"/>
        <w:right w:val="none" w:sz="0" w:space="0" w:color="auto"/>
      </w:divBdr>
    </w:div>
    <w:div w:id="1774091019">
      <w:bodyDiv w:val="1"/>
      <w:marLeft w:val="0"/>
      <w:marRight w:val="0"/>
      <w:marTop w:val="0"/>
      <w:marBottom w:val="0"/>
      <w:divBdr>
        <w:top w:val="none" w:sz="0" w:space="0" w:color="auto"/>
        <w:left w:val="none" w:sz="0" w:space="0" w:color="auto"/>
        <w:bottom w:val="none" w:sz="0" w:space="0" w:color="auto"/>
        <w:right w:val="none" w:sz="0" w:space="0" w:color="auto"/>
      </w:divBdr>
    </w:div>
    <w:div w:id="1865749311">
      <w:bodyDiv w:val="1"/>
      <w:marLeft w:val="0"/>
      <w:marRight w:val="0"/>
      <w:marTop w:val="0"/>
      <w:marBottom w:val="0"/>
      <w:divBdr>
        <w:top w:val="none" w:sz="0" w:space="0" w:color="auto"/>
        <w:left w:val="none" w:sz="0" w:space="0" w:color="auto"/>
        <w:bottom w:val="none" w:sz="0" w:space="0" w:color="auto"/>
        <w:right w:val="none" w:sz="0" w:space="0" w:color="auto"/>
      </w:divBdr>
    </w:div>
    <w:div w:id="2003972343">
      <w:bodyDiv w:val="1"/>
      <w:marLeft w:val="0"/>
      <w:marRight w:val="0"/>
      <w:marTop w:val="0"/>
      <w:marBottom w:val="0"/>
      <w:divBdr>
        <w:top w:val="none" w:sz="0" w:space="0" w:color="auto"/>
        <w:left w:val="none" w:sz="0" w:space="0" w:color="auto"/>
        <w:bottom w:val="none" w:sz="0" w:space="0" w:color="auto"/>
        <w:right w:val="none" w:sz="0" w:space="0" w:color="auto"/>
      </w:divBdr>
      <w:divsChild>
        <w:div w:id="77873457">
          <w:marLeft w:val="0"/>
          <w:marRight w:val="0"/>
          <w:marTop w:val="0"/>
          <w:marBottom w:val="0"/>
          <w:divBdr>
            <w:top w:val="none" w:sz="0" w:space="0" w:color="auto"/>
            <w:left w:val="none" w:sz="0" w:space="0" w:color="auto"/>
            <w:bottom w:val="none" w:sz="0" w:space="0" w:color="auto"/>
            <w:right w:val="none" w:sz="0" w:space="0" w:color="auto"/>
          </w:divBdr>
        </w:div>
        <w:div w:id="82724685">
          <w:marLeft w:val="0"/>
          <w:marRight w:val="0"/>
          <w:marTop w:val="0"/>
          <w:marBottom w:val="0"/>
          <w:divBdr>
            <w:top w:val="none" w:sz="0" w:space="0" w:color="auto"/>
            <w:left w:val="none" w:sz="0" w:space="0" w:color="auto"/>
            <w:bottom w:val="none" w:sz="0" w:space="0" w:color="auto"/>
            <w:right w:val="none" w:sz="0" w:space="0" w:color="auto"/>
          </w:divBdr>
        </w:div>
        <w:div w:id="54560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1/1227?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dra.Niedrite@e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prk.gov.lv/lapas/dabasgaze-lietotajiem" TargetMode="External"/><Relationship Id="rId1" Type="http://schemas.openxmlformats.org/officeDocument/2006/relationships/hyperlink" Target="https://ec.europa.eu/energy/sites/ener/files/documents/REPORT-Gas%20Storage-201507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D2A63-BCA5-4A35-B4C7-D2FED571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9</Pages>
  <Words>1841</Words>
  <Characters>12943</Characters>
  <Application>Microsoft Office Word</Application>
  <DocSecurity>0</DocSecurity>
  <Lines>588</Lines>
  <Paragraphs>199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vt:lpstr>
      <vt:lpstr>Ministru kabineta instrukcijas projekts “Tiesību akta projekta sākotnējās ietekmes izvērtēšanas kārtība”</vt:lpstr>
    </vt:vector>
  </TitlesOfParts>
  <Company>Valsts kanceleja, Politikas koordinācijas departaments</Company>
  <LinksUpToDate>false</LinksUpToDate>
  <CharactersWithSpaces>14585</CharactersWithSpaces>
  <SharedDoc>false</SharedDoc>
  <HLinks>
    <vt:vector size="12" baseType="variant">
      <vt:variant>
        <vt:i4>3932179</vt:i4>
      </vt:variant>
      <vt:variant>
        <vt:i4>3</vt:i4>
      </vt:variant>
      <vt:variant>
        <vt:i4>0</vt:i4>
      </vt:variant>
      <vt:variant>
        <vt:i4>5</vt:i4>
      </vt:variant>
      <vt:variant>
        <vt:lpwstr>mailto:Elga.Bucinska@em.gov.lv</vt:lpwstr>
      </vt:variant>
      <vt:variant>
        <vt:lpwstr/>
      </vt:variant>
      <vt:variant>
        <vt:i4>7798910</vt:i4>
      </vt:variant>
      <vt:variant>
        <vt:i4>0</vt:i4>
      </vt:variant>
      <vt:variant>
        <vt:i4>0</vt:i4>
      </vt:variant>
      <vt:variant>
        <vt:i4>5</vt:i4>
      </vt:variant>
      <vt:variant>
        <vt:lpwstr>http://www.lvs.lv/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
  <dc:creator/>
  <cp:keywords/>
  <cp:lastModifiedBy>Gunta Rēpele</cp:lastModifiedBy>
  <cp:revision>21</cp:revision>
  <cp:lastPrinted>2017-03-06T13:30:00Z</cp:lastPrinted>
  <dcterms:created xsi:type="dcterms:W3CDTF">2017-03-03T21:50:00Z</dcterms:created>
  <dcterms:modified xsi:type="dcterms:W3CDTF">2017-03-10T12:44:00Z</dcterms:modified>
</cp:coreProperties>
</file>