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00A" w:rsidRPr="0074221C" w:rsidRDefault="002E600A" w:rsidP="002E600A">
      <w:pPr>
        <w:jc w:val="center"/>
        <w:rPr>
          <w:sz w:val="24"/>
          <w:szCs w:val="24"/>
        </w:rPr>
      </w:pPr>
      <w:r w:rsidRPr="0074221C">
        <w:rPr>
          <w:b/>
          <w:sz w:val="24"/>
          <w:szCs w:val="24"/>
        </w:rPr>
        <w:t>Ministru kabineta noteikumu projekta</w:t>
      </w:r>
      <w:bookmarkStart w:id="0" w:name="OLE_LINK3"/>
      <w:bookmarkStart w:id="1" w:name="OLE_LINK4"/>
      <w:r w:rsidRPr="0074221C">
        <w:rPr>
          <w:b/>
          <w:sz w:val="24"/>
          <w:szCs w:val="24"/>
        </w:rPr>
        <w:t xml:space="preserve"> “Grozījumi Ministru kabineta 2013.gada 2.aprīļa noteikumos Nr.181 “Norvēģijas finanšu instrumenta 2009.–2014.gada perioda programmas “Inovācijas “zaļās” ražošanas jomā” īstenošanas kārtība”</w:t>
      </w:r>
      <w:bookmarkStart w:id="2" w:name="OLE_LINK5"/>
      <w:bookmarkStart w:id="3" w:name="OLE_LINK6"/>
      <w:bookmarkEnd w:id="0"/>
      <w:bookmarkEnd w:id="1"/>
      <w:r w:rsidRPr="0074221C">
        <w:rPr>
          <w:sz w:val="24"/>
          <w:szCs w:val="24"/>
        </w:rPr>
        <w:t xml:space="preserve"> </w:t>
      </w:r>
      <w:r w:rsidRPr="0074221C">
        <w:rPr>
          <w:b/>
          <w:sz w:val="24"/>
          <w:szCs w:val="24"/>
        </w:rPr>
        <w:t>sākotnējās ietekmes novērtējuma ziņojums (anotācija)</w:t>
      </w:r>
      <w:bookmarkEnd w:id="2"/>
      <w:bookmarkEnd w:id="3"/>
    </w:p>
    <w:p w:rsidR="002E600A" w:rsidRPr="0074221C" w:rsidRDefault="002E600A" w:rsidP="002E600A">
      <w:pPr>
        <w:shd w:val="clear" w:color="auto" w:fill="FFFFFF"/>
        <w:ind w:firstLine="300"/>
        <w:jc w:val="center"/>
        <w:rPr>
          <w:rFonts w:ascii="Arial" w:eastAsia="Times New Roman" w:hAnsi="Arial" w:cs="Arial"/>
          <w:i/>
          <w:iCs/>
          <w:color w:val="414142"/>
          <w:sz w:val="24"/>
          <w:szCs w:val="24"/>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167"/>
        <w:gridCol w:w="5435"/>
      </w:tblGrid>
      <w:tr w:rsidR="002E600A" w:rsidRPr="0074221C" w:rsidTr="006159EF">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E600A" w:rsidRPr="0074221C" w:rsidRDefault="002E600A" w:rsidP="006159EF">
            <w:pPr>
              <w:jc w:val="center"/>
              <w:rPr>
                <w:rFonts w:eastAsia="Times New Roman" w:cs="Times New Roman"/>
                <w:b/>
                <w:bCs/>
                <w:sz w:val="24"/>
                <w:szCs w:val="24"/>
              </w:rPr>
            </w:pPr>
            <w:r w:rsidRPr="0074221C">
              <w:rPr>
                <w:rFonts w:eastAsia="Times New Roman" w:cs="Times New Roman"/>
                <w:b/>
                <w:bCs/>
                <w:sz w:val="24"/>
                <w:szCs w:val="24"/>
              </w:rPr>
              <w:t>I. Tiesību akta projekta izstrādes nepieciešamība</w:t>
            </w:r>
          </w:p>
        </w:tc>
      </w:tr>
      <w:tr w:rsidR="002E600A" w:rsidRPr="0074221C" w:rsidTr="006159EF">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2E600A" w:rsidRPr="0074221C" w:rsidRDefault="002E600A" w:rsidP="006159EF">
            <w:pPr>
              <w:jc w:val="center"/>
              <w:rPr>
                <w:rFonts w:eastAsia="Times New Roman" w:cs="Times New Roman"/>
                <w:sz w:val="24"/>
                <w:szCs w:val="24"/>
              </w:rPr>
            </w:pPr>
            <w:r w:rsidRPr="0074221C">
              <w:rPr>
                <w:rFonts w:eastAsia="Times New Roman" w:cs="Times New Roman"/>
                <w:sz w:val="24"/>
                <w:szCs w:val="24"/>
              </w:rPr>
              <w:t>1.</w:t>
            </w:r>
          </w:p>
        </w:tc>
        <w:tc>
          <w:tcPr>
            <w:tcW w:w="1749" w:type="pct"/>
            <w:tcBorders>
              <w:top w:val="outset" w:sz="6" w:space="0" w:color="414142"/>
              <w:left w:val="outset" w:sz="6" w:space="0" w:color="414142"/>
              <w:bottom w:val="outset" w:sz="6" w:space="0" w:color="414142"/>
              <w:right w:val="outset" w:sz="6" w:space="0" w:color="414142"/>
            </w:tcBorders>
            <w:hideMark/>
          </w:tcPr>
          <w:p w:rsidR="002E600A" w:rsidRPr="0074221C" w:rsidRDefault="002E600A" w:rsidP="006159EF">
            <w:pPr>
              <w:rPr>
                <w:rFonts w:eastAsia="Times New Roman" w:cs="Times New Roman"/>
                <w:sz w:val="24"/>
                <w:szCs w:val="24"/>
              </w:rPr>
            </w:pPr>
            <w:r w:rsidRPr="0074221C">
              <w:rPr>
                <w:rFonts w:eastAsia="Times New Roman" w:cs="Times New Roman"/>
                <w:sz w:val="24"/>
                <w:szCs w:val="24"/>
              </w:rPr>
              <w:t>Pamatojums</w:t>
            </w:r>
          </w:p>
        </w:tc>
        <w:tc>
          <w:tcPr>
            <w:tcW w:w="3001" w:type="pct"/>
            <w:tcBorders>
              <w:top w:val="outset" w:sz="6" w:space="0" w:color="414142"/>
              <w:left w:val="outset" w:sz="6" w:space="0" w:color="414142"/>
              <w:bottom w:val="outset" w:sz="6" w:space="0" w:color="414142"/>
              <w:right w:val="outset" w:sz="6" w:space="0" w:color="414142"/>
            </w:tcBorders>
          </w:tcPr>
          <w:p w:rsidR="002E600A" w:rsidRPr="00A267E8" w:rsidRDefault="002E600A" w:rsidP="006159EF">
            <w:pPr>
              <w:pStyle w:val="BodyText"/>
              <w:tabs>
                <w:tab w:val="left" w:pos="814"/>
                <w:tab w:val="left" w:pos="1129"/>
              </w:tabs>
              <w:rPr>
                <w:sz w:val="24"/>
                <w:szCs w:val="24"/>
              </w:rPr>
            </w:pPr>
            <w:r w:rsidRPr="00A267E8">
              <w:rPr>
                <w:bCs/>
                <w:sz w:val="24"/>
                <w:szCs w:val="24"/>
              </w:rPr>
              <w:t>Ministru kabineta noteikumu projekts</w:t>
            </w:r>
            <w:r w:rsidRPr="00A267E8">
              <w:rPr>
                <w:sz w:val="24"/>
                <w:szCs w:val="24"/>
              </w:rPr>
              <w:t xml:space="preserve"> “Grozījumi Ministru kabineta 2013.gada 2.aprīļa noteikumos Nr.181 “Norvēģijas finanšu instrumenta 2009.-2014.gada perioda programmas “Inovācijas “zaļās” ražošanas jomā” īstenošanas kārtība” (turpmāk – noteikumu projekts) izstrādāts,</w:t>
            </w:r>
            <w:r>
              <w:rPr>
                <w:sz w:val="24"/>
                <w:szCs w:val="24"/>
              </w:rPr>
              <w:t xml:space="preserve"> pamatojoties uz 2016.gada 28.septembrī veiktajiem grozījumiem Norvēģijas finanšu instrumenta 2009.-2014.gada perioda programmas </w:t>
            </w:r>
            <w:r w:rsidRPr="00A267E8">
              <w:rPr>
                <w:sz w:val="24"/>
                <w:szCs w:val="24"/>
              </w:rPr>
              <w:t>“</w:t>
            </w:r>
            <w:r>
              <w:rPr>
                <w:sz w:val="24"/>
                <w:szCs w:val="24"/>
              </w:rPr>
              <w:t xml:space="preserve">Inovācijas </w:t>
            </w:r>
            <w:r w:rsidRPr="00A267E8">
              <w:rPr>
                <w:sz w:val="24"/>
                <w:szCs w:val="24"/>
              </w:rPr>
              <w:t>“</w:t>
            </w:r>
            <w:r>
              <w:rPr>
                <w:sz w:val="24"/>
                <w:szCs w:val="24"/>
              </w:rPr>
              <w:t>zaļās’’ ražošanas jom</w:t>
            </w:r>
            <w:r w:rsidR="00490780">
              <w:rPr>
                <w:sz w:val="24"/>
                <w:szCs w:val="24"/>
              </w:rPr>
              <w:t>ā (turpmāk – programma) līgumā (</w:t>
            </w:r>
            <w:r>
              <w:rPr>
                <w:sz w:val="24"/>
                <w:szCs w:val="24"/>
              </w:rPr>
              <w:t>noslēgts 2013.gada 21.februārī starp Norvēģijas Ārlietu ministriju un Latvijas Republikas Finanšu ministriju</w:t>
            </w:r>
            <w:r w:rsidR="00083A4D">
              <w:rPr>
                <w:sz w:val="24"/>
                <w:szCs w:val="24"/>
              </w:rPr>
              <w:t>)</w:t>
            </w:r>
            <w:r w:rsidRPr="00A267E8">
              <w:rPr>
                <w:sz w:val="24"/>
                <w:szCs w:val="24"/>
              </w:rPr>
              <w:t>.</w:t>
            </w:r>
          </w:p>
          <w:p w:rsidR="002E600A" w:rsidRPr="00A267E8" w:rsidRDefault="002E600A" w:rsidP="006159EF">
            <w:pPr>
              <w:pStyle w:val="BodyText"/>
              <w:tabs>
                <w:tab w:val="left" w:pos="814"/>
                <w:tab w:val="left" w:pos="1129"/>
              </w:tabs>
              <w:rPr>
                <w:sz w:val="24"/>
                <w:szCs w:val="24"/>
              </w:rPr>
            </w:pPr>
            <w:r w:rsidRPr="00A267E8">
              <w:rPr>
                <w:sz w:val="24"/>
                <w:szCs w:val="24"/>
              </w:rPr>
              <w:t>Tiesību akta izdošanas tiesiskais pamats ir Eiropas Ekonomikas zonas finanšu instrumenta un Norvēģijas finanšu instrumenta 2009.-2014.gadam perioda vadības likuma (2012.gada 26.janvāra redakcijā) 8.panta pirmā</w:t>
            </w:r>
            <w:r>
              <w:rPr>
                <w:sz w:val="24"/>
                <w:szCs w:val="24"/>
              </w:rPr>
              <w:t>s</w:t>
            </w:r>
            <w:r w:rsidRPr="00A267E8">
              <w:rPr>
                <w:sz w:val="24"/>
                <w:szCs w:val="24"/>
              </w:rPr>
              <w:t xml:space="preserve"> daļas 10.punkts.</w:t>
            </w:r>
          </w:p>
        </w:tc>
      </w:tr>
      <w:tr w:rsidR="002E600A" w:rsidRPr="0074221C" w:rsidTr="006159EF">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E600A" w:rsidRPr="0074221C" w:rsidRDefault="002E600A" w:rsidP="006159EF">
            <w:pPr>
              <w:jc w:val="center"/>
              <w:rPr>
                <w:rFonts w:eastAsia="Times New Roman" w:cs="Times New Roman"/>
                <w:sz w:val="24"/>
                <w:szCs w:val="24"/>
              </w:rPr>
            </w:pPr>
            <w:r w:rsidRPr="0074221C">
              <w:rPr>
                <w:rFonts w:eastAsia="Times New Roman" w:cs="Times New Roman"/>
                <w:sz w:val="24"/>
                <w:szCs w:val="24"/>
              </w:rPr>
              <w:t>2.</w:t>
            </w:r>
          </w:p>
        </w:tc>
        <w:tc>
          <w:tcPr>
            <w:tcW w:w="1749" w:type="pct"/>
            <w:tcBorders>
              <w:top w:val="outset" w:sz="6" w:space="0" w:color="414142"/>
              <w:left w:val="outset" w:sz="6" w:space="0" w:color="414142"/>
              <w:bottom w:val="outset" w:sz="6" w:space="0" w:color="414142"/>
              <w:right w:val="outset" w:sz="6" w:space="0" w:color="414142"/>
            </w:tcBorders>
            <w:hideMark/>
          </w:tcPr>
          <w:p w:rsidR="002E600A" w:rsidRPr="0074221C" w:rsidRDefault="002E600A" w:rsidP="006159EF">
            <w:pPr>
              <w:rPr>
                <w:rFonts w:eastAsia="Times New Roman" w:cs="Times New Roman"/>
                <w:sz w:val="24"/>
                <w:szCs w:val="24"/>
              </w:rPr>
            </w:pPr>
            <w:r w:rsidRPr="0074221C">
              <w:rPr>
                <w:rFonts w:eastAsia="Times New Roman" w:cs="Times New Roman"/>
                <w:sz w:val="24"/>
                <w:szCs w:val="24"/>
              </w:rPr>
              <w:t>Pašreizējā situācija un problēmas, kuru risināšanai tiesību akta projekts izstrādāts, tiesiskā regulējuma mērķis un būtība</w:t>
            </w:r>
          </w:p>
        </w:tc>
        <w:tc>
          <w:tcPr>
            <w:tcW w:w="3001" w:type="pct"/>
            <w:tcBorders>
              <w:top w:val="outset" w:sz="6" w:space="0" w:color="414142"/>
              <w:left w:val="outset" w:sz="6" w:space="0" w:color="414142"/>
              <w:bottom w:val="outset" w:sz="6" w:space="0" w:color="414142"/>
              <w:right w:val="outset" w:sz="6" w:space="0" w:color="414142"/>
            </w:tcBorders>
            <w:hideMark/>
          </w:tcPr>
          <w:p w:rsidR="002E600A" w:rsidRDefault="002E600A" w:rsidP="006159EF">
            <w:pPr>
              <w:pStyle w:val="naisc"/>
              <w:spacing w:before="0" w:after="0"/>
              <w:jc w:val="both"/>
            </w:pPr>
            <w:r w:rsidRPr="00A267E8">
              <w:t>Ministru kabineta 2013.gada 2.aprīļa noteikumi Nr.181 “Norvēģijas finanšu instrumenta 2009.-2014.gada perioda programmas “Inovācijas “zaļās” ražošanas jomā” īstenošanas kārtība</w:t>
            </w:r>
            <w:r>
              <w:t>”</w:t>
            </w:r>
            <w:r w:rsidRPr="00A267E8">
              <w:t xml:space="preserve"> (turpmāk –</w:t>
            </w:r>
            <w:r w:rsidR="006001A9">
              <w:t xml:space="preserve"> </w:t>
            </w:r>
            <w:r w:rsidRPr="00A267E8">
              <w:t xml:space="preserve">noteikumi Nr.181) reglamentē programmas ieviešanu atbilstoši 2011.gada 11.februāra </w:t>
            </w:r>
            <w:proofErr w:type="spellStart"/>
            <w:r w:rsidRPr="00A267E8">
              <w:t>donorvalsts</w:t>
            </w:r>
            <w:proofErr w:type="spellEnd"/>
            <w:r w:rsidRPr="00A267E8">
              <w:t xml:space="preserve"> noteikumiem par Norvēģijas finanšu instrumenta ieviešanu 2009.-2014.gadā (turpmāk – </w:t>
            </w:r>
            <w:proofErr w:type="spellStart"/>
            <w:r w:rsidRPr="00A267E8">
              <w:t>donorvalsts</w:t>
            </w:r>
            <w:proofErr w:type="spellEnd"/>
            <w:r w:rsidRPr="00A267E8">
              <w:t xml:space="preserve"> noteikumi) un</w:t>
            </w:r>
            <w:r>
              <w:t xml:space="preserve"> ir</w:t>
            </w:r>
            <w:r w:rsidRPr="00A267E8">
              <w:t xml:space="preserve"> sagatavots ar mērķi nodrošināt programmas īstenošanu atbilstoši </w:t>
            </w:r>
            <w:proofErr w:type="spellStart"/>
            <w:r w:rsidRPr="00A267E8">
              <w:t>progammas</w:t>
            </w:r>
            <w:proofErr w:type="spellEnd"/>
            <w:r w:rsidRPr="00A267E8">
              <w:t xml:space="preserve"> līguma un </w:t>
            </w:r>
            <w:proofErr w:type="spellStart"/>
            <w:r w:rsidRPr="00A267E8">
              <w:t>donorvalsts</w:t>
            </w:r>
            <w:proofErr w:type="spellEnd"/>
            <w:r w:rsidRPr="00A267E8">
              <w:t xml:space="preserve"> noteikumu aktualizētajiem nosacījumiem. </w:t>
            </w:r>
          </w:p>
          <w:p w:rsidR="002E600A" w:rsidRPr="00A267E8" w:rsidRDefault="002E600A" w:rsidP="006159EF">
            <w:pPr>
              <w:pStyle w:val="naisc"/>
              <w:spacing w:before="0" w:after="0"/>
              <w:jc w:val="both"/>
            </w:pPr>
            <w:r>
              <w:t>Programma ir jāīsteno ne vēlāk kā līdz 2017.gada 31.decembrim.</w:t>
            </w:r>
          </w:p>
          <w:p w:rsidR="002E600A" w:rsidRDefault="002E600A" w:rsidP="006159EF">
            <w:pPr>
              <w:pStyle w:val="naisc"/>
              <w:spacing w:before="0" w:after="0"/>
              <w:jc w:val="both"/>
            </w:pPr>
            <w:r w:rsidRPr="00A267E8">
              <w:t xml:space="preserve">Ar 2016.gada 28.septembrī veiktajiem grozījumiem programmas līgumā un tā pielikumos ir pārdalīts finansējums starp programmas aktivitātēm, lai nodrošinātu </w:t>
            </w:r>
            <w:r>
              <w:t>p</w:t>
            </w:r>
            <w:r w:rsidRPr="00A267E8">
              <w:t xml:space="preserve">rogrammas īstenošanu, labās prakses pārņemšanu esošā perioda īstenošanai un, plānojot jauno periodu, stiprinātu sadarbību starp citiem Norvēģijas finanšu instrumenta saņēmējvalstu </w:t>
            </w:r>
            <w:r>
              <w:t>p</w:t>
            </w:r>
            <w:r w:rsidRPr="00A267E8">
              <w:t xml:space="preserve">rogrammas </w:t>
            </w:r>
            <w:proofErr w:type="spellStart"/>
            <w:r w:rsidRPr="00A267E8">
              <w:t>apsaimniekotājiem</w:t>
            </w:r>
            <w:proofErr w:type="spellEnd"/>
            <w:r w:rsidRPr="00A267E8">
              <w:t xml:space="preserve"> vai līdzīgām iestādēm saņēmējvalstīs un Norvēģijā, kā arī starptautiskām organizācijām. Būtiski ir palielināts pieejamais finansējums divpusējo attiecību stiprināšanai starp Latvijas un </w:t>
            </w:r>
            <w:proofErr w:type="spellStart"/>
            <w:r w:rsidRPr="00A267E8">
              <w:t>donorvalsts</w:t>
            </w:r>
            <w:proofErr w:type="spellEnd"/>
            <w:r w:rsidRPr="00A267E8">
              <w:t xml:space="preserve">  institūcijām</w:t>
            </w:r>
            <w:r w:rsidR="006001A9">
              <w:t>,</w:t>
            </w:r>
            <w:r w:rsidRPr="00A267E8">
              <w:t xml:space="preserve"> </w:t>
            </w:r>
            <w:r w:rsidR="006001A9">
              <w:t xml:space="preserve">Latvijas Republikā un </w:t>
            </w:r>
            <w:proofErr w:type="spellStart"/>
            <w:r w:rsidR="006001A9">
              <w:t>donorvalstī</w:t>
            </w:r>
            <w:proofErr w:type="spellEnd"/>
            <w:r w:rsidR="006001A9">
              <w:t xml:space="preserve"> reģistrētiem </w:t>
            </w:r>
            <w:r w:rsidRPr="00A267E8">
              <w:t>komersantiem</w:t>
            </w:r>
            <w:r w:rsidR="006001A9">
              <w:t xml:space="preserve">, </w:t>
            </w:r>
            <w:r w:rsidR="006001A9">
              <w:lastRenderedPageBreak/>
              <w:t>zinātnisk</w:t>
            </w:r>
            <w:r w:rsidR="00E655BE">
              <w:t>ajām</w:t>
            </w:r>
            <w:r w:rsidR="006001A9">
              <w:t xml:space="preserve"> institū</w:t>
            </w:r>
            <w:r w:rsidR="00E655BE">
              <w:t>cijām</w:t>
            </w:r>
            <w:r w:rsidR="006001A9">
              <w:t>, biedrībām un nodibinājumiem</w:t>
            </w:r>
            <w:r w:rsidRPr="00A267E8">
              <w:t xml:space="preserve">. </w:t>
            </w:r>
            <w:r w:rsidRPr="006001A9">
              <w:t xml:space="preserve">Lai </w:t>
            </w:r>
            <w:r w:rsidR="006001A9" w:rsidRPr="006001A9">
              <w:t>stiprinātu</w:t>
            </w:r>
            <w:r w:rsidRPr="006001A9">
              <w:t xml:space="preserve"> divpusēj</w:t>
            </w:r>
            <w:r w:rsidR="00490780" w:rsidRPr="006001A9">
              <w:t>ās</w:t>
            </w:r>
            <w:r w:rsidRPr="006001A9">
              <w:t xml:space="preserve"> </w:t>
            </w:r>
            <w:r w:rsidR="00490780" w:rsidRPr="006001A9">
              <w:t xml:space="preserve">sadarbības </w:t>
            </w:r>
            <w:r w:rsidRPr="006001A9">
              <w:t>attiecīb</w:t>
            </w:r>
            <w:r w:rsidR="006001A9" w:rsidRPr="006001A9">
              <w:t>as un veicinātu sadarbības tīkla veidošanos, pieredzes, zināšanu, tehnoloģiju un labākās prakses piemēru apmaiņu</w:t>
            </w:r>
            <w:r w:rsidR="00E655BE">
              <w:t>, gala labuma guvēji varēs iesniegt pieteikumus dalībai divpusējās sadarbības fonda atbalsta pasākumā</w:t>
            </w:r>
            <w:r w:rsidR="006001A9" w:rsidRPr="006001A9">
              <w:t xml:space="preserve">. </w:t>
            </w:r>
            <w:r w:rsidRPr="00A267E8">
              <w:t>Lai nodrošinātu efektīvu finansēju</w:t>
            </w:r>
            <w:r>
              <w:t>ma apguvi divpusējo attiecību s</w:t>
            </w:r>
            <w:r w:rsidRPr="00A267E8">
              <w:t>t</w:t>
            </w:r>
            <w:r>
              <w:t>i</w:t>
            </w:r>
            <w:r w:rsidRPr="00A267E8">
              <w:t xml:space="preserve">prināšanai un </w:t>
            </w:r>
            <w:r>
              <w:t xml:space="preserve">paredzētu </w:t>
            </w:r>
            <w:r w:rsidR="006001A9">
              <w:t>skaidrus nosacījumus atbalsta piešķiršanai, saņemšanai un izlietošanai</w:t>
            </w:r>
            <w:r>
              <w:t>,</w:t>
            </w:r>
            <w:r w:rsidRPr="00A267E8">
              <w:t xml:space="preserve"> ir precizēts regulējums noteikumu </w:t>
            </w:r>
            <w:r>
              <w:t>II</w:t>
            </w:r>
            <w:r w:rsidRPr="00A267E8">
              <w:t xml:space="preserve"> </w:t>
            </w:r>
            <w:r>
              <w:t>no</w:t>
            </w:r>
            <w:r w:rsidRPr="00A267E8">
              <w:t>daļā “</w:t>
            </w:r>
            <w:r>
              <w:t xml:space="preserve">II </w:t>
            </w:r>
            <w:r w:rsidRPr="00A267E8">
              <w:t>Programmas divpusējās sadarbības fonda īstenošanas kārtība un atbalsta saņēmēji”.</w:t>
            </w:r>
          </w:p>
          <w:p w:rsidR="002E600A" w:rsidRPr="00A267E8" w:rsidRDefault="002E600A" w:rsidP="006159EF">
            <w:pPr>
              <w:pStyle w:val="naisc"/>
              <w:spacing w:before="0" w:after="0"/>
              <w:jc w:val="both"/>
            </w:pPr>
            <w:r>
              <w:t>A</w:t>
            </w:r>
            <w:r w:rsidRPr="009E2717">
              <w:t xml:space="preserve">tbilstoši 2014.gada 1.jūlija </w:t>
            </w:r>
            <w:proofErr w:type="spellStart"/>
            <w:r w:rsidRPr="009E2717">
              <w:t>donorvalstu</w:t>
            </w:r>
            <w:proofErr w:type="spellEnd"/>
            <w:r w:rsidRPr="009E2717">
              <w:t xml:space="preserve"> noteikumu grozījumiem arī starptautiskās organizācijas var piedalīties  sadarbības tīkla veidošanas, pieredzes, zināšanu, labās prakses piemēru apmaiņas pasākumos  </w:t>
            </w:r>
            <w:r>
              <w:t>programmu jomu ietvaro</w:t>
            </w:r>
            <w:r w:rsidRPr="009E2717">
              <w:t>s. Ievērojot minēto, noteikumu projekts paredz iespēju īstenot programmas divpusējās sadarbības pasākumus arī ar starptautiskajām organizācijām, tādejādi paplašinot divpusējā sadarbības fonda mērķa grupu loku.</w:t>
            </w:r>
          </w:p>
          <w:p w:rsidR="002E600A" w:rsidRDefault="002E600A" w:rsidP="006159EF">
            <w:pPr>
              <w:pStyle w:val="naisc"/>
              <w:spacing w:before="0" w:after="0"/>
              <w:jc w:val="both"/>
            </w:pPr>
            <w:r>
              <w:t>Atbilstoši p</w:t>
            </w:r>
            <w:r w:rsidRPr="00A267E8">
              <w:t xml:space="preserve">rogrammas līguma 2.pielikuma 6.punktam, iepriekš noteiktā projekta ietvaros tiek īstenotas 3 galvenās aktivitātes un viena no tām ir </w:t>
            </w:r>
            <w:proofErr w:type="spellStart"/>
            <w:r w:rsidRPr="00A267E8">
              <w:t>donorvalsts</w:t>
            </w:r>
            <w:proofErr w:type="spellEnd"/>
            <w:r w:rsidRPr="00A267E8">
              <w:t xml:space="preserve"> partneru aktivitātes, lai nodrošinātu sadarbības attiecību veidošanos un ekspertu pakalpojumus </w:t>
            </w:r>
            <w:proofErr w:type="spellStart"/>
            <w:r w:rsidRPr="00A267E8">
              <w:t>donorvalstu</w:t>
            </w:r>
            <w:proofErr w:type="spellEnd"/>
            <w:r w:rsidRPr="00A267E8">
              <w:t xml:space="preserve"> partnera biznesa un tehnoloģiju attīstībai. </w:t>
            </w:r>
            <w:r w:rsidR="00083A4D">
              <w:t>N</w:t>
            </w:r>
            <w:r>
              <w:t xml:space="preserve">oteikumu Nr.181 45.2.apakšpunktā ir paredzēts Norvēģijas industriālās attīstības korporācijas “SIVA” (turpmāk – SIVA) pieaicināto ekspertu fonds EUR 298 000 apmērā. </w:t>
            </w:r>
            <w:r w:rsidRPr="00A267E8">
              <w:t xml:space="preserve">Līdz šim </w:t>
            </w:r>
            <w:r>
              <w:t xml:space="preserve">noteikumu Nr.181 </w:t>
            </w:r>
            <w:r w:rsidRPr="00A267E8">
              <w:t xml:space="preserve">regulējums paredz segt tikai </w:t>
            </w:r>
            <w:r>
              <w:t xml:space="preserve">tās </w:t>
            </w:r>
            <w:r w:rsidRPr="00A267E8">
              <w:t>izmaksas, kas saistīta</w:t>
            </w:r>
            <w:r>
              <w:t xml:space="preserve">s ar </w:t>
            </w:r>
            <w:proofErr w:type="spellStart"/>
            <w:r>
              <w:t>donorvalsts</w:t>
            </w:r>
            <w:proofErr w:type="spellEnd"/>
            <w:r>
              <w:t xml:space="preserve"> partnera SIVA </w:t>
            </w:r>
            <w:r w:rsidRPr="00A267E8">
              <w:t xml:space="preserve">ekspertu piesaisti, </w:t>
            </w:r>
            <w:r>
              <w:t xml:space="preserve">tiem paredzēto </w:t>
            </w:r>
            <w:r w:rsidRPr="00A267E8">
              <w:t>atlīdzību un komandējuma izmaksas, kā arī serti</w:t>
            </w:r>
            <w:r>
              <w:t>ficēta auditora atzinuma izmaksas.</w:t>
            </w:r>
            <w:r w:rsidRPr="00A267E8">
              <w:t xml:space="preserve"> </w:t>
            </w:r>
          </w:p>
          <w:p w:rsidR="002E600A" w:rsidRDefault="002E600A" w:rsidP="006159EF">
            <w:pPr>
              <w:pStyle w:val="naisc"/>
              <w:spacing w:before="0" w:after="0"/>
              <w:jc w:val="both"/>
            </w:pPr>
            <w:r>
              <w:t xml:space="preserve">Ņemot vērā Zaļo Tehnoloģiju inkubatora veiksmīgi </w:t>
            </w:r>
            <w:r w:rsidRPr="00A267E8">
              <w:t>īstenoto sadarbību ar SIVA</w:t>
            </w:r>
            <w:r>
              <w:t xml:space="preserve"> un balstoties uz tās pieredzi, palīdzot citiem attīstīt biznesus </w:t>
            </w:r>
            <w:proofErr w:type="spellStart"/>
            <w:r>
              <w:t>donorvalstī</w:t>
            </w:r>
            <w:proofErr w:type="spellEnd"/>
            <w:r w:rsidRPr="00A267E8">
              <w:t>, iepriekš noteiktā projekta i</w:t>
            </w:r>
            <w:r>
              <w:t xml:space="preserve">etvaros </w:t>
            </w:r>
            <w:proofErr w:type="spellStart"/>
            <w:r>
              <w:t>pirmsinkubācijas</w:t>
            </w:r>
            <w:proofErr w:type="spellEnd"/>
            <w:r>
              <w:t xml:space="preserve"> un inkubācijas atbalsta saņēmējiem tiek rīkotas apmācības ar mērķi apmācīt tos un </w:t>
            </w:r>
            <w:r w:rsidRPr="00A267E8">
              <w:t xml:space="preserve">veicināt sadarbības veidošanos </w:t>
            </w:r>
            <w:r>
              <w:t xml:space="preserve">starp Latvijas Republikā </w:t>
            </w:r>
            <w:r w:rsidR="00EF741D">
              <w:t xml:space="preserve">un </w:t>
            </w:r>
            <w:proofErr w:type="spellStart"/>
            <w:r w:rsidR="00EF741D">
              <w:t>donorvalstī</w:t>
            </w:r>
            <w:proofErr w:type="spellEnd"/>
            <w:r w:rsidR="00EF741D">
              <w:t xml:space="preserve"> </w:t>
            </w:r>
            <w:r>
              <w:t>reģistrētiem komersantiem</w:t>
            </w:r>
            <w:r w:rsidR="00EF741D">
              <w:t>, zinātniskaj</w:t>
            </w:r>
            <w:r w:rsidR="00E655BE">
              <w:t>ām</w:t>
            </w:r>
            <w:r w:rsidR="00EF741D">
              <w:t xml:space="preserve"> institū</w:t>
            </w:r>
            <w:r w:rsidR="00E655BE">
              <w:t>cijām</w:t>
            </w:r>
            <w:r w:rsidR="00EF741D">
              <w:t xml:space="preserve">, biedrībām un nodibinājumiem, </w:t>
            </w:r>
            <w:proofErr w:type="spellStart"/>
            <w:r w:rsidR="00EF741D">
              <w:t>donorvalstu</w:t>
            </w:r>
            <w:proofErr w:type="spellEnd"/>
            <w:r>
              <w:t xml:space="preserve"> institūcijām. Lai veicinātu šādu pasākumu rīkošanu, ir nepieciešams precizēt regulējumu, piešķirot SIVA tiesīb</w:t>
            </w:r>
            <w:r w:rsidR="00EF741D">
              <w:t>as</w:t>
            </w:r>
            <w:r>
              <w:t xml:space="preserve"> rīkot un attiecināt ar tā rīkošanu saistītos izdevumus no esošā</w:t>
            </w:r>
            <w:r w:rsidRPr="00A267E8">
              <w:t xml:space="preserve"> iepriekš noteik</w:t>
            </w:r>
            <w:r>
              <w:t>tā projekta ietvaros paredzētā</w:t>
            </w:r>
            <w:r w:rsidRPr="00A267E8">
              <w:t xml:space="preserve"> </w:t>
            </w:r>
            <w:r>
              <w:t>SIVA</w:t>
            </w:r>
            <w:r w:rsidRPr="00A267E8">
              <w:t xml:space="preserve"> pieaicināto ekspertu fond</w:t>
            </w:r>
            <w:r>
              <w:t>a</w:t>
            </w:r>
            <w:r w:rsidRPr="00A267E8">
              <w:t xml:space="preserve">. </w:t>
            </w:r>
          </w:p>
          <w:p w:rsidR="002E600A" w:rsidRPr="00A267E8" w:rsidRDefault="002E600A" w:rsidP="006159EF">
            <w:pPr>
              <w:pStyle w:val="naisc"/>
              <w:spacing w:before="0" w:after="0"/>
              <w:jc w:val="both"/>
            </w:pPr>
            <w:r>
              <w:lastRenderedPageBreak/>
              <w:t xml:space="preserve">Pamatojoties uz spēkā esošo regulējumu noteikumos Nr.181 par </w:t>
            </w:r>
            <w:proofErr w:type="spellStart"/>
            <w:r>
              <w:t>pirmsinkubācijas</w:t>
            </w:r>
            <w:proofErr w:type="spellEnd"/>
            <w:r>
              <w:t xml:space="preserve"> fondu, ir paredzēta minimālā </w:t>
            </w:r>
            <w:proofErr w:type="spellStart"/>
            <w:r>
              <w:t>pirmsinkubācijas</w:t>
            </w:r>
            <w:proofErr w:type="spellEnd"/>
            <w:r>
              <w:t xml:space="preserve"> atbalsta summa sākot no EUR 5 000 un maksimālā atbalsta summa EUR 10 000. </w:t>
            </w:r>
            <w:proofErr w:type="spellStart"/>
            <w:r>
              <w:t>Pirmsinkubācijas</w:t>
            </w:r>
            <w:proofErr w:type="spellEnd"/>
            <w:r>
              <w:t xml:space="preserve"> atbalsts tiek sniegts saskaņā ar </w:t>
            </w:r>
            <w:proofErr w:type="spellStart"/>
            <w:r w:rsidRPr="00072855">
              <w:rPr>
                <w:i/>
              </w:rPr>
              <w:t>de</w:t>
            </w:r>
            <w:proofErr w:type="spellEnd"/>
            <w:r w:rsidRPr="00072855">
              <w:rPr>
                <w:i/>
              </w:rPr>
              <w:t xml:space="preserve"> </w:t>
            </w:r>
            <w:proofErr w:type="spellStart"/>
            <w:r w:rsidRPr="00072855">
              <w:rPr>
                <w:i/>
              </w:rPr>
              <w:t>minimis</w:t>
            </w:r>
            <w:proofErr w:type="spellEnd"/>
            <w:r>
              <w:t xml:space="preserve"> normatīvo regulējumu un ir ar 100% atbalsta intensitāti. Ņemot vērā Zaļo Tehnoloģiju inkubatora līdzšinējo pieredzi, ne visi </w:t>
            </w:r>
            <w:proofErr w:type="spellStart"/>
            <w:r>
              <w:t>pirmsinkubācijas</w:t>
            </w:r>
            <w:proofErr w:type="spellEnd"/>
            <w:r>
              <w:t xml:space="preserve"> klienti vēlas un viņiem nav nepieciešami pakalpojumi EUR 5 000 vērtībā, tāpēc tiek ierosināts grozīt atbalsta apmēru, nosakot maksimālo atbalsta summu </w:t>
            </w:r>
            <w:proofErr w:type="spellStart"/>
            <w:r>
              <w:t>pirmsinkubācijas</w:t>
            </w:r>
            <w:proofErr w:type="spellEnd"/>
            <w:r>
              <w:t xml:space="preserve"> pakalpojumiem. </w:t>
            </w:r>
          </w:p>
          <w:p w:rsidR="002E600A" w:rsidRPr="00A267E8" w:rsidRDefault="002E600A" w:rsidP="006159EF">
            <w:pPr>
              <w:pStyle w:val="naisc"/>
              <w:spacing w:before="0" w:after="0"/>
              <w:jc w:val="both"/>
            </w:pPr>
            <w:r w:rsidRPr="00A267E8">
              <w:t>Lai efektīvāk izmantotu</w:t>
            </w:r>
            <w:r>
              <w:t xml:space="preserve"> p</w:t>
            </w:r>
            <w:r w:rsidRPr="00A267E8">
              <w:t xml:space="preserve">rogrammas finansējumu un palielinātu rezultatīvos rādītājus, steidzami nepieciešams veikt </w:t>
            </w:r>
            <w:r>
              <w:t xml:space="preserve">šādus </w:t>
            </w:r>
            <w:r w:rsidRPr="00A267E8">
              <w:t>grozījumus:</w:t>
            </w:r>
          </w:p>
          <w:p w:rsidR="002E600A" w:rsidRPr="002E600A" w:rsidRDefault="002E600A" w:rsidP="006159EF">
            <w:pPr>
              <w:jc w:val="both"/>
              <w:rPr>
                <w:sz w:val="24"/>
                <w:szCs w:val="24"/>
              </w:rPr>
            </w:pPr>
            <w:r>
              <w:rPr>
                <w:rFonts w:cs="Times New Roman"/>
                <w:sz w:val="24"/>
                <w:szCs w:val="24"/>
              </w:rPr>
              <w:t xml:space="preserve">1. </w:t>
            </w:r>
            <w:r w:rsidRPr="002E600A">
              <w:rPr>
                <w:rFonts w:cs="Times New Roman"/>
                <w:sz w:val="24"/>
                <w:szCs w:val="24"/>
              </w:rPr>
              <w:t xml:space="preserve">Lai veicinātu programmas īstenošanu un nodrošinātu labās prakses apmaiņu starp citiem Norvēģijas finanšu instrumenta saņēmējvalstu programmas </w:t>
            </w:r>
            <w:proofErr w:type="spellStart"/>
            <w:r w:rsidRPr="002E600A">
              <w:rPr>
                <w:rFonts w:cs="Times New Roman"/>
                <w:sz w:val="24"/>
                <w:szCs w:val="24"/>
              </w:rPr>
              <w:t>apsaimniekotājiem</w:t>
            </w:r>
            <w:proofErr w:type="spellEnd"/>
            <w:r w:rsidRPr="002E600A">
              <w:rPr>
                <w:rFonts w:cs="Times New Roman"/>
                <w:sz w:val="24"/>
                <w:szCs w:val="24"/>
              </w:rPr>
              <w:t xml:space="preserve"> un līdzīgām iestādēm, un starptautiskām organizācijām, kā arī veicinātu kvalitatīvu projektu īstenošanu, t.sk. nodrošinātu programmas līdzekļu apguvi, ir nepieciešams veikt grozījumus šajos noteikumos, palielinot pieejamo budžetu divpusējās sadarbības pasākumu organizēšanai un precizējot  regulējumu šī fonda</w:t>
            </w:r>
            <w:r w:rsidRPr="002E600A">
              <w:rPr>
                <w:sz w:val="24"/>
                <w:szCs w:val="24"/>
              </w:rPr>
              <w:t xml:space="preserve"> izmantošanai un atbalsta saņemšanai (Noteikumu projekta 1. 2., 3., 4., 5., 6.,</w:t>
            </w:r>
            <w:r w:rsidR="00CE698B">
              <w:rPr>
                <w:sz w:val="24"/>
                <w:szCs w:val="24"/>
              </w:rPr>
              <w:t xml:space="preserve"> 7., 8., 9., 10., 11., 12., 13.</w:t>
            </w:r>
            <w:r w:rsidR="00E57D0C">
              <w:rPr>
                <w:sz w:val="24"/>
                <w:szCs w:val="24"/>
              </w:rPr>
              <w:t>, 14., 15.,</w:t>
            </w:r>
            <w:r w:rsidRPr="002E600A">
              <w:rPr>
                <w:sz w:val="24"/>
                <w:szCs w:val="24"/>
              </w:rPr>
              <w:t xml:space="preserve"> 1</w:t>
            </w:r>
            <w:r w:rsidR="00CE698B">
              <w:rPr>
                <w:sz w:val="24"/>
                <w:szCs w:val="24"/>
              </w:rPr>
              <w:t>6</w:t>
            </w:r>
            <w:r w:rsidRPr="002E600A">
              <w:rPr>
                <w:sz w:val="24"/>
                <w:szCs w:val="24"/>
              </w:rPr>
              <w:t>.</w:t>
            </w:r>
            <w:r w:rsidR="00E57D0C">
              <w:rPr>
                <w:sz w:val="24"/>
                <w:szCs w:val="24"/>
              </w:rPr>
              <w:t>, 17., 18</w:t>
            </w:r>
            <w:r w:rsidR="009B5A50">
              <w:rPr>
                <w:sz w:val="24"/>
                <w:szCs w:val="24"/>
              </w:rPr>
              <w:t>.</w:t>
            </w:r>
            <w:r w:rsidR="00E57D0C">
              <w:rPr>
                <w:sz w:val="24"/>
                <w:szCs w:val="24"/>
              </w:rPr>
              <w:t xml:space="preserve"> un </w:t>
            </w:r>
            <w:r w:rsidR="009B5A50">
              <w:rPr>
                <w:sz w:val="24"/>
                <w:szCs w:val="24"/>
              </w:rPr>
              <w:t>19.</w:t>
            </w:r>
            <w:r w:rsidRPr="002E600A">
              <w:rPr>
                <w:sz w:val="24"/>
                <w:szCs w:val="24"/>
              </w:rPr>
              <w:t>punkts );</w:t>
            </w:r>
          </w:p>
          <w:p w:rsidR="002E600A" w:rsidRPr="002E600A" w:rsidRDefault="002E600A" w:rsidP="006159EF">
            <w:pPr>
              <w:jc w:val="both"/>
              <w:rPr>
                <w:sz w:val="24"/>
                <w:szCs w:val="24"/>
              </w:rPr>
            </w:pPr>
            <w:r>
              <w:rPr>
                <w:sz w:val="24"/>
                <w:szCs w:val="24"/>
              </w:rPr>
              <w:t xml:space="preserve">2. </w:t>
            </w:r>
            <w:r w:rsidRPr="002E600A">
              <w:rPr>
                <w:sz w:val="24"/>
                <w:szCs w:val="24"/>
              </w:rPr>
              <w:t xml:space="preserve">Lai veicinātu iepriekš noteiktā projekta sekmīgu īstenošanu un palielinātu veiksmīgas sadarbības veidošanos starp Latvijas </w:t>
            </w:r>
            <w:r w:rsidR="00EF741D">
              <w:rPr>
                <w:sz w:val="24"/>
                <w:szCs w:val="24"/>
              </w:rPr>
              <w:t xml:space="preserve">Republikā un </w:t>
            </w:r>
            <w:proofErr w:type="spellStart"/>
            <w:r w:rsidR="00EF741D">
              <w:rPr>
                <w:sz w:val="24"/>
                <w:szCs w:val="24"/>
              </w:rPr>
              <w:t>donorvalstī</w:t>
            </w:r>
            <w:proofErr w:type="spellEnd"/>
            <w:r w:rsidR="00EF741D">
              <w:rPr>
                <w:sz w:val="24"/>
                <w:szCs w:val="24"/>
              </w:rPr>
              <w:t xml:space="preserve"> reģistrētiem </w:t>
            </w:r>
            <w:r w:rsidRPr="002E600A">
              <w:rPr>
                <w:sz w:val="24"/>
                <w:szCs w:val="24"/>
              </w:rPr>
              <w:t>komersantiem</w:t>
            </w:r>
            <w:r w:rsidR="00EF741D">
              <w:rPr>
                <w:sz w:val="24"/>
                <w:szCs w:val="24"/>
              </w:rPr>
              <w:t xml:space="preserve">, zinātniskajiem institūtiem, biedrībām un nodibinājumiem, </w:t>
            </w:r>
            <w:proofErr w:type="spellStart"/>
            <w:r w:rsidRPr="002E600A">
              <w:rPr>
                <w:sz w:val="24"/>
                <w:szCs w:val="24"/>
              </w:rPr>
              <w:t>donorvalsts</w:t>
            </w:r>
            <w:proofErr w:type="spellEnd"/>
            <w:r w:rsidRPr="002E600A">
              <w:rPr>
                <w:sz w:val="24"/>
                <w:szCs w:val="24"/>
              </w:rPr>
              <w:t xml:space="preserve"> institūcijām, ir precizētas attiecināmās izmaksas no SIVA pieaicināto ekspertu fonda, paredzot ne tikai segt </w:t>
            </w:r>
            <w:proofErr w:type="spellStart"/>
            <w:r w:rsidRPr="002E600A">
              <w:rPr>
                <w:sz w:val="24"/>
                <w:szCs w:val="24"/>
              </w:rPr>
              <w:t>donorvalsts</w:t>
            </w:r>
            <w:proofErr w:type="spellEnd"/>
            <w:r w:rsidRPr="002E600A">
              <w:rPr>
                <w:sz w:val="24"/>
                <w:szCs w:val="24"/>
              </w:rPr>
              <w:t xml:space="preserve"> ekspertu izmaksas, bet arī segt izmaksas, kas saistītas ar apmācību rīkošanu, kas vērstas uz sadarbības veidošanu starp Latvijas un </w:t>
            </w:r>
            <w:proofErr w:type="spellStart"/>
            <w:r w:rsidRPr="002E600A">
              <w:rPr>
                <w:sz w:val="24"/>
                <w:szCs w:val="24"/>
              </w:rPr>
              <w:t>donorvalsts</w:t>
            </w:r>
            <w:proofErr w:type="spellEnd"/>
            <w:r w:rsidRPr="002E600A">
              <w:rPr>
                <w:sz w:val="24"/>
                <w:szCs w:val="24"/>
              </w:rPr>
              <w:t xml:space="preserve"> komersantiem un institūcijām  komercdarbības tālākai attīstīšanai (Noteikumu projekta </w:t>
            </w:r>
            <w:r w:rsidR="009B5A50">
              <w:rPr>
                <w:sz w:val="24"/>
                <w:szCs w:val="24"/>
              </w:rPr>
              <w:t>20</w:t>
            </w:r>
            <w:r w:rsidR="00BB0841">
              <w:rPr>
                <w:sz w:val="24"/>
                <w:szCs w:val="24"/>
              </w:rPr>
              <w:t>.punkts).</w:t>
            </w:r>
          </w:p>
        </w:tc>
      </w:tr>
      <w:tr w:rsidR="002E600A" w:rsidRPr="0074221C" w:rsidTr="006159EF">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E600A" w:rsidRPr="0074221C" w:rsidRDefault="002E600A" w:rsidP="006159EF">
            <w:pPr>
              <w:jc w:val="center"/>
              <w:rPr>
                <w:rFonts w:eastAsia="Times New Roman" w:cs="Times New Roman"/>
                <w:sz w:val="24"/>
                <w:szCs w:val="24"/>
              </w:rPr>
            </w:pPr>
            <w:r w:rsidRPr="0074221C">
              <w:rPr>
                <w:rFonts w:eastAsia="Times New Roman" w:cs="Times New Roman"/>
                <w:sz w:val="24"/>
                <w:szCs w:val="24"/>
              </w:rPr>
              <w:lastRenderedPageBreak/>
              <w:t>3.</w:t>
            </w:r>
          </w:p>
        </w:tc>
        <w:tc>
          <w:tcPr>
            <w:tcW w:w="1749" w:type="pct"/>
            <w:tcBorders>
              <w:top w:val="outset" w:sz="6" w:space="0" w:color="414142"/>
              <w:left w:val="outset" w:sz="6" w:space="0" w:color="414142"/>
              <w:bottom w:val="outset" w:sz="6" w:space="0" w:color="414142"/>
              <w:right w:val="outset" w:sz="6" w:space="0" w:color="414142"/>
            </w:tcBorders>
            <w:hideMark/>
          </w:tcPr>
          <w:p w:rsidR="002E600A" w:rsidRPr="0074221C" w:rsidRDefault="002E600A" w:rsidP="006159EF">
            <w:pPr>
              <w:rPr>
                <w:rFonts w:eastAsia="Times New Roman" w:cs="Times New Roman"/>
                <w:sz w:val="24"/>
                <w:szCs w:val="24"/>
              </w:rPr>
            </w:pPr>
            <w:r w:rsidRPr="0074221C">
              <w:rPr>
                <w:rFonts w:eastAsia="Times New Roman" w:cs="Times New Roman"/>
                <w:sz w:val="24"/>
                <w:szCs w:val="24"/>
              </w:rPr>
              <w:t>Projekta izstrādē iesaistītās institūcijas</w:t>
            </w:r>
          </w:p>
        </w:tc>
        <w:tc>
          <w:tcPr>
            <w:tcW w:w="3001" w:type="pct"/>
            <w:tcBorders>
              <w:top w:val="outset" w:sz="6" w:space="0" w:color="414142"/>
              <w:left w:val="outset" w:sz="6" w:space="0" w:color="414142"/>
              <w:bottom w:val="outset" w:sz="6" w:space="0" w:color="414142"/>
              <w:right w:val="outset" w:sz="6" w:space="0" w:color="414142"/>
            </w:tcBorders>
            <w:hideMark/>
          </w:tcPr>
          <w:p w:rsidR="002E600A" w:rsidRPr="00A267E8" w:rsidRDefault="002E600A" w:rsidP="006159EF">
            <w:pPr>
              <w:jc w:val="both"/>
              <w:rPr>
                <w:rFonts w:eastAsia="Times New Roman" w:cs="Times New Roman"/>
                <w:sz w:val="24"/>
                <w:szCs w:val="24"/>
              </w:rPr>
            </w:pPr>
            <w:r w:rsidRPr="00A267E8">
              <w:rPr>
                <w:rFonts w:eastAsia="Times New Roman" w:cs="Times New Roman"/>
                <w:sz w:val="24"/>
                <w:szCs w:val="24"/>
              </w:rPr>
              <w:t>Noteikumu projekts ir izstrādāts sadarbojoties</w:t>
            </w:r>
            <w:r>
              <w:rPr>
                <w:rFonts w:eastAsia="Times New Roman" w:cs="Times New Roman"/>
                <w:sz w:val="24"/>
                <w:szCs w:val="24"/>
              </w:rPr>
              <w:t xml:space="preserve"> ar p</w:t>
            </w:r>
            <w:r w:rsidRPr="00A267E8">
              <w:rPr>
                <w:rFonts w:eastAsia="Times New Roman" w:cs="Times New Roman"/>
                <w:sz w:val="24"/>
                <w:szCs w:val="24"/>
              </w:rPr>
              <w:t xml:space="preserve">rogrammas </w:t>
            </w:r>
            <w:proofErr w:type="spellStart"/>
            <w:r w:rsidRPr="00A267E8">
              <w:rPr>
                <w:rFonts w:eastAsia="Times New Roman" w:cs="Times New Roman"/>
                <w:sz w:val="24"/>
                <w:szCs w:val="24"/>
              </w:rPr>
              <w:t>donorvalsts</w:t>
            </w:r>
            <w:proofErr w:type="spellEnd"/>
            <w:r w:rsidRPr="00A267E8">
              <w:rPr>
                <w:rFonts w:eastAsia="Times New Roman" w:cs="Times New Roman"/>
                <w:sz w:val="24"/>
                <w:szCs w:val="24"/>
              </w:rPr>
              <w:t xml:space="preserve"> partneri Norvēģijas Karalistes valsts uzņēmumu „</w:t>
            </w:r>
            <w:proofErr w:type="spellStart"/>
            <w:r w:rsidRPr="00A267E8">
              <w:rPr>
                <w:rFonts w:eastAsia="Times New Roman" w:cs="Times New Roman"/>
                <w:sz w:val="24"/>
                <w:szCs w:val="24"/>
              </w:rPr>
              <w:t>Innovation</w:t>
            </w:r>
            <w:proofErr w:type="spellEnd"/>
            <w:r w:rsidRPr="00A267E8">
              <w:rPr>
                <w:rFonts w:eastAsia="Times New Roman" w:cs="Times New Roman"/>
                <w:sz w:val="24"/>
                <w:szCs w:val="24"/>
              </w:rPr>
              <w:t xml:space="preserve"> </w:t>
            </w:r>
            <w:proofErr w:type="spellStart"/>
            <w:r w:rsidRPr="00A267E8">
              <w:rPr>
                <w:rFonts w:eastAsia="Times New Roman" w:cs="Times New Roman"/>
                <w:sz w:val="24"/>
                <w:szCs w:val="24"/>
              </w:rPr>
              <w:t>Norway</w:t>
            </w:r>
            <w:proofErr w:type="spellEnd"/>
            <w:r w:rsidRPr="00A267E8">
              <w:rPr>
                <w:rFonts w:eastAsia="Times New Roman" w:cs="Times New Roman"/>
                <w:sz w:val="24"/>
                <w:szCs w:val="24"/>
              </w:rPr>
              <w:t>”, kā arī Latvijas Investīciju un attīstības aģentūru.</w:t>
            </w:r>
          </w:p>
        </w:tc>
      </w:tr>
      <w:tr w:rsidR="002E600A" w:rsidRPr="0074221C" w:rsidTr="006159EF">
        <w:tc>
          <w:tcPr>
            <w:tcW w:w="250" w:type="pct"/>
            <w:tcBorders>
              <w:top w:val="outset" w:sz="6" w:space="0" w:color="414142"/>
              <w:left w:val="outset" w:sz="6" w:space="0" w:color="414142"/>
              <w:bottom w:val="outset" w:sz="6" w:space="0" w:color="414142"/>
              <w:right w:val="outset" w:sz="6" w:space="0" w:color="414142"/>
            </w:tcBorders>
            <w:hideMark/>
          </w:tcPr>
          <w:p w:rsidR="002E600A" w:rsidRPr="0074221C" w:rsidRDefault="002E600A" w:rsidP="006159EF">
            <w:pPr>
              <w:jc w:val="center"/>
              <w:rPr>
                <w:rFonts w:eastAsia="Times New Roman" w:cs="Times New Roman"/>
                <w:sz w:val="24"/>
                <w:szCs w:val="24"/>
              </w:rPr>
            </w:pPr>
            <w:r w:rsidRPr="0074221C">
              <w:rPr>
                <w:rFonts w:eastAsia="Times New Roman" w:cs="Times New Roman"/>
                <w:sz w:val="24"/>
                <w:szCs w:val="24"/>
              </w:rPr>
              <w:t>4.</w:t>
            </w:r>
          </w:p>
        </w:tc>
        <w:tc>
          <w:tcPr>
            <w:tcW w:w="1749" w:type="pct"/>
            <w:tcBorders>
              <w:top w:val="outset" w:sz="6" w:space="0" w:color="414142"/>
              <w:left w:val="outset" w:sz="6" w:space="0" w:color="414142"/>
              <w:bottom w:val="outset" w:sz="6" w:space="0" w:color="414142"/>
              <w:right w:val="outset" w:sz="6" w:space="0" w:color="414142"/>
            </w:tcBorders>
            <w:hideMark/>
          </w:tcPr>
          <w:p w:rsidR="002E600A" w:rsidRPr="0074221C" w:rsidRDefault="002E600A" w:rsidP="006159EF">
            <w:pPr>
              <w:rPr>
                <w:rFonts w:eastAsia="Times New Roman" w:cs="Times New Roman"/>
                <w:sz w:val="24"/>
                <w:szCs w:val="24"/>
              </w:rPr>
            </w:pPr>
            <w:r w:rsidRPr="0074221C">
              <w:rPr>
                <w:rFonts w:eastAsia="Times New Roman" w:cs="Times New Roman"/>
                <w:sz w:val="24"/>
                <w:szCs w:val="24"/>
              </w:rPr>
              <w:t>Cita informācija</w:t>
            </w:r>
          </w:p>
        </w:tc>
        <w:tc>
          <w:tcPr>
            <w:tcW w:w="3001" w:type="pct"/>
            <w:tcBorders>
              <w:top w:val="outset" w:sz="6" w:space="0" w:color="414142"/>
              <w:left w:val="outset" w:sz="6" w:space="0" w:color="414142"/>
              <w:bottom w:val="outset" w:sz="6" w:space="0" w:color="414142"/>
              <w:right w:val="outset" w:sz="6" w:space="0" w:color="414142"/>
            </w:tcBorders>
            <w:hideMark/>
          </w:tcPr>
          <w:p w:rsidR="002E600A" w:rsidRPr="0074221C" w:rsidRDefault="002E600A" w:rsidP="006159EF">
            <w:pPr>
              <w:rPr>
                <w:rFonts w:eastAsia="Times New Roman" w:cs="Times New Roman"/>
                <w:sz w:val="24"/>
                <w:szCs w:val="24"/>
              </w:rPr>
            </w:pPr>
            <w:r w:rsidRPr="0074221C">
              <w:rPr>
                <w:rFonts w:eastAsia="Times New Roman" w:cs="Times New Roman"/>
                <w:sz w:val="24"/>
                <w:szCs w:val="24"/>
              </w:rPr>
              <w:t>Nav</w:t>
            </w:r>
          </w:p>
        </w:tc>
      </w:tr>
    </w:tbl>
    <w:p w:rsidR="002E600A" w:rsidRDefault="006159EF" w:rsidP="002E600A">
      <w:pPr>
        <w:shd w:val="clear" w:color="auto" w:fill="FFFFFF"/>
        <w:ind w:firstLine="300"/>
        <w:rPr>
          <w:rFonts w:ascii="Arial" w:eastAsia="Times New Roman" w:hAnsi="Arial" w:cs="Arial"/>
          <w:color w:val="414142"/>
          <w:sz w:val="24"/>
          <w:szCs w:val="24"/>
        </w:rPr>
      </w:pPr>
      <w:r>
        <w:rPr>
          <w:rFonts w:ascii="Arial" w:eastAsia="Times New Roman" w:hAnsi="Arial" w:cs="Arial"/>
          <w:color w:val="414142"/>
          <w:sz w:val="24"/>
          <w:szCs w:val="24"/>
        </w:rPr>
        <w:br w:type="textWrapping" w:clear="all"/>
      </w:r>
      <w:r w:rsidR="002E600A" w:rsidRPr="0074221C">
        <w:rPr>
          <w:rFonts w:ascii="Arial" w:eastAsia="Times New Roman" w:hAnsi="Arial" w:cs="Arial"/>
          <w:color w:val="414142"/>
          <w:sz w:val="24"/>
          <w:szCs w:val="24"/>
        </w:rPr>
        <w:t> </w:t>
      </w: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6"/>
        <w:gridCol w:w="5805"/>
      </w:tblGrid>
      <w:tr w:rsidR="002E600A" w:rsidRPr="0074221C" w:rsidTr="00FD6B23">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E600A" w:rsidRPr="0074221C" w:rsidRDefault="002E600A" w:rsidP="00FD6B23">
            <w:pPr>
              <w:jc w:val="center"/>
              <w:rPr>
                <w:rFonts w:eastAsia="Times New Roman" w:cs="Times New Roman"/>
                <w:b/>
                <w:bCs/>
                <w:sz w:val="24"/>
                <w:szCs w:val="24"/>
              </w:rPr>
            </w:pPr>
            <w:r w:rsidRPr="0074221C">
              <w:rPr>
                <w:rFonts w:eastAsia="Times New Roman" w:cs="Times New Roman"/>
                <w:b/>
                <w:bCs/>
                <w:sz w:val="24"/>
                <w:szCs w:val="24"/>
              </w:rPr>
              <w:lastRenderedPageBreak/>
              <w:t>II. Tiesību akta projekta ietekme uz sabiedrību, tautsaimniecības attīstību un administratīvo slogu</w:t>
            </w:r>
          </w:p>
        </w:tc>
      </w:tr>
      <w:tr w:rsidR="002E600A" w:rsidRPr="0074221C" w:rsidTr="00FD6B23">
        <w:trPr>
          <w:trHeight w:val="2437"/>
        </w:trPr>
        <w:tc>
          <w:tcPr>
            <w:tcW w:w="250" w:type="pct"/>
            <w:tcBorders>
              <w:top w:val="outset" w:sz="6" w:space="0" w:color="414142"/>
              <w:left w:val="outset" w:sz="6" w:space="0" w:color="414142"/>
              <w:bottom w:val="outset" w:sz="6" w:space="0" w:color="414142"/>
              <w:right w:val="outset" w:sz="6" w:space="0" w:color="414142"/>
            </w:tcBorders>
            <w:hideMark/>
          </w:tcPr>
          <w:p w:rsidR="002E600A" w:rsidRPr="0074221C" w:rsidRDefault="002E600A" w:rsidP="00FD6B23">
            <w:pPr>
              <w:rPr>
                <w:rFonts w:eastAsia="Times New Roman" w:cs="Times New Roman"/>
                <w:sz w:val="24"/>
                <w:szCs w:val="24"/>
              </w:rPr>
            </w:pPr>
            <w:r w:rsidRPr="0074221C">
              <w:rPr>
                <w:rFonts w:eastAsia="Times New Roman" w:cs="Times New Roman"/>
                <w:sz w:val="24"/>
                <w:szCs w:val="24"/>
              </w:rPr>
              <w:t>1.</w:t>
            </w:r>
          </w:p>
        </w:tc>
        <w:tc>
          <w:tcPr>
            <w:tcW w:w="1548" w:type="pct"/>
            <w:tcBorders>
              <w:top w:val="outset" w:sz="6" w:space="0" w:color="414142"/>
              <w:left w:val="outset" w:sz="6" w:space="0" w:color="414142"/>
              <w:bottom w:val="outset" w:sz="6" w:space="0" w:color="414142"/>
              <w:right w:val="outset" w:sz="6" w:space="0" w:color="414142"/>
            </w:tcBorders>
            <w:hideMark/>
          </w:tcPr>
          <w:p w:rsidR="002E600A" w:rsidRPr="0074221C" w:rsidRDefault="002E600A" w:rsidP="00FD6B23">
            <w:pPr>
              <w:rPr>
                <w:rFonts w:eastAsia="Times New Roman" w:cs="Times New Roman"/>
                <w:sz w:val="24"/>
                <w:szCs w:val="24"/>
              </w:rPr>
            </w:pPr>
            <w:r w:rsidRPr="0074221C">
              <w:rPr>
                <w:rFonts w:eastAsia="Times New Roman" w:cs="Times New Roman"/>
                <w:sz w:val="24"/>
                <w:szCs w:val="24"/>
              </w:rPr>
              <w:t xml:space="preserve">Sabiedrības </w:t>
            </w:r>
            <w:proofErr w:type="spellStart"/>
            <w:r w:rsidRPr="0074221C">
              <w:rPr>
                <w:rFonts w:eastAsia="Times New Roman" w:cs="Times New Roman"/>
                <w:sz w:val="24"/>
                <w:szCs w:val="24"/>
              </w:rPr>
              <w:t>mērķgrupas</w:t>
            </w:r>
            <w:proofErr w:type="spellEnd"/>
            <w:r w:rsidRPr="0074221C">
              <w:rPr>
                <w:rFonts w:eastAsia="Times New Roman" w:cs="Times New Roman"/>
                <w:sz w:val="24"/>
                <w:szCs w:val="24"/>
              </w:rPr>
              <w:t>, kuras tiesiskais regulējums ietekmē vai varētu ietekmēt</w:t>
            </w:r>
          </w:p>
        </w:tc>
        <w:tc>
          <w:tcPr>
            <w:tcW w:w="3202" w:type="pct"/>
            <w:tcBorders>
              <w:top w:val="outset" w:sz="6" w:space="0" w:color="414142"/>
              <w:left w:val="outset" w:sz="6" w:space="0" w:color="414142"/>
              <w:bottom w:val="outset" w:sz="6" w:space="0" w:color="414142"/>
              <w:right w:val="outset" w:sz="6" w:space="0" w:color="414142"/>
            </w:tcBorders>
            <w:hideMark/>
          </w:tcPr>
          <w:p w:rsidR="002E600A" w:rsidRPr="0074221C" w:rsidRDefault="002E600A" w:rsidP="00490780">
            <w:pPr>
              <w:jc w:val="both"/>
              <w:rPr>
                <w:rFonts w:eastAsia="Times New Roman" w:cs="Times New Roman"/>
                <w:color w:val="000000"/>
                <w:sz w:val="24"/>
                <w:szCs w:val="24"/>
                <w:lang w:eastAsia="lv-LV"/>
              </w:rPr>
            </w:pPr>
            <w:r>
              <w:rPr>
                <w:rFonts w:eastAsia="Times New Roman" w:cs="Times New Roman"/>
                <w:sz w:val="24"/>
                <w:szCs w:val="24"/>
              </w:rPr>
              <w:t xml:space="preserve">Latvijas Republikā un </w:t>
            </w:r>
            <w:proofErr w:type="spellStart"/>
            <w:r>
              <w:rPr>
                <w:rFonts w:eastAsia="Times New Roman" w:cs="Times New Roman"/>
                <w:sz w:val="24"/>
                <w:szCs w:val="24"/>
              </w:rPr>
              <w:t>donorvalstī</w:t>
            </w:r>
            <w:proofErr w:type="spellEnd"/>
            <w:r>
              <w:rPr>
                <w:rFonts w:eastAsia="Times New Roman" w:cs="Times New Roman"/>
                <w:sz w:val="24"/>
                <w:szCs w:val="24"/>
              </w:rPr>
              <w:t xml:space="preserve"> reģistrēti k</w:t>
            </w:r>
            <w:r w:rsidRPr="0074221C">
              <w:rPr>
                <w:rFonts w:eastAsia="Times New Roman" w:cs="Times New Roman"/>
                <w:sz w:val="24"/>
                <w:szCs w:val="24"/>
              </w:rPr>
              <w:t>omersanti</w:t>
            </w:r>
            <w:r w:rsidR="00EF741D">
              <w:rPr>
                <w:rFonts w:eastAsia="Times New Roman" w:cs="Times New Roman"/>
                <w:sz w:val="24"/>
                <w:szCs w:val="24"/>
              </w:rPr>
              <w:t>, zinātniskie institūt</w:t>
            </w:r>
            <w:r>
              <w:rPr>
                <w:rFonts w:eastAsia="Times New Roman" w:cs="Times New Roman"/>
                <w:sz w:val="24"/>
                <w:szCs w:val="24"/>
              </w:rPr>
              <w:t xml:space="preserve">i, biedrības un nodibinājumi, starptautiskas organizācijas, </w:t>
            </w:r>
            <w:proofErr w:type="spellStart"/>
            <w:r>
              <w:rPr>
                <w:rFonts w:eastAsia="Times New Roman" w:cs="Times New Roman"/>
                <w:sz w:val="24"/>
                <w:szCs w:val="24"/>
              </w:rPr>
              <w:t>donorvalstu</w:t>
            </w:r>
            <w:proofErr w:type="spellEnd"/>
            <w:r>
              <w:rPr>
                <w:rFonts w:eastAsia="Times New Roman" w:cs="Times New Roman"/>
                <w:sz w:val="24"/>
                <w:szCs w:val="24"/>
              </w:rPr>
              <w:t xml:space="preserve"> institūcijas programmas atbalstāmajās jomās, </w:t>
            </w:r>
            <w:r w:rsidRPr="0074221C">
              <w:rPr>
                <w:rFonts w:eastAsia="Times New Roman" w:cs="Times New Roman"/>
                <w:sz w:val="24"/>
                <w:szCs w:val="24"/>
              </w:rPr>
              <w:t>projektu īstenotāji, ar kuriem noslēgti līgumi par programmas atbalstīto projektu īstenošanu</w:t>
            </w:r>
            <w:r>
              <w:rPr>
                <w:rFonts w:eastAsia="Times New Roman" w:cs="Times New Roman"/>
                <w:sz w:val="24"/>
                <w:szCs w:val="24"/>
              </w:rPr>
              <w:t xml:space="preserve">, kas vēlas veidot sadarbību ar </w:t>
            </w:r>
            <w:proofErr w:type="spellStart"/>
            <w:r>
              <w:rPr>
                <w:rFonts w:eastAsia="Times New Roman" w:cs="Times New Roman"/>
                <w:sz w:val="24"/>
                <w:szCs w:val="24"/>
              </w:rPr>
              <w:t>donorvalsts</w:t>
            </w:r>
            <w:proofErr w:type="spellEnd"/>
            <w:r>
              <w:rPr>
                <w:rFonts w:eastAsia="Times New Roman" w:cs="Times New Roman"/>
                <w:sz w:val="24"/>
                <w:szCs w:val="24"/>
              </w:rPr>
              <w:t xml:space="preserve"> institūcijām un komersantiem. </w:t>
            </w:r>
            <w:r w:rsidRPr="0074221C">
              <w:rPr>
                <w:rFonts w:eastAsia="Times New Roman" w:cs="Times New Roman"/>
                <w:sz w:val="24"/>
                <w:szCs w:val="24"/>
              </w:rPr>
              <w:t xml:space="preserve">Ņemot vērā, ka veiktie grozījumi ir labvēlīgāki projektu īstenotājiem, </w:t>
            </w:r>
            <w:r>
              <w:rPr>
                <w:rFonts w:eastAsia="Times New Roman" w:cs="Times New Roman"/>
                <w:sz w:val="24"/>
                <w:szCs w:val="24"/>
              </w:rPr>
              <w:t xml:space="preserve">tad izmaiņas noteikumos Nr.181 </w:t>
            </w:r>
            <w:r w:rsidRPr="0074221C">
              <w:rPr>
                <w:rFonts w:eastAsia="Times New Roman" w:cs="Times New Roman"/>
                <w:sz w:val="24"/>
                <w:szCs w:val="24"/>
              </w:rPr>
              <w:t xml:space="preserve">negatīvi neietekmēs nevienu no sabiedrības mērķa grupām. Tieši pretēji, tiks radīta labvēlīgāka vide </w:t>
            </w:r>
            <w:r>
              <w:rPr>
                <w:rFonts w:eastAsia="Times New Roman" w:cs="Times New Roman"/>
                <w:sz w:val="24"/>
                <w:szCs w:val="24"/>
              </w:rPr>
              <w:t xml:space="preserve">biznesa attīstībai un sadarbības veidošanai ar </w:t>
            </w:r>
            <w:proofErr w:type="spellStart"/>
            <w:r>
              <w:rPr>
                <w:rFonts w:eastAsia="Times New Roman" w:cs="Times New Roman"/>
                <w:sz w:val="24"/>
                <w:szCs w:val="24"/>
              </w:rPr>
              <w:t>donorvalsti</w:t>
            </w:r>
            <w:proofErr w:type="spellEnd"/>
            <w:r>
              <w:rPr>
                <w:rFonts w:eastAsia="Times New Roman" w:cs="Times New Roman"/>
                <w:sz w:val="24"/>
                <w:szCs w:val="24"/>
              </w:rPr>
              <w:t>.</w:t>
            </w:r>
          </w:p>
        </w:tc>
      </w:tr>
      <w:tr w:rsidR="002E600A" w:rsidRPr="0074221C" w:rsidTr="00FD6B23">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2E600A" w:rsidRPr="0074221C" w:rsidRDefault="002E600A" w:rsidP="00FD6B23">
            <w:pPr>
              <w:rPr>
                <w:rFonts w:eastAsia="Times New Roman" w:cs="Times New Roman"/>
                <w:sz w:val="24"/>
                <w:szCs w:val="24"/>
              </w:rPr>
            </w:pPr>
            <w:r w:rsidRPr="0074221C">
              <w:rPr>
                <w:rFonts w:eastAsia="Times New Roman" w:cs="Times New Roman"/>
                <w:sz w:val="24"/>
                <w:szCs w:val="24"/>
              </w:rPr>
              <w:t>2.</w:t>
            </w:r>
          </w:p>
        </w:tc>
        <w:tc>
          <w:tcPr>
            <w:tcW w:w="1548" w:type="pct"/>
            <w:tcBorders>
              <w:top w:val="outset" w:sz="6" w:space="0" w:color="414142"/>
              <w:left w:val="outset" w:sz="6" w:space="0" w:color="414142"/>
              <w:bottom w:val="outset" w:sz="6" w:space="0" w:color="414142"/>
              <w:right w:val="outset" w:sz="6" w:space="0" w:color="414142"/>
            </w:tcBorders>
            <w:hideMark/>
          </w:tcPr>
          <w:p w:rsidR="002E600A" w:rsidRPr="0074221C" w:rsidRDefault="002E600A" w:rsidP="00FD6B23">
            <w:pPr>
              <w:jc w:val="both"/>
              <w:rPr>
                <w:rFonts w:eastAsia="Times New Roman" w:cs="Times New Roman"/>
                <w:sz w:val="24"/>
                <w:szCs w:val="24"/>
              </w:rPr>
            </w:pPr>
            <w:r w:rsidRPr="0074221C">
              <w:rPr>
                <w:rFonts w:eastAsia="Times New Roman" w:cs="Times New Roman"/>
                <w:sz w:val="24"/>
                <w:szCs w:val="24"/>
              </w:rPr>
              <w:t>Tiesiskā regulējuma ietekme uz tautsaimniecību un administratīvo slogu</w:t>
            </w:r>
          </w:p>
        </w:tc>
        <w:tc>
          <w:tcPr>
            <w:tcW w:w="3202" w:type="pct"/>
            <w:tcBorders>
              <w:top w:val="outset" w:sz="6" w:space="0" w:color="414142"/>
              <w:left w:val="outset" w:sz="6" w:space="0" w:color="414142"/>
              <w:bottom w:val="outset" w:sz="6" w:space="0" w:color="414142"/>
              <w:right w:val="outset" w:sz="6" w:space="0" w:color="414142"/>
            </w:tcBorders>
            <w:hideMark/>
          </w:tcPr>
          <w:p w:rsidR="002E600A" w:rsidRDefault="002E600A" w:rsidP="00FD6B23">
            <w:pPr>
              <w:jc w:val="both"/>
              <w:rPr>
                <w:sz w:val="24"/>
                <w:szCs w:val="24"/>
              </w:rPr>
            </w:pPr>
            <w:r>
              <w:rPr>
                <w:sz w:val="24"/>
                <w:szCs w:val="24"/>
              </w:rPr>
              <w:t xml:space="preserve">Noteikumu projekts paredz tādas izmaiņas spēkā esošajā  Noteikumu Nr.181 redakcijā, kuru rezultātā tiks veicināta sadarbība starp Latvijas un </w:t>
            </w:r>
            <w:proofErr w:type="spellStart"/>
            <w:r>
              <w:rPr>
                <w:sz w:val="24"/>
                <w:szCs w:val="24"/>
              </w:rPr>
              <w:t>donorvalsts</w:t>
            </w:r>
            <w:proofErr w:type="spellEnd"/>
            <w:r>
              <w:rPr>
                <w:sz w:val="24"/>
                <w:szCs w:val="24"/>
              </w:rPr>
              <w:t xml:space="preserve"> institūcijām, un paplašināts mērķa grupas loks, kas veicinās starptautisko sadarbību. </w:t>
            </w:r>
          </w:p>
          <w:p w:rsidR="002E600A" w:rsidRPr="0074221C" w:rsidRDefault="002E600A" w:rsidP="00FD6B23">
            <w:pPr>
              <w:jc w:val="both"/>
              <w:rPr>
                <w:sz w:val="24"/>
                <w:szCs w:val="24"/>
              </w:rPr>
            </w:pPr>
            <w:r w:rsidRPr="0074221C">
              <w:rPr>
                <w:sz w:val="24"/>
                <w:szCs w:val="24"/>
              </w:rPr>
              <w:t xml:space="preserve">Pārdalot finansējumu </w:t>
            </w:r>
            <w:r>
              <w:rPr>
                <w:sz w:val="24"/>
                <w:szCs w:val="24"/>
              </w:rPr>
              <w:t>starp</w:t>
            </w:r>
            <w:r w:rsidRPr="0074221C">
              <w:rPr>
                <w:sz w:val="24"/>
                <w:szCs w:val="24"/>
              </w:rPr>
              <w:t xml:space="preserve"> </w:t>
            </w:r>
            <w:r>
              <w:rPr>
                <w:sz w:val="24"/>
                <w:szCs w:val="24"/>
              </w:rPr>
              <w:t>p</w:t>
            </w:r>
            <w:r w:rsidRPr="0074221C">
              <w:rPr>
                <w:sz w:val="24"/>
                <w:szCs w:val="24"/>
              </w:rPr>
              <w:t xml:space="preserve">rogrammas aktivitātēm, </w:t>
            </w:r>
            <w:r>
              <w:rPr>
                <w:sz w:val="24"/>
                <w:szCs w:val="24"/>
              </w:rPr>
              <w:t>p</w:t>
            </w:r>
            <w:r w:rsidRPr="0074221C">
              <w:rPr>
                <w:sz w:val="24"/>
                <w:szCs w:val="24"/>
              </w:rPr>
              <w:t xml:space="preserve">rogrammas īstenošanai </w:t>
            </w:r>
            <w:r w:rsidR="00083A4D">
              <w:rPr>
                <w:sz w:val="24"/>
                <w:szCs w:val="24"/>
              </w:rPr>
              <w:t>plāno</w:t>
            </w:r>
            <w:r w:rsidR="0041721B">
              <w:rPr>
                <w:sz w:val="24"/>
                <w:szCs w:val="24"/>
              </w:rPr>
              <w:t xml:space="preserve">tais </w:t>
            </w:r>
            <w:r w:rsidRPr="0074221C">
              <w:rPr>
                <w:sz w:val="24"/>
                <w:szCs w:val="24"/>
              </w:rPr>
              <w:t xml:space="preserve">Latvijas valsts budžeta līdzfinansējums 10% apmērā no kopējā </w:t>
            </w:r>
            <w:r>
              <w:rPr>
                <w:sz w:val="24"/>
                <w:szCs w:val="24"/>
              </w:rPr>
              <w:t>p</w:t>
            </w:r>
            <w:r w:rsidRPr="0074221C">
              <w:rPr>
                <w:sz w:val="24"/>
                <w:szCs w:val="24"/>
              </w:rPr>
              <w:t>rogrammas budžeta nemainās.</w:t>
            </w:r>
          </w:p>
          <w:p w:rsidR="002E600A" w:rsidRPr="0074221C" w:rsidRDefault="002E600A" w:rsidP="00FD6B23">
            <w:pPr>
              <w:jc w:val="both"/>
              <w:rPr>
                <w:sz w:val="24"/>
                <w:szCs w:val="24"/>
              </w:rPr>
            </w:pPr>
            <w:r w:rsidRPr="0074221C">
              <w:rPr>
                <w:sz w:val="24"/>
                <w:szCs w:val="24"/>
              </w:rPr>
              <w:t>Noteikumu projekts neparedz tādas izmaiņas spēkā esošajā regulējumā, kura rezultātā paaugstinātos vai samazinātos administratīvais slogs potenciālajiem projekta iesniedzējiem.</w:t>
            </w:r>
          </w:p>
        </w:tc>
      </w:tr>
      <w:tr w:rsidR="002E600A" w:rsidRPr="0074221C" w:rsidTr="00FD6B23">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2E600A" w:rsidRPr="0074221C" w:rsidRDefault="002E600A" w:rsidP="00FD6B23">
            <w:pPr>
              <w:rPr>
                <w:rFonts w:eastAsia="Times New Roman" w:cs="Times New Roman"/>
                <w:sz w:val="24"/>
                <w:szCs w:val="24"/>
              </w:rPr>
            </w:pPr>
            <w:r w:rsidRPr="0074221C">
              <w:rPr>
                <w:rFonts w:eastAsia="Times New Roman" w:cs="Times New Roman"/>
                <w:sz w:val="24"/>
                <w:szCs w:val="24"/>
              </w:rPr>
              <w:t>3.</w:t>
            </w:r>
          </w:p>
        </w:tc>
        <w:tc>
          <w:tcPr>
            <w:tcW w:w="1548" w:type="pct"/>
            <w:tcBorders>
              <w:top w:val="outset" w:sz="6" w:space="0" w:color="414142"/>
              <w:left w:val="outset" w:sz="6" w:space="0" w:color="414142"/>
              <w:bottom w:val="outset" w:sz="6" w:space="0" w:color="414142"/>
              <w:right w:val="outset" w:sz="6" w:space="0" w:color="414142"/>
            </w:tcBorders>
            <w:hideMark/>
          </w:tcPr>
          <w:p w:rsidR="002E600A" w:rsidRPr="0074221C" w:rsidRDefault="002E600A" w:rsidP="00FD6B23">
            <w:pPr>
              <w:rPr>
                <w:rFonts w:eastAsia="Times New Roman" w:cs="Times New Roman"/>
                <w:sz w:val="24"/>
                <w:szCs w:val="24"/>
              </w:rPr>
            </w:pPr>
            <w:r w:rsidRPr="0074221C">
              <w:rPr>
                <w:rFonts w:eastAsia="Times New Roman" w:cs="Times New Roman"/>
                <w:sz w:val="24"/>
                <w:szCs w:val="24"/>
              </w:rPr>
              <w:t>Administratīvo izmaksu monetārs novērtējums</w:t>
            </w:r>
          </w:p>
        </w:tc>
        <w:tc>
          <w:tcPr>
            <w:tcW w:w="3202" w:type="pct"/>
            <w:tcBorders>
              <w:top w:val="outset" w:sz="6" w:space="0" w:color="414142"/>
              <w:left w:val="outset" w:sz="6" w:space="0" w:color="414142"/>
              <w:bottom w:val="outset" w:sz="6" w:space="0" w:color="414142"/>
              <w:right w:val="outset" w:sz="6" w:space="0" w:color="414142"/>
            </w:tcBorders>
            <w:hideMark/>
          </w:tcPr>
          <w:p w:rsidR="002E600A" w:rsidRPr="0074221C" w:rsidRDefault="002E600A" w:rsidP="00FD6B23">
            <w:pPr>
              <w:rPr>
                <w:rFonts w:eastAsia="Times New Roman" w:cs="Times New Roman"/>
                <w:sz w:val="24"/>
                <w:szCs w:val="24"/>
              </w:rPr>
            </w:pPr>
            <w:r>
              <w:rPr>
                <w:rFonts w:eastAsia="Times New Roman" w:cs="Times New Roman"/>
                <w:sz w:val="24"/>
                <w:szCs w:val="24"/>
              </w:rPr>
              <w:t>Noteikumu p</w:t>
            </w:r>
            <w:r w:rsidRPr="0074221C">
              <w:rPr>
                <w:rFonts w:eastAsia="Times New Roman" w:cs="Times New Roman"/>
                <w:sz w:val="24"/>
                <w:szCs w:val="24"/>
              </w:rPr>
              <w:t>rojekts šo jomu neskar.</w:t>
            </w:r>
          </w:p>
        </w:tc>
      </w:tr>
      <w:tr w:rsidR="002E600A" w:rsidRPr="0074221C" w:rsidTr="00FD6B23">
        <w:trPr>
          <w:trHeight w:val="262"/>
        </w:trPr>
        <w:tc>
          <w:tcPr>
            <w:tcW w:w="250" w:type="pct"/>
            <w:tcBorders>
              <w:top w:val="outset" w:sz="6" w:space="0" w:color="414142"/>
              <w:left w:val="outset" w:sz="6" w:space="0" w:color="414142"/>
              <w:bottom w:val="outset" w:sz="6" w:space="0" w:color="414142"/>
              <w:right w:val="outset" w:sz="6" w:space="0" w:color="414142"/>
            </w:tcBorders>
            <w:hideMark/>
          </w:tcPr>
          <w:p w:rsidR="002E600A" w:rsidRPr="0074221C" w:rsidRDefault="002E600A" w:rsidP="00FD6B23">
            <w:pPr>
              <w:rPr>
                <w:rFonts w:eastAsia="Times New Roman" w:cs="Times New Roman"/>
                <w:sz w:val="24"/>
                <w:szCs w:val="24"/>
              </w:rPr>
            </w:pPr>
            <w:r w:rsidRPr="0074221C">
              <w:rPr>
                <w:rFonts w:eastAsia="Times New Roman" w:cs="Times New Roman"/>
                <w:sz w:val="24"/>
                <w:szCs w:val="24"/>
              </w:rPr>
              <w:t>4.</w:t>
            </w:r>
          </w:p>
        </w:tc>
        <w:tc>
          <w:tcPr>
            <w:tcW w:w="1548" w:type="pct"/>
            <w:tcBorders>
              <w:top w:val="outset" w:sz="6" w:space="0" w:color="414142"/>
              <w:left w:val="outset" w:sz="6" w:space="0" w:color="414142"/>
              <w:bottom w:val="outset" w:sz="6" w:space="0" w:color="414142"/>
              <w:right w:val="outset" w:sz="6" w:space="0" w:color="414142"/>
            </w:tcBorders>
            <w:hideMark/>
          </w:tcPr>
          <w:p w:rsidR="002E600A" w:rsidRPr="0074221C" w:rsidRDefault="002E600A" w:rsidP="00FD6B23">
            <w:pPr>
              <w:rPr>
                <w:rFonts w:eastAsia="Times New Roman" w:cs="Times New Roman"/>
                <w:sz w:val="24"/>
                <w:szCs w:val="24"/>
              </w:rPr>
            </w:pPr>
            <w:r w:rsidRPr="0074221C">
              <w:rPr>
                <w:rFonts w:eastAsia="Times New Roman" w:cs="Times New Roman"/>
                <w:sz w:val="24"/>
                <w:szCs w:val="24"/>
              </w:rPr>
              <w:t>Cita informācija</w:t>
            </w:r>
          </w:p>
        </w:tc>
        <w:tc>
          <w:tcPr>
            <w:tcW w:w="3202" w:type="pct"/>
            <w:tcBorders>
              <w:top w:val="outset" w:sz="6" w:space="0" w:color="414142"/>
              <w:left w:val="outset" w:sz="6" w:space="0" w:color="414142"/>
              <w:bottom w:val="outset" w:sz="6" w:space="0" w:color="414142"/>
              <w:right w:val="outset" w:sz="6" w:space="0" w:color="414142"/>
            </w:tcBorders>
            <w:hideMark/>
          </w:tcPr>
          <w:p w:rsidR="002E600A" w:rsidRPr="0074221C" w:rsidRDefault="002E600A" w:rsidP="00FD6B23">
            <w:pPr>
              <w:jc w:val="both"/>
              <w:rPr>
                <w:rFonts w:eastAsia="Times New Roman" w:cs="Times New Roman"/>
                <w:sz w:val="24"/>
                <w:szCs w:val="24"/>
              </w:rPr>
            </w:pPr>
            <w:r>
              <w:rPr>
                <w:rFonts w:eastAsia="Times New Roman" w:cs="Times New Roman"/>
                <w:sz w:val="24"/>
                <w:szCs w:val="24"/>
              </w:rPr>
              <w:t>Nav</w:t>
            </w:r>
          </w:p>
        </w:tc>
      </w:tr>
    </w:tbl>
    <w:p w:rsidR="002E600A" w:rsidRPr="0074221C" w:rsidRDefault="002E600A" w:rsidP="002E600A">
      <w:pPr>
        <w:rPr>
          <w:i/>
          <w:sz w:val="24"/>
          <w:szCs w:val="24"/>
        </w:rPr>
      </w:pPr>
    </w:p>
    <w:p w:rsidR="002E600A" w:rsidRPr="0074221C" w:rsidRDefault="002E600A" w:rsidP="002E600A">
      <w:pPr>
        <w:shd w:val="clear" w:color="auto" w:fill="FFFFFF"/>
        <w:rPr>
          <w:rFonts w:ascii="Arial" w:eastAsia="Times New Roman" w:hAnsi="Arial" w:cs="Arial"/>
          <w:color w:val="414142"/>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13"/>
        <w:gridCol w:w="3587"/>
        <w:gridCol w:w="5155"/>
      </w:tblGrid>
      <w:tr w:rsidR="002E600A" w:rsidRPr="0074221C" w:rsidTr="00FD6B23">
        <w:trPr>
          <w:trHeight w:val="420"/>
          <w:jc w:val="center"/>
        </w:trPr>
        <w:tc>
          <w:tcPr>
            <w:tcW w:w="9198" w:type="dxa"/>
            <w:gridSpan w:val="3"/>
            <w:tcBorders>
              <w:top w:val="outset" w:sz="6" w:space="0" w:color="414142"/>
              <w:left w:val="outset" w:sz="6" w:space="0" w:color="414142"/>
              <w:bottom w:val="outset" w:sz="6" w:space="0" w:color="414142"/>
              <w:right w:val="outset" w:sz="6" w:space="0" w:color="414142"/>
            </w:tcBorders>
            <w:vAlign w:val="center"/>
            <w:hideMark/>
          </w:tcPr>
          <w:p w:rsidR="002E600A" w:rsidRPr="0074221C" w:rsidRDefault="002E600A" w:rsidP="00FD6B23">
            <w:pPr>
              <w:jc w:val="center"/>
              <w:rPr>
                <w:rFonts w:eastAsia="Times New Roman" w:cs="Times New Roman"/>
                <w:b/>
                <w:bCs/>
                <w:sz w:val="24"/>
                <w:szCs w:val="24"/>
              </w:rPr>
            </w:pPr>
            <w:r w:rsidRPr="0074221C">
              <w:rPr>
                <w:rFonts w:eastAsia="Times New Roman" w:cs="Times New Roman"/>
                <w:b/>
                <w:bCs/>
                <w:sz w:val="24"/>
                <w:szCs w:val="24"/>
              </w:rPr>
              <w:t>VI. Sabiedrības līdzdalība un komunikācijas aktivitātes</w:t>
            </w:r>
          </w:p>
        </w:tc>
      </w:tr>
      <w:tr w:rsidR="002E600A" w:rsidRPr="0074221C" w:rsidTr="00FD6B23">
        <w:trPr>
          <w:trHeight w:val="540"/>
          <w:jc w:val="center"/>
        </w:trPr>
        <w:tc>
          <w:tcPr>
            <w:tcW w:w="317" w:type="dxa"/>
            <w:tcBorders>
              <w:top w:val="outset" w:sz="6" w:space="0" w:color="414142"/>
              <w:left w:val="outset" w:sz="6" w:space="0" w:color="414142"/>
              <w:bottom w:val="outset" w:sz="6" w:space="0" w:color="414142"/>
              <w:right w:val="outset" w:sz="6" w:space="0" w:color="414142"/>
            </w:tcBorders>
            <w:hideMark/>
          </w:tcPr>
          <w:p w:rsidR="002E600A" w:rsidRPr="0074221C" w:rsidRDefault="002E600A" w:rsidP="00FD6B23">
            <w:pPr>
              <w:rPr>
                <w:rFonts w:eastAsia="Times New Roman" w:cs="Times New Roman"/>
                <w:color w:val="414142"/>
                <w:sz w:val="24"/>
                <w:szCs w:val="24"/>
              </w:rPr>
            </w:pPr>
            <w:r w:rsidRPr="0074221C">
              <w:rPr>
                <w:rFonts w:eastAsia="Times New Roman" w:cs="Times New Roman"/>
                <w:color w:val="414142"/>
                <w:sz w:val="24"/>
                <w:szCs w:val="24"/>
              </w:rPr>
              <w:t>1.</w:t>
            </w:r>
          </w:p>
        </w:tc>
        <w:tc>
          <w:tcPr>
            <w:tcW w:w="3644" w:type="dxa"/>
            <w:tcBorders>
              <w:top w:val="outset" w:sz="6" w:space="0" w:color="414142"/>
              <w:left w:val="outset" w:sz="6" w:space="0" w:color="414142"/>
              <w:bottom w:val="outset" w:sz="6" w:space="0" w:color="414142"/>
              <w:right w:val="outset" w:sz="6" w:space="0" w:color="414142"/>
            </w:tcBorders>
            <w:hideMark/>
          </w:tcPr>
          <w:p w:rsidR="002E600A" w:rsidRPr="0074221C" w:rsidRDefault="002E600A" w:rsidP="00FD6B23">
            <w:pPr>
              <w:rPr>
                <w:rFonts w:eastAsia="Times New Roman" w:cs="Times New Roman"/>
                <w:sz w:val="24"/>
                <w:szCs w:val="24"/>
              </w:rPr>
            </w:pPr>
            <w:r w:rsidRPr="0074221C">
              <w:rPr>
                <w:rFonts w:eastAsia="Times New Roman" w:cs="Times New Roman"/>
                <w:sz w:val="24"/>
                <w:szCs w:val="24"/>
              </w:rPr>
              <w:t>Plānotās sabiedrības līdzdalības un komunikācijas aktivitātes saistībā ar projektu</w:t>
            </w:r>
          </w:p>
        </w:tc>
        <w:tc>
          <w:tcPr>
            <w:tcW w:w="5237" w:type="dxa"/>
            <w:tcBorders>
              <w:top w:val="outset" w:sz="6" w:space="0" w:color="414142"/>
              <w:left w:val="outset" w:sz="6" w:space="0" w:color="414142"/>
              <w:bottom w:val="outset" w:sz="6" w:space="0" w:color="414142"/>
              <w:right w:val="outset" w:sz="6" w:space="0" w:color="414142"/>
            </w:tcBorders>
            <w:hideMark/>
          </w:tcPr>
          <w:p w:rsidR="002E600A" w:rsidRPr="0074221C" w:rsidRDefault="002E600A" w:rsidP="00FD6B23">
            <w:pPr>
              <w:jc w:val="both"/>
              <w:rPr>
                <w:rFonts w:eastAsia="Times New Roman" w:cs="Times New Roman"/>
                <w:sz w:val="24"/>
                <w:szCs w:val="24"/>
              </w:rPr>
            </w:pPr>
            <w:r w:rsidRPr="0074221C">
              <w:rPr>
                <w:rFonts w:eastAsia="Times New Roman" w:cs="Times New Roman"/>
                <w:sz w:val="24"/>
                <w:szCs w:val="24"/>
              </w:rPr>
              <w:t>Grozījumi skar bilateriālo aktivitāšu īstenošanā iesaistītās organizācijas, komersantu un iestādes.</w:t>
            </w:r>
          </w:p>
          <w:p w:rsidR="002E600A" w:rsidRPr="0074221C" w:rsidRDefault="002E600A" w:rsidP="00FD6B23">
            <w:pPr>
              <w:jc w:val="both"/>
              <w:rPr>
                <w:rFonts w:eastAsia="Times New Roman" w:cs="Times New Roman"/>
                <w:sz w:val="24"/>
                <w:szCs w:val="24"/>
              </w:rPr>
            </w:pPr>
            <w:r w:rsidRPr="0074221C">
              <w:rPr>
                <w:rFonts w:eastAsia="Times New Roman" w:cs="Times New Roman"/>
                <w:sz w:val="24"/>
                <w:szCs w:val="24"/>
              </w:rPr>
              <w:t>Noteikumu projekts citas sabiedrības grupas neietekmē.</w:t>
            </w:r>
          </w:p>
        </w:tc>
      </w:tr>
      <w:tr w:rsidR="002E600A" w:rsidRPr="0074221C" w:rsidTr="00FD6B23">
        <w:trPr>
          <w:trHeight w:val="330"/>
          <w:jc w:val="center"/>
        </w:trPr>
        <w:tc>
          <w:tcPr>
            <w:tcW w:w="317" w:type="dxa"/>
            <w:tcBorders>
              <w:top w:val="outset" w:sz="6" w:space="0" w:color="414142"/>
              <w:left w:val="outset" w:sz="6" w:space="0" w:color="414142"/>
              <w:bottom w:val="outset" w:sz="6" w:space="0" w:color="414142"/>
              <w:right w:val="outset" w:sz="6" w:space="0" w:color="414142"/>
            </w:tcBorders>
            <w:hideMark/>
          </w:tcPr>
          <w:p w:rsidR="002E600A" w:rsidRPr="0074221C" w:rsidRDefault="002E600A" w:rsidP="00FD6B23">
            <w:pPr>
              <w:rPr>
                <w:rFonts w:eastAsia="Times New Roman" w:cs="Times New Roman"/>
                <w:color w:val="414142"/>
                <w:sz w:val="24"/>
                <w:szCs w:val="24"/>
              </w:rPr>
            </w:pPr>
            <w:r w:rsidRPr="0074221C">
              <w:rPr>
                <w:rFonts w:eastAsia="Times New Roman" w:cs="Times New Roman"/>
                <w:color w:val="414142"/>
                <w:sz w:val="24"/>
                <w:szCs w:val="24"/>
              </w:rPr>
              <w:t>2.</w:t>
            </w:r>
          </w:p>
        </w:tc>
        <w:tc>
          <w:tcPr>
            <w:tcW w:w="3644" w:type="dxa"/>
            <w:tcBorders>
              <w:top w:val="outset" w:sz="6" w:space="0" w:color="414142"/>
              <w:left w:val="outset" w:sz="6" w:space="0" w:color="414142"/>
              <w:bottom w:val="outset" w:sz="6" w:space="0" w:color="414142"/>
              <w:right w:val="outset" w:sz="6" w:space="0" w:color="414142"/>
            </w:tcBorders>
            <w:hideMark/>
          </w:tcPr>
          <w:p w:rsidR="002E600A" w:rsidRPr="0074221C" w:rsidRDefault="002E600A" w:rsidP="00FD6B23">
            <w:pPr>
              <w:rPr>
                <w:rFonts w:eastAsia="Times New Roman" w:cs="Times New Roman"/>
                <w:sz w:val="24"/>
                <w:szCs w:val="24"/>
              </w:rPr>
            </w:pPr>
            <w:r w:rsidRPr="0074221C">
              <w:rPr>
                <w:rFonts w:eastAsia="Times New Roman" w:cs="Times New Roman"/>
                <w:sz w:val="24"/>
                <w:szCs w:val="24"/>
              </w:rPr>
              <w:t>Sabiedrības līdzdalība projekta izstrādē</w:t>
            </w:r>
          </w:p>
        </w:tc>
        <w:tc>
          <w:tcPr>
            <w:tcW w:w="5237" w:type="dxa"/>
            <w:tcBorders>
              <w:top w:val="outset" w:sz="6" w:space="0" w:color="414142"/>
              <w:left w:val="outset" w:sz="6" w:space="0" w:color="414142"/>
              <w:bottom w:val="outset" w:sz="6" w:space="0" w:color="414142"/>
              <w:right w:val="outset" w:sz="6" w:space="0" w:color="414142"/>
            </w:tcBorders>
            <w:hideMark/>
          </w:tcPr>
          <w:p w:rsidR="002E600A" w:rsidRPr="00AF23EA" w:rsidRDefault="002E600A" w:rsidP="00FD6B23">
            <w:pPr>
              <w:jc w:val="both"/>
              <w:rPr>
                <w:rFonts w:cs="Times New Roman"/>
                <w:color w:val="0000FF"/>
                <w:sz w:val="24"/>
                <w:szCs w:val="24"/>
                <w:u w:val="single"/>
              </w:rPr>
            </w:pPr>
            <w:r w:rsidRPr="00AF23EA">
              <w:rPr>
                <w:rFonts w:eastAsia="Times New Roman" w:cs="Times New Roman"/>
                <w:iCs/>
                <w:sz w:val="24"/>
                <w:szCs w:val="24"/>
                <w:lang w:eastAsia="lv-LV"/>
              </w:rPr>
              <w:t>Noteikumu projekts paredz labvēlīgākus nosacījumus atbalsta saņēmējiem salīdzinājumā ar spēkā esošajiem no</w:t>
            </w:r>
            <w:r>
              <w:rPr>
                <w:rFonts w:eastAsia="Times New Roman" w:cs="Times New Roman"/>
                <w:iCs/>
                <w:sz w:val="24"/>
                <w:szCs w:val="24"/>
                <w:lang w:eastAsia="lv-LV"/>
              </w:rPr>
              <w:t xml:space="preserve">teikumiem, tāpēc konsultācijas </w:t>
            </w:r>
            <w:r w:rsidRPr="00AF23EA">
              <w:rPr>
                <w:rFonts w:eastAsia="Times New Roman" w:cs="Times New Roman"/>
                <w:iCs/>
                <w:sz w:val="24"/>
                <w:szCs w:val="24"/>
                <w:lang w:eastAsia="lv-LV"/>
              </w:rPr>
              <w:t xml:space="preserve">nav nepieciešams rīkot. Vienlaicīgi </w:t>
            </w:r>
            <w:r w:rsidRPr="00AF23EA">
              <w:rPr>
                <w:rFonts w:eastAsia="Times New Roman" w:cs="Times New Roman"/>
                <w:sz w:val="24"/>
                <w:szCs w:val="24"/>
              </w:rPr>
              <w:t>noteikumu projekts tiks i</w:t>
            </w:r>
            <w:r>
              <w:rPr>
                <w:rFonts w:eastAsia="Times New Roman" w:cs="Times New Roman"/>
                <w:sz w:val="24"/>
                <w:szCs w:val="24"/>
              </w:rPr>
              <w:t>e</w:t>
            </w:r>
            <w:r w:rsidRPr="00AF23EA">
              <w:rPr>
                <w:rFonts w:eastAsia="Times New Roman" w:cs="Times New Roman"/>
                <w:sz w:val="24"/>
                <w:szCs w:val="24"/>
              </w:rPr>
              <w:t>vietots Ekonomikas ministrijas tīmekļa vietnē</w:t>
            </w:r>
          </w:p>
        </w:tc>
      </w:tr>
      <w:tr w:rsidR="002E600A" w:rsidRPr="0074221C" w:rsidTr="00FD6B23">
        <w:trPr>
          <w:trHeight w:val="320"/>
          <w:jc w:val="center"/>
        </w:trPr>
        <w:tc>
          <w:tcPr>
            <w:tcW w:w="317" w:type="dxa"/>
            <w:tcBorders>
              <w:top w:val="outset" w:sz="6" w:space="0" w:color="414142"/>
              <w:left w:val="outset" w:sz="6" w:space="0" w:color="414142"/>
              <w:bottom w:val="outset" w:sz="6" w:space="0" w:color="414142"/>
              <w:right w:val="outset" w:sz="6" w:space="0" w:color="414142"/>
            </w:tcBorders>
            <w:hideMark/>
          </w:tcPr>
          <w:p w:rsidR="002E600A" w:rsidRPr="0074221C" w:rsidRDefault="002E600A" w:rsidP="00FD6B23">
            <w:pPr>
              <w:rPr>
                <w:rFonts w:eastAsia="Times New Roman" w:cs="Times New Roman"/>
                <w:color w:val="414142"/>
                <w:sz w:val="24"/>
                <w:szCs w:val="24"/>
              </w:rPr>
            </w:pPr>
            <w:r w:rsidRPr="0074221C">
              <w:rPr>
                <w:rFonts w:eastAsia="Times New Roman" w:cs="Times New Roman"/>
                <w:color w:val="414142"/>
                <w:sz w:val="24"/>
                <w:szCs w:val="24"/>
              </w:rPr>
              <w:t>3.</w:t>
            </w:r>
          </w:p>
        </w:tc>
        <w:tc>
          <w:tcPr>
            <w:tcW w:w="3644" w:type="dxa"/>
            <w:tcBorders>
              <w:top w:val="outset" w:sz="6" w:space="0" w:color="414142"/>
              <w:left w:val="outset" w:sz="6" w:space="0" w:color="414142"/>
              <w:bottom w:val="outset" w:sz="6" w:space="0" w:color="414142"/>
              <w:right w:val="outset" w:sz="6" w:space="0" w:color="414142"/>
            </w:tcBorders>
            <w:hideMark/>
          </w:tcPr>
          <w:p w:rsidR="002E600A" w:rsidRPr="0074221C" w:rsidRDefault="002E600A" w:rsidP="00FD6B23">
            <w:pPr>
              <w:rPr>
                <w:rFonts w:eastAsia="Times New Roman" w:cs="Times New Roman"/>
                <w:sz w:val="24"/>
                <w:szCs w:val="24"/>
              </w:rPr>
            </w:pPr>
            <w:r w:rsidRPr="0074221C">
              <w:rPr>
                <w:rFonts w:eastAsia="Times New Roman" w:cs="Times New Roman"/>
                <w:sz w:val="24"/>
                <w:szCs w:val="24"/>
              </w:rPr>
              <w:t>Sabiedrības līdzdalības rezultāti</w:t>
            </w:r>
          </w:p>
        </w:tc>
        <w:tc>
          <w:tcPr>
            <w:tcW w:w="5237" w:type="dxa"/>
            <w:tcBorders>
              <w:top w:val="outset" w:sz="6" w:space="0" w:color="414142"/>
              <w:left w:val="outset" w:sz="6" w:space="0" w:color="414142"/>
              <w:bottom w:val="outset" w:sz="6" w:space="0" w:color="414142"/>
              <w:right w:val="outset" w:sz="6" w:space="0" w:color="414142"/>
            </w:tcBorders>
            <w:hideMark/>
          </w:tcPr>
          <w:p w:rsidR="002E600A" w:rsidRPr="00AF23EA" w:rsidRDefault="002E600A" w:rsidP="00FD6B23">
            <w:pPr>
              <w:rPr>
                <w:rFonts w:eastAsia="Times New Roman" w:cs="Times New Roman"/>
                <w:sz w:val="24"/>
                <w:szCs w:val="24"/>
              </w:rPr>
            </w:pPr>
            <w:r w:rsidRPr="00AF23EA">
              <w:rPr>
                <w:rFonts w:eastAsia="Times New Roman" w:cs="Times New Roman"/>
                <w:sz w:val="24"/>
                <w:szCs w:val="24"/>
              </w:rPr>
              <w:t>Nav.</w:t>
            </w:r>
          </w:p>
        </w:tc>
      </w:tr>
      <w:tr w:rsidR="002E600A" w:rsidRPr="0074221C" w:rsidTr="00FD6B23">
        <w:trPr>
          <w:trHeight w:val="268"/>
          <w:jc w:val="center"/>
        </w:trPr>
        <w:tc>
          <w:tcPr>
            <w:tcW w:w="317" w:type="dxa"/>
            <w:tcBorders>
              <w:top w:val="outset" w:sz="6" w:space="0" w:color="414142"/>
              <w:left w:val="outset" w:sz="6" w:space="0" w:color="414142"/>
              <w:bottom w:val="outset" w:sz="6" w:space="0" w:color="414142"/>
              <w:right w:val="outset" w:sz="6" w:space="0" w:color="414142"/>
            </w:tcBorders>
            <w:hideMark/>
          </w:tcPr>
          <w:p w:rsidR="002E600A" w:rsidRPr="0074221C" w:rsidRDefault="002E600A" w:rsidP="00FD6B23">
            <w:pPr>
              <w:rPr>
                <w:rFonts w:eastAsia="Times New Roman" w:cs="Times New Roman"/>
                <w:color w:val="414142"/>
                <w:sz w:val="24"/>
                <w:szCs w:val="24"/>
              </w:rPr>
            </w:pPr>
            <w:r w:rsidRPr="0074221C">
              <w:rPr>
                <w:rFonts w:eastAsia="Times New Roman" w:cs="Times New Roman"/>
                <w:color w:val="414142"/>
                <w:sz w:val="24"/>
                <w:szCs w:val="24"/>
              </w:rPr>
              <w:t>4.</w:t>
            </w:r>
          </w:p>
        </w:tc>
        <w:tc>
          <w:tcPr>
            <w:tcW w:w="3644" w:type="dxa"/>
            <w:tcBorders>
              <w:top w:val="outset" w:sz="6" w:space="0" w:color="414142"/>
              <w:left w:val="outset" w:sz="6" w:space="0" w:color="414142"/>
              <w:bottom w:val="outset" w:sz="6" w:space="0" w:color="414142"/>
              <w:right w:val="outset" w:sz="6" w:space="0" w:color="414142"/>
            </w:tcBorders>
            <w:hideMark/>
          </w:tcPr>
          <w:p w:rsidR="002E600A" w:rsidRPr="0074221C" w:rsidRDefault="002E600A" w:rsidP="00FD6B23">
            <w:pPr>
              <w:rPr>
                <w:rFonts w:eastAsia="Times New Roman" w:cs="Times New Roman"/>
                <w:sz w:val="24"/>
                <w:szCs w:val="24"/>
              </w:rPr>
            </w:pPr>
            <w:r w:rsidRPr="0074221C">
              <w:rPr>
                <w:rFonts w:eastAsia="Times New Roman" w:cs="Times New Roman"/>
                <w:sz w:val="24"/>
                <w:szCs w:val="24"/>
              </w:rPr>
              <w:t>Cita informācija</w:t>
            </w:r>
          </w:p>
        </w:tc>
        <w:tc>
          <w:tcPr>
            <w:tcW w:w="5237" w:type="dxa"/>
            <w:tcBorders>
              <w:top w:val="outset" w:sz="6" w:space="0" w:color="414142"/>
              <w:left w:val="outset" w:sz="6" w:space="0" w:color="414142"/>
              <w:bottom w:val="outset" w:sz="6" w:space="0" w:color="414142"/>
              <w:right w:val="outset" w:sz="6" w:space="0" w:color="414142"/>
            </w:tcBorders>
            <w:hideMark/>
          </w:tcPr>
          <w:p w:rsidR="002E600A" w:rsidRPr="0074221C" w:rsidRDefault="002E600A" w:rsidP="00FD6B23">
            <w:pPr>
              <w:rPr>
                <w:rFonts w:eastAsia="Times New Roman" w:cs="Times New Roman"/>
                <w:sz w:val="24"/>
                <w:szCs w:val="24"/>
              </w:rPr>
            </w:pPr>
            <w:r w:rsidRPr="0074221C">
              <w:rPr>
                <w:rFonts w:eastAsia="Times New Roman" w:cs="Times New Roman"/>
                <w:sz w:val="24"/>
                <w:szCs w:val="24"/>
              </w:rPr>
              <w:t>Nav.</w:t>
            </w:r>
          </w:p>
        </w:tc>
      </w:tr>
    </w:tbl>
    <w:p w:rsidR="002E600A" w:rsidRPr="0074221C" w:rsidRDefault="002E600A" w:rsidP="002E600A">
      <w:pPr>
        <w:shd w:val="clear" w:color="auto" w:fill="FFFFFF"/>
        <w:rPr>
          <w:rFonts w:ascii="Arial" w:eastAsia="Times New Roman" w:hAnsi="Arial" w:cs="Arial"/>
          <w:color w:val="414142"/>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2E600A" w:rsidRPr="0074221C" w:rsidTr="00FD6B23">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E600A" w:rsidRPr="0074221C" w:rsidRDefault="002E600A" w:rsidP="00FD6B23">
            <w:pPr>
              <w:jc w:val="center"/>
              <w:rPr>
                <w:rFonts w:eastAsia="Times New Roman" w:cs="Times New Roman"/>
                <w:b/>
                <w:bCs/>
                <w:sz w:val="24"/>
                <w:szCs w:val="24"/>
              </w:rPr>
            </w:pPr>
            <w:r w:rsidRPr="0074221C">
              <w:rPr>
                <w:rFonts w:eastAsia="Times New Roman" w:cs="Times New Roman"/>
                <w:b/>
                <w:bCs/>
                <w:sz w:val="24"/>
                <w:szCs w:val="24"/>
              </w:rPr>
              <w:lastRenderedPageBreak/>
              <w:t>VII. Tiesību akta projekta izpildes nodrošināšana un tās ietekme uz institūcijām</w:t>
            </w:r>
          </w:p>
        </w:tc>
      </w:tr>
      <w:tr w:rsidR="002E600A" w:rsidRPr="0074221C" w:rsidTr="00FD6B23">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2E600A" w:rsidRPr="0074221C" w:rsidRDefault="002E600A" w:rsidP="00FD6B23">
            <w:pPr>
              <w:rPr>
                <w:rFonts w:eastAsia="Times New Roman" w:cs="Times New Roman"/>
                <w:color w:val="414142"/>
                <w:sz w:val="24"/>
                <w:szCs w:val="24"/>
              </w:rPr>
            </w:pPr>
            <w:r w:rsidRPr="0074221C">
              <w:rPr>
                <w:rFonts w:eastAsia="Times New Roman" w:cs="Times New Roman"/>
                <w:color w:val="414142"/>
                <w:sz w:val="24"/>
                <w:szCs w:val="24"/>
              </w:rPr>
              <w:t>1.</w:t>
            </w:r>
          </w:p>
        </w:tc>
        <w:tc>
          <w:tcPr>
            <w:tcW w:w="1900" w:type="pct"/>
            <w:tcBorders>
              <w:top w:val="outset" w:sz="6" w:space="0" w:color="414142"/>
              <w:left w:val="outset" w:sz="6" w:space="0" w:color="414142"/>
              <w:bottom w:val="outset" w:sz="6" w:space="0" w:color="414142"/>
              <w:right w:val="outset" w:sz="6" w:space="0" w:color="414142"/>
            </w:tcBorders>
            <w:hideMark/>
          </w:tcPr>
          <w:p w:rsidR="002E600A" w:rsidRPr="0074221C" w:rsidRDefault="002E600A" w:rsidP="00FD6B23">
            <w:pPr>
              <w:rPr>
                <w:rFonts w:eastAsia="Times New Roman" w:cs="Times New Roman"/>
                <w:sz w:val="24"/>
                <w:szCs w:val="24"/>
              </w:rPr>
            </w:pPr>
            <w:r w:rsidRPr="0074221C">
              <w:rPr>
                <w:rFonts w:eastAsia="Times New Roman" w:cs="Times New Roman"/>
                <w:sz w:val="24"/>
                <w:szCs w:val="24"/>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2E600A" w:rsidRPr="0074221C" w:rsidRDefault="002E600A" w:rsidP="00FD6B23">
            <w:pPr>
              <w:jc w:val="both"/>
              <w:rPr>
                <w:sz w:val="24"/>
                <w:szCs w:val="24"/>
              </w:rPr>
            </w:pPr>
            <w:r w:rsidRPr="0074221C">
              <w:rPr>
                <w:sz w:val="24"/>
                <w:szCs w:val="24"/>
              </w:rPr>
              <w:t xml:space="preserve">Noteikumu projekta īstenošanā ir iesaistīta Ekonomikas ministrija kā programmas </w:t>
            </w:r>
            <w:proofErr w:type="spellStart"/>
            <w:r w:rsidRPr="0074221C">
              <w:rPr>
                <w:sz w:val="24"/>
                <w:szCs w:val="24"/>
              </w:rPr>
              <w:t>apsaimniekotājs</w:t>
            </w:r>
            <w:proofErr w:type="spellEnd"/>
            <w:r w:rsidRPr="0074221C">
              <w:rPr>
                <w:sz w:val="24"/>
                <w:szCs w:val="24"/>
              </w:rPr>
              <w:t xml:space="preserve"> un </w:t>
            </w:r>
            <w:r>
              <w:rPr>
                <w:sz w:val="24"/>
                <w:szCs w:val="24"/>
              </w:rPr>
              <w:t>Latvijas Investīciju un attīstības aģentūru</w:t>
            </w:r>
            <w:r w:rsidRPr="0074221C">
              <w:rPr>
                <w:sz w:val="24"/>
                <w:szCs w:val="24"/>
              </w:rPr>
              <w:t xml:space="preserve">, kam ir </w:t>
            </w:r>
            <w:r>
              <w:rPr>
                <w:sz w:val="24"/>
                <w:szCs w:val="24"/>
              </w:rPr>
              <w:t>deleģēti atsevišķi</w:t>
            </w:r>
            <w:r w:rsidRPr="0074221C">
              <w:rPr>
                <w:sz w:val="24"/>
                <w:szCs w:val="24"/>
              </w:rPr>
              <w:t xml:space="preserve"> Ekonomikas ministrijas</w:t>
            </w:r>
            <w:r>
              <w:rPr>
                <w:sz w:val="24"/>
                <w:szCs w:val="24"/>
              </w:rPr>
              <w:t xml:space="preserve"> kā programmas </w:t>
            </w:r>
            <w:proofErr w:type="spellStart"/>
            <w:r>
              <w:rPr>
                <w:sz w:val="24"/>
                <w:szCs w:val="24"/>
              </w:rPr>
              <w:t>apsaimniekotāja</w:t>
            </w:r>
            <w:proofErr w:type="spellEnd"/>
            <w:r w:rsidRPr="0074221C">
              <w:rPr>
                <w:sz w:val="24"/>
                <w:szCs w:val="24"/>
              </w:rPr>
              <w:t xml:space="preserve"> uzdevumi attiecībā uz programmas īstenošanu.</w:t>
            </w:r>
          </w:p>
        </w:tc>
      </w:tr>
      <w:tr w:rsidR="002E600A" w:rsidRPr="0074221C" w:rsidTr="00FD6B23">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2E600A" w:rsidRPr="0074221C" w:rsidRDefault="002E600A" w:rsidP="00FD6B23">
            <w:pPr>
              <w:rPr>
                <w:rFonts w:eastAsia="Times New Roman" w:cs="Times New Roman"/>
                <w:color w:val="414142"/>
                <w:sz w:val="24"/>
                <w:szCs w:val="24"/>
              </w:rPr>
            </w:pPr>
            <w:r w:rsidRPr="0074221C">
              <w:rPr>
                <w:rFonts w:eastAsia="Times New Roman" w:cs="Times New Roman"/>
                <w:color w:val="414142"/>
                <w:sz w:val="24"/>
                <w:szCs w:val="24"/>
              </w:rPr>
              <w:t>2.</w:t>
            </w:r>
          </w:p>
        </w:tc>
        <w:tc>
          <w:tcPr>
            <w:tcW w:w="1900" w:type="pct"/>
            <w:tcBorders>
              <w:top w:val="outset" w:sz="6" w:space="0" w:color="414142"/>
              <w:left w:val="outset" w:sz="6" w:space="0" w:color="414142"/>
              <w:bottom w:val="outset" w:sz="6" w:space="0" w:color="414142"/>
              <w:right w:val="outset" w:sz="6" w:space="0" w:color="414142"/>
            </w:tcBorders>
            <w:hideMark/>
          </w:tcPr>
          <w:p w:rsidR="002E600A" w:rsidRPr="0074221C" w:rsidRDefault="002E600A" w:rsidP="00FD6B23">
            <w:pPr>
              <w:rPr>
                <w:rFonts w:eastAsia="Times New Roman" w:cs="Times New Roman"/>
                <w:sz w:val="24"/>
                <w:szCs w:val="24"/>
              </w:rPr>
            </w:pPr>
            <w:r w:rsidRPr="0074221C">
              <w:rPr>
                <w:rFonts w:eastAsia="Times New Roman" w:cs="Times New Roman"/>
                <w:sz w:val="24"/>
                <w:szCs w:val="24"/>
              </w:rPr>
              <w:t>Projekta izpildes ietekme uz pārvaldes funkcijām un institucionālo struktūru.</w:t>
            </w:r>
          </w:p>
          <w:p w:rsidR="002E600A" w:rsidRPr="0074221C" w:rsidRDefault="002E600A" w:rsidP="00FD6B23">
            <w:pPr>
              <w:rPr>
                <w:rFonts w:eastAsia="Times New Roman" w:cs="Times New Roman"/>
                <w:sz w:val="24"/>
                <w:szCs w:val="24"/>
              </w:rPr>
            </w:pPr>
            <w:r w:rsidRPr="0074221C">
              <w:rPr>
                <w:rFonts w:eastAsia="Times New Roman" w:cs="Times New Roman"/>
                <w:sz w:val="24"/>
                <w:szCs w:val="24"/>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2E600A" w:rsidRPr="0074221C" w:rsidRDefault="002E600A" w:rsidP="00FD6B23">
            <w:pPr>
              <w:jc w:val="both"/>
              <w:rPr>
                <w:rFonts w:eastAsia="Times New Roman" w:cs="Times New Roman"/>
                <w:sz w:val="24"/>
                <w:szCs w:val="24"/>
              </w:rPr>
            </w:pPr>
            <w:r w:rsidRPr="0074221C">
              <w:rPr>
                <w:rFonts w:eastAsia="Times New Roman" w:cs="Times New Roman"/>
                <w:sz w:val="24"/>
                <w:szCs w:val="24"/>
              </w:rPr>
              <w:t>Noteikumu projektam nav ietekmes uz pārvaldes funkcijām un institucionālo struktūru.</w:t>
            </w:r>
          </w:p>
        </w:tc>
      </w:tr>
      <w:tr w:rsidR="002E600A" w:rsidRPr="0074221C" w:rsidTr="00FD6B23">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2E600A" w:rsidRPr="0074221C" w:rsidRDefault="002E600A" w:rsidP="00FD6B23">
            <w:pPr>
              <w:rPr>
                <w:rFonts w:eastAsia="Times New Roman" w:cs="Times New Roman"/>
                <w:color w:val="414142"/>
                <w:sz w:val="24"/>
                <w:szCs w:val="24"/>
              </w:rPr>
            </w:pPr>
            <w:r w:rsidRPr="0074221C">
              <w:rPr>
                <w:rFonts w:eastAsia="Times New Roman" w:cs="Times New Roman"/>
                <w:color w:val="414142"/>
                <w:sz w:val="24"/>
                <w:szCs w:val="24"/>
              </w:rPr>
              <w:t>3.</w:t>
            </w:r>
          </w:p>
        </w:tc>
        <w:tc>
          <w:tcPr>
            <w:tcW w:w="1900" w:type="pct"/>
            <w:tcBorders>
              <w:top w:val="outset" w:sz="6" w:space="0" w:color="414142"/>
              <w:left w:val="outset" w:sz="6" w:space="0" w:color="414142"/>
              <w:bottom w:val="outset" w:sz="6" w:space="0" w:color="414142"/>
              <w:right w:val="outset" w:sz="6" w:space="0" w:color="414142"/>
            </w:tcBorders>
            <w:hideMark/>
          </w:tcPr>
          <w:p w:rsidR="002E600A" w:rsidRPr="0074221C" w:rsidRDefault="002E600A" w:rsidP="00FD6B23">
            <w:pPr>
              <w:rPr>
                <w:rFonts w:eastAsia="Times New Roman" w:cs="Times New Roman"/>
                <w:sz w:val="24"/>
                <w:szCs w:val="24"/>
              </w:rPr>
            </w:pPr>
            <w:r w:rsidRPr="0074221C">
              <w:rPr>
                <w:rFonts w:eastAsia="Times New Roman" w:cs="Times New Roman"/>
                <w:sz w:val="24"/>
                <w:szCs w:val="24"/>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2E600A" w:rsidRPr="0074221C" w:rsidRDefault="00594471" w:rsidP="00FD6B23">
            <w:pPr>
              <w:rPr>
                <w:rFonts w:eastAsia="Times New Roman" w:cs="Times New Roman"/>
                <w:sz w:val="24"/>
                <w:szCs w:val="24"/>
              </w:rPr>
            </w:pPr>
            <w:r>
              <w:rPr>
                <w:rFonts w:eastAsia="Times New Roman" w:cs="Times New Roman"/>
                <w:sz w:val="24"/>
                <w:szCs w:val="24"/>
              </w:rPr>
              <w:t>Nav.</w:t>
            </w:r>
          </w:p>
        </w:tc>
      </w:tr>
    </w:tbl>
    <w:p w:rsidR="002E600A" w:rsidRPr="0074221C" w:rsidRDefault="002E600A" w:rsidP="002E600A">
      <w:pPr>
        <w:tabs>
          <w:tab w:val="left" w:pos="960"/>
        </w:tabs>
        <w:rPr>
          <w:sz w:val="24"/>
          <w:szCs w:val="24"/>
        </w:rPr>
      </w:pPr>
      <w:r w:rsidRPr="0074221C">
        <w:rPr>
          <w:sz w:val="24"/>
          <w:szCs w:val="24"/>
        </w:rPr>
        <w:tab/>
      </w:r>
    </w:p>
    <w:p w:rsidR="002E600A" w:rsidRPr="0074221C" w:rsidRDefault="002E600A" w:rsidP="002E600A">
      <w:pPr>
        <w:pStyle w:val="naisf"/>
        <w:tabs>
          <w:tab w:val="left" w:pos="6710"/>
        </w:tabs>
        <w:spacing w:before="0" w:after="0"/>
        <w:rPr>
          <w:szCs w:val="24"/>
        </w:rPr>
      </w:pPr>
      <w:r w:rsidRPr="0074221C">
        <w:rPr>
          <w:i/>
          <w:szCs w:val="24"/>
        </w:rPr>
        <w:t xml:space="preserve">Anotācijas </w:t>
      </w:r>
      <w:r>
        <w:rPr>
          <w:i/>
          <w:szCs w:val="24"/>
        </w:rPr>
        <w:t>III</w:t>
      </w:r>
      <w:r w:rsidR="00E62F91">
        <w:rPr>
          <w:i/>
          <w:szCs w:val="24"/>
        </w:rPr>
        <w:t xml:space="preserve">, </w:t>
      </w:r>
      <w:r w:rsidRPr="0074221C">
        <w:rPr>
          <w:i/>
          <w:szCs w:val="24"/>
        </w:rPr>
        <w:t xml:space="preserve">IV </w:t>
      </w:r>
      <w:r w:rsidR="00E62F91">
        <w:rPr>
          <w:i/>
          <w:szCs w:val="24"/>
        </w:rPr>
        <w:t xml:space="preserve">un V </w:t>
      </w:r>
      <w:r w:rsidRPr="0074221C">
        <w:rPr>
          <w:i/>
          <w:szCs w:val="24"/>
        </w:rPr>
        <w:t>sadaļa - projekts š</w:t>
      </w:r>
      <w:r>
        <w:rPr>
          <w:i/>
          <w:szCs w:val="24"/>
        </w:rPr>
        <w:t>īs</w:t>
      </w:r>
      <w:r w:rsidRPr="0074221C">
        <w:rPr>
          <w:i/>
          <w:szCs w:val="24"/>
        </w:rPr>
        <w:t xml:space="preserve"> jom</w:t>
      </w:r>
      <w:r>
        <w:rPr>
          <w:i/>
          <w:szCs w:val="24"/>
        </w:rPr>
        <w:t>as</w:t>
      </w:r>
      <w:r w:rsidRPr="0074221C">
        <w:rPr>
          <w:i/>
          <w:szCs w:val="24"/>
        </w:rPr>
        <w:t xml:space="preserve"> neskar.</w:t>
      </w:r>
    </w:p>
    <w:p w:rsidR="002E600A" w:rsidRPr="0074221C" w:rsidRDefault="002E600A" w:rsidP="002E600A">
      <w:pPr>
        <w:pStyle w:val="naisf"/>
        <w:tabs>
          <w:tab w:val="left" w:pos="6710"/>
        </w:tabs>
        <w:spacing w:before="0" w:after="0"/>
        <w:rPr>
          <w:szCs w:val="24"/>
        </w:rPr>
      </w:pPr>
    </w:p>
    <w:p w:rsidR="002E600A" w:rsidRDefault="002E600A" w:rsidP="002E600A">
      <w:pPr>
        <w:jc w:val="both"/>
        <w:rPr>
          <w:sz w:val="24"/>
          <w:szCs w:val="24"/>
        </w:rPr>
      </w:pPr>
      <w:r>
        <w:rPr>
          <w:sz w:val="24"/>
          <w:szCs w:val="24"/>
        </w:rPr>
        <w:t>Ministru prezidenta biedrs,</w:t>
      </w:r>
    </w:p>
    <w:p w:rsidR="002E600A" w:rsidRPr="00927EE4" w:rsidRDefault="002E600A" w:rsidP="002E600A">
      <w:pPr>
        <w:jc w:val="both"/>
        <w:rPr>
          <w:sz w:val="24"/>
          <w:szCs w:val="24"/>
        </w:rPr>
      </w:pPr>
      <w:r>
        <w:rPr>
          <w:sz w:val="24"/>
          <w:szCs w:val="24"/>
        </w:rPr>
        <w:t>ekonomikas ministrs</w:t>
      </w:r>
      <w:r w:rsidRPr="00927EE4">
        <w:rPr>
          <w:sz w:val="24"/>
          <w:szCs w:val="24"/>
        </w:rPr>
        <w:tab/>
      </w:r>
      <w:r w:rsidRPr="00927EE4">
        <w:rPr>
          <w:sz w:val="24"/>
          <w:szCs w:val="24"/>
        </w:rPr>
        <w:tab/>
      </w:r>
      <w:r w:rsidRPr="00927EE4">
        <w:rPr>
          <w:sz w:val="24"/>
          <w:szCs w:val="24"/>
        </w:rPr>
        <w:tab/>
      </w:r>
      <w:r w:rsidRPr="00927EE4">
        <w:rPr>
          <w:sz w:val="24"/>
          <w:szCs w:val="24"/>
        </w:rPr>
        <w:tab/>
      </w:r>
      <w:r w:rsidRPr="00927EE4">
        <w:rPr>
          <w:sz w:val="24"/>
          <w:szCs w:val="24"/>
        </w:rPr>
        <w:tab/>
      </w:r>
      <w:r w:rsidRPr="00927EE4">
        <w:rPr>
          <w:sz w:val="24"/>
          <w:szCs w:val="24"/>
        </w:rPr>
        <w:tab/>
        <w:t xml:space="preserve">        </w:t>
      </w:r>
      <w:r>
        <w:rPr>
          <w:sz w:val="24"/>
          <w:szCs w:val="24"/>
        </w:rPr>
        <w:t>Arvils Ašeradens</w:t>
      </w:r>
    </w:p>
    <w:p w:rsidR="002E600A" w:rsidRPr="00927EE4" w:rsidRDefault="002E600A" w:rsidP="002E600A">
      <w:pPr>
        <w:pStyle w:val="EnvelopeReturn"/>
        <w:tabs>
          <w:tab w:val="left" w:pos="5100"/>
        </w:tabs>
        <w:spacing w:before="0"/>
        <w:rPr>
          <w:sz w:val="24"/>
          <w:szCs w:val="24"/>
          <w:lang w:val="lv-LV"/>
        </w:rPr>
      </w:pPr>
      <w:r>
        <w:rPr>
          <w:sz w:val="24"/>
          <w:szCs w:val="24"/>
          <w:lang w:val="lv-LV"/>
        </w:rPr>
        <w:tab/>
      </w:r>
    </w:p>
    <w:p w:rsidR="002E600A" w:rsidRPr="0036633F" w:rsidRDefault="002E600A" w:rsidP="002E600A">
      <w:pPr>
        <w:pStyle w:val="EnvelopeReturn"/>
        <w:spacing w:before="0"/>
        <w:rPr>
          <w:color w:val="000000"/>
          <w:sz w:val="24"/>
          <w:szCs w:val="24"/>
          <w:lang w:val="lv-LV"/>
        </w:rPr>
      </w:pPr>
      <w:r w:rsidRPr="00927EE4">
        <w:rPr>
          <w:sz w:val="24"/>
          <w:szCs w:val="24"/>
          <w:lang w:val="lv-LV"/>
        </w:rPr>
        <w:t>Vīza: Valsts sekretārs</w:t>
      </w:r>
      <w:r w:rsidRPr="00927EE4">
        <w:rPr>
          <w:sz w:val="24"/>
          <w:szCs w:val="24"/>
          <w:lang w:val="lv-LV"/>
        </w:rPr>
        <w:tab/>
      </w:r>
      <w:r>
        <w:rPr>
          <w:color w:val="000000"/>
          <w:sz w:val="24"/>
          <w:szCs w:val="24"/>
          <w:lang w:val="lv-LV"/>
        </w:rPr>
        <w:tab/>
      </w:r>
      <w:r>
        <w:rPr>
          <w:color w:val="000000"/>
          <w:sz w:val="24"/>
          <w:szCs w:val="24"/>
          <w:lang w:val="lv-LV"/>
        </w:rPr>
        <w:tab/>
      </w:r>
      <w:r>
        <w:rPr>
          <w:color w:val="000000"/>
          <w:sz w:val="24"/>
          <w:szCs w:val="24"/>
          <w:lang w:val="lv-LV"/>
        </w:rPr>
        <w:tab/>
      </w:r>
      <w:r>
        <w:rPr>
          <w:color w:val="000000"/>
          <w:sz w:val="24"/>
          <w:szCs w:val="24"/>
          <w:lang w:val="lv-LV"/>
        </w:rPr>
        <w:tab/>
      </w:r>
      <w:r>
        <w:rPr>
          <w:color w:val="000000"/>
          <w:sz w:val="24"/>
          <w:szCs w:val="24"/>
          <w:lang w:val="lv-LV"/>
        </w:rPr>
        <w:tab/>
        <w:t xml:space="preserve">        Juris </w:t>
      </w:r>
      <w:proofErr w:type="spellStart"/>
      <w:r>
        <w:rPr>
          <w:color w:val="000000"/>
          <w:sz w:val="24"/>
          <w:szCs w:val="24"/>
          <w:lang w:val="lv-LV"/>
        </w:rPr>
        <w:t>Stinka</w:t>
      </w:r>
      <w:proofErr w:type="spellEnd"/>
      <w:r w:rsidRPr="00927EE4">
        <w:rPr>
          <w:color w:val="000000"/>
          <w:sz w:val="24"/>
          <w:szCs w:val="24"/>
          <w:lang w:val="lv-LV"/>
        </w:rPr>
        <w:tab/>
        <w:t xml:space="preserve">     </w:t>
      </w:r>
    </w:p>
    <w:p w:rsidR="002E600A" w:rsidRPr="00927EE4" w:rsidRDefault="002E600A" w:rsidP="002E600A">
      <w:pPr>
        <w:jc w:val="both"/>
        <w:rPr>
          <w:color w:val="000000"/>
          <w:sz w:val="24"/>
          <w:szCs w:val="24"/>
        </w:rPr>
      </w:pPr>
    </w:p>
    <w:p w:rsidR="002E600A" w:rsidRPr="00927EE4" w:rsidRDefault="00BB0841" w:rsidP="002E600A">
      <w:pPr>
        <w:jc w:val="both"/>
        <w:rPr>
          <w:rFonts w:cs="Times New Roman"/>
          <w:b/>
          <w:color w:val="000000"/>
          <w:sz w:val="20"/>
          <w:szCs w:val="20"/>
        </w:rPr>
      </w:pPr>
      <w:r>
        <w:rPr>
          <w:rFonts w:cs="Times New Roman"/>
          <w:color w:val="000000"/>
          <w:sz w:val="20"/>
          <w:szCs w:val="20"/>
        </w:rPr>
        <w:t>16</w:t>
      </w:r>
      <w:r w:rsidR="002E600A" w:rsidRPr="00927EE4">
        <w:rPr>
          <w:rFonts w:cs="Times New Roman"/>
          <w:color w:val="000000"/>
          <w:sz w:val="20"/>
          <w:szCs w:val="20"/>
        </w:rPr>
        <w:t>.</w:t>
      </w:r>
      <w:r w:rsidR="002E600A">
        <w:rPr>
          <w:rFonts w:cs="Times New Roman"/>
          <w:color w:val="000000"/>
          <w:sz w:val="20"/>
          <w:szCs w:val="20"/>
        </w:rPr>
        <w:t>0</w:t>
      </w:r>
      <w:r w:rsidR="00594471">
        <w:rPr>
          <w:rFonts w:cs="Times New Roman"/>
          <w:color w:val="000000"/>
          <w:sz w:val="20"/>
          <w:szCs w:val="20"/>
        </w:rPr>
        <w:t>3</w:t>
      </w:r>
      <w:r w:rsidR="002E600A" w:rsidRPr="00927EE4">
        <w:rPr>
          <w:rFonts w:cs="Times New Roman"/>
          <w:color w:val="000000"/>
          <w:sz w:val="20"/>
          <w:szCs w:val="20"/>
        </w:rPr>
        <w:t>.201</w:t>
      </w:r>
      <w:r w:rsidR="002E600A">
        <w:rPr>
          <w:rFonts w:cs="Times New Roman"/>
          <w:color w:val="000000"/>
          <w:sz w:val="20"/>
          <w:szCs w:val="20"/>
        </w:rPr>
        <w:t>7</w:t>
      </w:r>
      <w:r w:rsidR="002E600A" w:rsidRPr="00927EE4">
        <w:rPr>
          <w:rFonts w:cs="Times New Roman"/>
          <w:color w:val="000000"/>
          <w:sz w:val="20"/>
          <w:szCs w:val="20"/>
        </w:rPr>
        <w:t xml:space="preserve"> </w:t>
      </w:r>
      <w:r w:rsidR="002D201A">
        <w:rPr>
          <w:rFonts w:cs="Times New Roman"/>
          <w:sz w:val="20"/>
          <w:szCs w:val="20"/>
        </w:rPr>
        <w:t>09.4</w:t>
      </w:r>
      <w:r w:rsidR="00F66D89">
        <w:rPr>
          <w:rFonts w:cs="Times New Roman"/>
          <w:sz w:val="20"/>
          <w:szCs w:val="20"/>
        </w:rPr>
        <w:t>8</w:t>
      </w:r>
      <w:bookmarkStart w:id="4" w:name="_GoBack"/>
      <w:bookmarkEnd w:id="4"/>
    </w:p>
    <w:p w:rsidR="002E600A" w:rsidRPr="00C46766" w:rsidRDefault="00E62F91" w:rsidP="002E600A">
      <w:pPr>
        <w:rPr>
          <w:rFonts w:eastAsia="Times New Roman" w:cs="Times New Roman"/>
          <w:sz w:val="20"/>
          <w:szCs w:val="20"/>
          <w:lang w:eastAsia="lv-LV" w:bidi="lo-LA"/>
        </w:rPr>
      </w:pPr>
      <w:r>
        <w:rPr>
          <w:rFonts w:eastAsia="Times New Roman" w:cs="Times New Roman"/>
          <w:sz w:val="20"/>
          <w:szCs w:val="20"/>
          <w:lang w:eastAsia="lv-LV" w:bidi="lo-LA"/>
        </w:rPr>
        <w:t>1</w:t>
      </w:r>
      <w:r w:rsidR="009B5A50">
        <w:rPr>
          <w:rFonts w:eastAsia="Times New Roman" w:cs="Times New Roman"/>
          <w:sz w:val="20"/>
          <w:szCs w:val="20"/>
          <w:lang w:eastAsia="lv-LV" w:bidi="lo-LA"/>
        </w:rPr>
        <w:t>192</w:t>
      </w:r>
    </w:p>
    <w:p w:rsidR="002E600A" w:rsidRPr="00376D06" w:rsidRDefault="002E600A" w:rsidP="002E600A">
      <w:pPr>
        <w:rPr>
          <w:rFonts w:cs="Times New Roman"/>
          <w:sz w:val="20"/>
          <w:szCs w:val="20"/>
          <w:lang w:eastAsia="en-US"/>
        </w:rPr>
      </w:pPr>
      <w:proofErr w:type="spellStart"/>
      <w:r>
        <w:rPr>
          <w:rFonts w:cs="Times New Roman"/>
          <w:sz w:val="20"/>
          <w:szCs w:val="20"/>
          <w:lang w:eastAsia="en-US"/>
        </w:rPr>
        <w:t>S.Kalnmale</w:t>
      </w:r>
      <w:proofErr w:type="spellEnd"/>
      <w:r w:rsidRPr="00C46766">
        <w:rPr>
          <w:rFonts w:cs="Times New Roman"/>
          <w:sz w:val="20"/>
          <w:szCs w:val="20"/>
          <w:lang w:eastAsia="en-US"/>
        </w:rPr>
        <w:t>, 67013</w:t>
      </w:r>
      <w:r w:rsidRPr="00376D06">
        <w:rPr>
          <w:rFonts w:cs="Times New Roman"/>
          <w:sz w:val="20"/>
          <w:szCs w:val="20"/>
          <w:lang w:eastAsia="en-US"/>
        </w:rPr>
        <w:t>022</w:t>
      </w:r>
    </w:p>
    <w:p w:rsidR="0013273E" w:rsidRDefault="000A34C2" w:rsidP="002E600A">
      <w:hyperlink r:id="rId8" w:history="1">
        <w:r w:rsidR="002E600A" w:rsidRPr="0033153E">
          <w:rPr>
            <w:rStyle w:val="Hyperlink"/>
            <w:rFonts w:cs="Times New Roman"/>
            <w:sz w:val="20"/>
            <w:szCs w:val="20"/>
            <w:lang w:eastAsia="en-US"/>
          </w:rPr>
          <w:t>Santa.Kalnmale@em.gov.lv</w:t>
        </w:r>
      </w:hyperlink>
    </w:p>
    <w:sectPr w:rsidR="0013273E" w:rsidSect="00121D2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4C2" w:rsidRDefault="000A34C2" w:rsidP="002E600A">
      <w:r>
        <w:separator/>
      </w:r>
    </w:p>
  </w:endnote>
  <w:endnote w:type="continuationSeparator" w:id="0">
    <w:p w:rsidR="000A34C2" w:rsidRDefault="000A34C2" w:rsidP="002E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01A" w:rsidRDefault="002D20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00A" w:rsidRPr="00307AFC" w:rsidRDefault="002E600A" w:rsidP="002E600A">
    <w:pPr>
      <w:jc w:val="both"/>
      <w:rPr>
        <w:sz w:val="20"/>
        <w:szCs w:val="20"/>
      </w:rPr>
    </w:pPr>
    <w:r>
      <w:rPr>
        <w:sz w:val="20"/>
        <w:szCs w:val="20"/>
      </w:rPr>
      <w:t>EMAnot_</w:t>
    </w:r>
    <w:r w:rsidR="002D201A">
      <w:rPr>
        <w:sz w:val="20"/>
        <w:szCs w:val="20"/>
      </w:rPr>
      <w:t>17</w:t>
    </w:r>
    <w:r w:rsidR="00263270">
      <w:rPr>
        <w:sz w:val="20"/>
        <w:szCs w:val="20"/>
      </w:rPr>
      <w:t>03</w:t>
    </w:r>
    <w:r w:rsidR="00EC5382">
      <w:rPr>
        <w:sz w:val="20"/>
        <w:szCs w:val="20"/>
      </w:rPr>
      <w:t>2017</w:t>
    </w:r>
    <w:r w:rsidRPr="00307AFC">
      <w:rPr>
        <w:sz w:val="20"/>
        <w:szCs w:val="20"/>
      </w:rPr>
      <w:t xml:space="preserve">_NORProgramma; Ministru kabineta noteikumu projekta „Grozījumi Ministru kabineta 2013.gada </w:t>
    </w:r>
    <w:r>
      <w:rPr>
        <w:sz w:val="20"/>
        <w:szCs w:val="20"/>
      </w:rPr>
      <w:t>2</w:t>
    </w:r>
    <w:r w:rsidRPr="00307AFC">
      <w:rPr>
        <w:sz w:val="20"/>
        <w:szCs w:val="20"/>
      </w:rPr>
      <w:t>.</w:t>
    </w:r>
    <w:r>
      <w:rPr>
        <w:sz w:val="20"/>
        <w:szCs w:val="20"/>
      </w:rPr>
      <w:t>aprīļa</w:t>
    </w:r>
    <w:r w:rsidRPr="00307AFC">
      <w:rPr>
        <w:sz w:val="20"/>
        <w:szCs w:val="20"/>
      </w:rPr>
      <w:t xml:space="preserve"> noteikumos Nr.1</w:t>
    </w:r>
    <w:r>
      <w:rPr>
        <w:sz w:val="20"/>
        <w:szCs w:val="20"/>
      </w:rPr>
      <w:t>81</w:t>
    </w:r>
    <w:r w:rsidRPr="00307AFC">
      <w:rPr>
        <w:sz w:val="20"/>
        <w:szCs w:val="20"/>
      </w:rPr>
      <w:t xml:space="preserve"> „Norvēģijas finanšu instrumenta 2009.–2014.gada perioda programmas "Inovācijas "zaļās" ražošanas jomā" īstenošanas kārtība”” sākotnējās ietekmes novērtējuma ziņojums (anotācija)</w:t>
    </w:r>
    <w:r w:rsidR="006159EF">
      <w:rPr>
        <w:sz w:val="20"/>
        <w:szCs w:val="20"/>
      </w:rPr>
      <w:t>.</w:t>
    </w:r>
  </w:p>
  <w:p w:rsidR="002E600A" w:rsidRDefault="002E60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EF" w:rsidRPr="00307AFC" w:rsidRDefault="002D201A" w:rsidP="006159EF">
    <w:pPr>
      <w:jc w:val="both"/>
      <w:rPr>
        <w:sz w:val="20"/>
        <w:szCs w:val="20"/>
      </w:rPr>
    </w:pPr>
    <w:r>
      <w:rPr>
        <w:sz w:val="20"/>
        <w:szCs w:val="20"/>
      </w:rPr>
      <w:t>EMAnot_17</w:t>
    </w:r>
    <w:r w:rsidR="006159EF">
      <w:rPr>
        <w:sz w:val="20"/>
        <w:szCs w:val="20"/>
      </w:rPr>
      <w:t>032017</w:t>
    </w:r>
    <w:r w:rsidR="006159EF" w:rsidRPr="00307AFC">
      <w:rPr>
        <w:sz w:val="20"/>
        <w:szCs w:val="20"/>
      </w:rPr>
      <w:t xml:space="preserve">_NORProgramma; Ministru kabineta noteikumu projekta „Grozījumi Ministru kabineta 2013.gada </w:t>
    </w:r>
    <w:r w:rsidR="006159EF">
      <w:rPr>
        <w:sz w:val="20"/>
        <w:szCs w:val="20"/>
      </w:rPr>
      <w:t>2</w:t>
    </w:r>
    <w:r w:rsidR="006159EF" w:rsidRPr="00307AFC">
      <w:rPr>
        <w:sz w:val="20"/>
        <w:szCs w:val="20"/>
      </w:rPr>
      <w:t>.</w:t>
    </w:r>
    <w:r w:rsidR="006159EF">
      <w:rPr>
        <w:sz w:val="20"/>
        <w:szCs w:val="20"/>
      </w:rPr>
      <w:t>aprīļa</w:t>
    </w:r>
    <w:r w:rsidR="006159EF" w:rsidRPr="00307AFC">
      <w:rPr>
        <w:sz w:val="20"/>
        <w:szCs w:val="20"/>
      </w:rPr>
      <w:t xml:space="preserve"> noteikumos Nr.1</w:t>
    </w:r>
    <w:r w:rsidR="006159EF">
      <w:rPr>
        <w:sz w:val="20"/>
        <w:szCs w:val="20"/>
      </w:rPr>
      <w:t>81</w:t>
    </w:r>
    <w:r w:rsidR="006159EF" w:rsidRPr="00307AFC">
      <w:rPr>
        <w:sz w:val="20"/>
        <w:szCs w:val="20"/>
      </w:rPr>
      <w:t xml:space="preserve"> „Norvēģijas finanšu instrumenta 2009.–2014.gada perioda programmas "Inovācijas "zaļās" ražošanas jomā" īstenošanas kārtība”” sākotnējās ietekmes novērtējuma ziņojums (anotācija)</w:t>
    </w:r>
    <w:r w:rsidR="006159EF">
      <w:rPr>
        <w:sz w:val="20"/>
        <w:szCs w:val="20"/>
      </w:rPr>
      <w:t>.</w:t>
    </w:r>
  </w:p>
  <w:p w:rsidR="00121D23" w:rsidRDefault="00121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4C2" w:rsidRDefault="000A34C2" w:rsidP="002E600A">
      <w:r>
        <w:separator/>
      </w:r>
    </w:p>
  </w:footnote>
  <w:footnote w:type="continuationSeparator" w:id="0">
    <w:p w:rsidR="000A34C2" w:rsidRDefault="000A34C2" w:rsidP="002E6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01A" w:rsidRDefault="002D20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506860"/>
      <w:docPartObj>
        <w:docPartGallery w:val="Page Numbers (Top of Page)"/>
        <w:docPartUnique/>
      </w:docPartObj>
    </w:sdtPr>
    <w:sdtEndPr>
      <w:rPr>
        <w:noProof/>
      </w:rPr>
    </w:sdtEndPr>
    <w:sdtContent>
      <w:p w:rsidR="00121D23" w:rsidRDefault="00121D23">
        <w:pPr>
          <w:pStyle w:val="Header"/>
          <w:jc w:val="center"/>
        </w:pPr>
        <w:r>
          <w:fldChar w:fldCharType="begin"/>
        </w:r>
        <w:r>
          <w:instrText xml:space="preserve"> PAGE   \* MERGEFORMAT </w:instrText>
        </w:r>
        <w:r>
          <w:fldChar w:fldCharType="separate"/>
        </w:r>
        <w:r w:rsidR="00F66D89">
          <w:rPr>
            <w:noProof/>
          </w:rPr>
          <w:t>4</w:t>
        </w:r>
        <w:r>
          <w:rPr>
            <w:noProof/>
          </w:rPr>
          <w:fldChar w:fldCharType="end"/>
        </w:r>
      </w:p>
    </w:sdtContent>
  </w:sdt>
  <w:p w:rsidR="00121D23" w:rsidRDefault="00121D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01A" w:rsidRDefault="002D2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3695A"/>
    <w:multiLevelType w:val="hybridMultilevel"/>
    <w:tmpl w:val="26FCF4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0A"/>
    <w:rsid w:val="00070B87"/>
    <w:rsid w:val="0007244B"/>
    <w:rsid w:val="00083A4D"/>
    <w:rsid w:val="000A34C2"/>
    <w:rsid w:val="000B0504"/>
    <w:rsid w:val="000F4A69"/>
    <w:rsid w:val="00121D23"/>
    <w:rsid w:val="00154C15"/>
    <w:rsid w:val="001904BA"/>
    <w:rsid w:val="00244B3B"/>
    <w:rsid w:val="00263270"/>
    <w:rsid w:val="002C066A"/>
    <w:rsid w:val="002D201A"/>
    <w:rsid w:val="002D4A8B"/>
    <w:rsid w:val="002E600A"/>
    <w:rsid w:val="0035547C"/>
    <w:rsid w:val="00392B00"/>
    <w:rsid w:val="003B6FD6"/>
    <w:rsid w:val="003E37D0"/>
    <w:rsid w:val="0041721B"/>
    <w:rsid w:val="00490780"/>
    <w:rsid w:val="005906D6"/>
    <w:rsid w:val="00594471"/>
    <w:rsid w:val="006001A9"/>
    <w:rsid w:val="006153CB"/>
    <w:rsid w:val="006159EF"/>
    <w:rsid w:val="008020C4"/>
    <w:rsid w:val="008B2A51"/>
    <w:rsid w:val="008E072A"/>
    <w:rsid w:val="008F6CD5"/>
    <w:rsid w:val="00942E16"/>
    <w:rsid w:val="009B5A50"/>
    <w:rsid w:val="00A02784"/>
    <w:rsid w:val="00B545CE"/>
    <w:rsid w:val="00B645B0"/>
    <w:rsid w:val="00BB0841"/>
    <w:rsid w:val="00C03029"/>
    <w:rsid w:val="00CE698B"/>
    <w:rsid w:val="00E13AA6"/>
    <w:rsid w:val="00E57D0C"/>
    <w:rsid w:val="00E62F91"/>
    <w:rsid w:val="00E655BE"/>
    <w:rsid w:val="00EC5382"/>
    <w:rsid w:val="00EF23DA"/>
    <w:rsid w:val="00EF741D"/>
    <w:rsid w:val="00F05BE7"/>
    <w:rsid w:val="00F66D89"/>
    <w:rsid w:val="00F717CE"/>
    <w:rsid w:val="00FC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C2882F-74DF-426F-ACBC-50360B13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00A"/>
    <w:pPr>
      <w:spacing w:after="0" w:line="240" w:lineRule="auto"/>
    </w:pPr>
    <w:rPr>
      <w:rFonts w:ascii="Times New Roman" w:eastAsia="MS Mincho" w:hAnsi="Times New Roman"/>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00A"/>
    <w:rPr>
      <w:color w:val="0000FF"/>
      <w:u w:val="single"/>
    </w:rPr>
  </w:style>
  <w:style w:type="paragraph" w:styleId="ListParagraph">
    <w:name w:val="List Paragraph"/>
    <w:basedOn w:val="Normal"/>
    <w:uiPriority w:val="34"/>
    <w:qFormat/>
    <w:rsid w:val="002E600A"/>
    <w:pPr>
      <w:ind w:left="720"/>
      <w:contextualSpacing/>
    </w:pPr>
  </w:style>
  <w:style w:type="paragraph" w:customStyle="1" w:styleId="naisf">
    <w:name w:val="naisf"/>
    <w:basedOn w:val="Normal"/>
    <w:rsid w:val="002E600A"/>
    <w:pPr>
      <w:spacing w:before="100" w:after="100"/>
    </w:pPr>
    <w:rPr>
      <w:rFonts w:eastAsia="Times New Roman" w:cs="Times New Roman"/>
      <w:sz w:val="24"/>
      <w:szCs w:val="20"/>
      <w:lang w:eastAsia="lv-LV"/>
    </w:rPr>
  </w:style>
  <w:style w:type="paragraph" w:styleId="EnvelopeReturn">
    <w:name w:val="envelope return"/>
    <w:basedOn w:val="Normal"/>
    <w:semiHidden/>
    <w:rsid w:val="002E600A"/>
    <w:pPr>
      <w:keepLines/>
      <w:widowControl w:val="0"/>
      <w:spacing w:before="600"/>
    </w:pPr>
    <w:rPr>
      <w:rFonts w:eastAsia="Times New Roman" w:cs="Times New Roman"/>
      <w:sz w:val="26"/>
      <w:szCs w:val="20"/>
      <w:lang w:val="en-AU" w:eastAsia="lv-LV"/>
    </w:rPr>
  </w:style>
  <w:style w:type="paragraph" w:styleId="BodyText">
    <w:name w:val="Body Text"/>
    <w:basedOn w:val="Normal"/>
    <w:link w:val="BodyTextChar"/>
    <w:semiHidden/>
    <w:rsid w:val="002E600A"/>
    <w:pPr>
      <w:jc w:val="both"/>
    </w:pPr>
    <w:rPr>
      <w:rFonts w:eastAsia="Times New Roman" w:cs="Times New Roman"/>
      <w:szCs w:val="20"/>
      <w:lang w:eastAsia="lv-LV"/>
    </w:rPr>
  </w:style>
  <w:style w:type="character" w:customStyle="1" w:styleId="BodyTextChar">
    <w:name w:val="Body Text Char"/>
    <w:basedOn w:val="DefaultParagraphFont"/>
    <w:link w:val="BodyText"/>
    <w:semiHidden/>
    <w:rsid w:val="002E600A"/>
    <w:rPr>
      <w:rFonts w:ascii="Times New Roman" w:eastAsia="Times New Roman" w:hAnsi="Times New Roman" w:cs="Times New Roman"/>
      <w:sz w:val="28"/>
      <w:szCs w:val="20"/>
      <w:lang w:eastAsia="lv-LV"/>
    </w:rPr>
  </w:style>
  <w:style w:type="paragraph" w:customStyle="1" w:styleId="naisc">
    <w:name w:val="naisc"/>
    <w:basedOn w:val="Normal"/>
    <w:rsid w:val="002E600A"/>
    <w:pPr>
      <w:spacing w:before="75" w:after="75"/>
      <w:jc w:val="center"/>
    </w:pPr>
    <w:rPr>
      <w:rFonts w:eastAsia="Times New Roman" w:cs="Times New Roman"/>
      <w:sz w:val="24"/>
      <w:szCs w:val="24"/>
      <w:lang w:eastAsia="lv-LV"/>
    </w:rPr>
  </w:style>
  <w:style w:type="paragraph" w:styleId="Header">
    <w:name w:val="header"/>
    <w:basedOn w:val="Normal"/>
    <w:link w:val="HeaderChar"/>
    <w:uiPriority w:val="99"/>
    <w:unhideWhenUsed/>
    <w:rsid w:val="002E600A"/>
    <w:pPr>
      <w:tabs>
        <w:tab w:val="center" w:pos="4153"/>
        <w:tab w:val="right" w:pos="8306"/>
      </w:tabs>
    </w:pPr>
  </w:style>
  <w:style w:type="character" w:customStyle="1" w:styleId="HeaderChar">
    <w:name w:val="Header Char"/>
    <w:basedOn w:val="DefaultParagraphFont"/>
    <w:link w:val="Header"/>
    <w:uiPriority w:val="99"/>
    <w:rsid w:val="002E600A"/>
    <w:rPr>
      <w:rFonts w:ascii="Times New Roman" w:eastAsia="MS Mincho" w:hAnsi="Times New Roman"/>
      <w:sz w:val="28"/>
      <w:lang w:eastAsia="ja-JP"/>
    </w:rPr>
  </w:style>
  <w:style w:type="paragraph" w:styleId="Footer">
    <w:name w:val="footer"/>
    <w:basedOn w:val="Normal"/>
    <w:link w:val="FooterChar"/>
    <w:uiPriority w:val="99"/>
    <w:unhideWhenUsed/>
    <w:rsid w:val="002E600A"/>
    <w:pPr>
      <w:tabs>
        <w:tab w:val="center" w:pos="4153"/>
        <w:tab w:val="right" w:pos="8306"/>
      </w:tabs>
    </w:pPr>
  </w:style>
  <w:style w:type="character" w:customStyle="1" w:styleId="FooterChar">
    <w:name w:val="Footer Char"/>
    <w:basedOn w:val="DefaultParagraphFont"/>
    <w:link w:val="Footer"/>
    <w:uiPriority w:val="99"/>
    <w:rsid w:val="002E600A"/>
    <w:rPr>
      <w:rFonts w:ascii="Times New Roman" w:eastAsia="MS Mincho" w:hAnsi="Times New Roman"/>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Kalnmale@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E0FB9-531F-4C99-A9BD-1C4EAB49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6665</Words>
  <Characters>3800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2.aprīļa noteikumos Nr.181 ,,Norvēģijas finanšu instrumenta 2009.-2014.gada perioda programmas ,,Inovācijas ,,zaļās'' ražošanas jomā'' īstenošanas kārtība'' sākotnējās ietekmes n</vt:lpstr>
    </vt:vector>
  </TitlesOfParts>
  <Company/>
  <LinksUpToDate>false</LinksUpToDate>
  <CharactersWithSpaces>10445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2.aprīļa noteikumos Nr.181 ,,Norvēģijas finanšu instrumenta 2009.-2014.gada perioda programmas ,,Inovācijas ,,zaļās'' ražošanas jomā'' īstenošanas kārtība'' sākotnējās ietekmes novērtējuma ziņojums (anotācija)</dc:title>
  <dc:subject/>
  <dc:creator>Santa Kalnmale</dc:creator>
  <cp:keywords/>
  <dc:description>Santa.Kalnmale@em.gov.lv, 67013022</dc:description>
  <cp:lastModifiedBy>Santa Kalnmale</cp:lastModifiedBy>
  <cp:revision>9</cp:revision>
  <dcterms:created xsi:type="dcterms:W3CDTF">2017-03-15T08:42:00Z</dcterms:created>
  <dcterms:modified xsi:type="dcterms:W3CDTF">2017-03-17T07:48:00Z</dcterms:modified>
</cp:coreProperties>
</file>