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3"/>
        <w:gridCol w:w="1785"/>
        <w:gridCol w:w="708"/>
        <w:gridCol w:w="2127"/>
      </w:tblGrid>
      <w:tr w:rsidR="00124F93" w:rsidRPr="00010C4E" w:rsidTr="003665ED">
        <w:tc>
          <w:tcPr>
            <w:tcW w:w="543"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rPr>
                <w:sz w:val="28"/>
                <w:szCs w:val="28"/>
              </w:rPr>
            </w:pPr>
            <w:bookmarkStart w:id="0" w:name="_GoBack"/>
            <w:bookmarkEnd w:id="0"/>
          </w:p>
        </w:tc>
        <w:bookmarkStart w:id="1" w:name="reg_dat"/>
        <w:tc>
          <w:tcPr>
            <w:tcW w:w="1785" w:type="dxa"/>
            <w:tcBorders>
              <w:top w:val="nil"/>
              <w:left w:val="nil"/>
              <w:bottom w:val="single" w:sz="4" w:space="0" w:color="auto"/>
              <w:right w:val="nil"/>
            </w:tcBorders>
          </w:tcPr>
          <w:p w:rsidR="00124F93" w:rsidRPr="00010C4E" w:rsidRDefault="00755954" w:rsidP="00124F93">
            <w:pPr>
              <w:widowControl/>
              <w:tabs>
                <w:tab w:val="left" w:pos="3960"/>
              </w:tabs>
              <w:spacing w:before="0" w:after="0" w:line="240" w:lineRule="auto"/>
              <w:ind w:firstLine="0"/>
              <w:rPr>
                <w:sz w:val="28"/>
                <w:szCs w:val="28"/>
              </w:rPr>
            </w:pPr>
            <w:r w:rsidRPr="00010C4E">
              <w:rPr>
                <w:sz w:val="28"/>
                <w:szCs w:val="28"/>
              </w:rPr>
              <w:fldChar w:fldCharType="begin">
                <w:ffData>
                  <w:name w:val="reg_dat"/>
                  <w:enabled/>
                  <w:calcOnExit w:val="0"/>
                  <w:textInput>
                    <w:default w:val="                      "/>
                  </w:textInput>
                </w:ffData>
              </w:fldChar>
            </w:r>
            <w:r w:rsidR="00124F93" w:rsidRPr="00010C4E">
              <w:rPr>
                <w:sz w:val="28"/>
                <w:szCs w:val="28"/>
              </w:rPr>
              <w:instrText xml:space="preserve"> FORMTEXT </w:instrText>
            </w:r>
            <w:r w:rsidR="00460860" w:rsidRPr="00010C4E">
              <w:rPr>
                <w:sz w:val="28"/>
                <w:szCs w:val="28"/>
              </w:rPr>
            </w:r>
            <w:r w:rsidRPr="00010C4E">
              <w:rPr>
                <w:sz w:val="28"/>
                <w:szCs w:val="28"/>
              </w:rPr>
              <w:fldChar w:fldCharType="separate"/>
            </w:r>
            <w:r w:rsidR="00460860">
              <w:rPr>
                <w:sz w:val="28"/>
                <w:szCs w:val="28"/>
              </w:rPr>
              <w:t>23.03.2017</w:t>
            </w:r>
            <w:r w:rsidRPr="00010C4E">
              <w:rPr>
                <w:sz w:val="28"/>
                <w:szCs w:val="28"/>
              </w:rPr>
              <w:fldChar w:fldCharType="end"/>
            </w:r>
            <w:bookmarkEnd w:id="1"/>
          </w:p>
        </w:tc>
        <w:tc>
          <w:tcPr>
            <w:tcW w:w="708"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jc w:val="center"/>
              <w:rPr>
                <w:sz w:val="28"/>
                <w:szCs w:val="28"/>
              </w:rPr>
            </w:pPr>
            <w:r w:rsidRPr="00010C4E">
              <w:rPr>
                <w:sz w:val="28"/>
                <w:szCs w:val="28"/>
              </w:rPr>
              <w:t>Nr.</w:t>
            </w:r>
          </w:p>
        </w:tc>
        <w:bookmarkStart w:id="2" w:name="lietas_nr"/>
        <w:tc>
          <w:tcPr>
            <w:tcW w:w="2127" w:type="dxa"/>
            <w:tcBorders>
              <w:top w:val="nil"/>
              <w:left w:val="nil"/>
              <w:bottom w:val="single" w:sz="4" w:space="0" w:color="auto"/>
              <w:right w:val="nil"/>
            </w:tcBorders>
          </w:tcPr>
          <w:p w:rsidR="00124F93" w:rsidRPr="00010C4E" w:rsidRDefault="00755954" w:rsidP="00486307">
            <w:pPr>
              <w:widowControl/>
              <w:tabs>
                <w:tab w:val="left" w:pos="360"/>
                <w:tab w:val="left" w:pos="3960"/>
              </w:tabs>
              <w:spacing w:before="0" w:after="0" w:line="240" w:lineRule="auto"/>
              <w:ind w:firstLine="0"/>
              <w:rPr>
                <w:sz w:val="28"/>
                <w:szCs w:val="28"/>
              </w:rPr>
            </w:pPr>
            <w:r w:rsidRPr="00010C4E">
              <w:rPr>
                <w:sz w:val="28"/>
                <w:szCs w:val="28"/>
              </w:rPr>
              <w:fldChar w:fldCharType="begin">
                <w:ffData>
                  <w:name w:val="lietas_nr"/>
                  <w:enabled/>
                  <w:calcOnExit w:val="0"/>
                  <w:textInput>
                    <w:default w:val="                "/>
                  </w:textInput>
                </w:ffData>
              </w:fldChar>
            </w:r>
            <w:r w:rsidR="00124F93" w:rsidRPr="00010C4E">
              <w:rPr>
                <w:sz w:val="28"/>
                <w:szCs w:val="28"/>
              </w:rPr>
              <w:instrText xml:space="preserve"> FORMTEXT </w:instrText>
            </w:r>
            <w:r w:rsidRPr="00010C4E">
              <w:rPr>
                <w:sz w:val="28"/>
                <w:szCs w:val="28"/>
              </w:rPr>
            </w:r>
            <w:r w:rsidRPr="00010C4E">
              <w:rPr>
                <w:sz w:val="28"/>
                <w:szCs w:val="28"/>
              </w:rPr>
              <w:fldChar w:fldCharType="separate"/>
            </w:r>
            <w:r w:rsidR="00A34D27" w:rsidRPr="00010C4E">
              <w:rPr>
                <w:sz w:val="28"/>
                <w:szCs w:val="28"/>
              </w:rPr>
              <w:t>1-1</w:t>
            </w:r>
            <w:r w:rsidRPr="00010C4E">
              <w:rPr>
                <w:sz w:val="28"/>
                <w:szCs w:val="28"/>
              </w:rPr>
              <w:fldChar w:fldCharType="end"/>
            </w:r>
            <w:bookmarkEnd w:id="2"/>
            <w:r w:rsidR="0085283D" w:rsidRPr="00010C4E">
              <w:rPr>
                <w:sz w:val="28"/>
                <w:szCs w:val="28"/>
              </w:rPr>
              <w:t>-</w:t>
            </w:r>
            <w:r w:rsidRPr="00010C4E">
              <w:rPr>
                <w:sz w:val="28"/>
                <w:szCs w:val="28"/>
              </w:rPr>
              <w:fldChar w:fldCharType="begin">
                <w:ffData>
                  <w:name w:val="reg_num"/>
                  <w:enabled/>
                  <w:calcOnExit w:val="0"/>
                  <w:textInput>
                    <w:default w:val="            "/>
                  </w:textInput>
                </w:ffData>
              </w:fldChar>
            </w:r>
            <w:bookmarkStart w:id="3" w:name="reg_num"/>
            <w:r w:rsidR="00486307" w:rsidRPr="00010C4E">
              <w:rPr>
                <w:sz w:val="28"/>
                <w:szCs w:val="28"/>
              </w:rPr>
              <w:instrText xml:space="preserve"> FORMTEXT </w:instrText>
            </w:r>
            <w:r w:rsidR="00460860" w:rsidRPr="00010C4E">
              <w:rPr>
                <w:sz w:val="28"/>
                <w:szCs w:val="28"/>
              </w:rPr>
            </w:r>
            <w:r w:rsidRPr="00010C4E">
              <w:rPr>
                <w:sz w:val="28"/>
                <w:szCs w:val="28"/>
              </w:rPr>
              <w:fldChar w:fldCharType="separate"/>
            </w:r>
            <w:r w:rsidR="00460860">
              <w:rPr>
                <w:sz w:val="28"/>
                <w:szCs w:val="28"/>
              </w:rPr>
              <w:t>2143</w:t>
            </w:r>
            <w:r w:rsidRPr="00010C4E">
              <w:rPr>
                <w:sz w:val="28"/>
                <w:szCs w:val="28"/>
              </w:rPr>
              <w:fldChar w:fldCharType="end"/>
            </w:r>
            <w:bookmarkEnd w:id="3"/>
          </w:p>
        </w:tc>
      </w:tr>
      <w:tr w:rsidR="00124F93" w:rsidRPr="00010C4E" w:rsidTr="003665ED">
        <w:trPr>
          <w:trHeight w:val="188"/>
        </w:trPr>
        <w:tc>
          <w:tcPr>
            <w:tcW w:w="543"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rPr>
                <w:sz w:val="28"/>
                <w:szCs w:val="28"/>
              </w:rPr>
            </w:pPr>
          </w:p>
        </w:tc>
        <w:tc>
          <w:tcPr>
            <w:tcW w:w="1785" w:type="dxa"/>
            <w:tcBorders>
              <w:top w:val="single" w:sz="4" w:space="0" w:color="auto"/>
              <w:left w:val="nil"/>
              <w:bottom w:val="nil"/>
              <w:right w:val="nil"/>
            </w:tcBorders>
          </w:tcPr>
          <w:p w:rsidR="00124F93" w:rsidRPr="00010C4E" w:rsidRDefault="00124F93" w:rsidP="00124F93">
            <w:pPr>
              <w:widowControl/>
              <w:tabs>
                <w:tab w:val="left" w:pos="360"/>
                <w:tab w:val="left" w:pos="3960"/>
              </w:tabs>
              <w:spacing w:before="0" w:after="0" w:line="240" w:lineRule="auto"/>
              <w:ind w:firstLine="0"/>
              <w:rPr>
                <w:sz w:val="28"/>
                <w:szCs w:val="28"/>
              </w:rPr>
            </w:pPr>
          </w:p>
        </w:tc>
        <w:tc>
          <w:tcPr>
            <w:tcW w:w="708"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jc w:val="center"/>
              <w:rPr>
                <w:sz w:val="28"/>
                <w:szCs w:val="28"/>
              </w:rPr>
            </w:pPr>
          </w:p>
        </w:tc>
        <w:tc>
          <w:tcPr>
            <w:tcW w:w="2127" w:type="dxa"/>
            <w:tcBorders>
              <w:top w:val="single" w:sz="4" w:space="0" w:color="auto"/>
              <w:left w:val="nil"/>
              <w:bottom w:val="nil"/>
              <w:right w:val="nil"/>
            </w:tcBorders>
          </w:tcPr>
          <w:p w:rsidR="00124F93" w:rsidRPr="00010C4E" w:rsidRDefault="00124F93" w:rsidP="00124F93">
            <w:pPr>
              <w:widowControl/>
              <w:tabs>
                <w:tab w:val="left" w:pos="360"/>
                <w:tab w:val="left" w:pos="3960"/>
              </w:tabs>
              <w:spacing w:before="0" w:after="0" w:line="240" w:lineRule="auto"/>
              <w:ind w:firstLine="0"/>
              <w:rPr>
                <w:sz w:val="28"/>
                <w:szCs w:val="28"/>
              </w:rPr>
            </w:pPr>
          </w:p>
        </w:tc>
      </w:tr>
      <w:tr w:rsidR="00124F93" w:rsidRPr="00010C4E" w:rsidTr="003665ED">
        <w:tc>
          <w:tcPr>
            <w:tcW w:w="543"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rPr>
                <w:sz w:val="28"/>
                <w:szCs w:val="28"/>
              </w:rPr>
            </w:pPr>
            <w:r w:rsidRPr="00010C4E">
              <w:rPr>
                <w:sz w:val="28"/>
                <w:szCs w:val="28"/>
              </w:rPr>
              <w:t>Uz</w:t>
            </w:r>
          </w:p>
        </w:tc>
        <w:bookmarkStart w:id="4" w:name="san_dat"/>
        <w:tc>
          <w:tcPr>
            <w:tcW w:w="1785" w:type="dxa"/>
            <w:tcBorders>
              <w:top w:val="nil"/>
              <w:left w:val="nil"/>
              <w:bottom w:val="single" w:sz="4" w:space="0" w:color="auto"/>
              <w:right w:val="nil"/>
            </w:tcBorders>
          </w:tcPr>
          <w:p w:rsidR="00124F93" w:rsidRPr="00010C4E" w:rsidRDefault="00755954" w:rsidP="00124F93">
            <w:pPr>
              <w:widowControl/>
              <w:tabs>
                <w:tab w:val="left" w:pos="360"/>
                <w:tab w:val="left" w:pos="3960"/>
              </w:tabs>
              <w:spacing w:before="0" w:after="0" w:line="240" w:lineRule="auto"/>
              <w:ind w:firstLine="0"/>
              <w:rPr>
                <w:sz w:val="28"/>
                <w:szCs w:val="28"/>
              </w:rPr>
            </w:pPr>
            <w:r w:rsidRPr="00010C4E">
              <w:rPr>
                <w:sz w:val="28"/>
                <w:szCs w:val="28"/>
              </w:rPr>
              <w:fldChar w:fldCharType="begin">
                <w:ffData>
                  <w:name w:val="san_dat"/>
                  <w:enabled/>
                  <w:calcOnExit w:val="0"/>
                  <w:textInput>
                    <w:default w:val="                      "/>
                  </w:textInput>
                </w:ffData>
              </w:fldChar>
            </w:r>
            <w:r w:rsidR="00124F93" w:rsidRPr="00010C4E">
              <w:rPr>
                <w:sz w:val="28"/>
                <w:szCs w:val="28"/>
              </w:rPr>
              <w:instrText xml:space="preserve"> FORMTEXT </w:instrText>
            </w:r>
            <w:r w:rsidRPr="00010C4E">
              <w:rPr>
                <w:sz w:val="28"/>
                <w:szCs w:val="28"/>
              </w:rPr>
            </w:r>
            <w:r w:rsidRPr="00010C4E">
              <w:rPr>
                <w:sz w:val="28"/>
                <w:szCs w:val="28"/>
              </w:rPr>
              <w:fldChar w:fldCharType="separate"/>
            </w:r>
            <w:r w:rsidR="00A34D27" w:rsidRPr="00010C4E">
              <w:rPr>
                <w:sz w:val="28"/>
                <w:szCs w:val="28"/>
              </w:rPr>
              <w:t>26.01.2016</w:t>
            </w:r>
            <w:r w:rsidRPr="00010C4E">
              <w:rPr>
                <w:sz w:val="28"/>
                <w:szCs w:val="28"/>
              </w:rPr>
              <w:fldChar w:fldCharType="end"/>
            </w:r>
            <w:bookmarkEnd w:id="4"/>
            <w:r w:rsidR="003665ED" w:rsidRPr="00010C4E">
              <w:rPr>
                <w:sz w:val="28"/>
                <w:szCs w:val="28"/>
              </w:rPr>
              <w:t>.</w:t>
            </w:r>
          </w:p>
        </w:tc>
        <w:tc>
          <w:tcPr>
            <w:tcW w:w="708" w:type="dxa"/>
            <w:tcBorders>
              <w:top w:val="nil"/>
              <w:left w:val="nil"/>
              <w:bottom w:val="nil"/>
              <w:right w:val="nil"/>
            </w:tcBorders>
          </w:tcPr>
          <w:p w:rsidR="00124F93" w:rsidRPr="00010C4E" w:rsidRDefault="00124F93" w:rsidP="00124F93">
            <w:pPr>
              <w:widowControl/>
              <w:tabs>
                <w:tab w:val="left" w:pos="360"/>
                <w:tab w:val="left" w:pos="3960"/>
              </w:tabs>
              <w:spacing w:before="0" w:after="0" w:line="240" w:lineRule="auto"/>
              <w:ind w:firstLine="0"/>
              <w:jc w:val="center"/>
              <w:rPr>
                <w:sz w:val="28"/>
                <w:szCs w:val="28"/>
              </w:rPr>
            </w:pPr>
            <w:r w:rsidRPr="00010C4E">
              <w:rPr>
                <w:sz w:val="28"/>
                <w:szCs w:val="28"/>
              </w:rPr>
              <w:t>Nr.</w:t>
            </w:r>
          </w:p>
        </w:tc>
        <w:bookmarkStart w:id="5" w:name="san_num"/>
        <w:tc>
          <w:tcPr>
            <w:tcW w:w="2127" w:type="dxa"/>
            <w:tcBorders>
              <w:top w:val="nil"/>
              <w:left w:val="nil"/>
              <w:bottom w:val="single" w:sz="4" w:space="0" w:color="auto"/>
              <w:right w:val="nil"/>
            </w:tcBorders>
          </w:tcPr>
          <w:p w:rsidR="00124F93" w:rsidRPr="00010C4E" w:rsidRDefault="00755954" w:rsidP="00124F93">
            <w:pPr>
              <w:widowControl/>
              <w:tabs>
                <w:tab w:val="left" w:pos="360"/>
                <w:tab w:val="left" w:pos="3960"/>
              </w:tabs>
              <w:spacing w:before="0" w:after="0" w:line="240" w:lineRule="auto"/>
              <w:ind w:firstLine="0"/>
              <w:rPr>
                <w:sz w:val="28"/>
                <w:szCs w:val="28"/>
              </w:rPr>
            </w:pPr>
            <w:r w:rsidRPr="00010C4E">
              <w:rPr>
                <w:sz w:val="28"/>
                <w:szCs w:val="28"/>
              </w:rPr>
              <w:fldChar w:fldCharType="begin">
                <w:ffData>
                  <w:name w:val="san_num"/>
                  <w:enabled/>
                  <w:calcOnExit w:val="0"/>
                  <w:textInput>
                    <w:default w:val="                             "/>
                  </w:textInput>
                </w:ffData>
              </w:fldChar>
            </w:r>
            <w:r w:rsidR="00124F93" w:rsidRPr="00010C4E">
              <w:rPr>
                <w:sz w:val="28"/>
                <w:szCs w:val="28"/>
              </w:rPr>
              <w:instrText xml:space="preserve"> FORMTEXT </w:instrText>
            </w:r>
            <w:r w:rsidRPr="00010C4E">
              <w:rPr>
                <w:sz w:val="28"/>
                <w:szCs w:val="28"/>
              </w:rPr>
            </w:r>
            <w:r w:rsidRPr="00010C4E">
              <w:rPr>
                <w:sz w:val="28"/>
                <w:szCs w:val="28"/>
              </w:rPr>
              <w:fldChar w:fldCharType="separate"/>
            </w:r>
            <w:r w:rsidR="00A34D27" w:rsidRPr="00010C4E">
              <w:rPr>
                <w:sz w:val="28"/>
                <w:szCs w:val="28"/>
              </w:rPr>
              <w:t>4, 91.§ 9.4.8.p</w:t>
            </w:r>
            <w:r w:rsidRPr="00010C4E">
              <w:rPr>
                <w:sz w:val="28"/>
                <w:szCs w:val="28"/>
              </w:rPr>
              <w:fldChar w:fldCharType="end"/>
            </w:r>
            <w:bookmarkEnd w:id="5"/>
          </w:p>
        </w:tc>
      </w:tr>
    </w:tbl>
    <w:p w:rsidR="003665ED" w:rsidRPr="00010C4E" w:rsidRDefault="003665ED" w:rsidP="00E5262D">
      <w:pPr>
        <w:pStyle w:val="EnvelopeAddress"/>
        <w:widowControl/>
        <w:ind w:hanging="5103"/>
        <w:rPr>
          <w:b/>
          <w:sz w:val="28"/>
          <w:szCs w:val="28"/>
        </w:rPr>
      </w:pPr>
    </w:p>
    <w:p w:rsidR="003665ED" w:rsidRPr="00010C4E" w:rsidRDefault="003665ED" w:rsidP="00E5262D">
      <w:pPr>
        <w:widowControl/>
        <w:tabs>
          <w:tab w:val="left" w:pos="4820"/>
        </w:tabs>
        <w:spacing w:before="0" w:after="0" w:line="240" w:lineRule="auto"/>
        <w:ind w:firstLine="0"/>
        <w:contextualSpacing/>
        <w:jc w:val="right"/>
        <w:rPr>
          <w:b/>
          <w:sz w:val="28"/>
          <w:szCs w:val="28"/>
        </w:rPr>
      </w:pPr>
    </w:p>
    <w:p w:rsidR="003665ED" w:rsidRPr="00010C4E" w:rsidRDefault="003665ED" w:rsidP="00E5262D">
      <w:pPr>
        <w:widowControl/>
        <w:tabs>
          <w:tab w:val="left" w:pos="4820"/>
        </w:tabs>
        <w:spacing w:before="0" w:after="0" w:line="240" w:lineRule="auto"/>
        <w:ind w:firstLine="0"/>
        <w:contextualSpacing/>
        <w:jc w:val="right"/>
        <w:rPr>
          <w:b/>
          <w:sz w:val="28"/>
          <w:szCs w:val="28"/>
        </w:rPr>
      </w:pPr>
      <w:r w:rsidRPr="00010C4E">
        <w:rPr>
          <w:b/>
          <w:sz w:val="28"/>
          <w:szCs w:val="28"/>
        </w:rPr>
        <w:t>Valsts kancelejai</w:t>
      </w:r>
    </w:p>
    <w:p w:rsidR="003665ED" w:rsidRPr="00010C4E" w:rsidRDefault="003665ED" w:rsidP="00E5262D">
      <w:pPr>
        <w:widowControl/>
        <w:tabs>
          <w:tab w:val="left" w:pos="4820"/>
        </w:tabs>
        <w:spacing w:before="0" w:after="0" w:line="240" w:lineRule="auto"/>
        <w:ind w:firstLine="0"/>
        <w:contextualSpacing/>
        <w:jc w:val="right"/>
        <w:rPr>
          <w:b/>
          <w:sz w:val="28"/>
          <w:szCs w:val="28"/>
        </w:rPr>
      </w:pPr>
    </w:p>
    <w:p w:rsidR="003665ED" w:rsidRPr="00010C4E" w:rsidRDefault="003665ED" w:rsidP="00E5262D">
      <w:pPr>
        <w:widowControl/>
        <w:tabs>
          <w:tab w:val="left" w:pos="5529"/>
        </w:tabs>
        <w:spacing w:before="0" w:after="0" w:line="240" w:lineRule="auto"/>
        <w:ind w:right="3827" w:firstLine="0"/>
        <w:contextualSpacing/>
        <w:rPr>
          <w:sz w:val="28"/>
          <w:szCs w:val="28"/>
        </w:rPr>
      </w:pPr>
      <w:r w:rsidRPr="00010C4E">
        <w:rPr>
          <w:sz w:val="28"/>
          <w:szCs w:val="28"/>
        </w:rPr>
        <w:t>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izpildi</w:t>
      </w:r>
    </w:p>
    <w:p w:rsidR="003665ED" w:rsidRPr="00010C4E" w:rsidRDefault="003665ED" w:rsidP="00E5262D">
      <w:pPr>
        <w:widowControl/>
        <w:tabs>
          <w:tab w:val="left" w:pos="4820"/>
        </w:tabs>
        <w:spacing w:before="0" w:after="0" w:line="240" w:lineRule="auto"/>
        <w:ind w:firstLine="0"/>
        <w:contextualSpacing/>
        <w:rPr>
          <w:sz w:val="28"/>
          <w:szCs w:val="28"/>
        </w:rPr>
      </w:pPr>
    </w:p>
    <w:p w:rsidR="003665ED" w:rsidRPr="00010C4E" w:rsidRDefault="003665ED" w:rsidP="00E5262D">
      <w:pPr>
        <w:spacing w:before="0" w:after="0" w:line="240" w:lineRule="auto"/>
        <w:contextualSpacing/>
        <w:rPr>
          <w:sz w:val="28"/>
          <w:szCs w:val="28"/>
        </w:rPr>
      </w:pPr>
      <w:r w:rsidRPr="00010C4E">
        <w:rPr>
          <w:sz w:val="28"/>
          <w:szCs w:val="28"/>
        </w:rPr>
        <w:t>Pamatojoties uz Ministru kabineta 2009.gada 7.aprīļa noteikumu Nr.300 „Ministru kabineta kārtības rullis” 244.punktu, iesniedzu izskatīšanai Ministru kabineta sēdē protokollēmuma projektu „Par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izpildi”.</w:t>
      </w:r>
    </w:p>
    <w:p w:rsidR="003665ED" w:rsidRPr="00010C4E" w:rsidRDefault="003665ED" w:rsidP="00E5262D">
      <w:pPr>
        <w:spacing w:before="0" w:after="0" w:line="240" w:lineRule="auto"/>
        <w:contextualSpacing/>
        <w:rPr>
          <w:sz w:val="28"/>
          <w:szCs w:val="28"/>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5"/>
        <w:gridCol w:w="3334"/>
        <w:gridCol w:w="4680"/>
      </w:tblGrid>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Iesniegšanas pamatojums</w:t>
            </w:r>
          </w:p>
        </w:tc>
        <w:tc>
          <w:tcPr>
            <w:tcW w:w="2479" w:type="pct"/>
            <w:tcBorders>
              <w:top w:val="outset" w:sz="6" w:space="0" w:color="auto"/>
              <w:left w:val="outset" w:sz="6" w:space="0" w:color="auto"/>
              <w:bottom w:val="outset" w:sz="6" w:space="0" w:color="auto"/>
              <w:right w:val="outset" w:sz="6" w:space="0" w:color="auto"/>
            </w:tcBorders>
          </w:tcPr>
          <w:p w:rsidR="00010C4E" w:rsidRPr="00010C4E" w:rsidRDefault="00010C4E" w:rsidP="00010C4E">
            <w:pPr>
              <w:widowControl/>
              <w:spacing w:before="0" w:after="0" w:line="240" w:lineRule="auto"/>
              <w:ind w:firstLine="0"/>
              <w:rPr>
                <w:sz w:val="28"/>
                <w:szCs w:val="28"/>
              </w:rPr>
            </w:pPr>
            <w:r w:rsidRPr="00010C4E">
              <w:rPr>
                <w:sz w:val="28"/>
                <w:szCs w:val="28"/>
              </w:rPr>
              <w:t xml:space="preserve">Ekonomikas ministrija, uzdevumā noteiktajā termiņā, ir izvērtējusi Parlamentārās izmeklēšanas komisijas par Latvijas valsts rīcību, izvērtējot 2013.gada 21.novembrī Zolitūdē notikušās traģēdijas </w:t>
            </w:r>
            <w:r w:rsidRPr="00010C4E">
              <w:rPr>
                <w:sz w:val="28"/>
                <w:szCs w:val="28"/>
              </w:rPr>
              <w:lastRenderedPageBreak/>
              <w:t>cēloņus, un turpmākajām darbībām, kas veiktas normatīvo aktu un valsts pārvaldes un pašvaldību darbības sakārtošanā, lai nepieļautu līdzīgu traģēdiju atkārtošanos, kā arī par darbībām minētās traģēdijas seku novēršanā 2015.gada 27.oktobra galaziņojuma (Latvijas Vēstnesis, 2015, 220.nr.) 9.4.8.apakšpunktā ietverto priekšlikumu</w:t>
            </w:r>
            <w:r w:rsidRPr="00010C4E">
              <w:rPr>
                <w:rStyle w:val="FootnoteReference"/>
                <w:sz w:val="28"/>
                <w:szCs w:val="28"/>
              </w:rPr>
              <w:footnoteReference w:id="1"/>
            </w:r>
            <w:r w:rsidRPr="00010C4E">
              <w:rPr>
                <w:sz w:val="28"/>
                <w:szCs w:val="28"/>
              </w:rPr>
              <w:t xml:space="preserve"> saistībā ar būvju tehnisko apsekošanu un norāda, ka Ministru kabineta 02.09.2014. noteikumu Nr.529 “Ēku būvnoteikumi” (turpmāk – Ēku būvnoteikumi) 191.punktā jau ir noteikts, ka, lai ekspluatācijas laikā nodrošinātu publiskas ēkas atbilstību Būvniecības likuma 9.panta otrajā daļā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Ēkas īpašniekam ir uzlikts par pienākumu nodrošināt regulāru ēkas tehnisko apsekošanu un gadījumos, kad bojājumi var mazināt ēkas stiprību un stabilitāti, ir jāveic pasākumi to novēršanai. Tātad pasākums veikt nepieciešamās darbības ir jāveic tikai gadījumos, kad nav ievērota viena no būves būtiskām prasībām, kas jāievēro visas būves ekspluatācijas laikā – mehāniskā stiprība un stabilitāte. Savukārt par citām būves būtiskām prasībām būvspeciālists tehniskās apsekošanas atzinumā norāda kā priekšlikumus par iespējamiem uzlabojumiem ēkai, ja tās ekspluatācijas laikā ir mainījušies būtisko prasību tehniskie parametri vai risinājumi, piemēram, minimālās prasības ugunsdrošībai, energoefektivitātei, akustikai.</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Par atbildību par jebkuras ēkas stāvokli jānorāda, ka, atbilstoši Civillikuma 1084.panta pirmajai daļai, “[k]atram būves īpašniekam, lai aizsargātu sabiedrisko drošību, jātur sava būve tādā stāvoklī, ka no tās nevar rasties kaitējums ne kaimiņiem, ne garāmgājējiem, ne arī tās lietotājiem.” Papildus tam, Būvniecības likuma 21.panta ceturtajā daļā ir noteikts, ka “[b]ūves īpašnieks nodrošina būves un tās elementu uzturēšanu ekspluatācijas laikā, lai tā atbilstu šā likuma 9.panta otrajā daļā būvei noteiktajām būtiskām prasībām”, piemēram, nodrošināt visā tās ekspluatācijas laikā tās mehānisko stiprību un stabilitāti. Gadījumā, ja konstatēta ēkas bīstamība, būvvalde vai birojs var aizliegt tās ekspluatāciju un uzdod novērst bīstamību. Pašvaldība var pieņemt arī lēmumu par bīstamas ēkas nojaukšanu (skatīt Būvniecības likuma 21.panta devīto daļu). Tāpat normatīvie akti paredz procedūru pieņemto lēmumu piespiedu izpildei, gadījumos, kad adresāts no neveic labprātīgi.</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Papildus jānorāda, ka dzīvojamām mājam apsekošanas kārtība un regularitāte ir noteikta Ministru kabineta 28.09.2010. noteikumos Nr.907 “Noteikumi par dzīvojamās mājas apsekošanu, tehnisko apkopi, kārtējo remontu un energoefektivitātes minimālajam prasībām”.</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 xml:space="preserve">Vienlaikus, saistībā ar konkrēto uzdevumu, būtu jānorāda, ka Valsts sekretāru sanāksmē 05.02.2017. ir izsludināts Ministru kabineta noteikumu projekts “Kārtība, kādā aprēķināmi maksājumi par dzīvojamās mājas pārvaldīšanu un apsaimniekošanu” (VSS-5). Šajā noteikumu projektā, lai veicinātu dzīvojamo māju drošu ekspluatāciju, ir notiekta atšķirīga paziņošanas un spēkā stāšanās kārtība pārvaldnieka aprēķinātajiem maksājumiem par dzīvojamās mājas pārvaldīšanu, ja dzīvojamās mājas konstrukcijas vai to elementi  ir avārijas vai pirmsavārijas stāvoklī. Atseviškos gadījumos, lai nodrošinātu drošu dzīvojamās mājas ekspluatāciju, pārvaldniekam tiks paredzētas tiesības papildus noteiktajiem maksājumiem par </w:t>
            </w:r>
            <w:r w:rsidRPr="00010C4E">
              <w:rPr>
                <w:sz w:val="28"/>
                <w:szCs w:val="28"/>
              </w:rPr>
              <w:lastRenderedPageBreak/>
              <w:t>pārvaldīšanu pieprasīt un dzīvokļu īpašniekiem tiks noteikts pienākums segt par ārpuskārtas remontu iztērētos līdzekļus.</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 xml:space="preserve">Spēkā esošais regulējums arī paredz, ka būvju ekspluatācijas uzraudzības ietvaros būvvaldei un birojam ir tiesības apsekot būves, kā arī  pieņemt šādus lēmumus: </w:t>
            </w:r>
          </w:p>
          <w:p w:rsidR="00010C4E" w:rsidRPr="00010C4E" w:rsidRDefault="00010C4E" w:rsidP="00010C4E">
            <w:pPr>
              <w:widowControl/>
              <w:spacing w:before="0" w:after="0" w:line="240" w:lineRule="auto"/>
              <w:ind w:firstLine="0"/>
              <w:rPr>
                <w:sz w:val="28"/>
                <w:szCs w:val="28"/>
              </w:rPr>
            </w:pPr>
            <w:r w:rsidRPr="00010C4E">
              <w:rPr>
                <w:sz w:val="28"/>
                <w:szCs w:val="28"/>
              </w:rPr>
              <w:t>1) uzdot veikt būves, tās daļas vai iebūvēto būvizstrādājumu tehnisko izpēti;</w:t>
            </w:r>
          </w:p>
          <w:p w:rsidR="00010C4E" w:rsidRPr="00010C4E" w:rsidRDefault="00010C4E" w:rsidP="00010C4E">
            <w:pPr>
              <w:widowControl/>
              <w:spacing w:before="0" w:after="0" w:line="240" w:lineRule="auto"/>
              <w:ind w:firstLine="0"/>
              <w:rPr>
                <w:sz w:val="28"/>
                <w:szCs w:val="28"/>
              </w:rPr>
            </w:pPr>
            <w:r w:rsidRPr="00010C4E">
              <w:rPr>
                <w:sz w:val="28"/>
                <w:szCs w:val="28"/>
              </w:rPr>
              <w:t>2) uzdot novērst konstatēto bīstamību, informējot par to pašvaldību;</w:t>
            </w:r>
          </w:p>
          <w:p w:rsidR="00010C4E" w:rsidRPr="00010C4E" w:rsidRDefault="00010C4E" w:rsidP="00010C4E">
            <w:pPr>
              <w:widowControl/>
              <w:spacing w:before="0" w:after="0" w:line="240" w:lineRule="auto"/>
              <w:ind w:firstLine="0"/>
              <w:rPr>
                <w:sz w:val="28"/>
                <w:szCs w:val="28"/>
              </w:rPr>
            </w:pPr>
            <w:r w:rsidRPr="00010C4E">
              <w:rPr>
                <w:sz w:val="28"/>
                <w:szCs w:val="28"/>
              </w:rPr>
              <w:t>3) ja konstatēta būves bīstamība, — aizliegt tās ekspluatāciju līdz bīstamības novēršanai;</w:t>
            </w:r>
          </w:p>
          <w:p w:rsidR="00010C4E" w:rsidRPr="00010C4E" w:rsidRDefault="00010C4E" w:rsidP="00010C4E">
            <w:pPr>
              <w:widowControl/>
              <w:spacing w:before="0" w:after="0" w:line="240" w:lineRule="auto"/>
              <w:ind w:firstLine="0"/>
              <w:rPr>
                <w:sz w:val="28"/>
                <w:szCs w:val="28"/>
              </w:rPr>
            </w:pPr>
            <w:r w:rsidRPr="00010C4E">
              <w:rPr>
                <w:sz w:val="28"/>
                <w:szCs w:val="28"/>
              </w:rPr>
              <w:t>4) ja būve vai atsevišķa telpa tiek izmantota neatbilstoši projektētajam lietošanas veidam, — aizliegt būves vai atsevišķas telpas ekspluatāciju un uzdot atjaunot iepriekšējo stāvokli.</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Būvniecības likums jau nosaka būves īpašnieka un būvvaldes vai biroja kompetenci būves ekspluatācijas laikā. Būtu arī jānorāda, ka arī 1995.gada 10.augusta Būvniecības likumā pašvaldībai bija noteikta ekspluatācijas kontrole. Ņemot vērā, ka pēc tehniskās apsekošanas atzinuma veikšanas ne visi ēku īpašnieki veic darbības, lai sakārtotu ēku un tā neradītu bīstamību ēkas lietotājiem, Ekonomikas ministrijas ieskatā, gadījumos, kad tehniskās apsekošanas atzinumā tiek norādīts uz nepietiekamu ēkas mehānisko stiprību un stabilitāti, būvspeciālistam, kurš ir veicis būves tehnisko apsekošanu būtu pienākums informēt būvvaldi vai biroju.</w:t>
            </w:r>
          </w:p>
          <w:p w:rsidR="00010C4E" w:rsidRPr="00010C4E" w:rsidRDefault="00010C4E" w:rsidP="00010C4E">
            <w:pPr>
              <w:widowControl/>
              <w:spacing w:before="0" w:after="0" w:line="240" w:lineRule="auto"/>
              <w:ind w:firstLine="0"/>
              <w:rPr>
                <w:sz w:val="28"/>
                <w:szCs w:val="28"/>
              </w:rPr>
            </w:pPr>
          </w:p>
          <w:p w:rsidR="00010C4E" w:rsidRPr="00010C4E" w:rsidRDefault="00010C4E" w:rsidP="00010C4E">
            <w:pPr>
              <w:widowControl/>
              <w:spacing w:before="0" w:after="0" w:line="240" w:lineRule="auto"/>
              <w:ind w:firstLine="0"/>
              <w:rPr>
                <w:sz w:val="28"/>
                <w:szCs w:val="28"/>
              </w:rPr>
            </w:pPr>
            <w:r w:rsidRPr="00010C4E">
              <w:rPr>
                <w:sz w:val="28"/>
                <w:szCs w:val="28"/>
              </w:rPr>
              <w:t xml:space="preserve">Šāds regulējums būtu ietverams Latvijas būvnormatīvā LBN 405-15 “Būvju tehniskā apsekošana” (apstiprināts ar Ministru kabineta 30.06.2015. noteikumiem Nr.337 “Noteikumi par Latvijas būvnormatīvu LBN 405-15 “Būvju tehniskā apsekošana””). Tomēr, papildus iepriekš minētajam problēmjautājumam, iepriekš minētajā būvnormatīvā arī būtu jāprecizē jau ietvertais regulējums – piemēram, nepieciešams pārskatīt jautājumu par specializēto dienestu kompetenci. Darbs pie šī būvnormatīva grozījumu izstrādes ir jau </w:t>
            </w:r>
            <w:r w:rsidRPr="00010C4E">
              <w:rPr>
                <w:sz w:val="28"/>
                <w:szCs w:val="28"/>
              </w:rPr>
              <w:lastRenderedPageBreak/>
              <w:t>uzsākts. Ieplānoto grozījumu sakarā būtu nepieciešams arī aptaujāt plašāku būvniecības nevalstisko organizāciju loku, lai jau laikus būtu iespējams izstrādāt saskanīgus un atbilstošus risinājumus.</w:t>
            </w:r>
          </w:p>
          <w:p w:rsidR="00010C4E" w:rsidRPr="00010C4E" w:rsidRDefault="00010C4E" w:rsidP="00010C4E">
            <w:pPr>
              <w:widowControl/>
              <w:spacing w:before="0" w:after="0" w:line="240" w:lineRule="auto"/>
              <w:ind w:firstLine="0"/>
              <w:rPr>
                <w:sz w:val="28"/>
                <w:szCs w:val="28"/>
              </w:rPr>
            </w:pPr>
          </w:p>
          <w:p w:rsidR="003665ED" w:rsidRPr="00010C4E" w:rsidRDefault="00010C4E" w:rsidP="00010C4E">
            <w:pPr>
              <w:widowControl/>
              <w:spacing w:before="0" w:after="0" w:line="240" w:lineRule="auto"/>
              <w:ind w:firstLine="0"/>
              <w:rPr>
                <w:sz w:val="28"/>
                <w:szCs w:val="28"/>
              </w:rPr>
            </w:pPr>
            <w:r w:rsidRPr="00010C4E">
              <w:rPr>
                <w:sz w:val="28"/>
                <w:szCs w:val="28"/>
              </w:rPr>
              <w:t>Ņemot vērā iepriekšminēto, Ekonomikas ministrija lūdz pagarināt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(ciktāl tas attiecas uz Parlamentārās izmeklēšanas komisijas par Latvijas valsts rīcību, izvērtējot 2013. 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2015.gada 27.oktobra galaziņojuma (Latvijas Vēstnesis, 2015, 220.nr.) 9.4.8.apakšpunktā ietverto priekšlikumu) izpildes termiņu līdz 2017.gada 31.decembrim.</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lastRenderedPageBreak/>
              <w:t>2.</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Valsts sekretāru sanāksmes datums un numurs</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rPr>
            </w:pPr>
            <w:r w:rsidRPr="00010C4E">
              <w:rPr>
                <w:sz w:val="28"/>
                <w:szCs w:val="28"/>
              </w:rPr>
              <w:t>Saskaņā ar Ministru kabineta 2009.gada 7.aprīļa noteikumiem Nr.300 „Ministru kabineta kārtības rullis” 73.1.apakšpunktu projekts nav izsludināms Valsts sekretāru sanāksmē.</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Informācija par saskaņojumiem</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rPr>
                <w:i/>
                <w:iCs/>
                <w:sz w:val="28"/>
                <w:szCs w:val="28"/>
                <w:lang w:eastAsia="lv-LV"/>
              </w:rPr>
            </w:pPr>
            <w:r w:rsidRPr="00010C4E">
              <w:rPr>
                <w:sz w:val="28"/>
                <w:szCs w:val="28"/>
                <w:lang w:eastAsia="lv-LV"/>
              </w:rPr>
              <w:t>Nav attiecināms.</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4.</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Informācija par saskaņojumu ar Eiropas Savienības institūcijām</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i/>
                <w:iCs/>
                <w:sz w:val="28"/>
                <w:szCs w:val="28"/>
                <w:lang w:eastAsia="lv-LV"/>
              </w:rPr>
            </w:pPr>
            <w:r w:rsidRPr="00010C4E">
              <w:rPr>
                <w:sz w:val="28"/>
                <w:szCs w:val="28"/>
                <w:lang w:eastAsia="lv-LV"/>
              </w:rPr>
              <w:t>Nav attiecināms.</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5.</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Politikas joma</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rPr>
                <w:sz w:val="28"/>
                <w:szCs w:val="28"/>
              </w:rPr>
            </w:pPr>
            <w:r w:rsidRPr="00010C4E">
              <w:rPr>
                <w:sz w:val="28"/>
                <w:szCs w:val="28"/>
              </w:rPr>
              <w:t>5. industrijas un pakalpojumu politika – 5.2. Būvniecības politika.</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6.</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Atbildīgā amatpersona</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rPr>
                <w:sz w:val="28"/>
                <w:szCs w:val="28"/>
              </w:rPr>
            </w:pPr>
            <w:r w:rsidRPr="00010C4E">
              <w:rPr>
                <w:sz w:val="28"/>
                <w:szCs w:val="28"/>
              </w:rPr>
              <w:t>Ekonomikas ministrijas Būvniecības politikas departamenta juriskonsults Andris Lazarevs.</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7.</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Uzaicināmās personas</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Ekonomikas ministrijas valsts sekretāra vietnieks Edmunds Valantis.</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8.</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Projekta ierobežotas pieejamības statuss</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100" w:beforeAutospacing="1" w:after="100" w:afterAutospacing="1" w:line="240" w:lineRule="auto"/>
              <w:ind w:firstLine="0"/>
              <w:jc w:val="left"/>
              <w:rPr>
                <w:sz w:val="28"/>
                <w:szCs w:val="28"/>
                <w:lang w:eastAsia="lv-LV"/>
              </w:rPr>
            </w:pPr>
            <w:r w:rsidRPr="00010C4E">
              <w:rPr>
                <w:sz w:val="28"/>
                <w:szCs w:val="28"/>
                <w:lang w:eastAsia="lv-LV"/>
              </w:rPr>
              <w:t>Nav attiecināms.</w:t>
            </w:r>
          </w:p>
        </w:tc>
      </w:tr>
      <w:tr w:rsidR="003665ED" w:rsidRPr="00010C4E" w:rsidTr="00E5262D">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9.</w:t>
            </w:r>
          </w:p>
        </w:tc>
        <w:tc>
          <w:tcPr>
            <w:tcW w:w="1767"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sz w:val="28"/>
                <w:szCs w:val="28"/>
                <w:lang w:eastAsia="lv-LV"/>
              </w:rPr>
            </w:pPr>
            <w:r w:rsidRPr="00010C4E">
              <w:rPr>
                <w:sz w:val="28"/>
                <w:szCs w:val="28"/>
                <w:lang w:eastAsia="lv-LV"/>
              </w:rPr>
              <w:t>Cita informācija</w:t>
            </w:r>
          </w:p>
        </w:tc>
        <w:tc>
          <w:tcPr>
            <w:tcW w:w="2479" w:type="pct"/>
            <w:tcBorders>
              <w:top w:val="outset" w:sz="6" w:space="0" w:color="auto"/>
              <w:left w:val="outset" w:sz="6" w:space="0" w:color="auto"/>
              <w:bottom w:val="outset" w:sz="6" w:space="0" w:color="auto"/>
              <w:right w:val="outset" w:sz="6" w:space="0" w:color="auto"/>
            </w:tcBorders>
            <w:hideMark/>
          </w:tcPr>
          <w:p w:rsidR="003665ED" w:rsidRPr="00010C4E" w:rsidRDefault="003665ED" w:rsidP="003665ED">
            <w:pPr>
              <w:widowControl/>
              <w:spacing w:before="0" w:after="0" w:line="240" w:lineRule="auto"/>
              <w:ind w:firstLine="0"/>
              <w:jc w:val="left"/>
              <w:rPr>
                <w:i/>
                <w:iCs/>
                <w:sz w:val="28"/>
                <w:szCs w:val="28"/>
                <w:lang w:eastAsia="lv-LV"/>
              </w:rPr>
            </w:pPr>
            <w:r w:rsidRPr="00010C4E">
              <w:rPr>
                <w:sz w:val="28"/>
                <w:szCs w:val="28"/>
                <w:lang w:eastAsia="lv-LV"/>
              </w:rPr>
              <w:t>Nav attiecināms.</w:t>
            </w:r>
          </w:p>
        </w:tc>
      </w:tr>
    </w:tbl>
    <w:p w:rsidR="003665ED" w:rsidRPr="00010C4E" w:rsidRDefault="003665ED" w:rsidP="00E5262D">
      <w:pPr>
        <w:widowControl/>
        <w:tabs>
          <w:tab w:val="left" w:pos="4820"/>
        </w:tabs>
        <w:spacing w:before="0" w:after="0" w:line="240" w:lineRule="auto"/>
        <w:ind w:firstLine="0"/>
        <w:contextualSpacing/>
        <w:rPr>
          <w:sz w:val="28"/>
          <w:szCs w:val="28"/>
        </w:rPr>
      </w:pPr>
    </w:p>
    <w:p w:rsidR="003665ED" w:rsidRPr="00010C4E" w:rsidRDefault="003665ED" w:rsidP="00E5262D">
      <w:pPr>
        <w:spacing w:before="0" w:after="0" w:line="240" w:lineRule="auto"/>
        <w:ind w:firstLine="0"/>
        <w:contextualSpacing/>
        <w:rPr>
          <w:sz w:val="28"/>
          <w:szCs w:val="28"/>
        </w:rPr>
      </w:pPr>
      <w:r w:rsidRPr="00010C4E">
        <w:rPr>
          <w:sz w:val="28"/>
          <w:szCs w:val="28"/>
        </w:rPr>
        <w:t>Pielikumā:</w:t>
      </w:r>
    </w:p>
    <w:p w:rsidR="003665ED" w:rsidRPr="00010C4E" w:rsidRDefault="003665ED" w:rsidP="00E5262D">
      <w:pPr>
        <w:pStyle w:val="ListParagraph"/>
        <w:spacing w:before="0" w:after="0" w:line="240" w:lineRule="auto"/>
        <w:ind w:left="0" w:firstLine="0"/>
        <w:rPr>
          <w:sz w:val="28"/>
          <w:szCs w:val="28"/>
        </w:rPr>
      </w:pPr>
      <w:r w:rsidRPr="00010C4E">
        <w:rPr>
          <w:sz w:val="28"/>
          <w:szCs w:val="28"/>
        </w:rPr>
        <w:t>Ministru kabineta sēdes protokollēmuma projekts „Par Ministru kabineta 2016.gada 26.janvāra sēdes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2.punktā dotā uzdevuma izpildi” uz 2 lappusēm (datne: EMProt_150317_apsekosana);</w:t>
      </w:r>
    </w:p>
    <w:p w:rsidR="003665ED" w:rsidRPr="00010C4E" w:rsidRDefault="003665ED" w:rsidP="00E5262D">
      <w:pPr>
        <w:spacing w:before="0" w:after="0" w:line="240" w:lineRule="auto"/>
        <w:contextualSpacing/>
        <w:rPr>
          <w:sz w:val="28"/>
          <w:szCs w:val="28"/>
        </w:rPr>
      </w:pPr>
    </w:p>
    <w:p w:rsidR="003665ED" w:rsidRPr="00010C4E" w:rsidRDefault="003665ED" w:rsidP="00E5262D">
      <w:pPr>
        <w:spacing w:before="0" w:after="0" w:line="240" w:lineRule="auto"/>
        <w:contextualSpacing/>
        <w:rPr>
          <w:sz w:val="28"/>
          <w:szCs w:val="28"/>
        </w:rPr>
      </w:pPr>
    </w:p>
    <w:p w:rsidR="003665ED" w:rsidRPr="00010C4E" w:rsidRDefault="003665ED" w:rsidP="00E5262D">
      <w:pPr>
        <w:spacing w:line="240" w:lineRule="auto"/>
        <w:ind w:firstLine="0"/>
        <w:contextualSpacing/>
        <w:rPr>
          <w:bCs/>
          <w:sz w:val="28"/>
          <w:szCs w:val="28"/>
        </w:rPr>
      </w:pPr>
      <w:r w:rsidRPr="00010C4E">
        <w:rPr>
          <w:bCs/>
          <w:sz w:val="28"/>
          <w:szCs w:val="28"/>
        </w:rPr>
        <w:t>Ministru prezidenta biedrs,</w:t>
      </w:r>
    </w:p>
    <w:p w:rsidR="003665ED" w:rsidRPr="00010C4E" w:rsidRDefault="003665ED" w:rsidP="00E5262D">
      <w:pPr>
        <w:ind w:firstLine="0"/>
        <w:rPr>
          <w:sz w:val="28"/>
          <w:szCs w:val="28"/>
        </w:rPr>
      </w:pPr>
      <w:r w:rsidRPr="00010C4E">
        <w:rPr>
          <w:bCs/>
          <w:sz w:val="28"/>
          <w:szCs w:val="28"/>
        </w:rPr>
        <w:t>ekonomikas ministrs</w:t>
      </w:r>
      <w:r w:rsidRPr="00010C4E">
        <w:rPr>
          <w:bCs/>
          <w:sz w:val="28"/>
          <w:szCs w:val="28"/>
        </w:rPr>
        <w:tab/>
      </w:r>
      <w:r w:rsidRPr="00010C4E">
        <w:rPr>
          <w:bCs/>
          <w:sz w:val="28"/>
          <w:szCs w:val="28"/>
        </w:rPr>
        <w:tab/>
      </w:r>
      <w:r w:rsidRPr="00010C4E">
        <w:rPr>
          <w:bCs/>
          <w:sz w:val="28"/>
          <w:szCs w:val="28"/>
        </w:rPr>
        <w:tab/>
      </w:r>
      <w:r w:rsidRPr="00010C4E">
        <w:rPr>
          <w:bCs/>
          <w:sz w:val="28"/>
          <w:szCs w:val="28"/>
        </w:rPr>
        <w:tab/>
      </w:r>
      <w:r w:rsidRPr="00010C4E">
        <w:rPr>
          <w:bCs/>
          <w:sz w:val="28"/>
          <w:szCs w:val="28"/>
        </w:rPr>
        <w:tab/>
      </w:r>
      <w:r w:rsidRPr="00010C4E">
        <w:rPr>
          <w:bCs/>
          <w:sz w:val="28"/>
          <w:szCs w:val="28"/>
        </w:rPr>
        <w:tab/>
      </w:r>
      <w:r w:rsidRPr="00010C4E">
        <w:rPr>
          <w:bCs/>
          <w:sz w:val="28"/>
          <w:szCs w:val="28"/>
        </w:rPr>
        <w:tab/>
      </w:r>
      <w:r w:rsidRPr="00010C4E">
        <w:rPr>
          <w:sz w:val="28"/>
          <w:szCs w:val="28"/>
        </w:rPr>
        <w:t>A. Ašeradens</w:t>
      </w:r>
    </w:p>
    <w:p w:rsidR="003665ED" w:rsidRPr="00602404" w:rsidRDefault="003665ED" w:rsidP="003665ED"/>
    <w:tbl>
      <w:tblPr>
        <w:tblW w:w="5000" w:type="pct"/>
        <w:tblLook w:val="04A0" w:firstRow="1" w:lastRow="0" w:firstColumn="1" w:lastColumn="0" w:noHBand="0" w:noVBand="1"/>
      </w:tblPr>
      <w:tblGrid>
        <w:gridCol w:w="9356"/>
      </w:tblGrid>
      <w:tr w:rsidR="004B4A0E" w:rsidRPr="00602404" w:rsidTr="003665ED">
        <w:trPr>
          <w:cantSplit/>
          <w:trHeight w:val="579"/>
        </w:trPr>
        <w:tc>
          <w:tcPr>
            <w:tcW w:w="5000" w:type="pct"/>
          </w:tcPr>
          <w:p w:rsidR="004B4A0E" w:rsidRPr="00602404" w:rsidRDefault="004B4A0E" w:rsidP="003665ED">
            <w:pPr>
              <w:pStyle w:val="BodyTextIndent"/>
              <w:ind w:left="0"/>
              <w:jc w:val="both"/>
            </w:pPr>
            <w:bookmarkStart w:id="6" w:name="edoc_info" w:colFirst="0" w:colLast="0"/>
            <w:r w:rsidRPr="00602404">
              <w:t>ŠIS DOKUMENTS IR ELEKTRONISKI PARAKSTĪTS AR DROŠU ELEKTRONISKO PARAKSTU UN SATUR LAIKA ZĪMOGU</w:t>
            </w:r>
          </w:p>
        </w:tc>
      </w:tr>
      <w:bookmarkEnd w:id="6"/>
    </w:tbl>
    <w:p w:rsidR="004B4A0E" w:rsidRPr="00602404" w:rsidRDefault="004B4A0E" w:rsidP="00C50FDA">
      <w:pPr>
        <w:pStyle w:val="BodyText"/>
        <w:spacing w:before="0" w:after="0" w:line="240" w:lineRule="auto"/>
        <w:ind w:firstLine="0"/>
        <w:jc w:val="left"/>
        <w:rPr>
          <w:sz w:val="20"/>
        </w:rPr>
      </w:pPr>
    </w:p>
    <w:p w:rsidR="00C50FDA" w:rsidRPr="00602404" w:rsidRDefault="00C50FDA" w:rsidP="00C50FDA">
      <w:pPr>
        <w:pStyle w:val="BodyText"/>
        <w:spacing w:before="0" w:after="0" w:line="240" w:lineRule="auto"/>
        <w:ind w:firstLine="0"/>
        <w:jc w:val="left"/>
        <w:rPr>
          <w:sz w:val="20"/>
        </w:rPr>
      </w:pPr>
    </w:p>
    <w:p w:rsidR="00C50FDA" w:rsidRPr="00602404" w:rsidRDefault="00A34D27" w:rsidP="00C50FDA">
      <w:pPr>
        <w:pStyle w:val="BodyText"/>
        <w:spacing w:before="0" w:after="0" w:line="240" w:lineRule="auto"/>
        <w:ind w:firstLine="0"/>
        <w:jc w:val="left"/>
        <w:rPr>
          <w:sz w:val="20"/>
        </w:rPr>
      </w:pPr>
      <w:r w:rsidRPr="00602404">
        <w:rPr>
          <w:sz w:val="20"/>
        </w:rPr>
        <w:t>Lazarevs, 67013035</w:t>
      </w:r>
      <w:r w:rsidRPr="00602404">
        <w:rPr>
          <w:sz w:val="20"/>
        </w:rPr>
        <w:br/>
        <w:t>Andris.Lazarevs@em.gov.lv</w:t>
      </w:r>
    </w:p>
    <w:sectPr w:rsidR="00C50FDA" w:rsidRPr="00602404" w:rsidSect="00666B0A">
      <w:headerReference w:type="even" r:id="rId7"/>
      <w:head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00" w:rsidRDefault="00142500">
      <w:r>
        <w:separator/>
      </w:r>
    </w:p>
  </w:endnote>
  <w:endnote w:type="continuationSeparator" w:id="0">
    <w:p w:rsidR="00142500" w:rsidRDefault="0014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666B0A" w:rsidRDefault="00944EB5">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00" w:rsidRDefault="00142500">
      <w:r>
        <w:separator/>
      </w:r>
    </w:p>
  </w:footnote>
  <w:footnote w:type="continuationSeparator" w:id="0">
    <w:p w:rsidR="00142500" w:rsidRDefault="00142500">
      <w:r>
        <w:continuationSeparator/>
      </w:r>
    </w:p>
  </w:footnote>
  <w:footnote w:id="1">
    <w:p w:rsidR="00010C4E" w:rsidRDefault="00010C4E" w:rsidP="00010C4E">
      <w:pPr>
        <w:pStyle w:val="FootnoteText"/>
        <w:ind w:firstLine="0"/>
      </w:pPr>
      <w:r>
        <w:rPr>
          <w:rStyle w:val="FootnoteReference"/>
        </w:rPr>
        <w:footnoteRef/>
      </w:r>
      <w:r>
        <w:t xml:space="preserve"> </w:t>
      </w:r>
      <w:r w:rsidRPr="00B0647C">
        <w:t>Atbilstoši Ministru kabineta 2016.gada 26.janvāra protokollēmuma (prot. Nr.4 91.§) “Informatīvais ziņojums “Par Saeimas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 galaziņojumā ministrijām noteikto uzdevumu izvērtējumu”” 2.punktam, ministrijām un citām atbildīgajām institūcijām tām piešķirto budžeta līdzekļu ietvaros jānodrošina informatīvajā ziņojumā ietverto uzdevumu apkopojumā paredzēto pasākumu izpildi noteiktajos termiņos.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460860">
      <w:rPr>
        <w:rStyle w:val="PageNumber"/>
        <w:noProof/>
        <w:sz w:val="24"/>
      </w:rPr>
      <w:t>7</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16" w:rsidRDefault="00332916">
    <w:pPr>
      <w:pStyle w:val="Header"/>
      <w:widowControl/>
      <w:tabs>
        <w:tab w:val="clear" w:pos="4153"/>
        <w:tab w:val="center" w:pos="4536"/>
      </w:tabs>
      <w:spacing w:before="0" w:after="0" w:line="240" w:lineRule="auto"/>
      <w:ind w:firstLine="0"/>
      <w:jc w:val="center"/>
    </w:pPr>
  </w:p>
  <w:p w:rsidR="00332916" w:rsidRDefault="00336FED">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9776" behindDoc="1" locked="0" layoutInCell="1" allowOverlap="1" wp14:anchorId="6A9B14DB" wp14:editId="5A7BFA90">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EBA53" id="Group 41" o:spid="_x0000_s1026" style="position:absolute;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332916" w:rsidRDefault="00332916">
    <w:pPr>
      <w:pStyle w:val="Header"/>
      <w:widowControl/>
      <w:tabs>
        <w:tab w:val="clear" w:pos="4153"/>
        <w:tab w:val="center" w:pos="4536"/>
      </w:tabs>
      <w:spacing w:before="0" w:after="0" w:line="240" w:lineRule="auto"/>
      <w:ind w:firstLine="0"/>
      <w:jc w:val="center"/>
    </w:pPr>
  </w:p>
  <w:p w:rsidR="00944EB5"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fwrg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" filled="f" stroked="f">
              <v:textbox inset="0,0,0,0">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rsidR="00332916" w:rsidRPr="00332916" w:rsidRDefault="00332916" w:rsidP="00332916">
    <w:pPr>
      <w:pStyle w:val="Header"/>
      <w:widowControl/>
      <w:tabs>
        <w:tab w:val="clear" w:pos="4153"/>
        <w:tab w:val="center" w:pos="453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10C4E"/>
    <w:rsid w:val="00060958"/>
    <w:rsid w:val="00084DE0"/>
    <w:rsid w:val="0008627C"/>
    <w:rsid w:val="000B779F"/>
    <w:rsid w:val="00117951"/>
    <w:rsid w:val="00124F93"/>
    <w:rsid w:val="00142500"/>
    <w:rsid w:val="00153F75"/>
    <w:rsid w:val="0019563F"/>
    <w:rsid w:val="00276B3B"/>
    <w:rsid w:val="002A43BF"/>
    <w:rsid w:val="00321535"/>
    <w:rsid w:val="0032212B"/>
    <w:rsid w:val="00332916"/>
    <w:rsid w:val="00336FED"/>
    <w:rsid w:val="0034211B"/>
    <w:rsid w:val="003541FC"/>
    <w:rsid w:val="003665ED"/>
    <w:rsid w:val="00376BCB"/>
    <w:rsid w:val="00421538"/>
    <w:rsid w:val="00460860"/>
    <w:rsid w:val="00463C79"/>
    <w:rsid w:val="004831B1"/>
    <w:rsid w:val="00486307"/>
    <w:rsid w:val="004B4A0E"/>
    <w:rsid w:val="00510703"/>
    <w:rsid w:val="00527F02"/>
    <w:rsid w:val="005E2AB7"/>
    <w:rsid w:val="00602404"/>
    <w:rsid w:val="006071D9"/>
    <w:rsid w:val="00614C26"/>
    <w:rsid w:val="0065032B"/>
    <w:rsid w:val="00666B0A"/>
    <w:rsid w:val="006956F2"/>
    <w:rsid w:val="006D654D"/>
    <w:rsid w:val="007412BD"/>
    <w:rsid w:val="00744444"/>
    <w:rsid w:val="00755954"/>
    <w:rsid w:val="00783EF2"/>
    <w:rsid w:val="0085283D"/>
    <w:rsid w:val="00855BAB"/>
    <w:rsid w:val="0089520F"/>
    <w:rsid w:val="009237AE"/>
    <w:rsid w:val="00944EB5"/>
    <w:rsid w:val="009C7B8B"/>
    <w:rsid w:val="00A061AF"/>
    <w:rsid w:val="00A34D27"/>
    <w:rsid w:val="00AA152A"/>
    <w:rsid w:val="00AB6AE3"/>
    <w:rsid w:val="00AC4AC4"/>
    <w:rsid w:val="00AF2B0C"/>
    <w:rsid w:val="00B60691"/>
    <w:rsid w:val="00B9369A"/>
    <w:rsid w:val="00BE47F4"/>
    <w:rsid w:val="00C3704D"/>
    <w:rsid w:val="00C50FDA"/>
    <w:rsid w:val="00C94296"/>
    <w:rsid w:val="00D03489"/>
    <w:rsid w:val="00D6505A"/>
    <w:rsid w:val="00DB704F"/>
    <w:rsid w:val="00DE099D"/>
    <w:rsid w:val="00DF6300"/>
    <w:rsid w:val="00E05D1D"/>
    <w:rsid w:val="00E40AA6"/>
    <w:rsid w:val="00F24B61"/>
    <w:rsid w:val="00FB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paragraph" w:styleId="ListParagraph">
    <w:name w:val="List Paragraph"/>
    <w:basedOn w:val="Normal"/>
    <w:uiPriority w:val="34"/>
    <w:qFormat/>
    <w:rsid w:val="003665ED"/>
    <w:pPr>
      <w:ind w:left="720"/>
      <w:contextualSpacing/>
    </w:pPr>
  </w:style>
  <w:style w:type="paragraph" w:styleId="FootnoteText">
    <w:name w:val="footnote text"/>
    <w:basedOn w:val="Normal"/>
    <w:link w:val="FootnoteTextChar"/>
    <w:semiHidden/>
    <w:unhideWhenUsed/>
    <w:rsid w:val="00010C4E"/>
    <w:pPr>
      <w:spacing w:before="0" w:after="0" w:line="240" w:lineRule="auto"/>
    </w:pPr>
    <w:rPr>
      <w:sz w:val="20"/>
    </w:rPr>
  </w:style>
  <w:style w:type="character" w:customStyle="1" w:styleId="FootnoteTextChar">
    <w:name w:val="Footnote Text Char"/>
    <w:basedOn w:val="DefaultParagraphFont"/>
    <w:link w:val="FootnoteText"/>
    <w:semiHidden/>
    <w:rsid w:val="00010C4E"/>
    <w:rPr>
      <w:lang w:eastAsia="en-US"/>
    </w:rPr>
  </w:style>
  <w:style w:type="character" w:styleId="FootnoteReference">
    <w:name w:val="footnote reference"/>
    <w:basedOn w:val="DefaultParagraphFont"/>
    <w:semiHidden/>
    <w:unhideWhenUsed/>
    <w:rsid w:val="00010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0C35D-CD07-4A1E-867C-161A5D9E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6425</Words>
  <Characters>3663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2016.gada 26.janvāra sēdes p</dc:subject>
  <dc:creator>Lazarevs A.</dc:creator>
  <dc:description>Sagatavots ALS E-aprites vidē.</dc:description>
  <cp:lastModifiedBy>Arvils Ašeradens</cp:lastModifiedBy>
  <cp:revision>5</cp:revision>
  <cp:lastPrinted>1998-02-25T09:00:00Z</cp:lastPrinted>
  <dcterms:created xsi:type="dcterms:W3CDTF">2017-03-16T09:04:00Z</dcterms:created>
  <dcterms:modified xsi:type="dcterms:W3CDTF">2017-03-23T12:35:00Z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