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15" w:type="dxa"/>
        <w:tblInd w:w="-426" w:type="dxa"/>
        <w:tblCellMar>
          <w:left w:w="0" w:type="dxa"/>
          <w:right w:w="0" w:type="dxa"/>
        </w:tblCellMar>
        <w:tblLook w:val="00A0" w:firstRow="1" w:lastRow="0" w:firstColumn="1" w:lastColumn="0" w:noHBand="0" w:noVBand="0"/>
      </w:tblPr>
      <w:tblGrid>
        <w:gridCol w:w="9215"/>
      </w:tblGrid>
      <w:tr w:rsidR="003C2523" w:rsidRPr="0028315C" w:rsidTr="00F8491B">
        <w:tc>
          <w:tcPr>
            <w:tcW w:w="9215" w:type="dxa"/>
            <w:shd w:val="clear" w:color="auto" w:fill="FFFFFF"/>
          </w:tcPr>
          <w:p w:rsidR="003C2523" w:rsidRPr="0028315C" w:rsidRDefault="003C2523" w:rsidP="00F8491B">
            <w:pPr>
              <w:shd w:val="clear" w:color="auto" w:fill="FFFFFF"/>
              <w:jc w:val="center"/>
              <w:rPr>
                <w:rFonts w:ascii="Times New Roman" w:hAnsi="Times New Roman"/>
                <w:color w:val="000000"/>
                <w:sz w:val="24"/>
                <w:szCs w:val="24"/>
                <w:lang w:val="lv-LV"/>
              </w:rPr>
            </w:pPr>
            <w:r w:rsidRPr="0028315C">
              <w:rPr>
                <w:rFonts w:ascii="Times New Roman" w:hAnsi="Times New Roman"/>
                <w:b/>
                <w:bCs/>
                <w:color w:val="000000"/>
                <w:sz w:val="24"/>
                <w:szCs w:val="24"/>
                <w:lang w:val="lv-LV"/>
              </w:rPr>
              <w:t>Likumprojekta</w:t>
            </w:r>
            <w:r w:rsidRPr="0028315C">
              <w:rPr>
                <w:rFonts w:ascii="Times New Roman" w:hAnsi="Times New Roman"/>
                <w:color w:val="000000"/>
                <w:sz w:val="24"/>
                <w:szCs w:val="24"/>
                <w:lang w:val="lv-LV"/>
              </w:rPr>
              <w:t xml:space="preserve"> </w:t>
            </w:r>
            <w:r w:rsidRPr="0028315C">
              <w:rPr>
                <w:rFonts w:ascii="Times New Roman" w:hAnsi="Times New Roman"/>
                <w:b/>
                <w:bCs/>
                <w:color w:val="000000"/>
                <w:sz w:val="24"/>
                <w:szCs w:val="24"/>
                <w:lang w:val="lv-LV"/>
              </w:rPr>
              <w:t xml:space="preserve">"Grozījumi Apdrošināšanas un pārapdrošināšanas starpnieku darbības likumā" sākotnējās ietekmes novērtējuma </w:t>
            </w:r>
            <w:smartTag w:uri="schemas-tilde-lv/tildestengine" w:element="veidnes">
              <w:smartTagPr>
                <w:attr w:name="text" w:val="ziņojums"/>
                <w:attr w:name="baseform" w:val="ziņojums"/>
                <w:attr w:name="id" w:val="-1"/>
              </w:smartTagPr>
              <w:r w:rsidRPr="0028315C">
                <w:rPr>
                  <w:rFonts w:ascii="Times New Roman" w:hAnsi="Times New Roman"/>
                  <w:b/>
                  <w:bCs/>
                  <w:color w:val="000000"/>
                  <w:sz w:val="24"/>
                  <w:szCs w:val="24"/>
                  <w:lang w:val="lv-LV"/>
                </w:rPr>
                <w:t>ziņojums</w:t>
              </w:r>
            </w:smartTag>
            <w:r w:rsidRPr="0028315C">
              <w:rPr>
                <w:rFonts w:ascii="Times New Roman" w:hAnsi="Times New Roman"/>
                <w:color w:val="000000"/>
                <w:sz w:val="24"/>
                <w:szCs w:val="24"/>
                <w:lang w:val="lv-LV"/>
              </w:rPr>
              <w:t xml:space="preserve"> </w:t>
            </w:r>
            <w:r w:rsidRPr="0028315C">
              <w:rPr>
                <w:rFonts w:ascii="Times New Roman" w:hAnsi="Times New Roman"/>
                <w:b/>
                <w:bCs/>
                <w:color w:val="000000"/>
                <w:sz w:val="24"/>
                <w:szCs w:val="24"/>
                <w:lang w:val="lv-LV"/>
              </w:rPr>
              <w:t>(anotācija)</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0"/>
              <w:gridCol w:w="2852"/>
              <w:gridCol w:w="5887"/>
            </w:tblGrid>
            <w:tr w:rsidR="003C2523" w:rsidRPr="0028315C" w:rsidTr="00F8491B">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b/>
                      <w:bCs/>
                      <w:color w:val="000000"/>
                      <w:sz w:val="24"/>
                      <w:szCs w:val="24"/>
                      <w:lang w:val="lv-LV" w:eastAsia="lv-LV"/>
                    </w:rPr>
                    <w:t>I. Tiesību akta projekta izstrādes nepieciešamība</w:t>
                  </w:r>
                </w:p>
              </w:tc>
            </w:tr>
            <w:tr w:rsidR="003C2523" w:rsidRPr="003C2523" w:rsidTr="00F8491B">
              <w:trPr>
                <w:trHeight w:val="405"/>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before="100" w:beforeAutospacing="1" w:after="100" w:afterAutospacing="1" w:line="265" w:lineRule="atLeast"/>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Pamatojums</w:t>
                  </w:r>
                </w:p>
              </w:tc>
              <w:tc>
                <w:tcPr>
                  <w:tcW w:w="3200" w:type="pct"/>
                  <w:tcBorders>
                    <w:top w:val="outset" w:sz="6" w:space="0" w:color="414142"/>
                    <w:left w:val="outset" w:sz="6" w:space="0" w:color="414142"/>
                    <w:bottom w:val="outset" w:sz="6" w:space="0" w:color="414142"/>
                    <w:right w:val="outset" w:sz="6" w:space="0" w:color="414142"/>
                  </w:tcBorders>
                </w:tcPr>
                <w:p w:rsidR="003C2523" w:rsidRPr="00BA345A" w:rsidRDefault="003C2523" w:rsidP="00D43BC7">
                  <w:pPr>
                    <w:pStyle w:val="default"/>
                    <w:shd w:val="clear" w:color="auto" w:fill="FFFFFF"/>
                    <w:spacing w:before="0" w:beforeAutospacing="0" w:after="0" w:afterAutospacing="0"/>
                    <w:ind w:right="15"/>
                    <w:jc w:val="both"/>
                    <w:rPr>
                      <w:color w:val="000000"/>
                      <w:lang w:val="lv-LV"/>
                    </w:rPr>
                  </w:pPr>
                  <w:r w:rsidRPr="00BA345A">
                    <w:rPr>
                      <w:color w:val="000000"/>
                      <w:lang w:val="lv-LV"/>
                    </w:rPr>
                    <w:t xml:space="preserve">Likumprojekts "Grozījumi </w:t>
                  </w:r>
                  <w:r>
                    <w:rPr>
                      <w:bCs/>
                      <w:color w:val="000000"/>
                      <w:lang w:val="lv-LV"/>
                    </w:rPr>
                    <w:t xml:space="preserve">Apdrošināšanas un pārapdrošināšanas starpnieku darbības </w:t>
                  </w:r>
                  <w:r w:rsidRPr="00BA345A">
                    <w:rPr>
                      <w:color w:val="000000"/>
                      <w:lang w:val="lv-LV"/>
                    </w:rPr>
                    <w:t xml:space="preserve">likumā" (turpmāk </w:t>
                  </w:r>
                  <w:r>
                    <w:rPr>
                      <w:color w:val="000000"/>
                      <w:lang w:val="lv-LV"/>
                    </w:rPr>
                    <w:t>–</w:t>
                  </w:r>
                  <w:r w:rsidRPr="00BA345A">
                    <w:rPr>
                      <w:color w:val="000000"/>
                      <w:lang w:val="lv-LV"/>
                    </w:rPr>
                    <w:t xml:space="preserve"> Likumprojekts) izstrādāts, lai </w:t>
                  </w:r>
                  <w:r w:rsidRPr="00BA345A">
                    <w:rPr>
                      <w:color w:val="000000"/>
                      <w:shd w:val="clear" w:color="auto" w:fill="FFFFFF"/>
                      <w:lang w:val="lv-LV"/>
                    </w:rPr>
                    <w:t xml:space="preserve">nacionālajos normatīvajos </w:t>
                  </w:r>
                  <w:r>
                    <w:rPr>
                      <w:color w:val="000000"/>
                      <w:shd w:val="clear" w:color="auto" w:fill="FFFFFF"/>
                      <w:lang w:val="lv-LV"/>
                    </w:rPr>
                    <w:t xml:space="preserve">aktos </w:t>
                  </w:r>
                  <w:r w:rsidRPr="00BA345A">
                    <w:rPr>
                      <w:color w:val="000000"/>
                      <w:shd w:val="clear" w:color="auto" w:fill="FFFFFF"/>
                      <w:lang w:val="lv-LV"/>
                    </w:rPr>
                    <w:t>ieviestu prasības</w:t>
                  </w:r>
                  <w:r w:rsidRPr="00BA345A">
                    <w:rPr>
                      <w:color w:val="000000"/>
                      <w:lang w:val="lv-LV"/>
                    </w:rPr>
                    <w:t xml:space="preserve">, kas noteiktas </w:t>
                  </w:r>
                  <w:r w:rsidRPr="00BA345A">
                    <w:rPr>
                      <w:bCs/>
                      <w:lang w:val="lv-LV"/>
                    </w:rPr>
                    <w:t>Eiropas Parlamenta un Padomes 2014.</w:t>
                  </w:r>
                  <w:r>
                    <w:rPr>
                      <w:bCs/>
                      <w:lang w:val="lv-LV"/>
                    </w:rPr>
                    <w:t> </w:t>
                  </w:r>
                  <w:r w:rsidRPr="00BA345A">
                    <w:rPr>
                      <w:bCs/>
                      <w:lang w:val="lv-LV"/>
                    </w:rPr>
                    <w:t>gada 26.</w:t>
                  </w:r>
                  <w:r>
                    <w:rPr>
                      <w:bCs/>
                      <w:lang w:val="lv-LV"/>
                    </w:rPr>
                    <w:t> </w:t>
                  </w:r>
                  <w:r w:rsidRPr="00BA345A">
                    <w:rPr>
                      <w:bCs/>
                      <w:lang w:val="lv-LV"/>
                    </w:rPr>
                    <w:t>novembra Regulā (ES) Nr.1286/2014 par komplektētu privāto ieguldījumu un apdrošināšanas ieguldījumu produktu (PRIIP) pamatinformācijas dokumentiem (turpmāk – Regula Nr.1286/2014).</w:t>
                  </w:r>
                </w:p>
              </w:tc>
            </w:tr>
            <w:tr w:rsidR="003C2523" w:rsidRPr="003C2523" w:rsidTr="00F8491B">
              <w:trPr>
                <w:trHeight w:val="465"/>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before="100" w:beforeAutospacing="1" w:after="100" w:afterAutospacing="1" w:line="265" w:lineRule="atLeast"/>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 xml:space="preserve"> 2.</w:t>
                  </w:r>
                </w:p>
              </w:tc>
              <w:tc>
                <w:tcPr>
                  <w:tcW w:w="15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tcPr>
                <w:p w:rsidR="003C2523" w:rsidRPr="0028315C" w:rsidRDefault="003C2523" w:rsidP="005D26BB">
                  <w:pPr>
                    <w:pStyle w:val="ListParagraph"/>
                    <w:tabs>
                      <w:tab w:val="left" w:pos="284"/>
                    </w:tabs>
                    <w:autoSpaceDE w:val="0"/>
                    <w:autoSpaceDN w:val="0"/>
                    <w:adjustRightInd w:val="0"/>
                    <w:spacing w:before="120" w:line="240" w:lineRule="auto"/>
                    <w:ind w:left="0"/>
                    <w:jc w:val="both"/>
                    <w:rPr>
                      <w:rFonts w:ascii="Times New Roman" w:hAnsi="Times New Roman"/>
                      <w:bCs/>
                      <w:sz w:val="24"/>
                      <w:szCs w:val="24"/>
                      <w:lang w:val="lv-LV"/>
                    </w:rPr>
                  </w:pPr>
                  <w:r w:rsidRPr="0028315C">
                    <w:rPr>
                      <w:rFonts w:ascii="Times New Roman" w:hAnsi="Times New Roman"/>
                      <w:bCs/>
                      <w:sz w:val="24"/>
                      <w:szCs w:val="24"/>
                      <w:lang w:val="lv-LV"/>
                    </w:rPr>
                    <w:t xml:space="preserve">Likumprojekts paredz papildināt </w:t>
                  </w:r>
                  <w:r w:rsidRPr="0028315C">
                    <w:rPr>
                      <w:rFonts w:ascii="Times New Roman" w:hAnsi="Times New Roman"/>
                      <w:sz w:val="24"/>
                      <w:szCs w:val="24"/>
                      <w:lang w:val="lv-LV"/>
                    </w:rPr>
                    <w:t xml:space="preserve">Apdrošināšanas un pārapdrošināšanas starpnieku darbības likuma 45.pantu ar jaunām sankciju un darbību normām, kas izriet no </w:t>
                  </w:r>
                  <w:r w:rsidRPr="0028315C">
                    <w:rPr>
                      <w:rFonts w:ascii="Times New Roman" w:hAnsi="Times New Roman"/>
                      <w:bCs/>
                      <w:sz w:val="24"/>
                      <w:szCs w:val="24"/>
                      <w:lang w:val="lv-LV"/>
                    </w:rPr>
                    <w:t>Regulas Nr. 1286/2014</w:t>
                  </w:r>
                  <w:r w:rsidRPr="0028315C">
                    <w:rPr>
                      <w:rFonts w:ascii="Times New Roman" w:hAnsi="Times New Roman"/>
                      <w:color w:val="000000"/>
                      <w:sz w:val="24"/>
                      <w:szCs w:val="24"/>
                      <w:lang w:val="lv-LV"/>
                    </w:rPr>
                    <w:t>.</w:t>
                  </w:r>
                  <w:r w:rsidRPr="0028315C">
                    <w:rPr>
                      <w:rFonts w:ascii="Times New Roman" w:hAnsi="Times New Roman"/>
                      <w:bCs/>
                      <w:sz w:val="24"/>
                      <w:szCs w:val="24"/>
                      <w:lang w:val="lv-LV"/>
                    </w:rPr>
                    <w:t xml:space="preserve"> </w:t>
                  </w:r>
                </w:p>
                <w:p w:rsidR="003C2523" w:rsidRPr="0028315C" w:rsidRDefault="003C2523" w:rsidP="00C66A58">
                  <w:pPr>
                    <w:autoSpaceDE w:val="0"/>
                    <w:autoSpaceDN w:val="0"/>
                    <w:adjustRightInd w:val="0"/>
                    <w:spacing w:before="120" w:line="240" w:lineRule="auto"/>
                    <w:jc w:val="both"/>
                    <w:rPr>
                      <w:rFonts w:ascii="Times New Roman" w:hAnsi="Times New Roman"/>
                      <w:sz w:val="24"/>
                      <w:szCs w:val="24"/>
                      <w:lang w:val="lv-LV"/>
                    </w:rPr>
                  </w:pPr>
                  <w:r w:rsidRPr="0028315C">
                    <w:rPr>
                      <w:rFonts w:ascii="Times New Roman" w:hAnsi="Times New Roman"/>
                      <w:sz w:val="24"/>
                      <w:szCs w:val="24"/>
                      <w:lang w:val="lv-LV"/>
                    </w:rPr>
                    <w:t xml:space="preserve">Regula Nr. 1286/2014 paredz dalībvalstīm ieviest specifiskas sankcijas un darbības par pārkāpumiem, ko pieļāvušas personas, kas izstrādā un izplata apdrošināšanas ieguldījumu produktus, kā arī sniedz konsultācijas par šiem produktiem. </w:t>
                  </w:r>
                  <w:r w:rsidRPr="0028315C">
                    <w:rPr>
                      <w:rFonts w:ascii="Times New Roman" w:hAnsi="Times New Roman"/>
                      <w:sz w:val="24"/>
                      <w:lang w:val="lv-LV"/>
                    </w:rPr>
                    <w:t>Likumprojekts paredz ieviest tiesību normu par sankciju un darbību publiskošanu saskaņā ar Regulas Nr. 1286/2014 29. pantu.</w:t>
                  </w:r>
                </w:p>
                <w:p w:rsidR="003C2523" w:rsidRPr="0028315C" w:rsidRDefault="003C2523" w:rsidP="00143CD1">
                  <w:pPr>
                    <w:autoSpaceDE w:val="0"/>
                    <w:autoSpaceDN w:val="0"/>
                    <w:adjustRightInd w:val="0"/>
                    <w:spacing w:before="120" w:line="240" w:lineRule="auto"/>
                    <w:jc w:val="both"/>
                    <w:rPr>
                      <w:rFonts w:ascii="Times New Roman" w:hAnsi="Times New Roman"/>
                      <w:sz w:val="24"/>
                      <w:szCs w:val="24"/>
                      <w:lang w:val="lv-LV"/>
                    </w:rPr>
                  </w:pPr>
                  <w:r w:rsidRPr="0028315C">
                    <w:rPr>
                      <w:rFonts w:ascii="Times New Roman" w:hAnsi="Times New Roman"/>
                      <w:sz w:val="24"/>
                      <w:szCs w:val="24"/>
                      <w:lang w:val="lv-LV"/>
                    </w:rPr>
                    <w:t>Par katru no apdrošināšanas ieguldījumu produktiem, pirms tie tiek piedāvāti neprofesionāliem klientiem, personām ir jāizstrādā pamatinformācijas dokuments, kas atbilst Regulā Nr. 1286/2014 noteiktajām prasībām. Regulas Nr. 1286/2014 prasības nosaka pamatinformācijas dokumenta formu, dokumenta valodu, kā arī tā saturu, tai skaitā informāciju par produkta būtību, tā riskiem, izmaksām un atsaukuma iespējām. Regula Nr. 1286/2014 nosaka arī to, kāda informācija jāsniedz neprofesionālam klientam pirms apdrošināšanas ieguldījumu produkta pārdošanas, sniedzot konsultāciju. Neatbilstības gadījumā Finanšu un kapitāla tirgus komisijai būs tiesības piemērot ar šiem grozījumiem ieviestās sankcijas un īstenot noteiktās darbības.</w:t>
                  </w:r>
                </w:p>
                <w:p w:rsidR="003C2523" w:rsidRPr="0028315C" w:rsidRDefault="003C2523" w:rsidP="00143CD1">
                  <w:pPr>
                    <w:autoSpaceDE w:val="0"/>
                    <w:autoSpaceDN w:val="0"/>
                    <w:adjustRightInd w:val="0"/>
                    <w:spacing w:before="120" w:line="240" w:lineRule="auto"/>
                    <w:jc w:val="both"/>
                    <w:rPr>
                      <w:rFonts w:ascii="Times New Roman" w:hAnsi="Times New Roman"/>
                      <w:sz w:val="24"/>
                      <w:szCs w:val="24"/>
                      <w:lang w:val="lv-LV"/>
                    </w:rPr>
                  </w:pPr>
                  <w:r w:rsidRPr="0028315C">
                    <w:rPr>
                      <w:rFonts w:ascii="Times New Roman" w:hAnsi="Times New Roman"/>
                      <w:sz w:val="24"/>
                      <w:szCs w:val="24"/>
                      <w:lang w:val="lv-LV"/>
                    </w:rPr>
                    <w:t>Papildus Likumprojekts paredz precizēt visā tekstā atsauci uz Apdrošināšanas un pārapdrošināšanas likumu, kas jau aizstājis Apdrošināšanas sabiedrību un to uzraudzības likumu un Pārapdrošināšanas likumu.</w:t>
                  </w:r>
                </w:p>
                <w:p w:rsidR="003C2523" w:rsidRDefault="003C2523" w:rsidP="00EC3FD6">
                  <w:pPr>
                    <w:autoSpaceDE w:val="0"/>
                    <w:autoSpaceDN w:val="0"/>
                    <w:adjustRightInd w:val="0"/>
                    <w:spacing w:before="120" w:line="240" w:lineRule="auto"/>
                    <w:jc w:val="both"/>
                    <w:rPr>
                      <w:rFonts w:ascii="Times New Roman" w:hAnsi="Times New Roman"/>
                      <w:noProof/>
                      <w:sz w:val="24"/>
                      <w:szCs w:val="24"/>
                      <w:lang w:val="lv-LV"/>
                    </w:rPr>
                  </w:pPr>
                  <w:r w:rsidRPr="0028315C">
                    <w:rPr>
                      <w:rFonts w:ascii="Times New Roman" w:hAnsi="Times New Roman"/>
                      <w:sz w:val="24"/>
                      <w:szCs w:val="24"/>
                      <w:lang w:val="lv-LV"/>
                    </w:rPr>
                    <w:t xml:space="preserve">Likumprojekts paredz precizēt apdrošināšanas starpniecības definīciju. Latvijā darbojas salīdzinošās mājaslapas, kuras piedāvā iespēju personām, ievadot atlases kritērijus, salīdzināt sauszemes transportlīdzekļu īpašnieku </w:t>
                  </w:r>
                  <w:r w:rsidRPr="0028315C">
                    <w:rPr>
                      <w:rFonts w:ascii="Times New Roman" w:hAnsi="Times New Roman"/>
                      <w:sz w:val="24"/>
                      <w:szCs w:val="24"/>
                      <w:lang w:val="lv-LV"/>
                    </w:rPr>
                    <w:lastRenderedPageBreak/>
                    <w:t xml:space="preserve">civiltiesiskās atbildības obligātās apdrošināšanas (turpmāk – OCTA) piedāvājumus (apdrošināšanas prēmijas apmērus) un procesa beigās tiek dota iespēja noslēgt apdrošināšanas līgumu. Lielākā daļa no minētajām salīdzinošajām mājaslapām pieder apdrošināšanas brokeriem, kuri izmanto šīs mājaslapas apdrošināšanas starpniecības pakalpojumu sniegšanai. Taču ir arī tādi salīdzinošo mājaslapas uzturētāji, kuri šobrīd nav reģistrējušies kā apdrošināšanas starpnieki. Praksē nav viennozīmīgas izpratnes par minēto salīdzinošo mājaslapu statusu, t.i., vai šāda pakalpojuma sniegšana ir vai nav uzskatāma par apdrošināšanas starpniecību. 2016.gada 20.janvārī ir pieņemta Eiropas Parlamenta un Padomes Direktīva (ES) 2016/97 par apdrošināšanas izplatīšanu (pārstrādāta redakcija), kurā minētais jautājums ir atrisināts, nosakot, ka šāda salīdzinošās mājaslapas darbība ir uzskatāma par apdrošināšanas izplatīšanu. Ņemot vērā minēto, lai padarītu apdrošināšanas sistēmu uzticamu, efektīvu, drošu un stabilu, tādējādi aizsargājot apdrošinājuma ņēmēju un apdrošināto personu intereses, nepieciešams lemt par apdrošināšanas starpniecības definīcijas precizēšanu. </w:t>
                  </w:r>
                  <w:r w:rsidRPr="0028315C">
                    <w:rPr>
                      <w:rFonts w:ascii="Times New Roman" w:hAnsi="Times New Roman"/>
                      <w:noProof/>
                      <w:sz w:val="24"/>
                      <w:szCs w:val="24"/>
                      <w:lang w:val="lv-LV"/>
                    </w:rPr>
                    <w:t xml:space="preserve">Lai nodrošinātu juridisko noteiktību, kā arī augstāku klientu aizsardzības līmeni likumprojekta izstrādes gaitā, konsultējoties ar nozares pārstāvjiem, kā Latvijai piemērotākais risinājums tika izvēlēts risinājums, ka par apdrošināšanas starpniecību uzskatāma arī </w:t>
                  </w:r>
                  <w:r w:rsidRPr="00061CAA">
                    <w:rPr>
                      <w:rFonts w:ascii="Times New Roman" w:hAnsi="Times New Roman"/>
                      <w:noProof/>
                      <w:sz w:val="24"/>
                      <w:szCs w:val="24"/>
                      <w:lang w:val="lv-LV"/>
                    </w:rPr>
                    <w:t>informācijas sniegšana par klientam individuāli sagatavotu apdrošināšanas piedāvājumu</w:t>
                  </w:r>
                  <w:bookmarkStart w:id="0" w:name="_GoBack"/>
                  <w:bookmarkEnd w:id="0"/>
                  <w:r w:rsidRPr="0028315C">
                    <w:rPr>
                      <w:rFonts w:ascii="Times New Roman" w:hAnsi="Times New Roman"/>
                      <w:noProof/>
                      <w:sz w:val="24"/>
                      <w:szCs w:val="24"/>
                      <w:lang w:val="lv-LV"/>
                    </w:rPr>
                    <w:t xml:space="preserve"> ar salīdzinošās mājaslapas internetā vai mobīlās lietotnes starpniecību, pamatojoties uz klienta ievadītajiem kritērijiem (piem., informāciju par apdrošināšanas objektu, par personas datiem, u.c. informāciju, kas ļauj apdrošinātājam sagatavot </w:t>
                  </w:r>
                  <w:r w:rsidRPr="00165C54">
                    <w:rPr>
                      <w:rFonts w:ascii="Times New Roman" w:hAnsi="Times New Roman"/>
                      <w:noProof/>
                      <w:sz w:val="24"/>
                      <w:szCs w:val="24"/>
                      <w:lang w:val="lv-LV"/>
                    </w:rPr>
                    <w:t>individualizētu apdrošināšanas piedāvājumu).</w:t>
                  </w:r>
                  <w:r w:rsidRPr="00165C54" w:rsidDel="00EC3FD6">
                    <w:rPr>
                      <w:rFonts w:ascii="Times New Roman" w:hAnsi="Times New Roman"/>
                      <w:noProof/>
                      <w:sz w:val="24"/>
                      <w:szCs w:val="24"/>
                      <w:lang w:val="lv-LV"/>
                    </w:rPr>
                    <w:t xml:space="preserve"> </w:t>
                  </w:r>
                  <w:r w:rsidRPr="00165C54">
                    <w:rPr>
                      <w:rFonts w:ascii="Times New Roman" w:hAnsi="Times New Roman"/>
                      <w:noProof/>
                      <w:sz w:val="24"/>
                      <w:szCs w:val="24"/>
                      <w:lang w:val="lv-LV"/>
                    </w:rPr>
                    <w:t xml:space="preserve">Līdz ar to Latvija ir izvēlējusies piemērot stingrāku režīmu, kā to paredz Direktīva 2016/97. </w:t>
                  </w:r>
                </w:p>
                <w:p w:rsidR="003C2523" w:rsidRPr="0028315C" w:rsidRDefault="003C2523" w:rsidP="00EC3FD6">
                  <w:pPr>
                    <w:autoSpaceDE w:val="0"/>
                    <w:autoSpaceDN w:val="0"/>
                    <w:adjustRightInd w:val="0"/>
                    <w:spacing w:before="120" w:line="240" w:lineRule="auto"/>
                    <w:jc w:val="both"/>
                    <w:rPr>
                      <w:rFonts w:ascii="Times New Roman" w:hAnsi="Times New Roman"/>
                      <w:noProof/>
                      <w:sz w:val="24"/>
                      <w:szCs w:val="24"/>
                      <w:lang w:val="lv-LV"/>
                    </w:rPr>
                  </w:pPr>
                  <w:r w:rsidRPr="0028315C">
                    <w:rPr>
                      <w:rFonts w:ascii="Times New Roman" w:hAnsi="Times New Roman"/>
                      <w:sz w:val="24"/>
                      <w:szCs w:val="24"/>
                      <w:lang w:val="lv-LV"/>
                    </w:rPr>
                    <w:t xml:space="preserve">Likumprojekta 4.pants paredz papildināt likumu ar 46.pantu, kurā </w:t>
                  </w:r>
                  <w:r w:rsidRPr="0028315C">
                    <w:rPr>
                      <w:rFonts w:ascii="Times New Roman" w:hAnsi="Times New Roman"/>
                      <w:noProof/>
                      <w:sz w:val="24"/>
                      <w:szCs w:val="24"/>
                      <w:lang w:val="lv-LV"/>
                    </w:rPr>
                    <w:t>Finanšu un kapitāla tirgus komisijai paredzētas tiesības informāciju par īstenotajām darbībām un sankcijām, kas personām piemērotas par šā likuma 45. panta trešajā daļā minētajiem pārkāpumiem, ievietot savā mājaslapā internetā, norādot ziņas par personu un tās izdarīto pārkāpumu, kā arī tās izdotā administratīvā akta apstrīdēšanu un pieņemto nolēmumu.</w:t>
                  </w:r>
                </w:p>
              </w:tc>
            </w:tr>
            <w:tr w:rsidR="003C2523" w:rsidRPr="003C2523" w:rsidTr="00F8491B">
              <w:trPr>
                <w:trHeight w:val="465"/>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before="100" w:beforeAutospacing="1" w:after="100" w:afterAutospacing="1" w:line="265" w:lineRule="atLeast"/>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3C2523" w:rsidRPr="00BA345A" w:rsidRDefault="003C2523" w:rsidP="00105CA1">
                  <w:pPr>
                    <w:autoSpaceDE w:val="0"/>
                    <w:autoSpaceDN w:val="0"/>
                    <w:adjustRightInd w:val="0"/>
                    <w:spacing w:after="0" w:line="240" w:lineRule="auto"/>
                    <w:jc w:val="both"/>
                    <w:rPr>
                      <w:rFonts w:ascii="Times New Roman" w:hAnsi="Times New Roman"/>
                      <w:color w:val="000000"/>
                      <w:sz w:val="24"/>
                      <w:szCs w:val="24"/>
                      <w:lang w:val="lv-LV" w:eastAsia="lv-LV"/>
                    </w:rPr>
                  </w:pPr>
                  <w:r w:rsidRPr="0028315C">
                    <w:rPr>
                      <w:rFonts w:ascii="Times New Roman" w:hAnsi="Times New Roman"/>
                      <w:color w:val="000000"/>
                      <w:sz w:val="24"/>
                      <w:szCs w:val="24"/>
                      <w:shd w:val="clear" w:color="auto" w:fill="FFFFFF"/>
                      <w:lang w:val="lv-LV"/>
                    </w:rPr>
                    <w:t>Finanšu un kapitāla tirgus komisija, Latvijas Apdrošinātāju asociācija, Latvijas Profesionālo apdrošināšanas brokeru asociācija un Latvijas Apdrošināšanas brokeru asociācija.</w:t>
                  </w:r>
                </w:p>
              </w:tc>
            </w:tr>
            <w:tr w:rsidR="003C2523" w:rsidRPr="003C2523" w:rsidTr="00F8491B">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before="100" w:beforeAutospacing="1" w:after="100" w:afterAutospacing="1" w:line="265" w:lineRule="atLeast"/>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3C2523" w:rsidRPr="00BA345A" w:rsidRDefault="003C2523" w:rsidP="00227388">
                  <w:pPr>
                    <w:autoSpaceDE w:val="0"/>
                    <w:autoSpaceDN w:val="0"/>
                    <w:adjustRightInd w:val="0"/>
                    <w:spacing w:before="120" w:line="240" w:lineRule="auto"/>
                    <w:jc w:val="both"/>
                    <w:rPr>
                      <w:rFonts w:ascii="Times New Roman" w:hAnsi="Times New Roman"/>
                      <w:color w:val="000000"/>
                      <w:sz w:val="24"/>
                      <w:szCs w:val="24"/>
                      <w:lang w:val="lv-LV" w:eastAsia="lv-LV"/>
                    </w:rPr>
                  </w:pPr>
                  <w:r w:rsidRPr="0028315C">
                    <w:rPr>
                      <w:rFonts w:ascii="Times New Roman" w:hAnsi="Times New Roman"/>
                      <w:color w:val="000000"/>
                      <w:sz w:val="24"/>
                      <w:szCs w:val="24"/>
                      <w:shd w:val="clear" w:color="auto" w:fill="FFFFFF"/>
                      <w:lang w:val="lv-LV"/>
                    </w:rPr>
                    <w:t xml:space="preserve">Dalībvalstīm ir pienākums līdz 2016. gada 31. decembrim informēt Eiropas Komisiju un Eiropas Uzraudzības iestāžu </w:t>
                  </w:r>
                  <w:r w:rsidRPr="0028315C">
                    <w:rPr>
                      <w:rFonts w:ascii="Times New Roman" w:hAnsi="Times New Roman"/>
                      <w:color w:val="000000"/>
                      <w:sz w:val="24"/>
                      <w:szCs w:val="24"/>
                      <w:shd w:val="clear" w:color="auto" w:fill="FFFFFF"/>
                      <w:lang w:val="lv-LV"/>
                    </w:rPr>
                    <w:lastRenderedPageBreak/>
                    <w:t>apvienoto komiteju par pieņemto tiesisko regulējumu, ņemot vērā Regulas Nr. 1286/2014 prasības.</w:t>
                  </w:r>
                </w:p>
              </w:tc>
            </w:tr>
          </w:tbl>
          <w:tbl>
            <w:tblPr>
              <w:tblpPr w:leftFromText="180" w:rightFromText="180" w:vertAnchor="text" w:horzAnchor="margin" w:tblpY="15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0"/>
              <w:gridCol w:w="2852"/>
              <w:gridCol w:w="5887"/>
            </w:tblGrid>
            <w:tr w:rsidR="003C2523" w:rsidRPr="003C2523" w:rsidTr="00F8491B">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b/>
                      <w:bCs/>
                      <w:color w:val="000000"/>
                      <w:sz w:val="24"/>
                      <w:szCs w:val="24"/>
                      <w:lang w:val="lv-LV" w:eastAsia="lv-LV"/>
                    </w:rPr>
                    <w:lastRenderedPageBreak/>
                    <w:t>II. Tiesību akta projekta ietekme uz sabiedrību, tautsaimniecības attīstību un administratīvo slogu</w:t>
                  </w:r>
                </w:p>
              </w:tc>
            </w:tr>
            <w:tr w:rsidR="003C2523" w:rsidRPr="0028315C" w:rsidTr="00F8491B">
              <w:trPr>
                <w:trHeight w:val="465"/>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66303">
                  <w:pPr>
                    <w:spacing w:after="0" w:line="240" w:lineRule="auto"/>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1.</w:t>
                  </w:r>
                </w:p>
              </w:tc>
              <w:tc>
                <w:tcPr>
                  <w:tcW w:w="15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 xml:space="preserve">Sabiedrības </w:t>
                  </w:r>
                  <w:proofErr w:type="spellStart"/>
                  <w:r w:rsidRPr="00BA345A">
                    <w:rPr>
                      <w:rFonts w:ascii="Times New Roman" w:hAnsi="Times New Roman"/>
                      <w:color w:val="000000"/>
                      <w:sz w:val="24"/>
                      <w:szCs w:val="24"/>
                      <w:lang w:val="lv-LV" w:eastAsia="lv-LV"/>
                    </w:rPr>
                    <w:t>mērķgrupas</w:t>
                  </w:r>
                  <w:proofErr w:type="spellEnd"/>
                  <w:r w:rsidRPr="00BA345A">
                    <w:rPr>
                      <w:rFonts w:ascii="Times New Roman" w:hAnsi="Times New Roman"/>
                      <w:color w:val="000000"/>
                      <w:sz w:val="24"/>
                      <w:szCs w:val="24"/>
                      <w:lang w:val="lv-LV"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rsidR="003C2523" w:rsidRPr="0028315C" w:rsidRDefault="003C2523" w:rsidP="00884D8C">
                  <w:pPr>
                    <w:spacing w:after="0" w:line="240" w:lineRule="auto"/>
                    <w:jc w:val="both"/>
                    <w:rPr>
                      <w:rFonts w:ascii="Times New Roman" w:hAnsi="Times New Roman"/>
                      <w:color w:val="000000"/>
                      <w:sz w:val="24"/>
                      <w:szCs w:val="24"/>
                      <w:shd w:val="clear" w:color="auto" w:fill="FFFFFF"/>
                      <w:lang w:val="lv-LV"/>
                    </w:rPr>
                  </w:pPr>
                  <w:r w:rsidRPr="0028315C">
                    <w:rPr>
                      <w:rFonts w:ascii="Times New Roman" w:hAnsi="Times New Roman"/>
                      <w:color w:val="000000"/>
                      <w:sz w:val="24"/>
                      <w:szCs w:val="24"/>
                      <w:shd w:val="clear" w:color="auto" w:fill="FFFFFF"/>
                      <w:lang w:val="lv-LV"/>
                    </w:rPr>
                    <w:t>Apdrošināšanas sabiedrības, apdrošināšanas starpnieki.</w:t>
                  </w:r>
                </w:p>
                <w:p w:rsidR="003C2523" w:rsidRPr="00BA345A" w:rsidRDefault="003C2523" w:rsidP="00F8491B">
                  <w:pPr>
                    <w:spacing w:after="0" w:line="240" w:lineRule="auto"/>
                    <w:rPr>
                      <w:rFonts w:ascii="Times New Roman" w:hAnsi="Times New Roman"/>
                      <w:color w:val="000000"/>
                      <w:sz w:val="24"/>
                      <w:szCs w:val="24"/>
                      <w:lang w:val="lv-LV" w:eastAsia="lv-LV"/>
                    </w:rPr>
                  </w:pPr>
                </w:p>
                <w:p w:rsidR="003C2523" w:rsidRPr="00BA345A" w:rsidRDefault="003C2523" w:rsidP="00F8491B">
                  <w:pPr>
                    <w:spacing w:after="0" w:line="240" w:lineRule="auto"/>
                    <w:rPr>
                      <w:rFonts w:ascii="Times New Roman" w:hAnsi="Times New Roman"/>
                      <w:color w:val="000000"/>
                      <w:sz w:val="24"/>
                      <w:szCs w:val="24"/>
                      <w:lang w:val="lv-LV" w:eastAsia="lv-LV"/>
                    </w:rPr>
                  </w:pPr>
                </w:p>
              </w:tc>
            </w:tr>
            <w:tr w:rsidR="003C2523" w:rsidRPr="0028315C" w:rsidTr="00F8491B">
              <w:trPr>
                <w:trHeight w:val="510"/>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66303">
                  <w:pPr>
                    <w:spacing w:after="0" w:line="240" w:lineRule="auto"/>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2.</w:t>
                  </w:r>
                </w:p>
              </w:tc>
              <w:tc>
                <w:tcPr>
                  <w:tcW w:w="15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rsidR="003C2523" w:rsidRPr="00BA345A" w:rsidRDefault="003C2523" w:rsidP="00097F17">
                  <w:pPr>
                    <w:spacing w:after="0" w:line="240" w:lineRule="auto"/>
                    <w:jc w:val="both"/>
                    <w:rPr>
                      <w:rFonts w:ascii="Times New Roman" w:hAnsi="Times New Roman"/>
                      <w:color w:val="000000"/>
                      <w:sz w:val="24"/>
                      <w:szCs w:val="24"/>
                      <w:lang w:val="lv-LV" w:eastAsia="lv-LV"/>
                    </w:rPr>
                  </w:pPr>
                  <w:r w:rsidRPr="0028315C">
                    <w:rPr>
                      <w:rFonts w:ascii="Times New Roman" w:hAnsi="Times New Roman"/>
                      <w:color w:val="000000"/>
                      <w:sz w:val="24"/>
                      <w:szCs w:val="24"/>
                      <w:shd w:val="clear" w:color="auto" w:fill="FFFFFF"/>
                      <w:lang w:val="lv-LV"/>
                    </w:rPr>
                    <w:t>Tiesiskais regulējums nerada administratīvo slogu</w:t>
                  </w:r>
                  <w:r>
                    <w:rPr>
                      <w:rFonts w:ascii="Times New Roman" w:hAnsi="Times New Roman"/>
                      <w:color w:val="000000"/>
                      <w:sz w:val="24"/>
                      <w:szCs w:val="24"/>
                      <w:lang w:val="lv-LV" w:eastAsia="lv-LV"/>
                    </w:rPr>
                    <w:t>.</w:t>
                  </w:r>
                </w:p>
              </w:tc>
            </w:tr>
            <w:tr w:rsidR="003C2523" w:rsidRPr="0028315C" w:rsidTr="00F8491B">
              <w:trPr>
                <w:trHeight w:val="510"/>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66303">
                  <w:pPr>
                    <w:spacing w:after="0" w:line="240" w:lineRule="auto"/>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3.</w:t>
                  </w:r>
                </w:p>
              </w:tc>
              <w:tc>
                <w:tcPr>
                  <w:tcW w:w="15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t>Projekts šo jomu neskar</w:t>
                  </w:r>
                  <w:r>
                    <w:rPr>
                      <w:rFonts w:ascii="Times New Roman" w:hAnsi="Times New Roman"/>
                      <w:i/>
                      <w:color w:val="000000"/>
                      <w:sz w:val="24"/>
                      <w:szCs w:val="24"/>
                      <w:lang w:val="lv-LV" w:eastAsia="lv-LV"/>
                    </w:rPr>
                    <w:t>.</w:t>
                  </w:r>
                </w:p>
                <w:p w:rsidR="003C2523" w:rsidRPr="00BA345A" w:rsidRDefault="003C2523" w:rsidP="00F8491B">
                  <w:pPr>
                    <w:spacing w:after="0" w:line="240" w:lineRule="auto"/>
                    <w:rPr>
                      <w:rFonts w:ascii="Times New Roman" w:hAnsi="Times New Roman"/>
                      <w:color w:val="000000"/>
                      <w:sz w:val="24"/>
                      <w:szCs w:val="24"/>
                      <w:lang w:val="lv-LV" w:eastAsia="lv-LV"/>
                    </w:rPr>
                  </w:pPr>
                </w:p>
              </w:tc>
            </w:tr>
            <w:tr w:rsidR="003C2523" w:rsidRPr="0028315C" w:rsidTr="00F8491B">
              <w:trPr>
                <w:trHeight w:val="345"/>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66303">
                  <w:pPr>
                    <w:spacing w:after="0" w:line="240" w:lineRule="auto"/>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t>Nav</w:t>
                  </w:r>
                  <w:r>
                    <w:rPr>
                      <w:rFonts w:ascii="Times New Roman" w:hAnsi="Times New Roman"/>
                      <w:i/>
                      <w:color w:val="000000"/>
                      <w:sz w:val="24"/>
                      <w:szCs w:val="24"/>
                      <w:lang w:val="lv-LV" w:eastAsia="lv-LV"/>
                    </w:rPr>
                    <w:t>.</w:t>
                  </w:r>
                </w:p>
              </w:tc>
            </w:tr>
          </w:tbl>
          <w:p w:rsidR="003C2523" w:rsidRPr="00BA345A" w:rsidRDefault="003C2523" w:rsidP="00F8491B">
            <w:pPr>
              <w:spacing w:before="100" w:beforeAutospacing="1" w:after="100" w:afterAutospacing="1" w:line="265" w:lineRule="atLeast"/>
              <w:ind w:firstLine="272"/>
              <w:rPr>
                <w:rFonts w:ascii="Arial" w:hAnsi="Arial" w:cs="Arial"/>
                <w:color w:val="000000"/>
                <w:sz w:val="24"/>
                <w:szCs w:val="24"/>
                <w:lang w:val="lv-LV" w:eastAsia="lv-LV"/>
              </w:rPr>
            </w:pPr>
          </w:p>
          <w:tbl>
            <w:tblPr>
              <w:tblpPr w:leftFromText="180" w:rightFromText="180" w:vertAnchor="text" w:horzAnchor="margin" w:tblpY="-237"/>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199"/>
            </w:tblGrid>
            <w:tr w:rsidR="003C2523" w:rsidRPr="003C2523" w:rsidTr="00F8491B">
              <w:trPr>
                <w:trHeight w:val="360"/>
              </w:trPr>
              <w:tc>
                <w:tcPr>
                  <w:tcW w:w="0" w:type="auto"/>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b/>
                      <w:bCs/>
                      <w:color w:val="000000"/>
                      <w:sz w:val="24"/>
                      <w:szCs w:val="24"/>
                      <w:lang w:val="lv-LV" w:eastAsia="lv-LV"/>
                    </w:rPr>
                    <w:t>III. Tiesību akta projekta ietekme uz valsts budžetu un pašvaldību budžetiem</w:t>
                  </w:r>
                </w:p>
              </w:tc>
            </w:tr>
            <w:tr w:rsidR="003C2523" w:rsidRPr="0028315C" w:rsidTr="00F8491B">
              <w:trPr>
                <w:trHeight w:val="360"/>
              </w:trPr>
              <w:tc>
                <w:tcPr>
                  <w:tcW w:w="0" w:type="auto"/>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after="0" w:line="240" w:lineRule="auto"/>
                    <w:jc w:val="center"/>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t>Projekts šo jomu neskar</w:t>
                  </w:r>
                  <w:r>
                    <w:rPr>
                      <w:rFonts w:ascii="Times New Roman" w:hAnsi="Times New Roman"/>
                      <w:i/>
                      <w:color w:val="000000"/>
                      <w:sz w:val="24"/>
                      <w:szCs w:val="24"/>
                      <w:lang w:val="lv-LV" w:eastAsia="lv-LV"/>
                    </w:rPr>
                    <w:t>.</w:t>
                  </w:r>
                </w:p>
              </w:tc>
            </w:tr>
          </w:tbl>
          <w:tbl>
            <w:tblPr>
              <w:tblpPr w:leftFromText="180" w:rightFromText="180" w:vertAnchor="text" w:horzAnchor="margin" w:tblpY="-276"/>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9199"/>
            </w:tblGrid>
            <w:tr w:rsidR="003C2523" w:rsidRPr="0028315C" w:rsidTr="00F8491B">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b/>
                      <w:bCs/>
                      <w:color w:val="000000"/>
                      <w:sz w:val="24"/>
                      <w:szCs w:val="24"/>
                      <w:lang w:val="lv-LV" w:eastAsia="lv-LV"/>
                    </w:rPr>
                    <w:t>IV. Tiesību akta projekta ietekme uz spēkā esošo tiesību normu sistēmu</w:t>
                  </w:r>
                </w:p>
              </w:tc>
            </w:tr>
            <w:tr w:rsidR="003C2523" w:rsidRPr="0028315C" w:rsidTr="00F8491B">
              <w:trPr>
                <w:trHeight w:val="450"/>
              </w:trPr>
              <w:tc>
                <w:tcPr>
                  <w:tcW w:w="5000" w:type="pct"/>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i/>
                      <w:color w:val="000000"/>
                      <w:sz w:val="24"/>
                      <w:szCs w:val="24"/>
                      <w:lang w:val="lv-LV" w:eastAsia="lv-LV"/>
                    </w:rPr>
                    <w:t>Projekts šo jomu neskar</w:t>
                  </w:r>
                  <w:r>
                    <w:rPr>
                      <w:rFonts w:ascii="Times New Roman" w:hAnsi="Times New Roman"/>
                      <w:i/>
                      <w:color w:val="000000"/>
                      <w:sz w:val="24"/>
                      <w:szCs w:val="24"/>
                      <w:lang w:val="lv-LV" w:eastAsia="lv-LV"/>
                    </w:rPr>
                    <w:t>.</w:t>
                  </w:r>
                </w:p>
              </w:tc>
            </w:tr>
          </w:tbl>
          <w:tbl>
            <w:tblPr>
              <w:tblpPr w:leftFromText="180" w:rightFromText="180" w:vertAnchor="text" w:horzAnchor="margin" w:tblpY="-292"/>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0"/>
              <w:gridCol w:w="2668"/>
              <w:gridCol w:w="6071"/>
            </w:tblGrid>
            <w:tr w:rsidR="003C2523" w:rsidRPr="0028315C" w:rsidTr="00F8491B">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b/>
                      <w:bCs/>
                      <w:color w:val="000000"/>
                      <w:sz w:val="24"/>
                      <w:szCs w:val="24"/>
                      <w:lang w:val="lv-LV" w:eastAsia="lv-LV"/>
                    </w:rPr>
                    <w:t>V. Tiesību akta projekta atbilstība Latvijas Republikas starptautiskajām saistībām</w:t>
                  </w:r>
                </w:p>
              </w:tc>
            </w:tr>
            <w:tr w:rsidR="003C2523" w:rsidRPr="003C2523" w:rsidTr="00F8491B">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15C80">
                  <w:pPr>
                    <w:spacing w:after="0" w:line="240" w:lineRule="auto"/>
                    <w:jc w:val="both"/>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1.</w:t>
                  </w:r>
                </w:p>
              </w:tc>
              <w:tc>
                <w:tcPr>
                  <w:tcW w:w="14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15C80">
                  <w:pPr>
                    <w:spacing w:after="0" w:line="240" w:lineRule="auto"/>
                    <w:jc w:val="both"/>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tcPr>
                <w:p w:rsidR="003C2523" w:rsidRPr="0028315C" w:rsidRDefault="003C2523" w:rsidP="00105CA1">
                  <w:pPr>
                    <w:spacing w:after="0" w:line="240" w:lineRule="auto"/>
                    <w:jc w:val="both"/>
                    <w:rPr>
                      <w:rFonts w:ascii="Times New Roman" w:hAnsi="Times New Roman"/>
                      <w:sz w:val="24"/>
                      <w:szCs w:val="24"/>
                      <w:lang w:val="lv-LV"/>
                    </w:rPr>
                  </w:pPr>
                  <w:r w:rsidRPr="0028315C">
                    <w:rPr>
                      <w:rFonts w:ascii="Times New Roman" w:hAnsi="Times New Roman"/>
                      <w:bCs/>
                      <w:sz w:val="24"/>
                      <w:szCs w:val="24"/>
                      <w:lang w:val="lv-LV"/>
                    </w:rPr>
                    <w:t>Lai ieviestu Regulas Nr. 1286/2014</w:t>
                  </w:r>
                  <w:r w:rsidRPr="0028315C">
                    <w:rPr>
                      <w:rFonts w:ascii="Times New Roman" w:hAnsi="Times New Roman"/>
                      <w:color w:val="000000"/>
                      <w:sz w:val="24"/>
                      <w:szCs w:val="24"/>
                      <w:lang w:val="lv-LV"/>
                    </w:rPr>
                    <w:t xml:space="preserve"> prasības, l</w:t>
                  </w:r>
                  <w:r w:rsidRPr="0028315C">
                    <w:rPr>
                      <w:rFonts w:ascii="Times New Roman" w:hAnsi="Times New Roman"/>
                      <w:color w:val="000000"/>
                      <w:sz w:val="24"/>
                      <w:szCs w:val="24"/>
                      <w:shd w:val="clear" w:color="auto" w:fill="FFFFFF"/>
                      <w:lang w:val="lv-LV"/>
                    </w:rPr>
                    <w:t>ikumprojekts jāpieņem līdz 2016.gada 31.decembrim.</w:t>
                  </w:r>
                  <w:r w:rsidRPr="0028315C">
                    <w:rPr>
                      <w:rFonts w:ascii="Times New Roman" w:hAnsi="Times New Roman"/>
                      <w:sz w:val="24"/>
                      <w:szCs w:val="24"/>
                      <w:lang w:val="lv-LV"/>
                    </w:rPr>
                    <w:t xml:space="preserve"> </w:t>
                  </w:r>
                </w:p>
                <w:p w:rsidR="003C2523" w:rsidRPr="0028315C" w:rsidRDefault="003C2523" w:rsidP="00105CA1">
                  <w:pPr>
                    <w:spacing w:after="0" w:line="240" w:lineRule="auto"/>
                    <w:jc w:val="both"/>
                    <w:rPr>
                      <w:rFonts w:ascii="Times New Roman" w:hAnsi="Times New Roman"/>
                      <w:color w:val="000000"/>
                      <w:sz w:val="24"/>
                      <w:szCs w:val="24"/>
                      <w:lang w:val="lv-LV"/>
                    </w:rPr>
                  </w:pPr>
                  <w:r w:rsidRPr="0028315C">
                    <w:rPr>
                      <w:rFonts w:ascii="Times New Roman" w:hAnsi="Times New Roman"/>
                      <w:sz w:val="24"/>
                      <w:szCs w:val="24"/>
                      <w:lang w:val="lv-LV"/>
                    </w:rPr>
                    <w:t>Direktīva (ES) 2016/97 prasības ir jāpārņem līdz 2018.gada 23.februārim.</w:t>
                  </w:r>
                </w:p>
              </w:tc>
            </w:tr>
            <w:tr w:rsidR="003C2523" w:rsidRPr="0028315C" w:rsidTr="00F8491B">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15C80">
                  <w:pPr>
                    <w:spacing w:after="0" w:line="240" w:lineRule="auto"/>
                    <w:jc w:val="both"/>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2.</w:t>
                  </w:r>
                </w:p>
              </w:tc>
              <w:tc>
                <w:tcPr>
                  <w:tcW w:w="14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15C80">
                  <w:pPr>
                    <w:spacing w:after="0" w:line="240" w:lineRule="auto"/>
                    <w:jc w:val="both"/>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tcPr>
                <w:p w:rsidR="003C2523" w:rsidRPr="00873B24" w:rsidRDefault="003C2523" w:rsidP="00615C80">
                  <w:pPr>
                    <w:spacing w:after="0" w:line="240" w:lineRule="auto"/>
                    <w:jc w:val="both"/>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t>Projekts šo jomu neskar</w:t>
                  </w:r>
                  <w:r>
                    <w:rPr>
                      <w:rFonts w:ascii="Times New Roman" w:hAnsi="Times New Roman"/>
                      <w:i/>
                      <w:color w:val="000000"/>
                      <w:sz w:val="24"/>
                      <w:szCs w:val="24"/>
                      <w:lang w:val="lv-LV" w:eastAsia="lv-LV"/>
                    </w:rPr>
                    <w:t>.</w:t>
                  </w:r>
                </w:p>
              </w:tc>
            </w:tr>
            <w:tr w:rsidR="003C2523" w:rsidRPr="0028315C" w:rsidTr="00F8491B">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15C80">
                  <w:pPr>
                    <w:spacing w:after="0" w:line="240" w:lineRule="auto"/>
                    <w:jc w:val="both"/>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3.</w:t>
                  </w:r>
                </w:p>
              </w:tc>
              <w:tc>
                <w:tcPr>
                  <w:tcW w:w="1450" w:type="pct"/>
                  <w:tcBorders>
                    <w:top w:val="outset" w:sz="6" w:space="0" w:color="414142"/>
                    <w:left w:val="outset" w:sz="6" w:space="0" w:color="414142"/>
                    <w:bottom w:val="outset" w:sz="6" w:space="0" w:color="414142"/>
                    <w:right w:val="outset" w:sz="6" w:space="0" w:color="414142"/>
                  </w:tcBorders>
                </w:tcPr>
                <w:p w:rsidR="003C2523" w:rsidRPr="00BA345A" w:rsidRDefault="003C2523" w:rsidP="00615C80">
                  <w:pPr>
                    <w:spacing w:after="0" w:line="240" w:lineRule="auto"/>
                    <w:jc w:val="both"/>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tcPr>
                <w:p w:rsidR="003C2523" w:rsidRPr="00BA345A" w:rsidRDefault="003C2523" w:rsidP="00615C80">
                  <w:pPr>
                    <w:spacing w:after="0" w:line="240" w:lineRule="auto"/>
                    <w:jc w:val="both"/>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t>Nav</w:t>
                  </w:r>
                  <w:r>
                    <w:rPr>
                      <w:rFonts w:ascii="Times New Roman" w:hAnsi="Times New Roman"/>
                      <w:i/>
                      <w:color w:val="000000"/>
                      <w:sz w:val="24"/>
                      <w:szCs w:val="24"/>
                      <w:lang w:val="lv-LV" w:eastAsia="lv-LV"/>
                    </w:rPr>
                    <w:t>.</w:t>
                  </w:r>
                </w:p>
              </w:tc>
            </w:tr>
          </w:tbl>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2115"/>
              <w:gridCol w:w="2024"/>
              <w:gridCol w:w="2576"/>
              <w:gridCol w:w="2484"/>
            </w:tblGrid>
            <w:tr w:rsidR="003C2523" w:rsidRPr="0028315C" w:rsidTr="00F8491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b/>
                      <w:bCs/>
                      <w:color w:val="000000"/>
                      <w:sz w:val="24"/>
                      <w:szCs w:val="24"/>
                      <w:lang w:val="lv-LV" w:eastAsia="lv-LV"/>
                    </w:rPr>
                    <w:t>1.tabula</w:t>
                  </w:r>
                  <w:r w:rsidRPr="00BA345A">
                    <w:rPr>
                      <w:rFonts w:ascii="Times New Roman" w:hAnsi="Times New Roman"/>
                      <w:b/>
                      <w:bCs/>
                      <w:color w:val="000000"/>
                      <w:sz w:val="24"/>
                      <w:szCs w:val="24"/>
                      <w:lang w:val="lv-LV" w:eastAsia="lv-LV"/>
                    </w:rPr>
                    <w:br/>
                    <w:t>Tiesību akta projekta atbilstība ES tiesību aktiem</w:t>
                  </w:r>
                </w:p>
              </w:tc>
            </w:tr>
            <w:tr w:rsidR="003C2523" w:rsidRPr="003C2523" w:rsidTr="00F8491B">
              <w:trPr>
                <w:jc w:val="center"/>
              </w:trPr>
              <w:tc>
                <w:tcPr>
                  <w:tcW w:w="11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Attiecīgā ES tiesību akta datums, numurs un nosaukums</w:t>
                  </w:r>
                </w:p>
              </w:tc>
              <w:tc>
                <w:tcPr>
                  <w:tcW w:w="3850" w:type="pct"/>
                  <w:gridSpan w:val="3"/>
                  <w:tcBorders>
                    <w:top w:val="outset" w:sz="6" w:space="0" w:color="414142"/>
                    <w:left w:val="outset" w:sz="6" w:space="0" w:color="414142"/>
                    <w:bottom w:val="outset" w:sz="6" w:space="0" w:color="414142"/>
                    <w:right w:val="outset" w:sz="6" w:space="0" w:color="414142"/>
                  </w:tcBorders>
                </w:tcPr>
                <w:p w:rsidR="003C2523" w:rsidRPr="00BA345A" w:rsidRDefault="003C2523" w:rsidP="006D492E">
                  <w:pPr>
                    <w:spacing w:after="0" w:line="240" w:lineRule="auto"/>
                    <w:rPr>
                      <w:rFonts w:ascii="Times New Roman" w:hAnsi="Times New Roman"/>
                      <w:color w:val="000000"/>
                      <w:sz w:val="24"/>
                      <w:szCs w:val="24"/>
                      <w:lang w:val="lv-LV" w:eastAsia="lv-LV"/>
                    </w:rPr>
                  </w:pPr>
                  <w:r w:rsidRPr="0028315C">
                    <w:rPr>
                      <w:rFonts w:ascii="Times New Roman" w:hAnsi="Times New Roman"/>
                      <w:bCs/>
                      <w:sz w:val="24"/>
                      <w:szCs w:val="24"/>
                      <w:lang w:val="lv-LV"/>
                    </w:rPr>
                    <w:t>Eiropas Parlamenta un Padomes Regula (ES) Nr. 1286/2014 (2014. gada 26. novembris) par komplektētu privāto ieguldījumu un apdrošināšanas ieguldījumu produktu (</w:t>
                  </w:r>
                  <w:r w:rsidRPr="0028315C">
                    <w:rPr>
                      <w:rFonts w:ascii="Times New Roman" w:hAnsi="Times New Roman"/>
                      <w:bCs/>
                      <w:i/>
                      <w:iCs/>
                      <w:sz w:val="24"/>
                      <w:szCs w:val="24"/>
                      <w:lang w:val="lv-LV"/>
                    </w:rPr>
                    <w:t>PRIIP</w:t>
                  </w:r>
                  <w:r w:rsidRPr="0028315C">
                    <w:rPr>
                      <w:rFonts w:ascii="Times New Roman" w:hAnsi="Times New Roman"/>
                      <w:bCs/>
                      <w:sz w:val="24"/>
                      <w:szCs w:val="24"/>
                      <w:lang w:val="lv-LV"/>
                    </w:rPr>
                    <w:t>) pamatinformācijas dokumentiem, Eiropas Parlamenta un Padomes Direktīva (ES) 2016/97 (2016. gada 20.janvāris) par apdrošināšanas izplatīšanu (pārstrādātā versija).</w:t>
                  </w:r>
                </w:p>
              </w:tc>
            </w:tr>
            <w:tr w:rsidR="003C2523" w:rsidRPr="0028315C" w:rsidTr="00F8491B">
              <w:trPr>
                <w:jc w:val="center"/>
              </w:trPr>
              <w:tc>
                <w:tcPr>
                  <w:tcW w:w="1150" w:type="pct"/>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C</w:t>
                  </w:r>
                </w:p>
              </w:tc>
              <w:tc>
                <w:tcPr>
                  <w:tcW w:w="1350" w:type="pct"/>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D</w:t>
                  </w:r>
                </w:p>
              </w:tc>
            </w:tr>
            <w:tr w:rsidR="003C2523" w:rsidRPr="003C2523" w:rsidTr="00F8491B">
              <w:trPr>
                <w:jc w:val="center"/>
              </w:trPr>
              <w:tc>
                <w:tcPr>
                  <w:tcW w:w="11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 xml:space="preserve">Attiecīgā ES tiesību akta panta numurs (uzskaitot katru tiesību akta vienību – pantu, daļu, </w:t>
                  </w:r>
                  <w:r w:rsidRPr="00BA345A">
                    <w:rPr>
                      <w:rFonts w:ascii="Times New Roman" w:hAnsi="Times New Roman"/>
                      <w:color w:val="000000"/>
                      <w:sz w:val="24"/>
                      <w:szCs w:val="24"/>
                      <w:lang w:val="lv-LV" w:eastAsia="lv-LV"/>
                    </w:rPr>
                    <w:lastRenderedPageBreak/>
                    <w:t>punktu, apakšpunktu)</w:t>
                  </w:r>
                </w:p>
              </w:tc>
              <w:tc>
                <w:tcPr>
                  <w:tcW w:w="11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lastRenderedPageBreak/>
                    <w:t xml:space="preserve">Projekta vienība, kas pārņem vai ievieš katru šīs tabulas A ailē minēto ES tiesību akta vienību, vai </w:t>
                  </w:r>
                  <w:r w:rsidRPr="00BA345A">
                    <w:rPr>
                      <w:rFonts w:ascii="Times New Roman" w:hAnsi="Times New Roman"/>
                      <w:color w:val="000000"/>
                      <w:sz w:val="24"/>
                      <w:szCs w:val="24"/>
                      <w:lang w:val="lv-LV" w:eastAsia="lv-LV"/>
                    </w:rPr>
                    <w:lastRenderedPageBreak/>
                    <w:t xml:space="preserve">tiesību </w:t>
                  </w:r>
                  <w:smartTag w:uri="schemas-tilde-lv/tildestengine" w:element="veidnes">
                    <w:smartTagPr>
                      <w:attr w:name="text" w:val="akts"/>
                      <w:attr w:name="baseform" w:val="akts"/>
                      <w:attr w:name="id" w:val="-1"/>
                    </w:smartTagPr>
                    <w:r w:rsidRPr="00BA345A">
                      <w:rPr>
                        <w:rFonts w:ascii="Times New Roman" w:hAnsi="Times New Roman"/>
                        <w:color w:val="000000"/>
                        <w:sz w:val="24"/>
                        <w:szCs w:val="24"/>
                        <w:lang w:val="lv-LV" w:eastAsia="lv-LV"/>
                      </w:rPr>
                      <w:t>akts</w:t>
                    </w:r>
                  </w:smartTag>
                  <w:r w:rsidRPr="00BA345A">
                    <w:rPr>
                      <w:rFonts w:ascii="Times New Roman" w:hAnsi="Times New Roman"/>
                      <w:color w:val="000000"/>
                      <w:sz w:val="24"/>
                      <w:szCs w:val="24"/>
                      <w:lang w:val="lv-LV" w:eastAsia="lv-LV"/>
                    </w:rPr>
                    <w:t>,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lastRenderedPageBreak/>
                    <w:t>Informācija par to, vai šīs tabulas A ailē minētās ES tiesību akta vienības tiek pārņemtas vai ieviestas pilnībā vai daļēji.</w:t>
                  </w:r>
                </w:p>
                <w:p w:rsidR="003C2523" w:rsidRPr="00BA345A" w:rsidRDefault="003C2523" w:rsidP="00F8491B">
                  <w:pPr>
                    <w:spacing w:before="100" w:beforeAutospacing="1" w:after="100" w:afterAutospacing="1" w:line="265" w:lineRule="atLeast"/>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lastRenderedPageBreak/>
                    <w:t>Ja attiecīgā ES tiesību akta vienība tiek pārņemta vai ieviesta daļēji, sniedz attiecīgu skaidrojumu, kā arī precīzi norāda, kad un kādā veidā ES tiesību akta vienība tiks pārņemta vai ieviesta pilnībā.</w:t>
                  </w:r>
                </w:p>
                <w:p w:rsidR="003C2523" w:rsidRPr="00BA345A" w:rsidRDefault="003C2523" w:rsidP="00F8491B">
                  <w:pPr>
                    <w:spacing w:before="100" w:beforeAutospacing="1" w:after="100" w:afterAutospacing="1" w:line="265" w:lineRule="atLeast"/>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Norāda institūciju, kas ir atbildīga par šo saistību izpildi pilnībā</w:t>
                  </w:r>
                </w:p>
              </w:tc>
              <w:tc>
                <w:tcPr>
                  <w:tcW w:w="13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lastRenderedPageBreak/>
                    <w:t xml:space="preserve">Informācija par to, vai šīs tabulas B ailē minētās projekta vienības paredz stingrākas prasības nekā šīs tabulas A ailē </w:t>
                  </w:r>
                  <w:r w:rsidRPr="00BA345A">
                    <w:rPr>
                      <w:rFonts w:ascii="Times New Roman" w:hAnsi="Times New Roman"/>
                      <w:color w:val="000000"/>
                      <w:sz w:val="24"/>
                      <w:szCs w:val="24"/>
                      <w:lang w:val="lv-LV" w:eastAsia="lv-LV"/>
                    </w:rPr>
                    <w:lastRenderedPageBreak/>
                    <w:t>minētās ES tiesību akta vienības.</w:t>
                  </w:r>
                </w:p>
                <w:p w:rsidR="003C2523" w:rsidRPr="00BA345A" w:rsidRDefault="003C2523" w:rsidP="00F8491B">
                  <w:pPr>
                    <w:spacing w:before="100" w:beforeAutospacing="1" w:after="100" w:afterAutospacing="1" w:line="265" w:lineRule="atLeast"/>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 xml:space="preserve">Ja projekts satur stingrākas prasības nekā attiecīgais ES tiesību </w:t>
                  </w:r>
                  <w:smartTag w:uri="schemas-tilde-lv/tildestengine" w:element="veidnes">
                    <w:smartTagPr>
                      <w:attr w:name="text" w:val="akts"/>
                      <w:attr w:name="baseform" w:val="akts"/>
                      <w:attr w:name="id" w:val="-1"/>
                    </w:smartTagPr>
                    <w:r w:rsidRPr="00BA345A">
                      <w:rPr>
                        <w:rFonts w:ascii="Times New Roman" w:hAnsi="Times New Roman"/>
                        <w:color w:val="000000"/>
                        <w:sz w:val="24"/>
                        <w:szCs w:val="24"/>
                        <w:lang w:val="lv-LV" w:eastAsia="lv-LV"/>
                      </w:rPr>
                      <w:t>akts</w:t>
                    </w:r>
                  </w:smartTag>
                  <w:r w:rsidRPr="00BA345A">
                    <w:rPr>
                      <w:rFonts w:ascii="Times New Roman" w:hAnsi="Times New Roman"/>
                      <w:color w:val="000000"/>
                      <w:sz w:val="24"/>
                      <w:szCs w:val="24"/>
                      <w:lang w:val="lv-LV" w:eastAsia="lv-LV"/>
                    </w:rPr>
                    <w:t>, norāda pamatojumu un samērīgumu.</w:t>
                  </w:r>
                </w:p>
                <w:p w:rsidR="003C2523" w:rsidRPr="00BA345A" w:rsidRDefault="003C2523" w:rsidP="00C66A58">
                  <w:pPr>
                    <w:spacing w:before="100" w:beforeAutospacing="1" w:after="100" w:afterAutospacing="1" w:line="265" w:lineRule="atLeast"/>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C2523" w:rsidRPr="003C2523" w:rsidTr="00F8491B">
              <w:trPr>
                <w:jc w:val="center"/>
              </w:trPr>
              <w:tc>
                <w:tcPr>
                  <w:tcW w:w="1150" w:type="pct"/>
                  <w:tcBorders>
                    <w:top w:val="outset" w:sz="6" w:space="0" w:color="414142"/>
                    <w:left w:val="outset" w:sz="6" w:space="0" w:color="414142"/>
                    <w:bottom w:val="outset" w:sz="6" w:space="0" w:color="414142"/>
                    <w:right w:val="outset" w:sz="6" w:space="0" w:color="414142"/>
                  </w:tcBorders>
                </w:tcPr>
                <w:p w:rsidR="003C2523" w:rsidRPr="0028315C" w:rsidRDefault="003C2523" w:rsidP="00105CA1">
                  <w:pPr>
                    <w:spacing w:after="0" w:line="240" w:lineRule="auto"/>
                    <w:rPr>
                      <w:rStyle w:val="CommentReference"/>
                      <w:rFonts w:ascii="Times New Roman" w:hAnsi="Times New Roman"/>
                      <w:noProof/>
                      <w:color w:val="000000"/>
                      <w:sz w:val="24"/>
                      <w:szCs w:val="24"/>
                      <w:lang w:val="lv-LV"/>
                    </w:rPr>
                  </w:pPr>
                  <w:r w:rsidRPr="0028315C">
                    <w:rPr>
                      <w:rStyle w:val="CommentReference"/>
                      <w:rFonts w:ascii="Times New Roman" w:hAnsi="Times New Roman"/>
                      <w:noProof/>
                      <w:color w:val="000000"/>
                      <w:sz w:val="24"/>
                      <w:szCs w:val="24"/>
                      <w:lang w:val="lv-LV"/>
                    </w:rPr>
                    <w:lastRenderedPageBreak/>
                    <w:t>Direktīvas (ES) 2016/97 2.pants</w:t>
                  </w:r>
                </w:p>
              </w:tc>
              <w:tc>
                <w:tcPr>
                  <w:tcW w:w="1100" w:type="pct"/>
                  <w:tcBorders>
                    <w:top w:val="outset" w:sz="6" w:space="0" w:color="414142"/>
                    <w:left w:val="outset" w:sz="6" w:space="0" w:color="414142"/>
                    <w:bottom w:val="outset" w:sz="6" w:space="0" w:color="414142"/>
                    <w:right w:val="outset" w:sz="6" w:space="0" w:color="414142"/>
                  </w:tcBorders>
                </w:tcPr>
                <w:p w:rsidR="003C2523" w:rsidRPr="0028315C" w:rsidRDefault="003C2523" w:rsidP="00D43BC7">
                  <w:pPr>
                    <w:spacing w:after="0" w:line="240" w:lineRule="auto"/>
                    <w:rPr>
                      <w:rFonts w:ascii="Times New Roman" w:hAnsi="Times New Roman"/>
                      <w:bCs/>
                      <w:color w:val="000000"/>
                      <w:sz w:val="24"/>
                      <w:szCs w:val="24"/>
                      <w:lang w:val="lv-LV"/>
                    </w:rPr>
                  </w:pPr>
                  <w:r w:rsidRPr="0028315C">
                    <w:rPr>
                      <w:rFonts w:ascii="Times New Roman" w:hAnsi="Times New Roman"/>
                      <w:bCs/>
                      <w:color w:val="000000"/>
                      <w:sz w:val="24"/>
                      <w:szCs w:val="24"/>
                      <w:lang w:val="lv-LV"/>
                    </w:rPr>
                    <w:t>Likumprojekta 2.pants (likuma 1.panta pirmā daļa)</w:t>
                  </w:r>
                </w:p>
              </w:tc>
              <w:tc>
                <w:tcPr>
                  <w:tcW w:w="1400" w:type="pct"/>
                  <w:tcBorders>
                    <w:top w:val="outset" w:sz="6" w:space="0" w:color="414142"/>
                    <w:left w:val="outset" w:sz="6" w:space="0" w:color="414142"/>
                    <w:bottom w:val="outset" w:sz="6" w:space="0" w:color="414142"/>
                    <w:right w:val="outset" w:sz="6" w:space="0" w:color="414142"/>
                  </w:tcBorders>
                </w:tcPr>
                <w:p w:rsidR="003C2523" w:rsidRPr="00794072" w:rsidRDefault="003C2523" w:rsidP="00D43BC7">
                  <w:pPr>
                    <w:spacing w:after="0" w:line="240" w:lineRule="auto"/>
                    <w:rPr>
                      <w:rFonts w:ascii="Times New Roman" w:hAnsi="Times New Roman"/>
                      <w:color w:val="000000"/>
                      <w:sz w:val="24"/>
                      <w:szCs w:val="24"/>
                      <w:lang w:val="lv-LV" w:eastAsia="lv-LV"/>
                    </w:rPr>
                  </w:pPr>
                  <w:r w:rsidRPr="00794072">
                    <w:rPr>
                      <w:rFonts w:ascii="Times New Roman" w:hAnsi="Times New Roman"/>
                      <w:color w:val="000000"/>
                      <w:sz w:val="24"/>
                      <w:szCs w:val="24"/>
                      <w:lang w:val="lv-LV" w:eastAsia="lv-LV"/>
                    </w:rPr>
                    <w:t>ES tiesību akta vienība</w:t>
                  </w:r>
                  <w:r>
                    <w:rPr>
                      <w:rFonts w:ascii="Times New Roman" w:hAnsi="Times New Roman"/>
                      <w:color w:val="000000"/>
                      <w:sz w:val="24"/>
                      <w:szCs w:val="24"/>
                      <w:lang w:val="lv-LV" w:eastAsia="lv-LV"/>
                    </w:rPr>
                    <w:t xml:space="preserve"> tiek pārņemta/ ieviesta daļēji</w:t>
                  </w:r>
                </w:p>
              </w:tc>
              <w:tc>
                <w:tcPr>
                  <w:tcW w:w="1350" w:type="pct"/>
                  <w:tcBorders>
                    <w:top w:val="outset" w:sz="6" w:space="0" w:color="414142"/>
                    <w:left w:val="outset" w:sz="6" w:space="0" w:color="414142"/>
                    <w:bottom w:val="outset" w:sz="6" w:space="0" w:color="414142"/>
                    <w:right w:val="outset" w:sz="6" w:space="0" w:color="414142"/>
                  </w:tcBorders>
                </w:tcPr>
                <w:p w:rsidR="003C2523" w:rsidRPr="0028315C" w:rsidRDefault="003C2523" w:rsidP="00FD11D2">
                  <w:pPr>
                    <w:spacing w:after="0" w:line="240" w:lineRule="auto"/>
                    <w:rPr>
                      <w:rFonts w:ascii="Times New Roman" w:hAnsi="Times New Roman"/>
                      <w:color w:val="000000"/>
                      <w:spacing w:val="-2"/>
                      <w:sz w:val="24"/>
                      <w:szCs w:val="24"/>
                      <w:lang w:val="lv-LV"/>
                    </w:rPr>
                  </w:pPr>
                  <w:r w:rsidRPr="00165C54">
                    <w:rPr>
                      <w:rFonts w:ascii="Times New Roman" w:hAnsi="Times New Roman"/>
                      <w:color w:val="000000"/>
                      <w:spacing w:val="-2"/>
                      <w:sz w:val="24"/>
                      <w:szCs w:val="24"/>
                      <w:lang w:val="lv-LV"/>
                    </w:rPr>
                    <w:t xml:space="preserve">Likumprojekts paredz stingrākas prasības kā direktīva, jo regulējuma tvērumā tiek ietvertas visas salīdzinošās mājas lapas vai mobilās lietotnes, kur pēc individualizētiem kritērijiem iespējams salīdzināt apdrošināšanas produktu cenas, neatkarīgi no tā, vai tiek nodrošināta iespēja tiešā vai netiešā veidā noslēgt līgumu. Tādējādi tiek nodrošināta lielāka juridiskā noteiktība, kā arī augstāka klientu aizsardzība. Klientam ievadot atlases kritērijus mājaslapā vai mobilajā lietotnē, pastāv saikne starp mājaslapu vai mobilo lietotni un apdrošinātāju, kā rezultātā tiek sagatavots attiecīgs apdrošināšanas piedāvājums, līdz ar to ir būtiski, lai šajā procesā </w:t>
                  </w:r>
                  <w:r w:rsidRPr="00165C54">
                    <w:rPr>
                      <w:rFonts w:ascii="Times New Roman" w:hAnsi="Times New Roman"/>
                      <w:color w:val="000000"/>
                      <w:spacing w:val="-2"/>
                      <w:sz w:val="24"/>
                      <w:szCs w:val="24"/>
                      <w:lang w:val="lv-LV"/>
                    </w:rPr>
                    <w:lastRenderedPageBreak/>
                    <w:t>tiktu nodrošināta attiecībā uz apdrošināšanas izplatīšanu noteikto prasību ievērošana.</w:t>
                  </w:r>
                  <w:r w:rsidRPr="0028315C">
                    <w:rPr>
                      <w:rFonts w:ascii="Times New Roman" w:hAnsi="Times New Roman"/>
                      <w:color w:val="000000"/>
                      <w:spacing w:val="-2"/>
                      <w:sz w:val="24"/>
                      <w:szCs w:val="24"/>
                      <w:lang w:val="lv-LV"/>
                    </w:rPr>
                    <w:t xml:space="preserve">  </w:t>
                  </w:r>
                </w:p>
              </w:tc>
            </w:tr>
            <w:tr w:rsidR="003C2523" w:rsidRPr="0028315C" w:rsidTr="00F8491B">
              <w:trPr>
                <w:jc w:val="center"/>
              </w:trPr>
              <w:tc>
                <w:tcPr>
                  <w:tcW w:w="1150" w:type="pct"/>
                  <w:tcBorders>
                    <w:top w:val="outset" w:sz="6" w:space="0" w:color="414142"/>
                    <w:left w:val="outset" w:sz="6" w:space="0" w:color="414142"/>
                    <w:bottom w:val="outset" w:sz="6" w:space="0" w:color="414142"/>
                    <w:right w:val="outset" w:sz="6" w:space="0" w:color="414142"/>
                  </w:tcBorders>
                </w:tcPr>
                <w:p w:rsidR="003C2523" w:rsidRPr="0028315C" w:rsidRDefault="003C2523" w:rsidP="00105CA1">
                  <w:pPr>
                    <w:spacing w:after="0" w:line="240" w:lineRule="auto"/>
                    <w:rPr>
                      <w:rStyle w:val="CommentReference"/>
                      <w:rFonts w:ascii="Times New Roman" w:hAnsi="Times New Roman"/>
                      <w:color w:val="000000"/>
                      <w:sz w:val="24"/>
                      <w:szCs w:val="24"/>
                      <w:lang w:val="lv-LV"/>
                    </w:rPr>
                  </w:pPr>
                  <w:r w:rsidRPr="0028315C">
                    <w:rPr>
                      <w:rStyle w:val="CommentReference"/>
                      <w:rFonts w:ascii="Times New Roman" w:hAnsi="Times New Roman"/>
                      <w:color w:val="000000"/>
                      <w:sz w:val="24"/>
                      <w:szCs w:val="24"/>
                      <w:lang w:val="lv-LV"/>
                    </w:rPr>
                    <w:lastRenderedPageBreak/>
                    <w:t xml:space="preserve">Regulas Nr. 1286/2014 </w:t>
                  </w:r>
                  <w:r w:rsidRPr="0028315C">
                    <w:rPr>
                      <w:rFonts w:ascii="Times New Roman" w:hAnsi="Times New Roman"/>
                      <w:bCs/>
                      <w:sz w:val="24"/>
                      <w:szCs w:val="24"/>
                      <w:lang w:val="lv-LV"/>
                    </w:rPr>
                    <w:t xml:space="preserve">24. pants </w:t>
                  </w:r>
                </w:p>
              </w:tc>
              <w:tc>
                <w:tcPr>
                  <w:tcW w:w="1100" w:type="pct"/>
                  <w:tcBorders>
                    <w:top w:val="outset" w:sz="6" w:space="0" w:color="414142"/>
                    <w:left w:val="outset" w:sz="6" w:space="0" w:color="414142"/>
                    <w:bottom w:val="outset" w:sz="6" w:space="0" w:color="414142"/>
                    <w:right w:val="outset" w:sz="6" w:space="0" w:color="414142"/>
                  </w:tcBorders>
                </w:tcPr>
                <w:p w:rsidR="003C2523" w:rsidRPr="0028315C" w:rsidRDefault="003C2523" w:rsidP="00D43BC7">
                  <w:pPr>
                    <w:spacing w:after="0" w:line="240" w:lineRule="auto"/>
                    <w:rPr>
                      <w:rFonts w:ascii="Times New Roman" w:hAnsi="Times New Roman"/>
                      <w:color w:val="000000"/>
                      <w:sz w:val="24"/>
                      <w:szCs w:val="24"/>
                      <w:lang w:val="lv-LV"/>
                    </w:rPr>
                  </w:pPr>
                  <w:r w:rsidRPr="0028315C">
                    <w:rPr>
                      <w:rFonts w:ascii="Times New Roman" w:hAnsi="Times New Roman"/>
                      <w:bCs/>
                      <w:color w:val="000000"/>
                      <w:sz w:val="24"/>
                      <w:szCs w:val="24"/>
                      <w:lang w:val="lv-LV"/>
                    </w:rPr>
                    <w:t>Likumprojekta 3. pants (likuma 45. panta trešā daļa</w:t>
                  </w:r>
                  <w:r w:rsidRPr="0028315C">
                    <w:rPr>
                      <w:rFonts w:ascii="Times New Roman" w:hAnsi="Times New Roman"/>
                      <w:color w:val="000000"/>
                      <w:sz w:val="24"/>
                      <w:szCs w:val="24"/>
                      <w:lang w:val="lv-LV"/>
                    </w:rPr>
                    <w:t>)</w:t>
                  </w:r>
                </w:p>
                <w:p w:rsidR="003C2523" w:rsidRPr="0028315C" w:rsidRDefault="003C2523" w:rsidP="008E50EE">
                  <w:pPr>
                    <w:spacing w:after="0" w:line="240" w:lineRule="auto"/>
                    <w:rPr>
                      <w:rFonts w:ascii="Times New Roman" w:hAnsi="Times New Roman"/>
                      <w:bCs/>
                      <w:color w:val="000000"/>
                      <w:sz w:val="24"/>
                      <w:szCs w:val="24"/>
                      <w:lang w:val="lv-LV"/>
                    </w:rPr>
                  </w:pPr>
                </w:p>
              </w:tc>
              <w:tc>
                <w:tcPr>
                  <w:tcW w:w="1400" w:type="pct"/>
                  <w:tcBorders>
                    <w:top w:val="outset" w:sz="6" w:space="0" w:color="414142"/>
                    <w:left w:val="outset" w:sz="6" w:space="0" w:color="414142"/>
                    <w:bottom w:val="outset" w:sz="6" w:space="0" w:color="414142"/>
                    <w:right w:val="outset" w:sz="6" w:space="0" w:color="414142"/>
                  </w:tcBorders>
                </w:tcPr>
                <w:p w:rsidR="003C2523" w:rsidRPr="00794072" w:rsidRDefault="003C2523" w:rsidP="00D43BC7">
                  <w:pPr>
                    <w:spacing w:after="0" w:line="240" w:lineRule="auto"/>
                    <w:rPr>
                      <w:rFonts w:ascii="Times New Roman" w:hAnsi="Times New Roman"/>
                      <w:color w:val="000000"/>
                      <w:sz w:val="24"/>
                      <w:szCs w:val="24"/>
                      <w:lang w:val="lv-LV" w:eastAsia="lv-LV"/>
                    </w:rPr>
                  </w:pPr>
                  <w:r w:rsidRPr="00794072">
                    <w:rPr>
                      <w:rFonts w:ascii="Times New Roman" w:hAnsi="Times New Roman"/>
                      <w:color w:val="000000"/>
                      <w:sz w:val="24"/>
                      <w:szCs w:val="24"/>
                      <w:lang w:val="lv-LV" w:eastAsia="lv-LV"/>
                    </w:rPr>
                    <w:t xml:space="preserve">ES tiesību akta vienība tiek pārņemta/ ieviesta pilnībā </w:t>
                  </w:r>
                </w:p>
                <w:p w:rsidR="003C2523" w:rsidRPr="00BA345A" w:rsidRDefault="003C2523" w:rsidP="00D43BC7">
                  <w:pPr>
                    <w:spacing w:after="0" w:line="240" w:lineRule="auto"/>
                    <w:rPr>
                      <w:rFonts w:ascii="Times New Roman" w:hAnsi="Times New Roman"/>
                      <w:color w:val="000000"/>
                      <w:sz w:val="24"/>
                      <w:szCs w:val="24"/>
                      <w:lang w:val="lv-LV" w:eastAsia="lv-LV"/>
                    </w:rPr>
                  </w:pPr>
                </w:p>
              </w:tc>
              <w:tc>
                <w:tcPr>
                  <w:tcW w:w="1350" w:type="pct"/>
                  <w:tcBorders>
                    <w:top w:val="outset" w:sz="6" w:space="0" w:color="414142"/>
                    <w:left w:val="outset" w:sz="6" w:space="0" w:color="414142"/>
                    <w:bottom w:val="outset" w:sz="6" w:space="0" w:color="414142"/>
                    <w:right w:val="outset" w:sz="6" w:space="0" w:color="414142"/>
                  </w:tcBorders>
                </w:tcPr>
                <w:p w:rsidR="003C2523" w:rsidRPr="0028315C" w:rsidRDefault="003C2523" w:rsidP="00D43BC7">
                  <w:pPr>
                    <w:spacing w:after="0" w:line="240" w:lineRule="auto"/>
                    <w:rPr>
                      <w:rFonts w:ascii="Times New Roman" w:hAnsi="Times New Roman"/>
                      <w:color w:val="000000"/>
                      <w:spacing w:val="-2"/>
                      <w:sz w:val="24"/>
                      <w:szCs w:val="24"/>
                      <w:lang w:val="lv-LV"/>
                    </w:rPr>
                  </w:pPr>
                  <w:r w:rsidRPr="0028315C">
                    <w:rPr>
                      <w:rFonts w:ascii="Times New Roman" w:hAnsi="Times New Roman"/>
                      <w:color w:val="000000"/>
                      <w:spacing w:val="-2"/>
                      <w:sz w:val="24"/>
                      <w:szCs w:val="24"/>
                      <w:lang w:val="lv-LV"/>
                    </w:rPr>
                    <w:t>Likumprojekts stingrākas prasības neparedz</w:t>
                  </w:r>
                </w:p>
              </w:tc>
            </w:tr>
            <w:tr w:rsidR="003C2523" w:rsidRPr="0028315C" w:rsidTr="001124A4">
              <w:trPr>
                <w:trHeight w:val="422"/>
                <w:jc w:val="center"/>
              </w:trPr>
              <w:tc>
                <w:tcPr>
                  <w:tcW w:w="1150" w:type="pct"/>
                  <w:tcBorders>
                    <w:top w:val="outset" w:sz="6" w:space="0" w:color="414142"/>
                    <w:left w:val="outset" w:sz="6" w:space="0" w:color="414142"/>
                    <w:bottom w:val="outset" w:sz="6" w:space="0" w:color="414142"/>
                    <w:right w:val="outset" w:sz="6" w:space="0" w:color="414142"/>
                  </w:tcBorders>
                </w:tcPr>
                <w:p w:rsidR="003C2523" w:rsidRPr="0028315C" w:rsidRDefault="003C2523" w:rsidP="00837157">
                  <w:pPr>
                    <w:pStyle w:val="CommentText"/>
                    <w:spacing w:before="100" w:beforeAutospacing="1" w:after="100" w:afterAutospacing="1"/>
                    <w:rPr>
                      <w:rStyle w:val="CommentReference"/>
                      <w:rFonts w:ascii="Times New Roman" w:hAnsi="Times New Roman"/>
                      <w:color w:val="000000"/>
                      <w:sz w:val="24"/>
                      <w:szCs w:val="24"/>
                      <w:lang w:val="lv-LV"/>
                    </w:rPr>
                  </w:pPr>
                  <w:r w:rsidRPr="0028315C">
                    <w:rPr>
                      <w:rStyle w:val="CommentReference"/>
                      <w:rFonts w:ascii="Times New Roman" w:hAnsi="Times New Roman"/>
                      <w:color w:val="000000"/>
                      <w:sz w:val="24"/>
                      <w:szCs w:val="24"/>
                      <w:lang w:val="lv-LV"/>
                    </w:rPr>
                    <w:t xml:space="preserve">Regulas </w:t>
                  </w:r>
                  <w:r w:rsidRPr="0028315C">
                    <w:rPr>
                      <w:rFonts w:ascii="Times New Roman" w:hAnsi="Times New Roman"/>
                      <w:bCs/>
                      <w:sz w:val="24"/>
                      <w:szCs w:val="24"/>
                      <w:lang w:val="lv-LV"/>
                    </w:rPr>
                    <w:t xml:space="preserve">Nr. 1286/2014 27. pants </w:t>
                  </w:r>
                </w:p>
              </w:tc>
              <w:tc>
                <w:tcPr>
                  <w:tcW w:w="1100" w:type="pct"/>
                  <w:tcBorders>
                    <w:top w:val="outset" w:sz="6" w:space="0" w:color="414142"/>
                    <w:left w:val="outset" w:sz="6" w:space="0" w:color="414142"/>
                    <w:bottom w:val="outset" w:sz="6" w:space="0" w:color="414142"/>
                    <w:right w:val="outset" w:sz="6" w:space="0" w:color="414142"/>
                  </w:tcBorders>
                </w:tcPr>
                <w:p w:rsidR="003C2523" w:rsidRPr="0028315C" w:rsidRDefault="003C2523" w:rsidP="00D43BC7">
                  <w:pPr>
                    <w:spacing w:after="0" w:line="240" w:lineRule="auto"/>
                    <w:rPr>
                      <w:rFonts w:ascii="Times New Roman" w:hAnsi="Times New Roman"/>
                      <w:color w:val="000000"/>
                      <w:sz w:val="24"/>
                      <w:szCs w:val="24"/>
                      <w:lang w:val="lv-LV"/>
                    </w:rPr>
                  </w:pPr>
                  <w:r w:rsidRPr="0028315C">
                    <w:rPr>
                      <w:rFonts w:ascii="Times New Roman" w:hAnsi="Times New Roman"/>
                      <w:bCs/>
                      <w:color w:val="000000"/>
                      <w:sz w:val="24"/>
                      <w:szCs w:val="24"/>
                      <w:lang w:val="lv-LV"/>
                    </w:rPr>
                    <w:t>Likumprojekta 4. pants (likuma 46. panta sestā daļa</w:t>
                  </w:r>
                  <w:r w:rsidRPr="0028315C">
                    <w:rPr>
                      <w:rFonts w:ascii="Times New Roman" w:hAnsi="Times New Roman"/>
                      <w:color w:val="000000"/>
                      <w:sz w:val="24"/>
                      <w:szCs w:val="24"/>
                      <w:lang w:val="lv-LV"/>
                    </w:rPr>
                    <w:t>)</w:t>
                  </w:r>
                </w:p>
                <w:p w:rsidR="003C2523" w:rsidRPr="0028315C" w:rsidRDefault="003C2523" w:rsidP="00D43BC7">
                  <w:pPr>
                    <w:spacing w:after="0" w:line="240" w:lineRule="auto"/>
                    <w:rPr>
                      <w:rFonts w:ascii="Times New Roman" w:hAnsi="Times New Roman"/>
                      <w:bCs/>
                      <w:color w:val="000000"/>
                      <w:sz w:val="24"/>
                      <w:szCs w:val="24"/>
                      <w:lang w:val="lv-LV"/>
                    </w:rPr>
                  </w:pPr>
                </w:p>
              </w:tc>
              <w:tc>
                <w:tcPr>
                  <w:tcW w:w="1400" w:type="pct"/>
                  <w:tcBorders>
                    <w:top w:val="outset" w:sz="6" w:space="0" w:color="414142"/>
                    <w:left w:val="outset" w:sz="6" w:space="0" w:color="414142"/>
                    <w:bottom w:val="outset" w:sz="6" w:space="0" w:color="414142"/>
                    <w:right w:val="outset" w:sz="6" w:space="0" w:color="414142"/>
                  </w:tcBorders>
                </w:tcPr>
                <w:p w:rsidR="003C2523" w:rsidRPr="00794072" w:rsidRDefault="003C2523" w:rsidP="00F8491B">
                  <w:pPr>
                    <w:spacing w:after="0" w:line="240" w:lineRule="auto"/>
                    <w:rPr>
                      <w:rFonts w:ascii="Times New Roman" w:hAnsi="Times New Roman"/>
                      <w:color w:val="000000"/>
                      <w:sz w:val="24"/>
                      <w:szCs w:val="24"/>
                      <w:lang w:val="lv-LV" w:eastAsia="lv-LV"/>
                    </w:rPr>
                  </w:pPr>
                  <w:r w:rsidRPr="00794072">
                    <w:rPr>
                      <w:rFonts w:ascii="Times New Roman" w:hAnsi="Times New Roman"/>
                      <w:color w:val="000000"/>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3C2523" w:rsidRPr="00794072" w:rsidRDefault="003C2523" w:rsidP="00D43BC7">
                  <w:pPr>
                    <w:spacing w:after="0" w:line="240" w:lineRule="auto"/>
                    <w:rPr>
                      <w:rFonts w:ascii="Times New Roman" w:hAnsi="Times New Roman"/>
                      <w:color w:val="000000"/>
                      <w:sz w:val="24"/>
                      <w:szCs w:val="24"/>
                      <w:lang w:val="lv-LV" w:eastAsia="lv-LV"/>
                    </w:rPr>
                  </w:pPr>
                  <w:r w:rsidRPr="0028315C">
                    <w:rPr>
                      <w:rFonts w:ascii="Times New Roman" w:hAnsi="Times New Roman"/>
                      <w:color w:val="000000"/>
                      <w:spacing w:val="-2"/>
                      <w:sz w:val="24"/>
                      <w:szCs w:val="24"/>
                      <w:lang w:val="lv-LV"/>
                    </w:rPr>
                    <w:t>Likumprojekts stingrākas prasības neparedz</w:t>
                  </w:r>
                </w:p>
                <w:p w:rsidR="003C2523" w:rsidRPr="0028315C" w:rsidRDefault="003C2523" w:rsidP="00D43BC7">
                  <w:pPr>
                    <w:spacing w:after="0" w:line="240" w:lineRule="auto"/>
                    <w:rPr>
                      <w:rFonts w:ascii="Times New Roman" w:hAnsi="Times New Roman"/>
                      <w:color w:val="000000"/>
                      <w:spacing w:val="-2"/>
                      <w:sz w:val="24"/>
                      <w:szCs w:val="24"/>
                      <w:lang w:val="lv-LV"/>
                    </w:rPr>
                  </w:pPr>
                </w:p>
              </w:tc>
            </w:tr>
            <w:tr w:rsidR="003C2523" w:rsidRPr="0028315C" w:rsidTr="001124A4">
              <w:trPr>
                <w:trHeight w:val="422"/>
                <w:jc w:val="center"/>
              </w:trPr>
              <w:tc>
                <w:tcPr>
                  <w:tcW w:w="1150" w:type="pct"/>
                  <w:tcBorders>
                    <w:top w:val="outset" w:sz="6" w:space="0" w:color="414142"/>
                    <w:left w:val="outset" w:sz="6" w:space="0" w:color="414142"/>
                    <w:bottom w:val="outset" w:sz="6" w:space="0" w:color="414142"/>
                    <w:right w:val="outset" w:sz="6" w:space="0" w:color="414142"/>
                  </w:tcBorders>
                </w:tcPr>
                <w:p w:rsidR="003C2523" w:rsidRPr="0028315C" w:rsidRDefault="003C2523" w:rsidP="00BB40C8">
                  <w:pPr>
                    <w:pStyle w:val="CommentText"/>
                    <w:spacing w:before="100" w:beforeAutospacing="1" w:after="100" w:afterAutospacing="1"/>
                    <w:rPr>
                      <w:rStyle w:val="CommentReference"/>
                      <w:rFonts w:ascii="Times New Roman" w:hAnsi="Times New Roman"/>
                      <w:color w:val="000000"/>
                      <w:sz w:val="24"/>
                      <w:szCs w:val="24"/>
                      <w:lang w:val="lv-LV"/>
                    </w:rPr>
                  </w:pPr>
                  <w:r w:rsidRPr="0028315C">
                    <w:rPr>
                      <w:rStyle w:val="CommentReference"/>
                      <w:rFonts w:ascii="Times New Roman" w:hAnsi="Times New Roman"/>
                      <w:color w:val="000000"/>
                      <w:sz w:val="24"/>
                      <w:szCs w:val="24"/>
                      <w:lang w:val="lv-LV"/>
                    </w:rPr>
                    <w:t xml:space="preserve">Regulas </w:t>
                  </w:r>
                  <w:r w:rsidRPr="0028315C">
                    <w:rPr>
                      <w:rFonts w:ascii="Times New Roman" w:hAnsi="Times New Roman"/>
                      <w:bCs/>
                      <w:sz w:val="24"/>
                      <w:szCs w:val="24"/>
                      <w:lang w:val="lv-LV"/>
                    </w:rPr>
                    <w:t>Nr. 1286/2014 29. pants</w:t>
                  </w:r>
                </w:p>
              </w:tc>
              <w:tc>
                <w:tcPr>
                  <w:tcW w:w="1100" w:type="pct"/>
                  <w:tcBorders>
                    <w:top w:val="outset" w:sz="6" w:space="0" w:color="414142"/>
                    <w:left w:val="outset" w:sz="6" w:space="0" w:color="414142"/>
                    <w:bottom w:val="outset" w:sz="6" w:space="0" w:color="414142"/>
                    <w:right w:val="outset" w:sz="6" w:space="0" w:color="414142"/>
                  </w:tcBorders>
                </w:tcPr>
                <w:p w:rsidR="003C2523" w:rsidRPr="0028315C" w:rsidRDefault="003C2523" w:rsidP="00D43BC7">
                  <w:pPr>
                    <w:spacing w:after="0" w:line="240" w:lineRule="auto"/>
                    <w:rPr>
                      <w:rFonts w:ascii="Times New Roman" w:hAnsi="Times New Roman"/>
                      <w:color w:val="000000"/>
                      <w:sz w:val="24"/>
                      <w:szCs w:val="24"/>
                      <w:lang w:val="lv-LV"/>
                    </w:rPr>
                  </w:pPr>
                  <w:r w:rsidRPr="0028315C">
                    <w:rPr>
                      <w:rFonts w:ascii="Times New Roman" w:hAnsi="Times New Roman"/>
                      <w:bCs/>
                      <w:color w:val="000000"/>
                      <w:sz w:val="24"/>
                      <w:szCs w:val="24"/>
                      <w:lang w:val="lv-LV"/>
                    </w:rPr>
                    <w:t>Likumprojekta 4. pants (likuma 46. pants</w:t>
                  </w:r>
                  <w:r w:rsidRPr="0028315C">
                    <w:rPr>
                      <w:rFonts w:ascii="Times New Roman" w:hAnsi="Times New Roman"/>
                      <w:color w:val="000000"/>
                      <w:sz w:val="24"/>
                      <w:szCs w:val="24"/>
                      <w:lang w:val="lv-LV"/>
                    </w:rPr>
                    <w:t>)</w:t>
                  </w:r>
                </w:p>
                <w:p w:rsidR="003C2523" w:rsidRPr="0028315C" w:rsidRDefault="003C2523" w:rsidP="008E50EE">
                  <w:pPr>
                    <w:spacing w:after="0" w:line="240" w:lineRule="auto"/>
                    <w:rPr>
                      <w:rFonts w:ascii="Times New Roman" w:hAnsi="Times New Roman"/>
                      <w:bCs/>
                      <w:color w:val="000000"/>
                      <w:sz w:val="24"/>
                      <w:szCs w:val="24"/>
                      <w:lang w:val="lv-LV"/>
                    </w:rPr>
                  </w:pPr>
                </w:p>
              </w:tc>
              <w:tc>
                <w:tcPr>
                  <w:tcW w:w="14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794072">
                    <w:rPr>
                      <w:rFonts w:ascii="Times New Roman" w:hAnsi="Times New Roman"/>
                      <w:color w:val="000000"/>
                      <w:sz w:val="24"/>
                      <w:szCs w:val="24"/>
                      <w:lang w:val="lv-LV" w:eastAsia="lv-LV"/>
                    </w:rPr>
                    <w:t xml:space="preserve">ES tiesību akta vienība tiek pārņemta/ ieviesta pilnībā </w:t>
                  </w:r>
                </w:p>
              </w:tc>
              <w:tc>
                <w:tcPr>
                  <w:tcW w:w="1350" w:type="pct"/>
                  <w:tcBorders>
                    <w:top w:val="outset" w:sz="6" w:space="0" w:color="414142"/>
                    <w:left w:val="outset" w:sz="6" w:space="0" w:color="414142"/>
                    <w:bottom w:val="outset" w:sz="6" w:space="0" w:color="414142"/>
                    <w:right w:val="outset" w:sz="6" w:space="0" w:color="414142"/>
                  </w:tcBorders>
                </w:tcPr>
                <w:p w:rsidR="003C2523" w:rsidRPr="00794072" w:rsidRDefault="003C2523" w:rsidP="00D43BC7">
                  <w:pPr>
                    <w:spacing w:after="0" w:line="240" w:lineRule="auto"/>
                    <w:rPr>
                      <w:rFonts w:ascii="Times New Roman" w:hAnsi="Times New Roman"/>
                      <w:color w:val="000000"/>
                      <w:sz w:val="24"/>
                      <w:szCs w:val="24"/>
                      <w:lang w:val="lv-LV" w:eastAsia="lv-LV"/>
                    </w:rPr>
                  </w:pPr>
                  <w:r w:rsidRPr="0028315C">
                    <w:rPr>
                      <w:rFonts w:ascii="Times New Roman" w:hAnsi="Times New Roman"/>
                      <w:color w:val="000000"/>
                      <w:spacing w:val="-2"/>
                      <w:sz w:val="24"/>
                      <w:szCs w:val="24"/>
                      <w:lang w:val="lv-LV"/>
                    </w:rPr>
                    <w:t>Likumprojekts stingrākas prasības neparedz</w:t>
                  </w:r>
                </w:p>
                <w:p w:rsidR="003C2523" w:rsidRPr="0028315C" w:rsidRDefault="003C2523" w:rsidP="00227388">
                  <w:pPr>
                    <w:spacing w:after="0" w:line="240" w:lineRule="auto"/>
                    <w:rPr>
                      <w:rFonts w:ascii="Times New Roman" w:hAnsi="Times New Roman"/>
                      <w:color w:val="000000"/>
                      <w:spacing w:val="-2"/>
                      <w:sz w:val="24"/>
                      <w:szCs w:val="24"/>
                      <w:lang w:val="lv-LV"/>
                    </w:rPr>
                  </w:pPr>
                </w:p>
              </w:tc>
            </w:tr>
            <w:tr w:rsidR="003C2523" w:rsidRPr="003C2523" w:rsidTr="00F8491B">
              <w:trPr>
                <w:jc w:val="center"/>
              </w:trPr>
              <w:tc>
                <w:tcPr>
                  <w:tcW w:w="11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Kā ir izmantota ES tiesību aktā paredzētā rīcības brīvība dalībvalstij pārņemt vai ieviest noteiktas ES tiesību akta normas?</w:t>
                  </w:r>
                  <w:r w:rsidRPr="00BA345A">
                    <w:rPr>
                      <w:rFonts w:ascii="Times New Roman" w:hAnsi="Times New Roman"/>
                      <w:color w:val="000000"/>
                      <w:sz w:val="24"/>
                      <w:szCs w:val="24"/>
                      <w:lang w:val="lv-LV" w:eastAsia="lv-LV"/>
                    </w:rPr>
                    <w:br/>
                    <w:t>Kādēļ?</w:t>
                  </w:r>
                </w:p>
              </w:tc>
              <w:tc>
                <w:tcPr>
                  <w:tcW w:w="3850" w:type="pct"/>
                  <w:gridSpan w:val="3"/>
                  <w:tcBorders>
                    <w:top w:val="outset" w:sz="6" w:space="0" w:color="414142"/>
                    <w:left w:val="outset" w:sz="6" w:space="0" w:color="414142"/>
                    <w:bottom w:val="outset" w:sz="6" w:space="0" w:color="414142"/>
                    <w:right w:val="outset" w:sz="6" w:space="0" w:color="414142"/>
                  </w:tcBorders>
                </w:tcPr>
                <w:p w:rsidR="003C2523" w:rsidRPr="00BA345A" w:rsidRDefault="003C2523" w:rsidP="00491D61">
                  <w:pPr>
                    <w:spacing w:after="0" w:line="240" w:lineRule="auto"/>
                    <w:jc w:val="both"/>
                    <w:rPr>
                      <w:rFonts w:ascii="Times New Roman" w:hAnsi="Times New Roman"/>
                      <w:bCs/>
                      <w:i/>
                      <w:color w:val="000000"/>
                      <w:sz w:val="24"/>
                      <w:szCs w:val="24"/>
                      <w:lang w:val="lv-LV" w:eastAsia="lv-LV"/>
                    </w:rPr>
                  </w:pPr>
                  <w:r w:rsidRPr="0028315C">
                    <w:rPr>
                      <w:rStyle w:val="CommentReference"/>
                      <w:rFonts w:ascii="Times New Roman" w:hAnsi="Times New Roman"/>
                      <w:color w:val="000000"/>
                      <w:sz w:val="24"/>
                      <w:szCs w:val="24"/>
                      <w:lang w:val="lv-LV"/>
                    </w:rPr>
                    <w:t xml:space="preserve">Tiek izmantota Regulas </w:t>
                  </w:r>
                  <w:r w:rsidRPr="0028315C">
                    <w:rPr>
                      <w:rFonts w:ascii="Times New Roman" w:hAnsi="Times New Roman"/>
                      <w:bCs/>
                      <w:sz w:val="24"/>
                      <w:szCs w:val="24"/>
                      <w:lang w:val="lv-LV"/>
                    </w:rPr>
                    <w:t>Nr. 1286/2014 29. panta 3. punktā minētā dalībvalstu izvēles iespēja, izvēloties publicēt visus Finanšu un kapitāla tirgus komisijas pieņemtos lēmumus, ievērojot 46. panta otrajā un trešajā daļā noteiktos ierobežojumus un izņēmumus. Finanšu un kapitāla tirgus komisija, publicējot pārsūdzamu lēmumu, vienlaikus publicē arī lēmuma statusu – paziņots, apstrīdēts, pārsūdzēts vai stājies spēkā. Izvēle izmantota, lai ieviestu vienotu regulējumu visos Finanšu un kapitāla tirgus komisijas uzraugāmajos finanšu tirgus sektoros (Kredītiestāžu likuma 201.</w:t>
                  </w:r>
                  <w:r w:rsidRPr="0028315C">
                    <w:rPr>
                      <w:rFonts w:ascii="Times New Roman" w:hAnsi="Times New Roman"/>
                      <w:bCs/>
                      <w:sz w:val="24"/>
                      <w:szCs w:val="24"/>
                      <w:vertAlign w:val="superscript"/>
                      <w:lang w:val="lv-LV"/>
                    </w:rPr>
                    <w:t>1 </w:t>
                  </w:r>
                  <w:r w:rsidRPr="0028315C">
                    <w:rPr>
                      <w:rFonts w:ascii="Times New Roman" w:hAnsi="Times New Roman"/>
                      <w:bCs/>
                      <w:sz w:val="24"/>
                      <w:szCs w:val="24"/>
                      <w:lang w:val="lv-LV"/>
                    </w:rPr>
                    <w:t>pants, Apdrošināšanas un pārapdrošināšanas likuma 95. pants, Finanšu instrumentu tirgus likuma 150. pants).</w:t>
                  </w:r>
                </w:p>
                <w:p w:rsidR="003C2523" w:rsidRPr="00BA345A" w:rsidRDefault="003C2523" w:rsidP="00F8491B">
                  <w:pPr>
                    <w:spacing w:after="0" w:line="240" w:lineRule="auto"/>
                    <w:rPr>
                      <w:rFonts w:ascii="Times New Roman" w:hAnsi="Times New Roman"/>
                      <w:color w:val="000000"/>
                      <w:sz w:val="24"/>
                      <w:szCs w:val="24"/>
                      <w:lang w:val="lv-LV" w:eastAsia="lv-LV"/>
                    </w:rPr>
                  </w:pPr>
                </w:p>
              </w:tc>
            </w:tr>
            <w:tr w:rsidR="003C2523" w:rsidRPr="0028315C" w:rsidTr="00F8491B">
              <w:trPr>
                <w:jc w:val="center"/>
              </w:trPr>
              <w:tc>
                <w:tcPr>
                  <w:tcW w:w="11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0" w:type="pct"/>
                  <w:gridSpan w:val="3"/>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bCs/>
                      <w:i/>
                      <w:color w:val="000000"/>
                      <w:sz w:val="24"/>
                      <w:szCs w:val="24"/>
                      <w:lang w:val="lv-LV" w:eastAsia="lv-LV"/>
                    </w:rPr>
                  </w:pPr>
                  <w:r w:rsidRPr="00BA345A">
                    <w:rPr>
                      <w:rFonts w:ascii="Times New Roman" w:hAnsi="Times New Roman"/>
                      <w:bCs/>
                      <w:i/>
                      <w:color w:val="000000"/>
                      <w:sz w:val="24"/>
                      <w:szCs w:val="24"/>
                      <w:lang w:val="lv-LV" w:eastAsia="lv-LV"/>
                    </w:rPr>
                    <w:t>Projekts šo jomu neskar</w:t>
                  </w:r>
                  <w:r>
                    <w:rPr>
                      <w:rFonts w:ascii="Times New Roman" w:hAnsi="Times New Roman"/>
                      <w:bCs/>
                      <w:i/>
                      <w:color w:val="000000"/>
                      <w:sz w:val="24"/>
                      <w:szCs w:val="24"/>
                      <w:lang w:val="lv-LV" w:eastAsia="lv-LV"/>
                    </w:rPr>
                    <w:t>.</w:t>
                  </w:r>
                </w:p>
                <w:p w:rsidR="003C2523" w:rsidRPr="00BA345A" w:rsidRDefault="003C2523" w:rsidP="00F8491B">
                  <w:pPr>
                    <w:spacing w:after="0" w:line="240" w:lineRule="auto"/>
                    <w:rPr>
                      <w:rFonts w:ascii="Times New Roman" w:hAnsi="Times New Roman"/>
                      <w:color w:val="000000"/>
                      <w:sz w:val="24"/>
                      <w:szCs w:val="24"/>
                      <w:lang w:val="lv-LV" w:eastAsia="lv-LV"/>
                    </w:rPr>
                  </w:pPr>
                </w:p>
              </w:tc>
            </w:tr>
            <w:tr w:rsidR="003C2523" w:rsidRPr="0028315C" w:rsidTr="00F8491B">
              <w:trPr>
                <w:jc w:val="center"/>
              </w:trPr>
              <w:tc>
                <w:tcPr>
                  <w:tcW w:w="11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Cita informācija</w:t>
                  </w:r>
                </w:p>
              </w:tc>
              <w:tc>
                <w:tcPr>
                  <w:tcW w:w="3850" w:type="pct"/>
                  <w:gridSpan w:val="3"/>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t>Nav</w:t>
                  </w:r>
                  <w:r>
                    <w:rPr>
                      <w:rFonts w:ascii="Times New Roman" w:hAnsi="Times New Roman"/>
                      <w:i/>
                      <w:color w:val="000000"/>
                      <w:sz w:val="24"/>
                      <w:szCs w:val="24"/>
                      <w:lang w:val="lv-LV" w:eastAsia="lv-LV"/>
                    </w:rPr>
                    <w:t>.</w:t>
                  </w:r>
                </w:p>
              </w:tc>
            </w:tr>
            <w:tr w:rsidR="003C2523" w:rsidRPr="0028315C" w:rsidTr="00F8491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b/>
                      <w:bCs/>
                      <w:color w:val="000000"/>
                      <w:sz w:val="24"/>
                      <w:szCs w:val="24"/>
                      <w:lang w:val="lv-LV" w:eastAsia="lv-LV"/>
                    </w:rPr>
                    <w:t xml:space="preserve">2.tabula </w:t>
                  </w:r>
                  <w:r w:rsidRPr="00BA345A">
                    <w:rPr>
                      <w:rFonts w:ascii="Times New Roman" w:hAnsi="Times New Roman"/>
                      <w:b/>
                      <w:bCs/>
                      <w:color w:val="000000"/>
                      <w:sz w:val="24"/>
                      <w:szCs w:val="24"/>
                      <w:lang w:val="lv-LV" w:eastAsia="lv-LV"/>
                    </w:rPr>
                    <w:br/>
                    <w:t xml:space="preserve">Ar tiesību akta projektu izpildītās vai uzņemtās saistības, kas izriet no starptautiskajiem </w:t>
                  </w:r>
                  <w:r w:rsidRPr="00BA345A">
                    <w:rPr>
                      <w:rFonts w:ascii="Times New Roman" w:hAnsi="Times New Roman"/>
                      <w:b/>
                      <w:bCs/>
                      <w:color w:val="000000"/>
                      <w:sz w:val="24"/>
                      <w:szCs w:val="24"/>
                      <w:lang w:val="lv-LV" w:eastAsia="lv-LV"/>
                    </w:rPr>
                    <w:lastRenderedPageBreak/>
                    <w:t>tiesību aktiem vai starptautiskas institūcijas vai organizācijas dokumentiem.</w:t>
                  </w:r>
                  <w:r w:rsidRPr="00BA345A">
                    <w:rPr>
                      <w:rFonts w:ascii="Times New Roman" w:hAnsi="Times New Roman"/>
                      <w:b/>
                      <w:bCs/>
                      <w:color w:val="000000"/>
                      <w:sz w:val="24"/>
                      <w:szCs w:val="24"/>
                      <w:lang w:val="lv-LV" w:eastAsia="lv-LV"/>
                    </w:rPr>
                    <w:br/>
                    <w:t>Pasākumi šo saistību izpildei</w:t>
                  </w:r>
                </w:p>
              </w:tc>
            </w:tr>
            <w:tr w:rsidR="003C2523" w:rsidRPr="0028315C" w:rsidTr="00F8491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tcPr>
                <w:p w:rsidR="003C2523" w:rsidRPr="00873B24" w:rsidRDefault="003C2523" w:rsidP="00873B24">
                  <w:pPr>
                    <w:jc w:val="center"/>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lastRenderedPageBreak/>
                    <w:t>Projekts šo jomu neskar</w:t>
                  </w:r>
                  <w:r>
                    <w:rPr>
                      <w:rFonts w:ascii="Times New Roman" w:hAnsi="Times New Roman"/>
                      <w:i/>
                      <w:color w:val="000000"/>
                      <w:sz w:val="24"/>
                      <w:szCs w:val="24"/>
                      <w:lang w:val="lv-LV" w:eastAsia="lv-LV"/>
                    </w:rPr>
                    <w:t>.</w:t>
                  </w:r>
                </w:p>
              </w:tc>
            </w:tr>
          </w:tbl>
          <w:tbl>
            <w:tblPr>
              <w:tblpPr w:leftFromText="180" w:rightFromText="180" w:vertAnchor="text" w:horzAnchor="margin" w:tblpY="121"/>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0"/>
              <w:gridCol w:w="2760"/>
              <w:gridCol w:w="5979"/>
            </w:tblGrid>
            <w:tr w:rsidR="003C2523" w:rsidRPr="0028315C" w:rsidTr="00F8491B">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b/>
                      <w:bCs/>
                      <w:color w:val="000000"/>
                      <w:sz w:val="24"/>
                      <w:szCs w:val="24"/>
                      <w:lang w:val="lv-LV" w:eastAsia="lv-LV"/>
                    </w:rPr>
                    <w:t>VI. Sabiedrības līdzdalība un komunikācijas aktivitātes</w:t>
                  </w:r>
                </w:p>
              </w:tc>
            </w:tr>
            <w:tr w:rsidR="003C2523" w:rsidRPr="003C2523" w:rsidTr="00F8491B">
              <w:trPr>
                <w:trHeight w:val="540"/>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1.</w:t>
                  </w:r>
                </w:p>
              </w:tc>
              <w:tc>
                <w:tcPr>
                  <w:tcW w:w="15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C27CFD">
                  <w:pPr>
                    <w:autoSpaceDE w:val="0"/>
                    <w:autoSpaceDN w:val="0"/>
                    <w:adjustRightInd w:val="0"/>
                    <w:spacing w:after="0" w:line="240" w:lineRule="auto"/>
                    <w:jc w:val="both"/>
                    <w:rPr>
                      <w:rFonts w:ascii="Times New Roman" w:hAnsi="Times New Roman"/>
                      <w:color w:val="000000"/>
                      <w:sz w:val="24"/>
                      <w:szCs w:val="24"/>
                      <w:lang w:val="lv-LV" w:eastAsia="lv-LV"/>
                    </w:rPr>
                  </w:pPr>
                  <w:r w:rsidRPr="0028315C">
                    <w:rPr>
                      <w:rFonts w:ascii="Times New Roman" w:hAnsi="Times New Roman"/>
                      <w:color w:val="000000"/>
                      <w:sz w:val="24"/>
                      <w:szCs w:val="24"/>
                      <w:lang w:val="lv-LV"/>
                    </w:rPr>
                    <w:t>Par  Likumprojekta izstrādi informācija tika ievietota 2016.gada 1.novembrī Finanšu ministrijas mājaslapas sadaļā "Sabiedrības līdzdalība".</w:t>
                  </w:r>
                </w:p>
              </w:tc>
            </w:tr>
            <w:tr w:rsidR="003C2523" w:rsidRPr="003C2523" w:rsidTr="00F8491B">
              <w:trPr>
                <w:trHeight w:val="330"/>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2.</w:t>
                  </w:r>
                </w:p>
              </w:tc>
              <w:tc>
                <w:tcPr>
                  <w:tcW w:w="15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C27CFD">
                  <w:pPr>
                    <w:autoSpaceDE w:val="0"/>
                    <w:autoSpaceDN w:val="0"/>
                    <w:adjustRightInd w:val="0"/>
                    <w:spacing w:after="0" w:line="240" w:lineRule="auto"/>
                    <w:jc w:val="both"/>
                    <w:rPr>
                      <w:rFonts w:ascii="Times New Roman" w:hAnsi="Times New Roman"/>
                      <w:color w:val="000000"/>
                      <w:sz w:val="24"/>
                      <w:szCs w:val="24"/>
                      <w:lang w:val="lv-LV" w:eastAsia="lv-LV"/>
                    </w:rPr>
                  </w:pPr>
                  <w:r w:rsidRPr="0028315C">
                    <w:rPr>
                      <w:rFonts w:ascii="Times New Roman" w:hAnsi="Times New Roman"/>
                      <w:color w:val="000000"/>
                      <w:sz w:val="24"/>
                      <w:szCs w:val="24"/>
                      <w:lang w:val="lv-LV"/>
                    </w:rPr>
                    <w:t>Par Likumprojekta izstrādi informēta Latvijas Apdrošinātāju asociācija,</w:t>
                  </w:r>
                  <w:r w:rsidRPr="00794072" w:rsidDel="00AE061D">
                    <w:rPr>
                      <w:rFonts w:ascii="Times New Roman" w:hAnsi="Times New Roman"/>
                      <w:color w:val="000000"/>
                      <w:sz w:val="24"/>
                      <w:szCs w:val="24"/>
                      <w:lang w:val="lv-LV" w:eastAsia="lv-LV"/>
                    </w:rPr>
                    <w:t xml:space="preserve"> </w:t>
                  </w:r>
                  <w:r w:rsidRPr="0028315C">
                    <w:rPr>
                      <w:rFonts w:ascii="Times New Roman" w:hAnsi="Times New Roman"/>
                      <w:color w:val="000000"/>
                      <w:sz w:val="24"/>
                      <w:szCs w:val="24"/>
                      <w:shd w:val="clear" w:color="auto" w:fill="FFFFFF"/>
                      <w:lang w:val="lv-LV"/>
                    </w:rPr>
                    <w:t>Latvijas Profesionālo apdrošināšanas brokeru asociācija un Latvijas Apdrošināšanas brokeru asociācija.</w:t>
                  </w:r>
                </w:p>
              </w:tc>
            </w:tr>
            <w:tr w:rsidR="003C2523" w:rsidRPr="003C2523" w:rsidTr="00F8491B">
              <w:trPr>
                <w:trHeight w:val="465"/>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3.</w:t>
                  </w:r>
                </w:p>
              </w:tc>
              <w:tc>
                <w:tcPr>
                  <w:tcW w:w="15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D63C53">
                  <w:pPr>
                    <w:spacing w:after="0" w:line="240" w:lineRule="auto"/>
                    <w:rPr>
                      <w:rFonts w:ascii="Times New Roman" w:hAnsi="Times New Roman"/>
                      <w:color w:val="000000"/>
                      <w:sz w:val="24"/>
                      <w:szCs w:val="24"/>
                      <w:lang w:val="lv-LV" w:eastAsia="lv-LV"/>
                    </w:rPr>
                  </w:pPr>
                  <w:r w:rsidRPr="0028315C">
                    <w:rPr>
                      <w:rFonts w:ascii="Times New Roman" w:hAnsi="Times New Roman"/>
                      <w:color w:val="000000"/>
                      <w:sz w:val="24"/>
                      <w:szCs w:val="24"/>
                      <w:lang w:val="lv-LV"/>
                    </w:rPr>
                    <w:t>Minēto asociāciju piedāvātie ieteikumi Likumprojektā daļēji ir ņemti vērā</w:t>
                  </w:r>
                  <w:r w:rsidRPr="0028315C">
                    <w:rPr>
                      <w:rFonts w:ascii="Times New Roman" w:hAnsi="Times New Roman"/>
                      <w:color w:val="000000"/>
                      <w:sz w:val="24"/>
                      <w:szCs w:val="24"/>
                      <w:shd w:val="clear" w:color="auto" w:fill="FFFFFF"/>
                      <w:lang w:val="lv-LV"/>
                    </w:rPr>
                    <w:t>.</w:t>
                  </w:r>
                </w:p>
              </w:tc>
            </w:tr>
            <w:tr w:rsidR="003C2523" w:rsidRPr="0028315C" w:rsidTr="00F8491B">
              <w:trPr>
                <w:trHeight w:val="465"/>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4.</w:t>
                  </w:r>
                </w:p>
              </w:tc>
              <w:tc>
                <w:tcPr>
                  <w:tcW w:w="15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t>Nav</w:t>
                  </w:r>
                  <w:r>
                    <w:rPr>
                      <w:rFonts w:ascii="Times New Roman" w:hAnsi="Times New Roman"/>
                      <w:i/>
                      <w:color w:val="000000"/>
                      <w:sz w:val="24"/>
                      <w:szCs w:val="24"/>
                      <w:lang w:val="lv-LV" w:eastAsia="lv-LV"/>
                    </w:rPr>
                    <w:t>.</w:t>
                  </w:r>
                </w:p>
              </w:tc>
            </w:tr>
          </w:tbl>
          <w:tbl>
            <w:tblPr>
              <w:tblpPr w:leftFromText="180" w:rightFromText="180" w:vertAnchor="text" w:horzAnchor="margin" w:tblpY="-275"/>
              <w:tblOverlap w:val="neve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60"/>
              <w:gridCol w:w="3496"/>
              <w:gridCol w:w="5243"/>
            </w:tblGrid>
            <w:tr w:rsidR="003C2523" w:rsidRPr="0028315C" w:rsidTr="00F8491B">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tcPr>
                <w:p w:rsidR="003C2523" w:rsidRPr="00BA345A" w:rsidRDefault="003C2523" w:rsidP="00F8491B">
                  <w:pPr>
                    <w:spacing w:before="100" w:beforeAutospacing="1" w:after="100" w:afterAutospacing="1" w:line="265" w:lineRule="atLeast"/>
                    <w:jc w:val="center"/>
                    <w:rPr>
                      <w:rFonts w:ascii="Times New Roman" w:hAnsi="Times New Roman"/>
                      <w:b/>
                      <w:bCs/>
                      <w:color w:val="000000"/>
                      <w:sz w:val="24"/>
                      <w:szCs w:val="24"/>
                      <w:lang w:val="lv-LV" w:eastAsia="lv-LV"/>
                    </w:rPr>
                  </w:pPr>
                  <w:r w:rsidRPr="00BA345A">
                    <w:rPr>
                      <w:rFonts w:ascii="Times New Roman" w:hAnsi="Times New Roman"/>
                      <w:b/>
                      <w:bCs/>
                      <w:color w:val="000000"/>
                      <w:sz w:val="24"/>
                      <w:szCs w:val="24"/>
                      <w:lang w:val="lv-LV" w:eastAsia="lv-LV"/>
                    </w:rPr>
                    <w:t>VII. Tiesību akta projekta izpildes nodrošināšana un tās ietekme uz institūcijām</w:t>
                  </w:r>
                </w:p>
              </w:tc>
            </w:tr>
            <w:tr w:rsidR="003C2523" w:rsidRPr="0028315C" w:rsidTr="00F8491B">
              <w:trPr>
                <w:trHeight w:val="420"/>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1.</w:t>
                  </w:r>
                </w:p>
              </w:tc>
              <w:tc>
                <w:tcPr>
                  <w:tcW w:w="19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28315C">
                    <w:rPr>
                      <w:rFonts w:ascii="Times New Roman" w:hAnsi="Times New Roman"/>
                      <w:color w:val="000000"/>
                      <w:sz w:val="24"/>
                      <w:szCs w:val="24"/>
                      <w:lang w:val="lv-LV"/>
                    </w:rPr>
                    <w:t>Finanšu un kapitāla tirgus komisija.</w:t>
                  </w:r>
                </w:p>
                <w:p w:rsidR="003C2523" w:rsidRPr="00BA345A" w:rsidRDefault="003C2523" w:rsidP="00F8491B">
                  <w:pPr>
                    <w:spacing w:after="0" w:line="240" w:lineRule="auto"/>
                    <w:rPr>
                      <w:rFonts w:ascii="Times New Roman" w:hAnsi="Times New Roman"/>
                      <w:color w:val="000000"/>
                      <w:sz w:val="24"/>
                      <w:szCs w:val="24"/>
                      <w:lang w:val="lv-LV" w:eastAsia="lv-LV"/>
                    </w:rPr>
                  </w:pPr>
                </w:p>
              </w:tc>
            </w:tr>
            <w:tr w:rsidR="003C2523" w:rsidRPr="0028315C" w:rsidTr="00F8491B">
              <w:trPr>
                <w:trHeight w:val="450"/>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2.</w:t>
                  </w:r>
                </w:p>
              </w:tc>
              <w:tc>
                <w:tcPr>
                  <w:tcW w:w="19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Projekta izpildes ietekme uz pārvaldes funkcijām un institucionālo struktūru.</w:t>
                  </w:r>
                </w:p>
                <w:p w:rsidR="003C2523" w:rsidRPr="00BA345A" w:rsidRDefault="003C2523" w:rsidP="00F8491B">
                  <w:pPr>
                    <w:spacing w:before="100" w:beforeAutospacing="1" w:after="100" w:afterAutospacing="1" w:line="265" w:lineRule="atLeast"/>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t>Projekts šo jomu neskar</w:t>
                  </w:r>
                  <w:r>
                    <w:rPr>
                      <w:rFonts w:ascii="Times New Roman" w:hAnsi="Times New Roman"/>
                      <w:i/>
                      <w:color w:val="000000"/>
                      <w:sz w:val="24"/>
                      <w:szCs w:val="24"/>
                      <w:lang w:val="lv-LV" w:eastAsia="lv-LV"/>
                    </w:rPr>
                    <w:t>.</w:t>
                  </w:r>
                </w:p>
                <w:p w:rsidR="003C2523" w:rsidRPr="00BA345A" w:rsidRDefault="003C2523" w:rsidP="00F8491B">
                  <w:pPr>
                    <w:spacing w:after="0" w:line="240" w:lineRule="auto"/>
                    <w:rPr>
                      <w:rFonts w:ascii="Times New Roman" w:hAnsi="Times New Roman"/>
                      <w:color w:val="000000"/>
                      <w:sz w:val="24"/>
                      <w:szCs w:val="24"/>
                      <w:lang w:val="lv-LV" w:eastAsia="lv-LV"/>
                    </w:rPr>
                  </w:pPr>
                </w:p>
              </w:tc>
            </w:tr>
            <w:tr w:rsidR="003C2523" w:rsidRPr="0028315C" w:rsidTr="00F8491B">
              <w:trPr>
                <w:trHeight w:val="390"/>
              </w:trPr>
              <w:tc>
                <w:tcPr>
                  <w:tcW w:w="2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3.</w:t>
                  </w:r>
                </w:p>
              </w:tc>
              <w:tc>
                <w:tcPr>
                  <w:tcW w:w="190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color w:val="000000"/>
                      <w:sz w:val="24"/>
                      <w:szCs w:val="24"/>
                      <w:lang w:val="lv-LV" w:eastAsia="lv-LV"/>
                    </w:rPr>
                  </w:pPr>
                  <w:r w:rsidRPr="00BA345A">
                    <w:rPr>
                      <w:rFonts w:ascii="Times New Roman" w:hAnsi="Times New Roman"/>
                      <w:color w:val="000000"/>
                      <w:sz w:val="24"/>
                      <w:szCs w:val="24"/>
                      <w:lang w:val="lv-LV"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tcPr>
                <w:p w:rsidR="003C2523" w:rsidRPr="00BA345A" w:rsidRDefault="003C2523" w:rsidP="00F8491B">
                  <w:pPr>
                    <w:spacing w:after="0" w:line="240" w:lineRule="auto"/>
                    <w:rPr>
                      <w:rFonts w:ascii="Times New Roman" w:hAnsi="Times New Roman"/>
                      <w:i/>
                      <w:color w:val="000000"/>
                      <w:sz w:val="24"/>
                      <w:szCs w:val="24"/>
                      <w:lang w:val="lv-LV" w:eastAsia="lv-LV"/>
                    </w:rPr>
                  </w:pPr>
                  <w:r w:rsidRPr="00BA345A">
                    <w:rPr>
                      <w:rFonts w:ascii="Times New Roman" w:hAnsi="Times New Roman"/>
                      <w:i/>
                      <w:color w:val="000000"/>
                      <w:sz w:val="24"/>
                      <w:szCs w:val="24"/>
                      <w:lang w:val="lv-LV" w:eastAsia="lv-LV"/>
                    </w:rPr>
                    <w:t>Nav</w:t>
                  </w:r>
                  <w:r>
                    <w:rPr>
                      <w:rFonts w:ascii="Times New Roman" w:hAnsi="Times New Roman"/>
                      <w:i/>
                      <w:color w:val="000000"/>
                      <w:sz w:val="24"/>
                      <w:szCs w:val="24"/>
                      <w:lang w:val="lv-LV" w:eastAsia="lv-LV"/>
                    </w:rPr>
                    <w:t>.</w:t>
                  </w:r>
                </w:p>
              </w:tc>
            </w:tr>
          </w:tbl>
          <w:p w:rsidR="003C2523" w:rsidRPr="00BA345A" w:rsidRDefault="003C2523" w:rsidP="00F8491B">
            <w:pPr>
              <w:spacing w:before="100" w:beforeAutospacing="1" w:after="100" w:afterAutospacing="1" w:line="265" w:lineRule="atLeast"/>
              <w:ind w:firstLine="272"/>
              <w:rPr>
                <w:rFonts w:ascii="Arial" w:hAnsi="Arial" w:cs="Arial"/>
                <w:color w:val="000000"/>
                <w:sz w:val="24"/>
                <w:szCs w:val="24"/>
                <w:lang w:val="lv-LV" w:eastAsia="lv-LV"/>
              </w:rPr>
            </w:pPr>
          </w:p>
        </w:tc>
      </w:tr>
    </w:tbl>
    <w:p w:rsidR="003C2523" w:rsidRDefault="003C2523" w:rsidP="0026737A">
      <w:pPr>
        <w:pStyle w:val="NormalWeb"/>
        <w:spacing w:before="0" w:beforeAutospacing="0" w:after="0" w:afterAutospacing="0"/>
        <w:rPr>
          <w:color w:val="000000"/>
          <w:sz w:val="28"/>
          <w:szCs w:val="28"/>
          <w:lang w:val="lv-LV"/>
        </w:rPr>
      </w:pPr>
    </w:p>
    <w:p w:rsidR="003C2523" w:rsidRPr="00F01DA2" w:rsidRDefault="003C2523" w:rsidP="0026737A">
      <w:pPr>
        <w:pStyle w:val="NormalWeb"/>
        <w:spacing w:before="0" w:beforeAutospacing="0" w:after="0" w:afterAutospacing="0"/>
        <w:rPr>
          <w:color w:val="000000"/>
          <w:lang w:val="lv-LV"/>
        </w:rPr>
      </w:pPr>
      <w:r w:rsidRPr="00F01DA2">
        <w:rPr>
          <w:color w:val="000000"/>
          <w:lang w:val="lv-LV"/>
        </w:rPr>
        <w:t xml:space="preserve">Finanšu ministre </w:t>
      </w:r>
      <w:r w:rsidRPr="00F01DA2">
        <w:rPr>
          <w:color w:val="000000"/>
          <w:lang w:val="lv-LV"/>
        </w:rPr>
        <w:tab/>
      </w:r>
      <w:r w:rsidRPr="00F01DA2">
        <w:rPr>
          <w:color w:val="000000"/>
          <w:lang w:val="lv-LV"/>
        </w:rPr>
        <w:tab/>
      </w:r>
      <w:r w:rsidRPr="00F01DA2">
        <w:rPr>
          <w:color w:val="000000"/>
          <w:lang w:val="lv-LV"/>
        </w:rPr>
        <w:tab/>
      </w:r>
      <w:r w:rsidRPr="00F01DA2">
        <w:rPr>
          <w:color w:val="000000"/>
          <w:lang w:val="lv-LV"/>
        </w:rPr>
        <w:tab/>
      </w:r>
      <w:r w:rsidRPr="00F01DA2">
        <w:rPr>
          <w:color w:val="000000"/>
          <w:lang w:val="lv-LV"/>
        </w:rPr>
        <w:tab/>
        <w:t xml:space="preserve">               </w:t>
      </w:r>
      <w:r>
        <w:rPr>
          <w:color w:val="000000"/>
          <w:lang w:val="lv-LV"/>
        </w:rPr>
        <w:t xml:space="preserve">        </w:t>
      </w:r>
      <w:proofErr w:type="spellStart"/>
      <w:r w:rsidRPr="00F01DA2">
        <w:rPr>
          <w:color w:val="000000"/>
          <w:lang w:val="lv-LV"/>
        </w:rPr>
        <w:t>D.Reizniece</w:t>
      </w:r>
      <w:proofErr w:type="spellEnd"/>
      <w:r w:rsidRPr="00F01DA2">
        <w:rPr>
          <w:color w:val="000000"/>
          <w:lang w:val="lv-LV"/>
        </w:rPr>
        <w:t>-Ozola</w:t>
      </w:r>
    </w:p>
    <w:p w:rsidR="003C2523" w:rsidRDefault="003C2523" w:rsidP="0026737A">
      <w:pPr>
        <w:spacing w:after="0" w:line="240" w:lineRule="auto"/>
        <w:rPr>
          <w:rFonts w:ascii="Times New Roman" w:hAnsi="Times New Roman"/>
          <w:color w:val="000000"/>
          <w:sz w:val="20"/>
          <w:szCs w:val="20"/>
          <w:lang w:val="lv-LV"/>
        </w:rPr>
      </w:pPr>
    </w:p>
    <w:p w:rsidR="003C2523" w:rsidRPr="00794072" w:rsidRDefault="003C2523" w:rsidP="0026737A">
      <w:pPr>
        <w:spacing w:after="0" w:line="240" w:lineRule="auto"/>
        <w:rPr>
          <w:rFonts w:ascii="Times New Roman" w:hAnsi="Times New Roman"/>
          <w:color w:val="000000"/>
          <w:sz w:val="20"/>
          <w:szCs w:val="20"/>
          <w:lang w:val="lv-LV"/>
        </w:rPr>
      </w:pPr>
    </w:p>
    <w:p w:rsidR="003C2523" w:rsidRDefault="003C2523" w:rsidP="0026737A">
      <w:pPr>
        <w:spacing w:after="0" w:line="240" w:lineRule="auto"/>
        <w:rPr>
          <w:rFonts w:ascii="Times New Roman" w:hAnsi="Times New Roman"/>
          <w:color w:val="000000"/>
          <w:sz w:val="20"/>
          <w:szCs w:val="20"/>
          <w:lang w:val="lv-LV"/>
        </w:rPr>
      </w:pPr>
      <w:r w:rsidRPr="00794072">
        <w:rPr>
          <w:rFonts w:ascii="Times New Roman" w:hAnsi="Times New Roman"/>
          <w:color w:val="000000"/>
          <w:sz w:val="20"/>
          <w:szCs w:val="20"/>
          <w:lang w:val="lv-LV"/>
        </w:rPr>
        <w:t>Dirveika</w:t>
      </w:r>
      <w:r>
        <w:rPr>
          <w:rFonts w:ascii="Times New Roman" w:hAnsi="Times New Roman"/>
          <w:color w:val="000000"/>
          <w:sz w:val="20"/>
          <w:szCs w:val="20"/>
          <w:lang w:val="lv-LV"/>
        </w:rPr>
        <w:t>, 67774823</w:t>
      </w:r>
    </w:p>
    <w:p w:rsidR="003C2523" w:rsidRDefault="00F83B0E" w:rsidP="0026737A">
      <w:pPr>
        <w:spacing w:after="0" w:line="240" w:lineRule="auto"/>
        <w:rPr>
          <w:rStyle w:val="Hyperlink"/>
          <w:rFonts w:ascii="Times New Roman" w:hAnsi="Times New Roman"/>
          <w:sz w:val="20"/>
          <w:szCs w:val="20"/>
          <w:lang w:val="lv-LV"/>
        </w:rPr>
      </w:pPr>
      <w:hyperlink r:id="rId7" w:history="1">
        <w:r w:rsidR="003C2523" w:rsidRPr="00794072">
          <w:rPr>
            <w:rStyle w:val="Hyperlink"/>
            <w:rFonts w:ascii="Times New Roman" w:hAnsi="Times New Roman"/>
            <w:sz w:val="20"/>
            <w:szCs w:val="20"/>
            <w:lang w:val="lv-LV"/>
          </w:rPr>
          <w:t>guna.dirveika@fktk.lv</w:t>
        </w:r>
      </w:hyperlink>
      <w:r w:rsidR="003C2523">
        <w:rPr>
          <w:rStyle w:val="Hyperlink"/>
          <w:rFonts w:ascii="Times New Roman" w:hAnsi="Times New Roman"/>
          <w:sz w:val="20"/>
          <w:szCs w:val="20"/>
          <w:lang w:val="lv-LV"/>
        </w:rPr>
        <w:t xml:space="preserve"> </w:t>
      </w:r>
    </w:p>
    <w:p w:rsidR="003C2523" w:rsidRDefault="003C2523" w:rsidP="0026737A">
      <w:pPr>
        <w:spacing w:after="0" w:line="240" w:lineRule="auto"/>
        <w:rPr>
          <w:rFonts w:ascii="Times New Roman" w:hAnsi="Times New Roman"/>
          <w:color w:val="000000"/>
          <w:sz w:val="20"/>
          <w:szCs w:val="20"/>
          <w:lang w:val="lv-LV"/>
        </w:rPr>
      </w:pPr>
      <w:r w:rsidRPr="004B378F">
        <w:rPr>
          <w:rFonts w:ascii="Times New Roman" w:hAnsi="Times New Roman"/>
          <w:color w:val="000000"/>
          <w:sz w:val="20"/>
          <w:szCs w:val="20"/>
        </w:rPr>
        <w:t xml:space="preserve">Hammers, </w:t>
      </w:r>
      <w:r w:rsidRPr="004B378F">
        <w:rPr>
          <w:rFonts w:ascii="Times New Roman" w:hAnsi="Times New Roman"/>
          <w:color w:val="000000"/>
          <w:sz w:val="20"/>
          <w:szCs w:val="20"/>
          <w:lang w:val="lv-LV"/>
        </w:rPr>
        <w:t>67095441</w:t>
      </w:r>
    </w:p>
    <w:p w:rsidR="003C2523" w:rsidRPr="004B378F" w:rsidRDefault="003C2523" w:rsidP="0026737A">
      <w:pPr>
        <w:spacing w:after="0" w:line="240" w:lineRule="auto"/>
        <w:rPr>
          <w:rStyle w:val="Hyperlink"/>
          <w:rFonts w:ascii="Times New Roman" w:hAnsi="Times New Roman"/>
          <w:sz w:val="20"/>
          <w:szCs w:val="20"/>
        </w:rPr>
      </w:pPr>
      <w:r w:rsidRPr="004B378F">
        <w:rPr>
          <w:rStyle w:val="Hyperlink"/>
          <w:rFonts w:ascii="Times New Roman" w:hAnsi="Times New Roman"/>
          <w:sz w:val="20"/>
          <w:szCs w:val="20"/>
        </w:rPr>
        <w:t>aivis.hammers@fm.gov.lv</w:t>
      </w:r>
    </w:p>
    <w:sectPr w:rsidR="003C2523" w:rsidRPr="004B378F" w:rsidSect="00D41AD8">
      <w:headerReference w:type="default" r:id="rId8"/>
      <w:footerReference w:type="default" r:id="rId9"/>
      <w:footerReference w:type="first" r:id="rId10"/>
      <w:pgSz w:w="11906" w:h="16838"/>
      <w:pgMar w:top="1276" w:right="1800" w:bottom="184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B0E" w:rsidRDefault="00F83B0E" w:rsidP="005F1BA8">
      <w:pPr>
        <w:spacing w:after="0" w:line="240" w:lineRule="auto"/>
      </w:pPr>
      <w:r>
        <w:separator/>
      </w:r>
    </w:p>
  </w:endnote>
  <w:endnote w:type="continuationSeparator" w:id="0">
    <w:p w:rsidR="00F83B0E" w:rsidRDefault="00F83B0E" w:rsidP="005F1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23" w:rsidRDefault="003C2523" w:rsidP="0026737A">
    <w:pPr>
      <w:pStyle w:val="Footer"/>
    </w:pPr>
    <w:r>
      <w:rPr>
        <w:rFonts w:ascii="Times New Roman" w:hAnsi="Times New Roman"/>
        <w:bCs/>
        <w:color w:val="000000"/>
        <w:sz w:val="20"/>
        <w:szCs w:val="20"/>
      </w:rPr>
      <w:t>FMAnot_271016_APSDL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23" w:rsidRPr="0026737A" w:rsidRDefault="003C2523" w:rsidP="00105CA1">
    <w:pPr>
      <w:pStyle w:val="Footer"/>
      <w:jc w:val="both"/>
      <w:rPr>
        <w:sz w:val="20"/>
        <w:szCs w:val="20"/>
      </w:rPr>
    </w:pPr>
    <w:r>
      <w:rPr>
        <w:rFonts w:ascii="Times New Roman" w:hAnsi="Times New Roman"/>
        <w:bCs/>
        <w:color w:val="000000"/>
        <w:sz w:val="20"/>
        <w:szCs w:val="20"/>
      </w:rPr>
      <w:t>FMAnot_271016_APSDL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B0E" w:rsidRDefault="00F83B0E" w:rsidP="005F1BA8">
      <w:pPr>
        <w:spacing w:after="0" w:line="240" w:lineRule="auto"/>
      </w:pPr>
      <w:r>
        <w:separator/>
      </w:r>
    </w:p>
  </w:footnote>
  <w:footnote w:type="continuationSeparator" w:id="0">
    <w:p w:rsidR="00F83B0E" w:rsidRDefault="00F83B0E" w:rsidP="005F1B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523" w:rsidRDefault="00D215AA">
    <w:pPr>
      <w:pStyle w:val="Header"/>
      <w:jc w:val="center"/>
    </w:pPr>
    <w:r>
      <w:fldChar w:fldCharType="begin"/>
    </w:r>
    <w:r>
      <w:instrText xml:space="preserve"> PAGE   \* MERGEFORMAT </w:instrText>
    </w:r>
    <w:r>
      <w:fldChar w:fldCharType="separate"/>
    </w:r>
    <w:r w:rsidR="00061CAA">
      <w:rPr>
        <w:noProof/>
      </w:rPr>
      <w:t>6</w:t>
    </w:r>
    <w:r>
      <w:rPr>
        <w:noProof/>
      </w:rPr>
      <w:fldChar w:fldCharType="end"/>
    </w:r>
  </w:p>
  <w:p w:rsidR="003C2523" w:rsidRDefault="003C2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063CE"/>
    <w:multiLevelType w:val="hybridMultilevel"/>
    <w:tmpl w:val="31423F7E"/>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E383F9C"/>
    <w:multiLevelType w:val="hybridMultilevel"/>
    <w:tmpl w:val="C1FA1878"/>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4C552D82"/>
    <w:multiLevelType w:val="hybridMultilevel"/>
    <w:tmpl w:val="D714DC36"/>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52CF2581"/>
    <w:multiLevelType w:val="hybridMultilevel"/>
    <w:tmpl w:val="494C5162"/>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03"/>
    <w:rsid w:val="00015CC8"/>
    <w:rsid w:val="00061CAA"/>
    <w:rsid w:val="000704E7"/>
    <w:rsid w:val="00093995"/>
    <w:rsid w:val="00097F17"/>
    <w:rsid w:val="000C5CB9"/>
    <w:rsid w:val="000D29C6"/>
    <w:rsid w:val="00105CA1"/>
    <w:rsid w:val="001124A4"/>
    <w:rsid w:val="001417C5"/>
    <w:rsid w:val="00143CD1"/>
    <w:rsid w:val="00155D86"/>
    <w:rsid w:val="0015769A"/>
    <w:rsid w:val="00165C54"/>
    <w:rsid w:val="00190AEC"/>
    <w:rsid w:val="001D1CCE"/>
    <w:rsid w:val="001D74D0"/>
    <w:rsid w:val="001F43FD"/>
    <w:rsid w:val="002078BF"/>
    <w:rsid w:val="002131F9"/>
    <w:rsid w:val="00224D5E"/>
    <w:rsid w:val="00227388"/>
    <w:rsid w:val="00253300"/>
    <w:rsid w:val="002579F0"/>
    <w:rsid w:val="0026737A"/>
    <w:rsid w:val="0028315C"/>
    <w:rsid w:val="002A5B91"/>
    <w:rsid w:val="002D1AD0"/>
    <w:rsid w:val="00336C13"/>
    <w:rsid w:val="00356318"/>
    <w:rsid w:val="00377D1A"/>
    <w:rsid w:val="00397973"/>
    <w:rsid w:val="003C2523"/>
    <w:rsid w:val="003C6756"/>
    <w:rsid w:val="003F3512"/>
    <w:rsid w:val="00412D1C"/>
    <w:rsid w:val="00423791"/>
    <w:rsid w:val="00446954"/>
    <w:rsid w:val="00491D61"/>
    <w:rsid w:val="004B378F"/>
    <w:rsid w:val="005312A2"/>
    <w:rsid w:val="0055301C"/>
    <w:rsid w:val="0057306E"/>
    <w:rsid w:val="0058523C"/>
    <w:rsid w:val="005B6039"/>
    <w:rsid w:val="005D26BB"/>
    <w:rsid w:val="005F1BA8"/>
    <w:rsid w:val="005F71AA"/>
    <w:rsid w:val="00613D71"/>
    <w:rsid w:val="00615C80"/>
    <w:rsid w:val="00640BD5"/>
    <w:rsid w:val="006578A4"/>
    <w:rsid w:val="006630B7"/>
    <w:rsid w:val="00666303"/>
    <w:rsid w:val="00690CC4"/>
    <w:rsid w:val="006A4648"/>
    <w:rsid w:val="006A5E2A"/>
    <w:rsid w:val="006A7E27"/>
    <w:rsid w:val="006D492E"/>
    <w:rsid w:val="006F1D09"/>
    <w:rsid w:val="006F39E5"/>
    <w:rsid w:val="006F749A"/>
    <w:rsid w:val="00705236"/>
    <w:rsid w:val="0074026B"/>
    <w:rsid w:val="00773945"/>
    <w:rsid w:val="00794072"/>
    <w:rsid w:val="00810035"/>
    <w:rsid w:val="008300BF"/>
    <w:rsid w:val="00837157"/>
    <w:rsid w:val="008726E2"/>
    <w:rsid w:val="00873B24"/>
    <w:rsid w:val="00884D8C"/>
    <w:rsid w:val="00895FBE"/>
    <w:rsid w:val="008A08B2"/>
    <w:rsid w:val="008E362B"/>
    <w:rsid w:val="008E50EE"/>
    <w:rsid w:val="00907726"/>
    <w:rsid w:val="00950D01"/>
    <w:rsid w:val="00982F81"/>
    <w:rsid w:val="00990999"/>
    <w:rsid w:val="00A2527F"/>
    <w:rsid w:val="00A50CEB"/>
    <w:rsid w:val="00AE061D"/>
    <w:rsid w:val="00AE5745"/>
    <w:rsid w:val="00B2096F"/>
    <w:rsid w:val="00B543A7"/>
    <w:rsid w:val="00B747EC"/>
    <w:rsid w:val="00BA345A"/>
    <w:rsid w:val="00BB40C8"/>
    <w:rsid w:val="00BE6E79"/>
    <w:rsid w:val="00C02630"/>
    <w:rsid w:val="00C0453A"/>
    <w:rsid w:val="00C27CFD"/>
    <w:rsid w:val="00C66A58"/>
    <w:rsid w:val="00C90E49"/>
    <w:rsid w:val="00CA6D05"/>
    <w:rsid w:val="00CD5FC7"/>
    <w:rsid w:val="00D046FC"/>
    <w:rsid w:val="00D215AA"/>
    <w:rsid w:val="00D3159F"/>
    <w:rsid w:val="00D41AD8"/>
    <w:rsid w:val="00D43BC7"/>
    <w:rsid w:val="00D63C53"/>
    <w:rsid w:val="00D6632D"/>
    <w:rsid w:val="00D80129"/>
    <w:rsid w:val="00D80B3C"/>
    <w:rsid w:val="00DF6439"/>
    <w:rsid w:val="00E17838"/>
    <w:rsid w:val="00E22155"/>
    <w:rsid w:val="00E53666"/>
    <w:rsid w:val="00E61FC0"/>
    <w:rsid w:val="00E73630"/>
    <w:rsid w:val="00EC3FD6"/>
    <w:rsid w:val="00EC44B4"/>
    <w:rsid w:val="00F00AFC"/>
    <w:rsid w:val="00F01DA2"/>
    <w:rsid w:val="00F2113B"/>
    <w:rsid w:val="00F83B0E"/>
    <w:rsid w:val="00F8491B"/>
    <w:rsid w:val="00FB5C0B"/>
    <w:rsid w:val="00FB5DB9"/>
    <w:rsid w:val="00FD11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55FADED7-1A67-43AA-80C6-EE4410CA5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D1C"/>
    <w:pPr>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66303"/>
    <w:rPr>
      <w:rFonts w:cs="Times New Roman"/>
    </w:rPr>
  </w:style>
  <w:style w:type="paragraph" w:styleId="Footer">
    <w:name w:val="footer"/>
    <w:basedOn w:val="Normal"/>
    <w:link w:val="FooterChar"/>
    <w:uiPriority w:val="99"/>
    <w:rsid w:val="0066630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666303"/>
    <w:rPr>
      <w:rFonts w:cs="Times New Roman"/>
    </w:rPr>
  </w:style>
  <w:style w:type="paragraph" w:customStyle="1" w:styleId="default">
    <w:name w:val="default"/>
    <w:basedOn w:val="Normal"/>
    <w:uiPriority w:val="99"/>
    <w:rsid w:val="00666303"/>
    <w:pPr>
      <w:spacing w:before="100" w:beforeAutospacing="1" w:after="100" w:afterAutospacing="1" w:line="240" w:lineRule="auto"/>
    </w:pPr>
    <w:rPr>
      <w:rFonts w:ascii="Times New Roman" w:hAnsi="Times New Roman"/>
      <w:sz w:val="24"/>
      <w:szCs w:val="24"/>
      <w:lang w:eastAsia="lv-LV"/>
    </w:rPr>
  </w:style>
  <w:style w:type="paragraph" w:styleId="NormalWeb">
    <w:name w:val="Normal (Web)"/>
    <w:basedOn w:val="Normal"/>
    <w:uiPriority w:val="99"/>
    <w:rsid w:val="00666303"/>
    <w:pPr>
      <w:spacing w:before="100" w:beforeAutospacing="1" w:after="100" w:afterAutospacing="1" w:line="240" w:lineRule="auto"/>
    </w:pPr>
    <w:rPr>
      <w:rFonts w:ascii="Times New Roman" w:hAnsi="Times New Roman"/>
      <w:sz w:val="24"/>
      <w:szCs w:val="24"/>
      <w:lang w:eastAsia="lv-LV"/>
    </w:rPr>
  </w:style>
  <w:style w:type="paragraph" w:styleId="ListParagraph">
    <w:name w:val="List Paragraph"/>
    <w:basedOn w:val="Normal"/>
    <w:uiPriority w:val="99"/>
    <w:qFormat/>
    <w:rsid w:val="00666303"/>
    <w:pPr>
      <w:ind w:left="720"/>
      <w:contextualSpacing/>
    </w:pPr>
  </w:style>
  <w:style w:type="character" w:styleId="CommentReference">
    <w:name w:val="annotation reference"/>
    <w:basedOn w:val="DefaultParagraphFont"/>
    <w:uiPriority w:val="99"/>
    <w:semiHidden/>
    <w:rsid w:val="00666303"/>
    <w:rPr>
      <w:rFonts w:cs="Times New Roman"/>
      <w:sz w:val="16"/>
      <w:szCs w:val="16"/>
    </w:rPr>
  </w:style>
  <w:style w:type="paragraph" w:styleId="CommentText">
    <w:name w:val="annotation text"/>
    <w:basedOn w:val="Normal"/>
    <w:link w:val="CommentTextChar"/>
    <w:uiPriority w:val="99"/>
    <w:rsid w:val="00666303"/>
    <w:pPr>
      <w:spacing w:line="240" w:lineRule="auto"/>
    </w:pPr>
    <w:rPr>
      <w:sz w:val="20"/>
      <w:szCs w:val="20"/>
    </w:rPr>
  </w:style>
  <w:style w:type="character" w:customStyle="1" w:styleId="CommentTextChar">
    <w:name w:val="Comment Text Char"/>
    <w:basedOn w:val="DefaultParagraphFont"/>
    <w:link w:val="CommentText"/>
    <w:uiPriority w:val="99"/>
    <w:locked/>
    <w:rsid w:val="00666303"/>
    <w:rPr>
      <w:rFonts w:cs="Times New Roman"/>
      <w:sz w:val="20"/>
      <w:szCs w:val="20"/>
    </w:rPr>
  </w:style>
  <w:style w:type="paragraph" w:customStyle="1" w:styleId="naisf">
    <w:name w:val="naisf"/>
    <w:basedOn w:val="Normal"/>
    <w:uiPriority w:val="99"/>
    <w:rsid w:val="00666303"/>
    <w:pPr>
      <w:spacing w:before="75" w:after="75" w:line="240" w:lineRule="auto"/>
      <w:ind w:firstLine="375"/>
      <w:jc w:val="both"/>
    </w:pPr>
    <w:rPr>
      <w:rFonts w:ascii="Times New Roman" w:hAnsi="Times New Roman"/>
      <w:sz w:val="24"/>
      <w:szCs w:val="24"/>
      <w:lang w:eastAsia="lv-LV"/>
    </w:rPr>
  </w:style>
  <w:style w:type="paragraph" w:customStyle="1" w:styleId="CM13">
    <w:name w:val="CM1+3"/>
    <w:basedOn w:val="default"/>
    <w:next w:val="default"/>
    <w:uiPriority w:val="99"/>
    <w:rsid w:val="00666303"/>
    <w:pPr>
      <w:autoSpaceDE w:val="0"/>
      <w:autoSpaceDN w:val="0"/>
      <w:adjustRightInd w:val="0"/>
      <w:spacing w:before="0" w:beforeAutospacing="0" w:after="0" w:afterAutospacing="0"/>
    </w:pPr>
    <w:rPr>
      <w:rFonts w:ascii="EUAlbertina" w:hAnsi="EUAlbertina"/>
      <w:lang w:eastAsia="en-US"/>
    </w:rPr>
  </w:style>
  <w:style w:type="paragraph" w:styleId="CommentSubject">
    <w:name w:val="annotation subject"/>
    <w:basedOn w:val="CommentText"/>
    <w:next w:val="CommentText"/>
    <w:link w:val="CommentSubjectChar"/>
    <w:uiPriority w:val="99"/>
    <w:semiHidden/>
    <w:rsid w:val="00884D8C"/>
    <w:rPr>
      <w:b/>
      <w:bCs/>
    </w:rPr>
  </w:style>
  <w:style w:type="character" w:customStyle="1" w:styleId="CommentSubjectChar">
    <w:name w:val="Comment Subject Char"/>
    <w:basedOn w:val="CommentTextChar"/>
    <w:link w:val="CommentSubject"/>
    <w:uiPriority w:val="99"/>
    <w:semiHidden/>
    <w:locked/>
    <w:rsid w:val="00884D8C"/>
    <w:rPr>
      <w:rFonts w:cs="Times New Roman"/>
      <w:b/>
      <w:bCs/>
      <w:sz w:val="20"/>
      <w:szCs w:val="20"/>
    </w:rPr>
  </w:style>
  <w:style w:type="paragraph" w:styleId="BalloonText">
    <w:name w:val="Balloon Text"/>
    <w:basedOn w:val="Normal"/>
    <w:link w:val="BalloonTextChar"/>
    <w:uiPriority w:val="99"/>
    <w:semiHidden/>
    <w:rsid w:val="0088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4D8C"/>
    <w:rPr>
      <w:rFonts w:ascii="Tahoma" w:hAnsi="Tahoma" w:cs="Tahoma"/>
      <w:sz w:val="16"/>
      <w:szCs w:val="16"/>
    </w:rPr>
  </w:style>
  <w:style w:type="paragraph" w:styleId="Header">
    <w:name w:val="header"/>
    <w:basedOn w:val="Normal"/>
    <w:link w:val="HeaderChar"/>
    <w:uiPriority w:val="99"/>
    <w:rsid w:val="005F1BA8"/>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5F1BA8"/>
    <w:rPr>
      <w:rFonts w:cs="Times New Roman"/>
    </w:rPr>
  </w:style>
  <w:style w:type="character" w:styleId="Hyperlink">
    <w:name w:val="Hyperlink"/>
    <w:basedOn w:val="DefaultParagraphFont"/>
    <w:uiPriority w:val="99"/>
    <w:rsid w:val="006630B7"/>
    <w:rPr>
      <w:rFonts w:cs="Times New Roman"/>
      <w:color w:val="0000FF"/>
      <w:u w:val="single"/>
    </w:rPr>
  </w:style>
  <w:style w:type="paragraph" w:customStyle="1" w:styleId="Nobeigums">
    <w:name w:val="Nobeigums"/>
    <w:basedOn w:val="Normal"/>
    <w:uiPriority w:val="99"/>
    <w:rsid w:val="006630B7"/>
    <w:pPr>
      <w:spacing w:after="0" w:line="240" w:lineRule="auto"/>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25589">
      <w:bodyDiv w:val="1"/>
      <w:marLeft w:val="0"/>
      <w:marRight w:val="0"/>
      <w:marTop w:val="0"/>
      <w:marBottom w:val="0"/>
      <w:divBdr>
        <w:top w:val="none" w:sz="0" w:space="0" w:color="auto"/>
        <w:left w:val="none" w:sz="0" w:space="0" w:color="auto"/>
        <w:bottom w:val="none" w:sz="0" w:space="0" w:color="auto"/>
        <w:right w:val="none" w:sz="0" w:space="0" w:color="auto"/>
      </w:divBdr>
    </w:div>
    <w:div w:id="1643459336">
      <w:marLeft w:val="390"/>
      <w:marRight w:val="390"/>
      <w:marTop w:val="0"/>
      <w:marBottom w:val="0"/>
      <w:divBdr>
        <w:top w:val="none" w:sz="0" w:space="0" w:color="auto"/>
        <w:left w:val="none" w:sz="0" w:space="0" w:color="auto"/>
        <w:bottom w:val="none" w:sz="0" w:space="0" w:color="auto"/>
        <w:right w:val="none" w:sz="0" w:space="0" w:color="auto"/>
      </w:divBdr>
    </w:div>
    <w:div w:id="1643459337">
      <w:marLeft w:val="0"/>
      <w:marRight w:val="0"/>
      <w:marTop w:val="0"/>
      <w:marBottom w:val="0"/>
      <w:divBdr>
        <w:top w:val="none" w:sz="0" w:space="0" w:color="auto"/>
        <w:left w:val="none" w:sz="0" w:space="0" w:color="auto"/>
        <w:bottom w:val="none" w:sz="0" w:space="0" w:color="auto"/>
        <w:right w:val="none" w:sz="0" w:space="0" w:color="auto"/>
      </w:divBdr>
    </w:div>
    <w:div w:id="16434593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na.dirveika@fktk.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7592</Words>
  <Characters>4328</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Grozījumi Apdrošināšanas un pārapdrošināšanas starpnieku darbības likumā</vt:lpstr>
    </vt:vector>
  </TitlesOfParts>
  <Company>Finanšu ministrija</Company>
  <LinksUpToDate>false</LinksUpToDate>
  <CharactersWithSpaces>11897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Apdrošināšanas un pārapdrošināšanas starpnieku darbības likumā</dc:title>
  <dc:subject>Likumprojekts</dc:subject>
  <dc:creator>Aivis Hammers</dc:creator>
  <cp:keywords/>
  <dc:description>67095441, aivis.hammers@fm.gov.lv</dc:description>
  <cp:lastModifiedBy>Aivis Hammers</cp:lastModifiedBy>
  <cp:revision>4</cp:revision>
  <cp:lastPrinted>2017-02-09T08:17:00Z</cp:lastPrinted>
  <dcterms:created xsi:type="dcterms:W3CDTF">2017-03-09T12:29:00Z</dcterms:created>
  <dcterms:modified xsi:type="dcterms:W3CDTF">2017-03-14T08:00:00Z</dcterms:modified>
</cp:coreProperties>
</file>