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92" w:rsidRPr="006D25A0" w:rsidRDefault="00051E92" w:rsidP="005367A0">
      <w:pPr>
        <w:spacing w:line="240" w:lineRule="auto"/>
        <w:ind w:left="425"/>
        <w:jc w:val="right"/>
        <w:rPr>
          <w:i/>
          <w:sz w:val="28"/>
          <w:szCs w:val="28"/>
        </w:rPr>
      </w:pPr>
      <w:bookmarkStart w:id="0" w:name="_GoBack"/>
      <w:bookmarkEnd w:id="0"/>
      <w:r w:rsidRPr="006D25A0">
        <w:rPr>
          <w:i/>
          <w:sz w:val="28"/>
          <w:szCs w:val="28"/>
        </w:rPr>
        <w:t>Likumprojekts</w:t>
      </w:r>
    </w:p>
    <w:p w:rsidR="00051E92" w:rsidRPr="00051E92" w:rsidRDefault="00051E92" w:rsidP="005367A0">
      <w:pPr>
        <w:pStyle w:val="CM1"/>
        <w:ind w:left="360"/>
        <w:jc w:val="center"/>
        <w:rPr>
          <w:rFonts w:ascii="Times New Roman" w:hAnsi="Times New Roman"/>
          <w:b/>
          <w:sz w:val="28"/>
          <w:szCs w:val="28"/>
        </w:rPr>
      </w:pPr>
      <w:r w:rsidRPr="00051E92">
        <w:rPr>
          <w:rFonts w:ascii="Times New Roman" w:hAnsi="Times New Roman"/>
          <w:b/>
          <w:sz w:val="28"/>
          <w:szCs w:val="28"/>
        </w:rPr>
        <w:t xml:space="preserve">Grozījumi </w:t>
      </w:r>
      <w:r w:rsidR="00FE2DB5">
        <w:rPr>
          <w:rFonts w:ascii="Times New Roman" w:hAnsi="Times New Roman"/>
          <w:b/>
          <w:sz w:val="28"/>
          <w:szCs w:val="28"/>
        </w:rPr>
        <w:t>Apdrošināšanas un pārapdrošināšanas</w:t>
      </w:r>
      <w:r w:rsidR="00B01CAF">
        <w:rPr>
          <w:rFonts w:ascii="Times New Roman" w:hAnsi="Times New Roman"/>
          <w:b/>
          <w:sz w:val="28"/>
          <w:szCs w:val="28"/>
        </w:rPr>
        <w:t xml:space="preserve"> starpnieku darbības</w:t>
      </w:r>
      <w:r w:rsidRPr="00051E92">
        <w:rPr>
          <w:rFonts w:ascii="Times New Roman" w:hAnsi="Times New Roman"/>
          <w:b/>
          <w:sz w:val="28"/>
          <w:szCs w:val="28"/>
        </w:rPr>
        <w:t xml:space="preserve"> likumā</w:t>
      </w:r>
    </w:p>
    <w:p w:rsidR="00051E92" w:rsidRDefault="00051E92" w:rsidP="005367A0">
      <w:pPr>
        <w:pStyle w:val="NoSpacing"/>
        <w:ind w:left="426" w:firstLine="294"/>
        <w:jc w:val="both"/>
        <w:rPr>
          <w:rFonts w:eastAsia="Calibri"/>
          <w:sz w:val="28"/>
          <w:szCs w:val="28"/>
          <w:lang w:eastAsia="en-US"/>
        </w:rPr>
      </w:pPr>
    </w:p>
    <w:p w:rsidR="00051E92" w:rsidRDefault="00051E92" w:rsidP="005367A0">
      <w:pPr>
        <w:pStyle w:val="NoSpacing"/>
        <w:ind w:firstLine="295"/>
        <w:jc w:val="both"/>
        <w:rPr>
          <w:rFonts w:eastAsia="Calibri"/>
          <w:sz w:val="28"/>
          <w:szCs w:val="28"/>
          <w:lang w:eastAsia="en-US"/>
        </w:rPr>
      </w:pPr>
      <w:r w:rsidRPr="00051E92">
        <w:rPr>
          <w:rFonts w:eastAsia="Calibri"/>
          <w:sz w:val="28"/>
          <w:szCs w:val="28"/>
          <w:lang w:eastAsia="en-US"/>
        </w:rPr>
        <w:t xml:space="preserve">Izdarīt </w:t>
      </w:r>
      <w:hyperlink r:id="rId8" w:tgtFrame="_blank" w:history="1">
        <w:r w:rsidR="00FE2DB5">
          <w:rPr>
            <w:rFonts w:eastAsia="Calibri"/>
            <w:sz w:val="28"/>
            <w:szCs w:val="28"/>
            <w:lang w:eastAsia="en-US"/>
          </w:rPr>
          <w:t>Apdrošināšanas un pārapdrošināšanas</w:t>
        </w:r>
        <w:r w:rsidR="00B01CAF">
          <w:rPr>
            <w:rFonts w:eastAsia="Calibri"/>
            <w:sz w:val="28"/>
            <w:szCs w:val="28"/>
            <w:lang w:eastAsia="en-US"/>
          </w:rPr>
          <w:t xml:space="preserve"> starpnieku darbības</w:t>
        </w:r>
        <w:r w:rsidRPr="00051E92">
          <w:rPr>
            <w:rFonts w:eastAsia="Calibri"/>
            <w:sz w:val="28"/>
            <w:szCs w:val="28"/>
            <w:lang w:eastAsia="en-US"/>
          </w:rPr>
          <w:t xml:space="preserve"> likum</w:t>
        </w:r>
      </w:hyperlink>
      <w:r w:rsidRPr="00051E92">
        <w:rPr>
          <w:rFonts w:eastAsia="Calibri"/>
          <w:sz w:val="28"/>
          <w:szCs w:val="28"/>
          <w:lang w:eastAsia="en-US"/>
        </w:rPr>
        <w:t>ā (</w:t>
      </w:r>
      <w:r w:rsidR="00B01CAF" w:rsidRPr="00051E92">
        <w:rPr>
          <w:rFonts w:eastAsia="Calibri"/>
          <w:sz w:val="28"/>
          <w:szCs w:val="28"/>
          <w:lang w:eastAsia="en-US"/>
        </w:rPr>
        <w:t>Latvijas Republikas Saeimas un Ministru Kabineta Ziņotājs</w:t>
      </w:r>
      <w:r w:rsidR="008526A0" w:rsidRPr="008526A0">
        <w:rPr>
          <w:rFonts w:ascii="Arial" w:hAnsi="Arial" w:cs="Arial"/>
          <w:color w:val="414142"/>
          <w:sz w:val="20"/>
          <w:szCs w:val="20"/>
          <w:shd w:val="clear" w:color="auto" w:fill="FFFFFF"/>
        </w:rPr>
        <w:t xml:space="preserve"> </w:t>
      </w:r>
      <w:r w:rsidR="008526A0" w:rsidRPr="008526A0">
        <w:rPr>
          <w:sz w:val="28"/>
          <w:szCs w:val="28"/>
          <w:shd w:val="clear" w:color="auto" w:fill="FFFFFF"/>
        </w:rPr>
        <w:t>2005, 8.nr.; 2007, 24.nr.; 2009, 17.nr.; Latvijas Vēstnesis, 2013, 192.nr</w:t>
      </w:r>
      <w:r w:rsidR="00B01CAF" w:rsidRPr="008526A0">
        <w:rPr>
          <w:rFonts w:eastAsia="Calibri"/>
          <w:sz w:val="28"/>
          <w:szCs w:val="28"/>
          <w:lang w:eastAsia="en-US"/>
        </w:rPr>
        <w:t>.;</w:t>
      </w:r>
      <w:r w:rsidR="00B01CAF">
        <w:rPr>
          <w:rFonts w:eastAsia="Calibri"/>
          <w:sz w:val="28"/>
          <w:szCs w:val="28"/>
          <w:lang w:eastAsia="en-US"/>
        </w:rPr>
        <w:t xml:space="preserve"> 201</w:t>
      </w:r>
      <w:r w:rsidR="008526A0">
        <w:rPr>
          <w:rFonts w:eastAsia="Calibri"/>
          <w:sz w:val="28"/>
          <w:szCs w:val="28"/>
          <w:lang w:eastAsia="en-US"/>
        </w:rPr>
        <w:t>5</w:t>
      </w:r>
      <w:r w:rsidR="00B01CAF">
        <w:rPr>
          <w:rFonts w:eastAsia="Calibri"/>
          <w:sz w:val="28"/>
          <w:szCs w:val="28"/>
          <w:lang w:eastAsia="en-US"/>
        </w:rPr>
        <w:t>, 1</w:t>
      </w:r>
      <w:r w:rsidR="008526A0">
        <w:rPr>
          <w:rFonts w:eastAsia="Calibri"/>
          <w:sz w:val="28"/>
          <w:szCs w:val="28"/>
          <w:lang w:eastAsia="en-US"/>
        </w:rPr>
        <w:t>2</w:t>
      </w:r>
      <w:r w:rsidR="00B01CAF">
        <w:rPr>
          <w:rFonts w:eastAsia="Calibri"/>
          <w:sz w:val="28"/>
          <w:szCs w:val="28"/>
          <w:lang w:eastAsia="en-US"/>
        </w:rPr>
        <w:t>7.nr</w:t>
      </w:r>
      <w:r w:rsidR="00E60C35">
        <w:rPr>
          <w:rFonts w:eastAsia="Calibri"/>
          <w:sz w:val="28"/>
          <w:szCs w:val="28"/>
          <w:lang w:eastAsia="en-US"/>
        </w:rPr>
        <w:t>.</w:t>
      </w:r>
      <w:r w:rsidRPr="00051E92">
        <w:rPr>
          <w:rFonts w:eastAsia="Calibri"/>
          <w:sz w:val="28"/>
          <w:szCs w:val="28"/>
          <w:lang w:eastAsia="en-US"/>
        </w:rPr>
        <w:t>) šādu</w:t>
      </w:r>
      <w:r>
        <w:rPr>
          <w:rFonts w:eastAsia="Calibri"/>
          <w:sz w:val="28"/>
          <w:szCs w:val="28"/>
          <w:lang w:eastAsia="en-US"/>
        </w:rPr>
        <w:t>s</w:t>
      </w:r>
      <w:r w:rsidRPr="00051E92">
        <w:rPr>
          <w:rFonts w:eastAsia="Calibri"/>
          <w:sz w:val="28"/>
          <w:szCs w:val="28"/>
          <w:lang w:eastAsia="en-US"/>
        </w:rPr>
        <w:t xml:space="preserve"> grozījumu</w:t>
      </w:r>
      <w:r>
        <w:rPr>
          <w:rFonts w:eastAsia="Calibri"/>
          <w:sz w:val="28"/>
          <w:szCs w:val="28"/>
          <w:lang w:eastAsia="en-US"/>
        </w:rPr>
        <w:t>s</w:t>
      </w:r>
      <w:r w:rsidRPr="00051E92">
        <w:rPr>
          <w:rFonts w:eastAsia="Calibri"/>
          <w:sz w:val="28"/>
          <w:szCs w:val="28"/>
          <w:lang w:eastAsia="en-US"/>
        </w:rPr>
        <w:t>:</w:t>
      </w:r>
    </w:p>
    <w:p w:rsidR="00B43BC1" w:rsidRDefault="00B43BC1" w:rsidP="00B43BC1">
      <w:pPr>
        <w:tabs>
          <w:tab w:val="left" w:pos="567"/>
        </w:tabs>
        <w:spacing w:after="0" w:line="240" w:lineRule="auto"/>
        <w:jc w:val="both"/>
        <w:rPr>
          <w:sz w:val="28"/>
          <w:szCs w:val="28"/>
        </w:rPr>
      </w:pPr>
    </w:p>
    <w:p w:rsidR="009166F5" w:rsidRPr="00555FC4" w:rsidRDefault="00B43BC1" w:rsidP="00555FC4">
      <w:pPr>
        <w:pStyle w:val="NoSpacing"/>
        <w:ind w:firstLine="295"/>
        <w:jc w:val="both"/>
        <w:rPr>
          <w:rFonts w:eastAsia="Calibri"/>
          <w:sz w:val="28"/>
          <w:szCs w:val="28"/>
          <w:lang w:eastAsia="en-US"/>
        </w:rPr>
      </w:pPr>
      <w:r w:rsidRPr="00555FC4">
        <w:rPr>
          <w:rFonts w:eastAsia="Calibri"/>
          <w:sz w:val="28"/>
          <w:szCs w:val="28"/>
          <w:lang w:eastAsia="en-US"/>
        </w:rPr>
        <w:t xml:space="preserve">1. </w:t>
      </w:r>
      <w:r w:rsidR="00B94C9C" w:rsidRPr="00555FC4">
        <w:rPr>
          <w:rFonts w:eastAsia="Calibri"/>
          <w:sz w:val="28"/>
          <w:szCs w:val="28"/>
          <w:lang w:eastAsia="en-US"/>
        </w:rPr>
        <w:t>Aizstāt v</w:t>
      </w:r>
      <w:r w:rsidR="009166F5" w:rsidRPr="00555FC4">
        <w:rPr>
          <w:rFonts w:eastAsia="Calibri"/>
          <w:sz w:val="28"/>
          <w:szCs w:val="28"/>
          <w:lang w:eastAsia="en-US"/>
        </w:rPr>
        <w:t xml:space="preserve">isā likumā vārdus "Apdrošināšanas sabiedrību un to uzraudzības likums" </w:t>
      </w:r>
      <w:r w:rsidR="00BF3CC9" w:rsidRPr="00555FC4">
        <w:rPr>
          <w:rFonts w:eastAsia="Calibri"/>
          <w:sz w:val="28"/>
          <w:szCs w:val="28"/>
          <w:lang w:eastAsia="en-US"/>
        </w:rPr>
        <w:t xml:space="preserve">un vārdus "Pārapdrošināšanas likums" </w:t>
      </w:r>
      <w:r w:rsidR="00B94C9C" w:rsidRPr="00555FC4">
        <w:rPr>
          <w:rFonts w:eastAsia="Calibri"/>
          <w:sz w:val="28"/>
          <w:szCs w:val="28"/>
          <w:lang w:eastAsia="en-US"/>
        </w:rPr>
        <w:t>(</w:t>
      </w:r>
      <w:r w:rsidR="00BF3CC9" w:rsidRPr="00555FC4">
        <w:rPr>
          <w:rFonts w:eastAsia="Calibri"/>
          <w:sz w:val="28"/>
          <w:szCs w:val="28"/>
          <w:lang w:eastAsia="en-US"/>
        </w:rPr>
        <w:t>attiecīgā locījumā</w:t>
      </w:r>
      <w:r w:rsidR="00B94C9C" w:rsidRPr="00555FC4">
        <w:rPr>
          <w:rFonts w:eastAsia="Calibri"/>
          <w:sz w:val="28"/>
          <w:szCs w:val="28"/>
          <w:lang w:eastAsia="en-US"/>
        </w:rPr>
        <w:t>)</w:t>
      </w:r>
      <w:r w:rsidR="00BF3CC9" w:rsidRPr="00555FC4">
        <w:rPr>
          <w:rFonts w:eastAsia="Calibri"/>
          <w:sz w:val="28"/>
          <w:szCs w:val="28"/>
          <w:lang w:eastAsia="en-US"/>
        </w:rPr>
        <w:t xml:space="preserve"> </w:t>
      </w:r>
      <w:r w:rsidR="009166F5" w:rsidRPr="00555FC4">
        <w:rPr>
          <w:rFonts w:eastAsia="Calibri"/>
          <w:sz w:val="28"/>
          <w:szCs w:val="28"/>
          <w:lang w:eastAsia="en-US"/>
        </w:rPr>
        <w:t>ar vārdiem "Apdrošināšanas un pārapdrošināšanas likums"</w:t>
      </w:r>
      <w:r w:rsidR="00BF3CC9" w:rsidRPr="00555FC4">
        <w:rPr>
          <w:rFonts w:eastAsia="Calibri"/>
          <w:sz w:val="28"/>
          <w:szCs w:val="28"/>
          <w:lang w:eastAsia="en-US"/>
        </w:rPr>
        <w:t xml:space="preserve"> </w:t>
      </w:r>
      <w:r w:rsidR="00B94C9C" w:rsidRPr="00555FC4">
        <w:rPr>
          <w:rFonts w:eastAsia="Calibri"/>
          <w:sz w:val="28"/>
          <w:szCs w:val="28"/>
          <w:lang w:eastAsia="en-US"/>
        </w:rPr>
        <w:t>(</w:t>
      </w:r>
      <w:r w:rsidR="00BF3CC9" w:rsidRPr="00555FC4">
        <w:rPr>
          <w:rFonts w:eastAsia="Calibri"/>
          <w:sz w:val="28"/>
          <w:szCs w:val="28"/>
          <w:lang w:eastAsia="en-US"/>
        </w:rPr>
        <w:t>attiecīgā locījumā</w:t>
      </w:r>
      <w:r w:rsidR="00B94C9C" w:rsidRPr="00555FC4">
        <w:rPr>
          <w:rFonts w:eastAsia="Calibri"/>
          <w:sz w:val="28"/>
          <w:szCs w:val="28"/>
          <w:lang w:eastAsia="en-US"/>
        </w:rPr>
        <w:t>)</w:t>
      </w:r>
      <w:r w:rsidR="009166F5" w:rsidRPr="00555FC4">
        <w:rPr>
          <w:rFonts w:eastAsia="Calibri"/>
          <w:sz w:val="28"/>
          <w:szCs w:val="28"/>
          <w:lang w:eastAsia="en-US"/>
        </w:rPr>
        <w:t>.</w:t>
      </w:r>
    </w:p>
    <w:p w:rsidR="005367A0" w:rsidRPr="009166F5" w:rsidRDefault="005367A0" w:rsidP="002B1841">
      <w:pPr>
        <w:pStyle w:val="ListParagraph"/>
        <w:tabs>
          <w:tab w:val="left" w:pos="993"/>
        </w:tabs>
        <w:spacing w:after="0" w:line="240" w:lineRule="auto"/>
        <w:ind w:left="0" w:firstLine="295"/>
        <w:contextualSpacing w:val="0"/>
        <w:jc w:val="both"/>
        <w:rPr>
          <w:sz w:val="28"/>
          <w:szCs w:val="28"/>
        </w:rPr>
      </w:pPr>
    </w:p>
    <w:p w:rsidR="00021475" w:rsidRPr="00555FC4" w:rsidRDefault="00B43BC1" w:rsidP="00555FC4">
      <w:pPr>
        <w:pStyle w:val="NoSpacing"/>
        <w:ind w:firstLine="295"/>
        <w:jc w:val="both"/>
        <w:rPr>
          <w:rFonts w:eastAsia="Calibri"/>
          <w:sz w:val="28"/>
          <w:szCs w:val="28"/>
          <w:lang w:eastAsia="en-US"/>
        </w:rPr>
      </w:pPr>
      <w:r w:rsidRPr="00555FC4">
        <w:rPr>
          <w:rFonts w:eastAsia="Calibri"/>
          <w:sz w:val="28"/>
          <w:szCs w:val="28"/>
          <w:lang w:eastAsia="en-US"/>
        </w:rPr>
        <w:t xml:space="preserve">2. </w:t>
      </w:r>
      <w:r w:rsidR="006E696D" w:rsidRPr="00555FC4">
        <w:rPr>
          <w:rFonts w:eastAsia="Calibri"/>
          <w:sz w:val="28"/>
          <w:szCs w:val="28"/>
          <w:lang w:eastAsia="en-US"/>
        </w:rPr>
        <w:t>1.</w:t>
      </w:r>
      <w:r w:rsidR="00C36AB8" w:rsidRPr="00555FC4">
        <w:rPr>
          <w:rFonts w:eastAsia="Calibri"/>
          <w:sz w:val="28"/>
          <w:szCs w:val="28"/>
          <w:lang w:eastAsia="en-US"/>
        </w:rPr>
        <w:t> </w:t>
      </w:r>
      <w:r w:rsidR="00021475" w:rsidRPr="00555FC4">
        <w:rPr>
          <w:rFonts w:eastAsia="Calibri"/>
          <w:sz w:val="28"/>
          <w:szCs w:val="28"/>
          <w:lang w:eastAsia="en-US"/>
        </w:rPr>
        <w:t>pantā:</w:t>
      </w:r>
    </w:p>
    <w:p w:rsidR="005367A0" w:rsidRPr="002B1841" w:rsidRDefault="005367A0" w:rsidP="002B1841">
      <w:pPr>
        <w:pStyle w:val="ListParagraph"/>
        <w:ind w:left="0" w:firstLine="295"/>
        <w:rPr>
          <w:sz w:val="28"/>
          <w:szCs w:val="28"/>
        </w:rPr>
      </w:pPr>
    </w:p>
    <w:p w:rsidR="00021475" w:rsidRDefault="00021475" w:rsidP="002B1841">
      <w:pPr>
        <w:pStyle w:val="ListParagraph"/>
        <w:tabs>
          <w:tab w:val="left" w:pos="993"/>
        </w:tabs>
        <w:spacing w:after="0" w:line="240" w:lineRule="auto"/>
        <w:ind w:left="0" w:firstLine="295"/>
        <w:contextualSpacing w:val="0"/>
        <w:jc w:val="both"/>
        <w:rPr>
          <w:sz w:val="28"/>
          <w:szCs w:val="28"/>
        </w:rPr>
      </w:pPr>
      <w:r>
        <w:rPr>
          <w:sz w:val="28"/>
          <w:szCs w:val="28"/>
        </w:rPr>
        <w:t>izteikt pirmās daļas 1. punktu šādā redakcijā:</w:t>
      </w:r>
    </w:p>
    <w:p w:rsidR="00021475" w:rsidRDefault="00021475" w:rsidP="002B1841">
      <w:pPr>
        <w:pStyle w:val="ListParagraph"/>
        <w:tabs>
          <w:tab w:val="left" w:pos="993"/>
        </w:tabs>
        <w:spacing w:after="0" w:line="240" w:lineRule="auto"/>
        <w:ind w:left="0" w:firstLine="295"/>
        <w:contextualSpacing w:val="0"/>
        <w:jc w:val="both"/>
        <w:rPr>
          <w:sz w:val="28"/>
          <w:szCs w:val="28"/>
        </w:rPr>
      </w:pPr>
      <w:r>
        <w:rPr>
          <w:sz w:val="28"/>
          <w:szCs w:val="28"/>
        </w:rPr>
        <w:t xml:space="preserve">"1) </w:t>
      </w:r>
      <w:r w:rsidRPr="00021475">
        <w:rPr>
          <w:b/>
          <w:sz w:val="28"/>
          <w:szCs w:val="28"/>
        </w:rPr>
        <w:t>apdrošināšanas starpniecība</w:t>
      </w:r>
      <w:r w:rsidRPr="00021475">
        <w:rPr>
          <w:sz w:val="28"/>
          <w:szCs w:val="28"/>
        </w:rPr>
        <w:t xml:space="preserve"> — apdrošināšanas piedāvājuma, citu apdrošināšanas līguma noslēgšanai nepieciešamo dokumentu sagatavošana, apdrošināšanas līguma noteikumu, tai skaitā apdrošināšanas līgumā noteikto tiesību un pienākumu, izskaidrošana, citu apdrošināšanas līguma noslēgšanai nepieciešamo darbību veikšana vai minētā līguma noslēgšana, vai apkalpošana, kā arī informācijas sniegšana par vienu vai vairākiem apdrošināšanas piedāvājumiem, pamatojoties uz kritērijiem, kurus klients izvēlas ar mājaslapas internetā vai mobilās lietotnes starpniecību</w:t>
      </w:r>
      <w:r>
        <w:rPr>
          <w:sz w:val="28"/>
          <w:szCs w:val="28"/>
        </w:rPr>
        <w:t>;"</w:t>
      </w:r>
      <w:r w:rsidR="00B94C9C">
        <w:rPr>
          <w:sz w:val="28"/>
          <w:szCs w:val="28"/>
        </w:rPr>
        <w:t>;</w:t>
      </w:r>
    </w:p>
    <w:p w:rsidR="005367A0" w:rsidRDefault="005367A0" w:rsidP="002B1841">
      <w:pPr>
        <w:pStyle w:val="ListParagraph"/>
        <w:tabs>
          <w:tab w:val="left" w:pos="993"/>
        </w:tabs>
        <w:spacing w:after="0" w:line="240" w:lineRule="auto"/>
        <w:ind w:left="0" w:firstLine="295"/>
        <w:contextualSpacing w:val="0"/>
        <w:jc w:val="both"/>
        <w:rPr>
          <w:sz w:val="28"/>
          <w:szCs w:val="28"/>
        </w:rPr>
      </w:pPr>
    </w:p>
    <w:p w:rsidR="006E696D" w:rsidRDefault="00021475" w:rsidP="002B1841">
      <w:pPr>
        <w:pStyle w:val="ListParagraph"/>
        <w:tabs>
          <w:tab w:val="left" w:pos="993"/>
        </w:tabs>
        <w:spacing w:after="0" w:line="240" w:lineRule="auto"/>
        <w:ind w:left="0" w:firstLine="295"/>
        <w:contextualSpacing w:val="0"/>
        <w:jc w:val="both"/>
        <w:rPr>
          <w:sz w:val="28"/>
          <w:szCs w:val="28"/>
        </w:rPr>
      </w:pPr>
      <w:r>
        <w:rPr>
          <w:sz w:val="28"/>
          <w:szCs w:val="28"/>
        </w:rPr>
        <w:t xml:space="preserve">izteikt </w:t>
      </w:r>
      <w:r w:rsidR="006E696D">
        <w:rPr>
          <w:sz w:val="28"/>
          <w:szCs w:val="28"/>
        </w:rPr>
        <w:t>otro daļu šādā redakcijā:</w:t>
      </w:r>
    </w:p>
    <w:p w:rsidR="006E696D" w:rsidRDefault="006E696D" w:rsidP="002B1841">
      <w:pPr>
        <w:pStyle w:val="ListParagraph"/>
        <w:tabs>
          <w:tab w:val="left" w:pos="993"/>
        </w:tabs>
        <w:spacing w:after="0" w:line="240" w:lineRule="auto"/>
        <w:ind w:left="0" w:firstLine="295"/>
        <w:contextualSpacing w:val="0"/>
        <w:jc w:val="both"/>
        <w:rPr>
          <w:sz w:val="28"/>
          <w:szCs w:val="24"/>
        </w:rPr>
      </w:pPr>
      <w:r>
        <w:rPr>
          <w:sz w:val="28"/>
          <w:szCs w:val="24"/>
        </w:rPr>
        <w:t>"</w:t>
      </w:r>
      <w:r w:rsidRPr="006E696D">
        <w:rPr>
          <w:sz w:val="28"/>
          <w:szCs w:val="24"/>
        </w:rPr>
        <w:t xml:space="preserve">(2) Citi šajā likumā lietotie termini atbilst Apdrošināšanas un pārapdrošināšanas likumā, likumā "Par apdrošināšanas līgumu", Finanšu instrumentu tirgus likumā un </w:t>
      </w:r>
      <w:r w:rsidRPr="006E696D">
        <w:rPr>
          <w:color w:val="000000" w:themeColor="text1"/>
          <w:sz w:val="28"/>
          <w:szCs w:val="24"/>
          <w:lang w:eastAsia="lv-LV"/>
        </w:rPr>
        <w:t>Eiropas Parlamenta un Padomes 2014.</w:t>
      </w:r>
      <w:r w:rsidR="00C36AB8">
        <w:rPr>
          <w:color w:val="000000" w:themeColor="text1"/>
          <w:sz w:val="28"/>
          <w:szCs w:val="24"/>
          <w:lang w:eastAsia="lv-LV"/>
        </w:rPr>
        <w:t> </w:t>
      </w:r>
      <w:r w:rsidRPr="006E696D">
        <w:rPr>
          <w:color w:val="000000" w:themeColor="text1"/>
          <w:sz w:val="28"/>
          <w:szCs w:val="24"/>
          <w:lang w:eastAsia="lv-LV"/>
        </w:rPr>
        <w:t>gada 26.</w:t>
      </w:r>
      <w:r w:rsidR="00C36AB8">
        <w:rPr>
          <w:color w:val="000000" w:themeColor="text1"/>
          <w:sz w:val="28"/>
          <w:szCs w:val="24"/>
          <w:lang w:eastAsia="lv-LV"/>
        </w:rPr>
        <w:t> </w:t>
      </w:r>
      <w:r w:rsidRPr="006E696D">
        <w:rPr>
          <w:color w:val="000000" w:themeColor="text1"/>
          <w:sz w:val="28"/>
          <w:szCs w:val="24"/>
          <w:lang w:eastAsia="lv-LV"/>
        </w:rPr>
        <w:t>novembra regulā (ES) Nr.</w:t>
      </w:r>
      <w:r w:rsidR="00C36AB8">
        <w:rPr>
          <w:color w:val="000000" w:themeColor="text1"/>
          <w:sz w:val="28"/>
          <w:szCs w:val="24"/>
          <w:lang w:eastAsia="lv-LV"/>
        </w:rPr>
        <w:t> </w:t>
      </w:r>
      <w:r w:rsidRPr="006E696D">
        <w:rPr>
          <w:color w:val="000000" w:themeColor="text1"/>
          <w:sz w:val="28"/>
          <w:szCs w:val="24"/>
          <w:lang w:eastAsia="lv-LV"/>
        </w:rPr>
        <w:t>1286/2014 par komplektētu privāto ieguldījumu un apdrošināšanas ieguldījumu produktu (PRIIP) pamatinformācijas dokumentiem (turpmāk – Regula Nr.1286/2014)</w:t>
      </w:r>
      <w:r w:rsidRPr="006E696D">
        <w:rPr>
          <w:sz w:val="28"/>
          <w:szCs w:val="24"/>
        </w:rPr>
        <w:t xml:space="preserve"> lietotajiem terminiem."</w:t>
      </w:r>
    </w:p>
    <w:p w:rsidR="00AF481B" w:rsidRDefault="00AF481B" w:rsidP="002B1841">
      <w:pPr>
        <w:pStyle w:val="ListParagraph"/>
        <w:tabs>
          <w:tab w:val="left" w:pos="993"/>
        </w:tabs>
        <w:spacing w:after="0" w:line="240" w:lineRule="auto"/>
        <w:ind w:left="0" w:firstLine="295"/>
        <w:contextualSpacing w:val="0"/>
        <w:jc w:val="both"/>
        <w:rPr>
          <w:sz w:val="28"/>
          <w:szCs w:val="24"/>
        </w:rPr>
      </w:pPr>
    </w:p>
    <w:p w:rsidR="005367A0" w:rsidRPr="006E696D" w:rsidRDefault="005367A0" w:rsidP="006F34FB">
      <w:pPr>
        <w:pStyle w:val="ListParagraph"/>
        <w:tabs>
          <w:tab w:val="left" w:pos="993"/>
        </w:tabs>
        <w:spacing w:after="0" w:line="240" w:lineRule="auto"/>
        <w:ind w:left="0" w:firstLine="295"/>
        <w:contextualSpacing w:val="0"/>
        <w:jc w:val="center"/>
        <w:rPr>
          <w:sz w:val="32"/>
          <w:szCs w:val="28"/>
        </w:rPr>
      </w:pPr>
    </w:p>
    <w:p w:rsidR="00093CE2" w:rsidRPr="00555FC4" w:rsidRDefault="00AF481B" w:rsidP="00555FC4">
      <w:pPr>
        <w:pStyle w:val="NoSpacing"/>
        <w:ind w:firstLine="295"/>
        <w:jc w:val="both"/>
        <w:rPr>
          <w:rFonts w:eastAsia="Calibri"/>
          <w:sz w:val="28"/>
          <w:szCs w:val="28"/>
          <w:lang w:eastAsia="en-US"/>
        </w:rPr>
      </w:pPr>
      <w:r>
        <w:rPr>
          <w:rFonts w:eastAsia="Calibri"/>
          <w:sz w:val="28"/>
          <w:szCs w:val="28"/>
          <w:lang w:eastAsia="en-US"/>
        </w:rPr>
        <w:t>4</w:t>
      </w:r>
      <w:r w:rsidR="00B43BC1" w:rsidRPr="00555FC4">
        <w:rPr>
          <w:rFonts w:eastAsia="Calibri"/>
          <w:sz w:val="28"/>
          <w:szCs w:val="28"/>
          <w:lang w:eastAsia="en-US"/>
        </w:rPr>
        <w:t xml:space="preserve">. </w:t>
      </w:r>
      <w:r w:rsidR="00FE2DB5" w:rsidRPr="00555FC4">
        <w:rPr>
          <w:rFonts w:eastAsia="Calibri"/>
          <w:sz w:val="28"/>
          <w:szCs w:val="28"/>
          <w:lang w:eastAsia="en-US"/>
        </w:rPr>
        <w:t xml:space="preserve">Papildināt </w:t>
      </w:r>
      <w:r w:rsidR="00CC548B" w:rsidRPr="00555FC4">
        <w:rPr>
          <w:rFonts w:eastAsia="Calibri"/>
          <w:sz w:val="28"/>
          <w:szCs w:val="28"/>
          <w:lang w:eastAsia="en-US"/>
        </w:rPr>
        <w:t>45</w:t>
      </w:r>
      <w:r w:rsidR="00FE2DB5" w:rsidRPr="00555FC4">
        <w:rPr>
          <w:rFonts w:eastAsia="Calibri"/>
          <w:sz w:val="28"/>
          <w:szCs w:val="28"/>
          <w:lang w:eastAsia="en-US"/>
        </w:rPr>
        <w:t xml:space="preserve">. pantu </w:t>
      </w:r>
      <w:r w:rsidR="00CC548B" w:rsidRPr="00555FC4">
        <w:rPr>
          <w:rFonts w:eastAsia="Calibri"/>
          <w:sz w:val="28"/>
          <w:szCs w:val="28"/>
          <w:lang w:eastAsia="en-US"/>
        </w:rPr>
        <w:t xml:space="preserve">ar trešo </w:t>
      </w:r>
      <w:r w:rsidR="00A12F89" w:rsidRPr="00555FC4">
        <w:rPr>
          <w:rFonts w:eastAsia="Calibri"/>
          <w:sz w:val="28"/>
          <w:szCs w:val="28"/>
          <w:lang w:eastAsia="en-US"/>
        </w:rPr>
        <w:t xml:space="preserve">un ceturto </w:t>
      </w:r>
      <w:r w:rsidR="00CC548B" w:rsidRPr="00555FC4">
        <w:rPr>
          <w:rFonts w:eastAsia="Calibri"/>
          <w:sz w:val="28"/>
          <w:szCs w:val="28"/>
          <w:lang w:eastAsia="en-US"/>
        </w:rPr>
        <w:t xml:space="preserve">daļu </w:t>
      </w:r>
      <w:r w:rsidR="00460358" w:rsidRPr="00555FC4">
        <w:rPr>
          <w:rFonts w:eastAsia="Calibri"/>
          <w:sz w:val="28"/>
          <w:szCs w:val="28"/>
          <w:lang w:eastAsia="en-US"/>
        </w:rPr>
        <w:t>šādā redakcijā:</w:t>
      </w:r>
    </w:p>
    <w:p w:rsidR="00CC548B" w:rsidRDefault="00460358" w:rsidP="001D528F">
      <w:pPr>
        <w:shd w:val="clear" w:color="auto" w:fill="FFFFFF"/>
        <w:spacing w:after="0" w:line="240" w:lineRule="auto"/>
        <w:ind w:firstLine="295"/>
        <w:jc w:val="both"/>
        <w:rPr>
          <w:sz w:val="28"/>
          <w:szCs w:val="24"/>
        </w:rPr>
      </w:pPr>
      <w:r w:rsidRPr="005A31B5">
        <w:rPr>
          <w:sz w:val="28"/>
          <w:szCs w:val="28"/>
        </w:rPr>
        <w:t>"</w:t>
      </w:r>
      <w:r w:rsidR="00CC548B" w:rsidRPr="00CC548B">
        <w:rPr>
          <w:sz w:val="28"/>
        </w:rPr>
        <w:t xml:space="preserve">(3) </w:t>
      </w:r>
      <w:r w:rsidR="00CC548B" w:rsidRPr="00CC548B">
        <w:rPr>
          <w:sz w:val="28"/>
          <w:szCs w:val="24"/>
        </w:rPr>
        <w:t>Ja apdrošinā</w:t>
      </w:r>
      <w:r w:rsidR="00CC548B">
        <w:rPr>
          <w:sz w:val="28"/>
          <w:szCs w:val="24"/>
        </w:rPr>
        <w:t>šanas starpnieks</w:t>
      </w:r>
      <w:r w:rsidR="00CC548B" w:rsidRPr="00CC548B">
        <w:rPr>
          <w:sz w:val="28"/>
          <w:szCs w:val="24"/>
        </w:rPr>
        <w:t xml:space="preserve"> neievēro </w:t>
      </w:r>
      <w:r w:rsidR="00CC548B" w:rsidRPr="00CC548B">
        <w:rPr>
          <w:color w:val="000000" w:themeColor="text1"/>
          <w:sz w:val="28"/>
          <w:szCs w:val="24"/>
          <w:lang w:eastAsia="lv-LV"/>
        </w:rPr>
        <w:t>Regulas Nr.</w:t>
      </w:r>
      <w:r w:rsidR="00C36AB8">
        <w:rPr>
          <w:color w:val="000000" w:themeColor="text1"/>
          <w:sz w:val="28"/>
          <w:szCs w:val="24"/>
          <w:lang w:eastAsia="lv-LV"/>
        </w:rPr>
        <w:t> </w:t>
      </w:r>
      <w:r w:rsidR="00CC548B" w:rsidRPr="00CC548B">
        <w:rPr>
          <w:color w:val="000000" w:themeColor="text1"/>
          <w:sz w:val="28"/>
          <w:szCs w:val="24"/>
          <w:lang w:eastAsia="lv-LV"/>
        </w:rPr>
        <w:t xml:space="preserve">1286/2014 </w:t>
      </w:r>
      <w:r w:rsidR="00EE3AA7" w:rsidRPr="005A31B5">
        <w:rPr>
          <w:sz w:val="28"/>
          <w:szCs w:val="28"/>
        </w:rPr>
        <w:t xml:space="preserve">5.panta </w:t>
      </w:r>
      <w:r w:rsidR="00EE3AA7" w:rsidRPr="00B47BE6">
        <w:rPr>
          <w:sz w:val="28"/>
          <w:szCs w:val="28"/>
        </w:rPr>
        <w:t>1.punkta, 6.</w:t>
      </w:r>
      <w:r w:rsidR="00B47BE6" w:rsidRPr="002B1841">
        <w:rPr>
          <w:sz w:val="28"/>
          <w:szCs w:val="28"/>
        </w:rPr>
        <w:t>panta</w:t>
      </w:r>
      <w:r w:rsidR="00EE3AA7" w:rsidRPr="00B47BE6">
        <w:rPr>
          <w:sz w:val="28"/>
          <w:szCs w:val="28"/>
        </w:rPr>
        <w:t>, 7.panta, 8.panta 1. līdz 3.</w:t>
      </w:r>
      <w:r w:rsidR="00C36AB8" w:rsidRPr="00B47BE6">
        <w:rPr>
          <w:sz w:val="28"/>
          <w:szCs w:val="28"/>
        </w:rPr>
        <w:t> </w:t>
      </w:r>
      <w:r w:rsidR="00EE3AA7" w:rsidRPr="00B47BE6">
        <w:rPr>
          <w:sz w:val="28"/>
          <w:szCs w:val="28"/>
        </w:rPr>
        <w:t xml:space="preserve">punkta, </w:t>
      </w:r>
      <w:r w:rsidR="00CC548B" w:rsidRPr="00B47BE6">
        <w:rPr>
          <w:sz w:val="28"/>
          <w:szCs w:val="24"/>
        </w:rPr>
        <w:t xml:space="preserve">9.panta, </w:t>
      </w:r>
      <w:r w:rsidR="00EE3AA7" w:rsidRPr="00B47BE6">
        <w:rPr>
          <w:sz w:val="28"/>
          <w:szCs w:val="28"/>
        </w:rPr>
        <w:t xml:space="preserve">10.panta 1.punkta, </w:t>
      </w:r>
      <w:r w:rsidR="00CC548B" w:rsidRPr="00B47BE6">
        <w:rPr>
          <w:sz w:val="28"/>
          <w:szCs w:val="24"/>
        </w:rPr>
        <w:t>13.panta 1., 3. vai 4.punkta, 14. vai 19.</w:t>
      </w:r>
      <w:r w:rsidR="00CC548B" w:rsidRPr="00CC548B">
        <w:rPr>
          <w:sz w:val="28"/>
          <w:szCs w:val="24"/>
        </w:rPr>
        <w:t>panta prasības, Finanšu un kapitāla tirgus komisi</w:t>
      </w:r>
      <w:r w:rsidR="001D528F">
        <w:rPr>
          <w:sz w:val="28"/>
          <w:szCs w:val="24"/>
        </w:rPr>
        <w:t xml:space="preserve">ja, pieņemot lēmumu, ir tiesīga </w:t>
      </w:r>
      <w:r w:rsidR="00CC548B" w:rsidRPr="00CC548B">
        <w:rPr>
          <w:sz w:val="28"/>
          <w:szCs w:val="24"/>
        </w:rPr>
        <w:t>īstenot šādas darbības</w:t>
      </w:r>
      <w:r w:rsidR="00555FC4">
        <w:rPr>
          <w:sz w:val="28"/>
          <w:szCs w:val="24"/>
        </w:rPr>
        <w:t xml:space="preserve"> un piemērot šādas sankcijas </w:t>
      </w:r>
      <w:r w:rsidR="00CC548B" w:rsidRPr="00CC548B">
        <w:rPr>
          <w:sz w:val="28"/>
          <w:szCs w:val="24"/>
        </w:rPr>
        <w:t>:</w:t>
      </w:r>
    </w:p>
    <w:p w:rsidR="001D528F" w:rsidRPr="00CC548B" w:rsidRDefault="001D528F" w:rsidP="001D528F">
      <w:pPr>
        <w:shd w:val="clear" w:color="auto" w:fill="FFFFFF"/>
        <w:spacing w:after="0" w:line="240" w:lineRule="auto"/>
        <w:ind w:firstLine="295"/>
        <w:jc w:val="both"/>
        <w:rPr>
          <w:sz w:val="28"/>
          <w:szCs w:val="24"/>
        </w:rPr>
      </w:pPr>
    </w:p>
    <w:p w:rsidR="00CC548B" w:rsidRPr="00CC548B" w:rsidRDefault="006F63BD" w:rsidP="002B1841">
      <w:pPr>
        <w:shd w:val="clear" w:color="auto" w:fill="FFFFFF"/>
        <w:spacing w:after="0" w:line="240" w:lineRule="auto"/>
        <w:ind w:firstLine="295"/>
        <w:jc w:val="both"/>
        <w:rPr>
          <w:sz w:val="28"/>
          <w:szCs w:val="24"/>
        </w:rPr>
      </w:pPr>
      <w:r>
        <w:rPr>
          <w:sz w:val="28"/>
          <w:szCs w:val="24"/>
        </w:rPr>
        <w:t>1</w:t>
      </w:r>
      <w:r w:rsidR="00CC548B" w:rsidRPr="00CC548B">
        <w:rPr>
          <w:sz w:val="28"/>
          <w:szCs w:val="24"/>
        </w:rPr>
        <w:t xml:space="preserve">) </w:t>
      </w:r>
      <w:r w:rsidR="00CC548B" w:rsidRPr="00E771A2">
        <w:rPr>
          <w:sz w:val="28"/>
          <w:szCs w:val="24"/>
        </w:rPr>
        <w:t>aizliegt</w:t>
      </w:r>
      <w:r w:rsidR="00CC548B" w:rsidRPr="00CC548B">
        <w:rPr>
          <w:sz w:val="28"/>
          <w:szCs w:val="24"/>
        </w:rPr>
        <w:t xml:space="preserve"> </w:t>
      </w:r>
      <w:r w:rsidR="00CC548B" w:rsidRPr="006F34FB">
        <w:rPr>
          <w:sz w:val="28"/>
          <w:szCs w:val="24"/>
          <w:u w:val="single"/>
        </w:rPr>
        <w:t>apdrošināšanas ieguldījumu produkta izplatīšanu</w:t>
      </w:r>
      <w:r w:rsidR="00A644E7">
        <w:rPr>
          <w:sz w:val="28"/>
          <w:szCs w:val="24"/>
        </w:rPr>
        <w:t>;</w:t>
      </w:r>
    </w:p>
    <w:p w:rsidR="00CC548B" w:rsidRPr="00CC548B" w:rsidRDefault="006F63BD" w:rsidP="002B1841">
      <w:pPr>
        <w:shd w:val="clear" w:color="auto" w:fill="FFFFFF"/>
        <w:spacing w:after="0" w:line="240" w:lineRule="auto"/>
        <w:ind w:firstLine="295"/>
        <w:jc w:val="both"/>
        <w:rPr>
          <w:sz w:val="28"/>
          <w:szCs w:val="24"/>
        </w:rPr>
      </w:pPr>
      <w:r>
        <w:rPr>
          <w:sz w:val="28"/>
          <w:szCs w:val="24"/>
        </w:rPr>
        <w:t>2</w:t>
      </w:r>
      <w:r w:rsidR="00CC548B" w:rsidRPr="00CC548B">
        <w:rPr>
          <w:sz w:val="28"/>
          <w:szCs w:val="24"/>
        </w:rPr>
        <w:t xml:space="preserve">) </w:t>
      </w:r>
      <w:r w:rsidR="00CC548B" w:rsidRPr="00E771A2">
        <w:rPr>
          <w:sz w:val="28"/>
          <w:szCs w:val="24"/>
        </w:rPr>
        <w:t>uzlikt par pienākumu</w:t>
      </w:r>
      <w:r w:rsidR="00CC548B" w:rsidRPr="00CC548B">
        <w:rPr>
          <w:sz w:val="28"/>
          <w:szCs w:val="24"/>
        </w:rPr>
        <w:t xml:space="preserve"> apturēt </w:t>
      </w:r>
      <w:r w:rsidR="00CC548B" w:rsidRPr="006F34FB">
        <w:rPr>
          <w:sz w:val="28"/>
          <w:szCs w:val="24"/>
          <w:u w:val="single"/>
        </w:rPr>
        <w:t>apdrošināšanas ieguldījumu produkta izplatīšanu</w:t>
      </w:r>
      <w:r w:rsidR="00A644E7">
        <w:rPr>
          <w:sz w:val="28"/>
          <w:szCs w:val="24"/>
        </w:rPr>
        <w:t>;</w:t>
      </w:r>
    </w:p>
    <w:p w:rsidR="00EE3AA7" w:rsidRDefault="006F63BD" w:rsidP="002B1841">
      <w:pPr>
        <w:shd w:val="clear" w:color="auto" w:fill="FFFFFF"/>
        <w:spacing w:after="0" w:line="240" w:lineRule="auto"/>
        <w:ind w:firstLine="295"/>
        <w:jc w:val="both"/>
        <w:rPr>
          <w:sz w:val="28"/>
          <w:szCs w:val="24"/>
        </w:rPr>
      </w:pPr>
      <w:r>
        <w:rPr>
          <w:sz w:val="28"/>
          <w:szCs w:val="24"/>
        </w:rPr>
        <w:lastRenderedPageBreak/>
        <w:t>3</w:t>
      </w:r>
      <w:r w:rsidR="00CC548B" w:rsidRPr="00B47BE6">
        <w:rPr>
          <w:sz w:val="28"/>
          <w:szCs w:val="24"/>
        </w:rPr>
        <w:t>)</w:t>
      </w:r>
      <w:r w:rsidR="00EE3AA7" w:rsidRPr="00B47BE6">
        <w:rPr>
          <w:sz w:val="28"/>
          <w:szCs w:val="24"/>
        </w:rPr>
        <w:t xml:space="preserve"> </w:t>
      </w:r>
      <w:r w:rsidR="00EE3AA7" w:rsidRPr="00B47BE6">
        <w:rPr>
          <w:sz w:val="28"/>
          <w:szCs w:val="28"/>
        </w:rPr>
        <w:t xml:space="preserve">aizliegt </w:t>
      </w:r>
      <w:r w:rsidR="00B47BE6" w:rsidRPr="002B1841">
        <w:rPr>
          <w:sz w:val="28"/>
          <w:szCs w:val="28"/>
        </w:rPr>
        <w:t xml:space="preserve">sniegt </w:t>
      </w:r>
      <w:r w:rsidR="00EE3AA7" w:rsidRPr="00B47BE6">
        <w:rPr>
          <w:sz w:val="28"/>
          <w:szCs w:val="28"/>
        </w:rPr>
        <w:t>pamatinformācijas dokumentu, kas neatbilst Regulas Nr.</w:t>
      </w:r>
      <w:r w:rsidR="00C36AB8" w:rsidRPr="00B47BE6">
        <w:rPr>
          <w:sz w:val="28"/>
          <w:szCs w:val="28"/>
        </w:rPr>
        <w:t> </w:t>
      </w:r>
      <w:r w:rsidR="00EE3AA7" w:rsidRPr="00B47BE6">
        <w:rPr>
          <w:sz w:val="28"/>
          <w:szCs w:val="28"/>
        </w:rPr>
        <w:t>1286/2014 6.,</w:t>
      </w:r>
      <w:r w:rsidR="00B47BE6" w:rsidRPr="002B1841">
        <w:rPr>
          <w:sz w:val="28"/>
          <w:szCs w:val="28"/>
        </w:rPr>
        <w:t> </w:t>
      </w:r>
      <w:r w:rsidR="00EE3AA7" w:rsidRPr="00B47BE6">
        <w:rPr>
          <w:sz w:val="28"/>
          <w:szCs w:val="28"/>
        </w:rPr>
        <w:t>7., 8. vai 10.</w:t>
      </w:r>
      <w:r w:rsidR="00C36AB8" w:rsidRPr="00B47BE6">
        <w:rPr>
          <w:sz w:val="28"/>
          <w:szCs w:val="28"/>
        </w:rPr>
        <w:t> </w:t>
      </w:r>
      <w:r w:rsidR="00EE3AA7" w:rsidRPr="00B47BE6">
        <w:rPr>
          <w:sz w:val="28"/>
          <w:szCs w:val="28"/>
        </w:rPr>
        <w:t>pantā noteiktajām prasībām</w:t>
      </w:r>
      <w:r w:rsidR="00B94C9C" w:rsidRPr="002B1841">
        <w:rPr>
          <w:sz w:val="28"/>
          <w:szCs w:val="28"/>
        </w:rPr>
        <w:t>,</w:t>
      </w:r>
      <w:r w:rsidR="00EE3AA7" w:rsidRPr="00B47BE6">
        <w:rPr>
          <w:sz w:val="28"/>
          <w:szCs w:val="28"/>
        </w:rPr>
        <w:t xml:space="preserve"> un dot rīkojumu publicēt jaunu pamatinformācijas dokumenta versiju</w:t>
      </w:r>
      <w:r w:rsidR="00A644E7">
        <w:rPr>
          <w:sz w:val="28"/>
          <w:szCs w:val="28"/>
        </w:rPr>
        <w:t>;</w:t>
      </w:r>
    </w:p>
    <w:p w:rsidR="00CC548B" w:rsidRPr="00CC548B" w:rsidRDefault="006F63BD" w:rsidP="002B1841">
      <w:pPr>
        <w:shd w:val="clear" w:color="auto" w:fill="FFFFFF"/>
        <w:spacing w:after="0" w:line="240" w:lineRule="auto"/>
        <w:ind w:firstLine="295"/>
        <w:jc w:val="both"/>
        <w:rPr>
          <w:color w:val="000000"/>
          <w:sz w:val="28"/>
          <w:szCs w:val="24"/>
        </w:rPr>
      </w:pPr>
      <w:r>
        <w:rPr>
          <w:color w:val="000000"/>
          <w:sz w:val="28"/>
          <w:szCs w:val="24"/>
        </w:rPr>
        <w:t>4</w:t>
      </w:r>
      <w:r w:rsidR="00EE3AA7">
        <w:rPr>
          <w:color w:val="000000"/>
          <w:sz w:val="28"/>
          <w:szCs w:val="24"/>
        </w:rPr>
        <w:t xml:space="preserve">) </w:t>
      </w:r>
      <w:r w:rsidR="00CC548B" w:rsidRPr="00CC548B">
        <w:rPr>
          <w:color w:val="000000"/>
          <w:sz w:val="28"/>
          <w:szCs w:val="24"/>
        </w:rPr>
        <w:t xml:space="preserve">uzlikt par pienākumu personai, </w:t>
      </w:r>
      <w:r w:rsidR="00CC548B" w:rsidRPr="00CC548B">
        <w:rPr>
          <w:bCs/>
          <w:color w:val="000000"/>
          <w:sz w:val="28"/>
          <w:szCs w:val="24"/>
        </w:rPr>
        <w:t xml:space="preserve">kas sniedz konsultācijas par apdrošināšanas ieguldījumu produktu vai to </w:t>
      </w:r>
      <w:r w:rsidR="006E696D">
        <w:rPr>
          <w:bCs/>
          <w:color w:val="000000"/>
          <w:sz w:val="28"/>
          <w:szCs w:val="24"/>
        </w:rPr>
        <w:t xml:space="preserve">izstrādā vai </w:t>
      </w:r>
      <w:r w:rsidR="00CC548B" w:rsidRPr="00CC548B">
        <w:rPr>
          <w:bCs/>
          <w:color w:val="000000"/>
          <w:sz w:val="28"/>
          <w:szCs w:val="24"/>
        </w:rPr>
        <w:t>pārdod,</w:t>
      </w:r>
      <w:r w:rsidR="00CC548B" w:rsidRPr="00CC548B">
        <w:rPr>
          <w:color w:val="000000"/>
          <w:sz w:val="28"/>
          <w:szCs w:val="24"/>
        </w:rPr>
        <w:t xml:space="preserve"> informēt </w:t>
      </w:r>
      <w:r w:rsidR="00F9017E" w:rsidRPr="005A31B5">
        <w:rPr>
          <w:sz w:val="28"/>
          <w:szCs w:val="28"/>
        </w:rPr>
        <w:t>klient</w:t>
      </w:r>
      <w:r w:rsidR="00F9017E">
        <w:rPr>
          <w:sz w:val="28"/>
          <w:szCs w:val="28"/>
        </w:rPr>
        <w:t>u, kas nav profesionāls klients un</w:t>
      </w:r>
      <w:r w:rsidR="00F9017E">
        <w:rPr>
          <w:color w:val="000000"/>
          <w:sz w:val="28"/>
          <w:szCs w:val="24"/>
        </w:rPr>
        <w:t xml:space="preserve"> kura tiesības un intereses tika skartas</w:t>
      </w:r>
      <w:r w:rsidR="00BC5D9E">
        <w:rPr>
          <w:color w:val="000000"/>
          <w:sz w:val="28"/>
          <w:szCs w:val="24"/>
        </w:rPr>
        <w:t>,</w:t>
      </w:r>
      <w:r w:rsidR="006E696D">
        <w:rPr>
          <w:color w:val="000000"/>
          <w:sz w:val="28"/>
          <w:szCs w:val="24"/>
        </w:rPr>
        <w:t xml:space="preserve"> </w:t>
      </w:r>
      <w:r w:rsidR="00CC548B" w:rsidRPr="00CC548B">
        <w:rPr>
          <w:color w:val="000000"/>
          <w:sz w:val="28"/>
          <w:szCs w:val="24"/>
        </w:rPr>
        <w:t xml:space="preserve">par piemēroto sankciju </w:t>
      </w:r>
      <w:r w:rsidR="00B94C9C">
        <w:rPr>
          <w:color w:val="000000"/>
          <w:sz w:val="28"/>
          <w:szCs w:val="24"/>
        </w:rPr>
        <w:t xml:space="preserve">un par to, </w:t>
      </w:r>
      <w:r w:rsidR="00CC548B" w:rsidRPr="00CC548B">
        <w:rPr>
          <w:color w:val="000000"/>
          <w:sz w:val="28"/>
          <w:szCs w:val="24"/>
        </w:rPr>
        <w:t>kur klients var iesniegt sūdzību vai</w:t>
      </w:r>
      <w:r w:rsidR="00486509">
        <w:rPr>
          <w:color w:val="000000"/>
          <w:sz w:val="28"/>
          <w:szCs w:val="24"/>
        </w:rPr>
        <w:t xml:space="preserve"> kur tas var</w:t>
      </w:r>
      <w:r w:rsidR="00CC548B" w:rsidRPr="00CC548B">
        <w:rPr>
          <w:color w:val="000000"/>
          <w:sz w:val="28"/>
          <w:szCs w:val="24"/>
        </w:rPr>
        <w:t xml:space="preserve"> </w:t>
      </w:r>
      <w:r w:rsidR="00486509">
        <w:rPr>
          <w:color w:val="000000"/>
          <w:sz w:val="28"/>
          <w:szCs w:val="24"/>
        </w:rPr>
        <w:t xml:space="preserve">vērsties, lai uzsāktu </w:t>
      </w:r>
      <w:proofErr w:type="spellStart"/>
      <w:r w:rsidR="00486509">
        <w:rPr>
          <w:color w:val="000000"/>
          <w:sz w:val="28"/>
          <w:szCs w:val="24"/>
        </w:rPr>
        <w:t>ārpus</w:t>
      </w:r>
      <w:r w:rsidR="00F54A30">
        <w:rPr>
          <w:color w:val="000000"/>
          <w:sz w:val="28"/>
          <w:szCs w:val="24"/>
        </w:rPr>
        <w:t>tiesas</w:t>
      </w:r>
      <w:proofErr w:type="spellEnd"/>
      <w:r w:rsidR="001C5B16">
        <w:rPr>
          <w:color w:val="000000"/>
          <w:sz w:val="28"/>
          <w:szCs w:val="24"/>
        </w:rPr>
        <w:t xml:space="preserve"> strīdu</w:t>
      </w:r>
      <w:r w:rsidR="00F54A30">
        <w:rPr>
          <w:color w:val="000000"/>
          <w:sz w:val="28"/>
          <w:szCs w:val="24"/>
        </w:rPr>
        <w:t xml:space="preserve"> </w:t>
      </w:r>
      <w:r w:rsidR="00486509">
        <w:rPr>
          <w:color w:val="000000"/>
          <w:sz w:val="28"/>
          <w:szCs w:val="24"/>
        </w:rPr>
        <w:t>izšķiršanas procedūru</w:t>
      </w:r>
      <w:r w:rsidR="00B94C9C">
        <w:rPr>
          <w:color w:val="000000"/>
          <w:sz w:val="28"/>
          <w:szCs w:val="24"/>
        </w:rPr>
        <w:t>;</w:t>
      </w:r>
    </w:p>
    <w:p w:rsidR="00CC548B" w:rsidRPr="00CC548B" w:rsidRDefault="006F63BD" w:rsidP="002B1841">
      <w:pPr>
        <w:shd w:val="clear" w:color="auto" w:fill="FFFFFF"/>
        <w:spacing w:after="0" w:line="240" w:lineRule="auto"/>
        <w:ind w:firstLine="295"/>
        <w:jc w:val="both"/>
        <w:rPr>
          <w:sz w:val="28"/>
          <w:szCs w:val="24"/>
        </w:rPr>
      </w:pPr>
      <w:r>
        <w:rPr>
          <w:color w:val="000000"/>
          <w:sz w:val="28"/>
          <w:szCs w:val="24"/>
        </w:rPr>
        <w:t>5</w:t>
      </w:r>
      <w:r w:rsidR="00CC548B" w:rsidRPr="00CC548B">
        <w:rPr>
          <w:color w:val="000000"/>
          <w:sz w:val="28"/>
          <w:szCs w:val="24"/>
        </w:rPr>
        <w:t>)</w:t>
      </w:r>
      <w:r w:rsidR="00CC548B" w:rsidRPr="00CC548B">
        <w:rPr>
          <w:sz w:val="28"/>
          <w:szCs w:val="24"/>
        </w:rPr>
        <w:t xml:space="preserve"> izteikt brīdinājumu, kurā norādīta atbildīgā persona un pārkāpuma būtība</w:t>
      </w:r>
      <w:r w:rsidR="00A644E7">
        <w:rPr>
          <w:sz w:val="28"/>
          <w:szCs w:val="24"/>
        </w:rPr>
        <w:t>;</w:t>
      </w:r>
    </w:p>
    <w:p w:rsidR="00CC548B" w:rsidRPr="00CC548B" w:rsidRDefault="006F63BD" w:rsidP="002B1841">
      <w:pPr>
        <w:shd w:val="clear" w:color="auto" w:fill="FFFFFF"/>
        <w:spacing w:after="0" w:line="240" w:lineRule="auto"/>
        <w:ind w:firstLine="295"/>
        <w:jc w:val="both"/>
        <w:rPr>
          <w:sz w:val="28"/>
          <w:szCs w:val="24"/>
        </w:rPr>
      </w:pPr>
      <w:r>
        <w:rPr>
          <w:sz w:val="28"/>
          <w:szCs w:val="24"/>
        </w:rPr>
        <w:t>6</w:t>
      </w:r>
      <w:r w:rsidR="00CC548B" w:rsidRPr="00CC548B">
        <w:rPr>
          <w:sz w:val="28"/>
          <w:szCs w:val="24"/>
        </w:rPr>
        <w:t xml:space="preserve">) uzlikt juridiskai personai soda naudu līdz 5 000 000 </w:t>
      </w:r>
      <w:r w:rsidR="00CC548B" w:rsidRPr="00CC548B">
        <w:rPr>
          <w:i/>
          <w:sz w:val="28"/>
          <w:szCs w:val="24"/>
        </w:rPr>
        <w:t>euro</w:t>
      </w:r>
      <w:r w:rsidR="00CC548B" w:rsidRPr="00CC548B">
        <w:rPr>
          <w:sz w:val="28"/>
          <w:szCs w:val="24"/>
        </w:rPr>
        <w:t xml:space="preserve"> vai līdz 3 procentiem no kopējā gada apgrozījuma saskaņā ar pēdējo pieejamo minētās juridiskās personas revidēto gada pārskatu. Ja juridiskā persona ir mātes sabiedrība vai mātes sabiedrības meitas sabiedrība, kam ir jāsagatavo konsolidētie gada pārskati saskaņā ar Gada pārskatu un konsolidēto pārskatu likumu vai konsolidētie finanšu pārskati saskaņā ar izcelsmes dalībvalsts normatīvo aktu prasībām, kopējo apgrozījumu veido kopējais gada apgrozījums vai atbilstoša veida ienākumi saskaņā ar attiecīgajiem Eiropas Savienības tiesību aktiem grāmatvedības jomā, ņemot vērā pēdējo pieejamo konsolidēto gada pārskatu, ko apstiprinājusi galvenā mātes sabiedrības vadības struktūra;</w:t>
      </w:r>
    </w:p>
    <w:p w:rsidR="00CC548B" w:rsidRPr="00192AD7" w:rsidRDefault="006F63BD" w:rsidP="002B1841">
      <w:pPr>
        <w:shd w:val="clear" w:color="auto" w:fill="FFFFFF"/>
        <w:spacing w:after="0" w:line="240" w:lineRule="auto"/>
        <w:ind w:firstLine="295"/>
        <w:jc w:val="both"/>
        <w:rPr>
          <w:noProof/>
          <w:sz w:val="28"/>
          <w:szCs w:val="24"/>
        </w:rPr>
      </w:pPr>
      <w:r>
        <w:rPr>
          <w:sz w:val="28"/>
          <w:szCs w:val="24"/>
        </w:rPr>
        <w:t>7</w:t>
      </w:r>
      <w:r w:rsidR="00CC548B" w:rsidRPr="002171C2">
        <w:rPr>
          <w:sz w:val="28"/>
          <w:szCs w:val="24"/>
        </w:rPr>
        <w:t xml:space="preserve">) </w:t>
      </w:r>
      <w:r w:rsidR="00192AD7" w:rsidRPr="00192AD7">
        <w:rPr>
          <w:noProof/>
          <w:sz w:val="28"/>
          <w:szCs w:val="24"/>
        </w:rPr>
        <w:t xml:space="preserve">uzlikt apdrošināšanas starpniekam pašnodarbinātas personas statusā, apdrošināšanas starpnieka – juridiskās personas – </w:t>
      </w:r>
      <w:r w:rsidR="00A542F0">
        <w:rPr>
          <w:noProof/>
          <w:sz w:val="28"/>
          <w:szCs w:val="24"/>
        </w:rPr>
        <w:t>atbildīgajai personai</w:t>
      </w:r>
      <w:r w:rsidR="00192AD7" w:rsidRPr="00192AD7">
        <w:rPr>
          <w:noProof/>
          <w:sz w:val="28"/>
          <w:szCs w:val="24"/>
        </w:rPr>
        <w:t>, kura pārkāpuma izdarīšanas laikā ir atbildīga par noteiktas darbības veikšanu apdrošināšanas starpnieka uzdevumā vai interesēs, soda naudu līdz 700 000 euro;</w:t>
      </w:r>
    </w:p>
    <w:p w:rsidR="002B5DA9" w:rsidRDefault="006F63BD" w:rsidP="002B1841">
      <w:pPr>
        <w:pStyle w:val="tv213"/>
        <w:spacing w:before="0" w:beforeAutospacing="0" w:after="0" w:afterAutospacing="0"/>
        <w:ind w:firstLine="295"/>
        <w:jc w:val="both"/>
        <w:rPr>
          <w:sz w:val="28"/>
          <w:szCs w:val="28"/>
        </w:rPr>
      </w:pPr>
      <w:r>
        <w:rPr>
          <w:sz w:val="28"/>
        </w:rPr>
        <w:t>8</w:t>
      </w:r>
      <w:r w:rsidR="00CC548B" w:rsidRPr="00CC548B">
        <w:rPr>
          <w:sz w:val="28"/>
        </w:rPr>
        <w:t>) uzlikt soda naudu līdz pārkāpuma rezultātā gūto ienākumu vai novērsto iespējamo zaudējumu divkāršam apmēram</w:t>
      </w:r>
      <w:r w:rsidR="00460358" w:rsidRPr="005A31B5">
        <w:rPr>
          <w:sz w:val="28"/>
          <w:szCs w:val="28"/>
        </w:rPr>
        <w:t>.</w:t>
      </w:r>
    </w:p>
    <w:p w:rsidR="00460358" w:rsidRDefault="002B5DA9" w:rsidP="002B1841">
      <w:pPr>
        <w:pStyle w:val="tv213"/>
        <w:spacing w:before="0" w:beforeAutospacing="0" w:after="0" w:afterAutospacing="0"/>
        <w:ind w:firstLine="295"/>
        <w:jc w:val="both"/>
        <w:rPr>
          <w:sz w:val="28"/>
          <w:szCs w:val="28"/>
        </w:rPr>
      </w:pPr>
      <w:r w:rsidRPr="00A12F89">
        <w:rPr>
          <w:sz w:val="28"/>
          <w:szCs w:val="28"/>
        </w:rPr>
        <w:t>(4) Finanšu</w:t>
      </w:r>
      <w:r>
        <w:rPr>
          <w:sz w:val="28"/>
          <w:szCs w:val="28"/>
        </w:rPr>
        <w:t xml:space="preserve"> un kapitāla tirgus komisijas izdot</w:t>
      </w:r>
      <w:r w:rsidR="00E15F24">
        <w:rPr>
          <w:sz w:val="28"/>
          <w:szCs w:val="28"/>
        </w:rPr>
        <w:t>ā</w:t>
      </w:r>
      <w:r>
        <w:rPr>
          <w:sz w:val="28"/>
          <w:szCs w:val="28"/>
        </w:rPr>
        <w:t xml:space="preserve"> administratīv</w:t>
      </w:r>
      <w:r w:rsidR="00E15F24">
        <w:rPr>
          <w:sz w:val="28"/>
          <w:szCs w:val="28"/>
        </w:rPr>
        <w:t>ā</w:t>
      </w:r>
      <w:r>
        <w:rPr>
          <w:sz w:val="28"/>
          <w:szCs w:val="28"/>
        </w:rPr>
        <w:t xml:space="preserve"> akt</w:t>
      </w:r>
      <w:r w:rsidR="00E15F24">
        <w:rPr>
          <w:sz w:val="28"/>
          <w:szCs w:val="28"/>
        </w:rPr>
        <w:t>a</w:t>
      </w:r>
      <w:r>
        <w:rPr>
          <w:sz w:val="28"/>
          <w:szCs w:val="28"/>
        </w:rPr>
        <w:t xml:space="preserve"> par šā panta </w:t>
      </w:r>
      <w:r w:rsidRPr="00110701">
        <w:rPr>
          <w:sz w:val="28"/>
          <w:szCs w:val="28"/>
        </w:rPr>
        <w:t>trešās daļas 1.</w:t>
      </w:r>
      <w:r w:rsidR="0008416E">
        <w:rPr>
          <w:sz w:val="28"/>
          <w:szCs w:val="28"/>
        </w:rPr>
        <w:t>, 2., 3. un 4.</w:t>
      </w:r>
      <w:r w:rsidR="00A04DF3" w:rsidRPr="00110701">
        <w:rPr>
          <w:sz w:val="28"/>
          <w:szCs w:val="28"/>
        </w:rPr>
        <w:t> </w:t>
      </w:r>
      <w:r w:rsidRPr="00110701">
        <w:rPr>
          <w:sz w:val="28"/>
          <w:szCs w:val="28"/>
        </w:rPr>
        <w:t>punktā</w:t>
      </w:r>
      <w:r>
        <w:rPr>
          <w:sz w:val="28"/>
          <w:szCs w:val="28"/>
        </w:rPr>
        <w:t xml:space="preserve"> minēto </w:t>
      </w:r>
      <w:r w:rsidR="00A04DF3">
        <w:rPr>
          <w:sz w:val="28"/>
          <w:szCs w:val="28"/>
        </w:rPr>
        <w:t>darbību</w:t>
      </w:r>
      <w:r>
        <w:rPr>
          <w:sz w:val="28"/>
          <w:szCs w:val="28"/>
        </w:rPr>
        <w:t xml:space="preserve"> piemērošanu pārsūdzē</w:t>
      </w:r>
      <w:r w:rsidR="00E15F24">
        <w:rPr>
          <w:sz w:val="28"/>
          <w:szCs w:val="28"/>
        </w:rPr>
        <w:t>šana</w:t>
      </w:r>
      <w:r>
        <w:rPr>
          <w:sz w:val="28"/>
          <w:szCs w:val="28"/>
        </w:rPr>
        <w:t xml:space="preserve"> neaptur šā </w:t>
      </w:r>
      <w:r w:rsidR="00E15F24">
        <w:rPr>
          <w:sz w:val="28"/>
          <w:szCs w:val="28"/>
        </w:rPr>
        <w:t xml:space="preserve">administratīvā </w:t>
      </w:r>
      <w:r>
        <w:rPr>
          <w:sz w:val="28"/>
          <w:szCs w:val="28"/>
        </w:rPr>
        <w:t>akta izpildi.</w:t>
      </w:r>
      <w:r w:rsidR="00460358" w:rsidRPr="005A31B5">
        <w:rPr>
          <w:sz w:val="28"/>
          <w:szCs w:val="28"/>
        </w:rPr>
        <w:t>"</w:t>
      </w:r>
    </w:p>
    <w:p w:rsidR="005367A0" w:rsidRPr="00CC548B" w:rsidRDefault="005367A0" w:rsidP="00555FC4">
      <w:pPr>
        <w:pStyle w:val="NoSpacing"/>
        <w:ind w:firstLine="295"/>
        <w:jc w:val="both"/>
      </w:pPr>
    </w:p>
    <w:p w:rsidR="00460358" w:rsidRPr="00555FC4" w:rsidRDefault="00AF481B" w:rsidP="00555FC4">
      <w:pPr>
        <w:pStyle w:val="NoSpacing"/>
        <w:ind w:firstLine="295"/>
        <w:jc w:val="both"/>
        <w:rPr>
          <w:rFonts w:eastAsia="Calibri"/>
          <w:sz w:val="28"/>
          <w:szCs w:val="28"/>
          <w:lang w:eastAsia="en-US"/>
        </w:rPr>
      </w:pPr>
      <w:r>
        <w:rPr>
          <w:rFonts w:eastAsia="Calibri"/>
          <w:sz w:val="28"/>
          <w:szCs w:val="28"/>
          <w:lang w:eastAsia="en-US"/>
        </w:rPr>
        <w:t>5</w:t>
      </w:r>
      <w:r w:rsidR="00B43BC1" w:rsidRPr="00555FC4">
        <w:rPr>
          <w:rFonts w:eastAsia="Calibri"/>
          <w:sz w:val="28"/>
          <w:szCs w:val="28"/>
          <w:lang w:eastAsia="en-US"/>
        </w:rPr>
        <w:t xml:space="preserve">. </w:t>
      </w:r>
      <w:r w:rsidR="00FE2DB5" w:rsidRPr="00555FC4">
        <w:rPr>
          <w:rFonts w:eastAsia="Calibri"/>
          <w:sz w:val="28"/>
          <w:szCs w:val="28"/>
          <w:lang w:eastAsia="en-US"/>
        </w:rPr>
        <w:t xml:space="preserve">Papildināt </w:t>
      </w:r>
      <w:r w:rsidR="00CC548B" w:rsidRPr="00555FC4">
        <w:rPr>
          <w:rFonts w:eastAsia="Calibri"/>
          <w:sz w:val="28"/>
          <w:szCs w:val="28"/>
          <w:lang w:eastAsia="en-US"/>
        </w:rPr>
        <w:t>likumu ar 46.</w:t>
      </w:r>
      <w:r w:rsidR="00A04DF3" w:rsidRPr="00555FC4">
        <w:rPr>
          <w:rFonts w:eastAsia="Calibri"/>
          <w:sz w:val="28"/>
          <w:szCs w:val="28"/>
          <w:lang w:eastAsia="en-US"/>
        </w:rPr>
        <w:t> </w:t>
      </w:r>
      <w:r w:rsidR="00CC548B" w:rsidRPr="00555FC4">
        <w:rPr>
          <w:rFonts w:eastAsia="Calibri"/>
          <w:sz w:val="28"/>
          <w:szCs w:val="28"/>
          <w:lang w:eastAsia="en-US"/>
        </w:rPr>
        <w:t xml:space="preserve">pantu </w:t>
      </w:r>
      <w:r w:rsidR="00EE1CEC" w:rsidRPr="00555FC4">
        <w:rPr>
          <w:rFonts w:eastAsia="Calibri"/>
          <w:sz w:val="28"/>
          <w:szCs w:val="28"/>
          <w:lang w:eastAsia="en-US"/>
        </w:rPr>
        <w:t>šādā redakcijā:</w:t>
      </w:r>
    </w:p>
    <w:p w:rsidR="00CC548B" w:rsidRPr="001D2A48" w:rsidRDefault="001D2A48" w:rsidP="002B1841">
      <w:pPr>
        <w:shd w:val="clear" w:color="auto" w:fill="FFFFFF"/>
        <w:spacing w:after="0" w:line="240" w:lineRule="auto"/>
        <w:ind w:firstLine="295"/>
        <w:jc w:val="both"/>
        <w:rPr>
          <w:sz w:val="28"/>
          <w:szCs w:val="28"/>
        </w:rPr>
      </w:pPr>
      <w:r>
        <w:rPr>
          <w:b/>
          <w:sz w:val="28"/>
          <w:szCs w:val="28"/>
        </w:rPr>
        <w:t>"</w:t>
      </w:r>
      <w:r w:rsidR="00CC548B" w:rsidRPr="001D2A48">
        <w:rPr>
          <w:b/>
          <w:sz w:val="28"/>
          <w:szCs w:val="28"/>
        </w:rPr>
        <w:t>46.</w:t>
      </w:r>
      <w:r w:rsidR="00A04DF3">
        <w:rPr>
          <w:b/>
          <w:sz w:val="28"/>
          <w:szCs w:val="28"/>
        </w:rPr>
        <w:t> </w:t>
      </w:r>
      <w:r w:rsidR="00CC548B" w:rsidRPr="001D2A48">
        <w:rPr>
          <w:b/>
          <w:sz w:val="28"/>
          <w:szCs w:val="28"/>
        </w:rPr>
        <w:t>pants.</w:t>
      </w:r>
      <w:r w:rsidR="00CC548B" w:rsidRPr="001D2A48">
        <w:rPr>
          <w:sz w:val="28"/>
          <w:szCs w:val="28"/>
        </w:rPr>
        <w:t xml:space="preserve"> </w:t>
      </w:r>
      <w:r w:rsidR="00CC548B" w:rsidRPr="001D2A48">
        <w:rPr>
          <w:rFonts w:eastAsia="Times New Roman"/>
          <w:bCs/>
          <w:sz w:val="28"/>
          <w:szCs w:val="28"/>
          <w:lang w:eastAsia="lv-LV"/>
        </w:rPr>
        <w:t xml:space="preserve">(1) </w:t>
      </w:r>
      <w:r w:rsidR="00BC5D9E">
        <w:rPr>
          <w:rFonts w:eastAsia="Times New Roman"/>
          <w:bCs/>
          <w:sz w:val="28"/>
          <w:szCs w:val="28"/>
          <w:lang w:eastAsia="lv-LV"/>
        </w:rPr>
        <w:t xml:space="preserve">Finanšu un kapitāla tirgus </w:t>
      </w:r>
      <w:r w:rsidR="00BC5D9E">
        <w:rPr>
          <w:sz w:val="28"/>
          <w:szCs w:val="28"/>
        </w:rPr>
        <w:t>k</w:t>
      </w:r>
      <w:r w:rsidR="00CC548B" w:rsidRPr="001D2A48">
        <w:rPr>
          <w:sz w:val="28"/>
          <w:szCs w:val="28"/>
        </w:rPr>
        <w:t xml:space="preserve">omisija informāciju par </w:t>
      </w:r>
      <w:r w:rsidR="0017673C">
        <w:rPr>
          <w:sz w:val="28"/>
          <w:szCs w:val="28"/>
        </w:rPr>
        <w:t xml:space="preserve">īstenotajām </w:t>
      </w:r>
      <w:r w:rsidR="00CC548B" w:rsidRPr="001D2A48">
        <w:rPr>
          <w:sz w:val="28"/>
          <w:szCs w:val="28"/>
        </w:rPr>
        <w:t>darbībām un sankcijām, kas personām piemērotas par šā likuma 45.</w:t>
      </w:r>
      <w:r w:rsidR="00A04DF3">
        <w:rPr>
          <w:sz w:val="28"/>
          <w:szCs w:val="28"/>
        </w:rPr>
        <w:t> </w:t>
      </w:r>
      <w:r w:rsidR="00CC548B" w:rsidRPr="001D2A48">
        <w:rPr>
          <w:sz w:val="28"/>
          <w:szCs w:val="28"/>
        </w:rPr>
        <w:t>panta trešajā daļā minētajiem pārkāpumiem, ievieto savā mājaslapā internetā, norādot ziņas par personu un tās izdarīto pārkāpumu, kā arī tās izdotā administratīvā akta apstrīdēšanu un pieņemto nolēmumu.</w:t>
      </w:r>
    </w:p>
    <w:p w:rsidR="00CC548B" w:rsidRPr="001D2A48" w:rsidRDefault="00CC548B" w:rsidP="002B1841">
      <w:pPr>
        <w:spacing w:after="0" w:line="240" w:lineRule="auto"/>
        <w:ind w:firstLine="295"/>
        <w:jc w:val="both"/>
        <w:rPr>
          <w:sz w:val="28"/>
          <w:szCs w:val="28"/>
        </w:rPr>
      </w:pPr>
      <w:r w:rsidRPr="001D2A48">
        <w:rPr>
          <w:sz w:val="28"/>
          <w:szCs w:val="28"/>
        </w:rPr>
        <w:t xml:space="preserve">(2) Šā panta pirmajā daļā minēto informāciju </w:t>
      </w:r>
      <w:r w:rsidR="00BC5D9E">
        <w:rPr>
          <w:rFonts w:eastAsia="Times New Roman"/>
          <w:bCs/>
          <w:sz w:val="28"/>
          <w:szCs w:val="28"/>
          <w:lang w:eastAsia="lv-LV"/>
        </w:rPr>
        <w:t xml:space="preserve">Finanšu un kapitāla tirgus </w:t>
      </w:r>
      <w:r w:rsidR="00BC5D9E">
        <w:rPr>
          <w:sz w:val="28"/>
          <w:szCs w:val="28"/>
        </w:rPr>
        <w:t>k</w:t>
      </w:r>
      <w:r w:rsidRPr="001D2A48">
        <w:rPr>
          <w:sz w:val="28"/>
          <w:szCs w:val="28"/>
        </w:rPr>
        <w:t>omisija var publiskot, neidentificējot personu, ja</w:t>
      </w:r>
      <w:r w:rsidR="005367A0">
        <w:rPr>
          <w:sz w:val="28"/>
          <w:szCs w:val="28"/>
        </w:rPr>
        <w:t xml:space="preserve"> tā</w:t>
      </w:r>
      <w:r w:rsidRPr="001D2A48">
        <w:rPr>
          <w:sz w:val="28"/>
          <w:szCs w:val="28"/>
        </w:rPr>
        <w:t xml:space="preserve"> pēc iepriekšēja </w:t>
      </w:r>
      <w:proofErr w:type="spellStart"/>
      <w:r w:rsidRPr="001D2A48">
        <w:rPr>
          <w:sz w:val="28"/>
          <w:szCs w:val="28"/>
        </w:rPr>
        <w:t>izvērtējuma</w:t>
      </w:r>
      <w:proofErr w:type="spellEnd"/>
      <w:r w:rsidRPr="001D2A48">
        <w:rPr>
          <w:sz w:val="28"/>
          <w:szCs w:val="28"/>
        </w:rPr>
        <w:t xml:space="preserve"> veikšanas konstatē, ka tās personas datu atklāšana, kurai piemērota sankcija vai pasākums, nav samērīga vai fiziskās vai juridiskās personas datu atklāšana var apdraudēt finanšu tirgus stabilitāti vai uzsākta kriminālprocesa norisi vai radīt nesamērīgu kaitējumu iesaistītajām personām.</w:t>
      </w:r>
    </w:p>
    <w:p w:rsidR="00CC548B" w:rsidRPr="001D2A48" w:rsidRDefault="00CC548B" w:rsidP="002B1841">
      <w:pPr>
        <w:spacing w:after="0" w:line="240" w:lineRule="auto"/>
        <w:ind w:firstLine="295"/>
        <w:jc w:val="both"/>
        <w:rPr>
          <w:sz w:val="28"/>
          <w:szCs w:val="28"/>
        </w:rPr>
      </w:pPr>
      <w:r w:rsidRPr="001D2A48">
        <w:rPr>
          <w:sz w:val="28"/>
          <w:szCs w:val="28"/>
        </w:rPr>
        <w:t>(3) Šā panta pirmajā daļā minēto informāciju par šā likuma 45.</w:t>
      </w:r>
      <w:r w:rsidR="00A04DF3">
        <w:rPr>
          <w:sz w:val="28"/>
          <w:szCs w:val="28"/>
        </w:rPr>
        <w:t> </w:t>
      </w:r>
      <w:r w:rsidRPr="001D2A48">
        <w:rPr>
          <w:sz w:val="28"/>
          <w:szCs w:val="28"/>
        </w:rPr>
        <w:t xml:space="preserve">panta trešajā daļā minētajām sankcijām un uzraudzības pasākumiem </w:t>
      </w:r>
      <w:r w:rsidR="00BC5D9E">
        <w:rPr>
          <w:rFonts w:eastAsia="Times New Roman"/>
          <w:bCs/>
          <w:sz w:val="28"/>
          <w:szCs w:val="28"/>
          <w:lang w:eastAsia="lv-LV"/>
        </w:rPr>
        <w:t xml:space="preserve">Finanšu un kapitāla tirgus </w:t>
      </w:r>
      <w:r w:rsidR="00BC5D9E">
        <w:rPr>
          <w:sz w:val="28"/>
          <w:szCs w:val="28"/>
        </w:rPr>
        <w:t>k</w:t>
      </w:r>
      <w:r w:rsidRPr="001D2A48">
        <w:rPr>
          <w:sz w:val="28"/>
          <w:szCs w:val="28"/>
        </w:rPr>
        <w:t xml:space="preserve">omisija </w:t>
      </w:r>
      <w:r w:rsidRPr="001D2A48">
        <w:rPr>
          <w:sz w:val="28"/>
          <w:szCs w:val="28"/>
        </w:rPr>
        <w:lastRenderedPageBreak/>
        <w:t xml:space="preserve">var nepubliskot, ja pēc iepriekšēja </w:t>
      </w:r>
      <w:proofErr w:type="spellStart"/>
      <w:r w:rsidRPr="001D2A48">
        <w:rPr>
          <w:sz w:val="28"/>
          <w:szCs w:val="28"/>
        </w:rPr>
        <w:t>izvērtējuma</w:t>
      </w:r>
      <w:proofErr w:type="spellEnd"/>
      <w:r w:rsidRPr="001D2A48">
        <w:rPr>
          <w:sz w:val="28"/>
          <w:szCs w:val="28"/>
        </w:rPr>
        <w:t xml:space="preserve"> veikšanas </w:t>
      </w:r>
      <w:r w:rsidR="00A04DF3">
        <w:rPr>
          <w:sz w:val="28"/>
          <w:szCs w:val="28"/>
        </w:rPr>
        <w:t xml:space="preserve">tā </w:t>
      </w:r>
      <w:r w:rsidRPr="001D2A48">
        <w:rPr>
          <w:sz w:val="28"/>
          <w:szCs w:val="28"/>
        </w:rPr>
        <w:t>konstatē, ka publicēšana apdraudētu finanšu tirgus stabilitāti</w:t>
      </w:r>
      <w:r w:rsidR="002B1841">
        <w:rPr>
          <w:sz w:val="28"/>
          <w:szCs w:val="28"/>
        </w:rPr>
        <w:t>,</w:t>
      </w:r>
      <w:r w:rsidR="00A04DF3">
        <w:rPr>
          <w:sz w:val="28"/>
          <w:szCs w:val="28"/>
        </w:rPr>
        <w:t xml:space="preserve"> </w:t>
      </w:r>
      <w:r w:rsidRPr="001D2A48">
        <w:rPr>
          <w:sz w:val="28"/>
          <w:szCs w:val="28"/>
        </w:rPr>
        <w:t>vai uzsākta kriminālprocesa norisi</w:t>
      </w:r>
      <w:r w:rsidR="002B1841">
        <w:rPr>
          <w:sz w:val="28"/>
          <w:szCs w:val="28"/>
        </w:rPr>
        <w:t>,</w:t>
      </w:r>
      <w:r w:rsidRPr="001D2A48">
        <w:rPr>
          <w:sz w:val="28"/>
          <w:szCs w:val="28"/>
        </w:rPr>
        <w:t xml:space="preserve"> vai šādas informācijas publicēšana nav samērīga ar izdarīto pārkāpumu.</w:t>
      </w:r>
    </w:p>
    <w:p w:rsidR="00CC548B" w:rsidRPr="001D2A48" w:rsidRDefault="00CC548B" w:rsidP="002B1841">
      <w:pPr>
        <w:spacing w:after="0" w:line="240" w:lineRule="auto"/>
        <w:ind w:firstLine="295"/>
        <w:jc w:val="both"/>
        <w:rPr>
          <w:sz w:val="28"/>
          <w:szCs w:val="28"/>
        </w:rPr>
      </w:pPr>
      <w:r w:rsidRPr="001D2A48">
        <w:rPr>
          <w:sz w:val="28"/>
          <w:szCs w:val="28"/>
        </w:rPr>
        <w:t>(4) Ja paredzams, ka šā panta otrajā vai trešajā daļā minētie apstākļi saprātīgā laikposmā var izbeigties, šā panta pirmajā daļā minētās informācijas publiskošanu var atlikt uz šādu laikposmu.</w:t>
      </w:r>
    </w:p>
    <w:p w:rsidR="00CC548B" w:rsidRPr="001D2A48" w:rsidRDefault="00CC548B" w:rsidP="002B1841">
      <w:pPr>
        <w:spacing w:after="0" w:line="240" w:lineRule="auto"/>
        <w:ind w:firstLine="295"/>
        <w:jc w:val="both"/>
        <w:rPr>
          <w:sz w:val="28"/>
          <w:szCs w:val="28"/>
        </w:rPr>
      </w:pPr>
      <w:r w:rsidRPr="001D2A48">
        <w:rPr>
          <w:sz w:val="28"/>
          <w:szCs w:val="28"/>
        </w:rPr>
        <w:t xml:space="preserve">(5) Šajā pantā noteiktajā kārtībā </w:t>
      </w:r>
      <w:r w:rsidR="00BC5D9E">
        <w:rPr>
          <w:rFonts w:eastAsia="Times New Roman"/>
          <w:bCs/>
          <w:sz w:val="28"/>
          <w:szCs w:val="28"/>
          <w:lang w:eastAsia="lv-LV"/>
        </w:rPr>
        <w:t xml:space="preserve">Finanšu un kapitāla tirgus </w:t>
      </w:r>
      <w:r w:rsidR="00BC5D9E">
        <w:rPr>
          <w:sz w:val="28"/>
          <w:szCs w:val="28"/>
        </w:rPr>
        <w:t>k</w:t>
      </w:r>
      <w:r w:rsidRPr="001D2A48">
        <w:rPr>
          <w:sz w:val="28"/>
          <w:szCs w:val="28"/>
        </w:rPr>
        <w:t>omisijas mājaslapā internetā ievietotā informācija ir pieejama piecus gadus no tās ievietošanas dienas.</w:t>
      </w:r>
    </w:p>
    <w:p w:rsidR="00E330CD" w:rsidRDefault="00CC548B" w:rsidP="002B1841">
      <w:pPr>
        <w:pStyle w:val="tv213"/>
        <w:spacing w:before="0" w:beforeAutospacing="0" w:after="0" w:afterAutospacing="0"/>
        <w:ind w:firstLine="295"/>
        <w:jc w:val="both"/>
        <w:rPr>
          <w:sz w:val="28"/>
          <w:szCs w:val="28"/>
        </w:rPr>
      </w:pPr>
      <w:r w:rsidRPr="00CC548B">
        <w:rPr>
          <w:sz w:val="28"/>
          <w:szCs w:val="28"/>
        </w:rPr>
        <w:t xml:space="preserve">(6) </w:t>
      </w:r>
      <w:r w:rsidR="00BC5D9E">
        <w:rPr>
          <w:bCs/>
          <w:sz w:val="28"/>
          <w:szCs w:val="28"/>
        </w:rPr>
        <w:t xml:space="preserve">Finanšu un kapitāla tirgus </w:t>
      </w:r>
      <w:r w:rsidR="00BC5D9E">
        <w:rPr>
          <w:sz w:val="28"/>
          <w:szCs w:val="28"/>
        </w:rPr>
        <w:t>k</w:t>
      </w:r>
      <w:r w:rsidRPr="00CC548B">
        <w:rPr>
          <w:sz w:val="28"/>
          <w:szCs w:val="28"/>
        </w:rPr>
        <w:t>omisija informē Eiropas Apdrošināšanas un aroda pensiju iestādi par sankcijām un pasākumiem, kas piemēroti par šā likuma 45.</w:t>
      </w:r>
      <w:r w:rsidR="00A04DF3">
        <w:rPr>
          <w:sz w:val="28"/>
          <w:szCs w:val="28"/>
        </w:rPr>
        <w:t> </w:t>
      </w:r>
      <w:r w:rsidRPr="00CC548B">
        <w:rPr>
          <w:sz w:val="28"/>
          <w:szCs w:val="28"/>
        </w:rPr>
        <w:t>panta trešajā daļā minētajiem pārkāpumiem</w:t>
      </w:r>
      <w:r w:rsidR="00E330CD" w:rsidRPr="00CC548B">
        <w:rPr>
          <w:sz w:val="28"/>
          <w:szCs w:val="28"/>
        </w:rPr>
        <w:t>."</w:t>
      </w:r>
    </w:p>
    <w:p w:rsidR="00C12712" w:rsidRDefault="00C12712" w:rsidP="002B1841">
      <w:pPr>
        <w:pStyle w:val="tv213"/>
        <w:spacing w:before="0" w:beforeAutospacing="0" w:after="0" w:afterAutospacing="0"/>
        <w:ind w:firstLine="295"/>
        <w:jc w:val="both"/>
        <w:rPr>
          <w:sz w:val="28"/>
          <w:szCs w:val="28"/>
        </w:rPr>
      </w:pPr>
    </w:p>
    <w:p w:rsidR="00C12712" w:rsidRDefault="00AF481B" w:rsidP="002B1841">
      <w:pPr>
        <w:pStyle w:val="tv213"/>
        <w:spacing w:before="0" w:beforeAutospacing="0" w:after="0" w:afterAutospacing="0"/>
        <w:ind w:firstLine="295"/>
        <w:jc w:val="both"/>
        <w:rPr>
          <w:sz w:val="28"/>
          <w:szCs w:val="28"/>
        </w:rPr>
      </w:pPr>
      <w:r>
        <w:rPr>
          <w:sz w:val="28"/>
          <w:szCs w:val="28"/>
        </w:rPr>
        <w:t>6</w:t>
      </w:r>
      <w:r w:rsidR="00C12712">
        <w:rPr>
          <w:sz w:val="28"/>
          <w:szCs w:val="28"/>
        </w:rPr>
        <w:t>.Pārejas noteikumos:</w:t>
      </w:r>
    </w:p>
    <w:p w:rsidR="00FD6675" w:rsidRPr="00FD6675" w:rsidRDefault="00FD6675" w:rsidP="00FD6675">
      <w:pPr>
        <w:pStyle w:val="tv213"/>
        <w:spacing w:before="0" w:beforeAutospacing="0" w:after="0" w:afterAutospacing="0"/>
        <w:ind w:firstLine="295"/>
        <w:jc w:val="both"/>
        <w:rPr>
          <w:sz w:val="28"/>
          <w:szCs w:val="28"/>
        </w:rPr>
      </w:pPr>
      <w:r w:rsidRPr="00FD6675">
        <w:rPr>
          <w:sz w:val="28"/>
          <w:szCs w:val="28"/>
        </w:rPr>
        <w:t>papildināt pārejas noteikumus ar 20. punktu šādā redakcijā:</w:t>
      </w:r>
    </w:p>
    <w:p w:rsidR="00FD6675" w:rsidRPr="00FD6675" w:rsidRDefault="00FD6675" w:rsidP="00FD6675">
      <w:pPr>
        <w:pStyle w:val="tv213"/>
        <w:spacing w:before="0" w:beforeAutospacing="0" w:after="0" w:afterAutospacing="0"/>
        <w:ind w:firstLine="295"/>
        <w:jc w:val="both"/>
        <w:rPr>
          <w:sz w:val="28"/>
          <w:szCs w:val="28"/>
        </w:rPr>
      </w:pPr>
      <w:r w:rsidRPr="00FD6675">
        <w:rPr>
          <w:sz w:val="28"/>
          <w:szCs w:val="28"/>
        </w:rPr>
        <w:t>"20. Grozījumi šā likuma 1. panta otrajā daļā,</w:t>
      </w:r>
      <w:r w:rsidR="00D248DF">
        <w:rPr>
          <w:sz w:val="28"/>
          <w:szCs w:val="28"/>
        </w:rPr>
        <w:t xml:space="preserve"> 45. panta trešā un ceturtā daļa</w:t>
      </w:r>
      <w:r w:rsidRPr="00FD6675">
        <w:rPr>
          <w:sz w:val="28"/>
          <w:szCs w:val="28"/>
        </w:rPr>
        <w:t>, 46. pants, stājas spēkā 2018. gada 1. janvārī."</w:t>
      </w:r>
    </w:p>
    <w:p w:rsidR="00356ABD" w:rsidRPr="00EE5D23" w:rsidRDefault="00356ABD" w:rsidP="005367A0">
      <w:pPr>
        <w:spacing w:after="0" w:line="240" w:lineRule="auto"/>
        <w:ind w:left="426"/>
        <w:jc w:val="both"/>
        <w:rPr>
          <w:sz w:val="28"/>
        </w:rPr>
      </w:pPr>
    </w:p>
    <w:p w:rsidR="00136728" w:rsidRDefault="00136728">
      <w:pPr>
        <w:pStyle w:val="ListParagraph"/>
        <w:tabs>
          <w:tab w:val="right" w:pos="8931"/>
        </w:tabs>
        <w:spacing w:after="0" w:line="240" w:lineRule="auto"/>
        <w:jc w:val="both"/>
        <w:rPr>
          <w:sz w:val="28"/>
          <w:szCs w:val="28"/>
        </w:rPr>
      </w:pPr>
    </w:p>
    <w:p w:rsidR="00B14631" w:rsidRDefault="00B14631">
      <w:pPr>
        <w:pStyle w:val="ListParagraph"/>
        <w:tabs>
          <w:tab w:val="right" w:pos="8931"/>
        </w:tabs>
        <w:spacing w:after="0" w:line="240" w:lineRule="auto"/>
        <w:jc w:val="both"/>
        <w:rPr>
          <w:sz w:val="28"/>
          <w:szCs w:val="28"/>
        </w:rPr>
      </w:pPr>
      <w:r>
        <w:rPr>
          <w:sz w:val="28"/>
          <w:szCs w:val="28"/>
        </w:rPr>
        <w:t>Finanšu ministre</w:t>
      </w:r>
      <w:r>
        <w:rPr>
          <w:sz w:val="28"/>
          <w:szCs w:val="28"/>
        </w:rPr>
        <w:tab/>
        <w:t>D.</w:t>
      </w:r>
      <w:r w:rsidR="005367A0">
        <w:rPr>
          <w:sz w:val="28"/>
          <w:szCs w:val="28"/>
        </w:rPr>
        <w:t> </w:t>
      </w:r>
      <w:r>
        <w:rPr>
          <w:sz w:val="28"/>
          <w:szCs w:val="28"/>
        </w:rPr>
        <w:t>Reizniece-Ozola</w:t>
      </w:r>
    </w:p>
    <w:p w:rsidR="00B14631" w:rsidRDefault="00B14631">
      <w:pPr>
        <w:pStyle w:val="ListParagraph"/>
        <w:tabs>
          <w:tab w:val="right" w:pos="8931"/>
        </w:tabs>
        <w:spacing w:after="0" w:line="240" w:lineRule="auto"/>
        <w:jc w:val="both"/>
        <w:rPr>
          <w:sz w:val="28"/>
          <w:szCs w:val="28"/>
        </w:rPr>
      </w:pPr>
    </w:p>
    <w:p w:rsidR="00F95238" w:rsidRPr="00B27820" w:rsidRDefault="00B27820">
      <w:pPr>
        <w:pStyle w:val="naisf"/>
        <w:spacing w:before="0" w:after="0"/>
        <w:ind w:firstLine="0"/>
      </w:pPr>
      <w:r>
        <w:tab/>
      </w:r>
    </w:p>
    <w:sectPr w:rsidR="00F95238" w:rsidRPr="00B27820" w:rsidSect="005A790D">
      <w:headerReference w:type="default" r:id="rId9"/>
      <w:footerReference w:type="default" r:id="rId10"/>
      <w:headerReference w:type="first" r:id="rId11"/>
      <w:footerReference w:type="first" r:id="rId12"/>
      <w:pgSz w:w="11906" w:h="16838"/>
      <w:pgMar w:top="1417" w:right="1134"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0B" w:rsidRDefault="00A8690B" w:rsidP="00033857">
      <w:pPr>
        <w:spacing w:after="0" w:line="240" w:lineRule="auto"/>
      </w:pPr>
      <w:r>
        <w:separator/>
      </w:r>
    </w:p>
  </w:endnote>
  <w:endnote w:type="continuationSeparator" w:id="0">
    <w:p w:rsidR="00A8690B" w:rsidRDefault="00A8690B" w:rsidP="0003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charset w:val="00"/>
    <w:family w:val="roman"/>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28" w:rsidRDefault="00136728" w:rsidP="00136728">
    <w:pPr>
      <w:pStyle w:val="Footer"/>
    </w:pPr>
    <w:r>
      <w:rPr>
        <w:sz w:val="20"/>
        <w:szCs w:val="20"/>
      </w:rPr>
      <w:t>FMLik_2710</w:t>
    </w:r>
    <w:r w:rsidRPr="006F34FB">
      <w:rPr>
        <w:sz w:val="20"/>
        <w:szCs w:val="20"/>
      </w:rPr>
      <w:t>16_APSDL</w:t>
    </w:r>
  </w:p>
  <w:p w:rsidR="00B94C9C" w:rsidRPr="00136728" w:rsidRDefault="00B94C9C" w:rsidP="00136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9C" w:rsidRDefault="00136728">
    <w:pPr>
      <w:pStyle w:val="Footer"/>
    </w:pPr>
    <w:r>
      <w:rPr>
        <w:sz w:val="20"/>
        <w:szCs w:val="20"/>
      </w:rPr>
      <w:t>FMLik_2710</w:t>
    </w:r>
    <w:r w:rsidR="00B94C9C" w:rsidRPr="006F34FB">
      <w:rPr>
        <w:sz w:val="20"/>
        <w:szCs w:val="20"/>
      </w:rPr>
      <w:t>16_APSDL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0B" w:rsidRDefault="00A8690B" w:rsidP="00033857">
      <w:pPr>
        <w:spacing w:after="0" w:line="240" w:lineRule="auto"/>
      </w:pPr>
      <w:r>
        <w:separator/>
      </w:r>
    </w:p>
  </w:footnote>
  <w:footnote w:type="continuationSeparator" w:id="0">
    <w:p w:rsidR="00A8690B" w:rsidRDefault="00A8690B" w:rsidP="0003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283813"/>
      <w:docPartObj>
        <w:docPartGallery w:val="Page Numbers (Top of Page)"/>
        <w:docPartUnique/>
      </w:docPartObj>
    </w:sdtPr>
    <w:sdtEndPr>
      <w:rPr>
        <w:noProof/>
      </w:rPr>
    </w:sdtEndPr>
    <w:sdtContent>
      <w:p w:rsidR="005A790D" w:rsidRDefault="005A790D">
        <w:pPr>
          <w:pStyle w:val="Header"/>
          <w:jc w:val="center"/>
        </w:pPr>
        <w:r>
          <w:fldChar w:fldCharType="begin"/>
        </w:r>
        <w:r>
          <w:instrText xml:space="preserve"> PAGE   \* MERGEFORMAT </w:instrText>
        </w:r>
        <w:r>
          <w:fldChar w:fldCharType="separate"/>
        </w:r>
        <w:r w:rsidR="00CB2BF9">
          <w:rPr>
            <w:noProof/>
          </w:rPr>
          <w:t>3</w:t>
        </w:r>
        <w:r>
          <w:rPr>
            <w:noProof/>
          </w:rPr>
          <w:fldChar w:fldCharType="end"/>
        </w:r>
      </w:p>
    </w:sdtContent>
  </w:sdt>
  <w:p w:rsidR="00B94C9C" w:rsidRDefault="00B94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0D" w:rsidRDefault="005A790D">
    <w:pPr>
      <w:pStyle w:val="Header"/>
      <w:jc w:val="center"/>
    </w:pPr>
  </w:p>
  <w:p w:rsidR="005A790D" w:rsidRDefault="005A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59A2"/>
    <w:multiLevelType w:val="hybridMultilevel"/>
    <w:tmpl w:val="1EF87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4109CA"/>
    <w:multiLevelType w:val="hybridMultilevel"/>
    <w:tmpl w:val="3CF4A84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1A6A4C"/>
    <w:multiLevelType w:val="hybridMultilevel"/>
    <w:tmpl w:val="CBB2DFE8"/>
    <w:lvl w:ilvl="0" w:tplc="5DD4F5D6">
      <w:start w:val="1"/>
      <w:numFmt w:val="decimal"/>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56D5D88"/>
    <w:multiLevelType w:val="hybridMultilevel"/>
    <w:tmpl w:val="E1F03ACC"/>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6BA43A0"/>
    <w:multiLevelType w:val="hybridMultilevel"/>
    <w:tmpl w:val="07407FD0"/>
    <w:lvl w:ilvl="0" w:tplc="DDFE0A32">
      <w:start w:val="1"/>
      <w:numFmt w:val="decimal"/>
      <w:lvlText w:val="%1."/>
      <w:lvlJc w:val="left"/>
      <w:pPr>
        <w:ind w:left="1121" w:hanging="539"/>
      </w:pPr>
      <w:rPr>
        <w:rFonts w:hint="default"/>
        <w:b w:val="0"/>
        <w:sz w:val="28"/>
        <w:szCs w:val="28"/>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5">
    <w:nsid w:val="3C2E7AB3"/>
    <w:multiLevelType w:val="hybridMultilevel"/>
    <w:tmpl w:val="07407FD0"/>
    <w:lvl w:ilvl="0" w:tplc="DDFE0A32">
      <w:start w:val="1"/>
      <w:numFmt w:val="decimal"/>
      <w:lvlText w:val="%1."/>
      <w:lvlJc w:val="left"/>
      <w:pPr>
        <w:ind w:left="1121" w:hanging="539"/>
      </w:pPr>
      <w:rPr>
        <w:rFonts w:hint="default"/>
        <w:b w:val="0"/>
        <w:sz w:val="28"/>
        <w:szCs w:val="28"/>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6">
    <w:nsid w:val="479E3152"/>
    <w:multiLevelType w:val="hybridMultilevel"/>
    <w:tmpl w:val="EADC86E2"/>
    <w:lvl w:ilvl="0" w:tplc="D2A0F058">
      <w:start w:val="7"/>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67B6697"/>
    <w:multiLevelType w:val="hybridMultilevel"/>
    <w:tmpl w:val="07407FD0"/>
    <w:lvl w:ilvl="0" w:tplc="DDFE0A32">
      <w:start w:val="1"/>
      <w:numFmt w:val="decimal"/>
      <w:lvlText w:val="%1."/>
      <w:lvlJc w:val="left"/>
      <w:pPr>
        <w:ind w:left="1121" w:hanging="539"/>
      </w:pPr>
      <w:rPr>
        <w:rFonts w:hint="default"/>
        <w:b w:val="0"/>
        <w:sz w:val="28"/>
        <w:szCs w:val="28"/>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8">
    <w:nsid w:val="56B82098"/>
    <w:multiLevelType w:val="hybridMultilevel"/>
    <w:tmpl w:val="E1F03ACC"/>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750F6C"/>
    <w:multiLevelType w:val="hybridMultilevel"/>
    <w:tmpl w:val="9A3C9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5870294"/>
    <w:multiLevelType w:val="hybridMultilevel"/>
    <w:tmpl w:val="D7CAFA9A"/>
    <w:lvl w:ilvl="0" w:tplc="6C3EDD8A">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9"/>
  </w:num>
  <w:num w:numId="8">
    <w:abstractNumId w:val="0"/>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92"/>
    <w:rsid w:val="00001439"/>
    <w:rsid w:val="00002A6F"/>
    <w:rsid w:val="00004065"/>
    <w:rsid w:val="00005444"/>
    <w:rsid w:val="000135A1"/>
    <w:rsid w:val="00013943"/>
    <w:rsid w:val="00021475"/>
    <w:rsid w:val="0003110F"/>
    <w:rsid w:val="00033857"/>
    <w:rsid w:val="000446B1"/>
    <w:rsid w:val="00050DE8"/>
    <w:rsid w:val="00051E92"/>
    <w:rsid w:val="000654D6"/>
    <w:rsid w:val="00066F3A"/>
    <w:rsid w:val="0008416E"/>
    <w:rsid w:val="000925B2"/>
    <w:rsid w:val="00093CE2"/>
    <w:rsid w:val="000A0370"/>
    <w:rsid w:val="000D5D35"/>
    <w:rsid w:val="000F5977"/>
    <w:rsid w:val="00100947"/>
    <w:rsid w:val="00103961"/>
    <w:rsid w:val="001103EE"/>
    <w:rsid w:val="00110701"/>
    <w:rsid w:val="00117C16"/>
    <w:rsid w:val="00124BDA"/>
    <w:rsid w:val="001259C5"/>
    <w:rsid w:val="00134249"/>
    <w:rsid w:val="00136728"/>
    <w:rsid w:val="001535E5"/>
    <w:rsid w:val="00162EEA"/>
    <w:rsid w:val="0017673C"/>
    <w:rsid w:val="00192AD7"/>
    <w:rsid w:val="001C5B16"/>
    <w:rsid w:val="001D1EEB"/>
    <w:rsid w:val="001D2A48"/>
    <w:rsid w:val="001D528F"/>
    <w:rsid w:val="001D68C8"/>
    <w:rsid w:val="001D6DCD"/>
    <w:rsid w:val="001E009A"/>
    <w:rsid w:val="001F1406"/>
    <w:rsid w:val="001F540C"/>
    <w:rsid w:val="0020707F"/>
    <w:rsid w:val="002171C2"/>
    <w:rsid w:val="00221D70"/>
    <w:rsid w:val="0023345C"/>
    <w:rsid w:val="00235FEB"/>
    <w:rsid w:val="002577BC"/>
    <w:rsid w:val="0028494C"/>
    <w:rsid w:val="002A6596"/>
    <w:rsid w:val="002B1841"/>
    <w:rsid w:val="002B5DA9"/>
    <w:rsid w:val="002C3C32"/>
    <w:rsid w:val="002D6FEC"/>
    <w:rsid w:val="002E6912"/>
    <w:rsid w:val="00310824"/>
    <w:rsid w:val="00315C22"/>
    <w:rsid w:val="00317C90"/>
    <w:rsid w:val="00354444"/>
    <w:rsid w:val="00356ABD"/>
    <w:rsid w:val="00415886"/>
    <w:rsid w:val="00434137"/>
    <w:rsid w:val="00437DC0"/>
    <w:rsid w:val="0044107B"/>
    <w:rsid w:val="004450E2"/>
    <w:rsid w:val="00460358"/>
    <w:rsid w:val="004721FF"/>
    <w:rsid w:val="004764B7"/>
    <w:rsid w:val="00486509"/>
    <w:rsid w:val="004C46BD"/>
    <w:rsid w:val="004C79F1"/>
    <w:rsid w:val="004D795E"/>
    <w:rsid w:val="00507EB4"/>
    <w:rsid w:val="00517DA8"/>
    <w:rsid w:val="005367A0"/>
    <w:rsid w:val="005421F6"/>
    <w:rsid w:val="00542E68"/>
    <w:rsid w:val="00555FC4"/>
    <w:rsid w:val="0056613A"/>
    <w:rsid w:val="00582EBD"/>
    <w:rsid w:val="005A31B5"/>
    <w:rsid w:val="005A4D98"/>
    <w:rsid w:val="005A790D"/>
    <w:rsid w:val="005C35C7"/>
    <w:rsid w:val="005E3DF1"/>
    <w:rsid w:val="005F1001"/>
    <w:rsid w:val="00615DA9"/>
    <w:rsid w:val="00617A76"/>
    <w:rsid w:val="00645402"/>
    <w:rsid w:val="00653DD5"/>
    <w:rsid w:val="006752DF"/>
    <w:rsid w:val="006C2FD1"/>
    <w:rsid w:val="006E696D"/>
    <w:rsid w:val="006E7B86"/>
    <w:rsid w:val="006E7EE9"/>
    <w:rsid w:val="006F34FB"/>
    <w:rsid w:val="006F63BD"/>
    <w:rsid w:val="007244F3"/>
    <w:rsid w:val="00731DF6"/>
    <w:rsid w:val="00753636"/>
    <w:rsid w:val="00771653"/>
    <w:rsid w:val="00795903"/>
    <w:rsid w:val="007A1712"/>
    <w:rsid w:val="007A7CB9"/>
    <w:rsid w:val="007B2E5D"/>
    <w:rsid w:val="007D2254"/>
    <w:rsid w:val="007E2E91"/>
    <w:rsid w:val="007F60D1"/>
    <w:rsid w:val="00813F7D"/>
    <w:rsid w:val="0082242D"/>
    <w:rsid w:val="00832FE0"/>
    <w:rsid w:val="008510BC"/>
    <w:rsid w:val="008526A0"/>
    <w:rsid w:val="00860E2C"/>
    <w:rsid w:val="00881D01"/>
    <w:rsid w:val="008A7E44"/>
    <w:rsid w:val="008B0BC9"/>
    <w:rsid w:val="008B176E"/>
    <w:rsid w:val="008C0AC8"/>
    <w:rsid w:val="008C3A22"/>
    <w:rsid w:val="008D4008"/>
    <w:rsid w:val="008D4EF1"/>
    <w:rsid w:val="0091414C"/>
    <w:rsid w:val="009166F5"/>
    <w:rsid w:val="009206C5"/>
    <w:rsid w:val="00920F45"/>
    <w:rsid w:val="00932D3A"/>
    <w:rsid w:val="009347DD"/>
    <w:rsid w:val="0093723A"/>
    <w:rsid w:val="0098509D"/>
    <w:rsid w:val="009909B2"/>
    <w:rsid w:val="009E4773"/>
    <w:rsid w:val="00A04DF3"/>
    <w:rsid w:val="00A12F89"/>
    <w:rsid w:val="00A26874"/>
    <w:rsid w:val="00A350DB"/>
    <w:rsid w:val="00A42171"/>
    <w:rsid w:val="00A42A0F"/>
    <w:rsid w:val="00A430C2"/>
    <w:rsid w:val="00A476EE"/>
    <w:rsid w:val="00A542F0"/>
    <w:rsid w:val="00A5601A"/>
    <w:rsid w:val="00A57BA8"/>
    <w:rsid w:val="00A644E7"/>
    <w:rsid w:val="00A837C5"/>
    <w:rsid w:val="00A8690B"/>
    <w:rsid w:val="00AA77AB"/>
    <w:rsid w:val="00AD28AB"/>
    <w:rsid w:val="00AE3862"/>
    <w:rsid w:val="00AE64D1"/>
    <w:rsid w:val="00AF38CF"/>
    <w:rsid w:val="00AF481B"/>
    <w:rsid w:val="00B01CAF"/>
    <w:rsid w:val="00B14631"/>
    <w:rsid w:val="00B27820"/>
    <w:rsid w:val="00B36467"/>
    <w:rsid w:val="00B43BC1"/>
    <w:rsid w:val="00B47BE6"/>
    <w:rsid w:val="00B578A4"/>
    <w:rsid w:val="00B61331"/>
    <w:rsid w:val="00B70AE4"/>
    <w:rsid w:val="00B73004"/>
    <w:rsid w:val="00B7449D"/>
    <w:rsid w:val="00B75447"/>
    <w:rsid w:val="00B94C9C"/>
    <w:rsid w:val="00BC5D9E"/>
    <w:rsid w:val="00BD43F1"/>
    <w:rsid w:val="00BE33C6"/>
    <w:rsid w:val="00BF2C77"/>
    <w:rsid w:val="00BF3CC9"/>
    <w:rsid w:val="00BF4302"/>
    <w:rsid w:val="00C12712"/>
    <w:rsid w:val="00C2213A"/>
    <w:rsid w:val="00C36AB8"/>
    <w:rsid w:val="00C44FA6"/>
    <w:rsid w:val="00C71EE7"/>
    <w:rsid w:val="00C75627"/>
    <w:rsid w:val="00C75759"/>
    <w:rsid w:val="00C934FB"/>
    <w:rsid w:val="00C953B1"/>
    <w:rsid w:val="00C96485"/>
    <w:rsid w:val="00CB1B06"/>
    <w:rsid w:val="00CB2BF9"/>
    <w:rsid w:val="00CB7B7B"/>
    <w:rsid w:val="00CC53C4"/>
    <w:rsid w:val="00CC548B"/>
    <w:rsid w:val="00CE0A3B"/>
    <w:rsid w:val="00D07416"/>
    <w:rsid w:val="00D21CFD"/>
    <w:rsid w:val="00D248DF"/>
    <w:rsid w:val="00D6477B"/>
    <w:rsid w:val="00D64A05"/>
    <w:rsid w:val="00D7037B"/>
    <w:rsid w:val="00DA4119"/>
    <w:rsid w:val="00DB4A85"/>
    <w:rsid w:val="00DC0050"/>
    <w:rsid w:val="00DC0265"/>
    <w:rsid w:val="00DF6D13"/>
    <w:rsid w:val="00E15F24"/>
    <w:rsid w:val="00E251F0"/>
    <w:rsid w:val="00E30365"/>
    <w:rsid w:val="00E330CD"/>
    <w:rsid w:val="00E529CD"/>
    <w:rsid w:val="00E55522"/>
    <w:rsid w:val="00E60C35"/>
    <w:rsid w:val="00E70D58"/>
    <w:rsid w:val="00E771A2"/>
    <w:rsid w:val="00E8002E"/>
    <w:rsid w:val="00E96B04"/>
    <w:rsid w:val="00EB589E"/>
    <w:rsid w:val="00EC4B71"/>
    <w:rsid w:val="00EC58F3"/>
    <w:rsid w:val="00EE1CEC"/>
    <w:rsid w:val="00EE3AA7"/>
    <w:rsid w:val="00EE5D23"/>
    <w:rsid w:val="00EF58CD"/>
    <w:rsid w:val="00F149CF"/>
    <w:rsid w:val="00F1540E"/>
    <w:rsid w:val="00F30449"/>
    <w:rsid w:val="00F54A30"/>
    <w:rsid w:val="00F56E02"/>
    <w:rsid w:val="00F84CF0"/>
    <w:rsid w:val="00F9017E"/>
    <w:rsid w:val="00F90A89"/>
    <w:rsid w:val="00F95238"/>
    <w:rsid w:val="00FB66E6"/>
    <w:rsid w:val="00FC62E7"/>
    <w:rsid w:val="00FD52B6"/>
    <w:rsid w:val="00FD549C"/>
    <w:rsid w:val="00FD6675"/>
    <w:rsid w:val="00FE2DB5"/>
    <w:rsid w:val="00FF4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05CC9-37B7-42F4-B955-7717198D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E92"/>
    <w:pPr>
      <w:spacing w:after="12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E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E92"/>
    <w:rPr>
      <w:rFonts w:ascii="Times New Roman" w:eastAsia="Calibri" w:hAnsi="Times New Roman" w:cs="Times New Roman"/>
      <w:sz w:val="24"/>
    </w:rPr>
  </w:style>
  <w:style w:type="paragraph" w:styleId="ListParagraph">
    <w:name w:val="List Paragraph"/>
    <w:basedOn w:val="Normal"/>
    <w:uiPriority w:val="99"/>
    <w:qFormat/>
    <w:rsid w:val="00051E92"/>
    <w:pPr>
      <w:ind w:left="720"/>
      <w:contextualSpacing/>
    </w:pPr>
  </w:style>
  <w:style w:type="paragraph" w:customStyle="1" w:styleId="CM1">
    <w:name w:val="CM1"/>
    <w:basedOn w:val="Normal"/>
    <w:next w:val="Normal"/>
    <w:uiPriority w:val="99"/>
    <w:rsid w:val="00051E92"/>
    <w:pPr>
      <w:autoSpaceDE w:val="0"/>
      <w:autoSpaceDN w:val="0"/>
      <w:adjustRightInd w:val="0"/>
      <w:spacing w:after="0" w:line="240" w:lineRule="auto"/>
    </w:pPr>
    <w:rPr>
      <w:rFonts w:ascii="EUAlbertina" w:hAnsi="EUAlbertina"/>
      <w:szCs w:val="24"/>
    </w:rPr>
  </w:style>
  <w:style w:type="character" w:customStyle="1" w:styleId="apple-converted-space">
    <w:name w:val="apple-converted-space"/>
    <w:basedOn w:val="DefaultParagraphFont"/>
    <w:rsid w:val="00051E92"/>
  </w:style>
  <w:style w:type="character" w:styleId="Hyperlink">
    <w:name w:val="Hyperlink"/>
    <w:uiPriority w:val="99"/>
    <w:rsid w:val="00051E92"/>
    <w:rPr>
      <w:color w:val="0000FF"/>
      <w:u w:val="single"/>
    </w:rPr>
  </w:style>
  <w:style w:type="paragraph" w:styleId="NoSpacing">
    <w:name w:val="No Spacing"/>
    <w:uiPriority w:val="1"/>
    <w:qFormat/>
    <w:rsid w:val="00051E92"/>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F2C77"/>
    <w:rPr>
      <w:sz w:val="16"/>
      <w:szCs w:val="16"/>
    </w:rPr>
  </w:style>
  <w:style w:type="paragraph" w:styleId="CommentText">
    <w:name w:val="annotation text"/>
    <w:basedOn w:val="Normal"/>
    <w:link w:val="CommentTextChar"/>
    <w:uiPriority w:val="99"/>
    <w:unhideWhenUsed/>
    <w:rsid w:val="00BF2C77"/>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2C77"/>
    <w:rPr>
      <w:sz w:val="20"/>
      <w:szCs w:val="20"/>
    </w:rPr>
  </w:style>
  <w:style w:type="paragraph" w:styleId="BalloonText">
    <w:name w:val="Balloon Text"/>
    <w:basedOn w:val="Normal"/>
    <w:link w:val="BalloonTextChar"/>
    <w:uiPriority w:val="99"/>
    <w:semiHidden/>
    <w:unhideWhenUsed/>
    <w:rsid w:val="00BF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77"/>
    <w:rPr>
      <w:rFonts w:ascii="Tahoma" w:eastAsia="Calibri" w:hAnsi="Tahoma" w:cs="Tahoma"/>
      <w:sz w:val="16"/>
      <w:szCs w:val="16"/>
    </w:rPr>
  </w:style>
  <w:style w:type="paragraph" w:customStyle="1" w:styleId="Normal1">
    <w:name w:val="Normal1"/>
    <w:basedOn w:val="Normal"/>
    <w:rsid w:val="00437DC0"/>
    <w:pPr>
      <w:spacing w:before="100" w:beforeAutospacing="1" w:after="100" w:afterAutospacing="1" w:line="240" w:lineRule="auto"/>
    </w:pPr>
    <w:rPr>
      <w:rFonts w:eastAsia="Times New Roman"/>
      <w:szCs w:val="24"/>
      <w:lang w:eastAsia="lv-LV"/>
    </w:rPr>
  </w:style>
  <w:style w:type="paragraph" w:styleId="CommentSubject">
    <w:name w:val="annotation subject"/>
    <w:basedOn w:val="CommentText"/>
    <w:next w:val="CommentText"/>
    <w:link w:val="CommentSubjectChar"/>
    <w:uiPriority w:val="99"/>
    <w:semiHidden/>
    <w:unhideWhenUsed/>
    <w:rsid w:val="00EC4B71"/>
    <w:pPr>
      <w:spacing w:after="12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EC4B71"/>
    <w:rPr>
      <w:rFonts w:ascii="Times New Roman" w:eastAsia="Calibri" w:hAnsi="Times New Roman" w:cs="Times New Roman"/>
      <w:b/>
      <w:bCs/>
      <w:sz w:val="20"/>
      <w:szCs w:val="20"/>
    </w:rPr>
  </w:style>
  <w:style w:type="paragraph" w:customStyle="1" w:styleId="tv213">
    <w:name w:val="tv213"/>
    <w:basedOn w:val="Normal"/>
    <w:rsid w:val="00DA4119"/>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FC62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2E7"/>
    <w:rPr>
      <w:rFonts w:ascii="Times New Roman" w:eastAsia="Calibri" w:hAnsi="Times New Roman" w:cs="Times New Roman"/>
      <w:sz w:val="24"/>
    </w:rPr>
  </w:style>
  <w:style w:type="paragraph" w:customStyle="1" w:styleId="naisf">
    <w:name w:val="naisf"/>
    <w:basedOn w:val="Normal"/>
    <w:rsid w:val="001E009A"/>
    <w:pPr>
      <w:spacing w:before="75" w:after="75" w:line="240" w:lineRule="auto"/>
      <w:ind w:firstLine="375"/>
      <w:jc w:val="both"/>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426-kreditiestaz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DEB12-4759-479D-9676-5CCE410F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4001</Words>
  <Characters>2282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Apdrošināšanas un pārapdrošināšanas starpnieku darbības likumā</vt:lpstr>
    </vt:vector>
  </TitlesOfParts>
  <Company>Finanšu ministrija</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Apdrošināšanas un pārapdrošināšanas starpnieku darbības likumā</dc:title>
  <dc:subject>Likumprojekts</dc:subject>
  <dc:creator>Aivis Hammers</dc:creator>
  <dc:description>67095441, aivis.hammers@fm.gov.lv</dc:description>
  <cp:lastModifiedBy>Aivis Hammers</cp:lastModifiedBy>
  <cp:revision>4</cp:revision>
  <cp:lastPrinted>2016-07-27T08:13:00Z</cp:lastPrinted>
  <dcterms:created xsi:type="dcterms:W3CDTF">2017-03-09T12:30:00Z</dcterms:created>
  <dcterms:modified xsi:type="dcterms:W3CDTF">2017-03-14T07:59:00Z</dcterms:modified>
</cp:coreProperties>
</file>