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0621C" w14:textId="77777777" w:rsidR="00590B68" w:rsidRPr="007041AA" w:rsidRDefault="00590B68">
      <w:pPr>
        <w:jc w:val="center"/>
        <w:rPr>
          <w:b/>
          <w:sz w:val="20"/>
          <w:szCs w:val="20"/>
        </w:rPr>
      </w:pPr>
    </w:p>
    <w:p w14:paraId="5A5B1A77" w14:textId="77777777" w:rsidR="000036F6" w:rsidRPr="00144B4F" w:rsidRDefault="004524FF">
      <w:pPr>
        <w:jc w:val="center"/>
        <w:rPr>
          <w:b/>
          <w:szCs w:val="28"/>
        </w:rPr>
      </w:pPr>
      <w:r w:rsidRPr="00144B4F">
        <w:rPr>
          <w:b/>
          <w:szCs w:val="28"/>
        </w:rPr>
        <w:t xml:space="preserve">INFORMATĪVAIS </w:t>
      </w:r>
      <w:r w:rsidR="00EB2C4F" w:rsidRPr="00144B4F">
        <w:rPr>
          <w:b/>
          <w:szCs w:val="28"/>
        </w:rPr>
        <w:t xml:space="preserve"> ZIŅOJUMS</w:t>
      </w:r>
      <w:r w:rsidR="00EB2C4F" w:rsidRPr="00144B4F">
        <w:rPr>
          <w:b/>
          <w:szCs w:val="28"/>
        </w:rPr>
        <w:tab/>
      </w:r>
    </w:p>
    <w:p w14:paraId="74131FDE" w14:textId="77777777" w:rsidR="000036F6" w:rsidRPr="00144B4F" w:rsidRDefault="004524FF" w:rsidP="00C83A99">
      <w:pPr>
        <w:spacing w:before="120" w:after="120"/>
        <w:jc w:val="center"/>
        <w:rPr>
          <w:b/>
          <w:szCs w:val="28"/>
        </w:rPr>
      </w:pPr>
      <w:r w:rsidRPr="00144B4F">
        <w:rPr>
          <w:b/>
          <w:szCs w:val="28"/>
        </w:rPr>
        <w:t>P</w:t>
      </w:r>
      <w:r w:rsidR="00EB2C4F" w:rsidRPr="00144B4F">
        <w:rPr>
          <w:b/>
          <w:szCs w:val="28"/>
        </w:rPr>
        <w:t xml:space="preserve">ar </w:t>
      </w:r>
      <w:r w:rsidR="008D24CD" w:rsidRPr="00144B4F">
        <w:rPr>
          <w:b/>
          <w:szCs w:val="28"/>
        </w:rPr>
        <w:t>nekustamā īpašuma</w:t>
      </w:r>
      <w:r w:rsidR="00EB2C4F" w:rsidRPr="00144B4F">
        <w:rPr>
          <w:b/>
          <w:szCs w:val="28"/>
        </w:rPr>
        <w:t xml:space="preserve"> nodokļa </w:t>
      </w:r>
      <w:r w:rsidR="008D24CD" w:rsidRPr="00144B4F">
        <w:rPr>
          <w:b/>
          <w:szCs w:val="28"/>
        </w:rPr>
        <w:t>atcelšanu vienīgajam īpašumam</w:t>
      </w:r>
    </w:p>
    <w:p w14:paraId="1CBA8348" w14:textId="77777777" w:rsidR="008D24CD" w:rsidRDefault="008D24CD">
      <w:pPr>
        <w:jc w:val="center"/>
        <w:rPr>
          <w:szCs w:val="28"/>
        </w:rPr>
      </w:pPr>
    </w:p>
    <w:p w14:paraId="3A4B2FE8" w14:textId="77777777" w:rsidR="008D24CD" w:rsidRPr="00144B4F" w:rsidRDefault="00144B4F" w:rsidP="0035161D">
      <w:pPr>
        <w:jc w:val="both"/>
        <w:rPr>
          <w:szCs w:val="28"/>
        </w:rPr>
      </w:pPr>
      <w:r w:rsidRPr="00144B4F">
        <w:rPr>
          <w:szCs w:val="28"/>
        </w:rPr>
        <w:tab/>
        <w:t>Informatīvais ziņojums ir izstrādāts, pamatojoties uz Ministru prezidenta 2016.gada 1.jūlija rezolūciju Nr.12/2016-JUR-118, ar kuru Finanšu ministrijai ir uzdots sagatavot un noteiktā kārtībā iesniegt Ministru kabinetā Saeimas 2016.gada 16.jūnija paziņojumā “Par 10 496 Latvijas pilsoņu kolektīvā iesnieguma “Par nekustamā īpašuma nodokļa atcelšanu vienīgajam īpašumam” turpmāko virzību” minēto informatīvo ziņojumu, attiecīgi nodrošinot Ministru kabinetam dotā uzdevuma izpildi.</w:t>
      </w:r>
    </w:p>
    <w:p w14:paraId="7179AD72" w14:textId="77777777" w:rsidR="008D24CD" w:rsidRDefault="00144B4F" w:rsidP="00022CDB">
      <w:pPr>
        <w:ind w:firstLine="720"/>
        <w:jc w:val="both"/>
        <w:rPr>
          <w:szCs w:val="28"/>
        </w:rPr>
      </w:pPr>
      <w:r w:rsidRPr="00144B4F">
        <w:rPr>
          <w:szCs w:val="28"/>
        </w:rPr>
        <w:t xml:space="preserve">Saeimas 2016.gada 16.jūnija paziņojumā “Par 10 496 Latvijas pilsoņu kolektīvā iesnieguma “Par nekustamā īpašuma nodokļa atcelšanu vienīgajam īpašumam” turpmāko virzību” </w:t>
      </w:r>
      <w:r>
        <w:rPr>
          <w:szCs w:val="28"/>
        </w:rPr>
        <w:t xml:space="preserve">ir teikts, ka </w:t>
      </w:r>
      <w:r w:rsidR="009F7577" w:rsidRPr="009F7577">
        <w:rPr>
          <w:szCs w:val="28"/>
        </w:rPr>
        <w:t>Saeima šā gada 16.jūnija sēdē nolēmusi, pamatojoties uz 10 496 Latvijas pilsoņu kolektīvo</w:t>
      </w:r>
      <w:r w:rsidR="00022CDB">
        <w:rPr>
          <w:szCs w:val="28"/>
        </w:rPr>
        <w:t xml:space="preserve"> </w:t>
      </w:r>
      <w:r w:rsidR="009F7577" w:rsidRPr="009F7577">
        <w:rPr>
          <w:szCs w:val="28"/>
        </w:rPr>
        <w:t xml:space="preserve">iesniegumu Saeimai </w:t>
      </w:r>
      <w:r w:rsidR="00022CDB">
        <w:rPr>
          <w:szCs w:val="28"/>
        </w:rPr>
        <w:t>“</w:t>
      </w:r>
      <w:r w:rsidR="009F7577" w:rsidRPr="009F7577">
        <w:rPr>
          <w:szCs w:val="28"/>
        </w:rPr>
        <w:t>Par nekustamā īpašuma nodokļa atcelšanu vienīgajam īpašumam</w:t>
      </w:r>
      <w:r w:rsidR="00022CDB">
        <w:rPr>
          <w:szCs w:val="28"/>
        </w:rPr>
        <w:t>”</w:t>
      </w:r>
      <w:r w:rsidR="009F7577" w:rsidRPr="009F7577">
        <w:rPr>
          <w:szCs w:val="28"/>
        </w:rPr>
        <w:t>, uzdot Ministru kabinetam</w:t>
      </w:r>
      <w:r w:rsidR="00022CDB">
        <w:rPr>
          <w:szCs w:val="28"/>
        </w:rPr>
        <w:t xml:space="preserve"> </w:t>
      </w:r>
      <w:r w:rsidR="009F7577" w:rsidRPr="009F7577">
        <w:rPr>
          <w:szCs w:val="28"/>
        </w:rPr>
        <w:t>sagatavot un iesniegt Saeimai informatīvu ziņojumu par iespējām izdarīt grozījumus</w:t>
      </w:r>
      <w:r w:rsidR="00022CDB">
        <w:rPr>
          <w:szCs w:val="28"/>
        </w:rPr>
        <w:t xml:space="preserve"> </w:t>
      </w:r>
      <w:r w:rsidR="009F7577" w:rsidRPr="009F7577">
        <w:rPr>
          <w:szCs w:val="28"/>
        </w:rPr>
        <w:t>normatīvajos aktos, lai īstenotu principus, kas ļautu nekustamā īpašuma nodokli vienīgajam īpašumam nepiemērot</w:t>
      </w:r>
      <w:r w:rsidR="00022CDB">
        <w:rPr>
          <w:szCs w:val="28"/>
        </w:rPr>
        <w:t xml:space="preserve"> </w:t>
      </w:r>
      <w:r w:rsidR="009F7577" w:rsidRPr="009F7577">
        <w:rPr>
          <w:szCs w:val="28"/>
        </w:rPr>
        <w:t>vai arī piemērot vienoto samazināto procentu likmi no nekustamā īpašuma vērtības.</w:t>
      </w:r>
    </w:p>
    <w:p w14:paraId="63FFEA45" w14:textId="77777777" w:rsidR="00DD50BE" w:rsidRDefault="00CE3442" w:rsidP="00022CDB">
      <w:pPr>
        <w:ind w:firstLine="720"/>
        <w:jc w:val="both"/>
        <w:rPr>
          <w:szCs w:val="28"/>
        </w:rPr>
      </w:pPr>
      <w:r w:rsidRPr="00CE3442">
        <w:rPr>
          <w:szCs w:val="28"/>
        </w:rPr>
        <w:t>Latvijas pilsoņu kolektīv</w:t>
      </w:r>
      <w:r>
        <w:rPr>
          <w:szCs w:val="28"/>
        </w:rPr>
        <w:t>ais</w:t>
      </w:r>
      <w:r w:rsidRPr="00CE3442">
        <w:rPr>
          <w:szCs w:val="28"/>
        </w:rPr>
        <w:t xml:space="preserve"> iesniegum</w:t>
      </w:r>
      <w:r>
        <w:rPr>
          <w:szCs w:val="28"/>
        </w:rPr>
        <w:t>s</w:t>
      </w:r>
      <w:r w:rsidRPr="00CE3442">
        <w:rPr>
          <w:szCs w:val="28"/>
        </w:rPr>
        <w:t xml:space="preserve"> Saeimai </w:t>
      </w:r>
      <w:r w:rsidR="00F15F79">
        <w:rPr>
          <w:szCs w:val="28"/>
        </w:rPr>
        <w:t>tika iesniegts</w:t>
      </w:r>
      <w:r>
        <w:rPr>
          <w:szCs w:val="28"/>
        </w:rPr>
        <w:t xml:space="preserve"> pamatojoties uz interneta vietnē </w:t>
      </w:r>
      <w:r w:rsidR="00DD50BE" w:rsidRPr="00DD50BE">
        <w:rPr>
          <w:szCs w:val="28"/>
        </w:rPr>
        <w:t>“Manabalss.lv” ierosināt</w:t>
      </w:r>
      <w:r w:rsidR="00221585">
        <w:rPr>
          <w:szCs w:val="28"/>
        </w:rPr>
        <w:t>o</w:t>
      </w:r>
      <w:r w:rsidR="00DD50BE" w:rsidRPr="00DD50BE">
        <w:rPr>
          <w:szCs w:val="28"/>
        </w:rPr>
        <w:t xml:space="preserve"> sabiedrības iniciatīv</w:t>
      </w:r>
      <w:r w:rsidR="00221585">
        <w:rPr>
          <w:szCs w:val="28"/>
        </w:rPr>
        <w:t>u</w:t>
      </w:r>
      <w:r w:rsidR="00DD50BE" w:rsidRPr="00DD50BE">
        <w:rPr>
          <w:szCs w:val="28"/>
        </w:rPr>
        <w:t xml:space="preserve"> par nekustamā īpašuma nodokļa atcelšanu vienīgajam īpašumam. Ar šo iniciatīvu </w:t>
      </w:r>
      <w:r w:rsidR="00F15F79">
        <w:rPr>
          <w:szCs w:val="28"/>
        </w:rPr>
        <w:t>tika</w:t>
      </w:r>
      <w:r w:rsidR="00DD50BE" w:rsidRPr="00DD50BE">
        <w:rPr>
          <w:szCs w:val="28"/>
        </w:rPr>
        <w:t xml:space="preserve"> ierosināts atcelt nekustamā īpašuma nodokli vienīgajam īpašumam – dzīvesvietai, proti, nekustamā īpašuma nodokli vienīgajam īpa</w:t>
      </w:r>
      <w:r w:rsidR="00DD50BE">
        <w:rPr>
          <w:szCs w:val="28"/>
        </w:rPr>
        <w:t>šumam nepiemēro vai piemēro 0,1</w:t>
      </w:r>
      <w:r w:rsidR="00DD50BE" w:rsidRPr="00DD50BE">
        <w:rPr>
          <w:szCs w:val="28"/>
        </w:rPr>
        <w:t>% likmes apmērā no nekustamā īpašuma vērtības, bet par papildu esošajiem īpašumiem, kas kalpo par ienākuma avotu, piemē</w:t>
      </w:r>
      <w:r w:rsidR="00DD50BE">
        <w:rPr>
          <w:szCs w:val="28"/>
        </w:rPr>
        <w:t>rot nodokļu likmi secībā no 0,1% līdz 1,5</w:t>
      </w:r>
      <w:r w:rsidR="00DD50BE" w:rsidRPr="00DD50BE">
        <w:rPr>
          <w:szCs w:val="28"/>
        </w:rPr>
        <w:t>%. Tas nozīmētu, ka Latvijas iedzīvotāju vienīgajam vai pirmajam īpašumam, kas kalpo par īpašnieka dzīvesvietu, netiek piemērots nekustamā īpašuma nodoklis, bet, ja ir divi vai vairāki īpašumi, tad par katru nākamo piemēro nekustamā īpašuma nodokli ar no</w:t>
      </w:r>
      <w:r w:rsidR="00DD50BE">
        <w:rPr>
          <w:szCs w:val="28"/>
        </w:rPr>
        <w:t>dokļa likmi no 0,1% līdz 0,6</w:t>
      </w:r>
      <w:r w:rsidR="00DD50BE" w:rsidRPr="00DD50BE">
        <w:rPr>
          <w:szCs w:val="28"/>
        </w:rPr>
        <w:t>%. Savukārt rūpnieciskajiem īpašumiem, tirdzniecības centriem, ofisa ēkām u.c. īpašumiem, kas nes peļņu īpašniekam, piem</w:t>
      </w:r>
      <w:r w:rsidR="00DD50BE">
        <w:rPr>
          <w:szCs w:val="28"/>
        </w:rPr>
        <w:t>ēro nodokļu likmi no 1% līdz 1,5</w:t>
      </w:r>
      <w:r w:rsidR="00DD50BE" w:rsidRPr="00DD50BE">
        <w:rPr>
          <w:szCs w:val="28"/>
        </w:rPr>
        <w:t>% no kadastrālās vērtības.</w:t>
      </w:r>
    </w:p>
    <w:p w14:paraId="6BCB3CA5" w14:textId="77777777" w:rsidR="00566AAB" w:rsidRDefault="00566AAB" w:rsidP="00022CDB">
      <w:pPr>
        <w:ind w:firstLine="720"/>
        <w:jc w:val="both"/>
        <w:rPr>
          <w:szCs w:val="28"/>
        </w:rPr>
      </w:pPr>
    </w:p>
    <w:p w14:paraId="6EE26F23" w14:textId="77777777" w:rsidR="00566AAB" w:rsidRPr="00F5417A" w:rsidRDefault="00456BA0" w:rsidP="00022CDB">
      <w:pPr>
        <w:ind w:firstLine="720"/>
        <w:jc w:val="both"/>
        <w:rPr>
          <w:b/>
          <w:szCs w:val="28"/>
        </w:rPr>
      </w:pPr>
      <w:r>
        <w:rPr>
          <w:b/>
          <w:szCs w:val="28"/>
        </w:rPr>
        <w:t>1</w:t>
      </w:r>
      <w:r w:rsidR="005D135B" w:rsidRPr="00F5417A">
        <w:rPr>
          <w:b/>
          <w:szCs w:val="28"/>
        </w:rPr>
        <w:t>. Pašreizējās situācijas un problēmas apraksts</w:t>
      </w:r>
    </w:p>
    <w:p w14:paraId="7FCE92D0" w14:textId="77777777" w:rsidR="0087195C" w:rsidRDefault="002F2105" w:rsidP="0087195C">
      <w:pPr>
        <w:ind w:firstLine="709"/>
        <w:jc w:val="both"/>
        <w:rPr>
          <w:szCs w:val="28"/>
        </w:rPr>
      </w:pPr>
      <w:r w:rsidRPr="002F2105">
        <w:rPr>
          <w:szCs w:val="28"/>
        </w:rPr>
        <w:t>Pēdējo</w:t>
      </w:r>
      <w:r>
        <w:rPr>
          <w:szCs w:val="28"/>
        </w:rPr>
        <w:t xml:space="preserve"> gadu laikā aktualizējies jautājums par būtisku nekustamā īpašuma nodokļa sloga pieaugumu. Tādējādi Latvijas pilsoņu kolekt</w:t>
      </w:r>
      <w:r w:rsidR="00F07DB1">
        <w:rPr>
          <w:szCs w:val="28"/>
        </w:rPr>
        <w:t xml:space="preserve">īvais iesniegums Saeimai iesniegts kā </w:t>
      </w:r>
      <w:r w:rsidR="00DD50BE">
        <w:rPr>
          <w:szCs w:val="28"/>
        </w:rPr>
        <w:t xml:space="preserve">iespējamais </w:t>
      </w:r>
      <w:r w:rsidR="00F07DB1">
        <w:rPr>
          <w:szCs w:val="28"/>
        </w:rPr>
        <w:t xml:space="preserve">risinājums nekustamā īpašuma nodokļa sloga pieauguma problēmai. </w:t>
      </w:r>
      <w:r w:rsidR="00172E9F">
        <w:rPr>
          <w:szCs w:val="28"/>
        </w:rPr>
        <w:t>L</w:t>
      </w:r>
      <w:r w:rsidR="00F07DB1">
        <w:rPr>
          <w:szCs w:val="28"/>
        </w:rPr>
        <w:t>ai izvērtētu</w:t>
      </w:r>
      <w:r w:rsidR="00D43DD5">
        <w:rPr>
          <w:szCs w:val="28"/>
        </w:rPr>
        <w:t xml:space="preserve">, vai iespējams </w:t>
      </w:r>
      <w:r w:rsidR="00172E9F">
        <w:rPr>
          <w:szCs w:val="28"/>
        </w:rPr>
        <w:t xml:space="preserve">īstenot </w:t>
      </w:r>
      <w:r w:rsidR="00D43DD5">
        <w:rPr>
          <w:szCs w:val="28"/>
        </w:rPr>
        <w:t xml:space="preserve">kolektīvajā iesniegumā piedāvāto risinājumu – atcelt nekustamā īpašuma nodokli vienīgajam īpašumam, kā arī to, </w:t>
      </w:r>
      <w:r w:rsidR="00172E9F">
        <w:rPr>
          <w:szCs w:val="28"/>
        </w:rPr>
        <w:t xml:space="preserve">vai šādi tiks sasniegts labākais rezultāts, </w:t>
      </w:r>
      <w:r w:rsidR="00027BC7">
        <w:rPr>
          <w:szCs w:val="28"/>
        </w:rPr>
        <w:t>šajā nodaļā</w:t>
      </w:r>
      <w:r w:rsidR="00A20C32">
        <w:rPr>
          <w:szCs w:val="28"/>
        </w:rPr>
        <w:t xml:space="preserve"> tiek:</w:t>
      </w:r>
    </w:p>
    <w:p w14:paraId="32E33491" w14:textId="77777777" w:rsidR="00A20C32" w:rsidRPr="0087195C" w:rsidRDefault="003E5E3B" w:rsidP="0087195C">
      <w:pPr>
        <w:pStyle w:val="ListParagraph"/>
        <w:numPr>
          <w:ilvl w:val="0"/>
          <w:numId w:val="27"/>
        </w:numPr>
        <w:jc w:val="both"/>
        <w:rPr>
          <w:szCs w:val="28"/>
        </w:rPr>
      </w:pPr>
      <w:r w:rsidRPr="0087195C">
        <w:rPr>
          <w:szCs w:val="28"/>
        </w:rPr>
        <w:t>sniegta informācija par</w:t>
      </w:r>
      <w:r w:rsidR="00A20C32" w:rsidRPr="0087195C">
        <w:rPr>
          <w:szCs w:val="28"/>
        </w:rPr>
        <w:t xml:space="preserve"> pašreiz spēkā esoš</w:t>
      </w:r>
      <w:r w:rsidRPr="0087195C">
        <w:rPr>
          <w:szCs w:val="28"/>
        </w:rPr>
        <w:t>o</w:t>
      </w:r>
      <w:r w:rsidR="00A20C32" w:rsidRPr="0087195C">
        <w:rPr>
          <w:szCs w:val="28"/>
        </w:rPr>
        <w:t xml:space="preserve"> normatīv</w:t>
      </w:r>
      <w:r w:rsidRPr="0087195C">
        <w:rPr>
          <w:szCs w:val="28"/>
        </w:rPr>
        <w:t>o</w:t>
      </w:r>
      <w:r w:rsidR="00A20C32" w:rsidRPr="0087195C">
        <w:rPr>
          <w:szCs w:val="28"/>
        </w:rPr>
        <w:t xml:space="preserve"> regulējum</w:t>
      </w:r>
      <w:r w:rsidRPr="0087195C">
        <w:rPr>
          <w:szCs w:val="28"/>
        </w:rPr>
        <w:t>u</w:t>
      </w:r>
      <w:r w:rsidR="003727B5" w:rsidRPr="0087195C">
        <w:rPr>
          <w:szCs w:val="28"/>
        </w:rPr>
        <w:t xml:space="preserve"> un pašvaldību tiesībām īstenot nekustamā īpašuma nodokļa politiku savā teritorijā</w:t>
      </w:r>
      <w:r w:rsidR="00A20C32" w:rsidRPr="0087195C">
        <w:rPr>
          <w:szCs w:val="28"/>
        </w:rPr>
        <w:t>;</w:t>
      </w:r>
    </w:p>
    <w:p w14:paraId="51647405" w14:textId="77777777" w:rsidR="00A20C32" w:rsidRDefault="003E5E3B" w:rsidP="00A20C32">
      <w:pPr>
        <w:pStyle w:val="ListParagraph"/>
        <w:numPr>
          <w:ilvl w:val="0"/>
          <w:numId w:val="27"/>
        </w:numPr>
        <w:jc w:val="both"/>
        <w:rPr>
          <w:szCs w:val="28"/>
        </w:rPr>
      </w:pPr>
      <w:r>
        <w:rPr>
          <w:szCs w:val="28"/>
        </w:rPr>
        <w:lastRenderedPageBreak/>
        <w:t>sniegta informācija par pašvaldību finanšu izlīdzināšanu, ņemot vērā, ka nekustamā īpašuma nodokļa ieņēmumi ir pašvaldību finanšu izlīdzināšanas sistēmas sastāvdaļa;</w:t>
      </w:r>
    </w:p>
    <w:p w14:paraId="15C3B963" w14:textId="77777777" w:rsidR="003E5E3B" w:rsidRDefault="003E5E3B" w:rsidP="00A20C32">
      <w:pPr>
        <w:pStyle w:val="ListParagraph"/>
        <w:numPr>
          <w:ilvl w:val="0"/>
          <w:numId w:val="27"/>
        </w:numPr>
        <w:jc w:val="both"/>
        <w:rPr>
          <w:szCs w:val="28"/>
        </w:rPr>
      </w:pPr>
      <w:r>
        <w:rPr>
          <w:szCs w:val="28"/>
        </w:rPr>
        <w:t xml:space="preserve">aplūkoti citi </w:t>
      </w:r>
      <w:r w:rsidR="009320CF">
        <w:rPr>
          <w:szCs w:val="28"/>
        </w:rPr>
        <w:t>pašvaldību rīcībā esošie instrumenti, lai risinātu ar mājokļiem saistīto problemātiku;</w:t>
      </w:r>
    </w:p>
    <w:p w14:paraId="10ABCF14" w14:textId="77777777" w:rsidR="009320CF" w:rsidRPr="00A20C32" w:rsidRDefault="009320CF" w:rsidP="00A20C32">
      <w:pPr>
        <w:pStyle w:val="ListParagraph"/>
        <w:numPr>
          <w:ilvl w:val="0"/>
          <w:numId w:val="27"/>
        </w:numPr>
        <w:jc w:val="both"/>
        <w:rPr>
          <w:szCs w:val="28"/>
        </w:rPr>
      </w:pPr>
      <w:r>
        <w:rPr>
          <w:szCs w:val="28"/>
        </w:rPr>
        <w:t>analizēt</w:t>
      </w:r>
      <w:r w:rsidR="000B59E9">
        <w:rPr>
          <w:szCs w:val="28"/>
        </w:rPr>
        <w:t>i</w:t>
      </w:r>
      <w:r>
        <w:rPr>
          <w:szCs w:val="28"/>
        </w:rPr>
        <w:t xml:space="preserve"> nekustamā īpašuma </w:t>
      </w:r>
      <w:r w:rsidR="000B59E9">
        <w:rPr>
          <w:szCs w:val="28"/>
        </w:rPr>
        <w:t xml:space="preserve">nodokļa </w:t>
      </w:r>
      <w:r>
        <w:rPr>
          <w:szCs w:val="28"/>
        </w:rPr>
        <w:t>sloga pieauguma cēloņi.</w:t>
      </w:r>
    </w:p>
    <w:p w14:paraId="2A33EA04" w14:textId="77777777" w:rsidR="00F07DB1" w:rsidRPr="002F2105" w:rsidRDefault="00F07DB1" w:rsidP="002F2105">
      <w:pPr>
        <w:ind w:firstLine="709"/>
        <w:rPr>
          <w:szCs w:val="28"/>
        </w:rPr>
      </w:pPr>
    </w:p>
    <w:p w14:paraId="24A55453" w14:textId="77777777" w:rsidR="000036F6" w:rsidRPr="00456BA0" w:rsidRDefault="009A438B" w:rsidP="00456BA0">
      <w:pPr>
        <w:pStyle w:val="ListParagraph"/>
        <w:numPr>
          <w:ilvl w:val="1"/>
          <w:numId w:val="30"/>
        </w:numPr>
        <w:jc w:val="both"/>
        <w:rPr>
          <w:b/>
          <w:szCs w:val="28"/>
        </w:rPr>
      </w:pPr>
      <w:r w:rsidRPr="00456BA0">
        <w:rPr>
          <w:b/>
          <w:szCs w:val="28"/>
        </w:rPr>
        <w:t>Pašreiz spēkā esošais normatīvais regulējums</w:t>
      </w:r>
    </w:p>
    <w:p w14:paraId="75A0C8D2" w14:textId="77777777" w:rsidR="00F86791" w:rsidRPr="00F86791" w:rsidRDefault="00F86791" w:rsidP="00F86791">
      <w:pPr>
        <w:widowControl w:val="0"/>
        <w:tabs>
          <w:tab w:val="left" w:pos="6740"/>
        </w:tabs>
        <w:suppressAutoHyphens w:val="0"/>
        <w:autoSpaceDN/>
        <w:ind w:firstLine="709"/>
        <w:jc w:val="both"/>
        <w:textAlignment w:val="auto"/>
        <w:rPr>
          <w:szCs w:val="28"/>
        </w:rPr>
      </w:pPr>
      <w:r>
        <w:rPr>
          <w:szCs w:val="28"/>
        </w:rPr>
        <w:t>N</w:t>
      </w:r>
      <w:r w:rsidRPr="00F86791">
        <w:rPr>
          <w:szCs w:val="28"/>
        </w:rPr>
        <w:t xml:space="preserve">ekustamā īpašuma nodokļa slogs veidojas no </w:t>
      </w:r>
      <w:r w:rsidR="000B232C">
        <w:rPr>
          <w:szCs w:val="28"/>
        </w:rPr>
        <w:t xml:space="preserve">četru </w:t>
      </w:r>
      <w:r w:rsidRPr="00F86791">
        <w:rPr>
          <w:szCs w:val="28"/>
        </w:rPr>
        <w:t xml:space="preserve">šādu </w:t>
      </w:r>
      <w:r>
        <w:rPr>
          <w:szCs w:val="28"/>
        </w:rPr>
        <w:t xml:space="preserve">elementu savstarpējās </w:t>
      </w:r>
      <w:r w:rsidRPr="00F86791">
        <w:rPr>
          <w:szCs w:val="28"/>
        </w:rPr>
        <w:t>mijiedarbības:</w:t>
      </w:r>
    </w:p>
    <w:p w14:paraId="344503DF" w14:textId="77777777" w:rsidR="00F86791" w:rsidRPr="00F86791" w:rsidRDefault="00F86791" w:rsidP="00F86791">
      <w:pPr>
        <w:widowControl w:val="0"/>
        <w:tabs>
          <w:tab w:val="left" w:pos="6740"/>
        </w:tabs>
        <w:suppressAutoHyphens w:val="0"/>
        <w:autoSpaceDN/>
        <w:ind w:firstLine="709"/>
        <w:jc w:val="both"/>
        <w:textAlignment w:val="auto"/>
        <w:rPr>
          <w:szCs w:val="28"/>
        </w:rPr>
      </w:pPr>
      <w:r w:rsidRPr="00F86791">
        <w:rPr>
          <w:szCs w:val="28"/>
        </w:rPr>
        <w:t>1) nodokļa bāzes, kas ir nekustamā īpašuma kadastrālā vērtība un kuru nosaka Valsts zemes dienests;</w:t>
      </w:r>
    </w:p>
    <w:p w14:paraId="56B244EC" w14:textId="77777777" w:rsidR="00F86791" w:rsidRDefault="00F86791" w:rsidP="00F86791">
      <w:pPr>
        <w:widowControl w:val="0"/>
        <w:tabs>
          <w:tab w:val="left" w:pos="6740"/>
        </w:tabs>
        <w:suppressAutoHyphens w:val="0"/>
        <w:autoSpaceDN/>
        <w:ind w:firstLine="709"/>
        <w:jc w:val="both"/>
        <w:textAlignment w:val="auto"/>
        <w:rPr>
          <w:szCs w:val="28"/>
        </w:rPr>
      </w:pPr>
      <w:r w:rsidRPr="00F86791">
        <w:rPr>
          <w:szCs w:val="28"/>
        </w:rPr>
        <w:t xml:space="preserve">2) nodokļa likmes, kuru nosaka atbilstoši likumam “Par nekustamā īpašuma nodokli” vai atbilstoši pašvaldības saistošajiem noteikumiem; </w:t>
      </w:r>
    </w:p>
    <w:p w14:paraId="100AF372" w14:textId="77777777" w:rsidR="000B232C" w:rsidRPr="00F86791" w:rsidRDefault="000B232C" w:rsidP="00F86791">
      <w:pPr>
        <w:widowControl w:val="0"/>
        <w:tabs>
          <w:tab w:val="left" w:pos="6740"/>
        </w:tabs>
        <w:suppressAutoHyphens w:val="0"/>
        <w:autoSpaceDN/>
        <w:ind w:firstLine="709"/>
        <w:jc w:val="both"/>
        <w:textAlignment w:val="auto"/>
        <w:rPr>
          <w:szCs w:val="28"/>
        </w:rPr>
      </w:pPr>
      <w:r>
        <w:rPr>
          <w:szCs w:val="28"/>
        </w:rPr>
        <w:t xml:space="preserve">3) </w:t>
      </w:r>
      <w:r w:rsidRPr="000B232C">
        <w:rPr>
          <w:szCs w:val="28"/>
        </w:rPr>
        <w:t>nodokļa atbrīvojumiem, kuri ir noteikti likumā “Par nekustamā īpašuma nodokli”;</w:t>
      </w:r>
    </w:p>
    <w:p w14:paraId="0F2A0A80" w14:textId="77777777" w:rsidR="00F86791" w:rsidRPr="00F86791" w:rsidRDefault="00F05C72" w:rsidP="00F86791">
      <w:pPr>
        <w:widowControl w:val="0"/>
        <w:tabs>
          <w:tab w:val="left" w:pos="6740"/>
        </w:tabs>
        <w:suppressAutoHyphens w:val="0"/>
        <w:autoSpaceDN/>
        <w:ind w:firstLine="709"/>
        <w:jc w:val="both"/>
        <w:textAlignment w:val="auto"/>
        <w:rPr>
          <w:szCs w:val="28"/>
        </w:rPr>
      </w:pPr>
      <w:r>
        <w:rPr>
          <w:szCs w:val="28"/>
        </w:rPr>
        <w:t>4</w:t>
      </w:r>
      <w:r w:rsidR="00F86791" w:rsidRPr="00F86791">
        <w:rPr>
          <w:szCs w:val="28"/>
        </w:rPr>
        <w:t xml:space="preserve">) nodokļa atvieglojumiem, kuri ir noteikti gan likumā “Par nekustamā īpašuma nodokli”, gan pašvaldību saistošajos noteikumos. </w:t>
      </w:r>
    </w:p>
    <w:p w14:paraId="5AE178CF" w14:textId="77777777" w:rsidR="001F6F7E" w:rsidRDefault="00A56F75" w:rsidP="000D51EF">
      <w:pPr>
        <w:ind w:firstLine="720"/>
        <w:jc w:val="both"/>
        <w:rPr>
          <w:szCs w:val="28"/>
        </w:rPr>
      </w:pPr>
      <w:r>
        <w:rPr>
          <w:szCs w:val="28"/>
        </w:rPr>
        <w:t>L</w:t>
      </w:r>
      <w:r w:rsidR="000D51EF" w:rsidRPr="000D51EF">
        <w:rPr>
          <w:szCs w:val="28"/>
        </w:rPr>
        <w:t>ikums “Par nekustamā īpašuma nodokli</w:t>
      </w:r>
      <w:r w:rsidR="000D51EF">
        <w:rPr>
          <w:szCs w:val="28"/>
        </w:rPr>
        <w:t>”</w:t>
      </w:r>
      <w:r w:rsidR="000D51EF" w:rsidRPr="000D51EF">
        <w:rPr>
          <w:szCs w:val="28"/>
        </w:rPr>
        <w:t xml:space="preserve"> paredz, ka </w:t>
      </w:r>
      <w:r w:rsidR="000D51EF">
        <w:rPr>
          <w:szCs w:val="28"/>
        </w:rPr>
        <w:t>n</w:t>
      </w:r>
      <w:r w:rsidR="000D51EF" w:rsidRPr="000D51EF">
        <w:rPr>
          <w:szCs w:val="28"/>
        </w:rPr>
        <w:t>ekustamā īpašuma nodokli maksā Latvijas vai ārvalstu fiziskās un juridiskās personas un uz līguma vai citādas vienošanās pamata izveidotas šādu personu grupas vai to pārstāvji, kuru īpaš</w:t>
      </w:r>
      <w:r w:rsidR="000D51EF">
        <w:rPr>
          <w:szCs w:val="28"/>
        </w:rPr>
        <w:t xml:space="preserve">umā, tiesiskajā valdījumā vai – </w:t>
      </w:r>
      <w:r w:rsidR="000D51EF" w:rsidRPr="000D51EF">
        <w:rPr>
          <w:szCs w:val="28"/>
        </w:rPr>
        <w:t>šajā likumā noteiktajos gadījumos – lietošanā ir nekustamais īpašums</w:t>
      </w:r>
      <w:r w:rsidR="000D51EF" w:rsidRPr="00523D34">
        <w:rPr>
          <w:rStyle w:val="FootnoteReference"/>
          <w:sz w:val="27"/>
          <w:szCs w:val="27"/>
        </w:rPr>
        <w:footnoteReference w:id="1"/>
      </w:r>
      <w:r w:rsidR="000D51EF" w:rsidRPr="000D51EF">
        <w:rPr>
          <w:szCs w:val="28"/>
        </w:rPr>
        <w:t>.</w:t>
      </w:r>
    </w:p>
    <w:p w14:paraId="16E492C4" w14:textId="77777777" w:rsidR="000D51EF" w:rsidRDefault="000F3E9C" w:rsidP="000D51EF">
      <w:pPr>
        <w:ind w:firstLine="720"/>
        <w:jc w:val="both"/>
        <w:rPr>
          <w:szCs w:val="28"/>
        </w:rPr>
      </w:pPr>
      <w:r w:rsidRPr="000F3E9C">
        <w:rPr>
          <w:szCs w:val="28"/>
        </w:rPr>
        <w:t>Nekustamā īpašuma nodokli aprēķina no nekustamā īpašuma nodokļa objekta kadastrālās vērtības pēc stāv</w:t>
      </w:r>
      <w:r>
        <w:rPr>
          <w:szCs w:val="28"/>
        </w:rPr>
        <w:t>okļa taksācijas gada 1.janvārī</w:t>
      </w:r>
      <w:r w:rsidRPr="00523D34">
        <w:rPr>
          <w:rStyle w:val="FootnoteReference"/>
          <w:sz w:val="27"/>
          <w:szCs w:val="27"/>
        </w:rPr>
        <w:footnoteReference w:id="2"/>
      </w:r>
      <w:r w:rsidRPr="000F3E9C">
        <w:rPr>
          <w:szCs w:val="28"/>
        </w:rPr>
        <w:t>.</w:t>
      </w:r>
      <w:r w:rsidRPr="000F3E9C">
        <w:t xml:space="preserve"> </w:t>
      </w:r>
      <w:r w:rsidRPr="000F3E9C">
        <w:rPr>
          <w:szCs w:val="28"/>
        </w:rPr>
        <w:t>Nekustamā īpašuma kadastrālo vērtību nosaka Valsts zemes dienests atbilstoši Nekustamā īpašuma valsts kadastra likuma prasībām</w:t>
      </w:r>
      <w:r w:rsidRPr="00523D34">
        <w:rPr>
          <w:rStyle w:val="FootnoteReference"/>
          <w:sz w:val="27"/>
          <w:szCs w:val="27"/>
        </w:rPr>
        <w:footnoteReference w:id="3"/>
      </w:r>
      <w:r w:rsidRPr="000F3E9C">
        <w:rPr>
          <w:szCs w:val="28"/>
        </w:rPr>
        <w:t>.</w:t>
      </w:r>
    </w:p>
    <w:p w14:paraId="59DF1C74" w14:textId="77777777" w:rsidR="007D4CB6" w:rsidRDefault="007D4CB6" w:rsidP="007D4CB6">
      <w:pPr>
        <w:widowControl w:val="0"/>
        <w:tabs>
          <w:tab w:val="left" w:pos="6740"/>
        </w:tabs>
        <w:suppressAutoHyphens w:val="0"/>
        <w:autoSpaceDN/>
        <w:ind w:firstLine="709"/>
        <w:jc w:val="both"/>
        <w:textAlignment w:val="auto"/>
        <w:rPr>
          <w:szCs w:val="28"/>
        </w:rPr>
      </w:pPr>
      <w:r w:rsidRPr="00F86791">
        <w:rPr>
          <w:szCs w:val="28"/>
        </w:rPr>
        <w:t>Sākot ar 2013.gadu</w:t>
      </w:r>
      <w:r>
        <w:rPr>
          <w:szCs w:val="28"/>
        </w:rPr>
        <w:t>,</w:t>
      </w:r>
      <w:r w:rsidRPr="00F86791">
        <w:rPr>
          <w:szCs w:val="28"/>
        </w:rPr>
        <w:t xml:space="preserve"> tiesības noteikt nekustamā īpašuma nodokļa likmes tika deleģētas pašvaldībām ar mērķi, ka tās</w:t>
      </w:r>
      <w:r>
        <w:rPr>
          <w:szCs w:val="28"/>
        </w:rPr>
        <w:t>,</w:t>
      </w:r>
      <w:r w:rsidRPr="00F86791">
        <w:rPr>
          <w:szCs w:val="28"/>
        </w:rPr>
        <w:t xml:space="preserve"> labāk pārzinot savu iedzīvotāju vajadzības un pašvaldību iespējas, spēs īstenot konkrētai pašvaldībai ilgtermiņā labvēlīgāku nekustamā īpašuma nodokļa politiku.    </w:t>
      </w:r>
    </w:p>
    <w:p w14:paraId="5F537145" w14:textId="77777777" w:rsidR="000F3E9C" w:rsidRPr="000F3E9C" w:rsidRDefault="000F3E9C" w:rsidP="000F3E9C">
      <w:pPr>
        <w:ind w:firstLine="720"/>
        <w:jc w:val="both"/>
        <w:rPr>
          <w:szCs w:val="28"/>
        </w:rPr>
      </w:pPr>
      <w:r w:rsidRPr="000F3E9C">
        <w:rPr>
          <w:szCs w:val="28"/>
        </w:rPr>
        <w:t>Nekustamā īpašuma nodokļa likmi vai likmes no 0,2 līdz 3 procentiem no nekustamā īpašuma kadastrālās vērtības nosaka pašvaldība savos saistošajos noteikumos, kurus tā publicē līdz pirmstaksācijas gada 1.novembrim. Nekustamā īpašuma nodokļa likmi, kas pārsniedz 1,5 procentus no nekustamā īpašuma kadastrālās vērtības, pašvaldība nosaka tikai gadījumā, ja nekustamais īpašums netiek uzturēts atbilstoši normatīvajos aktos noteiktajai kārtībai. Ja pašvaldība līdz noteiktajam termiņam saistošos noteikumus nav publicējusi, nekustamā īpašuma nodokļa likme ir:</w:t>
      </w:r>
    </w:p>
    <w:p w14:paraId="1F2D49D2" w14:textId="77777777" w:rsidR="000F3E9C" w:rsidRPr="000F3E9C" w:rsidRDefault="000F3E9C" w:rsidP="000F3E9C">
      <w:pPr>
        <w:ind w:firstLine="720"/>
        <w:jc w:val="both"/>
        <w:rPr>
          <w:szCs w:val="28"/>
        </w:rPr>
      </w:pPr>
      <w:r w:rsidRPr="000F3E9C">
        <w:rPr>
          <w:szCs w:val="28"/>
        </w:rPr>
        <w:t>1) 1,5 procenti no nekustamā īpašuma kadastrālās vērtības:</w:t>
      </w:r>
    </w:p>
    <w:p w14:paraId="2775CA64" w14:textId="77777777" w:rsidR="000F3E9C" w:rsidRPr="000F3E9C" w:rsidRDefault="000F3E9C" w:rsidP="000F3E9C">
      <w:pPr>
        <w:ind w:firstLine="720"/>
        <w:jc w:val="both"/>
        <w:rPr>
          <w:szCs w:val="28"/>
        </w:rPr>
      </w:pPr>
      <w:r w:rsidRPr="000F3E9C">
        <w:rPr>
          <w:szCs w:val="28"/>
        </w:rPr>
        <w:t>a) zemei,</w:t>
      </w:r>
    </w:p>
    <w:p w14:paraId="6CE234A5" w14:textId="77777777" w:rsidR="000F3E9C" w:rsidRPr="000F3E9C" w:rsidRDefault="000F3E9C" w:rsidP="000F3E9C">
      <w:pPr>
        <w:ind w:firstLine="720"/>
        <w:jc w:val="both"/>
        <w:rPr>
          <w:szCs w:val="28"/>
        </w:rPr>
      </w:pPr>
      <w:r w:rsidRPr="000F3E9C">
        <w:rPr>
          <w:szCs w:val="28"/>
        </w:rPr>
        <w:lastRenderedPageBreak/>
        <w:t xml:space="preserve">b) ēkām vai to daļām, izņemot </w:t>
      </w:r>
      <w:r w:rsidRPr="00E2639A">
        <w:rPr>
          <w:szCs w:val="28"/>
        </w:rPr>
        <w:t>2.punktā</w:t>
      </w:r>
      <w:r w:rsidR="009A438B" w:rsidRPr="00E2639A">
        <w:rPr>
          <w:szCs w:val="28"/>
        </w:rPr>
        <w:t xml:space="preserve"> minētām</w:t>
      </w:r>
      <w:r w:rsidR="009A438B">
        <w:rPr>
          <w:szCs w:val="28"/>
        </w:rPr>
        <w:t xml:space="preserve"> dzīvojamām mājām, to daļām vai telpu grupām, dzīvojamo māju palīgēkām un garāžām, </w:t>
      </w:r>
      <w:r w:rsidR="009A438B" w:rsidRPr="009A438B">
        <w:rPr>
          <w:szCs w:val="28"/>
        </w:rPr>
        <w:t>ja tās netiek izmantotas saimnieciskās darbības veikšanai</w:t>
      </w:r>
      <w:r w:rsidRPr="000F3E9C">
        <w:rPr>
          <w:szCs w:val="28"/>
        </w:rPr>
        <w:t>,</w:t>
      </w:r>
    </w:p>
    <w:p w14:paraId="3D0A815F" w14:textId="77777777" w:rsidR="000F3E9C" w:rsidRPr="000F3E9C" w:rsidRDefault="000F3E9C" w:rsidP="000F3E9C">
      <w:pPr>
        <w:ind w:firstLine="720"/>
        <w:jc w:val="both"/>
        <w:rPr>
          <w:szCs w:val="28"/>
        </w:rPr>
      </w:pPr>
      <w:r w:rsidRPr="000F3E9C">
        <w:rPr>
          <w:szCs w:val="28"/>
        </w:rPr>
        <w:t>c) inženierbūvēm;</w:t>
      </w:r>
    </w:p>
    <w:p w14:paraId="5711F4D9" w14:textId="77777777" w:rsidR="000F3E9C" w:rsidRPr="000F3E9C" w:rsidRDefault="000F3E9C" w:rsidP="000F3E9C">
      <w:pPr>
        <w:ind w:firstLine="720"/>
        <w:jc w:val="both"/>
        <w:rPr>
          <w:szCs w:val="28"/>
        </w:rPr>
      </w:pPr>
      <w:r w:rsidRPr="000F3E9C">
        <w:rPr>
          <w:szCs w:val="28"/>
        </w:rPr>
        <w:t>2)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ja tās netiek izmantotas saimnieciskās darbības veikšanai:</w:t>
      </w:r>
    </w:p>
    <w:p w14:paraId="66EB12C7" w14:textId="77777777" w:rsidR="000F3E9C" w:rsidRPr="000F3E9C" w:rsidRDefault="000F3E9C" w:rsidP="000F3E9C">
      <w:pPr>
        <w:ind w:firstLine="720"/>
        <w:jc w:val="both"/>
        <w:rPr>
          <w:szCs w:val="28"/>
        </w:rPr>
      </w:pPr>
      <w:r w:rsidRPr="000F3E9C">
        <w:rPr>
          <w:szCs w:val="28"/>
        </w:rPr>
        <w:t xml:space="preserve">a) 0,2 procenti no kadastrālās vērtības, kas nepārsniedz 56 915 </w:t>
      </w:r>
      <w:proofErr w:type="spellStart"/>
      <w:r w:rsidRPr="00CE0510">
        <w:rPr>
          <w:i/>
          <w:szCs w:val="28"/>
        </w:rPr>
        <w:t>euro</w:t>
      </w:r>
      <w:proofErr w:type="spellEnd"/>
      <w:r w:rsidRPr="000F3E9C">
        <w:rPr>
          <w:szCs w:val="28"/>
        </w:rPr>
        <w:t>,</w:t>
      </w:r>
    </w:p>
    <w:p w14:paraId="633C5659" w14:textId="77777777" w:rsidR="000F3E9C" w:rsidRPr="000F3E9C" w:rsidRDefault="000F3E9C" w:rsidP="000F3E9C">
      <w:pPr>
        <w:ind w:firstLine="720"/>
        <w:jc w:val="both"/>
        <w:rPr>
          <w:szCs w:val="28"/>
        </w:rPr>
      </w:pPr>
      <w:r w:rsidRPr="000F3E9C">
        <w:rPr>
          <w:szCs w:val="28"/>
        </w:rPr>
        <w:t xml:space="preserve">b) 0,4 procenti no kadastrālās vērtības daļas, kas pārsniedz 56 915 </w:t>
      </w:r>
      <w:proofErr w:type="spellStart"/>
      <w:r w:rsidRPr="00CE0510">
        <w:rPr>
          <w:i/>
          <w:szCs w:val="28"/>
        </w:rPr>
        <w:t>euro</w:t>
      </w:r>
      <w:proofErr w:type="spellEnd"/>
      <w:r w:rsidRPr="000F3E9C">
        <w:rPr>
          <w:szCs w:val="28"/>
        </w:rPr>
        <w:t xml:space="preserve">, bet nepārsniedz 106 715 </w:t>
      </w:r>
      <w:proofErr w:type="spellStart"/>
      <w:r w:rsidRPr="00CE0510">
        <w:rPr>
          <w:i/>
          <w:szCs w:val="28"/>
        </w:rPr>
        <w:t>euro</w:t>
      </w:r>
      <w:proofErr w:type="spellEnd"/>
      <w:r w:rsidRPr="000F3E9C">
        <w:rPr>
          <w:szCs w:val="28"/>
        </w:rPr>
        <w:t>,</w:t>
      </w:r>
    </w:p>
    <w:p w14:paraId="1CC9906A" w14:textId="77777777" w:rsidR="000D51EF" w:rsidRDefault="000F3E9C" w:rsidP="000F3E9C">
      <w:pPr>
        <w:ind w:firstLine="720"/>
        <w:jc w:val="both"/>
        <w:rPr>
          <w:szCs w:val="28"/>
        </w:rPr>
      </w:pPr>
      <w:r w:rsidRPr="000F3E9C">
        <w:rPr>
          <w:szCs w:val="28"/>
        </w:rPr>
        <w:t>c) 0,6 procenti no kadastrālās vērtības da</w:t>
      </w:r>
      <w:r>
        <w:rPr>
          <w:szCs w:val="28"/>
        </w:rPr>
        <w:t xml:space="preserve">ļas, kas pārsniedz 106 715 </w:t>
      </w:r>
      <w:proofErr w:type="spellStart"/>
      <w:r w:rsidRPr="00CE0510">
        <w:rPr>
          <w:i/>
          <w:szCs w:val="28"/>
        </w:rPr>
        <w:t>euro</w:t>
      </w:r>
      <w:proofErr w:type="spellEnd"/>
      <w:r w:rsidRPr="00523D34">
        <w:rPr>
          <w:rStyle w:val="FootnoteReference"/>
          <w:sz w:val="27"/>
          <w:szCs w:val="27"/>
        </w:rPr>
        <w:footnoteReference w:id="4"/>
      </w:r>
      <w:r>
        <w:rPr>
          <w:szCs w:val="28"/>
        </w:rPr>
        <w:t>.</w:t>
      </w:r>
    </w:p>
    <w:p w14:paraId="7BB6048D" w14:textId="77777777" w:rsidR="00636ABA" w:rsidRDefault="00636ABA" w:rsidP="00636ABA">
      <w:pPr>
        <w:ind w:firstLine="720"/>
        <w:jc w:val="both"/>
        <w:rPr>
          <w:szCs w:val="28"/>
        </w:rPr>
      </w:pPr>
      <w:r>
        <w:rPr>
          <w:szCs w:val="28"/>
        </w:rPr>
        <w:t xml:space="preserve">Tādējādi jau šobrīd uz dzīvošanai paredzētajiem nekustamajiem īpašumiem (piemēram, dzīvokļiem, privātmājām) likumā ir paredzēts būtiski mazāks nodokļa slogs nekā citiem nekustamā īpašuma nodokļa objektiem (piemēram, nedzīvojamām platībām, </w:t>
      </w:r>
      <w:proofErr w:type="spellStart"/>
      <w:r>
        <w:rPr>
          <w:szCs w:val="28"/>
        </w:rPr>
        <w:t>komercobjektiem</w:t>
      </w:r>
      <w:proofErr w:type="spellEnd"/>
      <w:r>
        <w:rPr>
          <w:szCs w:val="28"/>
        </w:rPr>
        <w:t>).</w:t>
      </w:r>
    </w:p>
    <w:p w14:paraId="10D99175" w14:textId="77777777" w:rsidR="00957BBB" w:rsidRDefault="00957BBB" w:rsidP="000D51EF">
      <w:pPr>
        <w:ind w:firstLine="720"/>
        <w:jc w:val="both"/>
        <w:rPr>
          <w:szCs w:val="28"/>
        </w:rPr>
      </w:pPr>
      <w:r>
        <w:rPr>
          <w:szCs w:val="28"/>
        </w:rPr>
        <w:t>L</w:t>
      </w:r>
      <w:r w:rsidRPr="00957BBB">
        <w:rPr>
          <w:szCs w:val="28"/>
        </w:rPr>
        <w:t xml:space="preserve">ikumā “Par nekustamā īpašuma nodokli” </w:t>
      </w:r>
      <w:r>
        <w:rPr>
          <w:szCs w:val="28"/>
        </w:rPr>
        <w:t xml:space="preserve">ir </w:t>
      </w:r>
      <w:r w:rsidRPr="00957BBB">
        <w:rPr>
          <w:szCs w:val="28"/>
        </w:rPr>
        <w:t>noteikta virkne atbrīvojumu no nekustamā īpašuma nodokļa (likuma 1.panta otrā daļa), piemēram, reliģisko organizāciju saimnieciskajā darbībā neizmantotie īpašumi, jaunaudzes, lauksaimnieciskajā ražošanā izmantotās ēkas.</w:t>
      </w:r>
    </w:p>
    <w:p w14:paraId="05ADEF47" w14:textId="77777777" w:rsidR="00697E0D" w:rsidRDefault="007A4DA5" w:rsidP="000D51EF">
      <w:pPr>
        <w:ind w:firstLine="720"/>
        <w:jc w:val="both"/>
        <w:rPr>
          <w:szCs w:val="28"/>
        </w:rPr>
      </w:pPr>
      <w:r>
        <w:rPr>
          <w:szCs w:val="28"/>
        </w:rPr>
        <w:t xml:space="preserve">Tāpat </w:t>
      </w:r>
      <w:r w:rsidRPr="007A4DA5">
        <w:rPr>
          <w:szCs w:val="28"/>
        </w:rPr>
        <w:t>likumā</w:t>
      </w:r>
      <w:r w:rsidR="004E563F">
        <w:rPr>
          <w:szCs w:val="28"/>
        </w:rPr>
        <w:t xml:space="preserve"> </w:t>
      </w:r>
      <w:r w:rsidR="004E563F" w:rsidRPr="00697E0D">
        <w:rPr>
          <w:szCs w:val="28"/>
        </w:rPr>
        <w:t>“Par nekustamā īpašuma nodokli”</w:t>
      </w:r>
      <w:r w:rsidRPr="007A4DA5">
        <w:rPr>
          <w:szCs w:val="28"/>
        </w:rPr>
        <w:t xml:space="preserve"> </w:t>
      </w:r>
      <w:r>
        <w:rPr>
          <w:szCs w:val="28"/>
        </w:rPr>
        <w:t xml:space="preserve">ir noteikti </w:t>
      </w:r>
      <w:r w:rsidR="00697E0D">
        <w:rPr>
          <w:szCs w:val="28"/>
        </w:rPr>
        <w:t xml:space="preserve">arī </w:t>
      </w:r>
      <w:r>
        <w:rPr>
          <w:szCs w:val="28"/>
        </w:rPr>
        <w:t>daž</w:t>
      </w:r>
      <w:r w:rsidR="009904A9">
        <w:rPr>
          <w:szCs w:val="28"/>
        </w:rPr>
        <w:t>āda apmēra</w:t>
      </w:r>
      <w:r w:rsidR="00697E0D">
        <w:rPr>
          <w:szCs w:val="28"/>
        </w:rPr>
        <w:t xml:space="preserve"> nodokļa atvieglojumi</w:t>
      </w:r>
      <w:r>
        <w:rPr>
          <w:szCs w:val="28"/>
        </w:rPr>
        <w:t xml:space="preserve"> </w:t>
      </w:r>
      <w:r w:rsidR="00697E0D" w:rsidRPr="00697E0D">
        <w:rPr>
          <w:szCs w:val="28"/>
        </w:rPr>
        <w:t>(piemēram, likuma</w:t>
      </w:r>
      <w:r w:rsidR="00697E0D">
        <w:rPr>
          <w:szCs w:val="28"/>
        </w:rPr>
        <w:t xml:space="preserve"> </w:t>
      </w:r>
      <w:r w:rsidR="00697E0D" w:rsidRPr="00697E0D">
        <w:rPr>
          <w:szCs w:val="28"/>
        </w:rPr>
        <w:t>5.pants, 8.panta piektā daļa), paredzot nodokļa atvieglojumus trūcīgām personām 90 procentu apmērā no aprēķinātās nodokļa summas</w:t>
      </w:r>
      <w:r w:rsidR="00697E0D">
        <w:rPr>
          <w:szCs w:val="28"/>
        </w:rPr>
        <w:t xml:space="preserve"> un</w:t>
      </w:r>
      <w:r w:rsidR="00697E0D" w:rsidRPr="00697E0D">
        <w:rPr>
          <w:szCs w:val="28"/>
        </w:rPr>
        <w:t xml:space="preserve"> maznodrošinātām personām – līdz 90 procentiem no aprēķinātās nodokļa summas</w:t>
      </w:r>
      <w:r w:rsidR="00697E0D" w:rsidRPr="00523D34">
        <w:rPr>
          <w:rStyle w:val="FootnoteReference"/>
          <w:sz w:val="27"/>
          <w:szCs w:val="27"/>
        </w:rPr>
        <w:footnoteReference w:id="5"/>
      </w:r>
      <w:r w:rsidR="00697E0D" w:rsidRPr="00697E0D">
        <w:rPr>
          <w:szCs w:val="28"/>
        </w:rPr>
        <w:t xml:space="preserve">, </w:t>
      </w:r>
      <w:proofErr w:type="spellStart"/>
      <w:r w:rsidR="00697E0D" w:rsidRPr="00697E0D">
        <w:rPr>
          <w:szCs w:val="28"/>
        </w:rPr>
        <w:t>daudzbērnu</w:t>
      </w:r>
      <w:proofErr w:type="spellEnd"/>
      <w:r w:rsidR="00697E0D" w:rsidRPr="00697E0D">
        <w:rPr>
          <w:szCs w:val="28"/>
        </w:rPr>
        <w:t xml:space="preserve"> ģimenēm – nodokļa summa ir samazināma par 50 procentiem no aprēķinātās nodokļa summas, bet ne vairāk par 427 </w:t>
      </w:r>
      <w:proofErr w:type="spellStart"/>
      <w:r w:rsidR="00697E0D" w:rsidRPr="00CE0510">
        <w:rPr>
          <w:i/>
          <w:szCs w:val="28"/>
        </w:rPr>
        <w:t>euro</w:t>
      </w:r>
      <w:proofErr w:type="spellEnd"/>
      <w:r w:rsidR="00697E0D" w:rsidRPr="00523D34">
        <w:rPr>
          <w:rStyle w:val="FootnoteReference"/>
          <w:sz w:val="27"/>
          <w:szCs w:val="27"/>
        </w:rPr>
        <w:footnoteReference w:id="6"/>
      </w:r>
      <w:r w:rsidR="00697E0D" w:rsidRPr="00697E0D">
        <w:rPr>
          <w:szCs w:val="28"/>
        </w:rPr>
        <w:t>, politiski represētām personām nodokļa summa ir samazināma par 50 procentiem</w:t>
      </w:r>
      <w:r w:rsidR="00A91A0E" w:rsidRPr="00523D34">
        <w:rPr>
          <w:rStyle w:val="FootnoteReference"/>
          <w:sz w:val="27"/>
          <w:szCs w:val="27"/>
        </w:rPr>
        <w:footnoteReference w:id="7"/>
      </w:r>
      <w:r w:rsidR="00697E0D" w:rsidRPr="00697E0D">
        <w:rPr>
          <w:szCs w:val="28"/>
        </w:rPr>
        <w:t>, kā arī</w:t>
      </w:r>
      <w:r w:rsidR="00A97A6C">
        <w:rPr>
          <w:szCs w:val="28"/>
        </w:rPr>
        <w:t>,</w:t>
      </w:r>
      <w:r w:rsidR="00697E0D" w:rsidRPr="00697E0D">
        <w:rPr>
          <w:szCs w:val="28"/>
        </w:rPr>
        <w:t xml:space="preserve"> pēc nodokļa maksātāja sociālā stāvokļa un maksātspējas izvērtēšanas, pieņemot lēmumu par nodokļa maksājumu atlikšanu</w:t>
      </w:r>
      <w:r w:rsidR="004E563F" w:rsidRPr="00523D34">
        <w:rPr>
          <w:rStyle w:val="FootnoteReference"/>
          <w:sz w:val="27"/>
          <w:szCs w:val="27"/>
        </w:rPr>
        <w:footnoteReference w:id="8"/>
      </w:r>
      <w:r w:rsidR="00697E0D" w:rsidRPr="00697E0D">
        <w:rPr>
          <w:szCs w:val="28"/>
        </w:rPr>
        <w:t>.</w:t>
      </w:r>
    </w:p>
    <w:p w14:paraId="7CC12BFD" w14:textId="77777777" w:rsidR="000D51EF" w:rsidRDefault="009904A9" w:rsidP="000D51EF">
      <w:pPr>
        <w:ind w:firstLine="720"/>
        <w:jc w:val="both"/>
        <w:rPr>
          <w:szCs w:val="28"/>
        </w:rPr>
      </w:pPr>
      <w:r>
        <w:rPr>
          <w:szCs w:val="28"/>
        </w:rPr>
        <w:t>Tai pat laikā</w:t>
      </w:r>
      <w:r w:rsidR="00845C8C">
        <w:rPr>
          <w:szCs w:val="28"/>
        </w:rPr>
        <w:t xml:space="preserve"> p</w:t>
      </w:r>
      <w:r w:rsidR="00845C8C" w:rsidRPr="00845C8C">
        <w:rPr>
          <w:szCs w:val="28"/>
        </w:rPr>
        <w:t>ašvaldības var izdot saistoš</w:t>
      </w:r>
      <w:r w:rsidR="000B1C49">
        <w:rPr>
          <w:szCs w:val="28"/>
        </w:rPr>
        <w:t>o</w:t>
      </w:r>
      <w:r w:rsidR="00845C8C" w:rsidRPr="00845C8C">
        <w:rPr>
          <w:szCs w:val="28"/>
        </w:rPr>
        <w:t>s noteikumus, kuros paredzēti atvieglojumi atsevišķām nekustamā īpašuma nodokļa maksātāju kategorijām. Šādi saistoši</w:t>
      </w:r>
      <w:r w:rsidR="009A5D13">
        <w:rPr>
          <w:szCs w:val="28"/>
        </w:rPr>
        <w:t>e</w:t>
      </w:r>
      <w:r w:rsidR="00845C8C" w:rsidRPr="00845C8C">
        <w:rPr>
          <w:szCs w:val="28"/>
        </w:rPr>
        <w:t xml:space="preserve"> noteikumi stājas spēkā likumā </w:t>
      </w:r>
      <w:r w:rsidR="007A4DA5">
        <w:rPr>
          <w:szCs w:val="28"/>
        </w:rPr>
        <w:t>“</w:t>
      </w:r>
      <w:r w:rsidR="00845C8C" w:rsidRPr="00845C8C">
        <w:rPr>
          <w:szCs w:val="28"/>
        </w:rPr>
        <w:t>Par pašvaldībām</w:t>
      </w:r>
      <w:r w:rsidR="007A4DA5">
        <w:rPr>
          <w:szCs w:val="28"/>
        </w:rPr>
        <w:t>”</w:t>
      </w:r>
      <w:r w:rsidR="00845C8C" w:rsidRPr="00845C8C">
        <w:rPr>
          <w:szCs w:val="28"/>
        </w:rPr>
        <w:t xml:space="preserve"> noteiktajā kārtībā.</w:t>
      </w:r>
    </w:p>
    <w:p w14:paraId="19C187C4" w14:textId="77777777" w:rsidR="00F9130B" w:rsidRDefault="00196B6D" w:rsidP="000D51EF">
      <w:pPr>
        <w:ind w:firstLine="720"/>
        <w:jc w:val="both"/>
        <w:rPr>
          <w:szCs w:val="28"/>
        </w:rPr>
      </w:pPr>
      <w:r>
        <w:rPr>
          <w:szCs w:val="28"/>
        </w:rPr>
        <w:t>Saskaņā ar</w:t>
      </w:r>
      <w:r w:rsidR="00EF3401">
        <w:rPr>
          <w:szCs w:val="28"/>
        </w:rPr>
        <w:t xml:space="preserve"> </w:t>
      </w:r>
      <w:proofErr w:type="spellStart"/>
      <w:r w:rsidRPr="00196B6D">
        <w:rPr>
          <w:szCs w:val="28"/>
        </w:rPr>
        <w:t>Eurostat</w:t>
      </w:r>
      <w:proofErr w:type="spellEnd"/>
      <w:r w:rsidRPr="00196B6D">
        <w:rPr>
          <w:szCs w:val="28"/>
        </w:rPr>
        <w:t xml:space="preserve"> </w:t>
      </w:r>
      <w:r w:rsidR="00EF3401">
        <w:rPr>
          <w:szCs w:val="28"/>
        </w:rPr>
        <w:t>(</w:t>
      </w:r>
      <w:r w:rsidR="00EF3401" w:rsidRPr="00EF3401">
        <w:rPr>
          <w:szCs w:val="28"/>
        </w:rPr>
        <w:t>Eiropas Savienības Statistikas biroj</w:t>
      </w:r>
      <w:r w:rsidR="00EF3401">
        <w:rPr>
          <w:szCs w:val="28"/>
        </w:rPr>
        <w:t xml:space="preserve">s) </w:t>
      </w:r>
      <w:r>
        <w:rPr>
          <w:szCs w:val="28"/>
        </w:rPr>
        <w:t>(</w:t>
      </w:r>
      <w:hyperlink r:id="rId8" w:history="1">
        <w:r w:rsidR="00EF3401" w:rsidRPr="00EF3401">
          <w:rPr>
            <w:i/>
            <w:color w:val="0563C1"/>
            <w:u w:val="single"/>
          </w:rPr>
          <w:t>http://ec.europa.eu/eurostat/data/database</w:t>
        </w:r>
      </w:hyperlink>
      <w:r>
        <w:rPr>
          <w:szCs w:val="28"/>
        </w:rPr>
        <w:t>) sniegto</w:t>
      </w:r>
      <w:r w:rsidR="00F9130B" w:rsidRPr="00F9130B">
        <w:rPr>
          <w:szCs w:val="28"/>
        </w:rPr>
        <w:t xml:space="preserve"> informācij</w:t>
      </w:r>
      <w:r>
        <w:rPr>
          <w:szCs w:val="28"/>
        </w:rPr>
        <w:t>u</w:t>
      </w:r>
      <w:r w:rsidR="00F9130B" w:rsidRPr="00F9130B">
        <w:rPr>
          <w:szCs w:val="28"/>
        </w:rPr>
        <w:t>, iekasētā nekustamā īpašuma nodokļa apjoms Latvijā 201</w:t>
      </w:r>
      <w:r w:rsidR="001C56D4">
        <w:rPr>
          <w:szCs w:val="28"/>
        </w:rPr>
        <w:t>5</w:t>
      </w:r>
      <w:r w:rsidR="00F9130B" w:rsidRPr="00F9130B">
        <w:rPr>
          <w:szCs w:val="28"/>
        </w:rPr>
        <w:t>.gadā bija 0,8% no IKP, kas ir lielākais starp Baltijas vals</w:t>
      </w:r>
      <w:r w:rsidR="00122743">
        <w:rPr>
          <w:szCs w:val="28"/>
        </w:rPr>
        <w:t>tīm (salīdzinoši Igaunijā – 0,3%, Lietuvā – 0,3</w:t>
      </w:r>
      <w:r w:rsidR="00F9130B" w:rsidRPr="00F9130B">
        <w:rPr>
          <w:szCs w:val="28"/>
        </w:rPr>
        <w:t>%) un 2,</w:t>
      </w:r>
      <w:r w:rsidR="001C56D4">
        <w:rPr>
          <w:szCs w:val="28"/>
        </w:rPr>
        <w:t>8</w:t>
      </w:r>
      <w:r w:rsidR="00F9130B" w:rsidRPr="00F9130B">
        <w:rPr>
          <w:szCs w:val="28"/>
        </w:rPr>
        <w:t>%</w:t>
      </w:r>
      <w:r w:rsidR="00F9130B">
        <w:rPr>
          <w:szCs w:val="28"/>
        </w:rPr>
        <w:t xml:space="preserve"> no kopējiem </w:t>
      </w:r>
      <w:r w:rsidR="00902F1F">
        <w:rPr>
          <w:szCs w:val="28"/>
        </w:rPr>
        <w:t xml:space="preserve">valsts </w:t>
      </w:r>
      <w:r w:rsidR="00F9130B">
        <w:rPr>
          <w:szCs w:val="28"/>
        </w:rPr>
        <w:t>nodokļu ieņēmumiem.</w:t>
      </w:r>
      <w:r w:rsidR="00F9130B" w:rsidRPr="00F9130B">
        <w:rPr>
          <w:szCs w:val="28"/>
        </w:rPr>
        <w:t xml:space="preserve"> </w:t>
      </w:r>
      <w:r w:rsidR="00F9130B">
        <w:rPr>
          <w:szCs w:val="28"/>
        </w:rPr>
        <w:t>N</w:t>
      </w:r>
      <w:r w:rsidR="00F9130B" w:rsidRPr="00F9130B">
        <w:rPr>
          <w:szCs w:val="28"/>
        </w:rPr>
        <w:t xml:space="preserve">ekustamā īpašuma nodoklis ir </w:t>
      </w:r>
      <w:r w:rsidR="00F9130B" w:rsidRPr="00F9130B">
        <w:rPr>
          <w:szCs w:val="28"/>
        </w:rPr>
        <w:lastRenderedPageBreak/>
        <w:t>būtisks Latvijas pašvaldību ieņēmumu avots, 201</w:t>
      </w:r>
      <w:r w:rsidR="001C56D4">
        <w:rPr>
          <w:szCs w:val="28"/>
        </w:rPr>
        <w:t>5</w:t>
      </w:r>
      <w:r w:rsidR="00F9130B" w:rsidRPr="00F9130B">
        <w:rPr>
          <w:szCs w:val="28"/>
        </w:rPr>
        <w:t xml:space="preserve">.gadā nekustamā īpašuma nodokļa  ieņēmumi pašvaldību </w:t>
      </w:r>
      <w:r w:rsidR="00902F1F">
        <w:rPr>
          <w:szCs w:val="28"/>
        </w:rPr>
        <w:t xml:space="preserve">kopējos </w:t>
      </w:r>
      <w:r w:rsidR="00F9130B" w:rsidRPr="00F9130B">
        <w:rPr>
          <w:szCs w:val="28"/>
        </w:rPr>
        <w:t>ieņēmumos veidoja 8,</w:t>
      </w:r>
      <w:r w:rsidR="001C56D4">
        <w:rPr>
          <w:szCs w:val="28"/>
        </w:rPr>
        <w:t>7</w:t>
      </w:r>
      <w:r w:rsidR="00F9130B" w:rsidRPr="00F9130B">
        <w:rPr>
          <w:szCs w:val="28"/>
        </w:rPr>
        <w:t>%.</w:t>
      </w:r>
    </w:p>
    <w:p w14:paraId="3082319C" w14:textId="77777777" w:rsidR="00141620" w:rsidRDefault="00E33A87" w:rsidP="00141620">
      <w:pPr>
        <w:ind w:firstLine="720"/>
        <w:jc w:val="both"/>
        <w:rPr>
          <w:szCs w:val="28"/>
        </w:rPr>
      </w:pPr>
      <w:r>
        <w:rPr>
          <w:szCs w:val="28"/>
        </w:rPr>
        <w:t xml:space="preserve">Vienlaicīgi vēršam uzmanību uz to, ka </w:t>
      </w:r>
      <w:r w:rsidR="006A24CB" w:rsidRPr="006A24CB">
        <w:rPr>
          <w:szCs w:val="28"/>
        </w:rPr>
        <w:t>Ekonomiskās sadarbības un attīstības organizācija</w:t>
      </w:r>
      <w:r w:rsidR="006A24CB">
        <w:rPr>
          <w:szCs w:val="28"/>
        </w:rPr>
        <w:t>s</w:t>
      </w:r>
      <w:r w:rsidR="006A24CB" w:rsidRPr="006A24CB">
        <w:rPr>
          <w:szCs w:val="28"/>
        </w:rPr>
        <w:t xml:space="preserve"> </w:t>
      </w:r>
      <w:r w:rsidR="006A24CB">
        <w:rPr>
          <w:szCs w:val="28"/>
        </w:rPr>
        <w:t>(</w:t>
      </w:r>
      <w:r w:rsidR="00BB03D4">
        <w:rPr>
          <w:szCs w:val="28"/>
        </w:rPr>
        <w:t xml:space="preserve">turpmāk </w:t>
      </w:r>
      <w:r w:rsidR="00265C88" w:rsidRPr="00F9130B">
        <w:rPr>
          <w:szCs w:val="28"/>
        </w:rPr>
        <w:t>–</w:t>
      </w:r>
      <w:r w:rsidR="00BB03D4">
        <w:rPr>
          <w:szCs w:val="28"/>
        </w:rPr>
        <w:t xml:space="preserve"> </w:t>
      </w:r>
      <w:r w:rsidR="0069467A">
        <w:rPr>
          <w:szCs w:val="28"/>
        </w:rPr>
        <w:t>OECD</w:t>
      </w:r>
      <w:r w:rsidR="006A24CB">
        <w:rPr>
          <w:szCs w:val="28"/>
        </w:rPr>
        <w:t>)</w:t>
      </w:r>
      <w:r w:rsidR="0069467A">
        <w:rPr>
          <w:szCs w:val="28"/>
        </w:rPr>
        <w:t xml:space="preserve"> </w:t>
      </w:r>
      <w:r w:rsidR="004178F1">
        <w:rPr>
          <w:szCs w:val="28"/>
        </w:rPr>
        <w:t>pārskatos</w:t>
      </w:r>
      <w:r w:rsidR="0069467A">
        <w:rPr>
          <w:szCs w:val="28"/>
        </w:rPr>
        <w:t xml:space="preserve"> </w:t>
      </w:r>
      <w:r w:rsidR="004178F1">
        <w:rPr>
          <w:szCs w:val="28"/>
        </w:rPr>
        <w:t>tiek</w:t>
      </w:r>
      <w:r w:rsidR="0069467A">
        <w:rPr>
          <w:szCs w:val="28"/>
        </w:rPr>
        <w:t xml:space="preserve"> norādī</w:t>
      </w:r>
      <w:r w:rsidR="004178F1">
        <w:rPr>
          <w:szCs w:val="28"/>
        </w:rPr>
        <w:t>t</w:t>
      </w:r>
      <w:r w:rsidR="0069467A">
        <w:rPr>
          <w:szCs w:val="28"/>
        </w:rPr>
        <w:t xml:space="preserve">s, ka </w:t>
      </w:r>
      <w:r w:rsidR="004178F1">
        <w:rPr>
          <w:szCs w:val="28"/>
        </w:rPr>
        <w:t xml:space="preserve">Latvijai </w:t>
      </w:r>
      <w:r w:rsidR="001564A4">
        <w:rPr>
          <w:szCs w:val="28"/>
        </w:rPr>
        <w:t>būtu vēlams</w:t>
      </w:r>
      <w:r w:rsidR="00141620">
        <w:rPr>
          <w:szCs w:val="28"/>
        </w:rPr>
        <w:t xml:space="preserve"> </w:t>
      </w:r>
      <w:r w:rsidR="00D922EA">
        <w:rPr>
          <w:szCs w:val="28"/>
        </w:rPr>
        <w:t>nodrošināt</w:t>
      </w:r>
      <w:r w:rsidR="00141620" w:rsidRPr="00141620">
        <w:rPr>
          <w:szCs w:val="28"/>
        </w:rPr>
        <w:t xml:space="preserve"> ieņēmumus, palielinot īpašuma un vides nodokļ</w:t>
      </w:r>
      <w:r w:rsidR="00141620">
        <w:rPr>
          <w:szCs w:val="28"/>
        </w:rPr>
        <w:t>us</w:t>
      </w:r>
      <w:r w:rsidR="00141620" w:rsidRPr="00141620">
        <w:rPr>
          <w:szCs w:val="28"/>
        </w:rPr>
        <w:t>.</w:t>
      </w:r>
      <w:r w:rsidR="004178F1">
        <w:rPr>
          <w:szCs w:val="28"/>
        </w:rPr>
        <w:t xml:space="preserve"> OE</w:t>
      </w:r>
      <w:r w:rsidR="004B4185">
        <w:rPr>
          <w:szCs w:val="28"/>
        </w:rPr>
        <w:t>C</w:t>
      </w:r>
      <w:r w:rsidR="004178F1">
        <w:rPr>
          <w:szCs w:val="28"/>
        </w:rPr>
        <w:t xml:space="preserve">D pētījumos ir secināts, ka </w:t>
      </w:r>
      <w:r w:rsidR="004178F1" w:rsidRPr="00141620">
        <w:rPr>
          <w:szCs w:val="28"/>
        </w:rPr>
        <w:t>pēc starptautiskiem standartiem</w:t>
      </w:r>
      <w:r w:rsidR="004178F1">
        <w:rPr>
          <w:szCs w:val="28"/>
        </w:rPr>
        <w:t xml:space="preserve"> Latvijā </w:t>
      </w:r>
      <w:r w:rsidR="004178F1" w:rsidRPr="00141620">
        <w:rPr>
          <w:szCs w:val="28"/>
        </w:rPr>
        <w:t>ir zems</w:t>
      </w:r>
      <w:r w:rsidR="004178F1">
        <w:rPr>
          <w:szCs w:val="28"/>
        </w:rPr>
        <w:t xml:space="preserve"> ī</w:t>
      </w:r>
      <w:r w:rsidR="00141620" w:rsidRPr="00141620">
        <w:rPr>
          <w:szCs w:val="28"/>
        </w:rPr>
        <w:t>pašuma nodok</w:t>
      </w:r>
      <w:r w:rsidR="0089263C">
        <w:rPr>
          <w:szCs w:val="28"/>
        </w:rPr>
        <w:t xml:space="preserve">ļu ieņēmumu līmenis. </w:t>
      </w:r>
    </w:p>
    <w:p w14:paraId="0DB60B7C" w14:textId="77777777" w:rsidR="00817B80" w:rsidRDefault="0069467A" w:rsidP="00EA7EE3">
      <w:pPr>
        <w:ind w:firstLine="720"/>
        <w:jc w:val="both"/>
        <w:rPr>
          <w:szCs w:val="28"/>
        </w:rPr>
      </w:pPr>
      <w:r>
        <w:rPr>
          <w:szCs w:val="28"/>
        </w:rPr>
        <w:t xml:space="preserve">Arī </w:t>
      </w:r>
      <w:r w:rsidR="00636ABA">
        <w:t>Māra Kučinska</w:t>
      </w:r>
      <w:r w:rsidR="00636ABA">
        <w:rPr>
          <w:szCs w:val="28"/>
        </w:rPr>
        <w:t xml:space="preserve"> </w:t>
      </w:r>
      <w:r w:rsidR="00EA7EE3">
        <w:rPr>
          <w:szCs w:val="28"/>
        </w:rPr>
        <w:t>v</w:t>
      </w:r>
      <w:r>
        <w:rPr>
          <w:szCs w:val="28"/>
        </w:rPr>
        <w:t xml:space="preserve">aldības deklarācijā ir </w:t>
      </w:r>
      <w:r w:rsidR="00EA7EE3">
        <w:rPr>
          <w:szCs w:val="28"/>
        </w:rPr>
        <w:t>plānot</w:t>
      </w:r>
      <w:r w:rsidR="00EC7561">
        <w:rPr>
          <w:szCs w:val="28"/>
        </w:rPr>
        <w:t>s</w:t>
      </w:r>
      <w:r w:rsidR="00EA7EE3">
        <w:rPr>
          <w:szCs w:val="28"/>
        </w:rPr>
        <w:t xml:space="preserve"> īstenot i</w:t>
      </w:r>
      <w:r w:rsidR="00817B80" w:rsidRPr="00817B80">
        <w:rPr>
          <w:szCs w:val="28"/>
        </w:rPr>
        <w:t>lgtspējīg</w:t>
      </w:r>
      <w:r w:rsidR="00EA7EE3">
        <w:rPr>
          <w:szCs w:val="28"/>
        </w:rPr>
        <w:t>u</w:t>
      </w:r>
      <w:r w:rsidR="00817B80" w:rsidRPr="00817B80">
        <w:rPr>
          <w:szCs w:val="28"/>
        </w:rPr>
        <w:t xml:space="preserve"> nodokļu sistēm</w:t>
      </w:r>
      <w:r w:rsidR="00EA7EE3">
        <w:rPr>
          <w:szCs w:val="28"/>
        </w:rPr>
        <w:t>as izveidi</w:t>
      </w:r>
      <w:r w:rsidR="00817B80" w:rsidRPr="00817B80">
        <w:rPr>
          <w:szCs w:val="28"/>
        </w:rPr>
        <w:t>,</w:t>
      </w:r>
      <w:r w:rsidR="00636ABA">
        <w:rPr>
          <w:szCs w:val="28"/>
        </w:rPr>
        <w:t xml:space="preserve"> kas paredz vidēja termiņ</w:t>
      </w:r>
      <w:r w:rsidR="00CF263F">
        <w:rPr>
          <w:szCs w:val="28"/>
        </w:rPr>
        <w:t>a periodā līdz 2020.</w:t>
      </w:r>
      <w:r w:rsidR="00636ABA">
        <w:rPr>
          <w:szCs w:val="28"/>
        </w:rPr>
        <w:t xml:space="preserve">gadam palielināt iekasēto nodokļu apmēru līdz 1/3 no </w:t>
      </w:r>
      <w:r w:rsidR="004E36DE">
        <w:rPr>
          <w:szCs w:val="28"/>
        </w:rPr>
        <w:t>iekšzemes kopprodukta</w:t>
      </w:r>
      <w:r w:rsidR="00636ABA">
        <w:rPr>
          <w:szCs w:val="28"/>
        </w:rPr>
        <w:t xml:space="preserve"> un </w:t>
      </w:r>
      <w:r w:rsidR="00817B80" w:rsidRPr="00817B80">
        <w:rPr>
          <w:szCs w:val="28"/>
        </w:rPr>
        <w:t xml:space="preserve"> nodokļu sloga pārnešan</w:t>
      </w:r>
      <w:r w:rsidR="00EA7EE3">
        <w:rPr>
          <w:szCs w:val="28"/>
        </w:rPr>
        <w:t>u</w:t>
      </w:r>
      <w:r w:rsidR="00817B80" w:rsidRPr="00817B80">
        <w:rPr>
          <w:szCs w:val="28"/>
        </w:rPr>
        <w:t xml:space="preserve"> no darbaspēka uz ienākumiem no kapitāla un kapitāla pieauguma, uz patēriņu, uz nekustamo īpašumu un uz dabas resursu izmantošanu</w:t>
      </w:r>
      <w:r w:rsidR="00EA7EE3">
        <w:rPr>
          <w:rStyle w:val="FootnoteReference"/>
          <w:szCs w:val="28"/>
        </w:rPr>
        <w:footnoteReference w:id="9"/>
      </w:r>
      <w:r w:rsidR="00817B80" w:rsidRPr="00817B80">
        <w:rPr>
          <w:szCs w:val="28"/>
        </w:rPr>
        <w:t>.</w:t>
      </w:r>
    </w:p>
    <w:p w14:paraId="7B9D15EE" w14:textId="77777777" w:rsidR="00F9130B" w:rsidRDefault="00F9130B" w:rsidP="009A438B">
      <w:pPr>
        <w:widowControl w:val="0"/>
        <w:tabs>
          <w:tab w:val="left" w:pos="6740"/>
        </w:tabs>
        <w:suppressAutoHyphens w:val="0"/>
        <w:autoSpaceDN/>
        <w:ind w:firstLine="709"/>
        <w:jc w:val="both"/>
        <w:textAlignment w:val="auto"/>
        <w:rPr>
          <w:b/>
          <w:szCs w:val="28"/>
        </w:rPr>
      </w:pPr>
    </w:p>
    <w:p w14:paraId="545F53E8" w14:textId="77777777" w:rsidR="005770F3" w:rsidRPr="00456BA0" w:rsidRDefault="005770F3" w:rsidP="00456BA0">
      <w:pPr>
        <w:pStyle w:val="ListParagraph"/>
        <w:widowControl w:val="0"/>
        <w:numPr>
          <w:ilvl w:val="1"/>
          <w:numId w:val="30"/>
        </w:numPr>
        <w:tabs>
          <w:tab w:val="left" w:pos="6740"/>
        </w:tabs>
        <w:suppressAutoHyphens w:val="0"/>
        <w:autoSpaceDN/>
        <w:jc w:val="both"/>
        <w:textAlignment w:val="auto"/>
        <w:rPr>
          <w:b/>
          <w:szCs w:val="28"/>
        </w:rPr>
      </w:pPr>
      <w:r w:rsidRPr="00456BA0">
        <w:rPr>
          <w:b/>
          <w:szCs w:val="28"/>
        </w:rPr>
        <w:t>Pašvaldību finanšu izlīdzināšana</w:t>
      </w:r>
    </w:p>
    <w:p w14:paraId="6822BC47" w14:textId="77777777" w:rsidR="005770F3" w:rsidRPr="007C636B" w:rsidRDefault="005770F3" w:rsidP="005770F3">
      <w:pPr>
        <w:widowControl w:val="0"/>
        <w:tabs>
          <w:tab w:val="left" w:pos="6740"/>
        </w:tabs>
        <w:suppressAutoHyphens w:val="0"/>
        <w:autoSpaceDN/>
        <w:ind w:firstLine="709"/>
        <w:jc w:val="both"/>
        <w:textAlignment w:val="auto"/>
        <w:rPr>
          <w:szCs w:val="28"/>
        </w:rPr>
      </w:pPr>
      <w:r w:rsidRPr="007C636B">
        <w:rPr>
          <w:szCs w:val="28"/>
        </w:rPr>
        <w:t xml:space="preserve">Ņemot vērā pašvaldību sociālekonomiskās atšķirības, lai radītu pašvaldībām līdzīgas iespējas ar </w:t>
      </w:r>
      <w:r w:rsidR="00142E95">
        <w:rPr>
          <w:szCs w:val="28"/>
        </w:rPr>
        <w:t>normatīvajiem aktiem</w:t>
      </w:r>
      <w:r w:rsidRPr="007C636B">
        <w:rPr>
          <w:szCs w:val="28"/>
        </w:rPr>
        <w:t xml:space="preserve"> noteikto funkciju izpildei, tiek veikta pašvaldību finanšu izlīdzināšana, paredzot pašvaldību finanšu atšķirību daļēju izlīdzināšanu. Pašvaldību finanšu izlīdzināšana tiek veikta, ņemot vērā katras pašvaldīb</w:t>
      </w:r>
      <w:r w:rsidR="00091A65">
        <w:rPr>
          <w:szCs w:val="28"/>
        </w:rPr>
        <w:t>as</w:t>
      </w:r>
      <w:r w:rsidRPr="007C636B">
        <w:rPr>
          <w:szCs w:val="28"/>
        </w:rPr>
        <w:t xml:space="preserve"> vērtētos ieņēmumus un pašvaldību izdevumus raksturojošus kritērijus. Vērtētos ieņēmumus veido – prognozētie ieņēmumi no nekustamā īpašuma nodokļa un gadskārtējā valsts budžeta likumā pašvaldību budžetiem noteiktā iedzīvotāju ienākuma nodokļa ieņēmumu sadalījuma daļa.</w:t>
      </w:r>
    </w:p>
    <w:p w14:paraId="179DD732" w14:textId="77777777" w:rsidR="005770F3" w:rsidRPr="00091A65" w:rsidRDefault="00091A65" w:rsidP="005770F3">
      <w:pPr>
        <w:widowControl w:val="0"/>
        <w:tabs>
          <w:tab w:val="left" w:pos="6740"/>
        </w:tabs>
        <w:suppressAutoHyphens w:val="0"/>
        <w:autoSpaceDN/>
        <w:ind w:firstLine="709"/>
        <w:jc w:val="both"/>
        <w:textAlignment w:val="auto"/>
        <w:rPr>
          <w:szCs w:val="28"/>
        </w:rPr>
      </w:pPr>
      <w:r>
        <w:rPr>
          <w:szCs w:val="28"/>
        </w:rPr>
        <w:t>Normatīvie akti paredz, ka</w:t>
      </w:r>
      <w:r w:rsidR="005770F3" w:rsidRPr="00091A65">
        <w:rPr>
          <w:szCs w:val="28"/>
        </w:rPr>
        <w:t xml:space="preserve"> Ministru kabinets izdod noteikumus par kārtību, kādā katrai pašvaldībai prognozē nekustamā īpašuma nodokļa ieņēmumus nākamajam taksācijas periodam atbilstoši Valsts zemes dienesta datiem par pašvaldības teritorijā esošā nekustamā īpašuma kadastrālo vērtību</w:t>
      </w:r>
      <w:r>
        <w:rPr>
          <w:rStyle w:val="FootnoteReference"/>
          <w:szCs w:val="28"/>
        </w:rPr>
        <w:footnoteReference w:id="10"/>
      </w:r>
      <w:r w:rsidR="005770F3" w:rsidRPr="00091A65">
        <w:rPr>
          <w:szCs w:val="28"/>
        </w:rPr>
        <w:t>.</w:t>
      </w:r>
    </w:p>
    <w:p w14:paraId="1D55661E" w14:textId="77777777" w:rsidR="005770F3" w:rsidRPr="00166935" w:rsidRDefault="005770F3" w:rsidP="005770F3">
      <w:pPr>
        <w:widowControl w:val="0"/>
        <w:tabs>
          <w:tab w:val="left" w:pos="6740"/>
        </w:tabs>
        <w:suppressAutoHyphens w:val="0"/>
        <w:autoSpaceDN/>
        <w:ind w:firstLine="709"/>
        <w:jc w:val="both"/>
        <w:textAlignment w:val="auto"/>
        <w:rPr>
          <w:szCs w:val="28"/>
        </w:rPr>
      </w:pPr>
      <w:r w:rsidRPr="00166935">
        <w:rPr>
          <w:szCs w:val="28"/>
        </w:rPr>
        <w:t>Šobrīd Ministru kabineta noteikumi paredz nekustamā īpašuma nodokļa prognozes aprēķina mehānisma noteikšanu, ar mērķi iegūtos aprēķinus izmantot pašvaldību finanšu izlīdzināšanā</w:t>
      </w:r>
      <w:r w:rsidR="00166935" w:rsidRPr="00166935">
        <w:rPr>
          <w:rStyle w:val="FootnoteReference"/>
          <w:szCs w:val="28"/>
        </w:rPr>
        <w:footnoteReference w:id="11"/>
      </w:r>
      <w:r w:rsidRPr="00166935">
        <w:rPr>
          <w:szCs w:val="28"/>
        </w:rPr>
        <w:t>.</w:t>
      </w:r>
    </w:p>
    <w:p w14:paraId="703B5547" w14:textId="77777777" w:rsidR="005770F3" w:rsidRPr="00462380" w:rsidRDefault="005770F3" w:rsidP="005770F3">
      <w:pPr>
        <w:widowControl w:val="0"/>
        <w:tabs>
          <w:tab w:val="left" w:pos="6740"/>
        </w:tabs>
        <w:suppressAutoHyphens w:val="0"/>
        <w:autoSpaceDN/>
        <w:ind w:firstLine="709"/>
        <w:jc w:val="both"/>
        <w:textAlignment w:val="auto"/>
        <w:rPr>
          <w:szCs w:val="28"/>
        </w:rPr>
      </w:pPr>
      <w:r w:rsidRPr="00166935">
        <w:rPr>
          <w:szCs w:val="28"/>
        </w:rPr>
        <w:t>Nosakot pašvaldību finanšu izlīdzināšanas aprēķinā iekļaujamo nekustamā īpašuma nodokļa prognozi, būtiski ir ievērot visām pašvaldībām vienotus principus. Noteikumi paredz vienotu kārtību nekustamā īpašuma nodokļa prognozes noteikšanai, vienlaicīgi saglabājot pašvaldību tiesības izdot saistošos noteikumus par nekustamā īpašuma nodokļa politikas piemērošanu katrā administratīvajā teritorijā</w:t>
      </w:r>
      <w:r w:rsidR="00166935" w:rsidRPr="00166935">
        <w:rPr>
          <w:rStyle w:val="FootnoteReference"/>
          <w:szCs w:val="28"/>
        </w:rPr>
        <w:footnoteReference w:id="12"/>
      </w:r>
      <w:r w:rsidRPr="00166935">
        <w:rPr>
          <w:szCs w:val="28"/>
        </w:rPr>
        <w:t xml:space="preserve">. Noteikumos </w:t>
      </w:r>
      <w:r w:rsidR="00462380">
        <w:rPr>
          <w:szCs w:val="28"/>
        </w:rPr>
        <w:t xml:space="preserve">ir </w:t>
      </w:r>
      <w:r w:rsidRPr="00166935">
        <w:rPr>
          <w:szCs w:val="28"/>
        </w:rPr>
        <w:t xml:space="preserve">noteikts, ka pašvaldības nekustamā īpašuma nodokļa prognozi koriģē ar </w:t>
      </w:r>
      <w:proofErr w:type="spellStart"/>
      <w:r w:rsidRPr="00166935">
        <w:rPr>
          <w:szCs w:val="28"/>
        </w:rPr>
        <w:t>iekasēja</w:t>
      </w:r>
      <w:r w:rsidR="00122743">
        <w:rPr>
          <w:szCs w:val="28"/>
        </w:rPr>
        <w:t>mības</w:t>
      </w:r>
      <w:proofErr w:type="spellEnd"/>
      <w:r w:rsidR="00122743">
        <w:rPr>
          <w:szCs w:val="28"/>
        </w:rPr>
        <w:t xml:space="preserve"> koeficientu 0,8, t.i., 80</w:t>
      </w:r>
      <w:r w:rsidRPr="00166935">
        <w:rPr>
          <w:szCs w:val="28"/>
        </w:rPr>
        <w:t>% no aprēķinātās nekustamā īpašuma nodokļa prognozes tiek izmantoti pašvaldību finanšu izlīdzināšanas aprēķinā</w:t>
      </w:r>
      <w:r w:rsidR="00166935" w:rsidRPr="00166935">
        <w:rPr>
          <w:rStyle w:val="FootnoteReference"/>
          <w:szCs w:val="28"/>
        </w:rPr>
        <w:footnoteReference w:id="13"/>
      </w:r>
      <w:r w:rsidRPr="00166935">
        <w:rPr>
          <w:szCs w:val="28"/>
        </w:rPr>
        <w:t xml:space="preserve">. </w:t>
      </w:r>
      <w:r w:rsidR="001E4DB8" w:rsidRPr="00BB551F">
        <w:rPr>
          <w:szCs w:val="28"/>
        </w:rPr>
        <w:t xml:space="preserve">Līdz ar to, iekļaujot pašvaldību finanšu </w:t>
      </w:r>
      <w:r w:rsidR="001E4DB8" w:rsidRPr="00BB551F">
        <w:rPr>
          <w:szCs w:val="28"/>
        </w:rPr>
        <w:lastRenderedPageBreak/>
        <w:t>izlīdzināšanā par 20% mazākus nekustamā īpašuma nodokļa prognozētos ieņēmumus, pašvaldībām tiek dota iespēja īstenot arī savu nekustamā īpašuma nodokļa politiku.</w:t>
      </w:r>
    </w:p>
    <w:p w14:paraId="2F437077" w14:textId="77777777" w:rsidR="005770F3" w:rsidRPr="00462380" w:rsidRDefault="00294F0E" w:rsidP="005770F3">
      <w:pPr>
        <w:widowControl w:val="0"/>
        <w:tabs>
          <w:tab w:val="left" w:pos="6740"/>
        </w:tabs>
        <w:suppressAutoHyphens w:val="0"/>
        <w:autoSpaceDN/>
        <w:ind w:firstLine="709"/>
        <w:jc w:val="both"/>
        <w:textAlignment w:val="auto"/>
        <w:rPr>
          <w:szCs w:val="28"/>
        </w:rPr>
      </w:pPr>
      <w:r>
        <w:rPr>
          <w:szCs w:val="28"/>
        </w:rPr>
        <w:t xml:space="preserve">Atbilstoši </w:t>
      </w:r>
      <w:r w:rsidR="005770F3" w:rsidRPr="00462380">
        <w:rPr>
          <w:szCs w:val="28"/>
        </w:rPr>
        <w:t>noteik</w:t>
      </w:r>
      <w:r>
        <w:rPr>
          <w:szCs w:val="28"/>
        </w:rPr>
        <w:t>umiem</w:t>
      </w:r>
      <w:r w:rsidR="005770F3" w:rsidRPr="00462380">
        <w:rPr>
          <w:szCs w:val="28"/>
        </w:rPr>
        <w:t>, pašvaldība, neņemot vērā nodokļa likmi, kas noteikta saskaņā ar pašvaldības saistošajiem noteikumiem, aprēķina nodokļa ieņēmumu prognozi nākamajam taksācijas periodam:</w:t>
      </w:r>
    </w:p>
    <w:p w14:paraId="493E5FD2" w14:textId="77777777" w:rsidR="005770F3" w:rsidRPr="00462380" w:rsidRDefault="005770F3" w:rsidP="005E0230">
      <w:pPr>
        <w:widowControl w:val="0"/>
        <w:numPr>
          <w:ilvl w:val="2"/>
          <w:numId w:val="24"/>
        </w:numPr>
        <w:tabs>
          <w:tab w:val="clear" w:pos="2160"/>
          <w:tab w:val="num" w:pos="1843"/>
          <w:tab w:val="left" w:pos="6740"/>
        </w:tabs>
        <w:suppressAutoHyphens w:val="0"/>
        <w:autoSpaceDN/>
        <w:ind w:left="993"/>
        <w:jc w:val="both"/>
        <w:textAlignment w:val="auto"/>
        <w:rPr>
          <w:szCs w:val="28"/>
        </w:rPr>
      </w:pPr>
      <w:r w:rsidRPr="00462380">
        <w:rPr>
          <w:szCs w:val="28"/>
        </w:rPr>
        <w:t>zemei un ēkām</w:t>
      </w:r>
      <w:r w:rsidR="00462380">
        <w:rPr>
          <w:szCs w:val="28"/>
        </w:rPr>
        <w:t xml:space="preserve"> (izņemot mājokļus)</w:t>
      </w:r>
      <w:r w:rsidR="00122743">
        <w:rPr>
          <w:szCs w:val="28"/>
        </w:rPr>
        <w:t>, piemērojot nodokļa likmi 1,5</w:t>
      </w:r>
      <w:r w:rsidRPr="00462380">
        <w:rPr>
          <w:szCs w:val="28"/>
        </w:rPr>
        <w:t>% no nekustamā īpašuma kadastrālās vērtības;</w:t>
      </w:r>
    </w:p>
    <w:p w14:paraId="78EEC5EA" w14:textId="77777777" w:rsidR="005770F3" w:rsidRPr="00462380" w:rsidRDefault="005770F3" w:rsidP="005E0230">
      <w:pPr>
        <w:widowControl w:val="0"/>
        <w:numPr>
          <w:ilvl w:val="2"/>
          <w:numId w:val="24"/>
        </w:numPr>
        <w:tabs>
          <w:tab w:val="clear" w:pos="2160"/>
          <w:tab w:val="num" w:pos="1843"/>
          <w:tab w:val="left" w:pos="6740"/>
        </w:tabs>
        <w:suppressAutoHyphens w:val="0"/>
        <w:autoSpaceDN/>
        <w:ind w:left="993"/>
        <w:jc w:val="both"/>
        <w:textAlignment w:val="auto"/>
        <w:rPr>
          <w:szCs w:val="28"/>
        </w:rPr>
      </w:pPr>
      <w:r w:rsidRPr="00462380">
        <w:rPr>
          <w:szCs w:val="28"/>
        </w:rPr>
        <w:t>inženierbūvē</w:t>
      </w:r>
      <w:r w:rsidR="00122743">
        <w:rPr>
          <w:szCs w:val="28"/>
        </w:rPr>
        <w:t>m, piemērojot nodokļa likmi 1,5</w:t>
      </w:r>
      <w:r w:rsidRPr="00462380">
        <w:rPr>
          <w:szCs w:val="28"/>
        </w:rPr>
        <w:t>% no nekustamā īpašuma kadastrālās vērtības;</w:t>
      </w:r>
    </w:p>
    <w:p w14:paraId="7B2B9EE9" w14:textId="3971E828" w:rsidR="005770F3" w:rsidRPr="00462380" w:rsidRDefault="005770F3" w:rsidP="005E0230">
      <w:pPr>
        <w:widowControl w:val="0"/>
        <w:numPr>
          <w:ilvl w:val="2"/>
          <w:numId w:val="24"/>
        </w:numPr>
        <w:tabs>
          <w:tab w:val="clear" w:pos="2160"/>
          <w:tab w:val="num" w:pos="1843"/>
          <w:tab w:val="left" w:pos="6740"/>
        </w:tabs>
        <w:suppressAutoHyphens w:val="0"/>
        <w:autoSpaceDN/>
        <w:ind w:left="993"/>
        <w:jc w:val="both"/>
        <w:textAlignment w:val="auto"/>
        <w:rPr>
          <w:szCs w:val="28"/>
        </w:rPr>
      </w:pPr>
      <w:r w:rsidRPr="00462380">
        <w:rPr>
          <w:szCs w:val="28"/>
        </w:rPr>
        <w:t>mājokļiem, piemērojot nodokļa likmi 0,2% no nekustamā īpašuma kadastrālās vērtības</w:t>
      </w:r>
      <w:r w:rsidR="00462380" w:rsidRPr="00462380">
        <w:rPr>
          <w:rStyle w:val="FootnoteReference"/>
          <w:szCs w:val="28"/>
        </w:rPr>
        <w:footnoteReference w:id="14"/>
      </w:r>
      <w:r w:rsidR="00817CF0">
        <w:rPr>
          <w:szCs w:val="28"/>
        </w:rPr>
        <w:t>.</w:t>
      </w:r>
    </w:p>
    <w:p w14:paraId="620B7407" w14:textId="4A6D5461" w:rsidR="005770F3" w:rsidRPr="00D97B55" w:rsidRDefault="005770F3" w:rsidP="005770F3">
      <w:pPr>
        <w:widowControl w:val="0"/>
        <w:tabs>
          <w:tab w:val="left" w:pos="6740"/>
        </w:tabs>
        <w:suppressAutoHyphens w:val="0"/>
        <w:autoSpaceDN/>
        <w:ind w:firstLine="709"/>
        <w:jc w:val="both"/>
        <w:textAlignment w:val="auto"/>
        <w:rPr>
          <w:rFonts w:eastAsia="Times New Roman"/>
          <w:szCs w:val="28"/>
          <w:lang w:eastAsia="lv-LV"/>
        </w:rPr>
      </w:pPr>
      <w:r w:rsidRPr="00BB5FE9">
        <w:rPr>
          <w:szCs w:val="28"/>
        </w:rPr>
        <w:t xml:space="preserve">Pēc pašvaldību oficiālajos pārskatos sniegtās informācijas par nekustamā īpašuma nodokļa ieņēmumu izpildi 2015.gadā secināms, ka kopējie kārtējā gada faktiski saņemtie nekustamā īpašuma nodokļa ieņēmumi kopā ar iepriekšējā gada parāda maksājumiem pārsniedz aprēķināto nekustamā īpašuma nodokļa prognozi visās pašvaldībās, izņemot Jūrmalas pilsētu, </w:t>
      </w:r>
      <w:r w:rsidRPr="00D97B55">
        <w:rPr>
          <w:szCs w:val="28"/>
        </w:rPr>
        <w:t>kurai nekustamā īpašuma nodokļa ieņēmumu neizpilde</w:t>
      </w:r>
      <w:r w:rsidR="00AA2130" w:rsidRPr="00D97B55">
        <w:rPr>
          <w:szCs w:val="28"/>
        </w:rPr>
        <w:t xml:space="preserve"> (kopā ar iepriekšējā gada parāda maksājumiem)</w:t>
      </w:r>
      <w:r w:rsidRPr="00D97B55">
        <w:rPr>
          <w:szCs w:val="28"/>
        </w:rPr>
        <w:t xml:space="preserve"> ir</w:t>
      </w:r>
      <w:r w:rsidR="00AA2130" w:rsidRPr="00D97B55">
        <w:rPr>
          <w:szCs w:val="28"/>
        </w:rPr>
        <w:t xml:space="preserve"> </w:t>
      </w:r>
      <w:r w:rsidR="00122743">
        <w:rPr>
          <w:szCs w:val="28"/>
        </w:rPr>
        <w:t>1,2</w:t>
      </w:r>
      <w:r w:rsidRPr="00D97B55">
        <w:rPr>
          <w:szCs w:val="28"/>
        </w:rPr>
        <w:t>% apmērā</w:t>
      </w:r>
      <w:r w:rsidR="00477C51" w:rsidRPr="00D97B55">
        <w:rPr>
          <w:szCs w:val="28"/>
        </w:rPr>
        <w:t xml:space="preserve">, savukārt </w:t>
      </w:r>
      <w:r w:rsidR="002062E9" w:rsidRPr="00D97B55">
        <w:rPr>
          <w:szCs w:val="28"/>
        </w:rPr>
        <w:t>bez parād</w:t>
      </w:r>
      <w:r w:rsidR="004C6FBA" w:rsidRPr="00D97B55">
        <w:rPr>
          <w:szCs w:val="28"/>
        </w:rPr>
        <w:t>a</w:t>
      </w:r>
      <w:r w:rsidR="00AA2130" w:rsidRPr="00D97B55">
        <w:rPr>
          <w:szCs w:val="28"/>
        </w:rPr>
        <w:t xml:space="preserve"> maksājumiem</w:t>
      </w:r>
      <w:r w:rsidR="002062E9" w:rsidRPr="00D97B55">
        <w:rPr>
          <w:szCs w:val="28"/>
        </w:rPr>
        <w:t xml:space="preserve"> </w:t>
      </w:r>
      <w:r w:rsidR="00357C89" w:rsidRPr="00D97B55">
        <w:rPr>
          <w:szCs w:val="28"/>
        </w:rPr>
        <w:t>ne</w:t>
      </w:r>
      <w:r w:rsidR="00477C51" w:rsidRPr="00D97B55">
        <w:rPr>
          <w:szCs w:val="28"/>
        </w:rPr>
        <w:t xml:space="preserve">izpilde </w:t>
      </w:r>
      <w:r w:rsidR="00122743">
        <w:rPr>
          <w:szCs w:val="28"/>
        </w:rPr>
        <w:t>ir 9,7</w:t>
      </w:r>
      <w:r w:rsidR="00357C89" w:rsidRPr="00D97B55">
        <w:rPr>
          <w:szCs w:val="28"/>
        </w:rPr>
        <w:t>% apmērā</w:t>
      </w:r>
      <w:r w:rsidRPr="00D97B55">
        <w:rPr>
          <w:szCs w:val="28"/>
        </w:rPr>
        <w:t>.</w:t>
      </w:r>
      <w:r w:rsidRPr="00D97B55">
        <w:rPr>
          <w:b/>
          <w:szCs w:val="28"/>
        </w:rPr>
        <w:t xml:space="preserve"> </w:t>
      </w:r>
      <w:r w:rsidRPr="00D97B55">
        <w:rPr>
          <w:szCs w:val="28"/>
        </w:rPr>
        <w:t xml:space="preserve">Kopējā pašvaldību nekustamā īpašuma nodokļa ieņēmumu </w:t>
      </w:r>
      <w:r w:rsidR="00056696">
        <w:rPr>
          <w:szCs w:val="28"/>
        </w:rPr>
        <w:t>izpilde</w:t>
      </w:r>
      <w:r w:rsidR="00CB1CDD" w:rsidRPr="00D97B55">
        <w:rPr>
          <w:szCs w:val="28"/>
        </w:rPr>
        <w:t xml:space="preserve"> 2015.gadā</w:t>
      </w:r>
      <w:r w:rsidRPr="00D97B55">
        <w:rPr>
          <w:szCs w:val="28"/>
        </w:rPr>
        <w:t xml:space="preserve"> kopā ar iepriekšējā gada parāda maksājumiem pārsniedz pašvaldību kopējo nekustamā </w:t>
      </w:r>
      <w:r w:rsidR="00122743">
        <w:rPr>
          <w:szCs w:val="28"/>
        </w:rPr>
        <w:t>īpašuma nodokļa prognozi par 21</w:t>
      </w:r>
      <w:r w:rsidRPr="00D97B55">
        <w:rPr>
          <w:szCs w:val="28"/>
        </w:rPr>
        <w:t>%</w:t>
      </w:r>
      <w:r w:rsidR="000F7642" w:rsidRPr="00D97B55">
        <w:rPr>
          <w:rFonts w:eastAsia="Times New Roman"/>
          <w:szCs w:val="28"/>
          <w:lang w:eastAsia="lv-LV"/>
        </w:rPr>
        <w:t xml:space="preserve"> (piemēram, Ādažu novad</w:t>
      </w:r>
      <w:r w:rsidR="00CD2434" w:rsidRPr="00D97B55">
        <w:rPr>
          <w:rFonts w:eastAsia="Times New Roman"/>
          <w:szCs w:val="28"/>
          <w:lang w:eastAsia="lv-LV"/>
        </w:rPr>
        <w:t>ā</w:t>
      </w:r>
      <w:r w:rsidR="000F7642" w:rsidRPr="00D97B55">
        <w:rPr>
          <w:rFonts w:eastAsia="Times New Roman"/>
          <w:szCs w:val="28"/>
          <w:lang w:eastAsia="lv-LV"/>
        </w:rPr>
        <w:t xml:space="preserve"> </w:t>
      </w:r>
      <w:r w:rsidR="00CD2434" w:rsidRPr="00D97B55">
        <w:rPr>
          <w:rFonts w:eastAsia="Times New Roman"/>
          <w:szCs w:val="28"/>
          <w:lang w:eastAsia="lv-LV"/>
        </w:rPr>
        <w:t xml:space="preserve">– par </w:t>
      </w:r>
      <w:r w:rsidR="00122743">
        <w:rPr>
          <w:rFonts w:eastAsia="Times New Roman"/>
          <w:szCs w:val="28"/>
          <w:lang w:eastAsia="lv-LV"/>
        </w:rPr>
        <w:t>19,5</w:t>
      </w:r>
      <w:r w:rsidR="000F7642" w:rsidRPr="00D97B55">
        <w:rPr>
          <w:rFonts w:eastAsia="Times New Roman"/>
          <w:szCs w:val="28"/>
          <w:lang w:eastAsia="lv-LV"/>
        </w:rPr>
        <w:t>%</w:t>
      </w:r>
      <w:r w:rsidR="00477C51" w:rsidRPr="00D97B55">
        <w:rPr>
          <w:rFonts w:eastAsia="Times New Roman"/>
          <w:szCs w:val="28"/>
          <w:lang w:eastAsia="lv-LV"/>
        </w:rPr>
        <w:t xml:space="preserve"> (</w:t>
      </w:r>
      <w:r w:rsidR="00EC7AD2" w:rsidRPr="00D97B55">
        <w:rPr>
          <w:rFonts w:eastAsia="Times New Roman"/>
          <w:szCs w:val="28"/>
          <w:lang w:eastAsia="lv-LV"/>
        </w:rPr>
        <w:t>bez parād</w:t>
      </w:r>
      <w:r w:rsidR="004C6FBA" w:rsidRPr="00D97B55">
        <w:rPr>
          <w:rFonts w:eastAsia="Times New Roman"/>
          <w:szCs w:val="28"/>
          <w:lang w:eastAsia="lv-LV"/>
        </w:rPr>
        <w:t>a</w:t>
      </w:r>
      <w:r w:rsidR="00EC7AD2" w:rsidRPr="00D97B55">
        <w:rPr>
          <w:rFonts w:eastAsia="Times New Roman"/>
          <w:szCs w:val="28"/>
          <w:lang w:eastAsia="lv-LV"/>
        </w:rPr>
        <w:t xml:space="preserve"> maksājumiem – </w:t>
      </w:r>
      <w:r w:rsidR="00477C51" w:rsidRPr="00D97B55">
        <w:rPr>
          <w:rFonts w:eastAsia="Times New Roman"/>
          <w:szCs w:val="28"/>
          <w:lang w:eastAsia="lv-LV"/>
        </w:rPr>
        <w:t xml:space="preserve">par </w:t>
      </w:r>
      <w:r w:rsidR="00122743">
        <w:rPr>
          <w:rFonts w:eastAsia="Times New Roman"/>
          <w:szCs w:val="28"/>
          <w:lang w:eastAsia="lv-LV"/>
        </w:rPr>
        <w:t>5,9</w:t>
      </w:r>
      <w:r w:rsidR="00357C89" w:rsidRPr="00D97B55">
        <w:rPr>
          <w:rFonts w:eastAsia="Times New Roman"/>
          <w:szCs w:val="28"/>
          <w:lang w:eastAsia="lv-LV"/>
        </w:rPr>
        <w:t>%</w:t>
      </w:r>
      <w:r w:rsidR="00477C51" w:rsidRPr="00D97B55">
        <w:rPr>
          <w:rFonts w:eastAsia="Times New Roman"/>
          <w:szCs w:val="28"/>
          <w:lang w:eastAsia="lv-LV"/>
        </w:rPr>
        <w:t>)</w:t>
      </w:r>
      <w:r w:rsidR="000F7642" w:rsidRPr="00D97B55">
        <w:rPr>
          <w:rFonts w:eastAsia="Times New Roman"/>
          <w:szCs w:val="28"/>
          <w:lang w:eastAsia="lv-LV"/>
        </w:rPr>
        <w:t xml:space="preserve">, </w:t>
      </w:r>
      <w:r w:rsidR="00CD2434" w:rsidRPr="00D97B55">
        <w:rPr>
          <w:rFonts w:eastAsia="Times New Roman"/>
          <w:szCs w:val="28"/>
          <w:lang w:eastAsia="lv-LV"/>
        </w:rPr>
        <w:t xml:space="preserve">Carnikavas novadā </w:t>
      </w:r>
      <w:r w:rsidR="00122743">
        <w:rPr>
          <w:rFonts w:eastAsia="Times New Roman"/>
          <w:szCs w:val="28"/>
          <w:lang w:eastAsia="lv-LV"/>
        </w:rPr>
        <w:t>– par 26,4</w:t>
      </w:r>
      <w:r w:rsidR="000F7642" w:rsidRPr="00D97B55">
        <w:rPr>
          <w:rFonts w:eastAsia="Times New Roman"/>
          <w:szCs w:val="28"/>
          <w:lang w:eastAsia="lv-LV"/>
        </w:rPr>
        <w:t>%</w:t>
      </w:r>
      <w:r w:rsidR="00477C51" w:rsidRPr="00D97B55">
        <w:rPr>
          <w:rFonts w:eastAsia="Times New Roman"/>
          <w:szCs w:val="28"/>
          <w:lang w:eastAsia="lv-LV"/>
        </w:rPr>
        <w:t xml:space="preserve"> (</w:t>
      </w:r>
      <w:r w:rsidR="00402A78" w:rsidRPr="00D97B55">
        <w:rPr>
          <w:rFonts w:eastAsia="Times New Roman"/>
          <w:szCs w:val="28"/>
          <w:lang w:eastAsia="lv-LV"/>
        </w:rPr>
        <w:t>bez parād</w:t>
      </w:r>
      <w:r w:rsidR="004C6FBA" w:rsidRPr="00D97B55">
        <w:rPr>
          <w:rFonts w:eastAsia="Times New Roman"/>
          <w:szCs w:val="28"/>
          <w:lang w:eastAsia="lv-LV"/>
        </w:rPr>
        <w:t>a</w:t>
      </w:r>
      <w:r w:rsidR="00402A78" w:rsidRPr="00D97B55">
        <w:rPr>
          <w:rFonts w:eastAsia="Times New Roman"/>
          <w:szCs w:val="28"/>
          <w:lang w:eastAsia="lv-LV"/>
        </w:rPr>
        <w:t xml:space="preserve"> maksājumiem – </w:t>
      </w:r>
      <w:r w:rsidR="00477C51" w:rsidRPr="00D97B55">
        <w:rPr>
          <w:rFonts w:eastAsia="Times New Roman"/>
          <w:szCs w:val="28"/>
          <w:lang w:eastAsia="lv-LV"/>
        </w:rPr>
        <w:t xml:space="preserve">par </w:t>
      </w:r>
      <w:r w:rsidR="00122743">
        <w:rPr>
          <w:rFonts w:eastAsia="Times New Roman"/>
          <w:szCs w:val="28"/>
          <w:lang w:eastAsia="lv-LV"/>
        </w:rPr>
        <w:t>18,3</w:t>
      </w:r>
      <w:r w:rsidR="00357C89" w:rsidRPr="00D97B55">
        <w:rPr>
          <w:rFonts w:eastAsia="Times New Roman"/>
          <w:szCs w:val="28"/>
          <w:lang w:eastAsia="lv-LV"/>
        </w:rPr>
        <w:t>%</w:t>
      </w:r>
      <w:r w:rsidR="00477C51" w:rsidRPr="00D97B55">
        <w:rPr>
          <w:rFonts w:eastAsia="Times New Roman"/>
          <w:szCs w:val="28"/>
          <w:lang w:eastAsia="lv-LV"/>
        </w:rPr>
        <w:t>)</w:t>
      </w:r>
      <w:r w:rsidR="000F7642" w:rsidRPr="00D97B55">
        <w:rPr>
          <w:rFonts w:eastAsia="Times New Roman"/>
          <w:szCs w:val="28"/>
          <w:lang w:eastAsia="lv-LV"/>
        </w:rPr>
        <w:t>, Mārupes novad</w:t>
      </w:r>
      <w:r w:rsidR="00CD2434" w:rsidRPr="00D97B55">
        <w:rPr>
          <w:rFonts w:eastAsia="Times New Roman"/>
          <w:szCs w:val="28"/>
          <w:lang w:eastAsia="lv-LV"/>
        </w:rPr>
        <w:t xml:space="preserve">ā </w:t>
      </w:r>
      <w:r w:rsidR="00122743">
        <w:rPr>
          <w:rFonts w:eastAsia="Times New Roman"/>
          <w:szCs w:val="28"/>
          <w:lang w:eastAsia="lv-LV"/>
        </w:rPr>
        <w:t>– par 28,3</w:t>
      </w:r>
      <w:r w:rsidR="000F7642" w:rsidRPr="00D97B55">
        <w:rPr>
          <w:rFonts w:eastAsia="Times New Roman"/>
          <w:szCs w:val="28"/>
          <w:lang w:eastAsia="lv-LV"/>
        </w:rPr>
        <w:t>%</w:t>
      </w:r>
      <w:r w:rsidR="00477C51" w:rsidRPr="00D97B55">
        <w:rPr>
          <w:rFonts w:eastAsia="Times New Roman"/>
          <w:szCs w:val="28"/>
          <w:lang w:eastAsia="lv-LV"/>
        </w:rPr>
        <w:t xml:space="preserve"> (</w:t>
      </w:r>
      <w:r w:rsidR="00402A78" w:rsidRPr="00D97B55">
        <w:rPr>
          <w:rFonts w:eastAsia="Times New Roman"/>
          <w:szCs w:val="28"/>
          <w:lang w:eastAsia="lv-LV"/>
        </w:rPr>
        <w:t>bez parād</w:t>
      </w:r>
      <w:r w:rsidR="004C6FBA" w:rsidRPr="00D97B55">
        <w:rPr>
          <w:rFonts w:eastAsia="Times New Roman"/>
          <w:szCs w:val="28"/>
          <w:lang w:eastAsia="lv-LV"/>
        </w:rPr>
        <w:t>a</w:t>
      </w:r>
      <w:r w:rsidR="00402A78" w:rsidRPr="00D97B55">
        <w:rPr>
          <w:rFonts w:eastAsia="Times New Roman"/>
          <w:szCs w:val="28"/>
          <w:lang w:eastAsia="lv-LV"/>
        </w:rPr>
        <w:t xml:space="preserve"> maksājumiem –</w:t>
      </w:r>
      <w:r w:rsidR="00477C51" w:rsidRPr="00D97B55">
        <w:rPr>
          <w:rFonts w:eastAsia="Times New Roman"/>
          <w:szCs w:val="28"/>
          <w:lang w:eastAsia="lv-LV"/>
        </w:rPr>
        <w:t xml:space="preserve"> par</w:t>
      </w:r>
      <w:r w:rsidR="00122743">
        <w:rPr>
          <w:rFonts w:eastAsia="Times New Roman"/>
          <w:szCs w:val="28"/>
          <w:lang w:eastAsia="lv-LV"/>
        </w:rPr>
        <w:t xml:space="preserve"> 17,5</w:t>
      </w:r>
      <w:r w:rsidR="00357C89" w:rsidRPr="00D97B55">
        <w:rPr>
          <w:rFonts w:eastAsia="Times New Roman"/>
          <w:szCs w:val="28"/>
          <w:lang w:eastAsia="lv-LV"/>
        </w:rPr>
        <w:t>%</w:t>
      </w:r>
      <w:r w:rsidR="00CD2434" w:rsidRPr="00D97B55">
        <w:rPr>
          <w:rFonts w:eastAsia="Times New Roman"/>
          <w:szCs w:val="28"/>
          <w:lang w:eastAsia="lv-LV"/>
        </w:rPr>
        <w:t>)</w:t>
      </w:r>
      <w:r w:rsidR="000F7642" w:rsidRPr="00D97B55">
        <w:rPr>
          <w:rFonts w:eastAsia="Times New Roman"/>
          <w:szCs w:val="28"/>
          <w:lang w:eastAsia="lv-LV"/>
        </w:rPr>
        <w:t>.</w:t>
      </w:r>
    </w:p>
    <w:p w14:paraId="6C6F177E" w14:textId="5989A52D" w:rsidR="00CB1CDD" w:rsidRPr="00D97B55" w:rsidRDefault="00010286" w:rsidP="00C33621">
      <w:pPr>
        <w:widowControl w:val="0"/>
        <w:tabs>
          <w:tab w:val="left" w:pos="6740"/>
        </w:tabs>
        <w:suppressAutoHyphens w:val="0"/>
        <w:autoSpaceDN/>
        <w:ind w:firstLine="709"/>
        <w:jc w:val="both"/>
        <w:textAlignment w:val="auto"/>
        <w:rPr>
          <w:rFonts w:eastAsia="Times New Roman"/>
          <w:szCs w:val="28"/>
          <w:lang w:eastAsia="lv-LV"/>
        </w:rPr>
      </w:pPr>
      <w:r w:rsidRPr="00D97B55">
        <w:rPr>
          <w:rFonts w:eastAsia="Times New Roman"/>
          <w:szCs w:val="28"/>
          <w:lang w:eastAsia="lv-LV"/>
        </w:rPr>
        <w:t xml:space="preserve">Kopējā pašvaldību nekustamā īpašuma nodokļa ieņēmumu </w:t>
      </w:r>
      <w:r w:rsidR="00056696">
        <w:rPr>
          <w:rFonts w:eastAsia="Times New Roman"/>
          <w:szCs w:val="28"/>
          <w:lang w:eastAsia="lv-LV"/>
        </w:rPr>
        <w:t>izpilde</w:t>
      </w:r>
      <w:r w:rsidRPr="00D97B55">
        <w:rPr>
          <w:rFonts w:eastAsia="Times New Roman"/>
          <w:szCs w:val="28"/>
          <w:lang w:eastAsia="lv-LV"/>
        </w:rPr>
        <w:t xml:space="preserve"> </w:t>
      </w:r>
      <w:r w:rsidR="00297639" w:rsidRPr="00D97B55">
        <w:rPr>
          <w:rFonts w:eastAsia="Times New Roman"/>
          <w:szCs w:val="28"/>
          <w:lang w:eastAsia="lv-LV"/>
        </w:rPr>
        <w:t xml:space="preserve">2016.gadā </w:t>
      </w:r>
      <w:r w:rsidRPr="00D97B55">
        <w:rPr>
          <w:rFonts w:eastAsia="Times New Roman"/>
          <w:szCs w:val="28"/>
          <w:lang w:eastAsia="lv-LV"/>
        </w:rPr>
        <w:t>kopā ar iepriekšējā gada parāda maksājumiem pārsniedz pašvaldību kopējo nekustamā īp</w:t>
      </w:r>
      <w:r w:rsidR="00E405C6">
        <w:rPr>
          <w:rFonts w:eastAsia="Times New Roman"/>
          <w:szCs w:val="28"/>
          <w:lang w:eastAsia="lv-LV"/>
        </w:rPr>
        <w:t>ašuma nodokļa prognozi par 31,9</w:t>
      </w:r>
      <w:r w:rsidRPr="00D97B55">
        <w:rPr>
          <w:rFonts w:eastAsia="Times New Roman"/>
          <w:szCs w:val="28"/>
          <w:lang w:eastAsia="lv-LV"/>
        </w:rPr>
        <w:t>%</w:t>
      </w:r>
      <w:r w:rsidR="002621FB">
        <w:rPr>
          <w:rFonts w:eastAsia="Times New Roman"/>
          <w:szCs w:val="28"/>
          <w:lang w:eastAsia="lv-LV"/>
        </w:rPr>
        <w:t xml:space="preserve"> (informatīvā tabula “</w:t>
      </w:r>
      <w:r w:rsidR="00A61676" w:rsidRPr="00A61676">
        <w:rPr>
          <w:rFonts w:eastAsia="Times New Roman"/>
          <w:szCs w:val="28"/>
          <w:lang w:eastAsia="lv-LV"/>
        </w:rPr>
        <w:t>Nekustamā īpašuma nodokļa prognoze un izpilde 2016.gadā</w:t>
      </w:r>
      <w:r w:rsidR="002621FB">
        <w:rPr>
          <w:rFonts w:eastAsia="Times New Roman"/>
          <w:szCs w:val="28"/>
          <w:lang w:eastAsia="lv-LV"/>
        </w:rPr>
        <w:t>”)</w:t>
      </w:r>
      <w:r w:rsidR="006F3A1D" w:rsidRPr="00D97B55">
        <w:rPr>
          <w:rFonts w:eastAsia="Times New Roman"/>
          <w:szCs w:val="28"/>
          <w:lang w:eastAsia="lv-LV"/>
        </w:rPr>
        <w:t>.</w:t>
      </w:r>
    </w:p>
    <w:p w14:paraId="7CE52CA3" w14:textId="77777777" w:rsidR="006F3A1D" w:rsidRPr="00D97B55" w:rsidRDefault="006F3A1D" w:rsidP="006F3A1D">
      <w:pPr>
        <w:widowControl w:val="0"/>
        <w:tabs>
          <w:tab w:val="left" w:pos="6740"/>
        </w:tabs>
        <w:suppressAutoHyphens w:val="0"/>
        <w:autoSpaceDN/>
        <w:spacing w:before="120" w:after="120"/>
        <w:ind w:firstLine="709"/>
        <w:jc w:val="right"/>
        <w:textAlignment w:val="auto"/>
        <w:rPr>
          <w:i/>
          <w:sz w:val="24"/>
          <w:szCs w:val="24"/>
        </w:rPr>
      </w:pPr>
      <w:r w:rsidRPr="00D97B55">
        <w:rPr>
          <w:i/>
          <w:sz w:val="24"/>
          <w:szCs w:val="24"/>
        </w:rPr>
        <w:t>1.tabula</w:t>
      </w:r>
    </w:p>
    <w:p w14:paraId="7EEE70C2" w14:textId="77777777" w:rsidR="006F3A1D" w:rsidRDefault="006F3A1D" w:rsidP="001353BB">
      <w:pPr>
        <w:widowControl w:val="0"/>
        <w:tabs>
          <w:tab w:val="left" w:pos="6740"/>
        </w:tabs>
        <w:suppressAutoHyphens w:val="0"/>
        <w:autoSpaceDN/>
        <w:spacing w:after="120"/>
        <w:jc w:val="both"/>
        <w:textAlignment w:val="auto"/>
        <w:rPr>
          <w:b/>
          <w:sz w:val="24"/>
          <w:szCs w:val="24"/>
        </w:rPr>
      </w:pPr>
      <w:r w:rsidRPr="00D97B55">
        <w:rPr>
          <w:b/>
          <w:sz w:val="24"/>
          <w:szCs w:val="24"/>
        </w:rPr>
        <w:t>Pašvaldības, kurām nekustamā īpašuma nodokļa ieņēmumu</w:t>
      </w:r>
      <w:r w:rsidR="00D95C12" w:rsidRPr="00D97B55">
        <w:rPr>
          <w:b/>
          <w:sz w:val="24"/>
          <w:szCs w:val="24"/>
        </w:rPr>
        <w:t>,</w:t>
      </w:r>
      <w:r w:rsidR="00D95C12" w:rsidRPr="00D97B55">
        <w:t xml:space="preserve"> </w:t>
      </w:r>
      <w:r w:rsidR="00D95C12" w:rsidRPr="00D97B55">
        <w:rPr>
          <w:b/>
          <w:sz w:val="24"/>
          <w:szCs w:val="24"/>
        </w:rPr>
        <w:t xml:space="preserve">neieskaitot parāda maksājumus, </w:t>
      </w:r>
      <w:r w:rsidRPr="00D97B55">
        <w:rPr>
          <w:b/>
          <w:sz w:val="24"/>
          <w:szCs w:val="24"/>
        </w:rPr>
        <w:t>izpilde 2016.gadā ir mazākā apmērā nekā prognozētie nekustamā īpašuma nodokļa ieņēmumi*</w:t>
      </w:r>
    </w:p>
    <w:tbl>
      <w:tblPr>
        <w:tblStyle w:val="TableGrid"/>
        <w:tblW w:w="9352" w:type="dxa"/>
        <w:tblLayout w:type="fixed"/>
        <w:tblLook w:val="04A0" w:firstRow="1" w:lastRow="0" w:firstColumn="1" w:lastColumn="0" w:noHBand="0" w:noVBand="1"/>
      </w:tblPr>
      <w:tblGrid>
        <w:gridCol w:w="1462"/>
        <w:gridCol w:w="1369"/>
        <w:gridCol w:w="1560"/>
        <w:gridCol w:w="1417"/>
        <w:gridCol w:w="1843"/>
        <w:gridCol w:w="1701"/>
      </w:tblGrid>
      <w:tr w:rsidR="00F635B1" w:rsidRPr="00D97B55" w14:paraId="3F892F3C" w14:textId="77777777" w:rsidTr="00CC3FA2">
        <w:tc>
          <w:tcPr>
            <w:tcW w:w="1462" w:type="dxa"/>
            <w:shd w:val="clear" w:color="auto" w:fill="D9D9D9" w:themeFill="background1" w:themeFillShade="D9"/>
            <w:vAlign w:val="center"/>
          </w:tcPr>
          <w:p w14:paraId="2BE1E053"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Pašvaldības</w:t>
            </w:r>
          </w:p>
        </w:tc>
        <w:tc>
          <w:tcPr>
            <w:tcW w:w="1369" w:type="dxa"/>
            <w:shd w:val="clear" w:color="auto" w:fill="D9D9D9" w:themeFill="background1" w:themeFillShade="D9"/>
            <w:vAlign w:val="center"/>
          </w:tcPr>
          <w:p w14:paraId="13679850" w14:textId="77777777" w:rsidR="00F635B1" w:rsidRPr="00391E2A" w:rsidRDefault="00F635B1" w:rsidP="00CC3FA2">
            <w:pPr>
              <w:widowControl w:val="0"/>
              <w:tabs>
                <w:tab w:val="left" w:pos="6740"/>
              </w:tabs>
              <w:suppressAutoHyphens w:val="0"/>
              <w:autoSpaceDN/>
              <w:ind w:left="-157" w:right="-107"/>
              <w:jc w:val="center"/>
              <w:textAlignment w:val="auto"/>
              <w:rPr>
                <w:b/>
                <w:sz w:val="23"/>
                <w:szCs w:val="23"/>
              </w:rPr>
            </w:pPr>
            <w:r w:rsidRPr="00391E2A">
              <w:rPr>
                <w:b/>
                <w:sz w:val="23"/>
                <w:szCs w:val="23"/>
              </w:rPr>
              <w:t>NĪN prognoze</w:t>
            </w:r>
            <w:r w:rsidR="005E6436" w:rsidRPr="00391E2A">
              <w:rPr>
                <w:b/>
                <w:sz w:val="23"/>
                <w:szCs w:val="23"/>
              </w:rPr>
              <w:t>**</w:t>
            </w:r>
            <w:r w:rsidRPr="00391E2A">
              <w:rPr>
                <w:b/>
                <w:sz w:val="23"/>
                <w:szCs w:val="23"/>
              </w:rPr>
              <w:t>, EUR</w:t>
            </w:r>
          </w:p>
        </w:tc>
        <w:tc>
          <w:tcPr>
            <w:tcW w:w="1560" w:type="dxa"/>
            <w:shd w:val="clear" w:color="auto" w:fill="D9D9D9" w:themeFill="background1" w:themeFillShade="D9"/>
            <w:vAlign w:val="center"/>
          </w:tcPr>
          <w:p w14:paraId="084AE578"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Kārtējā gada NĪN (bez parādiem) izpilde, EUR</w:t>
            </w:r>
          </w:p>
        </w:tc>
        <w:tc>
          <w:tcPr>
            <w:tcW w:w="1417" w:type="dxa"/>
            <w:shd w:val="clear" w:color="auto" w:fill="D9D9D9" w:themeFill="background1" w:themeFillShade="D9"/>
            <w:vAlign w:val="center"/>
          </w:tcPr>
          <w:p w14:paraId="3C51ED1C"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NĪN, t.sk parāda maksājumi, izpilde, EUR</w:t>
            </w:r>
          </w:p>
        </w:tc>
        <w:tc>
          <w:tcPr>
            <w:tcW w:w="1843" w:type="dxa"/>
            <w:shd w:val="clear" w:color="auto" w:fill="D9D9D9" w:themeFill="background1" w:themeFillShade="D9"/>
            <w:vAlign w:val="center"/>
          </w:tcPr>
          <w:p w14:paraId="2E020DB6"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Kārtējā gada NĪN (bez parādiem) izpildes starpība pret NĪN prognozi</w:t>
            </w:r>
            <w:r w:rsidR="00CC3FA2">
              <w:rPr>
                <w:b/>
                <w:sz w:val="23"/>
                <w:szCs w:val="23"/>
              </w:rPr>
              <w:t>**</w:t>
            </w:r>
            <w:r w:rsidRPr="00391E2A">
              <w:rPr>
                <w:b/>
                <w:sz w:val="23"/>
                <w:szCs w:val="23"/>
              </w:rPr>
              <w:t>, %</w:t>
            </w:r>
          </w:p>
        </w:tc>
        <w:tc>
          <w:tcPr>
            <w:tcW w:w="1701" w:type="dxa"/>
            <w:shd w:val="clear" w:color="auto" w:fill="D9D9D9" w:themeFill="background1" w:themeFillShade="D9"/>
            <w:vAlign w:val="center"/>
          </w:tcPr>
          <w:p w14:paraId="1FD4BDFC"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NĪN, t.sk. parāda maksājumi, izpildes starpība pret NĪN prognozi</w:t>
            </w:r>
            <w:r w:rsidR="00CC3FA2">
              <w:rPr>
                <w:b/>
                <w:sz w:val="23"/>
                <w:szCs w:val="23"/>
              </w:rPr>
              <w:t>**</w:t>
            </w:r>
            <w:r w:rsidRPr="00391E2A">
              <w:rPr>
                <w:b/>
                <w:sz w:val="23"/>
                <w:szCs w:val="23"/>
              </w:rPr>
              <w:t>, %</w:t>
            </w:r>
          </w:p>
        </w:tc>
      </w:tr>
      <w:tr w:rsidR="00F635B1" w:rsidRPr="00D97B55" w14:paraId="3C0CA692" w14:textId="77777777" w:rsidTr="00CC3FA2">
        <w:tc>
          <w:tcPr>
            <w:tcW w:w="1462" w:type="dxa"/>
            <w:vAlign w:val="center"/>
          </w:tcPr>
          <w:p w14:paraId="0CE5DD9A" w14:textId="77777777" w:rsidR="00F635B1" w:rsidRPr="00391E2A" w:rsidRDefault="00F635B1" w:rsidP="00F635B1">
            <w:pPr>
              <w:widowControl w:val="0"/>
              <w:tabs>
                <w:tab w:val="left" w:pos="6740"/>
              </w:tabs>
              <w:suppressAutoHyphens w:val="0"/>
              <w:autoSpaceDN/>
              <w:textAlignment w:val="auto"/>
              <w:rPr>
                <w:sz w:val="23"/>
                <w:szCs w:val="23"/>
              </w:rPr>
            </w:pPr>
            <w:r w:rsidRPr="00391E2A">
              <w:rPr>
                <w:sz w:val="23"/>
                <w:szCs w:val="23"/>
              </w:rPr>
              <w:t>Skrīveru novads</w:t>
            </w:r>
          </w:p>
        </w:tc>
        <w:tc>
          <w:tcPr>
            <w:tcW w:w="1369" w:type="dxa"/>
            <w:vAlign w:val="center"/>
          </w:tcPr>
          <w:p w14:paraId="69731763"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123 394</w:t>
            </w:r>
          </w:p>
        </w:tc>
        <w:tc>
          <w:tcPr>
            <w:tcW w:w="1560" w:type="dxa"/>
            <w:vAlign w:val="center"/>
          </w:tcPr>
          <w:p w14:paraId="7F5524E0"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56 698</w:t>
            </w:r>
          </w:p>
        </w:tc>
        <w:tc>
          <w:tcPr>
            <w:tcW w:w="1417" w:type="dxa"/>
            <w:vAlign w:val="center"/>
          </w:tcPr>
          <w:p w14:paraId="0074A582"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171 048</w:t>
            </w:r>
          </w:p>
        </w:tc>
        <w:tc>
          <w:tcPr>
            <w:tcW w:w="1843" w:type="dxa"/>
            <w:vAlign w:val="center"/>
          </w:tcPr>
          <w:p w14:paraId="15FE10B8"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-54,1</w:t>
            </w:r>
            <w:r w:rsidR="00F635B1" w:rsidRPr="00391E2A">
              <w:rPr>
                <w:sz w:val="23"/>
                <w:szCs w:val="23"/>
              </w:rPr>
              <w:t>%</w:t>
            </w:r>
          </w:p>
        </w:tc>
        <w:tc>
          <w:tcPr>
            <w:tcW w:w="1701" w:type="dxa"/>
            <w:vAlign w:val="center"/>
          </w:tcPr>
          <w:p w14:paraId="4ED427EE"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+38,6</w:t>
            </w:r>
            <w:r w:rsidR="00F635B1" w:rsidRPr="00391E2A">
              <w:rPr>
                <w:sz w:val="23"/>
                <w:szCs w:val="23"/>
              </w:rPr>
              <w:t>%</w:t>
            </w:r>
          </w:p>
        </w:tc>
      </w:tr>
      <w:tr w:rsidR="00F635B1" w:rsidRPr="00D97B55" w14:paraId="765A8A8D" w14:textId="77777777" w:rsidTr="00CC3FA2">
        <w:tc>
          <w:tcPr>
            <w:tcW w:w="1462" w:type="dxa"/>
            <w:vAlign w:val="center"/>
          </w:tcPr>
          <w:p w14:paraId="4C5F0DBF" w14:textId="77777777" w:rsidR="00F635B1" w:rsidRPr="00391E2A" w:rsidRDefault="00F635B1" w:rsidP="00F635B1">
            <w:pPr>
              <w:widowControl w:val="0"/>
              <w:tabs>
                <w:tab w:val="left" w:pos="6740"/>
              </w:tabs>
              <w:suppressAutoHyphens w:val="0"/>
              <w:autoSpaceDN/>
              <w:textAlignment w:val="auto"/>
              <w:rPr>
                <w:sz w:val="23"/>
                <w:szCs w:val="23"/>
              </w:rPr>
            </w:pPr>
            <w:r w:rsidRPr="00391E2A">
              <w:rPr>
                <w:sz w:val="23"/>
                <w:szCs w:val="23"/>
              </w:rPr>
              <w:t>Engures novads</w:t>
            </w:r>
          </w:p>
        </w:tc>
        <w:tc>
          <w:tcPr>
            <w:tcW w:w="1369" w:type="dxa"/>
            <w:vAlign w:val="center"/>
          </w:tcPr>
          <w:p w14:paraId="759F4900"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784 192</w:t>
            </w:r>
          </w:p>
        </w:tc>
        <w:tc>
          <w:tcPr>
            <w:tcW w:w="1560" w:type="dxa"/>
            <w:vAlign w:val="center"/>
          </w:tcPr>
          <w:p w14:paraId="7AC0856D"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691 825</w:t>
            </w:r>
          </w:p>
        </w:tc>
        <w:tc>
          <w:tcPr>
            <w:tcW w:w="1417" w:type="dxa"/>
            <w:vAlign w:val="center"/>
          </w:tcPr>
          <w:p w14:paraId="46CB8D53"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823 654</w:t>
            </w:r>
          </w:p>
        </w:tc>
        <w:tc>
          <w:tcPr>
            <w:tcW w:w="1843" w:type="dxa"/>
            <w:vAlign w:val="center"/>
          </w:tcPr>
          <w:p w14:paraId="09F98432"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-11,8</w:t>
            </w:r>
            <w:r w:rsidR="00F635B1" w:rsidRPr="00391E2A">
              <w:rPr>
                <w:sz w:val="23"/>
                <w:szCs w:val="23"/>
              </w:rPr>
              <w:t>%</w:t>
            </w:r>
          </w:p>
        </w:tc>
        <w:tc>
          <w:tcPr>
            <w:tcW w:w="1701" w:type="dxa"/>
            <w:vAlign w:val="center"/>
          </w:tcPr>
          <w:p w14:paraId="445119E0"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+5,0</w:t>
            </w:r>
            <w:r w:rsidR="00F635B1" w:rsidRPr="00391E2A">
              <w:rPr>
                <w:sz w:val="23"/>
                <w:szCs w:val="23"/>
              </w:rPr>
              <w:t>%</w:t>
            </w:r>
          </w:p>
        </w:tc>
      </w:tr>
      <w:tr w:rsidR="00F635B1" w:rsidRPr="00D97B55" w14:paraId="5DE0E24E" w14:textId="77777777" w:rsidTr="00CC3FA2">
        <w:tc>
          <w:tcPr>
            <w:tcW w:w="1462" w:type="dxa"/>
            <w:vAlign w:val="center"/>
          </w:tcPr>
          <w:p w14:paraId="0A823DCF" w14:textId="77777777" w:rsidR="00F635B1" w:rsidRPr="00391E2A" w:rsidRDefault="00F635B1" w:rsidP="00F635B1">
            <w:pPr>
              <w:widowControl w:val="0"/>
              <w:tabs>
                <w:tab w:val="left" w:pos="6740"/>
              </w:tabs>
              <w:suppressAutoHyphens w:val="0"/>
              <w:autoSpaceDN/>
              <w:textAlignment w:val="auto"/>
              <w:rPr>
                <w:sz w:val="23"/>
                <w:szCs w:val="23"/>
              </w:rPr>
            </w:pPr>
            <w:r w:rsidRPr="00391E2A">
              <w:rPr>
                <w:sz w:val="23"/>
                <w:szCs w:val="23"/>
              </w:rPr>
              <w:lastRenderedPageBreak/>
              <w:t>Garkalnes novads</w:t>
            </w:r>
          </w:p>
        </w:tc>
        <w:tc>
          <w:tcPr>
            <w:tcW w:w="1369" w:type="dxa"/>
            <w:vAlign w:val="center"/>
          </w:tcPr>
          <w:p w14:paraId="4189E7F8"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1 733 963</w:t>
            </w:r>
          </w:p>
        </w:tc>
        <w:tc>
          <w:tcPr>
            <w:tcW w:w="1560" w:type="dxa"/>
            <w:vAlign w:val="center"/>
          </w:tcPr>
          <w:p w14:paraId="6294F0A8"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1 574 684</w:t>
            </w:r>
          </w:p>
        </w:tc>
        <w:tc>
          <w:tcPr>
            <w:tcW w:w="1417" w:type="dxa"/>
            <w:vAlign w:val="center"/>
          </w:tcPr>
          <w:p w14:paraId="06E13586"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1 830 963</w:t>
            </w:r>
          </w:p>
        </w:tc>
        <w:tc>
          <w:tcPr>
            <w:tcW w:w="1843" w:type="dxa"/>
            <w:vAlign w:val="center"/>
          </w:tcPr>
          <w:p w14:paraId="08CF1D04"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-9,2</w:t>
            </w:r>
            <w:r w:rsidR="00F635B1" w:rsidRPr="00391E2A">
              <w:rPr>
                <w:sz w:val="23"/>
                <w:szCs w:val="23"/>
              </w:rPr>
              <w:t>%</w:t>
            </w:r>
          </w:p>
        </w:tc>
        <w:tc>
          <w:tcPr>
            <w:tcW w:w="1701" w:type="dxa"/>
            <w:vAlign w:val="center"/>
          </w:tcPr>
          <w:p w14:paraId="0C98D2EF"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+5,6</w:t>
            </w:r>
            <w:r w:rsidR="00F635B1" w:rsidRPr="00391E2A">
              <w:rPr>
                <w:sz w:val="23"/>
                <w:szCs w:val="23"/>
              </w:rPr>
              <w:t>%</w:t>
            </w:r>
          </w:p>
        </w:tc>
      </w:tr>
      <w:tr w:rsidR="00F635B1" w:rsidRPr="00D97B55" w14:paraId="35308765" w14:textId="77777777" w:rsidTr="00CC3FA2">
        <w:tc>
          <w:tcPr>
            <w:tcW w:w="1462" w:type="dxa"/>
            <w:vAlign w:val="center"/>
          </w:tcPr>
          <w:p w14:paraId="1756AF1E" w14:textId="77777777" w:rsidR="00F635B1" w:rsidRPr="00391E2A" w:rsidRDefault="00F635B1" w:rsidP="00F635B1">
            <w:pPr>
              <w:widowControl w:val="0"/>
              <w:tabs>
                <w:tab w:val="left" w:pos="6740"/>
              </w:tabs>
              <w:suppressAutoHyphens w:val="0"/>
              <w:autoSpaceDN/>
              <w:textAlignment w:val="auto"/>
              <w:rPr>
                <w:sz w:val="23"/>
                <w:szCs w:val="23"/>
              </w:rPr>
            </w:pPr>
            <w:r w:rsidRPr="00391E2A">
              <w:rPr>
                <w:sz w:val="23"/>
                <w:szCs w:val="23"/>
              </w:rPr>
              <w:t>Jūrmalas pilsēta</w:t>
            </w:r>
          </w:p>
        </w:tc>
        <w:tc>
          <w:tcPr>
            <w:tcW w:w="1369" w:type="dxa"/>
            <w:vAlign w:val="center"/>
          </w:tcPr>
          <w:p w14:paraId="7388D123"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9 745 542</w:t>
            </w:r>
          </w:p>
        </w:tc>
        <w:tc>
          <w:tcPr>
            <w:tcW w:w="1560" w:type="dxa"/>
            <w:vAlign w:val="center"/>
          </w:tcPr>
          <w:p w14:paraId="62CC113E"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8 996 386</w:t>
            </w:r>
          </w:p>
        </w:tc>
        <w:tc>
          <w:tcPr>
            <w:tcW w:w="1417" w:type="dxa"/>
            <w:vAlign w:val="center"/>
          </w:tcPr>
          <w:p w14:paraId="49BE5628"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10 250 317</w:t>
            </w:r>
          </w:p>
        </w:tc>
        <w:tc>
          <w:tcPr>
            <w:tcW w:w="1843" w:type="dxa"/>
            <w:vAlign w:val="center"/>
          </w:tcPr>
          <w:p w14:paraId="25FC262F"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-7,7</w:t>
            </w:r>
            <w:r w:rsidR="00F635B1" w:rsidRPr="00391E2A">
              <w:rPr>
                <w:sz w:val="23"/>
                <w:szCs w:val="23"/>
              </w:rPr>
              <w:t>%</w:t>
            </w:r>
          </w:p>
        </w:tc>
        <w:tc>
          <w:tcPr>
            <w:tcW w:w="1701" w:type="dxa"/>
            <w:vAlign w:val="center"/>
          </w:tcPr>
          <w:p w14:paraId="555190E5"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+5,2</w:t>
            </w:r>
            <w:r w:rsidR="00F635B1" w:rsidRPr="00391E2A">
              <w:rPr>
                <w:sz w:val="23"/>
                <w:szCs w:val="23"/>
              </w:rPr>
              <w:t>%</w:t>
            </w:r>
          </w:p>
        </w:tc>
      </w:tr>
      <w:tr w:rsidR="00F50D3E" w:rsidRPr="00D97B55" w14:paraId="59FF113E" w14:textId="77777777" w:rsidTr="00CC3FA2">
        <w:tc>
          <w:tcPr>
            <w:tcW w:w="1462" w:type="dxa"/>
          </w:tcPr>
          <w:p w14:paraId="21C6FE3E" w14:textId="77777777" w:rsidR="00F50D3E" w:rsidRPr="00391E2A" w:rsidRDefault="00F50D3E" w:rsidP="00F50D3E">
            <w:pPr>
              <w:widowControl w:val="0"/>
              <w:tabs>
                <w:tab w:val="left" w:pos="6740"/>
              </w:tabs>
              <w:suppressAutoHyphens w:val="0"/>
              <w:autoSpaceDN/>
              <w:jc w:val="both"/>
              <w:textAlignment w:val="auto"/>
              <w:rPr>
                <w:sz w:val="23"/>
                <w:szCs w:val="23"/>
              </w:rPr>
            </w:pPr>
            <w:r w:rsidRPr="00391E2A">
              <w:rPr>
                <w:sz w:val="23"/>
                <w:szCs w:val="23"/>
              </w:rPr>
              <w:t>Ikšķiles novads</w:t>
            </w:r>
          </w:p>
        </w:tc>
        <w:tc>
          <w:tcPr>
            <w:tcW w:w="1369" w:type="dxa"/>
            <w:vAlign w:val="center"/>
          </w:tcPr>
          <w:p w14:paraId="6A144E1D" w14:textId="77777777" w:rsidR="00F50D3E" w:rsidRPr="00391E2A" w:rsidRDefault="00F50D3E" w:rsidP="00F50D3E">
            <w:pPr>
              <w:widowControl w:val="0"/>
              <w:tabs>
                <w:tab w:val="left" w:pos="6740"/>
              </w:tabs>
              <w:suppressAutoHyphens w:val="0"/>
              <w:autoSpaceDN/>
              <w:jc w:val="center"/>
              <w:textAlignment w:val="auto"/>
              <w:rPr>
                <w:sz w:val="23"/>
                <w:szCs w:val="23"/>
              </w:rPr>
            </w:pPr>
            <w:r w:rsidRPr="00391E2A">
              <w:rPr>
                <w:sz w:val="23"/>
                <w:szCs w:val="23"/>
              </w:rPr>
              <w:t>582 088</w:t>
            </w:r>
          </w:p>
        </w:tc>
        <w:tc>
          <w:tcPr>
            <w:tcW w:w="1560" w:type="dxa"/>
            <w:vAlign w:val="center"/>
          </w:tcPr>
          <w:p w14:paraId="28059437" w14:textId="77777777" w:rsidR="00F50D3E" w:rsidRPr="00391E2A" w:rsidRDefault="00F50D3E" w:rsidP="00F50D3E">
            <w:pPr>
              <w:widowControl w:val="0"/>
              <w:tabs>
                <w:tab w:val="left" w:pos="6740"/>
              </w:tabs>
              <w:suppressAutoHyphens w:val="0"/>
              <w:autoSpaceDN/>
              <w:jc w:val="center"/>
              <w:textAlignment w:val="auto"/>
              <w:rPr>
                <w:sz w:val="23"/>
                <w:szCs w:val="23"/>
              </w:rPr>
            </w:pPr>
            <w:r w:rsidRPr="00391E2A">
              <w:rPr>
                <w:sz w:val="23"/>
                <w:szCs w:val="23"/>
              </w:rPr>
              <w:t>548 331</w:t>
            </w:r>
          </w:p>
        </w:tc>
        <w:tc>
          <w:tcPr>
            <w:tcW w:w="1417" w:type="dxa"/>
            <w:vAlign w:val="center"/>
          </w:tcPr>
          <w:p w14:paraId="7913C81C" w14:textId="77777777" w:rsidR="00F50D3E" w:rsidRPr="00391E2A" w:rsidRDefault="00F50D3E" w:rsidP="00F50D3E">
            <w:pPr>
              <w:widowControl w:val="0"/>
              <w:tabs>
                <w:tab w:val="left" w:pos="6740"/>
              </w:tabs>
              <w:suppressAutoHyphens w:val="0"/>
              <w:autoSpaceDN/>
              <w:jc w:val="center"/>
              <w:textAlignment w:val="auto"/>
              <w:rPr>
                <w:sz w:val="23"/>
                <w:szCs w:val="23"/>
              </w:rPr>
            </w:pPr>
            <w:r w:rsidRPr="00391E2A">
              <w:rPr>
                <w:sz w:val="23"/>
                <w:szCs w:val="23"/>
              </w:rPr>
              <w:t>618 685</w:t>
            </w:r>
          </w:p>
        </w:tc>
        <w:tc>
          <w:tcPr>
            <w:tcW w:w="1843" w:type="dxa"/>
            <w:vAlign w:val="center"/>
          </w:tcPr>
          <w:p w14:paraId="06F0DAFA" w14:textId="77777777" w:rsidR="00F50D3E" w:rsidRPr="00391E2A" w:rsidRDefault="00E405C6" w:rsidP="00F50D3E">
            <w:pPr>
              <w:widowControl w:val="0"/>
              <w:tabs>
                <w:tab w:val="left" w:pos="6740"/>
              </w:tabs>
              <w:suppressAutoHyphens w:val="0"/>
              <w:autoSpaceDN/>
              <w:jc w:val="center"/>
              <w:textAlignment w:val="auto"/>
              <w:rPr>
                <w:sz w:val="23"/>
                <w:szCs w:val="23"/>
              </w:rPr>
            </w:pPr>
            <w:r w:rsidRPr="00391E2A">
              <w:rPr>
                <w:sz w:val="23"/>
                <w:szCs w:val="23"/>
              </w:rPr>
              <w:t>-5,8</w:t>
            </w:r>
            <w:r w:rsidR="00F50D3E" w:rsidRPr="00391E2A">
              <w:rPr>
                <w:sz w:val="23"/>
                <w:szCs w:val="23"/>
              </w:rPr>
              <w:t>%</w:t>
            </w:r>
          </w:p>
        </w:tc>
        <w:tc>
          <w:tcPr>
            <w:tcW w:w="1701" w:type="dxa"/>
            <w:vAlign w:val="center"/>
          </w:tcPr>
          <w:p w14:paraId="610D6596" w14:textId="77777777" w:rsidR="00F50D3E" w:rsidRPr="00391E2A" w:rsidRDefault="00E405C6" w:rsidP="00F50D3E">
            <w:pPr>
              <w:widowControl w:val="0"/>
              <w:tabs>
                <w:tab w:val="left" w:pos="6740"/>
              </w:tabs>
              <w:suppressAutoHyphens w:val="0"/>
              <w:autoSpaceDN/>
              <w:jc w:val="center"/>
              <w:textAlignment w:val="auto"/>
              <w:rPr>
                <w:sz w:val="23"/>
                <w:szCs w:val="23"/>
              </w:rPr>
            </w:pPr>
            <w:r w:rsidRPr="00391E2A">
              <w:rPr>
                <w:sz w:val="23"/>
                <w:szCs w:val="23"/>
              </w:rPr>
              <w:t>+6,3</w:t>
            </w:r>
            <w:r w:rsidR="00F50D3E" w:rsidRPr="00391E2A">
              <w:rPr>
                <w:sz w:val="23"/>
                <w:szCs w:val="23"/>
              </w:rPr>
              <w:t>%</w:t>
            </w:r>
          </w:p>
        </w:tc>
      </w:tr>
    </w:tbl>
    <w:p w14:paraId="29456AFD" w14:textId="77777777" w:rsidR="00C068C8" w:rsidRDefault="006F3A1D" w:rsidP="00F635B1">
      <w:pPr>
        <w:widowControl w:val="0"/>
        <w:tabs>
          <w:tab w:val="left" w:pos="6135"/>
        </w:tabs>
        <w:suppressAutoHyphens w:val="0"/>
        <w:autoSpaceDN/>
        <w:ind w:firstLine="709"/>
        <w:jc w:val="both"/>
        <w:textAlignment w:val="auto"/>
        <w:rPr>
          <w:i/>
          <w:sz w:val="24"/>
          <w:szCs w:val="24"/>
        </w:rPr>
      </w:pPr>
      <w:r w:rsidRPr="00D97B55">
        <w:rPr>
          <w:i/>
          <w:sz w:val="24"/>
          <w:szCs w:val="24"/>
        </w:rPr>
        <w:t>*FM dati</w:t>
      </w:r>
    </w:p>
    <w:p w14:paraId="6726423A" w14:textId="77777777" w:rsidR="006F3A1D" w:rsidRPr="00D97B55" w:rsidRDefault="00C068C8" w:rsidP="00F635B1">
      <w:pPr>
        <w:widowControl w:val="0"/>
        <w:tabs>
          <w:tab w:val="left" w:pos="6135"/>
        </w:tabs>
        <w:suppressAutoHyphens w:val="0"/>
        <w:autoSpaceDN/>
        <w:ind w:firstLine="709"/>
        <w:jc w:val="both"/>
        <w:textAlignment w:val="auto"/>
        <w:rPr>
          <w:i/>
          <w:sz w:val="24"/>
          <w:szCs w:val="24"/>
        </w:rPr>
      </w:pPr>
      <w:r>
        <w:rPr>
          <w:i/>
          <w:sz w:val="24"/>
          <w:szCs w:val="24"/>
        </w:rPr>
        <w:t>**</w:t>
      </w:r>
      <w:r w:rsidRPr="00C068C8">
        <w:rPr>
          <w:i/>
          <w:sz w:val="24"/>
          <w:szCs w:val="24"/>
        </w:rPr>
        <w:t>NĪN prognoze</w:t>
      </w:r>
      <w:r w:rsidR="00CC3FA2">
        <w:rPr>
          <w:i/>
          <w:sz w:val="24"/>
          <w:szCs w:val="24"/>
        </w:rPr>
        <w:t xml:space="preserve"> (</w:t>
      </w:r>
      <w:r w:rsidRPr="00C068C8">
        <w:rPr>
          <w:i/>
          <w:sz w:val="24"/>
          <w:szCs w:val="24"/>
        </w:rPr>
        <w:t xml:space="preserve">koriģēta ar </w:t>
      </w:r>
      <w:proofErr w:type="spellStart"/>
      <w:r w:rsidRPr="00C068C8">
        <w:rPr>
          <w:i/>
          <w:sz w:val="24"/>
          <w:szCs w:val="24"/>
        </w:rPr>
        <w:t>iekasējamības</w:t>
      </w:r>
      <w:proofErr w:type="spellEnd"/>
      <w:r w:rsidRPr="00C068C8">
        <w:rPr>
          <w:i/>
          <w:sz w:val="24"/>
          <w:szCs w:val="24"/>
        </w:rPr>
        <w:t xml:space="preserve"> koeficientu 0.8</w:t>
      </w:r>
      <w:r w:rsidR="00CC3FA2">
        <w:rPr>
          <w:i/>
          <w:sz w:val="24"/>
          <w:szCs w:val="24"/>
        </w:rPr>
        <w:t>), kura tiek ņemta vērā pašvaldību finanšu izlīdzināšanā</w:t>
      </w:r>
      <w:r w:rsidR="00F635B1" w:rsidRPr="00D97B55">
        <w:rPr>
          <w:i/>
          <w:sz w:val="24"/>
          <w:szCs w:val="24"/>
        </w:rPr>
        <w:tab/>
      </w:r>
    </w:p>
    <w:p w14:paraId="41C78E80" w14:textId="77777777" w:rsidR="006F3A1D" w:rsidRPr="00D97B55" w:rsidRDefault="006F3A1D" w:rsidP="006F3A1D">
      <w:pPr>
        <w:widowControl w:val="0"/>
        <w:tabs>
          <w:tab w:val="left" w:pos="6740"/>
        </w:tabs>
        <w:suppressAutoHyphens w:val="0"/>
        <w:autoSpaceDN/>
        <w:spacing w:before="120" w:after="120"/>
        <w:ind w:firstLine="709"/>
        <w:jc w:val="right"/>
        <w:textAlignment w:val="auto"/>
        <w:rPr>
          <w:i/>
          <w:sz w:val="24"/>
          <w:szCs w:val="24"/>
        </w:rPr>
      </w:pPr>
      <w:r w:rsidRPr="00D97B55">
        <w:rPr>
          <w:i/>
          <w:sz w:val="24"/>
          <w:szCs w:val="24"/>
        </w:rPr>
        <w:t>2.tabula</w:t>
      </w:r>
    </w:p>
    <w:p w14:paraId="1FB29FC4" w14:textId="77777777" w:rsidR="006F3A1D" w:rsidRPr="00D97B55" w:rsidRDefault="006F3A1D" w:rsidP="001353BB">
      <w:pPr>
        <w:widowControl w:val="0"/>
        <w:shd w:val="clear" w:color="auto" w:fill="FFFFFF" w:themeFill="background1"/>
        <w:tabs>
          <w:tab w:val="left" w:pos="6740"/>
        </w:tabs>
        <w:suppressAutoHyphens w:val="0"/>
        <w:autoSpaceDN/>
        <w:spacing w:after="120"/>
        <w:jc w:val="both"/>
        <w:textAlignment w:val="auto"/>
        <w:rPr>
          <w:b/>
          <w:sz w:val="24"/>
          <w:szCs w:val="24"/>
        </w:rPr>
      </w:pPr>
      <w:r w:rsidRPr="00D97B55">
        <w:rPr>
          <w:b/>
          <w:sz w:val="24"/>
          <w:szCs w:val="24"/>
          <w:shd w:val="clear" w:color="auto" w:fill="FFFFFF" w:themeFill="background1"/>
        </w:rPr>
        <w:t xml:space="preserve">Pašvaldības, kurām nekustamā īpašuma nodokļa </w:t>
      </w:r>
      <w:r w:rsidR="004E2CC6" w:rsidRPr="00D97B55">
        <w:rPr>
          <w:b/>
          <w:sz w:val="24"/>
          <w:szCs w:val="24"/>
          <w:shd w:val="clear" w:color="auto" w:fill="FFFFFF" w:themeFill="background1"/>
        </w:rPr>
        <w:t>ieņēmumu</w:t>
      </w:r>
      <w:r w:rsidR="00D95C12" w:rsidRPr="00D97B55">
        <w:rPr>
          <w:b/>
          <w:sz w:val="24"/>
          <w:szCs w:val="24"/>
          <w:shd w:val="clear" w:color="auto" w:fill="FFFFFF" w:themeFill="background1"/>
        </w:rPr>
        <w:t>,</w:t>
      </w:r>
      <w:r w:rsidR="00D95C12" w:rsidRPr="00D97B55">
        <w:rPr>
          <w:shd w:val="clear" w:color="auto" w:fill="FFFFFF" w:themeFill="background1"/>
        </w:rPr>
        <w:t xml:space="preserve"> </w:t>
      </w:r>
      <w:r w:rsidR="00D95C12" w:rsidRPr="00D97B55">
        <w:rPr>
          <w:b/>
          <w:sz w:val="24"/>
          <w:szCs w:val="24"/>
          <w:shd w:val="clear" w:color="auto" w:fill="FFFFFF" w:themeFill="background1"/>
        </w:rPr>
        <w:t xml:space="preserve">neieskaitot parāda maksājumus, </w:t>
      </w:r>
      <w:r w:rsidRPr="00D97B55">
        <w:rPr>
          <w:b/>
          <w:sz w:val="24"/>
          <w:szCs w:val="24"/>
          <w:shd w:val="clear" w:color="auto" w:fill="FFFFFF" w:themeFill="background1"/>
        </w:rPr>
        <w:t>izpilde</w:t>
      </w:r>
      <w:r w:rsidRPr="00D97B55">
        <w:rPr>
          <w:b/>
          <w:sz w:val="24"/>
          <w:szCs w:val="24"/>
        </w:rPr>
        <w:t xml:space="preserve"> 2016.gadā visvairāk pārsniedz prognozētos nekustamā īpašuma nodokļa ieņēmumus*</w:t>
      </w:r>
    </w:p>
    <w:tbl>
      <w:tblPr>
        <w:tblStyle w:val="TableGrid"/>
        <w:tblW w:w="9352" w:type="dxa"/>
        <w:tblLayout w:type="fixed"/>
        <w:tblLook w:val="04A0" w:firstRow="1" w:lastRow="0" w:firstColumn="1" w:lastColumn="0" w:noHBand="0" w:noVBand="1"/>
      </w:tblPr>
      <w:tblGrid>
        <w:gridCol w:w="1510"/>
        <w:gridCol w:w="1321"/>
        <w:gridCol w:w="1560"/>
        <w:gridCol w:w="1417"/>
        <w:gridCol w:w="1843"/>
        <w:gridCol w:w="1701"/>
      </w:tblGrid>
      <w:tr w:rsidR="00F635B1" w:rsidRPr="00D97B55" w14:paraId="3F20B907" w14:textId="77777777" w:rsidTr="00CC3FA2">
        <w:tc>
          <w:tcPr>
            <w:tcW w:w="1510" w:type="dxa"/>
            <w:shd w:val="clear" w:color="auto" w:fill="D9D9D9" w:themeFill="background1" w:themeFillShade="D9"/>
            <w:vAlign w:val="center"/>
          </w:tcPr>
          <w:p w14:paraId="22A7DED2" w14:textId="77777777" w:rsidR="00F635B1" w:rsidRPr="00391E2A" w:rsidRDefault="00F635B1" w:rsidP="00E61CF0">
            <w:pPr>
              <w:widowControl w:val="0"/>
              <w:tabs>
                <w:tab w:val="left" w:pos="6740"/>
              </w:tabs>
              <w:suppressAutoHyphens w:val="0"/>
              <w:autoSpaceDN/>
              <w:jc w:val="center"/>
              <w:textAlignment w:val="auto"/>
              <w:rPr>
                <w:b/>
                <w:sz w:val="23"/>
                <w:szCs w:val="23"/>
              </w:rPr>
            </w:pPr>
            <w:r w:rsidRPr="00391E2A">
              <w:rPr>
                <w:b/>
                <w:sz w:val="23"/>
                <w:szCs w:val="23"/>
              </w:rPr>
              <w:t>Pašvaldības</w:t>
            </w:r>
          </w:p>
        </w:tc>
        <w:tc>
          <w:tcPr>
            <w:tcW w:w="1321" w:type="dxa"/>
            <w:shd w:val="clear" w:color="auto" w:fill="D9D9D9" w:themeFill="background1" w:themeFillShade="D9"/>
            <w:vAlign w:val="center"/>
          </w:tcPr>
          <w:p w14:paraId="1D1BF61C" w14:textId="77777777" w:rsidR="00F635B1" w:rsidRPr="00391E2A" w:rsidRDefault="00F635B1" w:rsidP="00CC3FA2">
            <w:pPr>
              <w:widowControl w:val="0"/>
              <w:tabs>
                <w:tab w:val="left" w:pos="6740"/>
              </w:tabs>
              <w:suppressAutoHyphens w:val="0"/>
              <w:autoSpaceDN/>
              <w:ind w:left="-63" w:right="-107"/>
              <w:jc w:val="center"/>
              <w:textAlignment w:val="auto"/>
              <w:rPr>
                <w:b/>
                <w:sz w:val="23"/>
                <w:szCs w:val="23"/>
              </w:rPr>
            </w:pPr>
            <w:r w:rsidRPr="00391E2A">
              <w:rPr>
                <w:b/>
                <w:sz w:val="23"/>
                <w:szCs w:val="23"/>
              </w:rPr>
              <w:t>NĪN prognoze</w:t>
            </w:r>
            <w:r w:rsidR="002D3941" w:rsidRPr="00391E2A">
              <w:rPr>
                <w:b/>
                <w:sz w:val="23"/>
                <w:szCs w:val="23"/>
              </w:rPr>
              <w:t>**</w:t>
            </w:r>
            <w:r w:rsidRPr="00391E2A">
              <w:rPr>
                <w:b/>
                <w:sz w:val="23"/>
                <w:szCs w:val="23"/>
              </w:rPr>
              <w:t>, EUR</w:t>
            </w:r>
          </w:p>
        </w:tc>
        <w:tc>
          <w:tcPr>
            <w:tcW w:w="1560" w:type="dxa"/>
            <w:shd w:val="clear" w:color="auto" w:fill="D9D9D9" w:themeFill="background1" w:themeFillShade="D9"/>
            <w:vAlign w:val="center"/>
          </w:tcPr>
          <w:p w14:paraId="54BD3F27"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Kārtējā gada NĪN (bez parādiem) izpilde, EUR</w:t>
            </w:r>
          </w:p>
        </w:tc>
        <w:tc>
          <w:tcPr>
            <w:tcW w:w="1417" w:type="dxa"/>
            <w:shd w:val="clear" w:color="auto" w:fill="D9D9D9" w:themeFill="background1" w:themeFillShade="D9"/>
            <w:vAlign w:val="center"/>
          </w:tcPr>
          <w:p w14:paraId="7B2C90BC"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NĪN, t.sk parāda maksājumi, izpilde, EUR</w:t>
            </w:r>
          </w:p>
        </w:tc>
        <w:tc>
          <w:tcPr>
            <w:tcW w:w="1843" w:type="dxa"/>
            <w:shd w:val="clear" w:color="auto" w:fill="D9D9D9" w:themeFill="background1" w:themeFillShade="D9"/>
            <w:vAlign w:val="center"/>
          </w:tcPr>
          <w:p w14:paraId="77B966C4"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Kārtējā gada NĪN (bez parādiem) izpildes starpība pret NĪN prognozi</w:t>
            </w:r>
            <w:r w:rsidR="00CC3FA2">
              <w:rPr>
                <w:b/>
                <w:sz w:val="23"/>
                <w:szCs w:val="23"/>
              </w:rPr>
              <w:t>**</w:t>
            </w:r>
            <w:r w:rsidRPr="00391E2A">
              <w:rPr>
                <w:b/>
                <w:sz w:val="23"/>
                <w:szCs w:val="23"/>
              </w:rPr>
              <w:t>, %</w:t>
            </w:r>
          </w:p>
        </w:tc>
        <w:tc>
          <w:tcPr>
            <w:tcW w:w="1701" w:type="dxa"/>
            <w:shd w:val="clear" w:color="auto" w:fill="D9D9D9" w:themeFill="background1" w:themeFillShade="D9"/>
            <w:vAlign w:val="center"/>
          </w:tcPr>
          <w:p w14:paraId="1EA871C1"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NĪN, t.sk. parāda maksājumi, izpildes starpība pret NĪN prognozi</w:t>
            </w:r>
            <w:r w:rsidR="00CC3FA2">
              <w:rPr>
                <w:b/>
                <w:sz w:val="23"/>
                <w:szCs w:val="23"/>
              </w:rPr>
              <w:t>**</w:t>
            </w:r>
            <w:r w:rsidRPr="00391E2A">
              <w:rPr>
                <w:b/>
                <w:sz w:val="23"/>
                <w:szCs w:val="23"/>
              </w:rPr>
              <w:t>, %</w:t>
            </w:r>
          </w:p>
        </w:tc>
      </w:tr>
      <w:tr w:rsidR="00F635B1" w:rsidRPr="00D97B55" w14:paraId="438B1007" w14:textId="77777777" w:rsidTr="00CC3FA2">
        <w:tc>
          <w:tcPr>
            <w:tcW w:w="1510" w:type="dxa"/>
          </w:tcPr>
          <w:p w14:paraId="6567190F" w14:textId="77777777" w:rsidR="00F635B1" w:rsidRPr="00391E2A" w:rsidRDefault="00F635B1" w:rsidP="00E61CF0">
            <w:pPr>
              <w:widowControl w:val="0"/>
              <w:tabs>
                <w:tab w:val="left" w:pos="6740"/>
              </w:tabs>
              <w:suppressAutoHyphens w:val="0"/>
              <w:autoSpaceDN/>
              <w:jc w:val="both"/>
              <w:textAlignment w:val="auto"/>
              <w:rPr>
                <w:sz w:val="23"/>
                <w:szCs w:val="23"/>
              </w:rPr>
            </w:pPr>
            <w:r w:rsidRPr="00391E2A">
              <w:rPr>
                <w:sz w:val="23"/>
                <w:szCs w:val="23"/>
              </w:rPr>
              <w:t>Neretas novads</w:t>
            </w:r>
          </w:p>
        </w:tc>
        <w:tc>
          <w:tcPr>
            <w:tcW w:w="1321" w:type="dxa"/>
            <w:vAlign w:val="center"/>
          </w:tcPr>
          <w:p w14:paraId="3F393448"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203 427</w:t>
            </w:r>
          </w:p>
        </w:tc>
        <w:tc>
          <w:tcPr>
            <w:tcW w:w="1560" w:type="dxa"/>
            <w:vAlign w:val="center"/>
          </w:tcPr>
          <w:p w14:paraId="10979436"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326 800</w:t>
            </w:r>
          </w:p>
        </w:tc>
        <w:tc>
          <w:tcPr>
            <w:tcW w:w="1417" w:type="dxa"/>
            <w:vAlign w:val="center"/>
          </w:tcPr>
          <w:p w14:paraId="221D9E3B"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354 283</w:t>
            </w:r>
          </w:p>
        </w:tc>
        <w:tc>
          <w:tcPr>
            <w:tcW w:w="1843" w:type="dxa"/>
            <w:vAlign w:val="center"/>
          </w:tcPr>
          <w:p w14:paraId="654C0344" w14:textId="77777777" w:rsidR="00F635B1" w:rsidRPr="00391E2A" w:rsidRDefault="0075233F" w:rsidP="00F635B1">
            <w:pPr>
              <w:widowControl w:val="0"/>
              <w:tabs>
                <w:tab w:val="left" w:pos="6740"/>
              </w:tabs>
              <w:suppressAutoHyphens w:val="0"/>
              <w:autoSpaceDN/>
              <w:jc w:val="center"/>
              <w:textAlignment w:val="auto"/>
              <w:rPr>
                <w:sz w:val="23"/>
                <w:szCs w:val="23"/>
              </w:rPr>
            </w:pPr>
            <w:r w:rsidRPr="00391E2A">
              <w:rPr>
                <w:sz w:val="23"/>
                <w:szCs w:val="23"/>
              </w:rPr>
              <w:t>+60,6</w:t>
            </w:r>
            <w:r w:rsidR="00F635B1" w:rsidRPr="00391E2A">
              <w:rPr>
                <w:sz w:val="23"/>
                <w:szCs w:val="23"/>
              </w:rPr>
              <w:t>%</w:t>
            </w:r>
          </w:p>
        </w:tc>
        <w:tc>
          <w:tcPr>
            <w:tcW w:w="1701" w:type="dxa"/>
            <w:vAlign w:val="center"/>
          </w:tcPr>
          <w:p w14:paraId="30262CA2" w14:textId="77777777" w:rsidR="00F635B1" w:rsidRPr="00391E2A" w:rsidRDefault="0075233F" w:rsidP="00F635B1">
            <w:pPr>
              <w:widowControl w:val="0"/>
              <w:tabs>
                <w:tab w:val="left" w:pos="6740"/>
              </w:tabs>
              <w:suppressAutoHyphens w:val="0"/>
              <w:autoSpaceDN/>
              <w:jc w:val="center"/>
              <w:textAlignment w:val="auto"/>
              <w:rPr>
                <w:sz w:val="23"/>
                <w:szCs w:val="23"/>
              </w:rPr>
            </w:pPr>
            <w:r w:rsidRPr="00391E2A">
              <w:rPr>
                <w:sz w:val="23"/>
                <w:szCs w:val="23"/>
              </w:rPr>
              <w:t>+74,2</w:t>
            </w:r>
            <w:r w:rsidR="00F635B1" w:rsidRPr="00391E2A">
              <w:rPr>
                <w:sz w:val="23"/>
                <w:szCs w:val="23"/>
              </w:rPr>
              <w:t>%</w:t>
            </w:r>
          </w:p>
        </w:tc>
      </w:tr>
      <w:tr w:rsidR="00F635B1" w:rsidRPr="00D97B55" w14:paraId="765AFEEB" w14:textId="77777777" w:rsidTr="00CC3FA2">
        <w:tc>
          <w:tcPr>
            <w:tcW w:w="1510" w:type="dxa"/>
          </w:tcPr>
          <w:p w14:paraId="48F2B9D4" w14:textId="77777777" w:rsidR="00F635B1" w:rsidRPr="00391E2A" w:rsidRDefault="00F635B1" w:rsidP="00E61CF0">
            <w:pPr>
              <w:widowControl w:val="0"/>
              <w:tabs>
                <w:tab w:val="left" w:pos="6740"/>
              </w:tabs>
              <w:suppressAutoHyphens w:val="0"/>
              <w:autoSpaceDN/>
              <w:jc w:val="both"/>
              <w:textAlignment w:val="auto"/>
              <w:rPr>
                <w:sz w:val="23"/>
                <w:szCs w:val="23"/>
              </w:rPr>
            </w:pPr>
            <w:r w:rsidRPr="00391E2A">
              <w:rPr>
                <w:sz w:val="23"/>
                <w:szCs w:val="23"/>
              </w:rPr>
              <w:t>Carnikavas novads</w:t>
            </w:r>
          </w:p>
        </w:tc>
        <w:tc>
          <w:tcPr>
            <w:tcW w:w="1321" w:type="dxa"/>
            <w:vAlign w:val="center"/>
          </w:tcPr>
          <w:p w14:paraId="22CFD954"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1 041 621</w:t>
            </w:r>
          </w:p>
        </w:tc>
        <w:tc>
          <w:tcPr>
            <w:tcW w:w="1560" w:type="dxa"/>
            <w:vAlign w:val="center"/>
          </w:tcPr>
          <w:p w14:paraId="1AD120CB"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1 646 764</w:t>
            </w:r>
          </w:p>
        </w:tc>
        <w:tc>
          <w:tcPr>
            <w:tcW w:w="1417" w:type="dxa"/>
            <w:vAlign w:val="center"/>
          </w:tcPr>
          <w:p w14:paraId="63E3C4D7"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1 734 866</w:t>
            </w:r>
          </w:p>
        </w:tc>
        <w:tc>
          <w:tcPr>
            <w:tcW w:w="1843" w:type="dxa"/>
            <w:vAlign w:val="center"/>
          </w:tcPr>
          <w:p w14:paraId="340355AE" w14:textId="77777777" w:rsidR="00F635B1" w:rsidRPr="00391E2A" w:rsidRDefault="0075233F" w:rsidP="00F635B1">
            <w:pPr>
              <w:widowControl w:val="0"/>
              <w:tabs>
                <w:tab w:val="left" w:pos="6740"/>
              </w:tabs>
              <w:suppressAutoHyphens w:val="0"/>
              <w:autoSpaceDN/>
              <w:jc w:val="center"/>
              <w:textAlignment w:val="auto"/>
              <w:rPr>
                <w:sz w:val="23"/>
                <w:szCs w:val="23"/>
              </w:rPr>
            </w:pPr>
            <w:r w:rsidRPr="00391E2A">
              <w:rPr>
                <w:sz w:val="23"/>
                <w:szCs w:val="23"/>
              </w:rPr>
              <w:t>+58,1</w:t>
            </w:r>
            <w:r w:rsidR="00F635B1" w:rsidRPr="00391E2A">
              <w:rPr>
                <w:sz w:val="23"/>
                <w:szCs w:val="23"/>
              </w:rPr>
              <w:t>%</w:t>
            </w:r>
          </w:p>
        </w:tc>
        <w:tc>
          <w:tcPr>
            <w:tcW w:w="1701" w:type="dxa"/>
            <w:vAlign w:val="center"/>
          </w:tcPr>
          <w:p w14:paraId="7EFACB6D" w14:textId="77777777" w:rsidR="00F635B1" w:rsidRPr="00391E2A" w:rsidRDefault="0075233F" w:rsidP="00F635B1">
            <w:pPr>
              <w:widowControl w:val="0"/>
              <w:tabs>
                <w:tab w:val="left" w:pos="6740"/>
              </w:tabs>
              <w:suppressAutoHyphens w:val="0"/>
              <w:autoSpaceDN/>
              <w:jc w:val="center"/>
              <w:textAlignment w:val="auto"/>
              <w:rPr>
                <w:sz w:val="23"/>
                <w:szCs w:val="23"/>
              </w:rPr>
            </w:pPr>
            <w:r w:rsidRPr="00391E2A">
              <w:rPr>
                <w:sz w:val="23"/>
                <w:szCs w:val="23"/>
              </w:rPr>
              <w:t>+66,6</w:t>
            </w:r>
            <w:r w:rsidR="00F635B1" w:rsidRPr="00391E2A">
              <w:rPr>
                <w:sz w:val="23"/>
                <w:szCs w:val="23"/>
              </w:rPr>
              <w:t>%</w:t>
            </w:r>
          </w:p>
        </w:tc>
      </w:tr>
      <w:tr w:rsidR="00F635B1" w:rsidRPr="00D97B55" w14:paraId="0BEDF934" w14:textId="77777777" w:rsidTr="00CC3FA2">
        <w:tc>
          <w:tcPr>
            <w:tcW w:w="1510" w:type="dxa"/>
          </w:tcPr>
          <w:p w14:paraId="1BF273FC" w14:textId="77777777" w:rsidR="00F635B1" w:rsidRPr="00391E2A" w:rsidRDefault="00F635B1" w:rsidP="00E61CF0">
            <w:pPr>
              <w:widowControl w:val="0"/>
              <w:tabs>
                <w:tab w:val="left" w:pos="6740"/>
              </w:tabs>
              <w:suppressAutoHyphens w:val="0"/>
              <w:autoSpaceDN/>
              <w:jc w:val="both"/>
              <w:textAlignment w:val="auto"/>
              <w:rPr>
                <w:sz w:val="23"/>
                <w:szCs w:val="23"/>
              </w:rPr>
            </w:pPr>
            <w:r w:rsidRPr="00391E2A">
              <w:rPr>
                <w:sz w:val="23"/>
                <w:szCs w:val="23"/>
              </w:rPr>
              <w:t>Rundāles novads</w:t>
            </w:r>
          </w:p>
        </w:tc>
        <w:tc>
          <w:tcPr>
            <w:tcW w:w="1321" w:type="dxa"/>
            <w:vAlign w:val="center"/>
          </w:tcPr>
          <w:p w14:paraId="3F5852B4"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375 632</w:t>
            </w:r>
          </w:p>
        </w:tc>
        <w:tc>
          <w:tcPr>
            <w:tcW w:w="1560" w:type="dxa"/>
            <w:vAlign w:val="center"/>
          </w:tcPr>
          <w:p w14:paraId="3A699A29"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523 607</w:t>
            </w:r>
          </w:p>
        </w:tc>
        <w:tc>
          <w:tcPr>
            <w:tcW w:w="1417" w:type="dxa"/>
            <w:vAlign w:val="center"/>
          </w:tcPr>
          <w:p w14:paraId="004BD769"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572 866</w:t>
            </w:r>
          </w:p>
        </w:tc>
        <w:tc>
          <w:tcPr>
            <w:tcW w:w="1843" w:type="dxa"/>
            <w:vAlign w:val="center"/>
          </w:tcPr>
          <w:p w14:paraId="789399AD" w14:textId="77777777" w:rsidR="00F635B1" w:rsidRPr="00391E2A" w:rsidRDefault="0075233F" w:rsidP="00C52AF7">
            <w:pPr>
              <w:widowControl w:val="0"/>
              <w:tabs>
                <w:tab w:val="left" w:pos="6740"/>
              </w:tabs>
              <w:suppressAutoHyphens w:val="0"/>
              <w:autoSpaceDN/>
              <w:jc w:val="center"/>
              <w:textAlignment w:val="auto"/>
              <w:rPr>
                <w:sz w:val="23"/>
                <w:szCs w:val="23"/>
              </w:rPr>
            </w:pPr>
            <w:r w:rsidRPr="00391E2A">
              <w:rPr>
                <w:sz w:val="23"/>
                <w:szCs w:val="23"/>
              </w:rPr>
              <w:t>+39,4</w:t>
            </w:r>
            <w:r w:rsidR="00F635B1" w:rsidRPr="00391E2A">
              <w:rPr>
                <w:sz w:val="23"/>
                <w:szCs w:val="23"/>
              </w:rPr>
              <w:t>%</w:t>
            </w:r>
          </w:p>
        </w:tc>
        <w:tc>
          <w:tcPr>
            <w:tcW w:w="1701" w:type="dxa"/>
            <w:vAlign w:val="center"/>
          </w:tcPr>
          <w:p w14:paraId="517B8D71" w14:textId="77777777" w:rsidR="00F635B1" w:rsidRPr="00391E2A" w:rsidRDefault="0075233F" w:rsidP="00C52AF7">
            <w:pPr>
              <w:widowControl w:val="0"/>
              <w:tabs>
                <w:tab w:val="left" w:pos="6740"/>
              </w:tabs>
              <w:suppressAutoHyphens w:val="0"/>
              <w:autoSpaceDN/>
              <w:jc w:val="center"/>
              <w:textAlignment w:val="auto"/>
              <w:rPr>
                <w:sz w:val="23"/>
                <w:szCs w:val="23"/>
              </w:rPr>
            </w:pPr>
            <w:r w:rsidRPr="00391E2A">
              <w:rPr>
                <w:sz w:val="23"/>
                <w:szCs w:val="23"/>
              </w:rPr>
              <w:t>+52,5</w:t>
            </w:r>
            <w:r w:rsidR="00F635B1" w:rsidRPr="00391E2A">
              <w:rPr>
                <w:sz w:val="23"/>
                <w:szCs w:val="23"/>
              </w:rPr>
              <w:t>%</w:t>
            </w:r>
          </w:p>
        </w:tc>
      </w:tr>
      <w:tr w:rsidR="00C52AF7" w:rsidRPr="00D97B55" w14:paraId="39F15608" w14:textId="77777777" w:rsidTr="00CC3FA2">
        <w:tc>
          <w:tcPr>
            <w:tcW w:w="1510" w:type="dxa"/>
          </w:tcPr>
          <w:p w14:paraId="437DE880" w14:textId="77777777" w:rsidR="00C52AF7" w:rsidRPr="00391E2A" w:rsidRDefault="00C52AF7" w:rsidP="00C52AF7">
            <w:pPr>
              <w:widowControl w:val="0"/>
              <w:tabs>
                <w:tab w:val="left" w:pos="6740"/>
              </w:tabs>
              <w:suppressAutoHyphens w:val="0"/>
              <w:autoSpaceDN/>
              <w:jc w:val="both"/>
              <w:textAlignment w:val="auto"/>
              <w:rPr>
                <w:sz w:val="23"/>
                <w:szCs w:val="23"/>
              </w:rPr>
            </w:pPr>
            <w:r w:rsidRPr="00391E2A">
              <w:rPr>
                <w:sz w:val="23"/>
                <w:szCs w:val="23"/>
              </w:rPr>
              <w:t>Zilupes novads</w:t>
            </w:r>
          </w:p>
        </w:tc>
        <w:tc>
          <w:tcPr>
            <w:tcW w:w="1321" w:type="dxa"/>
            <w:vAlign w:val="center"/>
          </w:tcPr>
          <w:p w14:paraId="504D6192"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106 741</w:t>
            </w:r>
          </w:p>
        </w:tc>
        <w:tc>
          <w:tcPr>
            <w:tcW w:w="1560" w:type="dxa"/>
            <w:vAlign w:val="center"/>
          </w:tcPr>
          <w:p w14:paraId="43A50D88"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141 773</w:t>
            </w:r>
          </w:p>
        </w:tc>
        <w:tc>
          <w:tcPr>
            <w:tcW w:w="1417" w:type="dxa"/>
            <w:vAlign w:val="center"/>
          </w:tcPr>
          <w:p w14:paraId="2E04FF09"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153 385</w:t>
            </w:r>
          </w:p>
        </w:tc>
        <w:tc>
          <w:tcPr>
            <w:tcW w:w="1843" w:type="dxa"/>
            <w:vAlign w:val="center"/>
          </w:tcPr>
          <w:p w14:paraId="10B8D3F0" w14:textId="77777777" w:rsidR="00C52AF7" w:rsidRPr="00391E2A" w:rsidRDefault="0075233F" w:rsidP="00C52AF7">
            <w:pPr>
              <w:widowControl w:val="0"/>
              <w:tabs>
                <w:tab w:val="left" w:pos="6740"/>
              </w:tabs>
              <w:suppressAutoHyphens w:val="0"/>
              <w:autoSpaceDN/>
              <w:jc w:val="center"/>
              <w:textAlignment w:val="auto"/>
              <w:rPr>
                <w:sz w:val="23"/>
                <w:szCs w:val="23"/>
              </w:rPr>
            </w:pPr>
            <w:r w:rsidRPr="00391E2A">
              <w:rPr>
                <w:sz w:val="23"/>
                <w:szCs w:val="23"/>
              </w:rPr>
              <w:t>+32,8</w:t>
            </w:r>
            <w:r w:rsidR="00C52AF7" w:rsidRPr="00391E2A">
              <w:rPr>
                <w:sz w:val="23"/>
                <w:szCs w:val="23"/>
              </w:rPr>
              <w:t>%</w:t>
            </w:r>
          </w:p>
        </w:tc>
        <w:tc>
          <w:tcPr>
            <w:tcW w:w="1701" w:type="dxa"/>
            <w:vAlign w:val="center"/>
          </w:tcPr>
          <w:p w14:paraId="1DA76599" w14:textId="77777777" w:rsidR="00C52AF7" w:rsidRPr="00391E2A" w:rsidRDefault="0075233F" w:rsidP="00C52AF7">
            <w:pPr>
              <w:widowControl w:val="0"/>
              <w:tabs>
                <w:tab w:val="left" w:pos="6740"/>
              </w:tabs>
              <w:suppressAutoHyphens w:val="0"/>
              <w:autoSpaceDN/>
              <w:jc w:val="center"/>
              <w:textAlignment w:val="auto"/>
              <w:rPr>
                <w:sz w:val="23"/>
                <w:szCs w:val="23"/>
              </w:rPr>
            </w:pPr>
            <w:r w:rsidRPr="00391E2A">
              <w:rPr>
                <w:sz w:val="23"/>
                <w:szCs w:val="23"/>
              </w:rPr>
              <w:t>+43,7</w:t>
            </w:r>
            <w:r w:rsidR="00C52AF7" w:rsidRPr="00391E2A">
              <w:rPr>
                <w:sz w:val="23"/>
                <w:szCs w:val="23"/>
              </w:rPr>
              <w:t>%</w:t>
            </w:r>
          </w:p>
        </w:tc>
      </w:tr>
      <w:tr w:rsidR="00C52AF7" w:rsidRPr="00D97B55" w14:paraId="190F054D" w14:textId="77777777" w:rsidTr="00CC3FA2">
        <w:tc>
          <w:tcPr>
            <w:tcW w:w="1510" w:type="dxa"/>
          </w:tcPr>
          <w:p w14:paraId="7A7E3443" w14:textId="77777777" w:rsidR="00C52AF7" w:rsidRPr="00391E2A" w:rsidRDefault="00C52AF7" w:rsidP="00C52AF7">
            <w:pPr>
              <w:widowControl w:val="0"/>
              <w:tabs>
                <w:tab w:val="left" w:pos="6740"/>
              </w:tabs>
              <w:suppressAutoHyphens w:val="0"/>
              <w:autoSpaceDN/>
              <w:jc w:val="both"/>
              <w:textAlignment w:val="auto"/>
              <w:rPr>
                <w:sz w:val="23"/>
                <w:szCs w:val="23"/>
              </w:rPr>
            </w:pPr>
            <w:r w:rsidRPr="00391E2A">
              <w:rPr>
                <w:sz w:val="23"/>
                <w:szCs w:val="23"/>
              </w:rPr>
              <w:t>Ērgļu novads</w:t>
            </w:r>
          </w:p>
        </w:tc>
        <w:tc>
          <w:tcPr>
            <w:tcW w:w="1321" w:type="dxa"/>
            <w:vAlign w:val="center"/>
          </w:tcPr>
          <w:p w14:paraId="56A7F9DB"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151 728</w:t>
            </w:r>
          </w:p>
        </w:tc>
        <w:tc>
          <w:tcPr>
            <w:tcW w:w="1560" w:type="dxa"/>
            <w:vAlign w:val="center"/>
          </w:tcPr>
          <w:p w14:paraId="052928CB"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199 695</w:t>
            </w:r>
          </w:p>
        </w:tc>
        <w:tc>
          <w:tcPr>
            <w:tcW w:w="1417" w:type="dxa"/>
            <w:vAlign w:val="center"/>
          </w:tcPr>
          <w:p w14:paraId="170EAC3F"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199 695</w:t>
            </w:r>
          </w:p>
        </w:tc>
        <w:tc>
          <w:tcPr>
            <w:tcW w:w="1843" w:type="dxa"/>
            <w:vAlign w:val="center"/>
          </w:tcPr>
          <w:p w14:paraId="28F29EB7"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w:t>
            </w:r>
            <w:r w:rsidR="0075233F" w:rsidRPr="00391E2A">
              <w:rPr>
                <w:sz w:val="23"/>
                <w:szCs w:val="23"/>
              </w:rPr>
              <w:t>31,6</w:t>
            </w:r>
            <w:r w:rsidRPr="00391E2A">
              <w:rPr>
                <w:sz w:val="23"/>
                <w:szCs w:val="23"/>
              </w:rPr>
              <w:t>%</w:t>
            </w:r>
          </w:p>
        </w:tc>
        <w:tc>
          <w:tcPr>
            <w:tcW w:w="1701" w:type="dxa"/>
            <w:vAlign w:val="center"/>
          </w:tcPr>
          <w:p w14:paraId="7EBFA44C" w14:textId="77777777" w:rsidR="00C52AF7" w:rsidRPr="00391E2A" w:rsidRDefault="0075233F" w:rsidP="00C52AF7">
            <w:pPr>
              <w:widowControl w:val="0"/>
              <w:tabs>
                <w:tab w:val="left" w:pos="6740"/>
              </w:tabs>
              <w:suppressAutoHyphens w:val="0"/>
              <w:autoSpaceDN/>
              <w:jc w:val="center"/>
              <w:textAlignment w:val="auto"/>
              <w:rPr>
                <w:sz w:val="23"/>
                <w:szCs w:val="23"/>
              </w:rPr>
            </w:pPr>
            <w:r w:rsidRPr="00391E2A">
              <w:rPr>
                <w:sz w:val="23"/>
                <w:szCs w:val="23"/>
              </w:rPr>
              <w:t>+31,6</w:t>
            </w:r>
            <w:r w:rsidR="00C52AF7" w:rsidRPr="00391E2A">
              <w:rPr>
                <w:sz w:val="23"/>
                <w:szCs w:val="23"/>
              </w:rPr>
              <w:t>%</w:t>
            </w:r>
          </w:p>
        </w:tc>
      </w:tr>
      <w:tr w:rsidR="00F635B1" w:rsidRPr="00D97B55" w14:paraId="0DFFB686" w14:textId="77777777" w:rsidTr="00CC3FA2">
        <w:tc>
          <w:tcPr>
            <w:tcW w:w="1510" w:type="dxa"/>
          </w:tcPr>
          <w:p w14:paraId="704B2107" w14:textId="77777777" w:rsidR="00F635B1" w:rsidRPr="00391E2A" w:rsidRDefault="00F635B1" w:rsidP="00E61CF0">
            <w:pPr>
              <w:widowControl w:val="0"/>
              <w:tabs>
                <w:tab w:val="left" w:pos="6740"/>
              </w:tabs>
              <w:suppressAutoHyphens w:val="0"/>
              <w:autoSpaceDN/>
              <w:jc w:val="both"/>
              <w:textAlignment w:val="auto"/>
              <w:rPr>
                <w:sz w:val="23"/>
                <w:szCs w:val="23"/>
              </w:rPr>
            </w:pPr>
            <w:r w:rsidRPr="00391E2A">
              <w:rPr>
                <w:sz w:val="23"/>
                <w:szCs w:val="23"/>
              </w:rPr>
              <w:t>Rīgas pilsēta</w:t>
            </w:r>
          </w:p>
        </w:tc>
        <w:tc>
          <w:tcPr>
            <w:tcW w:w="1321" w:type="dxa"/>
            <w:vAlign w:val="center"/>
          </w:tcPr>
          <w:p w14:paraId="0D3F0361"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81 631 208</w:t>
            </w:r>
          </w:p>
        </w:tc>
        <w:tc>
          <w:tcPr>
            <w:tcW w:w="1560" w:type="dxa"/>
            <w:vAlign w:val="center"/>
          </w:tcPr>
          <w:p w14:paraId="45716133"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104 935 136</w:t>
            </w:r>
          </w:p>
        </w:tc>
        <w:tc>
          <w:tcPr>
            <w:tcW w:w="1417" w:type="dxa"/>
            <w:vAlign w:val="center"/>
          </w:tcPr>
          <w:p w14:paraId="29AACDE0"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111 107 808</w:t>
            </w:r>
          </w:p>
        </w:tc>
        <w:tc>
          <w:tcPr>
            <w:tcW w:w="1843" w:type="dxa"/>
            <w:vAlign w:val="center"/>
          </w:tcPr>
          <w:p w14:paraId="18A8D6E1" w14:textId="77777777" w:rsidR="00F635B1" w:rsidRPr="00391E2A" w:rsidRDefault="0075233F" w:rsidP="00C52AF7">
            <w:pPr>
              <w:widowControl w:val="0"/>
              <w:tabs>
                <w:tab w:val="left" w:pos="6740"/>
              </w:tabs>
              <w:suppressAutoHyphens w:val="0"/>
              <w:autoSpaceDN/>
              <w:jc w:val="center"/>
              <w:textAlignment w:val="auto"/>
              <w:rPr>
                <w:sz w:val="23"/>
                <w:szCs w:val="23"/>
              </w:rPr>
            </w:pPr>
            <w:r w:rsidRPr="00391E2A">
              <w:rPr>
                <w:sz w:val="23"/>
                <w:szCs w:val="23"/>
              </w:rPr>
              <w:t>+28,5</w:t>
            </w:r>
            <w:r w:rsidR="00F635B1" w:rsidRPr="00391E2A">
              <w:rPr>
                <w:sz w:val="23"/>
                <w:szCs w:val="23"/>
              </w:rPr>
              <w:t>%</w:t>
            </w:r>
          </w:p>
        </w:tc>
        <w:tc>
          <w:tcPr>
            <w:tcW w:w="1701" w:type="dxa"/>
            <w:vAlign w:val="center"/>
          </w:tcPr>
          <w:p w14:paraId="20483AAD"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+36,1%</w:t>
            </w:r>
          </w:p>
        </w:tc>
      </w:tr>
    </w:tbl>
    <w:p w14:paraId="2609E495" w14:textId="77777777" w:rsidR="006F3A1D" w:rsidRDefault="006F3A1D" w:rsidP="006F3A1D">
      <w:pPr>
        <w:widowControl w:val="0"/>
        <w:tabs>
          <w:tab w:val="left" w:pos="6740"/>
        </w:tabs>
        <w:suppressAutoHyphens w:val="0"/>
        <w:autoSpaceDN/>
        <w:ind w:firstLine="709"/>
        <w:jc w:val="both"/>
        <w:textAlignment w:val="auto"/>
        <w:rPr>
          <w:i/>
          <w:sz w:val="24"/>
          <w:szCs w:val="24"/>
        </w:rPr>
      </w:pPr>
      <w:r w:rsidRPr="00D97B55">
        <w:rPr>
          <w:i/>
          <w:sz w:val="24"/>
          <w:szCs w:val="24"/>
        </w:rPr>
        <w:t>*FM dati</w:t>
      </w:r>
    </w:p>
    <w:p w14:paraId="649300EB" w14:textId="77777777" w:rsidR="002D3941" w:rsidRPr="00D97B55" w:rsidRDefault="002D3941" w:rsidP="006F3A1D">
      <w:pPr>
        <w:widowControl w:val="0"/>
        <w:tabs>
          <w:tab w:val="left" w:pos="6740"/>
        </w:tabs>
        <w:suppressAutoHyphens w:val="0"/>
        <w:autoSpaceDN/>
        <w:ind w:firstLine="709"/>
        <w:jc w:val="both"/>
        <w:textAlignment w:val="auto"/>
        <w:rPr>
          <w:i/>
          <w:sz w:val="24"/>
          <w:szCs w:val="24"/>
        </w:rPr>
      </w:pPr>
      <w:r>
        <w:rPr>
          <w:i/>
          <w:sz w:val="24"/>
          <w:szCs w:val="24"/>
        </w:rPr>
        <w:t>**</w:t>
      </w:r>
      <w:r w:rsidRPr="002D3941">
        <w:rPr>
          <w:i/>
          <w:sz w:val="24"/>
          <w:szCs w:val="24"/>
        </w:rPr>
        <w:t>NĪN prognoze</w:t>
      </w:r>
      <w:r w:rsidR="00A726C1">
        <w:rPr>
          <w:i/>
          <w:sz w:val="24"/>
          <w:szCs w:val="24"/>
        </w:rPr>
        <w:t xml:space="preserve"> (</w:t>
      </w:r>
      <w:r w:rsidR="00A726C1" w:rsidRPr="00C068C8">
        <w:rPr>
          <w:i/>
          <w:sz w:val="24"/>
          <w:szCs w:val="24"/>
        </w:rPr>
        <w:t xml:space="preserve">koriģēta ar </w:t>
      </w:r>
      <w:proofErr w:type="spellStart"/>
      <w:r w:rsidR="00A726C1" w:rsidRPr="00C068C8">
        <w:rPr>
          <w:i/>
          <w:sz w:val="24"/>
          <w:szCs w:val="24"/>
        </w:rPr>
        <w:t>iekasējamības</w:t>
      </w:r>
      <w:proofErr w:type="spellEnd"/>
      <w:r w:rsidR="00A726C1" w:rsidRPr="00C068C8">
        <w:rPr>
          <w:i/>
          <w:sz w:val="24"/>
          <w:szCs w:val="24"/>
        </w:rPr>
        <w:t xml:space="preserve"> koeficientu 0.8</w:t>
      </w:r>
      <w:r w:rsidR="00A726C1">
        <w:rPr>
          <w:i/>
          <w:sz w:val="24"/>
          <w:szCs w:val="24"/>
        </w:rPr>
        <w:t>), kura tiek ņemta vērā pašvaldību finanšu izlīdzināšanā</w:t>
      </w:r>
    </w:p>
    <w:p w14:paraId="7B4BB79D" w14:textId="77777777" w:rsidR="007718AB" w:rsidRDefault="007718AB" w:rsidP="007718AB">
      <w:pPr>
        <w:widowControl w:val="0"/>
        <w:tabs>
          <w:tab w:val="left" w:pos="6740"/>
        </w:tabs>
        <w:suppressAutoHyphens w:val="0"/>
        <w:autoSpaceDN/>
        <w:ind w:firstLine="709"/>
        <w:jc w:val="both"/>
        <w:textAlignment w:val="auto"/>
        <w:rPr>
          <w:szCs w:val="28"/>
        </w:rPr>
      </w:pPr>
    </w:p>
    <w:p w14:paraId="76971A93" w14:textId="562C04EC" w:rsidR="00A17BAE" w:rsidRPr="00D97B55" w:rsidRDefault="00A17BAE" w:rsidP="007718AB">
      <w:pPr>
        <w:widowControl w:val="0"/>
        <w:tabs>
          <w:tab w:val="left" w:pos="6740"/>
        </w:tabs>
        <w:suppressAutoHyphens w:val="0"/>
        <w:autoSpaceDN/>
        <w:ind w:firstLine="709"/>
        <w:jc w:val="both"/>
        <w:textAlignment w:val="auto"/>
        <w:rPr>
          <w:szCs w:val="28"/>
        </w:rPr>
      </w:pPr>
      <w:r w:rsidRPr="00D97B55">
        <w:rPr>
          <w:szCs w:val="28"/>
        </w:rPr>
        <w:t>Vienlaikus jānorāda, ka pēc Finanšu ministrijas rīcībā esošās informācijas, nekustamā īpašuma nodokļa ieņ</w:t>
      </w:r>
      <w:r w:rsidR="00AD464F">
        <w:rPr>
          <w:szCs w:val="28"/>
        </w:rPr>
        <w:t xml:space="preserve">ēmumu </w:t>
      </w:r>
      <w:r w:rsidR="00A85B61">
        <w:rPr>
          <w:szCs w:val="28"/>
        </w:rPr>
        <w:t xml:space="preserve">apjoms </w:t>
      </w:r>
      <w:r w:rsidR="00AD464F">
        <w:rPr>
          <w:szCs w:val="28"/>
        </w:rPr>
        <w:t>2016.gadā ir 15,0</w:t>
      </w:r>
      <w:r w:rsidRPr="00D97B55">
        <w:rPr>
          <w:szCs w:val="28"/>
        </w:rPr>
        <w:t>% apmērā,   savukārt iedzīvotāju ienākuma n</w:t>
      </w:r>
      <w:r w:rsidR="00AD464F">
        <w:rPr>
          <w:szCs w:val="28"/>
        </w:rPr>
        <w:t xml:space="preserve">odokļa ieņēmumu </w:t>
      </w:r>
      <w:r w:rsidR="00056696">
        <w:rPr>
          <w:szCs w:val="28"/>
        </w:rPr>
        <w:t>apjoms</w:t>
      </w:r>
      <w:r w:rsidR="00AD464F">
        <w:rPr>
          <w:szCs w:val="28"/>
        </w:rPr>
        <w:t xml:space="preserve"> ir 83,9</w:t>
      </w:r>
      <w:r w:rsidRPr="00D97B55">
        <w:rPr>
          <w:szCs w:val="28"/>
        </w:rPr>
        <w:t>% apmērā no pašvaldību kopējo nodokļu ieņēmumu izpildes 2016.gadā.</w:t>
      </w:r>
    </w:p>
    <w:p w14:paraId="1DE36620" w14:textId="77777777" w:rsidR="008829B2" w:rsidRDefault="005770F3" w:rsidP="008829B2">
      <w:pPr>
        <w:widowControl w:val="0"/>
        <w:tabs>
          <w:tab w:val="left" w:pos="6740"/>
        </w:tabs>
        <w:suppressAutoHyphens w:val="0"/>
        <w:autoSpaceDN/>
        <w:ind w:firstLine="709"/>
        <w:jc w:val="both"/>
        <w:textAlignment w:val="auto"/>
        <w:rPr>
          <w:szCs w:val="28"/>
        </w:rPr>
      </w:pPr>
      <w:r w:rsidRPr="00D97B55">
        <w:rPr>
          <w:szCs w:val="28"/>
        </w:rPr>
        <w:t>Ir jāņem</w:t>
      </w:r>
      <w:r w:rsidRPr="006B537C">
        <w:rPr>
          <w:szCs w:val="28"/>
        </w:rPr>
        <w:t xml:space="preserve"> vērā, ka pašvaldības</w:t>
      </w:r>
      <w:r w:rsidR="006B537C">
        <w:rPr>
          <w:szCs w:val="28"/>
        </w:rPr>
        <w:t>,</w:t>
      </w:r>
      <w:r w:rsidRPr="006B537C">
        <w:rPr>
          <w:szCs w:val="28"/>
        </w:rPr>
        <w:t xml:space="preserve"> veidojot nekustamā īpašuma nodokļa piemērošanas politiku savā administratīvajā teritorijā</w:t>
      </w:r>
      <w:r w:rsidR="006B537C">
        <w:rPr>
          <w:szCs w:val="28"/>
        </w:rPr>
        <w:t>,</w:t>
      </w:r>
      <w:r w:rsidRPr="006B537C">
        <w:rPr>
          <w:szCs w:val="28"/>
        </w:rPr>
        <w:t xml:space="preserve"> izvērtē vairākus gan sociālos</w:t>
      </w:r>
      <w:r w:rsidR="006B537C">
        <w:rPr>
          <w:szCs w:val="28"/>
        </w:rPr>
        <w:t>, gan ekonomiskos un citus aspektus</w:t>
      </w:r>
      <w:r w:rsidRPr="006B537C">
        <w:rPr>
          <w:szCs w:val="28"/>
        </w:rPr>
        <w:t xml:space="preserve">, tai skaitā </w:t>
      </w:r>
      <w:r w:rsidR="006B537C">
        <w:rPr>
          <w:szCs w:val="28"/>
        </w:rPr>
        <w:t>-</w:t>
      </w:r>
      <w:r w:rsidRPr="006B537C">
        <w:rPr>
          <w:szCs w:val="28"/>
        </w:rPr>
        <w:t xml:space="preserve"> iespējas ilgtermiņā palielināt ieņēmumus no iedzīvotāju ienākuma nodokļa. Līdz ar to nekustamā īpašuma nodokļa ieņēmumi būtu jāskata kontekstā ar iedzīvotāju ienākuma nodokļa ieņēmumiem, jo daudzas pašvaldības nosaka nekustamā īpašuma atvieglojumus ar mērķi palielināt deklarēto iedzīvotāju skaitu un saņemt lielākus </w:t>
      </w:r>
      <w:r w:rsidRPr="00956F6E">
        <w:rPr>
          <w:szCs w:val="28"/>
        </w:rPr>
        <w:t xml:space="preserve">iedzīvotāju ienākuma nodokļa maksājumus. </w:t>
      </w:r>
    </w:p>
    <w:p w14:paraId="37D1A2AE" w14:textId="77777777" w:rsidR="00F82F7E" w:rsidRDefault="005770F3" w:rsidP="008829B2">
      <w:pPr>
        <w:widowControl w:val="0"/>
        <w:tabs>
          <w:tab w:val="left" w:pos="6740"/>
        </w:tabs>
        <w:suppressAutoHyphens w:val="0"/>
        <w:autoSpaceDN/>
        <w:ind w:firstLine="709"/>
        <w:jc w:val="both"/>
        <w:textAlignment w:val="auto"/>
        <w:rPr>
          <w:szCs w:val="28"/>
        </w:rPr>
      </w:pPr>
      <w:r w:rsidRPr="00956F6E">
        <w:rPr>
          <w:szCs w:val="28"/>
        </w:rPr>
        <w:t xml:space="preserve">Pēdējos gados ir pieaudzis </w:t>
      </w:r>
      <w:r w:rsidR="000827B4">
        <w:rPr>
          <w:szCs w:val="28"/>
        </w:rPr>
        <w:t xml:space="preserve">to </w:t>
      </w:r>
      <w:r w:rsidRPr="00956F6E">
        <w:rPr>
          <w:szCs w:val="28"/>
        </w:rPr>
        <w:t xml:space="preserve">pašvaldību skaits, kas paredz nekustamā īpašuma nodokļa atlaižu sasaisti ar </w:t>
      </w:r>
      <w:r w:rsidR="00956F6E" w:rsidRPr="00956F6E">
        <w:rPr>
          <w:szCs w:val="28"/>
        </w:rPr>
        <w:t xml:space="preserve">personas </w:t>
      </w:r>
      <w:r w:rsidR="00AE5B05">
        <w:rPr>
          <w:szCs w:val="28"/>
        </w:rPr>
        <w:t>deklarēto dzīves vietu.</w:t>
      </w:r>
      <w:r w:rsidRPr="00956F6E">
        <w:rPr>
          <w:szCs w:val="28"/>
        </w:rPr>
        <w:t xml:space="preserve"> </w:t>
      </w:r>
      <w:r w:rsidR="00AE5B05">
        <w:rPr>
          <w:szCs w:val="28"/>
        </w:rPr>
        <w:t>K</w:t>
      </w:r>
      <w:r w:rsidR="00956F6E" w:rsidRPr="00956F6E">
        <w:rPr>
          <w:szCs w:val="28"/>
        </w:rPr>
        <w:t>ā</w:t>
      </w:r>
      <w:r w:rsidRPr="00956F6E">
        <w:rPr>
          <w:szCs w:val="28"/>
        </w:rPr>
        <w:t xml:space="preserve"> piemēr</w:t>
      </w:r>
      <w:r w:rsidR="00AE5B05">
        <w:rPr>
          <w:szCs w:val="28"/>
        </w:rPr>
        <w:t>u varētu minēt</w:t>
      </w:r>
      <w:r w:rsidRPr="00956F6E">
        <w:rPr>
          <w:szCs w:val="28"/>
        </w:rPr>
        <w:t xml:space="preserve"> </w:t>
      </w:r>
      <w:r w:rsidR="000827B4">
        <w:rPr>
          <w:szCs w:val="28"/>
        </w:rPr>
        <w:t>Garkalnes novad</w:t>
      </w:r>
      <w:r w:rsidR="00D71833">
        <w:rPr>
          <w:szCs w:val="28"/>
        </w:rPr>
        <w:t>a</w:t>
      </w:r>
      <w:r w:rsidR="000827B4">
        <w:rPr>
          <w:szCs w:val="28"/>
        </w:rPr>
        <w:t>, Kocēnu novad</w:t>
      </w:r>
      <w:r w:rsidR="00D71833">
        <w:rPr>
          <w:szCs w:val="28"/>
        </w:rPr>
        <w:t>a</w:t>
      </w:r>
      <w:r w:rsidR="000827B4">
        <w:rPr>
          <w:szCs w:val="28"/>
        </w:rPr>
        <w:t xml:space="preserve">, </w:t>
      </w:r>
      <w:r w:rsidRPr="00956F6E">
        <w:rPr>
          <w:szCs w:val="28"/>
        </w:rPr>
        <w:t>Jūrmalas pilsētas pašvaldīb</w:t>
      </w:r>
      <w:r w:rsidR="00D71833">
        <w:rPr>
          <w:szCs w:val="28"/>
        </w:rPr>
        <w:t>as</w:t>
      </w:r>
      <w:r w:rsidR="00AE5B05">
        <w:rPr>
          <w:szCs w:val="28"/>
        </w:rPr>
        <w:t xml:space="preserve">, </w:t>
      </w:r>
      <w:r w:rsidR="00AE5B05">
        <w:rPr>
          <w:szCs w:val="28"/>
        </w:rPr>
        <w:lastRenderedPageBreak/>
        <w:t>kura</w:t>
      </w:r>
      <w:r w:rsidR="00D71833">
        <w:rPr>
          <w:szCs w:val="28"/>
        </w:rPr>
        <w:t>s</w:t>
      </w:r>
      <w:r w:rsidRPr="00956F6E">
        <w:rPr>
          <w:szCs w:val="28"/>
        </w:rPr>
        <w:t xml:space="preserve"> paredz deklarētajiem iedzīvotājiem būtiskas </w:t>
      </w:r>
      <w:r w:rsidR="00956F6E" w:rsidRPr="00956F6E">
        <w:rPr>
          <w:szCs w:val="28"/>
        </w:rPr>
        <w:t xml:space="preserve">nekustamā īpašuma nodokļa </w:t>
      </w:r>
      <w:r w:rsidRPr="00956F6E">
        <w:rPr>
          <w:szCs w:val="28"/>
        </w:rPr>
        <w:t>atlaides</w:t>
      </w:r>
      <w:r w:rsidR="00AE5B05">
        <w:rPr>
          <w:szCs w:val="28"/>
        </w:rPr>
        <w:t>, tādējādi cenšoties</w:t>
      </w:r>
      <w:r w:rsidR="00AE5B05" w:rsidRPr="00AE5B05">
        <w:t xml:space="preserve"> </w:t>
      </w:r>
      <w:r w:rsidR="00AE5B05" w:rsidRPr="00AE5B05">
        <w:rPr>
          <w:szCs w:val="28"/>
        </w:rPr>
        <w:t>saņemt lielākus iedzīvotāju ienākuma nodokļa maksājumus</w:t>
      </w:r>
      <w:r w:rsidR="00D956DB">
        <w:rPr>
          <w:szCs w:val="28"/>
        </w:rPr>
        <w:t>.</w:t>
      </w:r>
    </w:p>
    <w:p w14:paraId="005ACAE0" w14:textId="77777777" w:rsidR="00D956DB" w:rsidRPr="00D956DB" w:rsidRDefault="006F3A1D" w:rsidP="00BB2A66">
      <w:pPr>
        <w:widowControl w:val="0"/>
        <w:tabs>
          <w:tab w:val="left" w:pos="6740"/>
        </w:tabs>
        <w:suppressAutoHyphens w:val="0"/>
        <w:autoSpaceDN/>
        <w:spacing w:before="120" w:after="120"/>
        <w:ind w:firstLine="709"/>
        <w:jc w:val="right"/>
        <w:textAlignment w:val="auto"/>
        <w:rPr>
          <w:i/>
          <w:sz w:val="24"/>
          <w:szCs w:val="24"/>
        </w:rPr>
      </w:pPr>
      <w:r>
        <w:rPr>
          <w:i/>
          <w:sz w:val="24"/>
          <w:szCs w:val="24"/>
        </w:rPr>
        <w:t>3</w:t>
      </w:r>
      <w:r w:rsidR="00D956DB" w:rsidRPr="00D956DB">
        <w:rPr>
          <w:i/>
          <w:sz w:val="24"/>
          <w:szCs w:val="24"/>
        </w:rPr>
        <w:t>.tabula</w:t>
      </w:r>
    </w:p>
    <w:p w14:paraId="3625A8CD" w14:textId="77777777" w:rsidR="00AE5B05" w:rsidRPr="00D97B55" w:rsidRDefault="00D4758D" w:rsidP="00D4758D">
      <w:pPr>
        <w:widowControl w:val="0"/>
        <w:tabs>
          <w:tab w:val="left" w:pos="6740"/>
        </w:tabs>
        <w:suppressAutoHyphens w:val="0"/>
        <w:autoSpaceDN/>
        <w:spacing w:after="240"/>
        <w:jc w:val="both"/>
        <w:textAlignment w:val="auto"/>
        <w:rPr>
          <w:b/>
          <w:sz w:val="24"/>
          <w:szCs w:val="24"/>
        </w:rPr>
      </w:pPr>
      <w:r w:rsidRPr="00D97B55">
        <w:rPr>
          <w:b/>
          <w:sz w:val="24"/>
          <w:szCs w:val="24"/>
        </w:rPr>
        <w:t>Nekustamā īpašuma nodokļa un iedzīvotāju ienākuma nodokļa ieņēmumu salīdzinājums Jūrmalas pilsētā 2014.</w:t>
      </w:r>
      <w:r w:rsidR="00F133D3" w:rsidRPr="00D97B55">
        <w:rPr>
          <w:b/>
          <w:sz w:val="24"/>
          <w:szCs w:val="24"/>
        </w:rPr>
        <w:t>,</w:t>
      </w:r>
      <w:r w:rsidRPr="00D97B55">
        <w:rPr>
          <w:b/>
          <w:sz w:val="24"/>
          <w:szCs w:val="24"/>
        </w:rPr>
        <w:t xml:space="preserve"> 2015.</w:t>
      </w:r>
      <w:r w:rsidR="00F133D3" w:rsidRPr="00D97B55">
        <w:rPr>
          <w:b/>
          <w:sz w:val="24"/>
          <w:szCs w:val="24"/>
        </w:rPr>
        <w:t xml:space="preserve"> un 2016.</w:t>
      </w:r>
      <w:r w:rsidRPr="00D97B55">
        <w:rPr>
          <w:b/>
          <w:sz w:val="24"/>
          <w:szCs w:val="24"/>
        </w:rPr>
        <w:t>gadā*</w:t>
      </w:r>
    </w:p>
    <w:tbl>
      <w:tblPr>
        <w:tblW w:w="7508" w:type="dxa"/>
        <w:tblInd w:w="-5" w:type="dxa"/>
        <w:tblLook w:val="04A0" w:firstRow="1" w:lastRow="0" w:firstColumn="1" w:lastColumn="0" w:noHBand="0" w:noVBand="1"/>
      </w:tblPr>
      <w:tblGrid>
        <w:gridCol w:w="1554"/>
        <w:gridCol w:w="1843"/>
        <w:gridCol w:w="1843"/>
        <w:gridCol w:w="2268"/>
      </w:tblGrid>
      <w:tr w:rsidR="00774E4E" w:rsidRPr="00D97B55" w14:paraId="3A8A7753" w14:textId="77777777" w:rsidTr="001A78A7">
        <w:trPr>
          <w:trHeight w:val="20"/>
        </w:trPr>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C98781"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Periods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604F96"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NĪN izpilde, EUR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D9DA4C"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IIN izpilde, EUR</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988747"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Kopā NĪN un IIN izpilde, EUR</w:t>
            </w:r>
          </w:p>
        </w:tc>
      </w:tr>
      <w:tr w:rsidR="00774E4E" w:rsidRPr="00D97B55" w14:paraId="5455DF86" w14:textId="77777777" w:rsidTr="00125130">
        <w:trPr>
          <w:trHeight w:val="375"/>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6D107E65"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2014.gads</w:t>
            </w:r>
          </w:p>
        </w:tc>
        <w:tc>
          <w:tcPr>
            <w:tcW w:w="1843" w:type="dxa"/>
            <w:tcBorders>
              <w:top w:val="nil"/>
              <w:left w:val="nil"/>
              <w:bottom w:val="single" w:sz="4" w:space="0" w:color="auto"/>
              <w:right w:val="single" w:sz="4" w:space="0" w:color="auto"/>
            </w:tcBorders>
            <w:shd w:val="clear" w:color="auto" w:fill="auto"/>
            <w:noWrap/>
            <w:vAlign w:val="center"/>
            <w:hideMark/>
          </w:tcPr>
          <w:p w14:paraId="2CCDE154"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9 406 004</w:t>
            </w:r>
          </w:p>
        </w:tc>
        <w:tc>
          <w:tcPr>
            <w:tcW w:w="1843" w:type="dxa"/>
            <w:tcBorders>
              <w:top w:val="nil"/>
              <w:left w:val="nil"/>
              <w:bottom w:val="single" w:sz="4" w:space="0" w:color="auto"/>
              <w:right w:val="single" w:sz="4" w:space="0" w:color="auto"/>
            </w:tcBorders>
            <w:shd w:val="clear" w:color="auto" w:fill="auto"/>
            <w:noWrap/>
            <w:vAlign w:val="center"/>
            <w:hideMark/>
          </w:tcPr>
          <w:p w14:paraId="714A1813"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39 158 336</w:t>
            </w:r>
          </w:p>
        </w:tc>
        <w:tc>
          <w:tcPr>
            <w:tcW w:w="2268" w:type="dxa"/>
            <w:tcBorders>
              <w:top w:val="nil"/>
              <w:left w:val="nil"/>
              <w:bottom w:val="single" w:sz="4" w:space="0" w:color="auto"/>
              <w:right w:val="single" w:sz="4" w:space="0" w:color="auto"/>
            </w:tcBorders>
            <w:shd w:val="clear" w:color="auto" w:fill="auto"/>
            <w:noWrap/>
            <w:vAlign w:val="center"/>
            <w:hideMark/>
          </w:tcPr>
          <w:p w14:paraId="428A7276"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48 564 340</w:t>
            </w:r>
          </w:p>
        </w:tc>
      </w:tr>
      <w:tr w:rsidR="00774E4E" w:rsidRPr="00D97B55" w14:paraId="0334146B" w14:textId="77777777" w:rsidTr="00125130">
        <w:trPr>
          <w:trHeight w:val="375"/>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7D6CFC88"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2015.gads</w:t>
            </w:r>
          </w:p>
        </w:tc>
        <w:tc>
          <w:tcPr>
            <w:tcW w:w="1843" w:type="dxa"/>
            <w:tcBorders>
              <w:top w:val="nil"/>
              <w:left w:val="nil"/>
              <w:bottom w:val="single" w:sz="4" w:space="0" w:color="auto"/>
              <w:right w:val="single" w:sz="4" w:space="0" w:color="auto"/>
            </w:tcBorders>
            <w:shd w:val="clear" w:color="auto" w:fill="auto"/>
            <w:noWrap/>
            <w:vAlign w:val="center"/>
            <w:hideMark/>
          </w:tcPr>
          <w:p w14:paraId="5920D9FA"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9 254 872</w:t>
            </w:r>
          </w:p>
        </w:tc>
        <w:tc>
          <w:tcPr>
            <w:tcW w:w="1843" w:type="dxa"/>
            <w:tcBorders>
              <w:top w:val="nil"/>
              <w:left w:val="nil"/>
              <w:bottom w:val="single" w:sz="4" w:space="0" w:color="auto"/>
              <w:right w:val="single" w:sz="4" w:space="0" w:color="auto"/>
            </w:tcBorders>
            <w:shd w:val="clear" w:color="auto" w:fill="auto"/>
            <w:noWrap/>
            <w:vAlign w:val="center"/>
            <w:hideMark/>
          </w:tcPr>
          <w:p w14:paraId="5C572D4D"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42 775 321</w:t>
            </w:r>
          </w:p>
        </w:tc>
        <w:tc>
          <w:tcPr>
            <w:tcW w:w="2268" w:type="dxa"/>
            <w:tcBorders>
              <w:top w:val="nil"/>
              <w:left w:val="nil"/>
              <w:bottom w:val="single" w:sz="4" w:space="0" w:color="auto"/>
              <w:right w:val="single" w:sz="4" w:space="0" w:color="auto"/>
            </w:tcBorders>
            <w:shd w:val="clear" w:color="auto" w:fill="auto"/>
            <w:noWrap/>
            <w:vAlign w:val="center"/>
            <w:hideMark/>
          </w:tcPr>
          <w:p w14:paraId="1771C8E1"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52 030 193</w:t>
            </w:r>
          </w:p>
        </w:tc>
      </w:tr>
      <w:tr w:rsidR="00774E4E" w:rsidRPr="00D97B55" w14:paraId="5DE54DDC" w14:textId="77777777" w:rsidTr="00125130">
        <w:trPr>
          <w:trHeight w:val="375"/>
        </w:trPr>
        <w:tc>
          <w:tcPr>
            <w:tcW w:w="1554"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7FFFF494"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2016.gads</w:t>
            </w:r>
          </w:p>
        </w:tc>
        <w:tc>
          <w:tcPr>
            <w:tcW w:w="1843" w:type="dxa"/>
            <w:tcBorders>
              <w:top w:val="single" w:sz="4" w:space="0" w:color="auto"/>
              <w:left w:val="nil"/>
              <w:bottom w:val="single" w:sz="18" w:space="0" w:color="auto"/>
              <w:right w:val="single" w:sz="4" w:space="0" w:color="auto"/>
            </w:tcBorders>
            <w:shd w:val="clear" w:color="auto" w:fill="auto"/>
            <w:noWrap/>
            <w:vAlign w:val="center"/>
          </w:tcPr>
          <w:p w14:paraId="1956DC50"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10 250 317</w:t>
            </w:r>
          </w:p>
        </w:tc>
        <w:tc>
          <w:tcPr>
            <w:tcW w:w="1843" w:type="dxa"/>
            <w:tcBorders>
              <w:top w:val="single" w:sz="4" w:space="0" w:color="auto"/>
              <w:left w:val="nil"/>
              <w:bottom w:val="single" w:sz="18" w:space="0" w:color="auto"/>
              <w:right w:val="single" w:sz="4" w:space="0" w:color="auto"/>
            </w:tcBorders>
            <w:shd w:val="clear" w:color="auto" w:fill="auto"/>
            <w:noWrap/>
            <w:vAlign w:val="center"/>
          </w:tcPr>
          <w:p w14:paraId="344EADEC"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47 022 192</w:t>
            </w:r>
          </w:p>
        </w:tc>
        <w:tc>
          <w:tcPr>
            <w:tcW w:w="2268" w:type="dxa"/>
            <w:tcBorders>
              <w:top w:val="single" w:sz="4" w:space="0" w:color="auto"/>
              <w:left w:val="nil"/>
              <w:bottom w:val="single" w:sz="18" w:space="0" w:color="auto"/>
              <w:right w:val="single" w:sz="4" w:space="0" w:color="auto"/>
            </w:tcBorders>
            <w:shd w:val="clear" w:color="auto" w:fill="auto"/>
            <w:noWrap/>
            <w:vAlign w:val="center"/>
          </w:tcPr>
          <w:p w14:paraId="49730DCD"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57 275 509</w:t>
            </w:r>
          </w:p>
        </w:tc>
      </w:tr>
      <w:tr w:rsidR="00774E4E" w:rsidRPr="00D97B55" w14:paraId="4BE650E3" w14:textId="77777777" w:rsidTr="00125130">
        <w:trPr>
          <w:trHeight w:val="375"/>
        </w:trPr>
        <w:tc>
          <w:tcPr>
            <w:tcW w:w="155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40E8C956"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Starpība 2015.-2014., EUR</w:t>
            </w:r>
          </w:p>
        </w:tc>
        <w:tc>
          <w:tcPr>
            <w:tcW w:w="1843" w:type="dxa"/>
            <w:tcBorders>
              <w:top w:val="single" w:sz="18" w:space="0" w:color="auto"/>
              <w:left w:val="nil"/>
              <w:bottom w:val="single" w:sz="4" w:space="0" w:color="auto"/>
              <w:right w:val="single" w:sz="4" w:space="0" w:color="auto"/>
            </w:tcBorders>
            <w:shd w:val="clear" w:color="auto" w:fill="auto"/>
            <w:noWrap/>
            <w:vAlign w:val="center"/>
          </w:tcPr>
          <w:p w14:paraId="3D80CEF8"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-151 132</w:t>
            </w:r>
          </w:p>
        </w:tc>
        <w:tc>
          <w:tcPr>
            <w:tcW w:w="1843" w:type="dxa"/>
            <w:tcBorders>
              <w:top w:val="single" w:sz="18" w:space="0" w:color="auto"/>
              <w:left w:val="nil"/>
              <w:bottom w:val="single" w:sz="4" w:space="0" w:color="auto"/>
              <w:right w:val="single" w:sz="4" w:space="0" w:color="auto"/>
            </w:tcBorders>
            <w:shd w:val="clear" w:color="auto" w:fill="auto"/>
            <w:noWrap/>
            <w:vAlign w:val="center"/>
          </w:tcPr>
          <w:p w14:paraId="1190DB0F"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+ 3 616 985</w:t>
            </w:r>
          </w:p>
        </w:tc>
        <w:tc>
          <w:tcPr>
            <w:tcW w:w="2268" w:type="dxa"/>
            <w:tcBorders>
              <w:top w:val="single" w:sz="18" w:space="0" w:color="auto"/>
              <w:left w:val="nil"/>
              <w:bottom w:val="single" w:sz="4" w:space="0" w:color="auto"/>
              <w:right w:val="single" w:sz="4" w:space="0" w:color="auto"/>
            </w:tcBorders>
            <w:shd w:val="clear" w:color="auto" w:fill="auto"/>
            <w:noWrap/>
            <w:vAlign w:val="center"/>
          </w:tcPr>
          <w:p w14:paraId="7D30958E"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+ 3 465 853</w:t>
            </w:r>
          </w:p>
        </w:tc>
      </w:tr>
      <w:tr w:rsidR="00774E4E" w:rsidRPr="00D97B55" w14:paraId="227DF0DC" w14:textId="77777777" w:rsidTr="00125130">
        <w:trPr>
          <w:trHeight w:val="375"/>
        </w:trPr>
        <w:tc>
          <w:tcPr>
            <w:tcW w:w="1554"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5DB9E84F"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Starpība, %</w:t>
            </w:r>
          </w:p>
        </w:tc>
        <w:tc>
          <w:tcPr>
            <w:tcW w:w="1843" w:type="dxa"/>
            <w:tcBorders>
              <w:top w:val="single" w:sz="4" w:space="0" w:color="auto"/>
              <w:left w:val="nil"/>
              <w:bottom w:val="single" w:sz="18" w:space="0" w:color="auto"/>
              <w:right w:val="single" w:sz="4" w:space="0" w:color="auto"/>
            </w:tcBorders>
            <w:shd w:val="clear" w:color="auto" w:fill="auto"/>
            <w:noWrap/>
            <w:vAlign w:val="center"/>
            <w:hideMark/>
          </w:tcPr>
          <w:p w14:paraId="4012025B" w14:textId="77777777" w:rsidR="00774E4E" w:rsidRPr="00D97B55" w:rsidRDefault="00AD464F" w:rsidP="00125130">
            <w:pPr>
              <w:suppressAutoHyphens w:val="0"/>
              <w:autoSpaceDN/>
              <w:jc w:val="center"/>
              <w:textAlignment w:val="auto"/>
              <w:rPr>
                <w:rFonts w:eastAsia="Times New Roman"/>
                <w:b/>
                <w:color w:val="000000"/>
                <w:sz w:val="24"/>
                <w:szCs w:val="24"/>
                <w:lang w:eastAsia="lv-LV"/>
              </w:rPr>
            </w:pPr>
            <w:r>
              <w:rPr>
                <w:rFonts w:eastAsia="Times New Roman"/>
                <w:b/>
                <w:color w:val="000000"/>
                <w:sz w:val="24"/>
                <w:szCs w:val="24"/>
                <w:lang w:eastAsia="lv-LV"/>
              </w:rPr>
              <w:t>-1,6</w:t>
            </w:r>
            <w:r w:rsidR="00774E4E" w:rsidRPr="00D97B55">
              <w:rPr>
                <w:rFonts w:eastAsia="Times New Roman"/>
                <w:b/>
                <w:color w:val="000000"/>
                <w:sz w:val="24"/>
                <w:szCs w:val="24"/>
                <w:lang w:eastAsia="lv-LV"/>
              </w:rPr>
              <w:t>%</w:t>
            </w:r>
          </w:p>
        </w:tc>
        <w:tc>
          <w:tcPr>
            <w:tcW w:w="1843" w:type="dxa"/>
            <w:tcBorders>
              <w:top w:val="single" w:sz="4" w:space="0" w:color="auto"/>
              <w:left w:val="nil"/>
              <w:bottom w:val="single" w:sz="18" w:space="0" w:color="auto"/>
              <w:right w:val="single" w:sz="4" w:space="0" w:color="auto"/>
            </w:tcBorders>
            <w:shd w:val="clear" w:color="auto" w:fill="auto"/>
            <w:noWrap/>
            <w:vAlign w:val="center"/>
            <w:hideMark/>
          </w:tcPr>
          <w:p w14:paraId="0DF126DE" w14:textId="77777777" w:rsidR="00774E4E" w:rsidRPr="00D97B55" w:rsidRDefault="00AD464F" w:rsidP="00125130">
            <w:pPr>
              <w:suppressAutoHyphens w:val="0"/>
              <w:autoSpaceDN/>
              <w:jc w:val="center"/>
              <w:textAlignment w:val="auto"/>
              <w:rPr>
                <w:rFonts w:eastAsia="Times New Roman"/>
                <w:b/>
                <w:color w:val="000000"/>
                <w:sz w:val="24"/>
                <w:szCs w:val="24"/>
                <w:lang w:eastAsia="lv-LV"/>
              </w:rPr>
            </w:pPr>
            <w:r>
              <w:rPr>
                <w:rFonts w:eastAsia="Times New Roman"/>
                <w:b/>
                <w:color w:val="000000"/>
                <w:sz w:val="24"/>
                <w:szCs w:val="24"/>
                <w:lang w:eastAsia="lv-LV"/>
              </w:rPr>
              <w:t>+ 9,2</w:t>
            </w:r>
            <w:r w:rsidR="00774E4E" w:rsidRPr="00D97B55">
              <w:rPr>
                <w:rFonts w:eastAsia="Times New Roman"/>
                <w:b/>
                <w:color w:val="000000"/>
                <w:sz w:val="24"/>
                <w:szCs w:val="24"/>
                <w:lang w:eastAsia="lv-LV"/>
              </w:rPr>
              <w:t>%</w:t>
            </w:r>
          </w:p>
        </w:tc>
        <w:tc>
          <w:tcPr>
            <w:tcW w:w="2268" w:type="dxa"/>
            <w:tcBorders>
              <w:top w:val="single" w:sz="4" w:space="0" w:color="auto"/>
              <w:left w:val="nil"/>
              <w:bottom w:val="single" w:sz="18" w:space="0" w:color="auto"/>
              <w:right w:val="single" w:sz="4" w:space="0" w:color="auto"/>
            </w:tcBorders>
            <w:shd w:val="clear" w:color="auto" w:fill="auto"/>
            <w:noWrap/>
            <w:vAlign w:val="center"/>
            <w:hideMark/>
          </w:tcPr>
          <w:p w14:paraId="776CC2E6" w14:textId="77777777" w:rsidR="00774E4E" w:rsidRPr="00D97B55" w:rsidRDefault="00AD464F" w:rsidP="00125130">
            <w:pPr>
              <w:suppressAutoHyphens w:val="0"/>
              <w:autoSpaceDN/>
              <w:jc w:val="center"/>
              <w:textAlignment w:val="auto"/>
              <w:rPr>
                <w:rFonts w:eastAsia="Times New Roman"/>
                <w:color w:val="000000"/>
                <w:sz w:val="24"/>
                <w:szCs w:val="24"/>
                <w:lang w:eastAsia="lv-LV"/>
              </w:rPr>
            </w:pPr>
            <w:r>
              <w:rPr>
                <w:rFonts w:eastAsia="Times New Roman"/>
                <w:color w:val="000000"/>
                <w:sz w:val="24"/>
                <w:szCs w:val="24"/>
                <w:lang w:eastAsia="lv-LV"/>
              </w:rPr>
              <w:t>+ 7,1</w:t>
            </w:r>
            <w:r w:rsidR="00774E4E" w:rsidRPr="00D97B55">
              <w:rPr>
                <w:rFonts w:eastAsia="Times New Roman"/>
                <w:color w:val="000000"/>
                <w:sz w:val="24"/>
                <w:szCs w:val="24"/>
                <w:lang w:eastAsia="lv-LV"/>
              </w:rPr>
              <w:t>%</w:t>
            </w:r>
          </w:p>
        </w:tc>
      </w:tr>
      <w:tr w:rsidR="00774E4E" w:rsidRPr="00D97B55" w14:paraId="7F30F218" w14:textId="77777777" w:rsidTr="00125130">
        <w:trPr>
          <w:trHeight w:val="375"/>
        </w:trPr>
        <w:tc>
          <w:tcPr>
            <w:tcW w:w="155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548DF2C6"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Starpība 2016.-2015., EUR</w:t>
            </w:r>
          </w:p>
        </w:tc>
        <w:tc>
          <w:tcPr>
            <w:tcW w:w="1843" w:type="dxa"/>
            <w:tcBorders>
              <w:top w:val="single" w:sz="18" w:space="0" w:color="auto"/>
              <w:left w:val="nil"/>
              <w:bottom w:val="single" w:sz="4" w:space="0" w:color="auto"/>
              <w:right w:val="single" w:sz="4" w:space="0" w:color="auto"/>
            </w:tcBorders>
            <w:shd w:val="clear" w:color="auto" w:fill="auto"/>
            <w:noWrap/>
            <w:vAlign w:val="center"/>
          </w:tcPr>
          <w:p w14:paraId="64A78160"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+ 995 445</w:t>
            </w:r>
          </w:p>
        </w:tc>
        <w:tc>
          <w:tcPr>
            <w:tcW w:w="1843" w:type="dxa"/>
            <w:tcBorders>
              <w:top w:val="single" w:sz="18" w:space="0" w:color="auto"/>
              <w:left w:val="nil"/>
              <w:bottom w:val="single" w:sz="4" w:space="0" w:color="auto"/>
              <w:right w:val="single" w:sz="4" w:space="0" w:color="auto"/>
            </w:tcBorders>
            <w:shd w:val="clear" w:color="auto" w:fill="auto"/>
            <w:noWrap/>
            <w:vAlign w:val="center"/>
          </w:tcPr>
          <w:p w14:paraId="091B2BDA"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+ 4 246 871</w:t>
            </w:r>
          </w:p>
        </w:tc>
        <w:tc>
          <w:tcPr>
            <w:tcW w:w="2268" w:type="dxa"/>
            <w:tcBorders>
              <w:top w:val="single" w:sz="18" w:space="0" w:color="auto"/>
              <w:left w:val="nil"/>
              <w:bottom w:val="single" w:sz="4" w:space="0" w:color="auto"/>
              <w:right w:val="single" w:sz="4" w:space="0" w:color="auto"/>
            </w:tcBorders>
            <w:shd w:val="clear" w:color="auto" w:fill="auto"/>
            <w:noWrap/>
            <w:vAlign w:val="center"/>
          </w:tcPr>
          <w:p w14:paraId="726DF3DA"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+ 5 245 316</w:t>
            </w:r>
          </w:p>
        </w:tc>
      </w:tr>
      <w:tr w:rsidR="00774E4E" w:rsidRPr="00D97B55" w14:paraId="1F5D2120" w14:textId="77777777" w:rsidTr="00125130">
        <w:trPr>
          <w:trHeight w:val="375"/>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48552"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Starpība,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53B6557" w14:textId="77777777" w:rsidR="00774E4E" w:rsidRPr="00D97B55" w:rsidRDefault="00AD464F" w:rsidP="00125130">
            <w:pPr>
              <w:suppressAutoHyphens w:val="0"/>
              <w:autoSpaceDN/>
              <w:jc w:val="center"/>
              <w:textAlignment w:val="auto"/>
              <w:rPr>
                <w:rFonts w:eastAsia="Times New Roman"/>
                <w:b/>
                <w:color w:val="000000"/>
                <w:sz w:val="24"/>
                <w:szCs w:val="24"/>
                <w:lang w:eastAsia="lv-LV"/>
              </w:rPr>
            </w:pPr>
            <w:r>
              <w:rPr>
                <w:rFonts w:eastAsia="Times New Roman"/>
                <w:b/>
                <w:color w:val="000000"/>
                <w:sz w:val="24"/>
                <w:szCs w:val="24"/>
                <w:lang w:eastAsia="lv-LV"/>
              </w:rPr>
              <w:t>+ 10,8</w:t>
            </w:r>
            <w:r w:rsidR="00774E4E" w:rsidRPr="00D97B55">
              <w:rPr>
                <w:rFonts w:eastAsia="Times New Roman"/>
                <w:b/>
                <w:color w:val="000000"/>
                <w:sz w:val="24"/>
                <w:szCs w:val="24"/>
                <w:lang w:eastAsia="lv-LV"/>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2ABB08C" w14:textId="77777777" w:rsidR="00774E4E" w:rsidRPr="00D97B55" w:rsidRDefault="00AD464F" w:rsidP="00125130">
            <w:pPr>
              <w:suppressAutoHyphens w:val="0"/>
              <w:autoSpaceDN/>
              <w:jc w:val="center"/>
              <w:textAlignment w:val="auto"/>
              <w:rPr>
                <w:rFonts w:eastAsia="Times New Roman"/>
                <w:b/>
                <w:color w:val="000000"/>
                <w:sz w:val="24"/>
                <w:szCs w:val="24"/>
                <w:lang w:eastAsia="lv-LV"/>
              </w:rPr>
            </w:pPr>
            <w:r>
              <w:rPr>
                <w:rFonts w:eastAsia="Times New Roman"/>
                <w:b/>
                <w:color w:val="000000"/>
                <w:sz w:val="24"/>
                <w:szCs w:val="24"/>
                <w:lang w:eastAsia="lv-LV"/>
              </w:rPr>
              <w:t>+ 9,9</w:t>
            </w:r>
            <w:r w:rsidR="00774E4E" w:rsidRPr="00D97B55">
              <w:rPr>
                <w:rFonts w:eastAsia="Times New Roman"/>
                <w:b/>
                <w:color w:val="000000"/>
                <w:sz w:val="24"/>
                <w:szCs w:val="24"/>
                <w:lang w:eastAsia="lv-LV"/>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FA09ABE" w14:textId="77777777" w:rsidR="00774E4E" w:rsidRPr="00D97B55" w:rsidRDefault="00AD464F" w:rsidP="00125130">
            <w:pPr>
              <w:suppressAutoHyphens w:val="0"/>
              <w:autoSpaceDN/>
              <w:jc w:val="center"/>
              <w:textAlignment w:val="auto"/>
              <w:rPr>
                <w:rFonts w:eastAsia="Times New Roman"/>
                <w:color w:val="000000"/>
                <w:sz w:val="24"/>
                <w:szCs w:val="24"/>
                <w:lang w:eastAsia="lv-LV"/>
              </w:rPr>
            </w:pPr>
            <w:r>
              <w:rPr>
                <w:rFonts w:eastAsia="Times New Roman"/>
                <w:color w:val="000000"/>
                <w:sz w:val="24"/>
                <w:szCs w:val="24"/>
                <w:lang w:eastAsia="lv-LV"/>
              </w:rPr>
              <w:t>+ 10,1</w:t>
            </w:r>
            <w:r w:rsidR="00774E4E" w:rsidRPr="00D97B55">
              <w:rPr>
                <w:rFonts w:eastAsia="Times New Roman"/>
                <w:color w:val="000000"/>
                <w:sz w:val="24"/>
                <w:szCs w:val="24"/>
                <w:lang w:eastAsia="lv-LV"/>
              </w:rPr>
              <w:t>%</w:t>
            </w:r>
          </w:p>
        </w:tc>
      </w:tr>
    </w:tbl>
    <w:p w14:paraId="52CC98A6" w14:textId="77777777" w:rsidR="00F82F7E" w:rsidRPr="00763980" w:rsidRDefault="00763980" w:rsidP="005770F3">
      <w:pPr>
        <w:widowControl w:val="0"/>
        <w:tabs>
          <w:tab w:val="left" w:pos="6740"/>
        </w:tabs>
        <w:suppressAutoHyphens w:val="0"/>
        <w:autoSpaceDN/>
        <w:ind w:firstLine="709"/>
        <w:jc w:val="both"/>
        <w:textAlignment w:val="auto"/>
        <w:rPr>
          <w:i/>
          <w:sz w:val="24"/>
          <w:szCs w:val="24"/>
        </w:rPr>
      </w:pPr>
      <w:r w:rsidRPr="00D97B55">
        <w:rPr>
          <w:i/>
          <w:sz w:val="24"/>
          <w:szCs w:val="24"/>
        </w:rPr>
        <w:t>*FM dati</w:t>
      </w:r>
    </w:p>
    <w:p w14:paraId="40435C72" w14:textId="77777777" w:rsidR="00E32370" w:rsidRDefault="00E32370" w:rsidP="007718AB">
      <w:pPr>
        <w:widowControl w:val="0"/>
        <w:tabs>
          <w:tab w:val="left" w:pos="6740"/>
        </w:tabs>
        <w:suppressAutoHyphens w:val="0"/>
        <w:autoSpaceDN/>
        <w:ind w:firstLine="709"/>
        <w:jc w:val="both"/>
        <w:textAlignment w:val="auto"/>
        <w:rPr>
          <w:szCs w:val="28"/>
        </w:rPr>
      </w:pPr>
    </w:p>
    <w:p w14:paraId="0E08F1D9" w14:textId="0A0CD2E8" w:rsidR="005770F3" w:rsidRPr="00C91802" w:rsidRDefault="005770F3" w:rsidP="007718AB">
      <w:pPr>
        <w:widowControl w:val="0"/>
        <w:tabs>
          <w:tab w:val="left" w:pos="6740"/>
        </w:tabs>
        <w:suppressAutoHyphens w:val="0"/>
        <w:autoSpaceDN/>
        <w:ind w:firstLine="709"/>
        <w:jc w:val="both"/>
        <w:textAlignment w:val="auto"/>
        <w:rPr>
          <w:szCs w:val="28"/>
        </w:rPr>
      </w:pPr>
      <w:r w:rsidRPr="00C91802">
        <w:rPr>
          <w:szCs w:val="28"/>
        </w:rPr>
        <w:t>Vienlaicīgi ir pašvaldības, k</w:t>
      </w:r>
      <w:r w:rsidR="00C91802">
        <w:rPr>
          <w:szCs w:val="28"/>
        </w:rPr>
        <w:t>ur</w:t>
      </w:r>
      <w:r w:rsidRPr="00C91802">
        <w:rPr>
          <w:szCs w:val="28"/>
        </w:rPr>
        <w:t xml:space="preserve">as paredz paaugstinātu nodokļa likmi nekustamo īpašumu īpašniekiem, kas nav deklarēti administratīvajā teritorijā, kā piemēram Rīgas pilsētas pašvaldība. </w:t>
      </w:r>
    </w:p>
    <w:p w14:paraId="0832C7A2" w14:textId="77777777" w:rsidR="005770F3" w:rsidRDefault="005770F3" w:rsidP="005770F3">
      <w:pPr>
        <w:widowControl w:val="0"/>
        <w:tabs>
          <w:tab w:val="left" w:pos="6740"/>
        </w:tabs>
        <w:suppressAutoHyphens w:val="0"/>
        <w:autoSpaceDN/>
        <w:ind w:firstLine="709"/>
        <w:jc w:val="both"/>
        <w:textAlignment w:val="auto"/>
        <w:rPr>
          <w:szCs w:val="28"/>
        </w:rPr>
      </w:pPr>
      <w:r w:rsidRPr="00F80952">
        <w:rPr>
          <w:szCs w:val="28"/>
        </w:rPr>
        <w:t>Norādām, ka, nosakot pazeminātu pašvaldību ieņēmumu prognozi pašvaldību finanšu izlīdzināšanas vajadzībām, tiktu mākslīgi samazināti valstī vidējie pašvaldību ieņēmumi, kas pasliktinās kopējo situāciju pašvaldībās, kuras saņem dotācijas no pašvaldību finanšu izlīdzināšanas fonda vai kuru ieņēmumos nekustamā īpašuma nodokļa ieņēmumi ir zemāki kā vidēji valstī</w:t>
      </w:r>
      <w:r w:rsidR="00293097">
        <w:rPr>
          <w:szCs w:val="28"/>
        </w:rPr>
        <w:t>, tāpēc Finanšu ministrijas skatījumā tas nebūtu veicams</w:t>
      </w:r>
      <w:r w:rsidRPr="00F80952">
        <w:rPr>
          <w:szCs w:val="28"/>
        </w:rPr>
        <w:t>.</w:t>
      </w:r>
    </w:p>
    <w:p w14:paraId="2B78CC42" w14:textId="77777777" w:rsidR="00B004F0" w:rsidRDefault="00B004F0" w:rsidP="007941D4">
      <w:pPr>
        <w:widowControl w:val="0"/>
        <w:tabs>
          <w:tab w:val="left" w:pos="6740"/>
        </w:tabs>
        <w:suppressAutoHyphens w:val="0"/>
        <w:autoSpaceDN/>
        <w:ind w:left="709"/>
        <w:jc w:val="both"/>
        <w:textAlignment w:val="auto"/>
        <w:rPr>
          <w:b/>
          <w:szCs w:val="28"/>
        </w:rPr>
      </w:pPr>
    </w:p>
    <w:p w14:paraId="5CD49D83" w14:textId="77777777" w:rsidR="000B59E9" w:rsidRPr="00DD49D3" w:rsidRDefault="007941D4" w:rsidP="007941D4">
      <w:pPr>
        <w:widowControl w:val="0"/>
        <w:tabs>
          <w:tab w:val="left" w:pos="6740"/>
        </w:tabs>
        <w:suppressAutoHyphens w:val="0"/>
        <w:autoSpaceDN/>
        <w:ind w:left="709"/>
        <w:jc w:val="both"/>
        <w:textAlignment w:val="auto"/>
        <w:rPr>
          <w:b/>
          <w:szCs w:val="28"/>
        </w:rPr>
      </w:pPr>
      <w:r>
        <w:rPr>
          <w:b/>
          <w:szCs w:val="28"/>
        </w:rPr>
        <w:t>1.</w:t>
      </w:r>
      <w:r w:rsidR="000B59E9" w:rsidRPr="00DD49D3">
        <w:rPr>
          <w:b/>
          <w:szCs w:val="28"/>
        </w:rPr>
        <w:t>3.</w:t>
      </w:r>
      <w:r w:rsidR="00852071">
        <w:rPr>
          <w:b/>
          <w:szCs w:val="28"/>
        </w:rPr>
        <w:t xml:space="preserve"> </w:t>
      </w:r>
      <w:r w:rsidR="000B59E9" w:rsidRPr="00DD49D3">
        <w:rPr>
          <w:b/>
          <w:szCs w:val="28"/>
        </w:rPr>
        <w:t>Citi pašvaldību rīcībā esošie</w:t>
      </w:r>
      <w:r w:rsidR="003727B5" w:rsidRPr="00DD49D3">
        <w:rPr>
          <w:b/>
          <w:szCs w:val="28"/>
        </w:rPr>
        <w:t xml:space="preserve"> instrumenti ar mājokļ</w:t>
      </w:r>
      <w:r w:rsidR="00852071">
        <w:rPr>
          <w:b/>
          <w:szCs w:val="28"/>
        </w:rPr>
        <w:t>a</w:t>
      </w:r>
      <w:r w:rsidR="003727B5" w:rsidRPr="00DD49D3">
        <w:rPr>
          <w:b/>
          <w:szCs w:val="28"/>
        </w:rPr>
        <w:t xml:space="preserve"> jautājumiem saistītās problemātikas risināšanai</w:t>
      </w:r>
    </w:p>
    <w:p w14:paraId="460441A2" w14:textId="77777777" w:rsidR="009C62D1" w:rsidRDefault="00C55F90" w:rsidP="009C62D1">
      <w:pPr>
        <w:widowControl w:val="0"/>
        <w:tabs>
          <w:tab w:val="left" w:pos="6740"/>
        </w:tabs>
        <w:suppressAutoHyphens w:val="0"/>
        <w:autoSpaceDN/>
        <w:ind w:firstLine="709"/>
        <w:jc w:val="both"/>
        <w:textAlignment w:val="auto"/>
        <w:rPr>
          <w:szCs w:val="28"/>
        </w:rPr>
      </w:pPr>
      <w:r>
        <w:rPr>
          <w:szCs w:val="28"/>
        </w:rPr>
        <w:t>Kā jau iepriekš minēts, likum</w:t>
      </w:r>
      <w:r w:rsidR="00852071">
        <w:rPr>
          <w:szCs w:val="28"/>
        </w:rPr>
        <w:t>a</w:t>
      </w:r>
      <w:r>
        <w:rPr>
          <w:szCs w:val="28"/>
        </w:rPr>
        <w:t xml:space="preserve"> “Par nekustamā īpašuma nodokli” doto tiesību ietvaros pašvaldības, izdodot pašvaldības saistošos noteikumus, var noteikt nekustamā īpašuma nodokļa likmes</w:t>
      </w:r>
      <w:r w:rsidR="00852071">
        <w:rPr>
          <w:szCs w:val="28"/>
        </w:rPr>
        <w:t xml:space="preserve">, kā arī, </w:t>
      </w:r>
      <w:r w:rsidR="009C62D1" w:rsidRPr="00FE5166">
        <w:rPr>
          <w:szCs w:val="28"/>
        </w:rPr>
        <w:t xml:space="preserve">izvērtējot faktisko situāciju, </w:t>
      </w:r>
      <w:r w:rsidR="00852071">
        <w:rPr>
          <w:szCs w:val="28"/>
        </w:rPr>
        <w:t>var</w:t>
      </w:r>
      <w:r w:rsidR="009C62D1" w:rsidRPr="00FE5166">
        <w:rPr>
          <w:szCs w:val="28"/>
        </w:rPr>
        <w:t xml:space="preserve"> veidot atbalsta programmas atsevišķām iedzīvotāju kategorijām</w:t>
      </w:r>
      <w:r w:rsidR="00852071">
        <w:rPr>
          <w:szCs w:val="28"/>
        </w:rPr>
        <w:t>, savos</w:t>
      </w:r>
      <w:r w:rsidR="009C62D1" w:rsidRPr="00FE5166">
        <w:rPr>
          <w:szCs w:val="28"/>
        </w:rPr>
        <w:t xml:space="preserve"> saistoš</w:t>
      </w:r>
      <w:r w:rsidR="00852071">
        <w:rPr>
          <w:szCs w:val="28"/>
        </w:rPr>
        <w:t>ajo</w:t>
      </w:r>
      <w:r w:rsidR="009C62D1" w:rsidRPr="00FE5166">
        <w:rPr>
          <w:szCs w:val="28"/>
        </w:rPr>
        <w:t>s noteikum</w:t>
      </w:r>
      <w:r w:rsidR="00852071">
        <w:rPr>
          <w:szCs w:val="28"/>
        </w:rPr>
        <w:t>o</w:t>
      </w:r>
      <w:r w:rsidR="009C62D1" w:rsidRPr="00FE5166">
        <w:rPr>
          <w:szCs w:val="28"/>
        </w:rPr>
        <w:t>s</w:t>
      </w:r>
      <w:r w:rsidR="00852071">
        <w:rPr>
          <w:szCs w:val="28"/>
        </w:rPr>
        <w:t xml:space="preserve"> </w:t>
      </w:r>
      <w:r w:rsidR="009C62D1" w:rsidRPr="00FE5166">
        <w:rPr>
          <w:szCs w:val="28"/>
        </w:rPr>
        <w:t>paredz</w:t>
      </w:r>
      <w:r w:rsidR="00852071">
        <w:rPr>
          <w:szCs w:val="28"/>
        </w:rPr>
        <w:t>o</w:t>
      </w:r>
      <w:r w:rsidR="009C62D1" w:rsidRPr="00FE5166">
        <w:rPr>
          <w:szCs w:val="28"/>
        </w:rPr>
        <w:t xml:space="preserve">t </w:t>
      </w:r>
      <w:r w:rsidR="00852071">
        <w:rPr>
          <w:szCs w:val="28"/>
        </w:rPr>
        <w:t xml:space="preserve">nodokļa </w:t>
      </w:r>
      <w:r w:rsidR="009C62D1" w:rsidRPr="00FE5166">
        <w:rPr>
          <w:szCs w:val="28"/>
        </w:rPr>
        <w:t>atvieglojum</w:t>
      </w:r>
      <w:r w:rsidR="00852071">
        <w:rPr>
          <w:szCs w:val="28"/>
        </w:rPr>
        <w:t>us</w:t>
      </w:r>
      <w:r w:rsidR="009C62D1" w:rsidRPr="00FE5166">
        <w:rPr>
          <w:szCs w:val="28"/>
        </w:rPr>
        <w:t xml:space="preserve"> atsevišķām nekustamā īpašuma nodokļa maksātāju kategorijām. </w:t>
      </w:r>
    </w:p>
    <w:p w14:paraId="2C56BD3E" w14:textId="77777777" w:rsidR="003E5DA8" w:rsidRDefault="00C0428A" w:rsidP="009C62D1">
      <w:pPr>
        <w:widowControl w:val="0"/>
        <w:tabs>
          <w:tab w:val="left" w:pos="6740"/>
        </w:tabs>
        <w:suppressAutoHyphens w:val="0"/>
        <w:autoSpaceDN/>
        <w:ind w:firstLine="709"/>
        <w:jc w:val="both"/>
        <w:textAlignment w:val="auto"/>
        <w:rPr>
          <w:szCs w:val="28"/>
        </w:rPr>
      </w:pPr>
      <w:r>
        <w:rPr>
          <w:szCs w:val="28"/>
        </w:rPr>
        <w:t>Tai pat laikā, p</w:t>
      </w:r>
      <w:r w:rsidR="003E5DA8">
        <w:rPr>
          <w:szCs w:val="28"/>
        </w:rPr>
        <w:t xml:space="preserve">ašvaldību funkcijās ietilpst arī sociālās palīdzības nodrošināšana iedzīvotājiem (t.sk. sociālā palīdzība maznodrošinātām ģimenēm un sociāli </w:t>
      </w:r>
      <w:proofErr w:type="spellStart"/>
      <w:r w:rsidR="003E5DA8">
        <w:rPr>
          <w:szCs w:val="28"/>
        </w:rPr>
        <w:t>mazaizsargātām</w:t>
      </w:r>
      <w:proofErr w:type="spellEnd"/>
      <w:r w:rsidR="003E5DA8">
        <w:rPr>
          <w:szCs w:val="28"/>
        </w:rPr>
        <w:t xml:space="preserve"> personām), palīdzības sniegšana iedzīvotājiem </w:t>
      </w:r>
      <w:r w:rsidR="003E5DA8">
        <w:rPr>
          <w:szCs w:val="28"/>
        </w:rPr>
        <w:lastRenderedPageBreak/>
        <w:t>dzīvokļu jautājumu risināšanā u.c.</w:t>
      </w:r>
      <w:r w:rsidRPr="00462380">
        <w:rPr>
          <w:rStyle w:val="FootnoteReference"/>
          <w:szCs w:val="28"/>
        </w:rPr>
        <w:footnoteReference w:id="15"/>
      </w:r>
      <w:r>
        <w:rPr>
          <w:szCs w:val="28"/>
        </w:rPr>
        <w:t>.</w:t>
      </w:r>
      <w:r w:rsidR="003E5DA8">
        <w:rPr>
          <w:szCs w:val="28"/>
        </w:rPr>
        <w:t xml:space="preserve"> Tādējādi pašvaldības atbalstu personām ar zemu ienākumu līmeni sniedz ne tikai nodokļa samazinājuma jeb nesaņemto ieņēmumu veidā, bet arī </w:t>
      </w:r>
      <w:r w:rsidR="00DD49D3">
        <w:rPr>
          <w:szCs w:val="28"/>
        </w:rPr>
        <w:t>izmaksājot dažādus pabalstus.</w:t>
      </w:r>
    </w:p>
    <w:p w14:paraId="16A6C1C0" w14:textId="77777777" w:rsidR="00026C89" w:rsidRDefault="00026C89" w:rsidP="00026C89">
      <w:pPr>
        <w:widowControl w:val="0"/>
        <w:tabs>
          <w:tab w:val="left" w:pos="6740"/>
        </w:tabs>
        <w:suppressAutoHyphens w:val="0"/>
        <w:autoSpaceDN/>
        <w:ind w:firstLine="709"/>
        <w:jc w:val="both"/>
        <w:textAlignment w:val="auto"/>
        <w:rPr>
          <w:szCs w:val="28"/>
        </w:rPr>
      </w:pPr>
      <w:r>
        <w:rPr>
          <w:szCs w:val="28"/>
        </w:rPr>
        <w:t>A</w:t>
      </w:r>
      <w:r w:rsidRPr="00FE5166">
        <w:rPr>
          <w:szCs w:val="28"/>
        </w:rPr>
        <w:t>tbilstoši Sociālo pakalpojumu un sociālās palīdzības likumā noteiktajam, pašvaldības, izvērtējot pakalpojuma saņēmēja finansiālo situāciju, sniedz sociālo palīdzību iedzīvotāju riska grupām (informatīvā tabula “Pašvaldību 2016.gada izdevumi sociālajiem pabalstiem, EUR”).</w:t>
      </w:r>
    </w:p>
    <w:p w14:paraId="1663AE81" w14:textId="77777777" w:rsidR="00FE5166" w:rsidRPr="00FE5166" w:rsidRDefault="00FE5166" w:rsidP="00FE5166">
      <w:pPr>
        <w:widowControl w:val="0"/>
        <w:tabs>
          <w:tab w:val="left" w:pos="6740"/>
        </w:tabs>
        <w:suppressAutoHyphens w:val="0"/>
        <w:autoSpaceDN/>
        <w:spacing w:before="120" w:after="120"/>
        <w:ind w:firstLine="709"/>
        <w:jc w:val="right"/>
        <w:textAlignment w:val="auto"/>
        <w:rPr>
          <w:i/>
          <w:sz w:val="24"/>
          <w:szCs w:val="24"/>
        </w:rPr>
      </w:pPr>
      <w:r w:rsidRPr="00FE5166">
        <w:rPr>
          <w:i/>
          <w:sz w:val="24"/>
          <w:szCs w:val="24"/>
        </w:rPr>
        <w:t>1.grafiks</w:t>
      </w:r>
    </w:p>
    <w:p w14:paraId="092A56D8" w14:textId="77777777" w:rsidR="006B50F0" w:rsidRPr="00FE5166" w:rsidRDefault="00FE5166" w:rsidP="00FE5166">
      <w:pPr>
        <w:widowControl w:val="0"/>
        <w:tabs>
          <w:tab w:val="left" w:pos="6740"/>
        </w:tabs>
        <w:suppressAutoHyphens w:val="0"/>
        <w:autoSpaceDN/>
        <w:spacing w:before="120" w:after="120"/>
        <w:jc w:val="both"/>
        <w:textAlignment w:val="auto"/>
        <w:rPr>
          <w:b/>
          <w:i/>
          <w:sz w:val="24"/>
          <w:szCs w:val="24"/>
        </w:rPr>
      </w:pPr>
      <w:r w:rsidRPr="00FE5166">
        <w:rPr>
          <w:b/>
          <w:sz w:val="24"/>
          <w:szCs w:val="24"/>
        </w:rPr>
        <w:t xml:space="preserve">Pašvaldību faktiskie izdevumi sociālajiem pabalstiem 2009.-2016.gads, </w:t>
      </w:r>
      <w:r w:rsidRPr="00FE5166">
        <w:rPr>
          <w:b/>
          <w:i/>
          <w:sz w:val="24"/>
          <w:szCs w:val="24"/>
        </w:rPr>
        <w:t xml:space="preserve">milj. </w:t>
      </w:r>
      <w:proofErr w:type="spellStart"/>
      <w:r w:rsidRPr="00FE5166">
        <w:rPr>
          <w:b/>
          <w:i/>
          <w:sz w:val="24"/>
          <w:szCs w:val="24"/>
        </w:rPr>
        <w:t>euro</w:t>
      </w:r>
      <w:proofErr w:type="spellEnd"/>
    </w:p>
    <w:p w14:paraId="385256FD" w14:textId="77777777" w:rsidR="006B50F0" w:rsidRDefault="006B50F0" w:rsidP="006B50F0">
      <w:pPr>
        <w:widowControl w:val="0"/>
        <w:tabs>
          <w:tab w:val="left" w:pos="6740"/>
        </w:tabs>
        <w:suppressAutoHyphens w:val="0"/>
        <w:autoSpaceDN/>
        <w:jc w:val="both"/>
        <w:textAlignment w:val="auto"/>
        <w:rPr>
          <w:szCs w:val="28"/>
        </w:rPr>
      </w:pPr>
      <w:r>
        <w:rPr>
          <w:noProof/>
          <w:lang w:eastAsia="lv-LV"/>
        </w:rPr>
        <w:drawing>
          <wp:inline distT="0" distB="0" distL="0" distR="0" wp14:anchorId="4704047B" wp14:editId="213A1D8E">
            <wp:extent cx="5762625" cy="34385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3D7820" w14:textId="77777777" w:rsidR="007718AB" w:rsidRDefault="007718AB" w:rsidP="009A438B">
      <w:pPr>
        <w:widowControl w:val="0"/>
        <w:tabs>
          <w:tab w:val="left" w:pos="6740"/>
        </w:tabs>
        <w:suppressAutoHyphens w:val="0"/>
        <w:autoSpaceDN/>
        <w:ind w:firstLine="709"/>
        <w:jc w:val="both"/>
        <w:textAlignment w:val="auto"/>
        <w:rPr>
          <w:szCs w:val="28"/>
        </w:rPr>
      </w:pPr>
    </w:p>
    <w:p w14:paraId="49DFFC6E" w14:textId="77777777" w:rsidR="00042E22" w:rsidRPr="00AC1EC8" w:rsidRDefault="00AC1EC8" w:rsidP="009A438B">
      <w:pPr>
        <w:widowControl w:val="0"/>
        <w:tabs>
          <w:tab w:val="left" w:pos="6740"/>
        </w:tabs>
        <w:suppressAutoHyphens w:val="0"/>
        <w:autoSpaceDN/>
        <w:ind w:firstLine="709"/>
        <w:jc w:val="both"/>
        <w:textAlignment w:val="auto"/>
        <w:rPr>
          <w:szCs w:val="28"/>
        </w:rPr>
      </w:pPr>
      <w:r>
        <w:rPr>
          <w:szCs w:val="28"/>
        </w:rPr>
        <w:t xml:space="preserve">Grafikā iekļautie dati liecina, ka </w:t>
      </w:r>
      <w:r w:rsidR="00203BFA">
        <w:rPr>
          <w:szCs w:val="28"/>
        </w:rPr>
        <w:t>pašvaldību kopējie faktiskie izdevumi sociālajiem pabalstiem strauji pieauga ar 2010.gadu, kas saistīts ar ekonomiskās krīzes seku pārvarēšanu</w:t>
      </w:r>
      <w:r w:rsidR="00E54F26">
        <w:rPr>
          <w:szCs w:val="28"/>
        </w:rPr>
        <w:t xml:space="preserve">, 2011.gadā pārsniedzot 120 milj. </w:t>
      </w:r>
      <w:proofErr w:type="spellStart"/>
      <w:r w:rsidR="00E54F26" w:rsidRPr="00E54F26">
        <w:rPr>
          <w:i/>
          <w:szCs w:val="28"/>
        </w:rPr>
        <w:t>euro</w:t>
      </w:r>
      <w:proofErr w:type="spellEnd"/>
      <w:r w:rsidR="00E54F26">
        <w:rPr>
          <w:szCs w:val="28"/>
        </w:rPr>
        <w:t xml:space="preserve"> apmēru.</w:t>
      </w:r>
      <w:r w:rsidR="00203BFA">
        <w:rPr>
          <w:szCs w:val="28"/>
        </w:rPr>
        <w:t xml:space="preserve"> Savukārt turpm</w:t>
      </w:r>
      <w:r w:rsidR="00E54F26">
        <w:rPr>
          <w:szCs w:val="28"/>
        </w:rPr>
        <w:t xml:space="preserve">ākajos gados, lai arī pašvaldību </w:t>
      </w:r>
      <w:r w:rsidR="00B656EE">
        <w:rPr>
          <w:szCs w:val="28"/>
        </w:rPr>
        <w:t>kopējie</w:t>
      </w:r>
      <w:r w:rsidR="00E54F26">
        <w:rPr>
          <w:szCs w:val="28"/>
        </w:rPr>
        <w:t xml:space="preserve"> izdevumi dažādiem sociālajiem pabalstiem samazinājušies, tie joprojām saglabājas aptuveni 80 milj. </w:t>
      </w:r>
      <w:proofErr w:type="spellStart"/>
      <w:r w:rsidR="00E54F26" w:rsidRPr="00E54F26">
        <w:rPr>
          <w:i/>
          <w:szCs w:val="28"/>
        </w:rPr>
        <w:t>euro</w:t>
      </w:r>
      <w:proofErr w:type="spellEnd"/>
      <w:r w:rsidR="00E54F26">
        <w:rPr>
          <w:szCs w:val="28"/>
        </w:rPr>
        <w:t xml:space="preserve"> līmenī</w:t>
      </w:r>
      <w:r w:rsidR="00B656EE">
        <w:rPr>
          <w:szCs w:val="28"/>
        </w:rPr>
        <w:t>, no kuriem lielāk</w:t>
      </w:r>
      <w:r w:rsidR="00FD17CF">
        <w:rPr>
          <w:szCs w:val="28"/>
        </w:rPr>
        <w:t>ā</w:t>
      </w:r>
      <w:r w:rsidR="00B656EE">
        <w:rPr>
          <w:szCs w:val="28"/>
        </w:rPr>
        <w:t xml:space="preserve"> daļ</w:t>
      </w:r>
      <w:r w:rsidR="00FD17CF">
        <w:rPr>
          <w:szCs w:val="28"/>
        </w:rPr>
        <w:t>a</w:t>
      </w:r>
      <w:r w:rsidR="00B656EE">
        <w:rPr>
          <w:szCs w:val="28"/>
        </w:rPr>
        <w:t xml:space="preserve"> </w:t>
      </w:r>
      <w:r w:rsidR="00FD17CF">
        <w:rPr>
          <w:szCs w:val="28"/>
        </w:rPr>
        <w:t>tiek izmantota</w:t>
      </w:r>
      <w:r w:rsidR="00B656EE">
        <w:rPr>
          <w:szCs w:val="28"/>
        </w:rPr>
        <w:t xml:space="preserve"> citi</w:t>
      </w:r>
      <w:r w:rsidR="00FD17CF">
        <w:rPr>
          <w:szCs w:val="28"/>
        </w:rPr>
        <w:t>em</w:t>
      </w:r>
      <w:r w:rsidR="00B656EE">
        <w:rPr>
          <w:szCs w:val="28"/>
        </w:rPr>
        <w:t xml:space="preserve"> grafikā neminētie</w:t>
      </w:r>
      <w:r w:rsidR="00FD17CF">
        <w:rPr>
          <w:szCs w:val="28"/>
        </w:rPr>
        <w:t>m</w:t>
      </w:r>
      <w:r w:rsidR="00B656EE">
        <w:rPr>
          <w:szCs w:val="28"/>
        </w:rPr>
        <w:t xml:space="preserve"> sociālie</w:t>
      </w:r>
      <w:r w:rsidR="00FD17CF">
        <w:rPr>
          <w:szCs w:val="28"/>
        </w:rPr>
        <w:t>m</w:t>
      </w:r>
      <w:r w:rsidR="00B656EE">
        <w:rPr>
          <w:szCs w:val="28"/>
        </w:rPr>
        <w:t xml:space="preserve"> pabalsti</w:t>
      </w:r>
      <w:r w:rsidR="00FD17CF">
        <w:rPr>
          <w:szCs w:val="28"/>
        </w:rPr>
        <w:t xml:space="preserve">em, </w:t>
      </w:r>
      <w:r w:rsidR="00B656EE">
        <w:rPr>
          <w:szCs w:val="28"/>
        </w:rPr>
        <w:t>bet</w:t>
      </w:r>
      <w:r w:rsidR="00FD17CF">
        <w:rPr>
          <w:szCs w:val="28"/>
        </w:rPr>
        <w:t xml:space="preserve"> 16,6 milj. </w:t>
      </w:r>
      <w:proofErr w:type="spellStart"/>
      <w:r w:rsidR="00FD17CF" w:rsidRPr="00FD17CF">
        <w:rPr>
          <w:i/>
          <w:szCs w:val="28"/>
        </w:rPr>
        <w:t>euro</w:t>
      </w:r>
      <w:proofErr w:type="spellEnd"/>
      <w:r w:rsidR="00B656EE">
        <w:rPr>
          <w:szCs w:val="28"/>
        </w:rPr>
        <w:t xml:space="preserve"> </w:t>
      </w:r>
      <w:r w:rsidR="00FD17CF">
        <w:rPr>
          <w:szCs w:val="28"/>
        </w:rPr>
        <w:t xml:space="preserve">tiek izmantoti </w:t>
      </w:r>
      <w:r w:rsidR="00B656EE">
        <w:rPr>
          <w:szCs w:val="28"/>
        </w:rPr>
        <w:t>dzīvokļu pabalst</w:t>
      </w:r>
      <w:r w:rsidR="00FD17CF">
        <w:rPr>
          <w:szCs w:val="28"/>
        </w:rPr>
        <w:t>iem.</w:t>
      </w:r>
      <w:r w:rsidR="00B656EE">
        <w:rPr>
          <w:szCs w:val="28"/>
        </w:rPr>
        <w:t xml:space="preserve"> </w:t>
      </w:r>
    </w:p>
    <w:p w14:paraId="30E3DD9B" w14:textId="51BDE184" w:rsidR="00DD49D3" w:rsidRPr="00372CFF" w:rsidRDefault="00B656EE" w:rsidP="009A438B">
      <w:pPr>
        <w:widowControl w:val="0"/>
        <w:tabs>
          <w:tab w:val="left" w:pos="6740"/>
        </w:tabs>
        <w:suppressAutoHyphens w:val="0"/>
        <w:autoSpaceDN/>
        <w:ind w:firstLine="709"/>
        <w:jc w:val="both"/>
        <w:textAlignment w:val="auto"/>
        <w:rPr>
          <w:szCs w:val="28"/>
        </w:rPr>
      </w:pPr>
      <w:r>
        <w:rPr>
          <w:szCs w:val="28"/>
        </w:rPr>
        <w:t>Tādējādi m</w:t>
      </w:r>
      <w:r w:rsidR="00E54F26" w:rsidRPr="00372CFF">
        <w:rPr>
          <w:szCs w:val="28"/>
        </w:rPr>
        <w:t>inētais</w:t>
      </w:r>
      <w:r w:rsidR="00203BFA" w:rsidRPr="00372CFF">
        <w:rPr>
          <w:szCs w:val="28"/>
        </w:rPr>
        <w:t xml:space="preserve"> liecina par to, ka pašvaldību finansiālais ieguldījums</w:t>
      </w:r>
      <w:r>
        <w:rPr>
          <w:szCs w:val="28"/>
        </w:rPr>
        <w:t xml:space="preserve"> un atbalsts</w:t>
      </w:r>
      <w:r w:rsidR="00203BFA" w:rsidRPr="00372CFF">
        <w:rPr>
          <w:szCs w:val="28"/>
        </w:rPr>
        <w:t xml:space="preserve"> sociālo problēmu, t.sk. mājokļa problēmu risināšanā, ir būtisks</w:t>
      </w:r>
      <w:r w:rsidR="00293097">
        <w:rPr>
          <w:szCs w:val="28"/>
        </w:rPr>
        <w:t>, risinot situācijas</w:t>
      </w:r>
      <w:r w:rsidR="00B004F0">
        <w:rPr>
          <w:szCs w:val="28"/>
        </w:rPr>
        <w:t>,</w:t>
      </w:r>
      <w:r w:rsidR="00293097">
        <w:rPr>
          <w:szCs w:val="28"/>
        </w:rPr>
        <w:t xml:space="preserve"> t.sk. ar nekustāmā īpašuma nodokļa maksājumiem pašvaldību līmenī</w:t>
      </w:r>
      <w:r w:rsidR="00203BFA" w:rsidRPr="00372CFF">
        <w:rPr>
          <w:szCs w:val="28"/>
        </w:rPr>
        <w:t>.</w:t>
      </w:r>
      <w:r w:rsidR="00293097">
        <w:rPr>
          <w:szCs w:val="28"/>
        </w:rPr>
        <w:t xml:space="preserve"> Ņemot vērā šajā ziņojumā izklāstīto, arī turpmāk, būtu ieteicams risināt individuālās situācijas pašvaldību līmenī, jo valsts mērogā ir konstatētas ievērojam</w:t>
      </w:r>
      <w:r w:rsidR="00B004F0">
        <w:rPr>
          <w:szCs w:val="28"/>
        </w:rPr>
        <w:t>a</w:t>
      </w:r>
      <w:r w:rsidR="00293097">
        <w:rPr>
          <w:szCs w:val="28"/>
        </w:rPr>
        <w:t>s atšķirības kadastrālajās vērtībās, pašvaldību politikā un līdz ar to</w:t>
      </w:r>
      <w:r w:rsidR="00B004F0">
        <w:rPr>
          <w:szCs w:val="28"/>
        </w:rPr>
        <w:t xml:space="preserve"> arī</w:t>
      </w:r>
      <w:r w:rsidR="00293097">
        <w:rPr>
          <w:szCs w:val="28"/>
        </w:rPr>
        <w:t xml:space="preserve"> nodokļa maksājumu apjomos.</w:t>
      </w:r>
    </w:p>
    <w:p w14:paraId="30B94E63" w14:textId="77777777" w:rsidR="00DD49D3" w:rsidRPr="00042E22" w:rsidRDefault="00DD49D3" w:rsidP="009A438B">
      <w:pPr>
        <w:widowControl w:val="0"/>
        <w:tabs>
          <w:tab w:val="left" w:pos="6740"/>
        </w:tabs>
        <w:suppressAutoHyphens w:val="0"/>
        <w:autoSpaceDN/>
        <w:ind w:firstLine="709"/>
        <w:jc w:val="both"/>
        <w:textAlignment w:val="auto"/>
        <w:rPr>
          <w:b/>
          <w:szCs w:val="28"/>
        </w:rPr>
      </w:pPr>
    </w:p>
    <w:p w14:paraId="500105F4" w14:textId="77777777" w:rsidR="00A37504" w:rsidRPr="000C3DE9" w:rsidRDefault="000C3DE9" w:rsidP="000C3DE9">
      <w:pPr>
        <w:widowControl w:val="0"/>
        <w:tabs>
          <w:tab w:val="left" w:pos="6740"/>
        </w:tabs>
        <w:suppressAutoHyphens w:val="0"/>
        <w:autoSpaceDN/>
        <w:ind w:left="1134" w:hanging="425"/>
        <w:jc w:val="both"/>
        <w:textAlignment w:val="auto"/>
        <w:rPr>
          <w:b/>
          <w:szCs w:val="28"/>
        </w:rPr>
      </w:pPr>
      <w:r w:rsidRPr="000C3DE9">
        <w:rPr>
          <w:b/>
          <w:szCs w:val="28"/>
        </w:rPr>
        <w:lastRenderedPageBreak/>
        <w:t>1.</w:t>
      </w:r>
      <w:r>
        <w:rPr>
          <w:b/>
          <w:szCs w:val="28"/>
        </w:rPr>
        <w:t xml:space="preserve">4. </w:t>
      </w:r>
      <w:r w:rsidR="00841B91" w:rsidRPr="000C3DE9">
        <w:rPr>
          <w:b/>
          <w:szCs w:val="28"/>
        </w:rPr>
        <w:t>Nekustamā īpašuma nodokļa pieauguma</w:t>
      </w:r>
      <w:r w:rsidR="00A37504" w:rsidRPr="000C3DE9">
        <w:rPr>
          <w:b/>
          <w:szCs w:val="28"/>
        </w:rPr>
        <w:t xml:space="preserve"> </w:t>
      </w:r>
      <w:r w:rsidR="00F41A41" w:rsidRPr="000C3DE9">
        <w:rPr>
          <w:b/>
          <w:szCs w:val="28"/>
        </w:rPr>
        <w:t xml:space="preserve">iemesli un </w:t>
      </w:r>
      <w:r w:rsidR="00857DA7" w:rsidRPr="000C3DE9">
        <w:rPr>
          <w:b/>
          <w:szCs w:val="28"/>
        </w:rPr>
        <w:t xml:space="preserve">apraksts </w:t>
      </w:r>
    </w:p>
    <w:p w14:paraId="524E4140" w14:textId="77777777" w:rsidR="00F86791" w:rsidRDefault="00F86791" w:rsidP="00F86791">
      <w:pPr>
        <w:widowControl w:val="0"/>
        <w:tabs>
          <w:tab w:val="left" w:pos="6740"/>
        </w:tabs>
        <w:suppressAutoHyphens w:val="0"/>
        <w:autoSpaceDN/>
        <w:ind w:firstLine="709"/>
        <w:jc w:val="both"/>
        <w:textAlignment w:val="auto"/>
        <w:rPr>
          <w:szCs w:val="28"/>
        </w:rPr>
      </w:pPr>
      <w:r w:rsidRPr="00F86791">
        <w:rPr>
          <w:szCs w:val="28"/>
        </w:rPr>
        <w:t>Lai gan pēdējo gadu laikā no valsts puses nav veiktas nekustamā īpašuma nodokļa likmju izmaiņas, faktors, kas izraisa nodokļa pieaugumu ir nekustamā īpašuma kadastrālās vērtības kāpums.</w:t>
      </w:r>
    </w:p>
    <w:p w14:paraId="1F2A0566" w14:textId="77777777" w:rsidR="001E6E6D" w:rsidRDefault="003771A2" w:rsidP="00912D47">
      <w:pPr>
        <w:ind w:firstLine="720"/>
        <w:jc w:val="both"/>
        <w:rPr>
          <w:szCs w:val="28"/>
        </w:rPr>
      </w:pPr>
      <w:r>
        <w:rPr>
          <w:szCs w:val="28"/>
        </w:rPr>
        <w:t xml:space="preserve">Ministru kabinets </w:t>
      </w:r>
      <w:r w:rsidR="00183F7E">
        <w:rPr>
          <w:szCs w:val="28"/>
        </w:rPr>
        <w:t xml:space="preserve">2015.gadā un 2016.gadā </w:t>
      </w:r>
      <w:r w:rsidR="009439B2" w:rsidRPr="009439B2">
        <w:rPr>
          <w:szCs w:val="28"/>
        </w:rPr>
        <w:t>pieņēma</w:t>
      </w:r>
      <w:r w:rsidR="00BF4BC6">
        <w:rPr>
          <w:szCs w:val="28"/>
        </w:rPr>
        <w:t xml:space="preserve"> </w:t>
      </w:r>
      <w:r w:rsidR="00183F7E">
        <w:rPr>
          <w:szCs w:val="28"/>
        </w:rPr>
        <w:t>grozījumus</w:t>
      </w:r>
      <w:r w:rsidR="00BF4BC6">
        <w:rPr>
          <w:szCs w:val="28"/>
        </w:rPr>
        <w:t xml:space="preserve"> Ministru kabineta 2006.gada 18.</w:t>
      </w:r>
      <w:r w:rsidR="00BF4BC6" w:rsidRPr="00BF4BC6">
        <w:rPr>
          <w:szCs w:val="28"/>
        </w:rPr>
        <w:t>aprīļ</w:t>
      </w:r>
      <w:r w:rsidR="00BF4BC6">
        <w:rPr>
          <w:szCs w:val="28"/>
        </w:rPr>
        <w:t>a noteikumos Nr.</w:t>
      </w:r>
      <w:r w:rsidR="00BF4BC6" w:rsidRPr="00BF4BC6">
        <w:rPr>
          <w:szCs w:val="28"/>
        </w:rPr>
        <w:t xml:space="preserve">305 </w:t>
      </w:r>
      <w:r w:rsidR="00BF4BC6">
        <w:rPr>
          <w:szCs w:val="28"/>
        </w:rPr>
        <w:t>“</w:t>
      </w:r>
      <w:r w:rsidR="00BF4BC6" w:rsidRPr="00BF4BC6">
        <w:rPr>
          <w:szCs w:val="28"/>
        </w:rPr>
        <w:t>Kadastrālās vērtēšanas noteikumi</w:t>
      </w:r>
      <w:r w:rsidR="00BF4BC6">
        <w:rPr>
          <w:szCs w:val="28"/>
        </w:rPr>
        <w:t>”</w:t>
      </w:r>
      <w:r w:rsidR="00183F7E">
        <w:rPr>
          <w:rStyle w:val="FootnoteReference"/>
          <w:szCs w:val="28"/>
        </w:rPr>
        <w:footnoteReference w:id="16"/>
      </w:r>
      <w:r w:rsidR="009439B2" w:rsidRPr="009439B2">
        <w:rPr>
          <w:szCs w:val="28"/>
        </w:rPr>
        <w:t>, kas paredz ieviest virkni svarīgu izmaiņu kadastrālās vērtēšanas procesa pilnveidošanā. Daļu no izmaiņām, kā</w:t>
      </w:r>
      <w:r w:rsidR="00933CDC">
        <w:rPr>
          <w:szCs w:val="28"/>
        </w:rPr>
        <w:t>,</w:t>
      </w:r>
      <w:r w:rsidR="009439B2" w:rsidRPr="009439B2">
        <w:rPr>
          <w:szCs w:val="28"/>
        </w:rPr>
        <w:t xml:space="preserve"> piemēram</w:t>
      </w:r>
      <w:r w:rsidR="00933CDC">
        <w:rPr>
          <w:szCs w:val="28"/>
        </w:rPr>
        <w:t>,</w:t>
      </w:r>
      <w:r w:rsidR="009439B2" w:rsidRPr="009439B2">
        <w:rPr>
          <w:szCs w:val="28"/>
        </w:rPr>
        <w:t xml:space="preserve"> kadastrālo vērtību atbilstīb</w:t>
      </w:r>
      <w:r w:rsidR="00933CDC">
        <w:rPr>
          <w:szCs w:val="28"/>
        </w:rPr>
        <w:t>u</w:t>
      </w:r>
      <w:r w:rsidR="009439B2" w:rsidRPr="009439B2">
        <w:rPr>
          <w:szCs w:val="28"/>
        </w:rPr>
        <w:t xml:space="preserve"> </w:t>
      </w:r>
      <w:r w:rsidR="000D55E8">
        <w:rPr>
          <w:szCs w:val="28"/>
        </w:rPr>
        <w:t xml:space="preserve">vidēji </w:t>
      </w:r>
      <w:r w:rsidR="009439B2" w:rsidRPr="009439B2">
        <w:rPr>
          <w:szCs w:val="28"/>
        </w:rPr>
        <w:t>85% apmērā tirgus darījumu cenām, vecuma izvērtēšan</w:t>
      </w:r>
      <w:r w:rsidR="00933CDC">
        <w:rPr>
          <w:szCs w:val="28"/>
        </w:rPr>
        <w:t>u</w:t>
      </w:r>
      <w:r w:rsidR="009439B2" w:rsidRPr="009439B2">
        <w:rPr>
          <w:szCs w:val="28"/>
        </w:rPr>
        <w:t xml:space="preserve"> kadastrālās vērtības aprēķinā </w:t>
      </w:r>
      <w:r w:rsidR="00933CDC" w:rsidRPr="009439B2">
        <w:rPr>
          <w:szCs w:val="28"/>
        </w:rPr>
        <w:t xml:space="preserve">daudzfunkcionālām ēkām </w:t>
      </w:r>
      <w:r w:rsidR="009439B2" w:rsidRPr="009439B2">
        <w:rPr>
          <w:szCs w:val="28"/>
        </w:rPr>
        <w:t>u.c.</w:t>
      </w:r>
      <w:r w:rsidR="009439B2">
        <w:rPr>
          <w:szCs w:val="28"/>
        </w:rPr>
        <w:t>,</w:t>
      </w:r>
      <w:r w:rsidR="009439B2" w:rsidRPr="009439B2">
        <w:rPr>
          <w:szCs w:val="28"/>
        </w:rPr>
        <w:t xml:space="preserve"> plānots ieviest vienlaicīgi ar jaunas </w:t>
      </w:r>
      <w:r w:rsidR="00933CDC">
        <w:rPr>
          <w:szCs w:val="28"/>
        </w:rPr>
        <w:t xml:space="preserve">kadastrālo </w:t>
      </w:r>
      <w:r w:rsidR="009439B2" w:rsidRPr="009439B2">
        <w:rPr>
          <w:szCs w:val="28"/>
        </w:rPr>
        <w:t xml:space="preserve">vērtību bāzes izstrādi. Atbilstoši jaunajām normām izstrādātā </w:t>
      </w:r>
      <w:r w:rsidR="00EC15BA">
        <w:rPr>
          <w:szCs w:val="28"/>
        </w:rPr>
        <w:t xml:space="preserve">kadastrālo </w:t>
      </w:r>
      <w:r w:rsidR="009439B2" w:rsidRPr="009439B2">
        <w:rPr>
          <w:szCs w:val="28"/>
        </w:rPr>
        <w:t>vērtību bāze un jaunās kadastrālās vērtības izraisī</w:t>
      </w:r>
      <w:r w:rsidR="00EC15BA">
        <w:rPr>
          <w:szCs w:val="28"/>
        </w:rPr>
        <w:t>tu</w:t>
      </w:r>
      <w:r w:rsidR="009439B2" w:rsidRPr="009439B2">
        <w:rPr>
          <w:szCs w:val="28"/>
        </w:rPr>
        <w:t xml:space="preserve"> </w:t>
      </w:r>
      <w:r w:rsidR="00C67621">
        <w:rPr>
          <w:szCs w:val="28"/>
        </w:rPr>
        <w:t xml:space="preserve">nesamērīgu </w:t>
      </w:r>
      <w:r w:rsidR="009439B2" w:rsidRPr="009439B2">
        <w:rPr>
          <w:szCs w:val="28"/>
        </w:rPr>
        <w:t xml:space="preserve">nekustamā īpašuma nodokļa sloga pieaugumu, īpaši dzīvojamiem īpašumiem. </w:t>
      </w:r>
    </w:p>
    <w:p w14:paraId="2A1DE908" w14:textId="77777777" w:rsidR="00FD25DF" w:rsidRPr="00F27BC1" w:rsidRDefault="00741EEE" w:rsidP="00F27BC1">
      <w:pPr>
        <w:widowControl w:val="0"/>
        <w:tabs>
          <w:tab w:val="left" w:pos="6740"/>
        </w:tabs>
        <w:suppressAutoHyphens w:val="0"/>
        <w:autoSpaceDN/>
        <w:spacing w:before="120" w:after="120"/>
        <w:ind w:firstLine="709"/>
        <w:jc w:val="right"/>
        <w:textAlignment w:val="auto"/>
        <w:rPr>
          <w:i/>
          <w:sz w:val="24"/>
          <w:szCs w:val="24"/>
        </w:rPr>
      </w:pPr>
      <w:r w:rsidRPr="00F27BC1">
        <w:rPr>
          <w:i/>
          <w:sz w:val="24"/>
          <w:szCs w:val="24"/>
        </w:rPr>
        <w:t>4.tabula</w:t>
      </w:r>
    </w:p>
    <w:p w14:paraId="58819C9D" w14:textId="77777777" w:rsidR="00741EEE" w:rsidRPr="00F27BC1" w:rsidRDefault="00741EEE" w:rsidP="00F27BC1">
      <w:pPr>
        <w:widowControl w:val="0"/>
        <w:tabs>
          <w:tab w:val="left" w:pos="6740"/>
        </w:tabs>
        <w:suppressAutoHyphens w:val="0"/>
        <w:autoSpaceDN/>
        <w:spacing w:before="120" w:after="120"/>
        <w:jc w:val="both"/>
        <w:textAlignment w:val="auto"/>
        <w:rPr>
          <w:b/>
          <w:sz w:val="24"/>
          <w:szCs w:val="24"/>
        </w:rPr>
      </w:pPr>
      <w:r w:rsidRPr="00F27BC1">
        <w:rPr>
          <w:b/>
          <w:sz w:val="24"/>
          <w:szCs w:val="24"/>
        </w:rPr>
        <w:t>Plānoto kadastrālo vērtību izmaiņas 2018./2019.gadā</w:t>
      </w:r>
      <w:r w:rsidR="00F27BC1">
        <w:rPr>
          <w:b/>
          <w:sz w:val="24"/>
          <w:szCs w:val="24"/>
        </w:rPr>
        <w:t>*</w:t>
      </w:r>
    </w:p>
    <w:tbl>
      <w:tblPr>
        <w:tblStyle w:val="TableGrid"/>
        <w:tblW w:w="8927" w:type="dxa"/>
        <w:tblLook w:val="04A0" w:firstRow="1" w:lastRow="0" w:firstColumn="1" w:lastColumn="0" w:noHBand="0" w:noVBand="1"/>
      </w:tblPr>
      <w:tblGrid>
        <w:gridCol w:w="2547"/>
        <w:gridCol w:w="2410"/>
        <w:gridCol w:w="2411"/>
        <w:gridCol w:w="1559"/>
      </w:tblGrid>
      <w:tr w:rsidR="00F27BC1" w14:paraId="19DAA270" w14:textId="77777777" w:rsidTr="004B0D7E">
        <w:tc>
          <w:tcPr>
            <w:tcW w:w="2547" w:type="dxa"/>
            <w:shd w:val="clear" w:color="auto" w:fill="D9D9D9" w:themeFill="background1" w:themeFillShade="D9"/>
          </w:tcPr>
          <w:p w14:paraId="7F622286" w14:textId="77777777" w:rsidR="00F27BC1" w:rsidRPr="00F27BC1" w:rsidRDefault="00F27BC1" w:rsidP="00F27BC1">
            <w:pPr>
              <w:widowControl w:val="0"/>
              <w:tabs>
                <w:tab w:val="left" w:pos="6740"/>
              </w:tabs>
              <w:suppressAutoHyphens w:val="0"/>
              <w:autoSpaceDN/>
              <w:spacing w:before="60" w:after="60"/>
              <w:jc w:val="center"/>
              <w:textAlignment w:val="auto"/>
              <w:rPr>
                <w:b/>
                <w:sz w:val="24"/>
                <w:szCs w:val="24"/>
              </w:rPr>
            </w:pPr>
            <w:r w:rsidRPr="00F27BC1">
              <w:rPr>
                <w:b/>
                <w:sz w:val="24"/>
                <w:szCs w:val="24"/>
              </w:rPr>
              <w:t>Nekustamo īpašumu grupa</w:t>
            </w:r>
          </w:p>
        </w:tc>
        <w:tc>
          <w:tcPr>
            <w:tcW w:w="2410" w:type="dxa"/>
            <w:shd w:val="clear" w:color="auto" w:fill="D9D9D9" w:themeFill="background1" w:themeFillShade="D9"/>
          </w:tcPr>
          <w:p w14:paraId="72D379AB" w14:textId="77777777" w:rsidR="00F27BC1" w:rsidRDefault="004B0D7E" w:rsidP="004B0D7E">
            <w:pPr>
              <w:widowControl w:val="0"/>
              <w:tabs>
                <w:tab w:val="left" w:pos="6740"/>
              </w:tabs>
              <w:suppressAutoHyphens w:val="0"/>
              <w:autoSpaceDN/>
              <w:spacing w:before="60" w:after="60"/>
              <w:jc w:val="center"/>
              <w:textAlignment w:val="auto"/>
              <w:rPr>
                <w:b/>
                <w:sz w:val="24"/>
                <w:szCs w:val="24"/>
              </w:rPr>
            </w:pPr>
            <w:r>
              <w:rPr>
                <w:b/>
                <w:sz w:val="24"/>
                <w:szCs w:val="24"/>
              </w:rPr>
              <w:t>Kadastrālā vērtība</w:t>
            </w:r>
            <w:r w:rsidR="00F27BC1" w:rsidRPr="00F27BC1">
              <w:rPr>
                <w:b/>
                <w:sz w:val="24"/>
                <w:szCs w:val="24"/>
              </w:rPr>
              <w:t xml:space="preserve"> 2016.gadā, </w:t>
            </w:r>
          </w:p>
          <w:p w14:paraId="35EF933A" w14:textId="77777777" w:rsidR="00F27BC1" w:rsidRPr="00F27BC1" w:rsidRDefault="00F27BC1" w:rsidP="004B0D7E">
            <w:pPr>
              <w:widowControl w:val="0"/>
              <w:tabs>
                <w:tab w:val="left" w:pos="6740"/>
              </w:tabs>
              <w:suppressAutoHyphens w:val="0"/>
              <w:autoSpaceDN/>
              <w:spacing w:before="60" w:after="60"/>
              <w:jc w:val="center"/>
              <w:textAlignment w:val="auto"/>
              <w:rPr>
                <w:b/>
                <w:sz w:val="24"/>
                <w:szCs w:val="24"/>
              </w:rPr>
            </w:pPr>
            <w:r w:rsidRPr="00F27BC1">
              <w:rPr>
                <w:b/>
                <w:sz w:val="24"/>
                <w:szCs w:val="24"/>
              </w:rPr>
              <w:t xml:space="preserve">milj. </w:t>
            </w:r>
            <w:proofErr w:type="spellStart"/>
            <w:r w:rsidRPr="00F27BC1">
              <w:rPr>
                <w:b/>
                <w:i/>
                <w:sz w:val="24"/>
                <w:szCs w:val="24"/>
              </w:rPr>
              <w:t>euro</w:t>
            </w:r>
            <w:proofErr w:type="spellEnd"/>
          </w:p>
        </w:tc>
        <w:tc>
          <w:tcPr>
            <w:tcW w:w="2411" w:type="dxa"/>
            <w:shd w:val="clear" w:color="auto" w:fill="D9D9D9" w:themeFill="background1" w:themeFillShade="D9"/>
          </w:tcPr>
          <w:p w14:paraId="42EFE685" w14:textId="77777777" w:rsidR="00F27BC1" w:rsidRPr="00F27BC1" w:rsidRDefault="004B0D7E" w:rsidP="004B0D7E">
            <w:pPr>
              <w:widowControl w:val="0"/>
              <w:tabs>
                <w:tab w:val="left" w:pos="6740"/>
              </w:tabs>
              <w:suppressAutoHyphens w:val="0"/>
              <w:autoSpaceDN/>
              <w:spacing w:before="60" w:after="60"/>
              <w:jc w:val="center"/>
              <w:textAlignment w:val="auto"/>
              <w:rPr>
                <w:b/>
                <w:sz w:val="24"/>
                <w:szCs w:val="24"/>
              </w:rPr>
            </w:pPr>
            <w:r>
              <w:rPr>
                <w:b/>
                <w:sz w:val="24"/>
                <w:szCs w:val="24"/>
              </w:rPr>
              <w:t>Kadastrālā vērtība</w:t>
            </w:r>
            <w:r w:rsidR="00F27BC1" w:rsidRPr="00F27BC1">
              <w:rPr>
                <w:b/>
                <w:sz w:val="24"/>
                <w:szCs w:val="24"/>
              </w:rPr>
              <w:t xml:space="preserve"> 2018./2019.gadā, milj. </w:t>
            </w:r>
            <w:proofErr w:type="spellStart"/>
            <w:r w:rsidR="00F27BC1" w:rsidRPr="00F27BC1">
              <w:rPr>
                <w:b/>
                <w:sz w:val="24"/>
                <w:szCs w:val="24"/>
              </w:rPr>
              <w:t>euro</w:t>
            </w:r>
            <w:proofErr w:type="spellEnd"/>
          </w:p>
        </w:tc>
        <w:tc>
          <w:tcPr>
            <w:tcW w:w="1559" w:type="dxa"/>
            <w:shd w:val="clear" w:color="auto" w:fill="D9D9D9" w:themeFill="background1" w:themeFillShade="D9"/>
          </w:tcPr>
          <w:p w14:paraId="086B5CFA" w14:textId="77777777" w:rsidR="00F27BC1" w:rsidRPr="00F27BC1" w:rsidRDefault="00F27BC1" w:rsidP="004B0D7E">
            <w:pPr>
              <w:widowControl w:val="0"/>
              <w:tabs>
                <w:tab w:val="left" w:pos="6740"/>
              </w:tabs>
              <w:suppressAutoHyphens w:val="0"/>
              <w:autoSpaceDN/>
              <w:spacing w:before="60" w:after="60"/>
              <w:jc w:val="center"/>
              <w:textAlignment w:val="auto"/>
              <w:rPr>
                <w:b/>
                <w:sz w:val="24"/>
                <w:szCs w:val="24"/>
              </w:rPr>
            </w:pPr>
            <w:r w:rsidRPr="00F27BC1">
              <w:rPr>
                <w:b/>
                <w:sz w:val="24"/>
                <w:szCs w:val="24"/>
              </w:rPr>
              <w:t>Izmaiņas</w:t>
            </w:r>
          </w:p>
        </w:tc>
      </w:tr>
      <w:tr w:rsidR="00F27BC1" w14:paraId="05BDAA1A" w14:textId="77777777" w:rsidTr="004B0D7E">
        <w:tc>
          <w:tcPr>
            <w:tcW w:w="2547" w:type="dxa"/>
          </w:tcPr>
          <w:p w14:paraId="73965E54" w14:textId="77777777" w:rsidR="00F27BC1" w:rsidRPr="00F27BC1" w:rsidRDefault="00F27BC1" w:rsidP="00F27BC1">
            <w:pPr>
              <w:widowControl w:val="0"/>
              <w:tabs>
                <w:tab w:val="left" w:pos="6740"/>
              </w:tabs>
              <w:suppressAutoHyphens w:val="0"/>
              <w:autoSpaceDN/>
              <w:spacing w:before="60" w:after="60"/>
              <w:jc w:val="both"/>
              <w:textAlignment w:val="auto"/>
              <w:rPr>
                <w:sz w:val="24"/>
                <w:szCs w:val="24"/>
              </w:rPr>
            </w:pPr>
            <w:r w:rsidRPr="00F27BC1">
              <w:rPr>
                <w:sz w:val="24"/>
                <w:szCs w:val="24"/>
              </w:rPr>
              <w:t>Dzīvojamā apbūve</w:t>
            </w:r>
          </w:p>
        </w:tc>
        <w:tc>
          <w:tcPr>
            <w:tcW w:w="2410" w:type="dxa"/>
          </w:tcPr>
          <w:p w14:paraId="6AADACD5"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17,4</w:t>
            </w:r>
          </w:p>
        </w:tc>
        <w:tc>
          <w:tcPr>
            <w:tcW w:w="2411" w:type="dxa"/>
          </w:tcPr>
          <w:p w14:paraId="23CC4C02"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23,6</w:t>
            </w:r>
          </w:p>
        </w:tc>
        <w:tc>
          <w:tcPr>
            <w:tcW w:w="1559" w:type="dxa"/>
          </w:tcPr>
          <w:p w14:paraId="6F8CC064"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+36%</w:t>
            </w:r>
          </w:p>
        </w:tc>
      </w:tr>
      <w:tr w:rsidR="00F27BC1" w14:paraId="2543EB4C" w14:textId="77777777" w:rsidTr="004B0D7E">
        <w:tc>
          <w:tcPr>
            <w:tcW w:w="2547" w:type="dxa"/>
          </w:tcPr>
          <w:p w14:paraId="58335EF7" w14:textId="77777777" w:rsidR="00F27BC1" w:rsidRPr="00F27BC1" w:rsidRDefault="00F27BC1" w:rsidP="00F27BC1">
            <w:pPr>
              <w:widowControl w:val="0"/>
              <w:tabs>
                <w:tab w:val="left" w:pos="6740"/>
              </w:tabs>
              <w:suppressAutoHyphens w:val="0"/>
              <w:autoSpaceDN/>
              <w:spacing w:before="60" w:after="60"/>
              <w:jc w:val="both"/>
              <w:textAlignment w:val="auto"/>
              <w:rPr>
                <w:sz w:val="24"/>
                <w:szCs w:val="24"/>
              </w:rPr>
            </w:pPr>
            <w:r w:rsidRPr="00F27BC1">
              <w:rPr>
                <w:sz w:val="24"/>
                <w:szCs w:val="24"/>
              </w:rPr>
              <w:t>Komercdarbības un sabiedriskā apbūve</w:t>
            </w:r>
          </w:p>
        </w:tc>
        <w:tc>
          <w:tcPr>
            <w:tcW w:w="2410" w:type="dxa"/>
          </w:tcPr>
          <w:p w14:paraId="45CF1A6C"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5,5</w:t>
            </w:r>
          </w:p>
        </w:tc>
        <w:tc>
          <w:tcPr>
            <w:tcW w:w="2411" w:type="dxa"/>
          </w:tcPr>
          <w:p w14:paraId="35358244"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7,0</w:t>
            </w:r>
          </w:p>
        </w:tc>
        <w:tc>
          <w:tcPr>
            <w:tcW w:w="1559" w:type="dxa"/>
          </w:tcPr>
          <w:p w14:paraId="60D34D28"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+27%</w:t>
            </w:r>
          </w:p>
        </w:tc>
      </w:tr>
      <w:tr w:rsidR="00F27BC1" w14:paraId="72AEFB94" w14:textId="77777777" w:rsidTr="004B0D7E">
        <w:tc>
          <w:tcPr>
            <w:tcW w:w="2547" w:type="dxa"/>
          </w:tcPr>
          <w:p w14:paraId="39A68E70" w14:textId="77777777" w:rsidR="00F27BC1" w:rsidRPr="00F27BC1" w:rsidRDefault="00F27BC1" w:rsidP="00F27BC1">
            <w:pPr>
              <w:widowControl w:val="0"/>
              <w:tabs>
                <w:tab w:val="left" w:pos="6740"/>
              </w:tabs>
              <w:suppressAutoHyphens w:val="0"/>
              <w:autoSpaceDN/>
              <w:spacing w:before="60" w:after="60"/>
              <w:jc w:val="both"/>
              <w:textAlignment w:val="auto"/>
              <w:rPr>
                <w:sz w:val="24"/>
                <w:szCs w:val="24"/>
              </w:rPr>
            </w:pPr>
            <w:r w:rsidRPr="00F27BC1">
              <w:rPr>
                <w:sz w:val="24"/>
                <w:szCs w:val="24"/>
              </w:rPr>
              <w:t>Rūpniecības apbūve</w:t>
            </w:r>
          </w:p>
        </w:tc>
        <w:tc>
          <w:tcPr>
            <w:tcW w:w="2410" w:type="dxa"/>
          </w:tcPr>
          <w:p w14:paraId="45B331A2"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2,5</w:t>
            </w:r>
          </w:p>
        </w:tc>
        <w:tc>
          <w:tcPr>
            <w:tcW w:w="2411" w:type="dxa"/>
          </w:tcPr>
          <w:p w14:paraId="0683F09E"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2,7</w:t>
            </w:r>
          </w:p>
        </w:tc>
        <w:tc>
          <w:tcPr>
            <w:tcW w:w="1559" w:type="dxa"/>
          </w:tcPr>
          <w:p w14:paraId="0EB28BEF"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+6%</w:t>
            </w:r>
          </w:p>
        </w:tc>
      </w:tr>
      <w:tr w:rsidR="00F27BC1" w14:paraId="3D4BF421" w14:textId="77777777" w:rsidTr="004B0D7E">
        <w:tc>
          <w:tcPr>
            <w:tcW w:w="2547" w:type="dxa"/>
          </w:tcPr>
          <w:p w14:paraId="3DF65FF7" w14:textId="77777777" w:rsidR="00F27BC1" w:rsidRPr="00F27BC1" w:rsidRDefault="00F27BC1" w:rsidP="00F27BC1">
            <w:pPr>
              <w:widowControl w:val="0"/>
              <w:tabs>
                <w:tab w:val="left" w:pos="6740"/>
              </w:tabs>
              <w:suppressAutoHyphens w:val="0"/>
              <w:autoSpaceDN/>
              <w:spacing w:before="60" w:after="60"/>
              <w:jc w:val="both"/>
              <w:textAlignment w:val="auto"/>
              <w:rPr>
                <w:sz w:val="24"/>
                <w:szCs w:val="24"/>
              </w:rPr>
            </w:pPr>
            <w:r w:rsidRPr="00F27BC1">
              <w:rPr>
                <w:sz w:val="24"/>
                <w:szCs w:val="24"/>
              </w:rPr>
              <w:t>Lauku zeme</w:t>
            </w:r>
          </w:p>
        </w:tc>
        <w:tc>
          <w:tcPr>
            <w:tcW w:w="2410" w:type="dxa"/>
          </w:tcPr>
          <w:p w14:paraId="2FCC62AB"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3,1</w:t>
            </w:r>
          </w:p>
        </w:tc>
        <w:tc>
          <w:tcPr>
            <w:tcW w:w="2411" w:type="dxa"/>
          </w:tcPr>
          <w:p w14:paraId="4EF20F17"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4,9</w:t>
            </w:r>
          </w:p>
        </w:tc>
        <w:tc>
          <w:tcPr>
            <w:tcW w:w="1559" w:type="dxa"/>
          </w:tcPr>
          <w:p w14:paraId="3739BE72"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+60%</w:t>
            </w:r>
          </w:p>
        </w:tc>
      </w:tr>
      <w:tr w:rsidR="00F27BC1" w14:paraId="59F9D295" w14:textId="77777777" w:rsidTr="004B0D7E">
        <w:tc>
          <w:tcPr>
            <w:tcW w:w="2547" w:type="dxa"/>
          </w:tcPr>
          <w:p w14:paraId="25E1723A" w14:textId="77777777" w:rsidR="00F27BC1" w:rsidRPr="00F27BC1" w:rsidRDefault="00F27BC1" w:rsidP="00F27BC1">
            <w:pPr>
              <w:widowControl w:val="0"/>
              <w:tabs>
                <w:tab w:val="left" w:pos="6740"/>
              </w:tabs>
              <w:suppressAutoHyphens w:val="0"/>
              <w:autoSpaceDN/>
              <w:spacing w:before="60" w:after="60"/>
              <w:jc w:val="both"/>
              <w:textAlignment w:val="auto"/>
              <w:rPr>
                <w:b/>
                <w:sz w:val="24"/>
                <w:szCs w:val="24"/>
              </w:rPr>
            </w:pPr>
            <w:r w:rsidRPr="00F27BC1">
              <w:rPr>
                <w:b/>
                <w:sz w:val="24"/>
                <w:szCs w:val="24"/>
              </w:rPr>
              <w:t>Kopā</w:t>
            </w:r>
          </w:p>
        </w:tc>
        <w:tc>
          <w:tcPr>
            <w:tcW w:w="2410" w:type="dxa"/>
          </w:tcPr>
          <w:p w14:paraId="54E7E58C" w14:textId="77777777" w:rsidR="00F27BC1" w:rsidRPr="00F27BC1" w:rsidRDefault="00F27BC1" w:rsidP="00F27BC1">
            <w:pPr>
              <w:widowControl w:val="0"/>
              <w:tabs>
                <w:tab w:val="left" w:pos="6740"/>
              </w:tabs>
              <w:suppressAutoHyphens w:val="0"/>
              <w:autoSpaceDN/>
              <w:spacing w:before="60" w:after="60"/>
              <w:jc w:val="center"/>
              <w:textAlignment w:val="auto"/>
              <w:rPr>
                <w:b/>
                <w:sz w:val="24"/>
                <w:szCs w:val="24"/>
              </w:rPr>
            </w:pPr>
            <w:r w:rsidRPr="00F27BC1">
              <w:rPr>
                <w:b/>
                <w:sz w:val="24"/>
                <w:szCs w:val="24"/>
              </w:rPr>
              <w:t>28,4</w:t>
            </w:r>
          </w:p>
        </w:tc>
        <w:tc>
          <w:tcPr>
            <w:tcW w:w="2411" w:type="dxa"/>
          </w:tcPr>
          <w:p w14:paraId="5F5E1AD4" w14:textId="77777777" w:rsidR="00F27BC1" w:rsidRPr="00F27BC1" w:rsidRDefault="00F27BC1" w:rsidP="00F27BC1">
            <w:pPr>
              <w:widowControl w:val="0"/>
              <w:tabs>
                <w:tab w:val="left" w:pos="6740"/>
              </w:tabs>
              <w:suppressAutoHyphens w:val="0"/>
              <w:autoSpaceDN/>
              <w:spacing w:before="60" w:after="60"/>
              <w:jc w:val="center"/>
              <w:textAlignment w:val="auto"/>
              <w:rPr>
                <w:b/>
                <w:sz w:val="24"/>
                <w:szCs w:val="24"/>
              </w:rPr>
            </w:pPr>
            <w:r w:rsidRPr="00F27BC1">
              <w:rPr>
                <w:b/>
                <w:sz w:val="24"/>
                <w:szCs w:val="24"/>
              </w:rPr>
              <w:t>38,1</w:t>
            </w:r>
          </w:p>
        </w:tc>
        <w:tc>
          <w:tcPr>
            <w:tcW w:w="1559" w:type="dxa"/>
          </w:tcPr>
          <w:p w14:paraId="3838113B" w14:textId="77777777" w:rsidR="00F27BC1" w:rsidRPr="00F27BC1" w:rsidRDefault="00F27BC1" w:rsidP="00F27BC1">
            <w:pPr>
              <w:widowControl w:val="0"/>
              <w:tabs>
                <w:tab w:val="left" w:pos="6740"/>
              </w:tabs>
              <w:suppressAutoHyphens w:val="0"/>
              <w:autoSpaceDN/>
              <w:spacing w:before="60" w:after="60"/>
              <w:jc w:val="center"/>
              <w:textAlignment w:val="auto"/>
              <w:rPr>
                <w:b/>
                <w:sz w:val="24"/>
                <w:szCs w:val="24"/>
              </w:rPr>
            </w:pPr>
            <w:r w:rsidRPr="00F27BC1">
              <w:rPr>
                <w:b/>
                <w:sz w:val="24"/>
                <w:szCs w:val="24"/>
              </w:rPr>
              <w:t>+34%</w:t>
            </w:r>
          </w:p>
        </w:tc>
      </w:tr>
    </w:tbl>
    <w:p w14:paraId="60108946" w14:textId="77777777" w:rsidR="00FD25DF" w:rsidRPr="00F27BC1" w:rsidRDefault="00F27BC1" w:rsidP="00912D47">
      <w:pPr>
        <w:ind w:firstLine="720"/>
        <w:jc w:val="both"/>
        <w:rPr>
          <w:i/>
          <w:sz w:val="24"/>
          <w:szCs w:val="24"/>
        </w:rPr>
      </w:pPr>
      <w:r w:rsidRPr="00F27BC1">
        <w:rPr>
          <w:i/>
          <w:sz w:val="24"/>
          <w:szCs w:val="24"/>
        </w:rPr>
        <w:t>*Valsts zemes dienesta dati</w:t>
      </w:r>
    </w:p>
    <w:p w14:paraId="756F38E3" w14:textId="77777777" w:rsidR="001E6E6D" w:rsidRPr="001E6E6D" w:rsidRDefault="001E6E6D" w:rsidP="002265AA">
      <w:pPr>
        <w:spacing w:before="120"/>
        <w:ind w:firstLine="720"/>
        <w:jc w:val="both"/>
        <w:rPr>
          <w:szCs w:val="28"/>
        </w:rPr>
      </w:pPr>
      <w:r>
        <w:rPr>
          <w:szCs w:val="28"/>
        </w:rPr>
        <w:t>Pēc Valsts zemes dienesta sniegtās informācijas, p</w:t>
      </w:r>
      <w:r w:rsidRPr="001E6E6D">
        <w:rPr>
          <w:szCs w:val="28"/>
        </w:rPr>
        <w:t>lānotās</w:t>
      </w:r>
      <w:r>
        <w:rPr>
          <w:szCs w:val="28"/>
        </w:rPr>
        <w:t xml:space="preserve"> k</w:t>
      </w:r>
      <w:r w:rsidRPr="001E6E6D">
        <w:rPr>
          <w:szCs w:val="28"/>
        </w:rPr>
        <w:t>adastrālo vērtību izmaiņas dzīvojamās apbūves sektorā (pa īpašumu grupām) raksturo šādas pieauguma tendences:</w:t>
      </w:r>
    </w:p>
    <w:p w14:paraId="46E66356" w14:textId="77777777" w:rsidR="00741FCC" w:rsidRDefault="001E6E6D" w:rsidP="00741FCC">
      <w:pPr>
        <w:ind w:firstLine="720"/>
        <w:jc w:val="both"/>
        <w:rPr>
          <w:szCs w:val="28"/>
        </w:rPr>
      </w:pPr>
      <w:r>
        <w:rPr>
          <w:szCs w:val="28"/>
        </w:rPr>
        <w:t xml:space="preserve">- </w:t>
      </w:r>
      <w:r w:rsidRPr="00741FCC">
        <w:rPr>
          <w:szCs w:val="28"/>
          <w:u w:val="single"/>
        </w:rPr>
        <w:t>jauno dzīvokļu projektu</w:t>
      </w:r>
      <w:r w:rsidRPr="001E6E6D">
        <w:rPr>
          <w:szCs w:val="28"/>
        </w:rPr>
        <w:t xml:space="preserve"> kadastrālo vērtību bāze šobrīd ir 38% no tirgus vērtības, bet plāno palielināt līdz 81% no tirgus vēr</w:t>
      </w:r>
      <w:r w:rsidR="00741FCC">
        <w:rPr>
          <w:szCs w:val="28"/>
        </w:rPr>
        <w:t>tības (vislielākais pieaugums);</w:t>
      </w:r>
    </w:p>
    <w:p w14:paraId="0F7DB249" w14:textId="77777777" w:rsidR="00741FCC" w:rsidRDefault="00741FCC" w:rsidP="00741FCC">
      <w:pPr>
        <w:ind w:firstLine="720"/>
        <w:jc w:val="both"/>
        <w:rPr>
          <w:szCs w:val="28"/>
        </w:rPr>
      </w:pPr>
      <w:r>
        <w:rPr>
          <w:szCs w:val="28"/>
        </w:rPr>
        <w:t xml:space="preserve">- </w:t>
      </w:r>
      <w:r w:rsidRPr="00741FCC">
        <w:rPr>
          <w:szCs w:val="28"/>
          <w:u w:val="single"/>
        </w:rPr>
        <w:t>s</w:t>
      </w:r>
      <w:r w:rsidR="001E6E6D" w:rsidRPr="00741FCC">
        <w:rPr>
          <w:szCs w:val="28"/>
          <w:u w:val="single"/>
        </w:rPr>
        <w:t>ērijveida (vec</w:t>
      </w:r>
      <w:r w:rsidR="00C85EB2">
        <w:rPr>
          <w:szCs w:val="28"/>
          <w:u w:val="single"/>
        </w:rPr>
        <w:t>o</w:t>
      </w:r>
      <w:r w:rsidR="001E6E6D" w:rsidRPr="00741FCC">
        <w:rPr>
          <w:szCs w:val="28"/>
          <w:u w:val="single"/>
        </w:rPr>
        <w:t>) dzīvokļu</w:t>
      </w:r>
      <w:r w:rsidR="001E6E6D" w:rsidRPr="001E6E6D">
        <w:rPr>
          <w:szCs w:val="28"/>
        </w:rPr>
        <w:t xml:space="preserve"> projektu kadastrālo vērtību bāze šobrīd ir 72% no tirgus vērtības, bet plāno palielināt līdz 86% no tirgus vērtības;</w:t>
      </w:r>
    </w:p>
    <w:p w14:paraId="642D5E67" w14:textId="77777777" w:rsidR="001E6E6D" w:rsidRPr="001E6E6D" w:rsidRDefault="00741FCC" w:rsidP="00741FCC">
      <w:pPr>
        <w:ind w:firstLine="720"/>
        <w:jc w:val="both"/>
        <w:rPr>
          <w:szCs w:val="28"/>
        </w:rPr>
      </w:pPr>
      <w:r>
        <w:rPr>
          <w:szCs w:val="28"/>
        </w:rPr>
        <w:t xml:space="preserve">- </w:t>
      </w:r>
      <w:r w:rsidRPr="00741FCC">
        <w:rPr>
          <w:szCs w:val="28"/>
          <w:u w:val="single"/>
        </w:rPr>
        <w:t>i</w:t>
      </w:r>
      <w:r w:rsidR="001E6E6D" w:rsidRPr="00741FCC">
        <w:rPr>
          <w:szCs w:val="28"/>
          <w:u w:val="single"/>
        </w:rPr>
        <w:t>ndividuālo dzīvojamo māju</w:t>
      </w:r>
      <w:r w:rsidR="001E6E6D" w:rsidRPr="001E6E6D">
        <w:rPr>
          <w:szCs w:val="28"/>
        </w:rPr>
        <w:t xml:space="preserve"> projektu kadastrālo vērtību bāze šobrīd ir </w:t>
      </w:r>
      <w:r w:rsidR="00332BE2">
        <w:rPr>
          <w:szCs w:val="28"/>
        </w:rPr>
        <w:t xml:space="preserve">    </w:t>
      </w:r>
      <w:r w:rsidR="001E6E6D" w:rsidRPr="001E6E6D">
        <w:rPr>
          <w:szCs w:val="28"/>
        </w:rPr>
        <w:t>65% no tirgus vērtības, bet plāno palielināt līdz 79% no tirgus vērtības.</w:t>
      </w:r>
    </w:p>
    <w:p w14:paraId="3B8B84FD" w14:textId="77777777" w:rsidR="001E6E6D" w:rsidRDefault="001E6E6D" w:rsidP="001E6E6D">
      <w:pPr>
        <w:ind w:firstLine="720"/>
        <w:jc w:val="both"/>
        <w:rPr>
          <w:szCs w:val="28"/>
        </w:rPr>
      </w:pPr>
      <w:r w:rsidRPr="001E6E6D">
        <w:rPr>
          <w:szCs w:val="28"/>
        </w:rPr>
        <w:t xml:space="preserve">Tātad vislielākais kadastrālo vērtību bāzes pieaugums ir gaidāms tieši jaunajiem dzīvokļiem </w:t>
      </w:r>
      <w:r w:rsidR="00BF6C1F" w:rsidRPr="00BF6C1F">
        <w:rPr>
          <w:szCs w:val="28"/>
        </w:rPr>
        <w:t xml:space="preserve">(daudzfunkcionālās ēkas, kas būvētas pēc 2000.gada) </w:t>
      </w:r>
      <w:r w:rsidRPr="001E6E6D">
        <w:rPr>
          <w:szCs w:val="28"/>
        </w:rPr>
        <w:t>un individuālajām dzīvojamajām mājām</w:t>
      </w:r>
      <w:r w:rsidR="00BF6C1F">
        <w:rPr>
          <w:szCs w:val="28"/>
        </w:rPr>
        <w:t xml:space="preserve"> jaunajos ciematos</w:t>
      </w:r>
      <w:r w:rsidR="00636ABA">
        <w:rPr>
          <w:szCs w:val="28"/>
        </w:rPr>
        <w:t xml:space="preserve">, kuru kadastrālas vērtības </w:t>
      </w:r>
      <w:r w:rsidR="00636ABA">
        <w:rPr>
          <w:szCs w:val="28"/>
        </w:rPr>
        <w:lastRenderedPageBreak/>
        <w:t>salīdzinot ar sērijveida (veco) dzīvokļu projektiem ar lielu nokavēšanos sāks tuvoties vidējām tirgus vērtībām</w:t>
      </w:r>
      <w:r w:rsidRPr="001E6E6D">
        <w:rPr>
          <w:szCs w:val="28"/>
        </w:rPr>
        <w:t>.</w:t>
      </w:r>
      <w:r w:rsidR="00636ABA">
        <w:rPr>
          <w:szCs w:val="28"/>
        </w:rPr>
        <w:t xml:space="preserve"> Tas liecina, ka sērijveida (veco) dzīvokļu īpašnieki jau ilgstoši ir veikuši adekvātus nodokļa maksājumus, savukārt </w:t>
      </w:r>
      <w:r w:rsidR="00BF6C1F">
        <w:rPr>
          <w:szCs w:val="28"/>
        </w:rPr>
        <w:t xml:space="preserve">jauno dzīvokļu un savrupmāju </w:t>
      </w:r>
      <w:r w:rsidR="00636ABA">
        <w:rPr>
          <w:szCs w:val="28"/>
        </w:rPr>
        <w:t xml:space="preserve">īpašnieki </w:t>
      </w:r>
      <w:r w:rsidR="00BF6C1F">
        <w:rPr>
          <w:szCs w:val="28"/>
        </w:rPr>
        <w:t xml:space="preserve">jaunajos ciematos </w:t>
      </w:r>
      <w:r w:rsidR="00636ABA">
        <w:rPr>
          <w:szCs w:val="28"/>
        </w:rPr>
        <w:t xml:space="preserve">nodokļa maksājumus ir veikuši no samazināta objekta vērtības, kas </w:t>
      </w:r>
      <w:r w:rsidR="00BF6C1F">
        <w:rPr>
          <w:szCs w:val="28"/>
        </w:rPr>
        <w:t xml:space="preserve">vietām </w:t>
      </w:r>
      <w:r w:rsidR="00636ABA">
        <w:rPr>
          <w:szCs w:val="28"/>
        </w:rPr>
        <w:t xml:space="preserve">būtiski atpalika no tirgus vērtības.    </w:t>
      </w:r>
    </w:p>
    <w:p w14:paraId="7279A324" w14:textId="77777777" w:rsidR="004A3FD6" w:rsidRDefault="004A3FD6" w:rsidP="004A3FD6">
      <w:pPr>
        <w:ind w:firstLine="720"/>
        <w:jc w:val="both"/>
        <w:rPr>
          <w:szCs w:val="28"/>
        </w:rPr>
      </w:pPr>
      <w:r>
        <w:rPr>
          <w:szCs w:val="28"/>
        </w:rPr>
        <w:t xml:space="preserve">Tomēr </w:t>
      </w:r>
      <w:r w:rsidR="00BF6C1F">
        <w:rPr>
          <w:szCs w:val="28"/>
        </w:rPr>
        <w:t>jāpiemin</w:t>
      </w:r>
      <w:r>
        <w:rPr>
          <w:szCs w:val="28"/>
        </w:rPr>
        <w:t xml:space="preserve">, ka minētie </w:t>
      </w:r>
      <w:r w:rsidR="00183F7E">
        <w:rPr>
          <w:szCs w:val="28"/>
        </w:rPr>
        <w:t xml:space="preserve">grozījumi </w:t>
      </w:r>
      <w:r>
        <w:rPr>
          <w:szCs w:val="28"/>
        </w:rPr>
        <w:t xml:space="preserve">Ministru kabineta </w:t>
      </w:r>
      <w:r w:rsidR="00F714CC">
        <w:rPr>
          <w:szCs w:val="28"/>
        </w:rPr>
        <w:t>2006.gada 18.</w:t>
      </w:r>
      <w:r w:rsidR="00F714CC" w:rsidRPr="00BF4BC6">
        <w:rPr>
          <w:szCs w:val="28"/>
        </w:rPr>
        <w:t>aprīļ</w:t>
      </w:r>
      <w:r w:rsidR="00F714CC">
        <w:rPr>
          <w:szCs w:val="28"/>
        </w:rPr>
        <w:t>a noteikumos Nr.</w:t>
      </w:r>
      <w:r w:rsidR="00F714CC" w:rsidRPr="00BF4BC6">
        <w:rPr>
          <w:szCs w:val="28"/>
        </w:rPr>
        <w:t xml:space="preserve">305 </w:t>
      </w:r>
      <w:r w:rsidR="00F714CC">
        <w:rPr>
          <w:szCs w:val="28"/>
        </w:rPr>
        <w:t>“</w:t>
      </w:r>
      <w:r w:rsidR="00F714CC" w:rsidRPr="00BF4BC6">
        <w:rPr>
          <w:szCs w:val="28"/>
        </w:rPr>
        <w:t>Kadastrālās vērtēšanas noteikumi</w:t>
      </w:r>
      <w:r w:rsidR="00183F7E">
        <w:rPr>
          <w:szCs w:val="28"/>
        </w:rPr>
        <w:t>”</w:t>
      </w:r>
      <w:r w:rsidR="00F714CC">
        <w:rPr>
          <w:szCs w:val="28"/>
        </w:rPr>
        <w:t xml:space="preserve"> </w:t>
      </w:r>
      <w:r>
        <w:rPr>
          <w:szCs w:val="28"/>
        </w:rPr>
        <w:t xml:space="preserve">joprojām nenodrošina kadastrālo vērtību atbilstību 80% apmēram no tirgus vērtībām </w:t>
      </w:r>
      <w:r w:rsidR="00BF6C1F">
        <w:rPr>
          <w:szCs w:val="28"/>
        </w:rPr>
        <w:t>tādiem</w:t>
      </w:r>
      <w:r w:rsidR="00F3464B">
        <w:rPr>
          <w:szCs w:val="28"/>
        </w:rPr>
        <w:t xml:space="preserve"> nekustamajiem īpašumiem</w:t>
      </w:r>
      <w:r w:rsidR="00BF6C1F">
        <w:rPr>
          <w:szCs w:val="28"/>
        </w:rPr>
        <w:t xml:space="preserve">, kā </w:t>
      </w:r>
      <w:r>
        <w:rPr>
          <w:szCs w:val="28"/>
        </w:rPr>
        <w:t>pilnībā rekonstruētām daudzstāvu ēkām</w:t>
      </w:r>
      <w:r w:rsidR="00BF6C1F">
        <w:rPr>
          <w:szCs w:val="28"/>
        </w:rPr>
        <w:t xml:space="preserve"> un jaunām vai renovētām</w:t>
      </w:r>
      <w:r>
        <w:rPr>
          <w:szCs w:val="28"/>
        </w:rPr>
        <w:t xml:space="preserve"> individuālajām dzīvojamām mājām, kas neatrodas speciālā vērtību zonā, bet gan blakus parastajai apbūvei. Tād</w:t>
      </w:r>
      <w:r w:rsidR="000A7C43">
        <w:rPr>
          <w:szCs w:val="28"/>
        </w:rPr>
        <w:t>ē</w:t>
      </w:r>
      <w:r>
        <w:rPr>
          <w:szCs w:val="28"/>
        </w:rPr>
        <w:t>jādi</w:t>
      </w:r>
      <w:r w:rsidR="00C66444">
        <w:rPr>
          <w:szCs w:val="28"/>
        </w:rPr>
        <w:t>,</w:t>
      </w:r>
      <w:r>
        <w:rPr>
          <w:szCs w:val="28"/>
        </w:rPr>
        <w:t xml:space="preserve"> arī pēc </w:t>
      </w:r>
      <w:r w:rsidR="00F714CC">
        <w:rPr>
          <w:szCs w:val="28"/>
        </w:rPr>
        <w:t>šo</w:t>
      </w:r>
      <w:r w:rsidR="00183F7E">
        <w:rPr>
          <w:szCs w:val="28"/>
        </w:rPr>
        <w:t xml:space="preserve"> grozījumu </w:t>
      </w:r>
      <w:r w:rsidRPr="004A3FD6">
        <w:rPr>
          <w:szCs w:val="28"/>
        </w:rPr>
        <w:t xml:space="preserve">Ministru kabineta </w:t>
      </w:r>
      <w:r w:rsidR="00BF7AE9">
        <w:rPr>
          <w:szCs w:val="28"/>
        </w:rPr>
        <w:t>2006.gada 18.</w:t>
      </w:r>
      <w:r w:rsidR="00BF7AE9" w:rsidRPr="00BF4BC6">
        <w:rPr>
          <w:szCs w:val="28"/>
        </w:rPr>
        <w:t>aprīļ</w:t>
      </w:r>
      <w:r w:rsidR="00BF7AE9">
        <w:rPr>
          <w:szCs w:val="28"/>
        </w:rPr>
        <w:t>a noteikumos Nr.</w:t>
      </w:r>
      <w:r w:rsidR="00BF7AE9" w:rsidRPr="00BF4BC6">
        <w:rPr>
          <w:szCs w:val="28"/>
        </w:rPr>
        <w:t xml:space="preserve">305 </w:t>
      </w:r>
      <w:r w:rsidR="00BF7AE9">
        <w:rPr>
          <w:szCs w:val="28"/>
        </w:rPr>
        <w:t>“</w:t>
      </w:r>
      <w:r w:rsidR="00BF7AE9" w:rsidRPr="00BF4BC6">
        <w:rPr>
          <w:szCs w:val="28"/>
        </w:rPr>
        <w:t>Kadastrālās vērtēšanas noteikumi</w:t>
      </w:r>
      <w:r w:rsidR="00BF7AE9">
        <w:rPr>
          <w:szCs w:val="28"/>
        </w:rPr>
        <w:t>”</w:t>
      </w:r>
      <w:r w:rsidRPr="004A3FD6">
        <w:rPr>
          <w:szCs w:val="28"/>
        </w:rPr>
        <w:t xml:space="preserve"> </w:t>
      </w:r>
      <w:r>
        <w:rPr>
          <w:szCs w:val="28"/>
        </w:rPr>
        <w:t xml:space="preserve">spēkā stāšanās, </w:t>
      </w:r>
      <w:r w:rsidR="00CE142A">
        <w:rPr>
          <w:szCs w:val="28"/>
        </w:rPr>
        <w:t xml:space="preserve">daļai (provizoriski 2-3%) </w:t>
      </w:r>
      <w:r>
        <w:rPr>
          <w:szCs w:val="28"/>
        </w:rPr>
        <w:t>īpašumu īpašnieku nekustamā īpašuma nodokļa procentuālais maksājums salīdzinājumā ar īp</w:t>
      </w:r>
      <w:r w:rsidR="00DA71C3">
        <w:rPr>
          <w:szCs w:val="28"/>
        </w:rPr>
        <w:t>ašuma tirgus vērtību būs mazāks</w:t>
      </w:r>
      <w:r>
        <w:rPr>
          <w:szCs w:val="28"/>
        </w:rPr>
        <w:t xml:space="preserve"> kā īpašumiem, kuriem tiek nodrošināta atbilstība tirgus vērtībām. </w:t>
      </w:r>
    </w:p>
    <w:p w14:paraId="3F7495FD" w14:textId="77777777" w:rsidR="00810DC7" w:rsidRDefault="00810632" w:rsidP="004A3FD6">
      <w:pPr>
        <w:ind w:firstLine="720"/>
        <w:jc w:val="both"/>
        <w:rPr>
          <w:szCs w:val="28"/>
        </w:rPr>
      </w:pPr>
      <w:r>
        <w:rPr>
          <w:szCs w:val="28"/>
        </w:rPr>
        <w:t xml:space="preserve">Vēl viens problēmas aspekts ir kadastrālo vērtību izmaiņu teritoriālās atšķirības. </w:t>
      </w:r>
      <w:r w:rsidR="00FD25DF">
        <w:rPr>
          <w:szCs w:val="28"/>
        </w:rPr>
        <w:t>Apbūves zemei un ēkām tās ir ļoti atšķir</w:t>
      </w:r>
      <w:r w:rsidR="00EA17CE">
        <w:rPr>
          <w:szCs w:val="28"/>
        </w:rPr>
        <w:t>īgas (piemēram, individuālās apbūves zemei 35 pašvaldībās vērojams vērtību kopsummu samazinājums, savukārt aptuveni 40 pašvaldībās vērtību kopsummu pieaugums ir līdz 5%). Savukārt lauku zemēm vērtību pieaugums ir visās pašvaldībās.</w:t>
      </w:r>
      <w:r w:rsidR="00EA17CE">
        <w:rPr>
          <w:rStyle w:val="FootnoteReference"/>
          <w:szCs w:val="28"/>
        </w:rPr>
        <w:footnoteReference w:id="17"/>
      </w:r>
      <w:r w:rsidR="00EA17CE">
        <w:rPr>
          <w:szCs w:val="28"/>
        </w:rPr>
        <w:t xml:space="preserve"> </w:t>
      </w:r>
    </w:p>
    <w:p w14:paraId="76AAD2C3" w14:textId="77777777" w:rsidR="000F3741" w:rsidRDefault="000F3741" w:rsidP="004A3FD6">
      <w:pPr>
        <w:ind w:firstLine="720"/>
        <w:jc w:val="both"/>
        <w:rPr>
          <w:szCs w:val="28"/>
        </w:rPr>
      </w:pPr>
      <w:r>
        <w:rPr>
          <w:szCs w:val="28"/>
        </w:rPr>
        <w:t>Ņemot vērā, ka kopsummu pieaugumu veido kadastrālo vērtību kāpums jaunajām daudzfunkcionālajām ēkām, savr</w:t>
      </w:r>
      <w:r w:rsidR="001A78A7">
        <w:rPr>
          <w:szCs w:val="28"/>
        </w:rPr>
        <w:t>u</w:t>
      </w:r>
      <w:r>
        <w:rPr>
          <w:szCs w:val="28"/>
        </w:rPr>
        <w:t>pmājām jaunās apbūves zonās un zemei ekskluzīvajās zonās, attiecīgi lielie kopsummu pieaugumi veidojas teritorijās, kur šādi objekti ir – pamatā Rīgā, Jūrmalā, Pierīgā.</w:t>
      </w:r>
    </w:p>
    <w:p w14:paraId="12648A77" w14:textId="77777777" w:rsidR="000F3741" w:rsidRPr="001A78A7" w:rsidRDefault="001A78A7" w:rsidP="001A78A7">
      <w:pPr>
        <w:spacing w:before="120" w:after="120"/>
        <w:ind w:firstLine="720"/>
        <w:jc w:val="right"/>
        <w:rPr>
          <w:i/>
          <w:sz w:val="24"/>
          <w:szCs w:val="24"/>
        </w:rPr>
      </w:pPr>
      <w:r w:rsidRPr="001A78A7">
        <w:rPr>
          <w:i/>
          <w:sz w:val="24"/>
          <w:szCs w:val="24"/>
        </w:rPr>
        <w:t>5.tabula</w:t>
      </w:r>
    </w:p>
    <w:p w14:paraId="3620A204" w14:textId="77777777" w:rsidR="001A78A7" w:rsidRDefault="001A78A7" w:rsidP="001A78A7">
      <w:pPr>
        <w:spacing w:before="120" w:after="120"/>
        <w:jc w:val="both"/>
        <w:rPr>
          <w:b/>
          <w:sz w:val="24"/>
          <w:szCs w:val="24"/>
        </w:rPr>
      </w:pPr>
      <w:r w:rsidRPr="001A78A7">
        <w:rPr>
          <w:b/>
          <w:sz w:val="24"/>
          <w:szCs w:val="24"/>
        </w:rPr>
        <w:t>Individuālo dzīvojamo māju un daudzdzīvokļu māju apbūves zemes un ēku</w:t>
      </w:r>
      <w:r w:rsidR="004B0D7E">
        <w:rPr>
          <w:b/>
          <w:sz w:val="24"/>
          <w:szCs w:val="24"/>
        </w:rPr>
        <w:t xml:space="preserve"> kadastrālo vērtību izmaiņas*</w:t>
      </w:r>
    </w:p>
    <w:tbl>
      <w:tblPr>
        <w:tblStyle w:val="TableGrid"/>
        <w:tblW w:w="0" w:type="auto"/>
        <w:tblLook w:val="04A0" w:firstRow="1" w:lastRow="0" w:firstColumn="1" w:lastColumn="0" w:noHBand="0" w:noVBand="1"/>
      </w:tblPr>
      <w:tblGrid>
        <w:gridCol w:w="2998"/>
        <w:gridCol w:w="1984"/>
        <w:gridCol w:w="1985"/>
        <w:gridCol w:w="2095"/>
      </w:tblGrid>
      <w:tr w:rsidR="004B0D7E" w14:paraId="24A6996D" w14:textId="77777777" w:rsidTr="00564AAD">
        <w:tc>
          <w:tcPr>
            <w:tcW w:w="2998" w:type="dxa"/>
            <w:shd w:val="clear" w:color="auto" w:fill="D9D9D9" w:themeFill="background1" w:themeFillShade="D9"/>
          </w:tcPr>
          <w:p w14:paraId="1CF4426E" w14:textId="77777777" w:rsidR="004B0D7E" w:rsidRPr="00B9112D" w:rsidRDefault="004B0D7E" w:rsidP="00564AAD">
            <w:pPr>
              <w:spacing w:before="60" w:after="60"/>
              <w:jc w:val="both"/>
              <w:rPr>
                <w:b/>
                <w:sz w:val="23"/>
                <w:szCs w:val="23"/>
              </w:rPr>
            </w:pPr>
          </w:p>
        </w:tc>
        <w:tc>
          <w:tcPr>
            <w:tcW w:w="1984" w:type="dxa"/>
            <w:shd w:val="clear" w:color="auto" w:fill="D9D9D9" w:themeFill="background1" w:themeFillShade="D9"/>
            <w:vAlign w:val="center"/>
          </w:tcPr>
          <w:p w14:paraId="61A53AAB" w14:textId="77777777" w:rsidR="004B0D7E" w:rsidRPr="00B9112D" w:rsidRDefault="00B860CD" w:rsidP="00564AAD">
            <w:pPr>
              <w:spacing w:before="60" w:after="60"/>
              <w:jc w:val="center"/>
              <w:rPr>
                <w:b/>
                <w:sz w:val="23"/>
                <w:szCs w:val="23"/>
              </w:rPr>
            </w:pPr>
            <w:r w:rsidRPr="00B9112D">
              <w:rPr>
                <w:b/>
                <w:sz w:val="23"/>
                <w:szCs w:val="23"/>
              </w:rPr>
              <w:t>Kadastrālo vērtību izmaiņas zemei (2018./2016.), %</w:t>
            </w:r>
          </w:p>
        </w:tc>
        <w:tc>
          <w:tcPr>
            <w:tcW w:w="1985" w:type="dxa"/>
            <w:shd w:val="clear" w:color="auto" w:fill="D9D9D9" w:themeFill="background1" w:themeFillShade="D9"/>
            <w:vAlign w:val="center"/>
          </w:tcPr>
          <w:p w14:paraId="1AC8A19E" w14:textId="77777777" w:rsidR="004B0D7E" w:rsidRPr="00B9112D" w:rsidRDefault="00B860CD" w:rsidP="00564AAD">
            <w:pPr>
              <w:spacing w:before="60" w:after="60"/>
              <w:jc w:val="center"/>
              <w:rPr>
                <w:b/>
                <w:sz w:val="23"/>
                <w:szCs w:val="23"/>
              </w:rPr>
            </w:pPr>
            <w:r w:rsidRPr="00B9112D">
              <w:rPr>
                <w:b/>
                <w:sz w:val="23"/>
                <w:szCs w:val="23"/>
              </w:rPr>
              <w:t>Kadastrālo vērtību izmaiņas ēkām (2018./2016.), %</w:t>
            </w:r>
          </w:p>
        </w:tc>
        <w:tc>
          <w:tcPr>
            <w:tcW w:w="2095" w:type="dxa"/>
            <w:shd w:val="clear" w:color="auto" w:fill="D9D9D9" w:themeFill="background1" w:themeFillShade="D9"/>
            <w:vAlign w:val="center"/>
          </w:tcPr>
          <w:p w14:paraId="1DECE8AB" w14:textId="77777777" w:rsidR="004B0D7E" w:rsidRPr="00B9112D" w:rsidRDefault="00B860CD" w:rsidP="00564AAD">
            <w:pPr>
              <w:spacing w:before="60" w:after="60"/>
              <w:jc w:val="center"/>
              <w:rPr>
                <w:b/>
                <w:sz w:val="23"/>
                <w:szCs w:val="23"/>
              </w:rPr>
            </w:pPr>
            <w:r w:rsidRPr="00B9112D">
              <w:rPr>
                <w:b/>
                <w:sz w:val="23"/>
                <w:szCs w:val="23"/>
              </w:rPr>
              <w:t>Kopējās kadastrālo vērtību izmaiņas (2018./2016.), %</w:t>
            </w:r>
          </w:p>
        </w:tc>
      </w:tr>
      <w:tr w:rsidR="004B0D7E" w14:paraId="0D46C95E" w14:textId="77777777" w:rsidTr="00564AAD">
        <w:trPr>
          <w:trHeight w:val="964"/>
        </w:trPr>
        <w:tc>
          <w:tcPr>
            <w:tcW w:w="2998" w:type="dxa"/>
          </w:tcPr>
          <w:p w14:paraId="2658B202" w14:textId="77777777" w:rsidR="004B0D7E" w:rsidRPr="00B9112D" w:rsidRDefault="00B860CD" w:rsidP="00564AAD">
            <w:pPr>
              <w:spacing w:before="60" w:after="60"/>
              <w:jc w:val="both"/>
              <w:rPr>
                <w:b/>
                <w:sz w:val="23"/>
                <w:szCs w:val="23"/>
              </w:rPr>
            </w:pPr>
            <w:r w:rsidRPr="00B9112D">
              <w:rPr>
                <w:b/>
                <w:sz w:val="23"/>
                <w:szCs w:val="23"/>
              </w:rPr>
              <w:t>Individuālās dzīvojamās mājas un daudzdzīvokļu mājas, t.sk.,</w:t>
            </w:r>
          </w:p>
        </w:tc>
        <w:tc>
          <w:tcPr>
            <w:tcW w:w="1984" w:type="dxa"/>
            <w:vAlign w:val="center"/>
          </w:tcPr>
          <w:p w14:paraId="33B1AE2D" w14:textId="77777777" w:rsidR="004B0D7E" w:rsidRPr="00B9112D" w:rsidRDefault="00B860CD" w:rsidP="00564AAD">
            <w:pPr>
              <w:spacing w:before="60" w:after="60"/>
              <w:jc w:val="center"/>
              <w:rPr>
                <w:b/>
                <w:sz w:val="23"/>
                <w:szCs w:val="23"/>
              </w:rPr>
            </w:pPr>
            <w:r w:rsidRPr="00B9112D">
              <w:rPr>
                <w:b/>
                <w:sz w:val="23"/>
                <w:szCs w:val="23"/>
              </w:rPr>
              <w:t>24%</w:t>
            </w:r>
          </w:p>
        </w:tc>
        <w:tc>
          <w:tcPr>
            <w:tcW w:w="1985" w:type="dxa"/>
            <w:vAlign w:val="center"/>
          </w:tcPr>
          <w:p w14:paraId="4273B7B5" w14:textId="77777777" w:rsidR="004B0D7E" w:rsidRPr="00B9112D" w:rsidRDefault="00B860CD" w:rsidP="00564AAD">
            <w:pPr>
              <w:spacing w:before="60" w:after="60"/>
              <w:jc w:val="center"/>
              <w:rPr>
                <w:b/>
                <w:sz w:val="23"/>
                <w:szCs w:val="23"/>
              </w:rPr>
            </w:pPr>
            <w:r w:rsidRPr="00B9112D">
              <w:rPr>
                <w:b/>
                <w:sz w:val="23"/>
                <w:szCs w:val="23"/>
              </w:rPr>
              <w:t>40%</w:t>
            </w:r>
          </w:p>
        </w:tc>
        <w:tc>
          <w:tcPr>
            <w:tcW w:w="2095" w:type="dxa"/>
            <w:vAlign w:val="center"/>
          </w:tcPr>
          <w:p w14:paraId="6C5B7FE8" w14:textId="77777777" w:rsidR="004B0D7E" w:rsidRPr="00B9112D" w:rsidRDefault="00B860CD" w:rsidP="00564AAD">
            <w:pPr>
              <w:spacing w:before="60" w:after="60"/>
              <w:jc w:val="center"/>
              <w:rPr>
                <w:b/>
                <w:sz w:val="23"/>
                <w:szCs w:val="23"/>
              </w:rPr>
            </w:pPr>
            <w:r w:rsidRPr="00B9112D">
              <w:rPr>
                <w:b/>
                <w:sz w:val="23"/>
                <w:szCs w:val="23"/>
              </w:rPr>
              <w:t>36%</w:t>
            </w:r>
          </w:p>
        </w:tc>
      </w:tr>
      <w:tr w:rsidR="004B0D7E" w14:paraId="625319C8" w14:textId="77777777" w:rsidTr="00564AAD">
        <w:tc>
          <w:tcPr>
            <w:tcW w:w="2998" w:type="dxa"/>
            <w:vAlign w:val="center"/>
          </w:tcPr>
          <w:p w14:paraId="6FA7C5C8" w14:textId="77777777" w:rsidR="004B0D7E" w:rsidRPr="00B9112D" w:rsidRDefault="00B860CD" w:rsidP="00564AAD">
            <w:pPr>
              <w:spacing w:before="60" w:after="60"/>
              <w:jc w:val="right"/>
              <w:rPr>
                <w:sz w:val="23"/>
                <w:szCs w:val="23"/>
              </w:rPr>
            </w:pPr>
            <w:r w:rsidRPr="00B9112D">
              <w:rPr>
                <w:sz w:val="23"/>
                <w:szCs w:val="23"/>
              </w:rPr>
              <w:t>Republikas pilsētās</w:t>
            </w:r>
          </w:p>
        </w:tc>
        <w:tc>
          <w:tcPr>
            <w:tcW w:w="1984" w:type="dxa"/>
            <w:vAlign w:val="center"/>
          </w:tcPr>
          <w:p w14:paraId="125B710F" w14:textId="77777777" w:rsidR="004B0D7E" w:rsidRPr="00B9112D" w:rsidRDefault="00B860CD" w:rsidP="00564AAD">
            <w:pPr>
              <w:spacing w:before="60" w:after="60"/>
              <w:jc w:val="right"/>
              <w:rPr>
                <w:sz w:val="23"/>
                <w:szCs w:val="23"/>
              </w:rPr>
            </w:pPr>
            <w:r w:rsidRPr="00B9112D">
              <w:rPr>
                <w:sz w:val="23"/>
                <w:szCs w:val="23"/>
              </w:rPr>
              <w:t>29%</w:t>
            </w:r>
          </w:p>
        </w:tc>
        <w:tc>
          <w:tcPr>
            <w:tcW w:w="1985" w:type="dxa"/>
            <w:vAlign w:val="center"/>
          </w:tcPr>
          <w:p w14:paraId="590D1966" w14:textId="77777777" w:rsidR="004B0D7E" w:rsidRPr="00B9112D" w:rsidRDefault="00B860CD" w:rsidP="00564AAD">
            <w:pPr>
              <w:spacing w:before="60" w:after="60"/>
              <w:jc w:val="right"/>
              <w:rPr>
                <w:sz w:val="23"/>
                <w:szCs w:val="23"/>
              </w:rPr>
            </w:pPr>
            <w:r w:rsidRPr="00B9112D">
              <w:rPr>
                <w:sz w:val="23"/>
                <w:szCs w:val="23"/>
              </w:rPr>
              <w:t xml:space="preserve">44% </w:t>
            </w:r>
          </w:p>
        </w:tc>
        <w:tc>
          <w:tcPr>
            <w:tcW w:w="2095" w:type="dxa"/>
            <w:vAlign w:val="center"/>
          </w:tcPr>
          <w:p w14:paraId="66944CCC" w14:textId="77777777" w:rsidR="004B0D7E" w:rsidRPr="00B9112D" w:rsidRDefault="00B860CD" w:rsidP="00564AAD">
            <w:pPr>
              <w:spacing w:before="60" w:after="60"/>
              <w:jc w:val="right"/>
              <w:rPr>
                <w:sz w:val="23"/>
                <w:szCs w:val="23"/>
              </w:rPr>
            </w:pPr>
            <w:r w:rsidRPr="00B9112D">
              <w:rPr>
                <w:sz w:val="23"/>
                <w:szCs w:val="23"/>
              </w:rPr>
              <w:t>41%</w:t>
            </w:r>
          </w:p>
        </w:tc>
      </w:tr>
      <w:tr w:rsidR="004B0D7E" w14:paraId="474CF8B4" w14:textId="77777777" w:rsidTr="00564AAD">
        <w:tc>
          <w:tcPr>
            <w:tcW w:w="2998" w:type="dxa"/>
            <w:vAlign w:val="center"/>
          </w:tcPr>
          <w:p w14:paraId="2910E82C" w14:textId="77777777" w:rsidR="004B0D7E" w:rsidRPr="00B9112D" w:rsidRDefault="00B860CD" w:rsidP="00564AAD">
            <w:pPr>
              <w:spacing w:before="60" w:after="60"/>
              <w:jc w:val="right"/>
              <w:rPr>
                <w:sz w:val="23"/>
                <w:szCs w:val="23"/>
              </w:rPr>
            </w:pPr>
            <w:r w:rsidRPr="00B9112D">
              <w:rPr>
                <w:sz w:val="23"/>
                <w:szCs w:val="23"/>
              </w:rPr>
              <w:t>Novados</w:t>
            </w:r>
          </w:p>
        </w:tc>
        <w:tc>
          <w:tcPr>
            <w:tcW w:w="1984" w:type="dxa"/>
            <w:vAlign w:val="center"/>
          </w:tcPr>
          <w:p w14:paraId="08A7A3A6" w14:textId="77777777" w:rsidR="004B0D7E" w:rsidRPr="00B9112D" w:rsidRDefault="00B860CD" w:rsidP="00564AAD">
            <w:pPr>
              <w:spacing w:before="60" w:after="60"/>
              <w:jc w:val="right"/>
              <w:rPr>
                <w:sz w:val="23"/>
                <w:szCs w:val="23"/>
              </w:rPr>
            </w:pPr>
            <w:r w:rsidRPr="00B9112D">
              <w:rPr>
                <w:sz w:val="23"/>
                <w:szCs w:val="23"/>
              </w:rPr>
              <w:t>13%</w:t>
            </w:r>
          </w:p>
        </w:tc>
        <w:tc>
          <w:tcPr>
            <w:tcW w:w="1985" w:type="dxa"/>
            <w:vAlign w:val="center"/>
          </w:tcPr>
          <w:p w14:paraId="223DCB9B" w14:textId="77777777" w:rsidR="004B0D7E" w:rsidRPr="00B9112D" w:rsidRDefault="00B860CD" w:rsidP="00564AAD">
            <w:pPr>
              <w:spacing w:before="60" w:after="60"/>
              <w:jc w:val="right"/>
              <w:rPr>
                <w:sz w:val="23"/>
                <w:szCs w:val="23"/>
              </w:rPr>
            </w:pPr>
            <w:r w:rsidRPr="00B9112D">
              <w:rPr>
                <w:sz w:val="23"/>
                <w:szCs w:val="23"/>
              </w:rPr>
              <w:t>29%</w:t>
            </w:r>
          </w:p>
        </w:tc>
        <w:tc>
          <w:tcPr>
            <w:tcW w:w="2095" w:type="dxa"/>
            <w:vAlign w:val="center"/>
          </w:tcPr>
          <w:p w14:paraId="37B8CAE8" w14:textId="77777777" w:rsidR="004B0D7E" w:rsidRPr="00B9112D" w:rsidRDefault="00B860CD" w:rsidP="00564AAD">
            <w:pPr>
              <w:spacing w:before="60" w:after="60"/>
              <w:jc w:val="right"/>
              <w:rPr>
                <w:sz w:val="23"/>
                <w:szCs w:val="23"/>
              </w:rPr>
            </w:pPr>
            <w:r w:rsidRPr="00B9112D">
              <w:rPr>
                <w:sz w:val="23"/>
                <w:szCs w:val="23"/>
              </w:rPr>
              <w:t>26%</w:t>
            </w:r>
          </w:p>
        </w:tc>
      </w:tr>
      <w:tr w:rsidR="004B0D7E" w14:paraId="3CCEC9C0" w14:textId="77777777" w:rsidTr="00564AAD">
        <w:tc>
          <w:tcPr>
            <w:tcW w:w="2998" w:type="dxa"/>
          </w:tcPr>
          <w:p w14:paraId="6EEDE3BC" w14:textId="77777777" w:rsidR="004B0D7E" w:rsidRPr="00B9112D" w:rsidRDefault="00B860CD" w:rsidP="00564AAD">
            <w:pPr>
              <w:spacing w:before="60" w:after="60"/>
              <w:jc w:val="both"/>
              <w:rPr>
                <w:b/>
                <w:sz w:val="23"/>
                <w:szCs w:val="23"/>
              </w:rPr>
            </w:pPr>
            <w:r w:rsidRPr="00B9112D">
              <w:rPr>
                <w:b/>
                <w:sz w:val="23"/>
                <w:szCs w:val="23"/>
              </w:rPr>
              <w:t>Individuālās dzīvojamās mājas</w:t>
            </w:r>
          </w:p>
        </w:tc>
        <w:tc>
          <w:tcPr>
            <w:tcW w:w="1984" w:type="dxa"/>
            <w:vAlign w:val="center"/>
          </w:tcPr>
          <w:p w14:paraId="3746950A" w14:textId="77777777" w:rsidR="004B0D7E" w:rsidRPr="00B9112D" w:rsidRDefault="00564AAD" w:rsidP="00564AAD">
            <w:pPr>
              <w:spacing w:before="60" w:after="60"/>
              <w:jc w:val="center"/>
              <w:rPr>
                <w:b/>
                <w:sz w:val="23"/>
                <w:szCs w:val="23"/>
              </w:rPr>
            </w:pPr>
            <w:r w:rsidRPr="00B9112D">
              <w:rPr>
                <w:b/>
                <w:sz w:val="23"/>
                <w:szCs w:val="23"/>
              </w:rPr>
              <w:t>28%</w:t>
            </w:r>
          </w:p>
        </w:tc>
        <w:tc>
          <w:tcPr>
            <w:tcW w:w="1985" w:type="dxa"/>
            <w:vAlign w:val="center"/>
          </w:tcPr>
          <w:p w14:paraId="29D07049" w14:textId="77777777" w:rsidR="004B0D7E" w:rsidRPr="00B9112D" w:rsidRDefault="00564AAD" w:rsidP="00564AAD">
            <w:pPr>
              <w:spacing w:before="60" w:after="60"/>
              <w:jc w:val="center"/>
              <w:rPr>
                <w:b/>
                <w:sz w:val="23"/>
                <w:szCs w:val="23"/>
              </w:rPr>
            </w:pPr>
            <w:r w:rsidRPr="00B9112D">
              <w:rPr>
                <w:b/>
                <w:sz w:val="23"/>
                <w:szCs w:val="23"/>
              </w:rPr>
              <w:t>39%</w:t>
            </w:r>
          </w:p>
        </w:tc>
        <w:tc>
          <w:tcPr>
            <w:tcW w:w="2095" w:type="dxa"/>
            <w:vAlign w:val="center"/>
          </w:tcPr>
          <w:p w14:paraId="3C705738" w14:textId="77777777" w:rsidR="004B0D7E" w:rsidRPr="00B9112D" w:rsidRDefault="00564AAD" w:rsidP="00564AAD">
            <w:pPr>
              <w:spacing w:before="60" w:after="60"/>
              <w:jc w:val="center"/>
              <w:rPr>
                <w:b/>
                <w:sz w:val="23"/>
                <w:szCs w:val="23"/>
              </w:rPr>
            </w:pPr>
            <w:r w:rsidRPr="00B9112D">
              <w:rPr>
                <w:b/>
                <w:sz w:val="23"/>
                <w:szCs w:val="23"/>
              </w:rPr>
              <w:t>35%</w:t>
            </w:r>
          </w:p>
        </w:tc>
      </w:tr>
      <w:tr w:rsidR="004B0D7E" w14:paraId="5B01C9CB" w14:textId="77777777" w:rsidTr="00564AAD">
        <w:tc>
          <w:tcPr>
            <w:tcW w:w="2998" w:type="dxa"/>
            <w:vAlign w:val="center"/>
          </w:tcPr>
          <w:p w14:paraId="641E8C63" w14:textId="77777777" w:rsidR="004B0D7E" w:rsidRPr="00B9112D" w:rsidRDefault="00564AAD" w:rsidP="00564AAD">
            <w:pPr>
              <w:spacing w:before="60" w:after="60"/>
              <w:jc w:val="right"/>
              <w:rPr>
                <w:sz w:val="23"/>
                <w:szCs w:val="23"/>
              </w:rPr>
            </w:pPr>
            <w:r w:rsidRPr="00B9112D">
              <w:rPr>
                <w:sz w:val="23"/>
                <w:szCs w:val="23"/>
              </w:rPr>
              <w:t>Republikas pilsētās</w:t>
            </w:r>
          </w:p>
        </w:tc>
        <w:tc>
          <w:tcPr>
            <w:tcW w:w="1984" w:type="dxa"/>
            <w:vAlign w:val="center"/>
          </w:tcPr>
          <w:p w14:paraId="02FC904E" w14:textId="77777777" w:rsidR="004B0D7E" w:rsidRPr="00B9112D" w:rsidRDefault="00564AAD" w:rsidP="00564AAD">
            <w:pPr>
              <w:spacing w:before="60" w:after="60"/>
              <w:jc w:val="right"/>
              <w:rPr>
                <w:sz w:val="23"/>
                <w:szCs w:val="23"/>
              </w:rPr>
            </w:pPr>
            <w:r w:rsidRPr="00B9112D">
              <w:rPr>
                <w:sz w:val="23"/>
                <w:szCs w:val="23"/>
              </w:rPr>
              <w:t>39%</w:t>
            </w:r>
          </w:p>
        </w:tc>
        <w:tc>
          <w:tcPr>
            <w:tcW w:w="1985" w:type="dxa"/>
            <w:vAlign w:val="center"/>
          </w:tcPr>
          <w:p w14:paraId="2E38A7C0" w14:textId="77777777" w:rsidR="004B0D7E" w:rsidRPr="00B9112D" w:rsidRDefault="00564AAD" w:rsidP="00564AAD">
            <w:pPr>
              <w:spacing w:before="60" w:after="60"/>
              <w:jc w:val="right"/>
              <w:rPr>
                <w:sz w:val="23"/>
                <w:szCs w:val="23"/>
              </w:rPr>
            </w:pPr>
            <w:r w:rsidRPr="00B9112D">
              <w:rPr>
                <w:sz w:val="23"/>
                <w:szCs w:val="23"/>
              </w:rPr>
              <w:t>51%</w:t>
            </w:r>
          </w:p>
        </w:tc>
        <w:tc>
          <w:tcPr>
            <w:tcW w:w="2095" w:type="dxa"/>
            <w:vAlign w:val="center"/>
          </w:tcPr>
          <w:p w14:paraId="4E88390F" w14:textId="77777777" w:rsidR="004B0D7E" w:rsidRPr="00B9112D" w:rsidRDefault="00564AAD" w:rsidP="00564AAD">
            <w:pPr>
              <w:spacing w:before="60" w:after="60"/>
              <w:jc w:val="right"/>
              <w:rPr>
                <w:sz w:val="23"/>
                <w:szCs w:val="23"/>
              </w:rPr>
            </w:pPr>
            <w:r w:rsidRPr="00B9112D">
              <w:rPr>
                <w:sz w:val="23"/>
                <w:szCs w:val="23"/>
              </w:rPr>
              <w:t>45%</w:t>
            </w:r>
          </w:p>
        </w:tc>
      </w:tr>
      <w:tr w:rsidR="004B0D7E" w14:paraId="68210304" w14:textId="77777777" w:rsidTr="00564AAD">
        <w:tc>
          <w:tcPr>
            <w:tcW w:w="2998" w:type="dxa"/>
            <w:vAlign w:val="center"/>
          </w:tcPr>
          <w:p w14:paraId="6EA74650" w14:textId="77777777" w:rsidR="004B0D7E" w:rsidRPr="00B9112D" w:rsidRDefault="00564AAD" w:rsidP="00564AAD">
            <w:pPr>
              <w:spacing w:before="60" w:after="60"/>
              <w:jc w:val="right"/>
              <w:rPr>
                <w:sz w:val="23"/>
                <w:szCs w:val="23"/>
              </w:rPr>
            </w:pPr>
            <w:r w:rsidRPr="00B9112D">
              <w:rPr>
                <w:sz w:val="23"/>
                <w:szCs w:val="23"/>
              </w:rPr>
              <w:lastRenderedPageBreak/>
              <w:t>Novados</w:t>
            </w:r>
          </w:p>
        </w:tc>
        <w:tc>
          <w:tcPr>
            <w:tcW w:w="1984" w:type="dxa"/>
            <w:vAlign w:val="center"/>
          </w:tcPr>
          <w:p w14:paraId="2241558A" w14:textId="77777777" w:rsidR="004B0D7E" w:rsidRPr="00B9112D" w:rsidRDefault="00564AAD" w:rsidP="00564AAD">
            <w:pPr>
              <w:spacing w:before="60" w:after="60"/>
              <w:jc w:val="right"/>
              <w:rPr>
                <w:sz w:val="23"/>
                <w:szCs w:val="23"/>
              </w:rPr>
            </w:pPr>
            <w:r w:rsidRPr="00B9112D">
              <w:rPr>
                <w:sz w:val="23"/>
                <w:szCs w:val="23"/>
              </w:rPr>
              <w:t>14%</w:t>
            </w:r>
          </w:p>
        </w:tc>
        <w:tc>
          <w:tcPr>
            <w:tcW w:w="1985" w:type="dxa"/>
            <w:vAlign w:val="center"/>
          </w:tcPr>
          <w:p w14:paraId="3F7B46F4" w14:textId="77777777" w:rsidR="004B0D7E" w:rsidRPr="00B9112D" w:rsidRDefault="00564AAD" w:rsidP="00564AAD">
            <w:pPr>
              <w:spacing w:before="60" w:after="60"/>
              <w:jc w:val="right"/>
              <w:rPr>
                <w:sz w:val="23"/>
                <w:szCs w:val="23"/>
              </w:rPr>
            </w:pPr>
            <w:r w:rsidRPr="00B9112D">
              <w:rPr>
                <w:sz w:val="23"/>
                <w:szCs w:val="23"/>
              </w:rPr>
              <w:t>32%</w:t>
            </w:r>
          </w:p>
        </w:tc>
        <w:tc>
          <w:tcPr>
            <w:tcW w:w="2095" w:type="dxa"/>
            <w:vAlign w:val="center"/>
          </w:tcPr>
          <w:p w14:paraId="775DE4D7" w14:textId="77777777" w:rsidR="004B0D7E" w:rsidRPr="00B9112D" w:rsidRDefault="00564AAD" w:rsidP="00564AAD">
            <w:pPr>
              <w:spacing w:before="60" w:after="60"/>
              <w:jc w:val="right"/>
              <w:rPr>
                <w:sz w:val="23"/>
                <w:szCs w:val="23"/>
              </w:rPr>
            </w:pPr>
            <w:r w:rsidRPr="00B9112D">
              <w:rPr>
                <w:sz w:val="23"/>
                <w:szCs w:val="23"/>
              </w:rPr>
              <w:t>26%</w:t>
            </w:r>
          </w:p>
        </w:tc>
      </w:tr>
      <w:tr w:rsidR="004B0D7E" w14:paraId="6AC8CD1C" w14:textId="77777777" w:rsidTr="00564AAD">
        <w:tc>
          <w:tcPr>
            <w:tcW w:w="2998" w:type="dxa"/>
          </w:tcPr>
          <w:p w14:paraId="557D947B" w14:textId="77777777" w:rsidR="004B0D7E" w:rsidRPr="00B9112D" w:rsidRDefault="00564AAD" w:rsidP="00564AAD">
            <w:pPr>
              <w:spacing w:before="60" w:after="60"/>
              <w:jc w:val="both"/>
              <w:rPr>
                <w:b/>
                <w:sz w:val="23"/>
                <w:szCs w:val="23"/>
              </w:rPr>
            </w:pPr>
            <w:r w:rsidRPr="00B9112D">
              <w:rPr>
                <w:b/>
                <w:sz w:val="23"/>
                <w:szCs w:val="23"/>
              </w:rPr>
              <w:t>Daudzdzīvokļu mājas</w:t>
            </w:r>
          </w:p>
        </w:tc>
        <w:tc>
          <w:tcPr>
            <w:tcW w:w="1984" w:type="dxa"/>
            <w:vAlign w:val="center"/>
          </w:tcPr>
          <w:p w14:paraId="4DB61F54" w14:textId="77777777" w:rsidR="004B0D7E" w:rsidRPr="00B9112D" w:rsidRDefault="00564AAD" w:rsidP="00564AAD">
            <w:pPr>
              <w:spacing w:before="60" w:after="60"/>
              <w:jc w:val="center"/>
              <w:rPr>
                <w:b/>
                <w:sz w:val="23"/>
                <w:szCs w:val="23"/>
              </w:rPr>
            </w:pPr>
            <w:r w:rsidRPr="00B9112D">
              <w:rPr>
                <w:b/>
                <w:sz w:val="23"/>
                <w:szCs w:val="23"/>
              </w:rPr>
              <w:t>19%</w:t>
            </w:r>
          </w:p>
        </w:tc>
        <w:tc>
          <w:tcPr>
            <w:tcW w:w="1985" w:type="dxa"/>
            <w:vAlign w:val="center"/>
          </w:tcPr>
          <w:p w14:paraId="5EDCC1E4" w14:textId="77777777" w:rsidR="004B0D7E" w:rsidRPr="00B9112D" w:rsidRDefault="00564AAD" w:rsidP="00564AAD">
            <w:pPr>
              <w:spacing w:before="60" w:after="60"/>
              <w:jc w:val="center"/>
              <w:rPr>
                <w:b/>
                <w:sz w:val="23"/>
                <w:szCs w:val="23"/>
              </w:rPr>
            </w:pPr>
            <w:r w:rsidRPr="00B9112D">
              <w:rPr>
                <w:b/>
                <w:sz w:val="23"/>
                <w:szCs w:val="23"/>
              </w:rPr>
              <w:t>40%</w:t>
            </w:r>
          </w:p>
        </w:tc>
        <w:tc>
          <w:tcPr>
            <w:tcW w:w="2095" w:type="dxa"/>
            <w:vAlign w:val="center"/>
          </w:tcPr>
          <w:p w14:paraId="560722A4" w14:textId="77777777" w:rsidR="004B0D7E" w:rsidRPr="00B9112D" w:rsidRDefault="00564AAD" w:rsidP="00564AAD">
            <w:pPr>
              <w:spacing w:before="60" w:after="60"/>
              <w:jc w:val="center"/>
              <w:rPr>
                <w:b/>
                <w:sz w:val="23"/>
                <w:szCs w:val="23"/>
              </w:rPr>
            </w:pPr>
            <w:r w:rsidRPr="00B9112D">
              <w:rPr>
                <w:b/>
                <w:sz w:val="23"/>
                <w:szCs w:val="23"/>
              </w:rPr>
              <w:t>37%</w:t>
            </w:r>
          </w:p>
        </w:tc>
      </w:tr>
      <w:tr w:rsidR="004B0D7E" w14:paraId="665DA45B" w14:textId="77777777" w:rsidTr="00564AAD">
        <w:tc>
          <w:tcPr>
            <w:tcW w:w="2998" w:type="dxa"/>
            <w:vAlign w:val="center"/>
          </w:tcPr>
          <w:p w14:paraId="34719BB7" w14:textId="77777777" w:rsidR="004B0D7E" w:rsidRPr="00B9112D" w:rsidRDefault="00564AAD" w:rsidP="00564AAD">
            <w:pPr>
              <w:spacing w:before="60" w:after="60"/>
              <w:jc w:val="right"/>
              <w:rPr>
                <w:sz w:val="23"/>
                <w:szCs w:val="23"/>
              </w:rPr>
            </w:pPr>
            <w:r w:rsidRPr="00B9112D">
              <w:rPr>
                <w:sz w:val="23"/>
                <w:szCs w:val="23"/>
              </w:rPr>
              <w:t>Republikas pilsētās</w:t>
            </w:r>
          </w:p>
        </w:tc>
        <w:tc>
          <w:tcPr>
            <w:tcW w:w="1984" w:type="dxa"/>
            <w:vAlign w:val="center"/>
          </w:tcPr>
          <w:p w14:paraId="056F8EBB" w14:textId="77777777" w:rsidR="004B0D7E" w:rsidRPr="00B9112D" w:rsidRDefault="00564AAD" w:rsidP="00564AAD">
            <w:pPr>
              <w:spacing w:before="60" w:after="60"/>
              <w:jc w:val="right"/>
              <w:rPr>
                <w:sz w:val="23"/>
                <w:szCs w:val="23"/>
              </w:rPr>
            </w:pPr>
            <w:r w:rsidRPr="00B9112D">
              <w:rPr>
                <w:sz w:val="23"/>
                <w:szCs w:val="23"/>
              </w:rPr>
              <w:t>20%</w:t>
            </w:r>
          </w:p>
        </w:tc>
        <w:tc>
          <w:tcPr>
            <w:tcW w:w="1985" w:type="dxa"/>
            <w:vAlign w:val="center"/>
          </w:tcPr>
          <w:p w14:paraId="23C347D8" w14:textId="77777777" w:rsidR="004B0D7E" w:rsidRPr="00B9112D" w:rsidRDefault="00564AAD" w:rsidP="00564AAD">
            <w:pPr>
              <w:spacing w:before="60" w:after="60"/>
              <w:jc w:val="right"/>
              <w:rPr>
                <w:sz w:val="23"/>
                <w:szCs w:val="23"/>
              </w:rPr>
            </w:pPr>
            <w:r w:rsidRPr="00B9112D">
              <w:rPr>
                <w:sz w:val="23"/>
                <w:szCs w:val="23"/>
              </w:rPr>
              <w:t>43%</w:t>
            </w:r>
          </w:p>
        </w:tc>
        <w:tc>
          <w:tcPr>
            <w:tcW w:w="2095" w:type="dxa"/>
            <w:vAlign w:val="center"/>
          </w:tcPr>
          <w:p w14:paraId="15A7EDE2" w14:textId="77777777" w:rsidR="004B0D7E" w:rsidRPr="00B9112D" w:rsidRDefault="00564AAD" w:rsidP="00564AAD">
            <w:pPr>
              <w:spacing w:before="60" w:after="60"/>
              <w:jc w:val="right"/>
              <w:rPr>
                <w:sz w:val="23"/>
                <w:szCs w:val="23"/>
              </w:rPr>
            </w:pPr>
            <w:r w:rsidRPr="00B9112D">
              <w:rPr>
                <w:sz w:val="23"/>
                <w:szCs w:val="23"/>
              </w:rPr>
              <w:t>40%</w:t>
            </w:r>
          </w:p>
        </w:tc>
      </w:tr>
      <w:tr w:rsidR="004B0D7E" w14:paraId="76C7DEC8" w14:textId="77777777" w:rsidTr="00564AAD">
        <w:tc>
          <w:tcPr>
            <w:tcW w:w="2998" w:type="dxa"/>
            <w:vAlign w:val="center"/>
          </w:tcPr>
          <w:p w14:paraId="31772C2C" w14:textId="77777777" w:rsidR="004B0D7E" w:rsidRPr="00B9112D" w:rsidRDefault="00564AAD" w:rsidP="00564AAD">
            <w:pPr>
              <w:spacing w:before="60" w:after="60"/>
              <w:jc w:val="right"/>
              <w:rPr>
                <w:sz w:val="23"/>
                <w:szCs w:val="23"/>
              </w:rPr>
            </w:pPr>
            <w:r w:rsidRPr="00B9112D">
              <w:rPr>
                <w:sz w:val="23"/>
                <w:szCs w:val="23"/>
              </w:rPr>
              <w:t>Novados</w:t>
            </w:r>
          </w:p>
        </w:tc>
        <w:tc>
          <w:tcPr>
            <w:tcW w:w="1984" w:type="dxa"/>
            <w:vAlign w:val="center"/>
          </w:tcPr>
          <w:p w14:paraId="43E66A27" w14:textId="77777777" w:rsidR="004B0D7E" w:rsidRPr="00B9112D" w:rsidRDefault="00564AAD" w:rsidP="00564AAD">
            <w:pPr>
              <w:spacing w:before="60" w:after="60"/>
              <w:jc w:val="right"/>
              <w:rPr>
                <w:sz w:val="23"/>
                <w:szCs w:val="23"/>
              </w:rPr>
            </w:pPr>
            <w:r w:rsidRPr="00B9112D">
              <w:rPr>
                <w:sz w:val="23"/>
                <w:szCs w:val="23"/>
              </w:rPr>
              <w:t>8%</w:t>
            </w:r>
          </w:p>
        </w:tc>
        <w:tc>
          <w:tcPr>
            <w:tcW w:w="1985" w:type="dxa"/>
            <w:vAlign w:val="center"/>
          </w:tcPr>
          <w:p w14:paraId="79832FA8" w14:textId="77777777" w:rsidR="004B0D7E" w:rsidRPr="00B9112D" w:rsidRDefault="00564AAD" w:rsidP="00564AAD">
            <w:pPr>
              <w:spacing w:before="60" w:after="60"/>
              <w:jc w:val="right"/>
              <w:rPr>
                <w:sz w:val="23"/>
                <w:szCs w:val="23"/>
              </w:rPr>
            </w:pPr>
            <w:r w:rsidRPr="00B9112D">
              <w:rPr>
                <w:sz w:val="23"/>
                <w:szCs w:val="23"/>
              </w:rPr>
              <w:t>26%</w:t>
            </w:r>
          </w:p>
        </w:tc>
        <w:tc>
          <w:tcPr>
            <w:tcW w:w="2095" w:type="dxa"/>
            <w:vAlign w:val="center"/>
          </w:tcPr>
          <w:p w14:paraId="38C849E6" w14:textId="77777777" w:rsidR="004B0D7E" w:rsidRPr="00B9112D" w:rsidRDefault="00564AAD" w:rsidP="00564AAD">
            <w:pPr>
              <w:spacing w:before="60" w:after="60"/>
              <w:jc w:val="right"/>
              <w:rPr>
                <w:sz w:val="23"/>
                <w:szCs w:val="23"/>
              </w:rPr>
            </w:pPr>
            <w:r w:rsidRPr="00B9112D">
              <w:rPr>
                <w:sz w:val="23"/>
                <w:szCs w:val="23"/>
              </w:rPr>
              <w:t>24%</w:t>
            </w:r>
          </w:p>
        </w:tc>
      </w:tr>
    </w:tbl>
    <w:p w14:paraId="6CBAA3E0" w14:textId="77777777" w:rsidR="001A78A7" w:rsidRPr="001A78A7" w:rsidRDefault="001A78A7" w:rsidP="004A3FD6">
      <w:pPr>
        <w:ind w:firstLine="720"/>
        <w:jc w:val="both"/>
        <w:rPr>
          <w:i/>
          <w:sz w:val="24"/>
          <w:szCs w:val="24"/>
        </w:rPr>
      </w:pPr>
      <w:r>
        <w:rPr>
          <w:i/>
          <w:sz w:val="24"/>
          <w:szCs w:val="24"/>
        </w:rPr>
        <w:t>*</w:t>
      </w:r>
      <w:r w:rsidRPr="001A78A7">
        <w:rPr>
          <w:i/>
          <w:sz w:val="24"/>
          <w:szCs w:val="24"/>
        </w:rPr>
        <w:t>Valsts Zemes dienesta pārskats “Par kadastrālo vērtību bāzes izstrādi 2018.-2019.gadam”</w:t>
      </w:r>
    </w:p>
    <w:p w14:paraId="319EA67B" w14:textId="77777777" w:rsidR="006C488E" w:rsidRDefault="006C488E" w:rsidP="006C488E">
      <w:pPr>
        <w:ind w:firstLine="720"/>
        <w:jc w:val="both"/>
        <w:rPr>
          <w:szCs w:val="28"/>
        </w:rPr>
      </w:pPr>
    </w:p>
    <w:p w14:paraId="4F2DC714" w14:textId="77777777" w:rsidR="00810DC7" w:rsidRDefault="00810DC7" w:rsidP="006C488E">
      <w:pPr>
        <w:ind w:firstLine="720"/>
        <w:jc w:val="both"/>
        <w:rPr>
          <w:szCs w:val="28"/>
        </w:rPr>
      </w:pPr>
      <w:r w:rsidRPr="00860D10">
        <w:rPr>
          <w:szCs w:val="28"/>
        </w:rPr>
        <w:t>Pēc Valsts zemes d</w:t>
      </w:r>
      <w:r w:rsidR="002D0874">
        <w:rPr>
          <w:szCs w:val="28"/>
        </w:rPr>
        <w:t>ienesta sniegtās informācijas (i</w:t>
      </w:r>
      <w:r w:rsidRPr="00860D10">
        <w:rPr>
          <w:szCs w:val="28"/>
        </w:rPr>
        <w:t>nformatīvā karte “Individuālās apbūves zemes bāzes vērtību līmeņi (</w:t>
      </w:r>
      <w:proofErr w:type="spellStart"/>
      <w:r w:rsidRPr="0061445F">
        <w:rPr>
          <w:i/>
          <w:szCs w:val="28"/>
        </w:rPr>
        <w:t>euro</w:t>
      </w:r>
      <w:proofErr w:type="spellEnd"/>
      <w:r w:rsidRPr="00860D10">
        <w:rPr>
          <w:szCs w:val="28"/>
        </w:rPr>
        <w:t>/m</w:t>
      </w:r>
      <w:r w:rsidRPr="00F813EA">
        <w:rPr>
          <w:szCs w:val="28"/>
          <w:vertAlign w:val="superscript"/>
        </w:rPr>
        <w:t>2</w:t>
      </w:r>
      <w:r w:rsidRPr="00860D10">
        <w:rPr>
          <w:szCs w:val="28"/>
        </w:rPr>
        <w:t>)” un informatīvā karte “Individuālās apbūves zemes bāzes vērtību līmeņi Rīgas reģionā (</w:t>
      </w:r>
      <w:proofErr w:type="spellStart"/>
      <w:r w:rsidRPr="0061445F">
        <w:rPr>
          <w:i/>
          <w:szCs w:val="28"/>
        </w:rPr>
        <w:t>euro</w:t>
      </w:r>
      <w:proofErr w:type="spellEnd"/>
      <w:r w:rsidRPr="00860D10">
        <w:rPr>
          <w:szCs w:val="28"/>
        </w:rPr>
        <w:t>/m</w:t>
      </w:r>
      <w:r w:rsidRPr="00F813EA">
        <w:rPr>
          <w:szCs w:val="28"/>
          <w:vertAlign w:val="superscript"/>
        </w:rPr>
        <w:t>2</w:t>
      </w:r>
      <w:r w:rsidRPr="00860D10">
        <w:rPr>
          <w:szCs w:val="28"/>
        </w:rPr>
        <w:t>)”) individuālās apbūves zemes bāzes vērtību līmeņu (</w:t>
      </w:r>
      <w:proofErr w:type="spellStart"/>
      <w:r w:rsidRPr="0061445F">
        <w:rPr>
          <w:i/>
          <w:szCs w:val="28"/>
        </w:rPr>
        <w:t>euro</w:t>
      </w:r>
      <w:proofErr w:type="spellEnd"/>
      <w:r w:rsidRPr="00860D10">
        <w:rPr>
          <w:szCs w:val="28"/>
        </w:rPr>
        <w:t>/m</w:t>
      </w:r>
      <w:r w:rsidRPr="00F813EA">
        <w:rPr>
          <w:szCs w:val="28"/>
          <w:vertAlign w:val="superscript"/>
        </w:rPr>
        <w:t>2</w:t>
      </w:r>
      <w:r w:rsidRPr="00860D10">
        <w:rPr>
          <w:szCs w:val="28"/>
        </w:rPr>
        <w:t xml:space="preserve">) amplitūda ir ļoti plaša, jo zemākā vērtība atšķiras no augstākās vērtībās vairāk nekā </w:t>
      </w:r>
      <w:r>
        <w:rPr>
          <w:szCs w:val="28"/>
        </w:rPr>
        <w:t>15</w:t>
      </w:r>
      <w:r w:rsidRPr="00860D10">
        <w:rPr>
          <w:szCs w:val="28"/>
        </w:rPr>
        <w:t>00 reizes.</w:t>
      </w:r>
      <w:r w:rsidRPr="00C620DC">
        <w:t xml:space="preserve"> </w:t>
      </w:r>
      <w:r w:rsidRPr="00C620DC">
        <w:rPr>
          <w:szCs w:val="28"/>
        </w:rPr>
        <w:t>Zem</w:t>
      </w:r>
      <w:r>
        <w:rPr>
          <w:szCs w:val="28"/>
        </w:rPr>
        <w:t>ākās bāzes vērtības pierobežā (</w:t>
      </w:r>
      <w:r w:rsidRPr="00C620DC">
        <w:rPr>
          <w:szCs w:val="28"/>
        </w:rPr>
        <w:t>piemēram, Zilupe</w:t>
      </w:r>
      <w:r>
        <w:rPr>
          <w:szCs w:val="28"/>
        </w:rPr>
        <w:t>s novada Pasienas pagastā) ir 0,</w:t>
      </w:r>
      <w:r w:rsidRPr="00C620DC">
        <w:rPr>
          <w:szCs w:val="28"/>
        </w:rPr>
        <w:t xml:space="preserve">40 </w:t>
      </w:r>
      <w:proofErr w:type="spellStart"/>
      <w:r w:rsidRPr="0061445F">
        <w:rPr>
          <w:i/>
          <w:szCs w:val="28"/>
        </w:rPr>
        <w:t>euro</w:t>
      </w:r>
      <w:proofErr w:type="spellEnd"/>
      <w:r w:rsidRPr="00C620DC">
        <w:rPr>
          <w:szCs w:val="28"/>
        </w:rPr>
        <w:t>/m</w:t>
      </w:r>
      <w:r w:rsidRPr="00F813EA">
        <w:rPr>
          <w:szCs w:val="28"/>
          <w:vertAlign w:val="superscript"/>
        </w:rPr>
        <w:t>2</w:t>
      </w:r>
      <w:r w:rsidRPr="00C620DC">
        <w:rPr>
          <w:szCs w:val="28"/>
        </w:rPr>
        <w:t xml:space="preserve">, bet ekskluzīvajā piejūras teritorijā </w:t>
      </w:r>
      <w:r w:rsidR="00B474AE">
        <w:rPr>
          <w:szCs w:val="28"/>
        </w:rPr>
        <w:t xml:space="preserve">(piemēram, </w:t>
      </w:r>
      <w:r w:rsidR="00B474AE" w:rsidRPr="00C620DC">
        <w:rPr>
          <w:szCs w:val="28"/>
        </w:rPr>
        <w:t>Jūrmalā Majoros</w:t>
      </w:r>
      <w:r w:rsidR="00B474AE">
        <w:rPr>
          <w:szCs w:val="28"/>
        </w:rPr>
        <w:t>)</w:t>
      </w:r>
      <w:r w:rsidR="00B474AE" w:rsidRPr="00C620DC">
        <w:rPr>
          <w:szCs w:val="28"/>
        </w:rPr>
        <w:t xml:space="preserve"> </w:t>
      </w:r>
      <w:r w:rsidRPr="00C620DC">
        <w:rPr>
          <w:szCs w:val="28"/>
        </w:rPr>
        <w:t xml:space="preserve">– 600 </w:t>
      </w:r>
      <w:proofErr w:type="spellStart"/>
      <w:r w:rsidRPr="0061445F">
        <w:rPr>
          <w:i/>
          <w:szCs w:val="28"/>
        </w:rPr>
        <w:t>euro</w:t>
      </w:r>
      <w:proofErr w:type="spellEnd"/>
      <w:r w:rsidRPr="00C620DC">
        <w:rPr>
          <w:szCs w:val="28"/>
        </w:rPr>
        <w:t>/m</w:t>
      </w:r>
      <w:r w:rsidRPr="00F813EA">
        <w:rPr>
          <w:szCs w:val="28"/>
          <w:vertAlign w:val="superscript"/>
        </w:rPr>
        <w:t>2</w:t>
      </w:r>
      <w:r w:rsidRPr="00C620DC">
        <w:rPr>
          <w:szCs w:val="28"/>
        </w:rPr>
        <w:t>.</w:t>
      </w:r>
    </w:p>
    <w:p w14:paraId="2A3B2A1A" w14:textId="2ECB96AF" w:rsidR="00810DC7" w:rsidRDefault="00473814" w:rsidP="004A3FD6">
      <w:pPr>
        <w:ind w:firstLine="720"/>
        <w:jc w:val="both"/>
        <w:rPr>
          <w:szCs w:val="28"/>
        </w:rPr>
      </w:pPr>
      <w:r>
        <w:rPr>
          <w:szCs w:val="28"/>
        </w:rPr>
        <w:t>Tādējādi, izstrādājot risinājumu, lai novērstu nesamērīga n</w:t>
      </w:r>
      <w:r w:rsidR="00B86ACC">
        <w:rPr>
          <w:szCs w:val="28"/>
        </w:rPr>
        <w:t>e</w:t>
      </w:r>
      <w:r>
        <w:rPr>
          <w:szCs w:val="28"/>
        </w:rPr>
        <w:t xml:space="preserve">kustamā īpašuma nodokļa sloga pieaugumu, jārēķinās gan ar kopējo sagaidāmo kadastrālo vērtību pieaugumu, gan </w:t>
      </w:r>
      <w:r w:rsidR="00CE043A">
        <w:rPr>
          <w:szCs w:val="28"/>
        </w:rPr>
        <w:t xml:space="preserve">ar </w:t>
      </w:r>
      <w:r>
        <w:rPr>
          <w:szCs w:val="28"/>
        </w:rPr>
        <w:t xml:space="preserve">kadastrālo vērtību atšķirībām </w:t>
      </w:r>
      <w:r w:rsidR="00F504C4">
        <w:rPr>
          <w:szCs w:val="28"/>
        </w:rPr>
        <w:t xml:space="preserve">pa nekustamo īpašumu grupām, gan </w:t>
      </w:r>
      <w:r w:rsidR="00CE043A">
        <w:rPr>
          <w:szCs w:val="28"/>
        </w:rPr>
        <w:t xml:space="preserve">ar </w:t>
      </w:r>
      <w:r w:rsidR="00F504C4">
        <w:rPr>
          <w:szCs w:val="28"/>
        </w:rPr>
        <w:t xml:space="preserve">pašreizējo kadastrālo vērtību </w:t>
      </w:r>
      <w:r w:rsidR="002910D9">
        <w:rPr>
          <w:szCs w:val="28"/>
        </w:rPr>
        <w:t>atšķirīg</w:t>
      </w:r>
      <w:r w:rsidR="00CE043A">
        <w:rPr>
          <w:szCs w:val="28"/>
        </w:rPr>
        <w:t>o tuvinājuma līmeni</w:t>
      </w:r>
      <w:r w:rsidR="002910D9">
        <w:rPr>
          <w:szCs w:val="28"/>
        </w:rPr>
        <w:t xml:space="preserve"> tirgus vērtībai dažāda veida dzīvojamām ēkām (sērijveida (vecajiem) dzīvokļiem</w:t>
      </w:r>
      <w:r w:rsidR="002910D9" w:rsidRPr="00D56186">
        <w:rPr>
          <w:szCs w:val="28"/>
        </w:rPr>
        <w:t xml:space="preserve">, jauno dzīvokļu projektiem, individuālajām dzīvojamām mājām), </w:t>
      </w:r>
      <w:r w:rsidR="00F504C4" w:rsidRPr="00D56186">
        <w:rPr>
          <w:szCs w:val="28"/>
        </w:rPr>
        <w:t xml:space="preserve">gan </w:t>
      </w:r>
      <w:r w:rsidR="00CE043A">
        <w:rPr>
          <w:szCs w:val="28"/>
        </w:rPr>
        <w:t xml:space="preserve">ar </w:t>
      </w:r>
      <w:r w:rsidR="00F504C4">
        <w:rPr>
          <w:szCs w:val="28"/>
        </w:rPr>
        <w:t>ārkārtīgi lielajām kadastrālo vērtību atšķirībām teritoriālajā griezumā</w:t>
      </w:r>
      <w:r w:rsidR="008976B3">
        <w:rPr>
          <w:szCs w:val="28"/>
        </w:rPr>
        <w:t xml:space="preserve">, gan </w:t>
      </w:r>
      <w:r w:rsidR="008976B3" w:rsidRPr="00D56186">
        <w:rPr>
          <w:szCs w:val="28"/>
        </w:rPr>
        <w:t>arī</w:t>
      </w:r>
      <w:r w:rsidR="008976B3">
        <w:rPr>
          <w:szCs w:val="28"/>
        </w:rPr>
        <w:t xml:space="preserve"> ar </w:t>
      </w:r>
      <w:r w:rsidR="00887184">
        <w:rPr>
          <w:szCs w:val="28"/>
        </w:rPr>
        <w:t>iespējām</w:t>
      </w:r>
      <w:r w:rsidR="008976B3">
        <w:rPr>
          <w:szCs w:val="28"/>
        </w:rPr>
        <w:t xml:space="preserve"> main</w:t>
      </w:r>
      <w:r w:rsidR="00887184">
        <w:rPr>
          <w:szCs w:val="28"/>
        </w:rPr>
        <w:t>īt</w:t>
      </w:r>
      <w:r w:rsidR="008976B3">
        <w:rPr>
          <w:szCs w:val="28"/>
        </w:rPr>
        <w:t xml:space="preserve"> kadastrālās vērtības sliek</w:t>
      </w:r>
      <w:r w:rsidR="00887184">
        <w:rPr>
          <w:szCs w:val="28"/>
        </w:rPr>
        <w:t>šņus</w:t>
      </w:r>
      <w:r w:rsidR="008976B3">
        <w:rPr>
          <w:szCs w:val="28"/>
        </w:rPr>
        <w:t>, no kura tiek piemērota lielāka nodokļa likme</w:t>
      </w:r>
      <w:r w:rsidR="00F504C4">
        <w:rPr>
          <w:szCs w:val="28"/>
        </w:rPr>
        <w:t>.</w:t>
      </w:r>
    </w:p>
    <w:p w14:paraId="1511EC54" w14:textId="77777777" w:rsidR="00810DC7" w:rsidRDefault="00810DC7" w:rsidP="004A3FD6">
      <w:pPr>
        <w:ind w:firstLine="720"/>
        <w:jc w:val="both"/>
        <w:rPr>
          <w:szCs w:val="28"/>
        </w:rPr>
      </w:pPr>
    </w:p>
    <w:p w14:paraId="6BA41859" w14:textId="77777777" w:rsidR="000C53B1" w:rsidRPr="008D1C2C" w:rsidRDefault="000C53B1" w:rsidP="004A3FD6">
      <w:pPr>
        <w:ind w:firstLine="720"/>
        <w:jc w:val="both"/>
        <w:rPr>
          <w:b/>
          <w:i/>
          <w:szCs w:val="28"/>
          <w:u w:val="single"/>
        </w:rPr>
      </w:pPr>
      <w:r w:rsidRPr="008D1C2C">
        <w:rPr>
          <w:b/>
          <w:i/>
          <w:szCs w:val="28"/>
          <w:u w:val="single"/>
        </w:rPr>
        <w:t>Secinājumi:</w:t>
      </w:r>
    </w:p>
    <w:p w14:paraId="1146F343" w14:textId="77777777" w:rsidR="00EE19BE" w:rsidRPr="00581DDC" w:rsidRDefault="008D1C2C" w:rsidP="004A3FD6">
      <w:pPr>
        <w:ind w:firstLine="720"/>
        <w:jc w:val="both"/>
        <w:rPr>
          <w:i/>
          <w:szCs w:val="28"/>
        </w:rPr>
      </w:pPr>
      <w:r>
        <w:rPr>
          <w:i/>
          <w:szCs w:val="28"/>
        </w:rPr>
        <w:t xml:space="preserve">1) </w:t>
      </w:r>
      <w:r w:rsidR="00AE5CB4" w:rsidRPr="00581DDC">
        <w:rPr>
          <w:i/>
          <w:szCs w:val="28"/>
        </w:rPr>
        <w:t>Likumā “Par nekustamā īpašuma nodokli” pēdējo gadu laikā nav veikti grozījumi, kas izraisa nekustamā īpašuma nodokļa sloga paaugstināšanu.</w:t>
      </w:r>
    </w:p>
    <w:p w14:paraId="69EF1E97" w14:textId="77777777" w:rsidR="0043576B" w:rsidRDefault="008D1C2C" w:rsidP="001F1CA6">
      <w:pPr>
        <w:ind w:firstLine="720"/>
        <w:jc w:val="both"/>
        <w:rPr>
          <w:i/>
          <w:szCs w:val="28"/>
        </w:rPr>
      </w:pPr>
      <w:r>
        <w:rPr>
          <w:i/>
          <w:szCs w:val="28"/>
        </w:rPr>
        <w:t>2)</w:t>
      </w:r>
      <w:r w:rsidR="00DC5DAC">
        <w:rPr>
          <w:i/>
          <w:szCs w:val="28"/>
        </w:rPr>
        <w:t xml:space="preserve"> </w:t>
      </w:r>
      <w:r w:rsidR="0043576B">
        <w:rPr>
          <w:i/>
          <w:szCs w:val="28"/>
        </w:rPr>
        <w:t>Pašvaldīb</w:t>
      </w:r>
      <w:r w:rsidR="00C50DB0">
        <w:rPr>
          <w:i/>
          <w:szCs w:val="28"/>
        </w:rPr>
        <w:t xml:space="preserve">u rīcībā </w:t>
      </w:r>
      <w:r w:rsidR="005271F0">
        <w:rPr>
          <w:i/>
          <w:szCs w:val="28"/>
        </w:rPr>
        <w:t xml:space="preserve">jau pašreiz </w:t>
      </w:r>
      <w:r w:rsidR="00C50DB0">
        <w:rPr>
          <w:i/>
          <w:szCs w:val="28"/>
        </w:rPr>
        <w:t>ir dažādi instrumenti, lai īstenotu individuālu nekustamā īpašuma nodokļa politiku atbilstoši iedzīvotāju iespējām un pašvaldību vajadzībām</w:t>
      </w:r>
      <w:r w:rsidR="005271F0">
        <w:rPr>
          <w:i/>
          <w:szCs w:val="28"/>
        </w:rPr>
        <w:t xml:space="preserve"> </w:t>
      </w:r>
      <w:r w:rsidR="008545F4">
        <w:rPr>
          <w:i/>
          <w:szCs w:val="28"/>
        </w:rPr>
        <w:t>(</w:t>
      </w:r>
      <w:r w:rsidR="005271F0">
        <w:rPr>
          <w:i/>
          <w:szCs w:val="28"/>
        </w:rPr>
        <w:t>piem</w:t>
      </w:r>
      <w:r w:rsidR="008545F4">
        <w:rPr>
          <w:i/>
          <w:szCs w:val="28"/>
        </w:rPr>
        <w:t>.,</w:t>
      </w:r>
      <w:r w:rsidR="005271F0">
        <w:rPr>
          <w:i/>
          <w:szCs w:val="28"/>
        </w:rPr>
        <w:t xml:space="preserve"> nosakot samazinātu nodokļa likmi, piemērojot nodokļa atvieglojumus </w:t>
      </w:r>
      <w:r w:rsidR="008B678A">
        <w:rPr>
          <w:i/>
          <w:szCs w:val="28"/>
        </w:rPr>
        <w:t>līdz pat 90% apmērā</w:t>
      </w:r>
      <w:r w:rsidR="005271F0">
        <w:rPr>
          <w:i/>
          <w:szCs w:val="28"/>
        </w:rPr>
        <w:t xml:space="preserve"> no nodokļa maksāšanas)</w:t>
      </w:r>
      <w:r w:rsidR="00C50DB0">
        <w:rPr>
          <w:i/>
          <w:szCs w:val="28"/>
        </w:rPr>
        <w:t>.</w:t>
      </w:r>
    </w:p>
    <w:p w14:paraId="15756B1D" w14:textId="77777777" w:rsidR="008B678A" w:rsidRDefault="008B678A" w:rsidP="001F1CA6">
      <w:pPr>
        <w:ind w:firstLine="720"/>
        <w:jc w:val="both"/>
        <w:rPr>
          <w:i/>
          <w:szCs w:val="28"/>
        </w:rPr>
      </w:pPr>
      <w:r>
        <w:rPr>
          <w:i/>
          <w:szCs w:val="28"/>
        </w:rPr>
        <w:t xml:space="preserve">3) </w:t>
      </w:r>
      <w:r w:rsidRPr="00581DDC">
        <w:rPr>
          <w:i/>
          <w:szCs w:val="28"/>
        </w:rPr>
        <w:t>Nekustamā īpašuma nodoklis ir pašvaldību finanšu izlīdzin</w:t>
      </w:r>
      <w:r>
        <w:rPr>
          <w:i/>
          <w:szCs w:val="28"/>
        </w:rPr>
        <w:t>āšanas sastāvdaļa, kas balstās uz pašvaldību nekustamā īpašuma nodokļa prognozēm.</w:t>
      </w:r>
    </w:p>
    <w:p w14:paraId="549AEC5C" w14:textId="77777777" w:rsidR="008B678A" w:rsidRDefault="008B678A" w:rsidP="001F1CA6">
      <w:pPr>
        <w:ind w:firstLine="720"/>
        <w:jc w:val="both"/>
        <w:rPr>
          <w:i/>
          <w:szCs w:val="28"/>
        </w:rPr>
      </w:pPr>
      <w:r>
        <w:rPr>
          <w:i/>
          <w:szCs w:val="28"/>
        </w:rPr>
        <w:t xml:space="preserve">4) </w:t>
      </w:r>
      <w:r w:rsidRPr="00581DDC">
        <w:rPr>
          <w:i/>
          <w:szCs w:val="28"/>
        </w:rPr>
        <w:t xml:space="preserve">Pašvaldības jau pašreiz dod lielu ieguldījumu </w:t>
      </w:r>
      <w:r>
        <w:rPr>
          <w:i/>
          <w:szCs w:val="28"/>
        </w:rPr>
        <w:t xml:space="preserve">kopējo </w:t>
      </w:r>
      <w:r w:rsidRPr="00581DDC">
        <w:rPr>
          <w:i/>
          <w:szCs w:val="28"/>
        </w:rPr>
        <w:t>sociālo problēmu un mājokļu problēmu risināšanā – gan izmantojot nekustamā īpašuma nodokļa instrumentus</w:t>
      </w:r>
      <w:r>
        <w:rPr>
          <w:i/>
          <w:szCs w:val="28"/>
        </w:rPr>
        <w:t xml:space="preserve"> </w:t>
      </w:r>
      <w:r w:rsidRPr="00581DDC">
        <w:rPr>
          <w:i/>
          <w:szCs w:val="28"/>
        </w:rPr>
        <w:t>(nodokļu likmes, atlaides), gan arī dažādu sociālo pabalstu veidā.</w:t>
      </w:r>
    </w:p>
    <w:p w14:paraId="566A616F" w14:textId="77777777" w:rsidR="008D1C2C" w:rsidRDefault="008B678A" w:rsidP="001F1CA6">
      <w:pPr>
        <w:ind w:firstLine="720"/>
        <w:jc w:val="both"/>
        <w:rPr>
          <w:i/>
          <w:szCs w:val="28"/>
        </w:rPr>
      </w:pPr>
      <w:r>
        <w:rPr>
          <w:i/>
          <w:szCs w:val="28"/>
        </w:rPr>
        <w:t>5</w:t>
      </w:r>
      <w:r w:rsidR="0043576B">
        <w:rPr>
          <w:i/>
          <w:szCs w:val="28"/>
        </w:rPr>
        <w:t xml:space="preserve">) </w:t>
      </w:r>
      <w:r w:rsidR="007F3797" w:rsidRPr="00581DDC">
        <w:rPr>
          <w:i/>
          <w:szCs w:val="28"/>
        </w:rPr>
        <w:t>Galvenais faktors, kas izraisa nekustamā īpašuma nodokļa sloga pieaugumu ir nekustamā īpašuma kadastrālo vērtību (nodokļa bāzes) pieaugums.</w:t>
      </w:r>
    </w:p>
    <w:p w14:paraId="4A28BB43" w14:textId="77777777" w:rsidR="001F1CA6" w:rsidRPr="00581DDC" w:rsidRDefault="008B678A" w:rsidP="001F1CA6">
      <w:pPr>
        <w:ind w:firstLine="720"/>
        <w:jc w:val="both"/>
        <w:rPr>
          <w:i/>
          <w:szCs w:val="28"/>
        </w:rPr>
      </w:pPr>
      <w:r>
        <w:rPr>
          <w:i/>
          <w:szCs w:val="28"/>
        </w:rPr>
        <w:t>6</w:t>
      </w:r>
      <w:r w:rsidR="008D1C2C">
        <w:rPr>
          <w:i/>
          <w:szCs w:val="28"/>
        </w:rPr>
        <w:t>)</w:t>
      </w:r>
      <w:r w:rsidR="00F504C4" w:rsidRPr="00581DDC">
        <w:rPr>
          <w:i/>
          <w:szCs w:val="28"/>
        </w:rPr>
        <w:t xml:space="preserve"> Papildus problēmas rada</w:t>
      </w:r>
      <w:r w:rsidR="001F1CA6" w:rsidRPr="00581DDC">
        <w:rPr>
          <w:i/>
          <w:szCs w:val="28"/>
        </w:rPr>
        <w:t>:</w:t>
      </w:r>
    </w:p>
    <w:p w14:paraId="17A4CE50" w14:textId="77777777" w:rsidR="001F1CA6" w:rsidRPr="00581DDC" w:rsidRDefault="001F1CA6" w:rsidP="001F1CA6">
      <w:pPr>
        <w:ind w:firstLine="720"/>
        <w:jc w:val="both"/>
        <w:rPr>
          <w:i/>
          <w:szCs w:val="28"/>
        </w:rPr>
      </w:pPr>
      <w:r w:rsidRPr="00581DDC">
        <w:rPr>
          <w:i/>
          <w:szCs w:val="28"/>
        </w:rPr>
        <w:t>-</w:t>
      </w:r>
      <w:r w:rsidR="00F504C4" w:rsidRPr="00581DDC">
        <w:rPr>
          <w:i/>
          <w:szCs w:val="28"/>
        </w:rPr>
        <w:t xml:space="preserve"> </w:t>
      </w:r>
      <w:r w:rsidRPr="00581DDC">
        <w:rPr>
          <w:i/>
          <w:szCs w:val="28"/>
        </w:rPr>
        <w:t>kadastrālo vērtību atšķirības</w:t>
      </w:r>
      <w:r w:rsidR="000A414B">
        <w:rPr>
          <w:i/>
          <w:szCs w:val="28"/>
        </w:rPr>
        <w:t xml:space="preserve"> vienā teritorijā esošiem nekustamajiem īpašumiem (piem., blakus ēkas)</w:t>
      </w:r>
      <w:r w:rsidRPr="00581DDC">
        <w:rPr>
          <w:i/>
          <w:szCs w:val="28"/>
        </w:rPr>
        <w:t xml:space="preserve"> pa nekustamo īpašumu grupām</w:t>
      </w:r>
      <w:r w:rsidR="000A414B">
        <w:rPr>
          <w:i/>
          <w:szCs w:val="28"/>
        </w:rPr>
        <w:t xml:space="preserve"> (lietošanas veidiem)</w:t>
      </w:r>
      <w:r w:rsidRPr="00581DDC">
        <w:rPr>
          <w:i/>
          <w:szCs w:val="28"/>
        </w:rPr>
        <w:t xml:space="preserve">, </w:t>
      </w:r>
    </w:p>
    <w:p w14:paraId="288B85CA" w14:textId="77777777" w:rsidR="001F1CA6" w:rsidRPr="00581DDC" w:rsidRDefault="001F1CA6" w:rsidP="001F1CA6">
      <w:pPr>
        <w:ind w:firstLine="720"/>
        <w:jc w:val="both"/>
        <w:rPr>
          <w:i/>
          <w:szCs w:val="28"/>
        </w:rPr>
      </w:pPr>
      <w:r w:rsidRPr="00581DDC">
        <w:rPr>
          <w:i/>
          <w:szCs w:val="28"/>
        </w:rPr>
        <w:lastRenderedPageBreak/>
        <w:t>- pašreizējo kadastrālo vērtību atšķirīgais tuvinājuma līmenis tirgus vērtībai dažāda veida dzīvojamām ēkām (sērijveida (vecajiem) dzīvokļiem</w:t>
      </w:r>
      <w:r w:rsidRPr="008D1C2C">
        <w:rPr>
          <w:i/>
          <w:szCs w:val="28"/>
        </w:rPr>
        <w:t xml:space="preserve">, jauno dzīvokļu projektiem, </w:t>
      </w:r>
      <w:r w:rsidRPr="00581DDC">
        <w:rPr>
          <w:i/>
          <w:szCs w:val="28"/>
        </w:rPr>
        <w:t xml:space="preserve">individuālajām dzīvojamām mājām), </w:t>
      </w:r>
    </w:p>
    <w:p w14:paraId="0B986F1A" w14:textId="77777777" w:rsidR="00F504C4" w:rsidRPr="00581DDC" w:rsidRDefault="001F1CA6" w:rsidP="004A3FD6">
      <w:pPr>
        <w:ind w:firstLine="720"/>
        <w:jc w:val="both"/>
        <w:rPr>
          <w:i/>
          <w:szCs w:val="28"/>
        </w:rPr>
      </w:pPr>
      <w:r w:rsidRPr="00581DDC">
        <w:rPr>
          <w:i/>
          <w:szCs w:val="28"/>
        </w:rPr>
        <w:t>- lielās kadastrālo vērtību atšķirīb</w:t>
      </w:r>
      <w:r w:rsidR="000A414B">
        <w:rPr>
          <w:i/>
          <w:szCs w:val="28"/>
        </w:rPr>
        <w:t>a</w:t>
      </w:r>
      <w:r w:rsidR="00365F8C" w:rsidRPr="00581DDC">
        <w:rPr>
          <w:i/>
          <w:szCs w:val="28"/>
        </w:rPr>
        <w:t>s</w:t>
      </w:r>
      <w:r w:rsidRPr="00581DDC">
        <w:rPr>
          <w:i/>
          <w:szCs w:val="28"/>
        </w:rPr>
        <w:t xml:space="preserve"> teritoriālajā griezumā</w:t>
      </w:r>
      <w:r w:rsidR="000A414B">
        <w:rPr>
          <w:i/>
          <w:szCs w:val="28"/>
        </w:rPr>
        <w:t xml:space="preserve"> valstī kopumā (piem., </w:t>
      </w:r>
      <w:r w:rsidR="000314A0">
        <w:rPr>
          <w:i/>
          <w:szCs w:val="28"/>
        </w:rPr>
        <w:t xml:space="preserve">dzīvokļi </w:t>
      </w:r>
      <w:r w:rsidR="000A414B">
        <w:rPr>
          <w:i/>
          <w:szCs w:val="28"/>
        </w:rPr>
        <w:t>Pierīg</w:t>
      </w:r>
      <w:r w:rsidR="000314A0">
        <w:rPr>
          <w:i/>
          <w:szCs w:val="28"/>
        </w:rPr>
        <w:t>ā</w:t>
      </w:r>
      <w:r w:rsidR="000A414B">
        <w:rPr>
          <w:i/>
          <w:szCs w:val="28"/>
        </w:rPr>
        <w:t xml:space="preserve"> un Latvijas attālāk</w:t>
      </w:r>
      <w:r w:rsidR="000314A0">
        <w:rPr>
          <w:i/>
          <w:szCs w:val="28"/>
        </w:rPr>
        <w:t>os</w:t>
      </w:r>
      <w:r w:rsidR="000A414B">
        <w:rPr>
          <w:i/>
          <w:szCs w:val="28"/>
        </w:rPr>
        <w:t xml:space="preserve"> pierobežas novad</w:t>
      </w:r>
      <w:r w:rsidR="000314A0">
        <w:rPr>
          <w:i/>
          <w:szCs w:val="28"/>
        </w:rPr>
        <w:t>os</w:t>
      </w:r>
      <w:r w:rsidR="000A414B">
        <w:rPr>
          <w:i/>
          <w:szCs w:val="28"/>
        </w:rPr>
        <w:t>)</w:t>
      </w:r>
      <w:r w:rsidRPr="00581DDC">
        <w:rPr>
          <w:i/>
          <w:szCs w:val="28"/>
        </w:rPr>
        <w:t>.</w:t>
      </w:r>
    </w:p>
    <w:p w14:paraId="71EAEE51" w14:textId="77777777" w:rsidR="008D1C2C" w:rsidRDefault="008D1C2C" w:rsidP="004A3FD6">
      <w:pPr>
        <w:ind w:firstLine="720"/>
        <w:jc w:val="both"/>
        <w:rPr>
          <w:b/>
          <w:szCs w:val="28"/>
        </w:rPr>
      </w:pPr>
    </w:p>
    <w:p w14:paraId="5CC58A44" w14:textId="77777777" w:rsidR="000C53B1" w:rsidRPr="00EE19BE" w:rsidRDefault="00AB63B3" w:rsidP="00AB63B3">
      <w:pPr>
        <w:ind w:left="709" w:firstLine="11"/>
        <w:jc w:val="both"/>
        <w:rPr>
          <w:b/>
          <w:szCs w:val="28"/>
        </w:rPr>
      </w:pPr>
      <w:r>
        <w:rPr>
          <w:b/>
          <w:szCs w:val="28"/>
        </w:rPr>
        <w:t>2</w:t>
      </w:r>
      <w:r w:rsidR="000C53B1" w:rsidRPr="00EE19BE">
        <w:rPr>
          <w:b/>
          <w:szCs w:val="28"/>
        </w:rPr>
        <w:t>. Iespējamie risin</w:t>
      </w:r>
      <w:r w:rsidR="00EE19BE" w:rsidRPr="00EE19BE">
        <w:rPr>
          <w:b/>
          <w:szCs w:val="28"/>
        </w:rPr>
        <w:t>ājumi nekustamā īpašuma nodokļa sloga pieauguma novēršanai</w:t>
      </w:r>
    </w:p>
    <w:p w14:paraId="215641D3" w14:textId="77777777" w:rsidR="00A56F75" w:rsidRPr="00F86791" w:rsidRDefault="009A3F1D" w:rsidP="00912D47">
      <w:pPr>
        <w:ind w:firstLine="720"/>
        <w:jc w:val="both"/>
        <w:rPr>
          <w:szCs w:val="28"/>
        </w:rPr>
      </w:pPr>
      <w:r>
        <w:rPr>
          <w:szCs w:val="28"/>
        </w:rPr>
        <w:t xml:space="preserve">Kā pagaidu risinājumu </w:t>
      </w:r>
      <w:r w:rsidR="009439B2">
        <w:rPr>
          <w:szCs w:val="28"/>
        </w:rPr>
        <w:t>2016.gada</w:t>
      </w:r>
      <w:r w:rsidR="009439B2" w:rsidRPr="009439B2">
        <w:rPr>
          <w:szCs w:val="28"/>
        </w:rPr>
        <w:t xml:space="preserve"> 19.</w:t>
      </w:r>
      <w:r w:rsidR="004D1202">
        <w:rPr>
          <w:szCs w:val="28"/>
        </w:rPr>
        <w:t>aprīlī</w:t>
      </w:r>
      <w:r w:rsidR="009439B2" w:rsidRPr="009439B2">
        <w:rPr>
          <w:szCs w:val="28"/>
        </w:rPr>
        <w:t xml:space="preserve"> Saeima pieņēma grozījumus Nekustamā īpašuma valsts kadastra likumā, atliekot jaunās kadastrālo vērtību bāzes spēkā stāšanos uz vienu gadu, t.i.</w:t>
      </w:r>
      <w:r w:rsidR="00C66444">
        <w:rPr>
          <w:szCs w:val="28"/>
        </w:rPr>
        <w:t>,</w:t>
      </w:r>
      <w:r w:rsidR="009439B2" w:rsidRPr="009439B2">
        <w:rPr>
          <w:szCs w:val="28"/>
        </w:rPr>
        <w:t xml:space="preserve"> no 2017.gada uz 2018.gadu, lai Finanšu ministrija sadarbībā ar Tieslietu ministriju</w:t>
      </w:r>
      <w:r w:rsidR="00912D47">
        <w:rPr>
          <w:szCs w:val="28"/>
        </w:rPr>
        <w:t>,</w:t>
      </w:r>
      <w:r w:rsidR="00912D47" w:rsidRPr="00912D47">
        <w:t xml:space="preserve"> </w:t>
      </w:r>
      <w:r w:rsidR="00912D47" w:rsidRPr="00912D47">
        <w:rPr>
          <w:szCs w:val="28"/>
        </w:rPr>
        <w:t>Latvijas Pašvaldību savienību, pieaicinot kompetentās institūcijas</w:t>
      </w:r>
      <w:r w:rsidR="00912D47">
        <w:rPr>
          <w:szCs w:val="28"/>
        </w:rPr>
        <w:t>,</w:t>
      </w:r>
      <w:r w:rsidR="009439B2" w:rsidRPr="009439B2">
        <w:rPr>
          <w:szCs w:val="28"/>
        </w:rPr>
        <w:t xml:space="preserve"> izstrādātu </w:t>
      </w:r>
      <w:r w:rsidR="00A56F75" w:rsidRPr="00F86791">
        <w:rPr>
          <w:szCs w:val="28"/>
        </w:rPr>
        <w:t>grozījumus likumā “Par nekustamā īpašuma nodokli”, kas nodrošinātu samērīgu nekustamā īpašuma nodokļa sloga pieaugumu, ņemot vērā nekustamā īpašuma nodokļa bāzes – kadastrālo vērtību – straujo pieaugumu, vienlaicīgi ņemot vērā pašvaldību nepieciešamību nodrošināt budžeta ieņēmumus.</w:t>
      </w:r>
    </w:p>
    <w:p w14:paraId="0527FD71" w14:textId="77777777" w:rsidR="005F2A7F" w:rsidRPr="00BF7F07" w:rsidRDefault="005F2A7F" w:rsidP="005F2A7F">
      <w:pPr>
        <w:ind w:firstLine="720"/>
        <w:jc w:val="both"/>
        <w:rPr>
          <w:szCs w:val="28"/>
        </w:rPr>
      </w:pPr>
      <w:r w:rsidRPr="00911664">
        <w:rPr>
          <w:b/>
          <w:szCs w:val="28"/>
        </w:rPr>
        <w:t>Ņemot vērā Ministru kabineta 2016.gada 19.</w:t>
      </w:r>
      <w:r w:rsidR="004D1202">
        <w:rPr>
          <w:b/>
          <w:szCs w:val="28"/>
        </w:rPr>
        <w:t>aprīļa</w:t>
      </w:r>
      <w:r w:rsidRPr="00911664">
        <w:rPr>
          <w:b/>
          <w:szCs w:val="28"/>
        </w:rPr>
        <w:t xml:space="preserve"> </w:t>
      </w:r>
      <w:proofErr w:type="spellStart"/>
      <w:r w:rsidRPr="00911664">
        <w:rPr>
          <w:b/>
          <w:szCs w:val="28"/>
        </w:rPr>
        <w:t>protokollēmuma</w:t>
      </w:r>
      <w:proofErr w:type="spellEnd"/>
      <w:r w:rsidRPr="00911664">
        <w:rPr>
          <w:b/>
          <w:szCs w:val="28"/>
        </w:rPr>
        <w:t xml:space="preserve"> Nr.19 31.§ 4.punktā doto uzdevumu Finanšu ministrijai izstrādāt grozījumus likumā “Par nekustamā īpašuma nodokli”, kas nodrošinātu samērīgu nekustamā īpašuma nodokļa sloga pieaugumu, ņemot vērā nekustamā īpašuma nodokļa bāzes – kadastrālo vērtību – straujo pieaugumu, vienlaicīgi ņemot vērā pašvaldību nepieciešamību nodrošināt budžeta ieņēmumus,</w:t>
      </w:r>
      <w:r>
        <w:rPr>
          <w:b/>
          <w:szCs w:val="28"/>
        </w:rPr>
        <w:t xml:space="preserve"> </w:t>
      </w:r>
      <w:r w:rsidRPr="00BF7F07">
        <w:rPr>
          <w:szCs w:val="28"/>
        </w:rPr>
        <w:t>uzskatām, ka optim</w:t>
      </w:r>
      <w:r w:rsidR="00BF7F07" w:rsidRPr="00BF7F07">
        <w:rPr>
          <w:szCs w:val="28"/>
        </w:rPr>
        <w:t xml:space="preserve">ālais risinājums būtu izvērtējams, ņemot vērā tā atbilstību turpmāk aprakstītajiem </w:t>
      </w:r>
      <w:r w:rsidR="004B6A90">
        <w:rPr>
          <w:szCs w:val="28"/>
        </w:rPr>
        <w:t xml:space="preserve">nekustamā īpašuma nodokļa politikas </w:t>
      </w:r>
      <w:r w:rsidR="00BF7F07" w:rsidRPr="00BF7F07">
        <w:rPr>
          <w:szCs w:val="28"/>
        </w:rPr>
        <w:t>principiem.</w:t>
      </w:r>
    </w:p>
    <w:p w14:paraId="6A329DF5" w14:textId="77777777" w:rsidR="00255566" w:rsidRPr="00067852" w:rsidRDefault="00255566" w:rsidP="00255566">
      <w:pPr>
        <w:ind w:firstLine="720"/>
        <w:jc w:val="both"/>
        <w:rPr>
          <w:szCs w:val="28"/>
        </w:rPr>
      </w:pPr>
      <w:r>
        <w:rPr>
          <w:szCs w:val="28"/>
        </w:rPr>
        <w:t>Sabiedrība</w:t>
      </w:r>
      <w:r w:rsidRPr="00067852">
        <w:rPr>
          <w:szCs w:val="28"/>
        </w:rPr>
        <w:t xml:space="preserve"> ir ieinteresēta atbilstošu kadastrālo vērtību noteikšanā, jo tikai uz atbilstošu, stabilu un prognozējamu kadastrālo vērtību pamata ir iespējams veidot prognozējamu, ilgtspējīgu, valsts ekonomikai atbilstošu un nodokļa maksātājiem saprotamu nekustamā īpašuma politiku.  </w:t>
      </w:r>
    </w:p>
    <w:p w14:paraId="32E2ABE7" w14:textId="77777777" w:rsidR="00255566" w:rsidRDefault="00255566" w:rsidP="00255566">
      <w:pPr>
        <w:ind w:firstLine="720"/>
        <w:jc w:val="both"/>
        <w:rPr>
          <w:szCs w:val="28"/>
        </w:rPr>
      </w:pPr>
      <w:r>
        <w:rPr>
          <w:szCs w:val="28"/>
        </w:rPr>
        <w:t>N</w:t>
      </w:r>
      <w:r w:rsidRPr="00067852">
        <w:rPr>
          <w:szCs w:val="28"/>
        </w:rPr>
        <w:t xml:space="preserve">odokļa slogam ir jābūt samērīgam ar īpašuma vērtību un personas maksātspēju, bet vienlaicīgi ir jānodrošina pašvaldība ar ieņēmumiem, lai nodokļa izmaiņas neapdraudētu pakalpojumu sniegšanu iedzīvotājiem. Iespējamais </w:t>
      </w:r>
      <w:r>
        <w:rPr>
          <w:szCs w:val="28"/>
        </w:rPr>
        <w:t xml:space="preserve">nodokļa sloga mazināšanas </w:t>
      </w:r>
      <w:r w:rsidRPr="00067852">
        <w:rPr>
          <w:szCs w:val="28"/>
        </w:rPr>
        <w:t xml:space="preserve">risinājums nedrīkst samazināt pašvaldību ieņēmumus, tam ir jābūt iespējami sabalansētam, bet tai pat laikā saudzīgam pret sociāli </w:t>
      </w:r>
      <w:proofErr w:type="spellStart"/>
      <w:r w:rsidRPr="00067852">
        <w:rPr>
          <w:szCs w:val="28"/>
        </w:rPr>
        <w:t>mazaizsargātām</w:t>
      </w:r>
      <w:proofErr w:type="spellEnd"/>
      <w:r w:rsidRPr="00067852">
        <w:rPr>
          <w:szCs w:val="28"/>
        </w:rPr>
        <w:t xml:space="preserve"> iedzīvotāju grupām, </w:t>
      </w:r>
      <w:r>
        <w:rPr>
          <w:szCs w:val="28"/>
        </w:rPr>
        <w:t xml:space="preserve">tam </w:t>
      </w:r>
      <w:r w:rsidRPr="003216CA">
        <w:rPr>
          <w:szCs w:val="28"/>
        </w:rPr>
        <w:t>ir jābūt atkarīgam no nekustamā īpašuma vērtības</w:t>
      </w:r>
      <w:r>
        <w:rPr>
          <w:szCs w:val="28"/>
        </w:rPr>
        <w:t xml:space="preserve"> (</w:t>
      </w:r>
      <w:r w:rsidRPr="003216CA">
        <w:rPr>
          <w:szCs w:val="28"/>
        </w:rPr>
        <w:t>par vērtīgāku nekustamo īpašumu būtu maksājams lie</w:t>
      </w:r>
      <w:r>
        <w:rPr>
          <w:szCs w:val="28"/>
        </w:rPr>
        <w:t xml:space="preserve">lāks nekustamā īpašuma nodoklis), </w:t>
      </w:r>
      <w:r w:rsidRPr="00067852">
        <w:rPr>
          <w:szCs w:val="28"/>
        </w:rPr>
        <w:t>kā arī tam ir jābūt iespējami vienkārši administrējamam</w:t>
      </w:r>
      <w:r w:rsidR="008B678A">
        <w:rPr>
          <w:szCs w:val="28"/>
        </w:rPr>
        <w:t>.</w:t>
      </w:r>
      <w:r w:rsidRPr="00067852">
        <w:rPr>
          <w:szCs w:val="28"/>
        </w:rPr>
        <w:t xml:space="preserve"> </w:t>
      </w:r>
      <w:r w:rsidR="008B678A">
        <w:rPr>
          <w:szCs w:val="28"/>
        </w:rPr>
        <w:t xml:space="preserve">Papildus iepriekš minētajam, ir </w:t>
      </w:r>
      <w:r w:rsidR="008B678A" w:rsidRPr="00067852">
        <w:rPr>
          <w:szCs w:val="28"/>
        </w:rPr>
        <w:t xml:space="preserve"> </w:t>
      </w:r>
      <w:r w:rsidRPr="00067852">
        <w:rPr>
          <w:szCs w:val="28"/>
        </w:rPr>
        <w:t>jāsamazina riski, ka</w:t>
      </w:r>
      <w:r w:rsidR="008B678A">
        <w:rPr>
          <w:szCs w:val="28"/>
        </w:rPr>
        <w:t xml:space="preserve"> nekustamā īpašuma nodokļa slogs palielinās ļoti strauji īsā laika periodā, kas</w:t>
      </w:r>
      <w:r w:rsidRPr="00067852">
        <w:rPr>
          <w:szCs w:val="28"/>
        </w:rPr>
        <w:t xml:space="preserve"> var veidoties</w:t>
      </w:r>
      <w:r w:rsidR="008B678A">
        <w:rPr>
          <w:szCs w:val="28"/>
        </w:rPr>
        <w:t>, ja</w:t>
      </w:r>
      <w:r w:rsidRPr="00067852">
        <w:rPr>
          <w:szCs w:val="28"/>
        </w:rPr>
        <w:t xml:space="preserve"> atkārtotas kadastrālo vērtību aktualizācijas</w:t>
      </w:r>
      <w:r w:rsidR="008B678A">
        <w:rPr>
          <w:szCs w:val="28"/>
        </w:rPr>
        <w:t xml:space="preserve"> procesā, nekustamā īpašuma kadastrālā vērtībā pieaug vairākas reizes</w:t>
      </w:r>
      <w:r w:rsidRPr="00067852">
        <w:rPr>
          <w:szCs w:val="28"/>
        </w:rPr>
        <w:t>.</w:t>
      </w:r>
      <w:r w:rsidRPr="003216CA">
        <w:t xml:space="preserve"> </w:t>
      </w:r>
    </w:p>
    <w:p w14:paraId="3CE985F9" w14:textId="77777777" w:rsidR="00255566" w:rsidRDefault="00255566" w:rsidP="00255566">
      <w:pPr>
        <w:ind w:firstLine="720"/>
        <w:jc w:val="both"/>
        <w:rPr>
          <w:szCs w:val="28"/>
        </w:rPr>
      </w:pPr>
      <w:r w:rsidRPr="008D684F">
        <w:rPr>
          <w:szCs w:val="28"/>
        </w:rPr>
        <w:t xml:space="preserve">Valsts ir atbildīga par samērīgu nodokļu slogu valstī kopumā, taču tā nevar nodrošināt, ka attiecīgais nodokļa slogs ir atbilstošs katras konkrētās personas maksātspējai, ja tās ienākumi ir </w:t>
      </w:r>
      <w:r>
        <w:rPr>
          <w:szCs w:val="28"/>
        </w:rPr>
        <w:t>nelieli</w:t>
      </w:r>
      <w:r w:rsidRPr="008D684F">
        <w:rPr>
          <w:szCs w:val="28"/>
        </w:rPr>
        <w:t>, savukārt nekustamais īpašums –</w:t>
      </w:r>
      <w:r>
        <w:rPr>
          <w:szCs w:val="28"/>
        </w:rPr>
        <w:t xml:space="preserve"> </w:t>
      </w:r>
      <w:r w:rsidRPr="008D684F">
        <w:rPr>
          <w:szCs w:val="28"/>
        </w:rPr>
        <w:t>vērtīgs.</w:t>
      </w:r>
    </w:p>
    <w:p w14:paraId="65C57F1E" w14:textId="77777777" w:rsidR="00E12C08" w:rsidRDefault="00255566" w:rsidP="00A37504">
      <w:pPr>
        <w:ind w:firstLine="720"/>
        <w:jc w:val="both"/>
        <w:rPr>
          <w:szCs w:val="28"/>
        </w:rPr>
      </w:pPr>
      <w:r>
        <w:rPr>
          <w:szCs w:val="28"/>
        </w:rPr>
        <w:lastRenderedPageBreak/>
        <w:t xml:space="preserve">Tai pat laikā, lai risinātu straujo kadastrālo vērtību pieaugumu dzīvojamās apbūves zemēm, kā arī dzīvojamajiem objektiem, valstij būtu jāvērtē un, iespējams, jāmaina kadastrālās vērtēšanas kritēriji un principi, tādējādi paredzot mērenu un pakāpenisku kadastrālo vērtību pieaugumu </w:t>
      </w:r>
      <w:r w:rsidRPr="00766FDF">
        <w:rPr>
          <w:szCs w:val="28"/>
        </w:rPr>
        <w:t xml:space="preserve">dzīvojamās apbūves </w:t>
      </w:r>
      <w:r>
        <w:rPr>
          <w:szCs w:val="28"/>
        </w:rPr>
        <w:t>zemēm,</w:t>
      </w:r>
      <w:r w:rsidRPr="00766FDF">
        <w:t xml:space="preserve"> </w:t>
      </w:r>
      <w:r w:rsidRPr="00766FDF">
        <w:rPr>
          <w:szCs w:val="28"/>
        </w:rPr>
        <w:t>kā arī dzīvojamajiem objektiem</w:t>
      </w:r>
      <w:r>
        <w:rPr>
          <w:szCs w:val="28"/>
        </w:rPr>
        <w:t>.</w:t>
      </w:r>
    </w:p>
    <w:p w14:paraId="64AA7DAF" w14:textId="77777777" w:rsidR="00011F9C" w:rsidRDefault="00011F9C" w:rsidP="00A37504">
      <w:pPr>
        <w:ind w:firstLine="720"/>
        <w:jc w:val="both"/>
        <w:rPr>
          <w:szCs w:val="28"/>
        </w:rPr>
      </w:pPr>
      <w:r>
        <w:rPr>
          <w:szCs w:val="28"/>
        </w:rPr>
        <w:t xml:space="preserve">Tādējādi </w:t>
      </w:r>
      <w:r w:rsidR="00E12C08">
        <w:rPr>
          <w:szCs w:val="28"/>
        </w:rPr>
        <w:t>šajā nodaļā</w:t>
      </w:r>
      <w:r>
        <w:rPr>
          <w:szCs w:val="28"/>
        </w:rPr>
        <w:t>:</w:t>
      </w:r>
    </w:p>
    <w:p w14:paraId="7BA48FF7" w14:textId="77777777" w:rsidR="00011F9C" w:rsidRDefault="00E12C08" w:rsidP="00E76675">
      <w:pPr>
        <w:pStyle w:val="ListParagraph"/>
        <w:numPr>
          <w:ilvl w:val="0"/>
          <w:numId w:val="29"/>
        </w:numPr>
        <w:tabs>
          <w:tab w:val="left" w:pos="993"/>
        </w:tabs>
        <w:ind w:left="0" w:firstLine="720"/>
        <w:jc w:val="both"/>
        <w:rPr>
          <w:szCs w:val="28"/>
        </w:rPr>
      </w:pPr>
      <w:r>
        <w:rPr>
          <w:szCs w:val="28"/>
        </w:rPr>
        <w:t xml:space="preserve">tiek </w:t>
      </w:r>
      <w:r w:rsidR="00011F9C">
        <w:rPr>
          <w:szCs w:val="28"/>
        </w:rPr>
        <w:t>veikta sabiedrības iniciatīvas par nekustamā īpašuma nodokļa atce</w:t>
      </w:r>
      <w:r w:rsidR="00D71637">
        <w:rPr>
          <w:szCs w:val="28"/>
        </w:rPr>
        <w:t>lš</w:t>
      </w:r>
      <w:r w:rsidR="00011F9C">
        <w:rPr>
          <w:szCs w:val="28"/>
        </w:rPr>
        <w:t xml:space="preserve">anu vienīgajam īpašumam analīze, noskaidrojot </w:t>
      </w:r>
      <w:r w:rsidR="00D71637">
        <w:rPr>
          <w:szCs w:val="28"/>
        </w:rPr>
        <w:t xml:space="preserve">“vienīgā īpašuma” jēdziena saturu, </w:t>
      </w:r>
      <w:r w:rsidR="00B77F14">
        <w:rPr>
          <w:szCs w:val="28"/>
        </w:rPr>
        <w:t xml:space="preserve">izvērtējot, vai šāds risinājums ir </w:t>
      </w:r>
      <w:r w:rsidR="00A875D1">
        <w:rPr>
          <w:szCs w:val="28"/>
        </w:rPr>
        <w:t xml:space="preserve">administratīvi īstenojams un </w:t>
      </w:r>
      <w:r w:rsidR="00B77F14">
        <w:rPr>
          <w:szCs w:val="28"/>
        </w:rPr>
        <w:t>efektīv</w:t>
      </w:r>
      <w:r w:rsidR="00FF185C">
        <w:rPr>
          <w:szCs w:val="28"/>
        </w:rPr>
        <w:t xml:space="preserve">s attiecībā uz dažādām sabiedrības grupām, </w:t>
      </w:r>
      <w:r w:rsidR="00A875D1">
        <w:rPr>
          <w:szCs w:val="28"/>
        </w:rPr>
        <w:t xml:space="preserve">kā arī izvērtējot risinājuma ietekmi uz </w:t>
      </w:r>
      <w:r w:rsidR="00D00AB4">
        <w:rPr>
          <w:szCs w:val="28"/>
        </w:rPr>
        <w:t>pašvaldību</w:t>
      </w:r>
      <w:r w:rsidR="00A875D1">
        <w:rPr>
          <w:szCs w:val="28"/>
        </w:rPr>
        <w:t xml:space="preserve"> budžeta ieņēmumiem;</w:t>
      </w:r>
    </w:p>
    <w:p w14:paraId="7333FE6C" w14:textId="77777777" w:rsidR="00A875D1" w:rsidRDefault="00E12C08" w:rsidP="00E76675">
      <w:pPr>
        <w:pStyle w:val="ListParagraph"/>
        <w:numPr>
          <w:ilvl w:val="0"/>
          <w:numId w:val="29"/>
        </w:numPr>
        <w:tabs>
          <w:tab w:val="left" w:pos="993"/>
        </w:tabs>
        <w:ind w:left="0" w:firstLine="720"/>
        <w:jc w:val="both"/>
        <w:rPr>
          <w:szCs w:val="28"/>
        </w:rPr>
      </w:pPr>
      <w:r>
        <w:rPr>
          <w:szCs w:val="28"/>
        </w:rPr>
        <w:t xml:space="preserve">tiek </w:t>
      </w:r>
      <w:r w:rsidR="00E76675">
        <w:rPr>
          <w:szCs w:val="28"/>
        </w:rPr>
        <w:t>izvērtēti alternatīvi nekustamā īpašuma nodokļa sloga samazināšanas modeļi ar nodokļu politikas instrumentiem (gan zemei, gan ēkām);</w:t>
      </w:r>
    </w:p>
    <w:p w14:paraId="2CB473A4" w14:textId="77777777" w:rsidR="00D96460" w:rsidRDefault="00E12C08" w:rsidP="00D96460">
      <w:pPr>
        <w:pStyle w:val="ListParagraph"/>
        <w:numPr>
          <w:ilvl w:val="0"/>
          <w:numId w:val="29"/>
        </w:numPr>
        <w:tabs>
          <w:tab w:val="left" w:pos="993"/>
        </w:tabs>
        <w:ind w:left="0" w:firstLine="720"/>
        <w:jc w:val="both"/>
        <w:rPr>
          <w:szCs w:val="28"/>
        </w:rPr>
      </w:pPr>
      <w:r>
        <w:rPr>
          <w:szCs w:val="28"/>
        </w:rPr>
        <w:t xml:space="preserve">tiek </w:t>
      </w:r>
      <w:r w:rsidR="00E76675" w:rsidRPr="00D96460">
        <w:rPr>
          <w:szCs w:val="28"/>
        </w:rPr>
        <w:t>iezīmēti iespējamie pasākumi nodokļa bāzes</w:t>
      </w:r>
      <w:r w:rsidR="009F01DC" w:rsidRPr="00D96460">
        <w:rPr>
          <w:szCs w:val="28"/>
        </w:rPr>
        <w:t xml:space="preserve"> (kadastrālās vērtības) pilnveido</w:t>
      </w:r>
      <w:r w:rsidR="009F01DC" w:rsidRPr="00CE0FAB">
        <w:rPr>
          <w:szCs w:val="28"/>
        </w:rPr>
        <w:t>šanai;</w:t>
      </w:r>
    </w:p>
    <w:p w14:paraId="21C51E8A" w14:textId="77777777" w:rsidR="00011F9C" w:rsidRPr="00D96460" w:rsidRDefault="00E12C08" w:rsidP="00D96460">
      <w:pPr>
        <w:pStyle w:val="ListParagraph"/>
        <w:numPr>
          <w:ilvl w:val="0"/>
          <w:numId w:val="29"/>
        </w:numPr>
        <w:tabs>
          <w:tab w:val="left" w:pos="993"/>
        </w:tabs>
        <w:ind w:left="0" w:firstLine="720"/>
        <w:jc w:val="both"/>
        <w:rPr>
          <w:szCs w:val="28"/>
        </w:rPr>
      </w:pPr>
      <w:r>
        <w:rPr>
          <w:szCs w:val="28"/>
        </w:rPr>
        <w:t>kā</w:t>
      </w:r>
      <w:r w:rsidR="005761FF" w:rsidRPr="00D96460">
        <w:rPr>
          <w:szCs w:val="28"/>
        </w:rPr>
        <w:t xml:space="preserve"> papildu risinājums </w:t>
      </w:r>
      <w:r>
        <w:rPr>
          <w:szCs w:val="28"/>
        </w:rPr>
        <w:t xml:space="preserve">tiek </w:t>
      </w:r>
      <w:r w:rsidR="009F01DC" w:rsidRPr="00D96460">
        <w:rPr>
          <w:szCs w:val="28"/>
        </w:rPr>
        <w:t xml:space="preserve">izvērtēta </w:t>
      </w:r>
      <w:r>
        <w:rPr>
          <w:szCs w:val="28"/>
        </w:rPr>
        <w:t xml:space="preserve">iespēja </w:t>
      </w:r>
      <w:r w:rsidR="005761FF" w:rsidRPr="00D96460">
        <w:rPr>
          <w:szCs w:val="28"/>
        </w:rPr>
        <w:t>veikt izmaiņas</w:t>
      </w:r>
      <w:r w:rsidR="009F01DC" w:rsidRPr="00D96460">
        <w:rPr>
          <w:szCs w:val="28"/>
        </w:rPr>
        <w:t xml:space="preserve"> </w:t>
      </w:r>
      <w:r w:rsidR="006F4F9C">
        <w:rPr>
          <w:szCs w:val="28"/>
        </w:rPr>
        <w:t>nekustamā īpašuma nodokļa ieņēmumu prognozes noteikšanā</w:t>
      </w:r>
      <w:r w:rsidR="009F01DC" w:rsidRPr="00582BE9">
        <w:rPr>
          <w:szCs w:val="28"/>
        </w:rPr>
        <w:t xml:space="preserve">, </w:t>
      </w:r>
      <w:r w:rsidR="005761FF" w:rsidRPr="00582BE9">
        <w:rPr>
          <w:szCs w:val="28"/>
        </w:rPr>
        <w:t xml:space="preserve">kas </w:t>
      </w:r>
      <w:r w:rsidR="00D96460" w:rsidRPr="00582BE9">
        <w:rPr>
          <w:szCs w:val="28"/>
        </w:rPr>
        <w:t xml:space="preserve">veicinātu pašvaldību ieņēmumu sabalansēšanu un </w:t>
      </w:r>
      <w:r w:rsidR="00582BE9">
        <w:rPr>
          <w:szCs w:val="28"/>
        </w:rPr>
        <w:t>dotu iespēju veicināt</w:t>
      </w:r>
      <w:r w:rsidR="00D96460" w:rsidRPr="00582BE9">
        <w:rPr>
          <w:szCs w:val="28"/>
        </w:rPr>
        <w:t xml:space="preserve"> pašvaldību rīcībā esošo nekustamā īpašuma nodokļa politikas instrumentu</w:t>
      </w:r>
      <w:r w:rsidR="00D96460">
        <w:rPr>
          <w:szCs w:val="28"/>
        </w:rPr>
        <w:t xml:space="preserve"> (likmes, nodokļu atviegloju)</w:t>
      </w:r>
      <w:r w:rsidR="00D96460" w:rsidRPr="00D96460">
        <w:rPr>
          <w:szCs w:val="28"/>
        </w:rPr>
        <w:t xml:space="preserve"> izmantošanu</w:t>
      </w:r>
      <w:r w:rsidR="00D96460">
        <w:rPr>
          <w:szCs w:val="28"/>
        </w:rPr>
        <w:t xml:space="preserve"> pašvaldības interesēm</w:t>
      </w:r>
      <w:r w:rsidR="00D96460" w:rsidRPr="00D96460">
        <w:rPr>
          <w:szCs w:val="28"/>
        </w:rPr>
        <w:t>.</w:t>
      </w:r>
    </w:p>
    <w:p w14:paraId="2231644F" w14:textId="77777777" w:rsidR="00B87DD4" w:rsidRDefault="00B87DD4" w:rsidP="006A0F96">
      <w:pPr>
        <w:ind w:firstLine="720"/>
        <w:jc w:val="center"/>
        <w:rPr>
          <w:b/>
          <w:szCs w:val="28"/>
        </w:rPr>
      </w:pPr>
    </w:p>
    <w:p w14:paraId="5BE1EBCF" w14:textId="77777777" w:rsidR="00472C0E" w:rsidRPr="00581DDC" w:rsidRDefault="001D62A3" w:rsidP="00581DDC">
      <w:pPr>
        <w:ind w:left="4253" w:hanging="3402"/>
        <w:jc w:val="both"/>
        <w:rPr>
          <w:b/>
          <w:szCs w:val="28"/>
        </w:rPr>
      </w:pPr>
      <w:r>
        <w:rPr>
          <w:b/>
          <w:szCs w:val="28"/>
        </w:rPr>
        <w:t>2.</w:t>
      </w:r>
      <w:r w:rsidR="00581DDC">
        <w:rPr>
          <w:b/>
          <w:szCs w:val="28"/>
        </w:rPr>
        <w:t>1.</w:t>
      </w:r>
      <w:r w:rsidR="00CE0FAB">
        <w:rPr>
          <w:b/>
          <w:szCs w:val="28"/>
        </w:rPr>
        <w:t xml:space="preserve"> </w:t>
      </w:r>
      <w:r w:rsidR="00472C0E" w:rsidRPr="00581DDC">
        <w:rPr>
          <w:b/>
          <w:szCs w:val="28"/>
        </w:rPr>
        <w:t xml:space="preserve">“Vienīgā īpašuma” principa </w:t>
      </w:r>
      <w:r w:rsidR="00890EEA" w:rsidRPr="00581DDC">
        <w:rPr>
          <w:b/>
          <w:szCs w:val="28"/>
        </w:rPr>
        <w:t>analīze</w:t>
      </w:r>
    </w:p>
    <w:p w14:paraId="05205E7C" w14:textId="77777777" w:rsidR="004E24CA" w:rsidRDefault="004E24CA" w:rsidP="00A37504">
      <w:pPr>
        <w:ind w:firstLine="720"/>
        <w:jc w:val="both"/>
        <w:rPr>
          <w:szCs w:val="28"/>
        </w:rPr>
      </w:pPr>
      <w:r>
        <w:rPr>
          <w:szCs w:val="28"/>
        </w:rPr>
        <w:t>Analizējot publiski atrodamo informāciju, varam secināt, ka sabiedrīb</w:t>
      </w:r>
      <w:r w:rsidR="00D042E8">
        <w:rPr>
          <w:szCs w:val="28"/>
        </w:rPr>
        <w:t>ā</w:t>
      </w:r>
      <w:r>
        <w:rPr>
          <w:szCs w:val="28"/>
        </w:rPr>
        <w:t xml:space="preserve"> pastāv dažāda un atšķirīga termina “vienīgais īpašums” interpretācija.</w:t>
      </w:r>
    </w:p>
    <w:p w14:paraId="45D57F4E" w14:textId="77777777" w:rsidR="00575F61" w:rsidRDefault="00E709B9" w:rsidP="00A37504">
      <w:pPr>
        <w:ind w:firstLine="720"/>
        <w:jc w:val="both"/>
        <w:rPr>
          <w:szCs w:val="28"/>
        </w:rPr>
      </w:pPr>
      <w:r>
        <w:rPr>
          <w:szCs w:val="28"/>
        </w:rPr>
        <w:t xml:space="preserve">Vispirms, runājot </w:t>
      </w:r>
      <w:r w:rsidR="00DD6C45">
        <w:rPr>
          <w:szCs w:val="28"/>
        </w:rPr>
        <w:t xml:space="preserve">par </w:t>
      </w:r>
      <w:r w:rsidR="00DD6C45" w:rsidRPr="00DD6C45">
        <w:rPr>
          <w:szCs w:val="28"/>
        </w:rPr>
        <w:t xml:space="preserve">nekustamā īpašuma nodokļa </w:t>
      </w:r>
      <w:r w:rsidR="00DD0268">
        <w:rPr>
          <w:szCs w:val="28"/>
        </w:rPr>
        <w:t>atbrīvojuma</w:t>
      </w:r>
      <w:r w:rsidR="00AF491A">
        <w:rPr>
          <w:szCs w:val="28"/>
        </w:rPr>
        <w:t xml:space="preserve"> piemērošanu </w:t>
      </w:r>
      <w:r w:rsidR="00DD6C45" w:rsidRPr="00DD6C45">
        <w:rPr>
          <w:szCs w:val="28"/>
        </w:rPr>
        <w:t>vienīgajam īpašumam</w:t>
      </w:r>
      <w:r w:rsidR="00DD6C45">
        <w:rPr>
          <w:szCs w:val="28"/>
        </w:rPr>
        <w:t xml:space="preserve">, </w:t>
      </w:r>
      <w:r w:rsidR="00682EC5" w:rsidRPr="00682EC5">
        <w:rPr>
          <w:szCs w:val="28"/>
        </w:rPr>
        <w:t xml:space="preserve">ir nepieciešams jau </w:t>
      </w:r>
      <w:r w:rsidR="00AF491A">
        <w:rPr>
          <w:szCs w:val="28"/>
        </w:rPr>
        <w:t xml:space="preserve">sākotnēji </w:t>
      </w:r>
      <w:r>
        <w:rPr>
          <w:szCs w:val="28"/>
        </w:rPr>
        <w:t>skaidri definēt</w:t>
      </w:r>
      <w:r w:rsidR="00682EC5" w:rsidRPr="00682EC5">
        <w:rPr>
          <w:szCs w:val="28"/>
        </w:rPr>
        <w:t>, kas tik</w:t>
      </w:r>
      <w:r w:rsidR="00AF491A">
        <w:rPr>
          <w:szCs w:val="28"/>
        </w:rPr>
        <w:t>s uzskatīts par vienīgo īpašumu. P</w:t>
      </w:r>
      <w:r w:rsidR="00682EC5">
        <w:rPr>
          <w:szCs w:val="28"/>
        </w:rPr>
        <w:t xml:space="preserve">atreiz </w:t>
      </w:r>
      <w:r w:rsidR="00DD6C45">
        <w:rPr>
          <w:szCs w:val="28"/>
        </w:rPr>
        <w:t xml:space="preserve">nerodas viennozīmīgi izprotams priekšstats par </w:t>
      </w:r>
      <w:r w:rsidR="00865505">
        <w:rPr>
          <w:szCs w:val="28"/>
        </w:rPr>
        <w:t>plaši</w:t>
      </w:r>
      <w:r w:rsidR="00AF491A">
        <w:rPr>
          <w:szCs w:val="28"/>
        </w:rPr>
        <w:t xml:space="preserve"> izmantotā </w:t>
      </w:r>
      <w:r w:rsidR="00DD6C45">
        <w:rPr>
          <w:szCs w:val="28"/>
        </w:rPr>
        <w:t>termin</w:t>
      </w:r>
      <w:r w:rsidR="00865505">
        <w:rPr>
          <w:szCs w:val="28"/>
        </w:rPr>
        <w:t>a</w:t>
      </w:r>
      <w:r w:rsidR="00DD6C45">
        <w:rPr>
          <w:szCs w:val="28"/>
        </w:rPr>
        <w:t xml:space="preserve"> “vienīgais īpašums” </w:t>
      </w:r>
      <w:r w:rsidR="00865505">
        <w:rPr>
          <w:szCs w:val="28"/>
        </w:rPr>
        <w:t>saturu</w:t>
      </w:r>
      <w:r w:rsidR="00DD6C45">
        <w:rPr>
          <w:szCs w:val="28"/>
        </w:rPr>
        <w:t>.</w:t>
      </w:r>
      <w:r w:rsidR="006557FC">
        <w:rPr>
          <w:szCs w:val="28"/>
        </w:rPr>
        <w:t xml:space="preserve"> </w:t>
      </w:r>
    </w:p>
    <w:p w14:paraId="2A81BF62" w14:textId="77777777" w:rsidR="00196646" w:rsidRDefault="00136D51" w:rsidP="00A37504">
      <w:pPr>
        <w:ind w:firstLine="720"/>
        <w:jc w:val="both"/>
        <w:rPr>
          <w:szCs w:val="28"/>
        </w:rPr>
      </w:pPr>
      <w:r>
        <w:rPr>
          <w:szCs w:val="28"/>
        </w:rPr>
        <w:t>Ar t</w:t>
      </w:r>
      <w:r w:rsidR="00196646">
        <w:rPr>
          <w:szCs w:val="28"/>
        </w:rPr>
        <w:t>erminu “vienīgais īpašums”</w:t>
      </w:r>
      <w:r>
        <w:rPr>
          <w:szCs w:val="28"/>
        </w:rPr>
        <w:t>,</w:t>
      </w:r>
      <w:r w:rsidR="00196646">
        <w:rPr>
          <w:szCs w:val="28"/>
        </w:rPr>
        <w:t xml:space="preserve"> interpretējot pēc gramatiskās tulkošanas metodes</w:t>
      </w:r>
      <w:r w:rsidR="003957E8">
        <w:rPr>
          <w:szCs w:val="28"/>
        </w:rPr>
        <w:t xml:space="preserve">, </w:t>
      </w:r>
      <w:r w:rsidR="00196646">
        <w:rPr>
          <w:szCs w:val="28"/>
        </w:rPr>
        <w:t>būtu jāsaprot jebkurš nekustamais īpašums, ja tas personai ir vienīgais nekustamais īpašuma, arī tad</w:t>
      </w:r>
      <w:r w:rsidR="003957E8">
        <w:rPr>
          <w:szCs w:val="28"/>
        </w:rPr>
        <w:t>,</w:t>
      </w:r>
      <w:r w:rsidR="00196646">
        <w:rPr>
          <w:szCs w:val="28"/>
        </w:rPr>
        <w:t xml:space="preserve"> ja tas nav dzīvošanai paredzēts. Savukārt no </w:t>
      </w:r>
      <w:r w:rsidR="003957E8">
        <w:rPr>
          <w:szCs w:val="28"/>
        </w:rPr>
        <w:t xml:space="preserve">iesniegtā kolektīvās iniciatīvas </w:t>
      </w:r>
      <w:r w:rsidR="00196646">
        <w:rPr>
          <w:szCs w:val="28"/>
        </w:rPr>
        <w:t xml:space="preserve">iesnieguma konteksta saprotam, ka to paredzēts piemērot arī gadījumā, ja personai īpašumā ir vairāki dzīvošanai paredzēti nekustamie īpašumi. </w:t>
      </w:r>
    </w:p>
    <w:p w14:paraId="4E97E998" w14:textId="77777777" w:rsidR="006123EA" w:rsidRDefault="00196646" w:rsidP="00A37504">
      <w:pPr>
        <w:ind w:firstLine="720"/>
        <w:jc w:val="both"/>
        <w:rPr>
          <w:szCs w:val="28"/>
        </w:rPr>
      </w:pPr>
      <w:r>
        <w:rPr>
          <w:szCs w:val="28"/>
        </w:rPr>
        <w:t>Tādējādi</w:t>
      </w:r>
      <w:r w:rsidR="006557FC">
        <w:rPr>
          <w:szCs w:val="28"/>
        </w:rPr>
        <w:t xml:space="preserve">, </w:t>
      </w:r>
      <w:r w:rsidR="00FF4122">
        <w:rPr>
          <w:szCs w:val="28"/>
        </w:rPr>
        <w:t xml:space="preserve">pastāv dažādas </w:t>
      </w:r>
      <w:r w:rsidR="00865505">
        <w:rPr>
          <w:szCs w:val="28"/>
        </w:rPr>
        <w:t xml:space="preserve">“vienīgā īpašuma” </w:t>
      </w:r>
      <w:r w:rsidR="00AF491A">
        <w:rPr>
          <w:szCs w:val="28"/>
        </w:rPr>
        <w:t>princip</w:t>
      </w:r>
      <w:r w:rsidR="00FF4122">
        <w:rPr>
          <w:szCs w:val="28"/>
        </w:rPr>
        <w:t>a interpretācijas iespējas</w:t>
      </w:r>
      <w:r w:rsidR="006123EA">
        <w:rPr>
          <w:szCs w:val="28"/>
        </w:rPr>
        <w:t>:</w:t>
      </w:r>
    </w:p>
    <w:p w14:paraId="34E941A3" w14:textId="77777777" w:rsidR="00723925" w:rsidRDefault="00723925" w:rsidP="005A135B">
      <w:pPr>
        <w:pStyle w:val="ListParagraph"/>
        <w:numPr>
          <w:ilvl w:val="0"/>
          <w:numId w:val="13"/>
        </w:numPr>
        <w:jc w:val="both"/>
        <w:rPr>
          <w:szCs w:val="28"/>
        </w:rPr>
      </w:pPr>
      <w:r>
        <w:rPr>
          <w:szCs w:val="28"/>
        </w:rPr>
        <w:t xml:space="preserve">vienīgajam </w:t>
      </w:r>
      <w:r w:rsidRPr="006123EA">
        <w:rPr>
          <w:szCs w:val="28"/>
        </w:rPr>
        <w:t>nekustamajam īpašumam</w:t>
      </w:r>
      <w:r>
        <w:rPr>
          <w:szCs w:val="28"/>
        </w:rPr>
        <w:t xml:space="preserve"> (maksātāja īpašumā vispār ir tikai viens īpašums)</w:t>
      </w:r>
      <w:r w:rsidRPr="006123EA">
        <w:rPr>
          <w:szCs w:val="28"/>
        </w:rPr>
        <w:t>, ja tas paredzēts dzīvošanai</w:t>
      </w:r>
      <w:r w:rsidR="005A135B">
        <w:rPr>
          <w:szCs w:val="28"/>
        </w:rPr>
        <w:t xml:space="preserve"> (dzīvokli</w:t>
      </w:r>
      <w:r w:rsidR="00135051">
        <w:rPr>
          <w:szCs w:val="28"/>
        </w:rPr>
        <w:t>m</w:t>
      </w:r>
      <w:r w:rsidR="005A135B">
        <w:rPr>
          <w:szCs w:val="28"/>
        </w:rPr>
        <w:t>, privātmāja</w:t>
      </w:r>
      <w:r w:rsidR="00135051">
        <w:rPr>
          <w:szCs w:val="28"/>
        </w:rPr>
        <w:t>i</w:t>
      </w:r>
      <w:r w:rsidR="005A135B">
        <w:rPr>
          <w:szCs w:val="28"/>
        </w:rPr>
        <w:t>, daudz</w:t>
      </w:r>
      <w:r w:rsidR="005A135B" w:rsidRPr="005A135B">
        <w:rPr>
          <w:szCs w:val="28"/>
        </w:rPr>
        <w:t>stāvu māja</w:t>
      </w:r>
      <w:r w:rsidR="00135051">
        <w:rPr>
          <w:szCs w:val="28"/>
        </w:rPr>
        <w:t>i</w:t>
      </w:r>
      <w:r w:rsidR="005A135B" w:rsidRPr="005A135B">
        <w:rPr>
          <w:szCs w:val="28"/>
        </w:rPr>
        <w:t xml:space="preserve"> ar vairāk</w:t>
      </w:r>
      <w:r w:rsidR="005A135B">
        <w:rPr>
          <w:szCs w:val="28"/>
        </w:rPr>
        <w:t>iem</w:t>
      </w:r>
      <w:r w:rsidR="005A135B" w:rsidRPr="005A135B">
        <w:rPr>
          <w:szCs w:val="28"/>
        </w:rPr>
        <w:t xml:space="preserve"> dzīvokļiem</w:t>
      </w:r>
      <w:r w:rsidR="005A135B">
        <w:rPr>
          <w:szCs w:val="28"/>
        </w:rPr>
        <w:t>)</w:t>
      </w:r>
      <w:r w:rsidRPr="006123EA">
        <w:rPr>
          <w:szCs w:val="28"/>
        </w:rPr>
        <w:t xml:space="preserve">, </w:t>
      </w:r>
    </w:p>
    <w:p w14:paraId="7387E6C0" w14:textId="77777777" w:rsidR="00723925" w:rsidRPr="006123EA" w:rsidRDefault="00723925" w:rsidP="00907724">
      <w:pPr>
        <w:pStyle w:val="ListParagraph"/>
        <w:numPr>
          <w:ilvl w:val="0"/>
          <w:numId w:val="13"/>
        </w:numPr>
        <w:jc w:val="both"/>
        <w:rPr>
          <w:szCs w:val="28"/>
        </w:rPr>
      </w:pPr>
      <w:r w:rsidRPr="006123EA">
        <w:rPr>
          <w:szCs w:val="28"/>
        </w:rPr>
        <w:t>vienīgajam nekustamajam īpašumam</w:t>
      </w:r>
      <w:r>
        <w:rPr>
          <w:szCs w:val="28"/>
        </w:rPr>
        <w:t xml:space="preserve"> </w:t>
      </w:r>
      <w:r w:rsidRPr="004E24CA">
        <w:rPr>
          <w:szCs w:val="28"/>
        </w:rPr>
        <w:t>(maksātāja īpašumā vispār ir tikai viens īpašums)</w:t>
      </w:r>
      <w:r w:rsidRPr="006123EA">
        <w:rPr>
          <w:szCs w:val="28"/>
        </w:rPr>
        <w:t>, neraugoties uz to, ka tas var nebūt paredzēts dzīvošanai (zeme, dārza māja</w:t>
      </w:r>
      <w:r w:rsidR="00907724">
        <w:rPr>
          <w:szCs w:val="28"/>
        </w:rPr>
        <w:t>,</w:t>
      </w:r>
      <w:r w:rsidR="00907724" w:rsidRPr="00907724">
        <w:t xml:space="preserve"> </w:t>
      </w:r>
      <w:r w:rsidR="00907724" w:rsidRPr="00907724">
        <w:rPr>
          <w:szCs w:val="28"/>
        </w:rPr>
        <w:t>tirdzniecības centrs</w:t>
      </w:r>
      <w:r w:rsidRPr="006123EA">
        <w:rPr>
          <w:szCs w:val="28"/>
        </w:rPr>
        <w:t xml:space="preserve">), </w:t>
      </w:r>
    </w:p>
    <w:p w14:paraId="3FAC3A1A" w14:textId="77777777" w:rsidR="00723925" w:rsidRDefault="00723925" w:rsidP="00135051">
      <w:pPr>
        <w:pStyle w:val="ListParagraph"/>
        <w:numPr>
          <w:ilvl w:val="0"/>
          <w:numId w:val="13"/>
        </w:numPr>
        <w:jc w:val="both"/>
        <w:rPr>
          <w:szCs w:val="28"/>
        </w:rPr>
      </w:pPr>
      <w:r w:rsidRPr="006123EA">
        <w:rPr>
          <w:szCs w:val="28"/>
        </w:rPr>
        <w:t xml:space="preserve">vienam </w:t>
      </w:r>
      <w:r w:rsidRPr="004E24CA">
        <w:rPr>
          <w:szCs w:val="28"/>
        </w:rPr>
        <w:t xml:space="preserve">(jebkuram) no </w:t>
      </w:r>
      <w:r>
        <w:rPr>
          <w:szCs w:val="28"/>
        </w:rPr>
        <w:t>maksātāja</w:t>
      </w:r>
      <w:r w:rsidRPr="004E24CA">
        <w:rPr>
          <w:szCs w:val="28"/>
        </w:rPr>
        <w:t xml:space="preserve"> īpašumā esoš</w:t>
      </w:r>
      <w:r>
        <w:rPr>
          <w:szCs w:val="28"/>
        </w:rPr>
        <w:t>aj</w:t>
      </w:r>
      <w:r w:rsidRPr="004E24CA">
        <w:rPr>
          <w:szCs w:val="28"/>
        </w:rPr>
        <w:t>iem</w:t>
      </w:r>
      <w:r>
        <w:rPr>
          <w:szCs w:val="28"/>
        </w:rPr>
        <w:t xml:space="preserve"> vairākiem dzīvošanai paredzētajiem </w:t>
      </w:r>
      <w:r w:rsidRPr="004E24CA">
        <w:rPr>
          <w:szCs w:val="28"/>
        </w:rPr>
        <w:t>nekustamajiem īpašumiem</w:t>
      </w:r>
      <w:r w:rsidR="00135051">
        <w:rPr>
          <w:szCs w:val="28"/>
        </w:rPr>
        <w:t xml:space="preserve"> </w:t>
      </w:r>
      <w:r w:rsidR="00135051" w:rsidRPr="00135051">
        <w:rPr>
          <w:szCs w:val="28"/>
        </w:rPr>
        <w:t>(dzīvokli</w:t>
      </w:r>
      <w:r w:rsidR="00135051">
        <w:rPr>
          <w:szCs w:val="28"/>
        </w:rPr>
        <w:t>m</w:t>
      </w:r>
      <w:r w:rsidR="00135051" w:rsidRPr="00135051">
        <w:rPr>
          <w:szCs w:val="28"/>
        </w:rPr>
        <w:t>, privātmāja</w:t>
      </w:r>
      <w:r w:rsidR="00135051">
        <w:rPr>
          <w:szCs w:val="28"/>
        </w:rPr>
        <w:t>i</w:t>
      </w:r>
      <w:r w:rsidR="00135051" w:rsidRPr="00135051">
        <w:rPr>
          <w:szCs w:val="28"/>
        </w:rPr>
        <w:t>, daudzstāvu māja</w:t>
      </w:r>
      <w:r w:rsidR="00135051">
        <w:rPr>
          <w:szCs w:val="28"/>
        </w:rPr>
        <w:t>i</w:t>
      </w:r>
      <w:r w:rsidR="00135051" w:rsidRPr="00135051">
        <w:rPr>
          <w:szCs w:val="28"/>
        </w:rPr>
        <w:t xml:space="preserve"> ar vairākiem dzīvokļiem)</w:t>
      </w:r>
      <w:r>
        <w:rPr>
          <w:szCs w:val="28"/>
        </w:rPr>
        <w:t>,</w:t>
      </w:r>
    </w:p>
    <w:p w14:paraId="4D3DD614" w14:textId="77777777" w:rsidR="00723925" w:rsidRDefault="00723925" w:rsidP="00723925">
      <w:pPr>
        <w:pStyle w:val="ListParagraph"/>
        <w:numPr>
          <w:ilvl w:val="0"/>
          <w:numId w:val="13"/>
        </w:numPr>
        <w:jc w:val="both"/>
        <w:rPr>
          <w:szCs w:val="28"/>
        </w:rPr>
      </w:pPr>
      <w:r w:rsidRPr="006123EA">
        <w:rPr>
          <w:szCs w:val="28"/>
        </w:rPr>
        <w:lastRenderedPageBreak/>
        <w:t xml:space="preserve">vienam (jebkuram) no </w:t>
      </w:r>
      <w:r>
        <w:rPr>
          <w:szCs w:val="28"/>
        </w:rPr>
        <w:t>maksātāja</w:t>
      </w:r>
      <w:r w:rsidRPr="006123EA">
        <w:rPr>
          <w:szCs w:val="28"/>
        </w:rPr>
        <w:t xml:space="preserve"> īpašumā esošiem </w:t>
      </w:r>
      <w:r w:rsidRPr="00366F98">
        <w:rPr>
          <w:szCs w:val="28"/>
        </w:rPr>
        <w:t xml:space="preserve">vairākiem </w:t>
      </w:r>
      <w:r w:rsidRPr="006123EA">
        <w:rPr>
          <w:szCs w:val="28"/>
        </w:rPr>
        <w:t xml:space="preserve">nekustamajiem īpašumiem, neraugoties uz to, ka </w:t>
      </w:r>
      <w:r>
        <w:rPr>
          <w:szCs w:val="28"/>
        </w:rPr>
        <w:t>tie</w:t>
      </w:r>
      <w:r w:rsidRPr="00366F98">
        <w:rPr>
          <w:szCs w:val="28"/>
        </w:rPr>
        <w:t xml:space="preserve"> var nebūt paredzēt</w:t>
      </w:r>
      <w:r>
        <w:rPr>
          <w:szCs w:val="28"/>
        </w:rPr>
        <w:t>i</w:t>
      </w:r>
      <w:r w:rsidRPr="00366F98">
        <w:rPr>
          <w:szCs w:val="28"/>
        </w:rPr>
        <w:t xml:space="preserve"> dzīvošanai</w:t>
      </w:r>
      <w:r w:rsidR="009F5CF7">
        <w:rPr>
          <w:szCs w:val="28"/>
        </w:rPr>
        <w:t>.</w:t>
      </w:r>
    </w:p>
    <w:p w14:paraId="584AA6EA" w14:textId="77777777" w:rsidR="00DD6C45" w:rsidRPr="006123EA" w:rsidRDefault="00333407" w:rsidP="006123EA">
      <w:pPr>
        <w:ind w:firstLine="720"/>
        <w:jc w:val="both"/>
        <w:rPr>
          <w:szCs w:val="28"/>
        </w:rPr>
      </w:pPr>
      <w:r w:rsidRPr="006123EA">
        <w:rPr>
          <w:szCs w:val="28"/>
        </w:rPr>
        <w:t>Tāpat nav skaidri saprotams</w:t>
      </w:r>
      <w:r w:rsidR="00865505" w:rsidRPr="006123EA">
        <w:rPr>
          <w:szCs w:val="28"/>
        </w:rPr>
        <w:t>,</w:t>
      </w:r>
      <w:r w:rsidRPr="006123EA">
        <w:rPr>
          <w:szCs w:val="28"/>
        </w:rPr>
        <w:t xml:space="preserve"> vai ar </w:t>
      </w:r>
      <w:r w:rsidR="00DA100A" w:rsidRPr="006123EA">
        <w:rPr>
          <w:szCs w:val="28"/>
        </w:rPr>
        <w:t>izmatoto terminu</w:t>
      </w:r>
      <w:r w:rsidRPr="006123EA">
        <w:rPr>
          <w:szCs w:val="28"/>
        </w:rPr>
        <w:t xml:space="preserve"> saprot tikai ēkas, būves, telpu grupas vai arī tajā ietilpst zemes vienības un to domājamās daļas (piemēram, tikai dzīvoklis vai arī tam piederošā zeme (zem mājas), tikai savrupmāja vai arī pie tās piederošā zemes platība (piemēram, 20 ha)).</w:t>
      </w:r>
    </w:p>
    <w:p w14:paraId="42F23D31" w14:textId="77777777" w:rsidR="00BB3C63" w:rsidRDefault="000E3BD7" w:rsidP="00A37504">
      <w:pPr>
        <w:ind w:firstLine="720"/>
        <w:jc w:val="both"/>
        <w:rPr>
          <w:szCs w:val="28"/>
        </w:rPr>
      </w:pPr>
      <w:r>
        <w:rPr>
          <w:szCs w:val="28"/>
        </w:rPr>
        <w:t>L</w:t>
      </w:r>
      <w:r w:rsidR="00C04DB0">
        <w:rPr>
          <w:szCs w:val="28"/>
        </w:rPr>
        <w:t xml:space="preserve">ai analizētu </w:t>
      </w:r>
      <w:r w:rsidR="00DA100A">
        <w:rPr>
          <w:szCs w:val="28"/>
        </w:rPr>
        <w:t xml:space="preserve">šādu </w:t>
      </w:r>
      <w:r w:rsidR="00865505" w:rsidRPr="00865505">
        <w:rPr>
          <w:szCs w:val="28"/>
        </w:rPr>
        <w:t xml:space="preserve">“vienīgā īpašuma” </w:t>
      </w:r>
      <w:r w:rsidR="00DA100A">
        <w:rPr>
          <w:szCs w:val="28"/>
        </w:rPr>
        <w:t>principu un</w:t>
      </w:r>
      <w:r w:rsidR="00C04DB0">
        <w:rPr>
          <w:szCs w:val="28"/>
        </w:rPr>
        <w:t xml:space="preserve"> rastu atbilstošus risinājumus, svarīgi ir noteikt</w:t>
      </w:r>
      <w:r w:rsidR="00C04DB0" w:rsidRPr="00C04DB0">
        <w:t xml:space="preserve"> </w:t>
      </w:r>
      <w:r w:rsidR="00C04DB0" w:rsidRPr="00C04DB0">
        <w:rPr>
          <w:szCs w:val="28"/>
        </w:rPr>
        <w:t>nekustamā īpašuma nodokļa maksāšanas mērķi</w:t>
      </w:r>
      <w:r w:rsidR="00C04DB0">
        <w:rPr>
          <w:szCs w:val="28"/>
        </w:rPr>
        <w:t xml:space="preserve">. </w:t>
      </w:r>
      <w:r w:rsidR="00C04DB0" w:rsidRPr="00C04DB0">
        <w:rPr>
          <w:szCs w:val="28"/>
        </w:rPr>
        <w:t xml:space="preserve">Mūsuprāt, nekustamā īpašuma nodokļa maksāšanas mērķis </w:t>
      </w:r>
      <w:r w:rsidR="00C04DB0">
        <w:rPr>
          <w:szCs w:val="28"/>
        </w:rPr>
        <w:t>ir</w:t>
      </w:r>
      <w:r w:rsidR="00C04DB0" w:rsidRPr="00C04DB0">
        <w:rPr>
          <w:szCs w:val="28"/>
        </w:rPr>
        <w:t xml:space="preserve"> </w:t>
      </w:r>
      <w:r w:rsidR="00196646" w:rsidRPr="00C04DB0">
        <w:rPr>
          <w:szCs w:val="28"/>
        </w:rPr>
        <w:t>veicināt efektīvu</w:t>
      </w:r>
      <w:r w:rsidR="00196646">
        <w:rPr>
          <w:szCs w:val="28"/>
        </w:rPr>
        <w:t xml:space="preserve"> un lietderīgu</w:t>
      </w:r>
      <w:r w:rsidR="00196646" w:rsidRPr="00C04DB0">
        <w:rPr>
          <w:szCs w:val="28"/>
        </w:rPr>
        <w:t xml:space="preserve"> nekustamo īpašumu izmantošanu </w:t>
      </w:r>
      <w:r w:rsidR="00196646">
        <w:rPr>
          <w:szCs w:val="28"/>
        </w:rPr>
        <w:t xml:space="preserve">un </w:t>
      </w:r>
      <w:r w:rsidR="00C04DB0" w:rsidRPr="00C04DB0">
        <w:rPr>
          <w:szCs w:val="28"/>
        </w:rPr>
        <w:t>nodrošināt pašvaldības ar līdzekļiem (ieņēmumiem) savu autonomo funkciju nodrošināšanai, kas ietver sevī arī nekustamā īpašuma izmantošanai nepieciešamās infrastruktūras uzturēšanu.</w:t>
      </w:r>
      <w:r w:rsidR="009A17E9" w:rsidRPr="009A17E9">
        <w:t xml:space="preserve"> </w:t>
      </w:r>
      <w:r w:rsidR="009A17E9" w:rsidRPr="009A17E9">
        <w:rPr>
          <w:szCs w:val="28"/>
        </w:rPr>
        <w:t>No nekustamā īpašuma nodokļa saņemtie ieņēmumi ļauj pašvaldībām tās iedzīvotājiem nodrošināt dažādu nepieciešamo pakalpojumu pieejamību, piemēram, dažādas infrastruktūras atbilstošu uzturēšanu, bērnu dārzu finansēšanu, pabalstu izmaksu u.c.</w:t>
      </w:r>
    </w:p>
    <w:p w14:paraId="62226700" w14:textId="77777777" w:rsidR="009C31D6" w:rsidRDefault="00E709B9" w:rsidP="00A37504">
      <w:pPr>
        <w:ind w:firstLine="720"/>
        <w:jc w:val="both"/>
        <w:rPr>
          <w:szCs w:val="28"/>
        </w:rPr>
      </w:pPr>
      <w:r>
        <w:rPr>
          <w:szCs w:val="28"/>
        </w:rPr>
        <w:t>M</w:t>
      </w:r>
      <w:r w:rsidR="00DA100A">
        <w:rPr>
          <w:szCs w:val="28"/>
        </w:rPr>
        <w:t>eklējot dažādus</w:t>
      </w:r>
      <w:r w:rsidR="009A17E9" w:rsidRPr="00C04DB0">
        <w:rPr>
          <w:szCs w:val="28"/>
        </w:rPr>
        <w:t xml:space="preserve"> nekustamā īpašuma nodokļa pilnveidošanas modeļus, ir jāsaprot, ka </w:t>
      </w:r>
      <w:r w:rsidR="00C0295F">
        <w:rPr>
          <w:szCs w:val="28"/>
        </w:rPr>
        <w:t xml:space="preserve">vēsturisko denacionalizācijas procesu un privatizācijas procesu rezultātā </w:t>
      </w:r>
      <w:r w:rsidR="009A17E9" w:rsidRPr="00C04DB0">
        <w:rPr>
          <w:szCs w:val="28"/>
        </w:rPr>
        <w:t xml:space="preserve">attiecībā uz nekustamajiem īpašumiem valstī nepastāv vienveidība, t.i., </w:t>
      </w:r>
      <w:r w:rsidR="009C31D6">
        <w:rPr>
          <w:szCs w:val="28"/>
        </w:rPr>
        <w:t xml:space="preserve">bez klasiskajiem (vienkāršajiem) īpašumu veidiem </w:t>
      </w:r>
      <w:r w:rsidR="009A17E9" w:rsidRPr="00C04DB0">
        <w:rPr>
          <w:szCs w:val="28"/>
        </w:rPr>
        <w:t>pastāv dažād</w:t>
      </w:r>
      <w:r w:rsidR="009C31D6">
        <w:rPr>
          <w:szCs w:val="28"/>
        </w:rPr>
        <w:t>i sarežģītu</w:t>
      </w:r>
      <w:r w:rsidR="009A17E9" w:rsidRPr="00C04DB0">
        <w:rPr>
          <w:szCs w:val="28"/>
        </w:rPr>
        <w:t xml:space="preserve"> veid</w:t>
      </w:r>
      <w:r w:rsidR="009C31D6">
        <w:rPr>
          <w:szCs w:val="28"/>
        </w:rPr>
        <w:t>u</w:t>
      </w:r>
      <w:r w:rsidR="009A17E9" w:rsidRPr="00C04DB0">
        <w:rPr>
          <w:szCs w:val="28"/>
        </w:rPr>
        <w:t xml:space="preserve"> īpašumi (ēk</w:t>
      </w:r>
      <w:r w:rsidR="00376226">
        <w:rPr>
          <w:szCs w:val="28"/>
        </w:rPr>
        <w:t xml:space="preserve">u </w:t>
      </w:r>
      <w:r w:rsidR="00376226" w:rsidRPr="00376226">
        <w:rPr>
          <w:szCs w:val="28"/>
        </w:rPr>
        <w:t xml:space="preserve">īpašumi, kuru sastāvā </w:t>
      </w:r>
      <w:r w:rsidR="00376226">
        <w:rPr>
          <w:szCs w:val="28"/>
        </w:rPr>
        <w:t>nav zemes; ēku un zemes īpašumi;</w:t>
      </w:r>
      <w:r w:rsidR="00376226" w:rsidRPr="00376226">
        <w:rPr>
          <w:szCs w:val="28"/>
        </w:rPr>
        <w:t xml:space="preserve"> zemju īpašumi, kuru sastāvā nav ēku, lai arī uz zemes faktiski atrodas ēkas</w:t>
      </w:r>
      <w:r w:rsidR="00376226">
        <w:rPr>
          <w:szCs w:val="28"/>
        </w:rPr>
        <w:t>;</w:t>
      </w:r>
      <w:r w:rsidR="00376226" w:rsidRPr="00376226">
        <w:rPr>
          <w:szCs w:val="28"/>
        </w:rPr>
        <w:t xml:space="preserve"> dzīvokļu īpašumi, kuru</w:t>
      </w:r>
      <w:r w:rsidR="00376226">
        <w:rPr>
          <w:szCs w:val="28"/>
        </w:rPr>
        <w:t xml:space="preserve"> sastāvā ir zemes domājamā daļa; dzīvokļu īpašumi, kuru</w:t>
      </w:r>
      <w:r w:rsidR="00376226" w:rsidRPr="00376226">
        <w:rPr>
          <w:szCs w:val="28"/>
        </w:rPr>
        <w:t xml:space="preserve"> sa</w:t>
      </w:r>
      <w:r w:rsidR="00376226">
        <w:rPr>
          <w:szCs w:val="28"/>
        </w:rPr>
        <w:t>stāvā nav zemes domājamās daļas;</w:t>
      </w:r>
      <w:r w:rsidR="00376226" w:rsidRPr="00376226">
        <w:rPr>
          <w:szCs w:val="28"/>
        </w:rPr>
        <w:t xml:space="preserve"> dzīvokļu īpašumi, kuru sastāvā ietilpst ne tikai vairākas telpu grupas, bet arī atsevišķas ēkas</w:t>
      </w:r>
      <w:r w:rsidR="00376226">
        <w:rPr>
          <w:szCs w:val="28"/>
        </w:rPr>
        <w:t>;</w:t>
      </w:r>
      <w:r w:rsidR="009A17E9" w:rsidRPr="00C04DB0">
        <w:rPr>
          <w:szCs w:val="28"/>
        </w:rPr>
        <w:t xml:space="preserve"> apbūves zemes, lauksaimn</w:t>
      </w:r>
      <w:r w:rsidR="009C31D6">
        <w:rPr>
          <w:szCs w:val="28"/>
        </w:rPr>
        <w:t>iecībā izmantojamās zemes u.c.).</w:t>
      </w:r>
      <w:r w:rsidR="009A17E9" w:rsidRPr="00C04DB0">
        <w:rPr>
          <w:szCs w:val="28"/>
        </w:rPr>
        <w:t xml:space="preserve"> </w:t>
      </w:r>
      <w:r w:rsidR="009C31D6">
        <w:rPr>
          <w:szCs w:val="28"/>
        </w:rPr>
        <w:t>Ļ</w:t>
      </w:r>
      <w:r w:rsidR="00376226" w:rsidRPr="00376226">
        <w:rPr>
          <w:szCs w:val="28"/>
        </w:rPr>
        <w:t>oti sarežģītas īpašuma piederības struktūras ir kopīpašumiem, turklāt daudzām daudzstāvu daudzdzīvokļu ēkām valsts rīcībā nav šo ēku tehniskās inventarizācijas lietu (nav zināms dzīvokļu skaits un to platības),</w:t>
      </w:r>
      <w:r w:rsidR="00376226">
        <w:rPr>
          <w:szCs w:val="28"/>
        </w:rPr>
        <w:t xml:space="preserve"> </w:t>
      </w:r>
      <w:r w:rsidR="009A17E9" w:rsidRPr="00C04DB0">
        <w:rPr>
          <w:szCs w:val="28"/>
        </w:rPr>
        <w:t xml:space="preserve">nekustamie īpašumi </w:t>
      </w:r>
      <w:r w:rsidR="00A40129">
        <w:rPr>
          <w:szCs w:val="28"/>
        </w:rPr>
        <w:t xml:space="preserve">ir </w:t>
      </w:r>
      <w:r w:rsidR="009A17E9" w:rsidRPr="00C04DB0">
        <w:rPr>
          <w:szCs w:val="28"/>
        </w:rPr>
        <w:t xml:space="preserve">ar atšķirīgām </w:t>
      </w:r>
      <w:r w:rsidR="00A40129">
        <w:rPr>
          <w:szCs w:val="28"/>
        </w:rPr>
        <w:t xml:space="preserve">kadastrālajām un tirgus </w:t>
      </w:r>
      <w:r w:rsidR="009A17E9" w:rsidRPr="00C04DB0">
        <w:rPr>
          <w:szCs w:val="28"/>
        </w:rPr>
        <w:t xml:space="preserve">vērtībām, kā arī būtiski atšķirīgs </w:t>
      </w:r>
      <w:r w:rsidR="00A40129">
        <w:rPr>
          <w:szCs w:val="28"/>
        </w:rPr>
        <w:t xml:space="preserve">ir </w:t>
      </w:r>
      <w:r w:rsidR="009A17E9" w:rsidRPr="00C04DB0">
        <w:rPr>
          <w:szCs w:val="28"/>
        </w:rPr>
        <w:t>dažādu nekustamo īpašumu ģeogrāfiskais segums un izvietojums.</w:t>
      </w:r>
      <w:r w:rsidR="00C0295F">
        <w:rPr>
          <w:szCs w:val="28"/>
        </w:rPr>
        <w:t xml:space="preserve"> </w:t>
      </w:r>
    </w:p>
    <w:p w14:paraId="5CD661E9" w14:textId="77777777" w:rsidR="00E36EDD" w:rsidRDefault="00C0295F" w:rsidP="00A37504">
      <w:pPr>
        <w:ind w:firstLine="720"/>
        <w:jc w:val="both"/>
        <w:rPr>
          <w:szCs w:val="28"/>
        </w:rPr>
      </w:pPr>
      <w:r>
        <w:rPr>
          <w:szCs w:val="28"/>
        </w:rPr>
        <w:t>Nepastāvot vienveidīgiem (tipveida) nekustamo īpašumu modeļiem</w:t>
      </w:r>
      <w:r w:rsidR="003957E8">
        <w:rPr>
          <w:szCs w:val="28"/>
        </w:rPr>
        <w:t>,</w:t>
      </w:r>
      <w:r>
        <w:rPr>
          <w:szCs w:val="28"/>
        </w:rPr>
        <w:t xml:space="preserve"> vienīgā dzīvojamā īpašuma atbrīvošanas no nekustamā īpašuma nodokļa modeli ieviest un administrēt ir neiespējami, jo normatīvajos aktos nevar noteikt ļoti daudzveidīgu (atbilstoši iepriekšminētajai komplicētajai īpašumu struktūrai) atbrīvojumu sistēmu, savukārt pašvaldība nevar sagatavot </w:t>
      </w:r>
      <w:r w:rsidR="009E39A9">
        <w:rPr>
          <w:szCs w:val="28"/>
        </w:rPr>
        <w:t xml:space="preserve">nodokļa maksājuma paziņojumus automatizēti. </w:t>
      </w:r>
    </w:p>
    <w:p w14:paraId="27770B9A" w14:textId="77777777" w:rsidR="00FE2024" w:rsidRDefault="009A17E9" w:rsidP="00BE0663">
      <w:pPr>
        <w:ind w:firstLine="720"/>
        <w:jc w:val="both"/>
        <w:rPr>
          <w:szCs w:val="28"/>
        </w:rPr>
      </w:pPr>
      <w:r w:rsidRPr="00C04DB0">
        <w:rPr>
          <w:szCs w:val="28"/>
        </w:rPr>
        <w:t xml:space="preserve"> </w:t>
      </w:r>
      <w:r w:rsidR="00BE0663">
        <w:rPr>
          <w:szCs w:val="28"/>
        </w:rPr>
        <w:t xml:space="preserve">Vērtējot iespēju </w:t>
      </w:r>
      <w:r w:rsidR="00BE0663" w:rsidRPr="00BE0663">
        <w:rPr>
          <w:szCs w:val="28"/>
        </w:rPr>
        <w:t>vienīgajam īpašumam</w:t>
      </w:r>
      <w:r w:rsidR="00146BB1">
        <w:rPr>
          <w:szCs w:val="28"/>
        </w:rPr>
        <w:t xml:space="preserve"> </w:t>
      </w:r>
      <w:r w:rsidR="00BE0663" w:rsidRPr="00BE0663">
        <w:rPr>
          <w:szCs w:val="28"/>
        </w:rPr>
        <w:t>atcel</w:t>
      </w:r>
      <w:r w:rsidR="00BE0663">
        <w:rPr>
          <w:szCs w:val="28"/>
        </w:rPr>
        <w:t>t</w:t>
      </w:r>
      <w:r w:rsidR="00BE0663" w:rsidRPr="00BE0663">
        <w:rPr>
          <w:szCs w:val="28"/>
        </w:rPr>
        <w:t xml:space="preserve"> nekustamā īpašuma nodok</w:t>
      </w:r>
      <w:r w:rsidR="00DA100A">
        <w:rPr>
          <w:szCs w:val="28"/>
        </w:rPr>
        <w:t xml:space="preserve">li </w:t>
      </w:r>
      <w:r w:rsidR="00BE0663">
        <w:rPr>
          <w:szCs w:val="28"/>
        </w:rPr>
        <w:t xml:space="preserve">un </w:t>
      </w:r>
      <w:r w:rsidR="00D56388">
        <w:rPr>
          <w:szCs w:val="28"/>
        </w:rPr>
        <w:t>tā</w:t>
      </w:r>
      <w:r w:rsidR="00BE0663">
        <w:rPr>
          <w:szCs w:val="28"/>
        </w:rPr>
        <w:t xml:space="preserve"> </w:t>
      </w:r>
      <w:r w:rsidR="00BE0663" w:rsidRPr="00067852">
        <w:rPr>
          <w:szCs w:val="28"/>
        </w:rPr>
        <w:t>mērķi –</w:t>
      </w:r>
      <w:r w:rsidR="00C67621">
        <w:rPr>
          <w:szCs w:val="28"/>
        </w:rPr>
        <w:t xml:space="preserve"> </w:t>
      </w:r>
      <w:r w:rsidR="00BE0663" w:rsidRPr="00067852">
        <w:rPr>
          <w:szCs w:val="28"/>
        </w:rPr>
        <w:t xml:space="preserve">samazināt nekustamā īpašuma nodokļa slogu par vienīgo mājokli, </w:t>
      </w:r>
      <w:r w:rsidR="009E39A9">
        <w:rPr>
          <w:szCs w:val="28"/>
        </w:rPr>
        <w:t xml:space="preserve">papildus iepriekšminētajam </w:t>
      </w:r>
      <w:r w:rsidR="00BE0663">
        <w:rPr>
          <w:szCs w:val="28"/>
        </w:rPr>
        <w:t xml:space="preserve">ir saskatāmi </w:t>
      </w:r>
      <w:r w:rsidR="009E39A9">
        <w:rPr>
          <w:szCs w:val="28"/>
        </w:rPr>
        <w:t xml:space="preserve">vēl </w:t>
      </w:r>
      <w:r w:rsidR="00BE0663">
        <w:rPr>
          <w:szCs w:val="28"/>
        </w:rPr>
        <w:t xml:space="preserve">vairāki </w:t>
      </w:r>
      <w:r w:rsidR="00C67621">
        <w:rPr>
          <w:szCs w:val="28"/>
        </w:rPr>
        <w:t xml:space="preserve">vērā ņemami </w:t>
      </w:r>
      <w:r w:rsidR="00BE0663" w:rsidRPr="00472C0E">
        <w:rPr>
          <w:szCs w:val="28"/>
          <w:u w:val="single"/>
        </w:rPr>
        <w:t>riska faktori</w:t>
      </w:r>
      <w:r w:rsidR="00025480">
        <w:rPr>
          <w:szCs w:val="28"/>
        </w:rPr>
        <w:t xml:space="preserve">: </w:t>
      </w:r>
    </w:p>
    <w:p w14:paraId="1D04D243" w14:textId="77777777" w:rsidR="00890EEA" w:rsidRDefault="00FE2024" w:rsidP="00BE0663">
      <w:pPr>
        <w:ind w:firstLine="720"/>
        <w:jc w:val="both"/>
        <w:rPr>
          <w:szCs w:val="28"/>
        </w:rPr>
      </w:pPr>
      <w:r>
        <w:rPr>
          <w:szCs w:val="28"/>
        </w:rPr>
        <w:t xml:space="preserve">- </w:t>
      </w:r>
      <w:r w:rsidR="00890EEA">
        <w:rPr>
          <w:szCs w:val="28"/>
        </w:rPr>
        <w:t>nerisina problēmas ar īpašnieka nodokļa sloga pārnešanu uz īrniekiem,</w:t>
      </w:r>
    </w:p>
    <w:p w14:paraId="5D031A79" w14:textId="77777777" w:rsidR="00890EEA" w:rsidRDefault="00890EEA" w:rsidP="00890EEA">
      <w:pPr>
        <w:ind w:firstLine="720"/>
        <w:jc w:val="both"/>
        <w:rPr>
          <w:szCs w:val="28"/>
        </w:rPr>
      </w:pPr>
      <w:r>
        <w:rPr>
          <w:szCs w:val="28"/>
        </w:rPr>
        <w:t xml:space="preserve">- nerisina sloga pieaugumu zemei, </w:t>
      </w:r>
    </w:p>
    <w:p w14:paraId="5B1B6E65" w14:textId="77777777" w:rsidR="00890EEA" w:rsidRDefault="00890EEA" w:rsidP="00890EEA">
      <w:pPr>
        <w:ind w:firstLine="720"/>
        <w:jc w:val="both"/>
        <w:rPr>
          <w:szCs w:val="28"/>
        </w:rPr>
      </w:pPr>
      <w:r>
        <w:rPr>
          <w:szCs w:val="28"/>
        </w:rPr>
        <w:t xml:space="preserve">- rada izvairīšanās iespējas no nekustamā īpašuma nodokļa maksājumiem, </w:t>
      </w:r>
    </w:p>
    <w:p w14:paraId="15A9A282" w14:textId="77777777" w:rsidR="006C488E" w:rsidRDefault="006C488E" w:rsidP="00890EEA">
      <w:pPr>
        <w:ind w:firstLine="720"/>
        <w:jc w:val="both"/>
        <w:rPr>
          <w:szCs w:val="28"/>
        </w:rPr>
      </w:pPr>
    </w:p>
    <w:p w14:paraId="4666FBBF" w14:textId="77777777" w:rsidR="00FE2024" w:rsidRDefault="00890EEA" w:rsidP="00BE0663">
      <w:pPr>
        <w:ind w:firstLine="720"/>
        <w:jc w:val="both"/>
        <w:rPr>
          <w:szCs w:val="28"/>
        </w:rPr>
      </w:pPr>
      <w:r>
        <w:rPr>
          <w:szCs w:val="28"/>
        </w:rPr>
        <w:lastRenderedPageBreak/>
        <w:t xml:space="preserve">- </w:t>
      </w:r>
      <w:r w:rsidR="00025480">
        <w:rPr>
          <w:szCs w:val="28"/>
        </w:rPr>
        <w:t xml:space="preserve">rada </w:t>
      </w:r>
      <w:r w:rsidR="00025480" w:rsidRPr="00025480">
        <w:rPr>
          <w:szCs w:val="28"/>
        </w:rPr>
        <w:t>negatīv</w:t>
      </w:r>
      <w:r w:rsidR="00025480">
        <w:rPr>
          <w:szCs w:val="28"/>
        </w:rPr>
        <w:t>u</w:t>
      </w:r>
      <w:r w:rsidR="00025480" w:rsidRPr="00025480">
        <w:rPr>
          <w:szCs w:val="28"/>
        </w:rPr>
        <w:t xml:space="preserve"> fiskāl</w:t>
      </w:r>
      <w:r w:rsidR="00025480">
        <w:rPr>
          <w:szCs w:val="28"/>
        </w:rPr>
        <w:t>o</w:t>
      </w:r>
      <w:r w:rsidR="00025480" w:rsidRPr="00025480">
        <w:rPr>
          <w:szCs w:val="28"/>
        </w:rPr>
        <w:t xml:space="preserve"> ietekm</w:t>
      </w:r>
      <w:r w:rsidR="00025480">
        <w:rPr>
          <w:szCs w:val="28"/>
        </w:rPr>
        <w:t xml:space="preserve">i uz pašvaldību budžetiem, </w:t>
      </w:r>
    </w:p>
    <w:p w14:paraId="77D4AD2B" w14:textId="77777777" w:rsidR="00BE0663" w:rsidRDefault="00FE2024" w:rsidP="00BE0663">
      <w:pPr>
        <w:ind w:firstLine="720"/>
        <w:jc w:val="both"/>
        <w:rPr>
          <w:szCs w:val="28"/>
        </w:rPr>
      </w:pPr>
      <w:r>
        <w:rPr>
          <w:szCs w:val="28"/>
        </w:rPr>
        <w:t xml:space="preserve">- </w:t>
      </w:r>
      <w:r w:rsidR="00025480">
        <w:rPr>
          <w:szCs w:val="28"/>
        </w:rPr>
        <w:t>rada sarežģītu un dārgu administrēšanas procesu.</w:t>
      </w:r>
    </w:p>
    <w:p w14:paraId="35044235" w14:textId="77777777" w:rsidR="00D17741" w:rsidRDefault="00D17741" w:rsidP="00BE0663">
      <w:pPr>
        <w:ind w:firstLine="720"/>
        <w:jc w:val="both"/>
        <w:rPr>
          <w:szCs w:val="28"/>
        </w:rPr>
      </w:pPr>
    </w:p>
    <w:p w14:paraId="7F6CC131" w14:textId="77777777" w:rsidR="00254590" w:rsidRDefault="00D17741" w:rsidP="00254590">
      <w:pPr>
        <w:pStyle w:val="ListParagraph"/>
        <w:numPr>
          <w:ilvl w:val="0"/>
          <w:numId w:val="23"/>
        </w:numPr>
        <w:ind w:left="0" w:firstLine="720"/>
        <w:jc w:val="both"/>
        <w:rPr>
          <w:szCs w:val="28"/>
        </w:rPr>
      </w:pPr>
      <w:r w:rsidRPr="00254590">
        <w:rPr>
          <w:szCs w:val="28"/>
        </w:rPr>
        <w:t>Liela sabiedrības daļa dzīvo īrētos dzīvokļos, līdz ar to šiem cilvēkiem atbilstoši šim principam nevar piemērot nodokļa atbrīvojumu. Tā kā īpašums kādam kalpo par ienākuma avotu, tad šis īpašums visticamāk būs apliekams ar nodokli, bet nodoklis netieši caur īres maksu kā obligāts maksājums tiek pārcelts uz īrnieku. Savukārt, persona, kura dzīvos, piemēram, vairākus miljonus vērtā savrupmājā, deklarējot to par vienīgo mājokli, piemēros šim īpašumam atbrīvojumu. Līdz ar to šāds princips jau sākotnēji ietver zināmu nevienlīdzību un neattaisno piemērošanas mērķi. Salīdzinot ar pašreizējo nodokļa regulējumu no vienīgā mājokļa atbrīvošanas politikas iegūs personas, kuru īpašumā ir nekustamie īpašumi, bet zaudēs personas, kuras nekustamo īpašumu dzīvošanai īrē.</w:t>
      </w:r>
    </w:p>
    <w:p w14:paraId="0A3C821F" w14:textId="77777777" w:rsidR="00254590" w:rsidRDefault="00254590" w:rsidP="00254590">
      <w:pPr>
        <w:ind w:firstLine="720"/>
        <w:jc w:val="both"/>
        <w:rPr>
          <w:szCs w:val="28"/>
        </w:rPr>
      </w:pPr>
    </w:p>
    <w:p w14:paraId="4E58828D" w14:textId="77777777" w:rsidR="009711A0" w:rsidRDefault="00254590" w:rsidP="00254590">
      <w:pPr>
        <w:pStyle w:val="ListParagraph"/>
        <w:numPr>
          <w:ilvl w:val="0"/>
          <w:numId w:val="23"/>
        </w:numPr>
        <w:ind w:left="0" w:firstLine="720"/>
        <w:jc w:val="both"/>
        <w:rPr>
          <w:szCs w:val="28"/>
        </w:rPr>
      </w:pPr>
      <w:r w:rsidRPr="00254590">
        <w:rPr>
          <w:szCs w:val="28"/>
        </w:rPr>
        <w:t>Piedāvātais princips nerisina nodokļa sloga pieaugumu zemei, ja “vienīgā īpašuma” principā neietver arī zemi. Tas nozīmē, ka nekustamā īpašuma nodokļa sloga samazinājums attieksies pārsvarā uz dzīvojamām ēkām, nevis uz zemi. Paaugstinot nekustamo īpašumu kadastrālās vērtības, būtisks pieaugums ir sagaidāms arī zemju kadastrālajām vērtībām. Piemēram, lauku nekustamo īpašumu grupas zemes kadastrālo vērtību kopsummas paredzamais p</w:t>
      </w:r>
      <w:r w:rsidR="003B44A5">
        <w:rPr>
          <w:szCs w:val="28"/>
        </w:rPr>
        <w:t>ieaugums 2018.gadā valstī ir 62</w:t>
      </w:r>
      <w:r w:rsidRPr="00254590">
        <w:rPr>
          <w:szCs w:val="28"/>
        </w:rPr>
        <w:t>%, individuālo dzīvojamo māju apbūves zemēm paredzamais kadastrālās vērtības ko</w:t>
      </w:r>
      <w:r w:rsidR="003B44A5">
        <w:rPr>
          <w:szCs w:val="28"/>
        </w:rPr>
        <w:t>psummas pieaugums valstī būs 28</w:t>
      </w:r>
      <w:r w:rsidRPr="00254590">
        <w:rPr>
          <w:szCs w:val="28"/>
        </w:rPr>
        <w:t>%, bet daudzdzīvokļu māju apbūves zemes kadastrālās vērtības ko</w:t>
      </w:r>
      <w:r w:rsidR="003B44A5">
        <w:rPr>
          <w:szCs w:val="28"/>
        </w:rPr>
        <w:t>psummas pieaugums valstī būs 19</w:t>
      </w:r>
      <w:r w:rsidRPr="00254590">
        <w:rPr>
          <w:szCs w:val="28"/>
        </w:rPr>
        <w:t>%</w:t>
      </w:r>
      <w:r w:rsidRPr="00523D34">
        <w:rPr>
          <w:rStyle w:val="FootnoteReference"/>
          <w:sz w:val="27"/>
          <w:szCs w:val="27"/>
        </w:rPr>
        <w:footnoteReference w:id="18"/>
      </w:r>
      <w:r w:rsidRPr="00254590">
        <w:rPr>
          <w:szCs w:val="28"/>
        </w:rPr>
        <w:t>. Kadastrālo vērtību izmaiņas teritoriāli ir ļoti atšķirīgas. Tikai lauku zemēm vērtību pieaugums ir visās pašvaldībās. Apbūves zemēm un ēkām tas ir ļoti atšķirīgs, piemēram individuālās apbūves zemei 35 pašvaldībās ir vērtību kopsummu samazinājums un vēl ~ 40 pašvaldībās vērtī</w:t>
      </w:r>
      <w:r w:rsidR="003B44A5">
        <w:rPr>
          <w:szCs w:val="28"/>
        </w:rPr>
        <w:t>bu kopsummu pieaugums ir līdz 5</w:t>
      </w:r>
      <w:r w:rsidRPr="00254590">
        <w:rPr>
          <w:szCs w:val="28"/>
        </w:rPr>
        <w:t xml:space="preserve">%.  Ņemot vērā, ka kopsummu pieaugumu veido  kadastrālo vērtību kāpums jaunajām daudzfunkcionālajām ēkām, savrupmājām jaunās apbūves zonās un zemei ekskluzīvajās zonās, tad attiecīgi lielo kopsummu pieaugumi veidojas teritorijās, kur šādi objekti ir – pamatā Rīga, Jūrmala, Pierīga.  </w:t>
      </w:r>
    </w:p>
    <w:p w14:paraId="34954A44" w14:textId="77777777" w:rsidR="00254590" w:rsidRPr="00254590" w:rsidRDefault="00254590" w:rsidP="009711A0">
      <w:pPr>
        <w:pStyle w:val="ListParagraph"/>
        <w:jc w:val="both"/>
        <w:rPr>
          <w:szCs w:val="28"/>
        </w:rPr>
      </w:pPr>
      <w:r w:rsidRPr="00254590">
        <w:rPr>
          <w:szCs w:val="28"/>
        </w:rPr>
        <w:t xml:space="preserve">  </w:t>
      </w:r>
    </w:p>
    <w:p w14:paraId="5E4EF3E2" w14:textId="77777777" w:rsidR="009711A0" w:rsidRPr="009711A0" w:rsidRDefault="009711A0" w:rsidP="009711A0">
      <w:pPr>
        <w:pStyle w:val="ListParagraph"/>
        <w:numPr>
          <w:ilvl w:val="0"/>
          <w:numId w:val="23"/>
        </w:numPr>
        <w:ind w:left="0" w:firstLine="720"/>
        <w:jc w:val="both"/>
        <w:rPr>
          <w:szCs w:val="28"/>
        </w:rPr>
      </w:pPr>
      <w:r w:rsidRPr="009711A0">
        <w:rPr>
          <w:szCs w:val="28"/>
        </w:rPr>
        <w:t xml:space="preserve">Ir faktiski neiespējams noteikt (definēt) vienīgā īpašuma kritēriju tā, lai tas attiektos uz visiem nodokļa maksātājiem un vienlaikus vienīgā mājokļa īpašumiem novērstu risku, ka ieviestais nodokļa atbrīvojums tiks izmantots ar mērķi izvairīties no nodokļa (pārreģistrējot īpašumu uz citu ģimenes locekļu vārda). Tas nozīmē, ka, piemēram, ģimenes īpašumā (uz vienas personas vārda) esošie vairāki nekustamie īpašumi tiks pārreģistrēti uz katra ģimenes locekļa (t.sk. arī nepilngadīga bērna) vārda tā, lai no tiesiskā viedokļa katram ģimenes loceklim tas būtu vienīgais nekustamais īpašums un tādējādi tiks saņemts nekustamā īpašuma nodokļa atbrīvojums. Papildus atvieglojums vienīgajam mājoklim radīs </w:t>
      </w:r>
      <w:r w:rsidRPr="009711A0">
        <w:rPr>
          <w:szCs w:val="28"/>
        </w:rPr>
        <w:lastRenderedPageBreak/>
        <w:t xml:space="preserve">lielāku valsts atbalsta mehānismu personām, kuru īpašumā ir dārgāki mājokļi, bet atbalstu nesaņems, personas, kuras mājokli īrē. </w:t>
      </w:r>
    </w:p>
    <w:p w14:paraId="15EF157F" w14:textId="77777777" w:rsidR="009711A0" w:rsidRDefault="009711A0" w:rsidP="009711A0">
      <w:pPr>
        <w:ind w:firstLine="720"/>
        <w:jc w:val="both"/>
        <w:rPr>
          <w:szCs w:val="28"/>
        </w:rPr>
      </w:pPr>
      <w:r>
        <w:rPr>
          <w:szCs w:val="28"/>
        </w:rPr>
        <w:t xml:space="preserve">Analizējot datus par nekustamajiem īpašumiem, kuru sastāvā ir dzīvojamie objekti, konstatēts, ka </w:t>
      </w:r>
      <w:r w:rsidRPr="00CE47DD">
        <w:rPr>
          <w:szCs w:val="28"/>
        </w:rPr>
        <w:t xml:space="preserve">Latvijā 2016.gadā </w:t>
      </w:r>
      <w:r>
        <w:rPr>
          <w:szCs w:val="28"/>
        </w:rPr>
        <w:t>ir aptuveni 737 tūkst. nekustamā īpašuma nodokļa maksātāju, kur aptuv</w:t>
      </w:r>
      <w:r w:rsidR="003B44A5">
        <w:rPr>
          <w:szCs w:val="28"/>
        </w:rPr>
        <w:t>eni 587 tūkst. maksātāju jeb 80</w:t>
      </w:r>
      <w:r>
        <w:rPr>
          <w:szCs w:val="28"/>
        </w:rPr>
        <w:t>% pieder tikai viens šāds īpašums, bet aptuv</w:t>
      </w:r>
      <w:r w:rsidR="003B44A5">
        <w:rPr>
          <w:szCs w:val="28"/>
        </w:rPr>
        <w:t>eni 150 tūkst. maksātāju jeb 20</w:t>
      </w:r>
      <w:r>
        <w:rPr>
          <w:szCs w:val="28"/>
        </w:rPr>
        <w:t>% pieder vairāki īpašumi</w:t>
      </w:r>
      <w:r w:rsidR="00922CB0" w:rsidRPr="00523D34">
        <w:rPr>
          <w:rStyle w:val="FootnoteReference"/>
          <w:sz w:val="27"/>
          <w:szCs w:val="27"/>
        </w:rPr>
        <w:footnoteReference w:id="19"/>
      </w:r>
      <w:r>
        <w:rPr>
          <w:szCs w:val="28"/>
        </w:rPr>
        <w:t>. Ja šie nodokļu maksātāji veiks nodokļa optimizāciju, tad pašvaldības zaudēs būtisku ieņēmumu daļu.</w:t>
      </w:r>
    </w:p>
    <w:p w14:paraId="10186E4C" w14:textId="77777777" w:rsidR="009711A0" w:rsidRDefault="009711A0" w:rsidP="009711A0">
      <w:pPr>
        <w:ind w:firstLine="720"/>
        <w:jc w:val="both"/>
        <w:rPr>
          <w:szCs w:val="28"/>
        </w:rPr>
      </w:pPr>
      <w:r>
        <w:rPr>
          <w:szCs w:val="28"/>
        </w:rPr>
        <w:t xml:space="preserve">Savukārt </w:t>
      </w:r>
      <w:r w:rsidRPr="00CE47DD">
        <w:rPr>
          <w:szCs w:val="28"/>
        </w:rPr>
        <w:t xml:space="preserve">dzīvošanai paredzēto nekustamo īpašumu skaits </w:t>
      </w:r>
      <w:r>
        <w:rPr>
          <w:szCs w:val="28"/>
        </w:rPr>
        <w:t xml:space="preserve">Latvijā </w:t>
      </w:r>
      <w:r w:rsidRPr="00CE47DD">
        <w:rPr>
          <w:szCs w:val="28"/>
        </w:rPr>
        <w:t>ir aptuveni 1 054 314 īpašumi</w:t>
      </w:r>
      <w:r>
        <w:rPr>
          <w:szCs w:val="28"/>
        </w:rPr>
        <w:t>*</w:t>
      </w:r>
      <w:r w:rsidRPr="00CE47DD">
        <w:rPr>
          <w:szCs w:val="28"/>
        </w:rPr>
        <w:t>.</w:t>
      </w:r>
    </w:p>
    <w:p w14:paraId="144C2630" w14:textId="77777777" w:rsidR="009711A0" w:rsidRDefault="00D90F70" w:rsidP="009711A0">
      <w:pPr>
        <w:spacing w:before="120" w:after="120"/>
        <w:jc w:val="right"/>
        <w:rPr>
          <w:i/>
          <w:sz w:val="24"/>
          <w:szCs w:val="24"/>
        </w:rPr>
      </w:pPr>
      <w:r>
        <w:rPr>
          <w:i/>
          <w:sz w:val="24"/>
          <w:szCs w:val="24"/>
        </w:rPr>
        <w:t>6</w:t>
      </w:r>
      <w:r w:rsidR="009711A0" w:rsidRPr="00E36EDD">
        <w:rPr>
          <w:i/>
          <w:sz w:val="24"/>
          <w:szCs w:val="24"/>
        </w:rPr>
        <w:t>.tabula</w:t>
      </w:r>
    </w:p>
    <w:p w14:paraId="4861CB57" w14:textId="77777777" w:rsidR="009711A0" w:rsidRPr="00E36EDD" w:rsidRDefault="009711A0" w:rsidP="009711A0">
      <w:pPr>
        <w:spacing w:before="120" w:after="120"/>
        <w:rPr>
          <w:rFonts w:ascii="Calibri" w:hAnsi="Calibri"/>
          <w:b/>
          <w:color w:val="1F497D"/>
          <w:sz w:val="24"/>
          <w:szCs w:val="24"/>
        </w:rPr>
      </w:pPr>
      <w:r w:rsidRPr="00E36EDD">
        <w:rPr>
          <w:b/>
          <w:sz w:val="24"/>
          <w:szCs w:val="24"/>
        </w:rPr>
        <w:t>Dzīvošanai paredzēto nekustamo īpašumu skaits</w:t>
      </w:r>
      <w:r>
        <w:rPr>
          <w:b/>
          <w:sz w:val="24"/>
          <w:szCs w:val="24"/>
        </w:rPr>
        <w:t xml:space="preserve"> 2016.gadā</w:t>
      </w:r>
    </w:p>
    <w:tbl>
      <w:tblPr>
        <w:tblW w:w="8958" w:type="dxa"/>
        <w:tblInd w:w="-10" w:type="dxa"/>
        <w:tblCellMar>
          <w:left w:w="0" w:type="dxa"/>
          <w:right w:w="0" w:type="dxa"/>
        </w:tblCellMar>
        <w:tblLook w:val="04A0" w:firstRow="1" w:lastRow="0" w:firstColumn="1" w:lastColumn="0" w:noHBand="0" w:noVBand="1"/>
      </w:tblPr>
      <w:tblGrid>
        <w:gridCol w:w="5524"/>
        <w:gridCol w:w="1717"/>
        <w:gridCol w:w="1717"/>
      </w:tblGrid>
      <w:tr w:rsidR="00C1578B" w:rsidRPr="00E05210" w14:paraId="3A25C808" w14:textId="77777777" w:rsidTr="000763D5">
        <w:trPr>
          <w:trHeight w:val="765"/>
        </w:trPr>
        <w:tc>
          <w:tcPr>
            <w:tcW w:w="5524"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6AC2A284" w14:textId="77777777" w:rsidR="00C1578B" w:rsidRPr="00E05210" w:rsidRDefault="00C1578B" w:rsidP="00F82F7E">
            <w:pPr>
              <w:autoSpaceDN/>
              <w:jc w:val="center"/>
              <w:textAlignment w:val="auto"/>
              <w:rPr>
                <w:b/>
                <w:bCs/>
                <w:sz w:val="24"/>
                <w:szCs w:val="24"/>
                <w:lang w:eastAsia="lv-LV"/>
              </w:rPr>
            </w:pPr>
            <w:r w:rsidRPr="00E05210">
              <w:rPr>
                <w:b/>
                <w:bCs/>
                <w:sz w:val="24"/>
                <w:szCs w:val="24"/>
                <w:lang w:eastAsia="lv-LV"/>
              </w:rPr>
              <w:t>Nekustamo īpašumu kopējais skaits, kuri paredzēti dzīvošanai, t.sk.,</w:t>
            </w:r>
          </w:p>
        </w:tc>
        <w:tc>
          <w:tcPr>
            <w:tcW w:w="17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7E1A0F5" w14:textId="77777777" w:rsidR="00C1578B" w:rsidRPr="00E05210" w:rsidRDefault="00C1578B" w:rsidP="00922CB0">
            <w:pPr>
              <w:suppressAutoHyphens w:val="0"/>
              <w:autoSpaceDN/>
              <w:jc w:val="center"/>
              <w:textAlignment w:val="auto"/>
              <w:rPr>
                <w:b/>
                <w:bCs/>
                <w:sz w:val="24"/>
                <w:szCs w:val="24"/>
                <w:lang w:eastAsia="lv-LV"/>
              </w:rPr>
            </w:pPr>
            <w:r>
              <w:rPr>
                <w:b/>
                <w:bCs/>
                <w:sz w:val="24"/>
                <w:szCs w:val="24"/>
                <w:lang w:eastAsia="lv-LV"/>
              </w:rPr>
              <w:t>Skaits*</w:t>
            </w:r>
          </w:p>
        </w:tc>
        <w:tc>
          <w:tcPr>
            <w:tcW w:w="1717" w:type="dxa"/>
            <w:tcBorders>
              <w:top w:val="single" w:sz="8" w:space="0" w:color="auto"/>
              <w:left w:val="nil"/>
              <w:bottom w:val="single" w:sz="8" w:space="0" w:color="auto"/>
              <w:right w:val="single" w:sz="8" w:space="0" w:color="auto"/>
            </w:tcBorders>
            <w:vAlign w:val="center"/>
          </w:tcPr>
          <w:p w14:paraId="35E8AC46" w14:textId="77777777" w:rsidR="00C1578B" w:rsidRPr="00E05210" w:rsidRDefault="00A17FB7" w:rsidP="00C1578B">
            <w:pPr>
              <w:suppressAutoHyphens w:val="0"/>
              <w:autoSpaceDN/>
              <w:jc w:val="center"/>
              <w:textAlignment w:val="auto"/>
              <w:rPr>
                <w:b/>
                <w:bCs/>
                <w:sz w:val="24"/>
                <w:szCs w:val="24"/>
                <w:lang w:eastAsia="lv-LV"/>
              </w:rPr>
            </w:pPr>
            <w:r>
              <w:rPr>
                <w:b/>
                <w:bCs/>
                <w:sz w:val="24"/>
                <w:szCs w:val="24"/>
                <w:lang w:eastAsia="lv-LV"/>
              </w:rPr>
              <w:t>Procentos</w:t>
            </w:r>
            <w:r w:rsidR="00521283">
              <w:rPr>
                <w:b/>
                <w:bCs/>
                <w:sz w:val="24"/>
                <w:szCs w:val="24"/>
                <w:lang w:eastAsia="lv-LV"/>
              </w:rPr>
              <w:t xml:space="preserve"> no kopējā skaita</w:t>
            </w:r>
          </w:p>
        </w:tc>
      </w:tr>
      <w:tr w:rsidR="00C1578B" w:rsidRPr="00E05210" w14:paraId="72185BAE" w14:textId="77777777" w:rsidTr="000763D5">
        <w:trPr>
          <w:trHeight w:val="765"/>
        </w:trPr>
        <w:tc>
          <w:tcPr>
            <w:tcW w:w="552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7A323" w14:textId="77777777" w:rsidR="00C1578B" w:rsidRPr="00E05210" w:rsidRDefault="00C1578B" w:rsidP="00F82F7E">
            <w:pPr>
              <w:suppressAutoHyphens w:val="0"/>
              <w:autoSpaceDN/>
              <w:jc w:val="center"/>
              <w:textAlignment w:val="auto"/>
              <w:rPr>
                <w:b/>
                <w:bCs/>
                <w:sz w:val="24"/>
                <w:szCs w:val="24"/>
                <w:lang w:eastAsia="lv-LV"/>
              </w:rPr>
            </w:pPr>
          </w:p>
        </w:tc>
        <w:tc>
          <w:tcPr>
            <w:tcW w:w="17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6BA5373" w14:textId="77777777" w:rsidR="00C1578B" w:rsidRPr="00E05210" w:rsidRDefault="00C1578B" w:rsidP="00F82F7E">
            <w:pPr>
              <w:suppressAutoHyphens w:val="0"/>
              <w:autoSpaceDN/>
              <w:jc w:val="center"/>
              <w:textAlignment w:val="auto"/>
              <w:rPr>
                <w:b/>
                <w:bCs/>
                <w:sz w:val="24"/>
                <w:szCs w:val="24"/>
                <w:lang w:eastAsia="lv-LV"/>
              </w:rPr>
            </w:pPr>
            <w:r w:rsidRPr="00E05210">
              <w:rPr>
                <w:b/>
                <w:bCs/>
                <w:sz w:val="24"/>
                <w:szCs w:val="24"/>
                <w:lang w:eastAsia="lv-LV"/>
              </w:rPr>
              <w:t>1 054</w:t>
            </w:r>
            <w:r w:rsidRPr="00CD44E1">
              <w:rPr>
                <w:b/>
                <w:bCs/>
                <w:sz w:val="24"/>
                <w:szCs w:val="24"/>
                <w:lang w:eastAsia="lv-LV"/>
              </w:rPr>
              <w:t> </w:t>
            </w:r>
            <w:r w:rsidRPr="00E05210">
              <w:rPr>
                <w:b/>
                <w:bCs/>
                <w:sz w:val="24"/>
                <w:szCs w:val="24"/>
                <w:lang w:eastAsia="lv-LV"/>
              </w:rPr>
              <w:t>314</w:t>
            </w:r>
          </w:p>
        </w:tc>
        <w:tc>
          <w:tcPr>
            <w:tcW w:w="1717" w:type="dxa"/>
            <w:tcBorders>
              <w:top w:val="single" w:sz="8" w:space="0" w:color="auto"/>
              <w:left w:val="nil"/>
              <w:bottom w:val="single" w:sz="8" w:space="0" w:color="auto"/>
              <w:right w:val="single" w:sz="8" w:space="0" w:color="auto"/>
            </w:tcBorders>
            <w:vAlign w:val="center"/>
          </w:tcPr>
          <w:p w14:paraId="75204588" w14:textId="77777777" w:rsidR="00C1578B" w:rsidRPr="00E05210" w:rsidRDefault="00521283" w:rsidP="00521283">
            <w:pPr>
              <w:suppressAutoHyphens w:val="0"/>
              <w:autoSpaceDN/>
              <w:jc w:val="center"/>
              <w:textAlignment w:val="auto"/>
              <w:rPr>
                <w:b/>
                <w:bCs/>
                <w:sz w:val="24"/>
                <w:szCs w:val="24"/>
                <w:lang w:eastAsia="lv-LV"/>
              </w:rPr>
            </w:pPr>
            <w:r>
              <w:rPr>
                <w:b/>
                <w:bCs/>
                <w:sz w:val="24"/>
                <w:szCs w:val="24"/>
                <w:lang w:eastAsia="lv-LV"/>
              </w:rPr>
              <w:t>100%</w:t>
            </w:r>
          </w:p>
        </w:tc>
      </w:tr>
      <w:tr w:rsidR="00C1578B" w:rsidRPr="00E05210" w14:paraId="6337EF3C" w14:textId="77777777" w:rsidTr="000763D5">
        <w:trPr>
          <w:trHeight w:val="315"/>
        </w:trPr>
        <w:tc>
          <w:tcPr>
            <w:tcW w:w="5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8203FE" w14:textId="77777777" w:rsidR="00C1578B" w:rsidRPr="00E05210" w:rsidRDefault="00C1578B" w:rsidP="00F82F7E">
            <w:pPr>
              <w:suppressAutoHyphens w:val="0"/>
              <w:autoSpaceDN/>
              <w:ind w:firstLine="1760"/>
              <w:textAlignment w:val="auto"/>
              <w:rPr>
                <w:sz w:val="24"/>
                <w:szCs w:val="24"/>
                <w:lang w:eastAsia="lv-LV"/>
              </w:rPr>
            </w:pPr>
            <w:r w:rsidRPr="00E05210">
              <w:rPr>
                <w:sz w:val="24"/>
                <w:szCs w:val="24"/>
                <w:lang w:eastAsia="lv-LV"/>
              </w:rPr>
              <w:t>Savrupmājas, t.sk.,</w:t>
            </w:r>
          </w:p>
        </w:tc>
        <w:tc>
          <w:tcPr>
            <w:tcW w:w="17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E002C3" w14:textId="77777777" w:rsidR="00C1578B" w:rsidRPr="00E05210" w:rsidRDefault="00C1578B" w:rsidP="00F82F7E">
            <w:pPr>
              <w:suppressAutoHyphens w:val="0"/>
              <w:autoSpaceDN/>
              <w:jc w:val="center"/>
              <w:textAlignment w:val="auto"/>
              <w:rPr>
                <w:sz w:val="24"/>
                <w:szCs w:val="24"/>
                <w:lang w:eastAsia="lv-LV"/>
              </w:rPr>
            </w:pPr>
            <w:r w:rsidRPr="00E05210">
              <w:rPr>
                <w:sz w:val="24"/>
                <w:szCs w:val="24"/>
                <w:lang w:eastAsia="lv-LV"/>
              </w:rPr>
              <w:t>320 792</w:t>
            </w:r>
          </w:p>
        </w:tc>
        <w:tc>
          <w:tcPr>
            <w:tcW w:w="1717" w:type="dxa"/>
            <w:tcBorders>
              <w:top w:val="nil"/>
              <w:left w:val="nil"/>
              <w:bottom w:val="single" w:sz="8" w:space="0" w:color="auto"/>
              <w:right w:val="single" w:sz="8" w:space="0" w:color="auto"/>
            </w:tcBorders>
          </w:tcPr>
          <w:p w14:paraId="6DD6C45C" w14:textId="77777777" w:rsidR="00C1578B" w:rsidRPr="00E05210" w:rsidRDefault="00521283" w:rsidP="00521283">
            <w:pPr>
              <w:suppressAutoHyphens w:val="0"/>
              <w:autoSpaceDN/>
              <w:jc w:val="center"/>
              <w:textAlignment w:val="auto"/>
              <w:rPr>
                <w:sz w:val="24"/>
                <w:szCs w:val="24"/>
                <w:lang w:eastAsia="lv-LV"/>
              </w:rPr>
            </w:pPr>
            <w:r>
              <w:rPr>
                <w:sz w:val="24"/>
                <w:szCs w:val="24"/>
                <w:lang w:eastAsia="lv-LV"/>
              </w:rPr>
              <w:t>30%</w:t>
            </w:r>
          </w:p>
        </w:tc>
      </w:tr>
      <w:tr w:rsidR="00C1578B" w:rsidRPr="00E05210" w14:paraId="36C6476C" w14:textId="77777777" w:rsidTr="000763D5">
        <w:trPr>
          <w:trHeight w:val="315"/>
        </w:trPr>
        <w:tc>
          <w:tcPr>
            <w:tcW w:w="5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E1CDB3" w14:textId="77777777" w:rsidR="00C1578B" w:rsidRPr="00E05210" w:rsidRDefault="00C1578B" w:rsidP="00F82F7E">
            <w:pPr>
              <w:suppressAutoHyphens w:val="0"/>
              <w:autoSpaceDN/>
              <w:jc w:val="right"/>
              <w:textAlignment w:val="auto"/>
              <w:rPr>
                <w:i/>
                <w:iCs/>
                <w:sz w:val="24"/>
                <w:szCs w:val="24"/>
                <w:lang w:eastAsia="lv-LV"/>
              </w:rPr>
            </w:pPr>
            <w:r w:rsidRPr="00E05210">
              <w:rPr>
                <w:i/>
                <w:iCs/>
                <w:sz w:val="24"/>
                <w:szCs w:val="24"/>
                <w:lang w:eastAsia="lv-LV"/>
              </w:rPr>
              <w:t>Viena dzīvokļa mājas</w:t>
            </w:r>
          </w:p>
        </w:tc>
        <w:tc>
          <w:tcPr>
            <w:tcW w:w="17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9D445D" w14:textId="77777777" w:rsidR="00C1578B" w:rsidRPr="00E05210" w:rsidRDefault="00C1578B" w:rsidP="00F82F7E">
            <w:pPr>
              <w:suppressAutoHyphens w:val="0"/>
              <w:autoSpaceDN/>
              <w:jc w:val="center"/>
              <w:textAlignment w:val="auto"/>
              <w:rPr>
                <w:i/>
                <w:iCs/>
                <w:sz w:val="24"/>
                <w:szCs w:val="24"/>
                <w:lang w:eastAsia="lv-LV"/>
              </w:rPr>
            </w:pPr>
            <w:r w:rsidRPr="00E05210">
              <w:rPr>
                <w:i/>
                <w:iCs/>
                <w:sz w:val="24"/>
                <w:szCs w:val="24"/>
                <w:lang w:eastAsia="lv-LV"/>
              </w:rPr>
              <w:t>307 024</w:t>
            </w:r>
          </w:p>
        </w:tc>
        <w:tc>
          <w:tcPr>
            <w:tcW w:w="1717" w:type="dxa"/>
            <w:tcBorders>
              <w:top w:val="nil"/>
              <w:left w:val="nil"/>
              <w:bottom w:val="single" w:sz="8" w:space="0" w:color="auto"/>
              <w:right w:val="single" w:sz="8" w:space="0" w:color="auto"/>
            </w:tcBorders>
            <w:shd w:val="clear" w:color="auto" w:fill="D9D9D9" w:themeFill="background1" w:themeFillShade="D9"/>
          </w:tcPr>
          <w:p w14:paraId="045472D7" w14:textId="77777777" w:rsidR="00C1578B" w:rsidRPr="00E05210" w:rsidRDefault="00C1578B" w:rsidP="00F82F7E">
            <w:pPr>
              <w:suppressAutoHyphens w:val="0"/>
              <w:autoSpaceDN/>
              <w:jc w:val="center"/>
              <w:textAlignment w:val="auto"/>
              <w:rPr>
                <w:i/>
                <w:iCs/>
                <w:sz w:val="24"/>
                <w:szCs w:val="24"/>
                <w:lang w:eastAsia="lv-LV"/>
              </w:rPr>
            </w:pPr>
          </w:p>
        </w:tc>
      </w:tr>
      <w:tr w:rsidR="00C1578B" w:rsidRPr="00E05210" w14:paraId="35101F9A" w14:textId="77777777" w:rsidTr="000763D5">
        <w:trPr>
          <w:trHeight w:val="315"/>
        </w:trPr>
        <w:tc>
          <w:tcPr>
            <w:tcW w:w="5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AEBF3E" w14:textId="77777777" w:rsidR="00C1578B" w:rsidRPr="00E05210" w:rsidRDefault="00C1578B" w:rsidP="00F82F7E">
            <w:pPr>
              <w:suppressAutoHyphens w:val="0"/>
              <w:autoSpaceDN/>
              <w:jc w:val="right"/>
              <w:textAlignment w:val="auto"/>
              <w:rPr>
                <w:i/>
                <w:iCs/>
                <w:sz w:val="24"/>
                <w:szCs w:val="24"/>
                <w:lang w:eastAsia="lv-LV"/>
              </w:rPr>
            </w:pPr>
            <w:r w:rsidRPr="00E05210">
              <w:rPr>
                <w:i/>
                <w:iCs/>
                <w:sz w:val="24"/>
                <w:szCs w:val="24"/>
                <w:lang w:eastAsia="lv-LV"/>
              </w:rPr>
              <w:t>Dvīņu, rindu un atsevišķu divu dzīvokļu mājas</w:t>
            </w:r>
          </w:p>
        </w:tc>
        <w:tc>
          <w:tcPr>
            <w:tcW w:w="17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EB9287" w14:textId="77777777" w:rsidR="00C1578B" w:rsidRPr="00E05210" w:rsidRDefault="00C1578B" w:rsidP="00F82F7E">
            <w:pPr>
              <w:suppressAutoHyphens w:val="0"/>
              <w:autoSpaceDN/>
              <w:jc w:val="center"/>
              <w:textAlignment w:val="auto"/>
              <w:rPr>
                <w:i/>
                <w:iCs/>
                <w:sz w:val="24"/>
                <w:szCs w:val="24"/>
                <w:lang w:eastAsia="lv-LV"/>
              </w:rPr>
            </w:pPr>
            <w:r w:rsidRPr="00E05210">
              <w:rPr>
                <w:i/>
                <w:iCs/>
                <w:sz w:val="24"/>
                <w:szCs w:val="24"/>
                <w:lang w:eastAsia="lv-LV"/>
              </w:rPr>
              <w:t>13 768</w:t>
            </w:r>
          </w:p>
        </w:tc>
        <w:tc>
          <w:tcPr>
            <w:tcW w:w="1717" w:type="dxa"/>
            <w:tcBorders>
              <w:top w:val="nil"/>
              <w:left w:val="nil"/>
              <w:bottom w:val="single" w:sz="8" w:space="0" w:color="auto"/>
              <w:right w:val="single" w:sz="8" w:space="0" w:color="auto"/>
            </w:tcBorders>
            <w:shd w:val="clear" w:color="auto" w:fill="D9D9D9" w:themeFill="background1" w:themeFillShade="D9"/>
          </w:tcPr>
          <w:p w14:paraId="7161192F" w14:textId="77777777" w:rsidR="00C1578B" w:rsidRPr="00E05210" w:rsidRDefault="00C1578B" w:rsidP="00F82F7E">
            <w:pPr>
              <w:suppressAutoHyphens w:val="0"/>
              <w:autoSpaceDN/>
              <w:jc w:val="center"/>
              <w:textAlignment w:val="auto"/>
              <w:rPr>
                <w:i/>
                <w:iCs/>
                <w:sz w:val="24"/>
                <w:szCs w:val="24"/>
                <w:lang w:eastAsia="lv-LV"/>
              </w:rPr>
            </w:pPr>
          </w:p>
        </w:tc>
      </w:tr>
      <w:tr w:rsidR="00C1578B" w:rsidRPr="00E05210" w14:paraId="0ECC47D3" w14:textId="77777777" w:rsidTr="000763D5">
        <w:trPr>
          <w:trHeight w:val="645"/>
        </w:trPr>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936C7" w14:textId="77777777" w:rsidR="00C1578B" w:rsidRPr="00E05210" w:rsidRDefault="00C1578B" w:rsidP="00F82F7E">
            <w:pPr>
              <w:suppressAutoHyphens w:val="0"/>
              <w:autoSpaceDN/>
              <w:ind w:firstLine="1760"/>
              <w:textAlignment w:val="auto"/>
              <w:rPr>
                <w:sz w:val="24"/>
                <w:szCs w:val="24"/>
                <w:lang w:eastAsia="lv-LV"/>
              </w:rPr>
            </w:pPr>
            <w:r w:rsidRPr="00E05210">
              <w:rPr>
                <w:sz w:val="24"/>
                <w:szCs w:val="24"/>
                <w:lang w:eastAsia="lv-LV"/>
              </w:rPr>
              <w:t>Sērijveida dzīvojamās telpu grupas</w:t>
            </w:r>
          </w:p>
        </w:tc>
        <w:tc>
          <w:tcPr>
            <w:tcW w:w="17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D75657" w14:textId="77777777" w:rsidR="00C1578B" w:rsidRPr="00E05210" w:rsidRDefault="00C1578B" w:rsidP="00F82F7E">
            <w:pPr>
              <w:suppressAutoHyphens w:val="0"/>
              <w:autoSpaceDN/>
              <w:jc w:val="center"/>
              <w:textAlignment w:val="auto"/>
              <w:rPr>
                <w:sz w:val="24"/>
                <w:szCs w:val="24"/>
                <w:lang w:eastAsia="lv-LV"/>
              </w:rPr>
            </w:pPr>
            <w:r w:rsidRPr="00E05210">
              <w:rPr>
                <w:sz w:val="24"/>
                <w:szCs w:val="24"/>
                <w:lang w:eastAsia="lv-LV"/>
              </w:rPr>
              <w:t>701 042</w:t>
            </w:r>
          </w:p>
        </w:tc>
        <w:tc>
          <w:tcPr>
            <w:tcW w:w="1717" w:type="dxa"/>
            <w:tcBorders>
              <w:top w:val="nil"/>
              <w:left w:val="nil"/>
              <w:bottom w:val="single" w:sz="8" w:space="0" w:color="auto"/>
              <w:right w:val="single" w:sz="8" w:space="0" w:color="auto"/>
            </w:tcBorders>
            <w:vAlign w:val="center"/>
          </w:tcPr>
          <w:p w14:paraId="261856F2" w14:textId="77777777" w:rsidR="00C1578B" w:rsidRPr="00E05210" w:rsidRDefault="00521283" w:rsidP="00521283">
            <w:pPr>
              <w:suppressAutoHyphens w:val="0"/>
              <w:autoSpaceDN/>
              <w:jc w:val="center"/>
              <w:textAlignment w:val="auto"/>
              <w:rPr>
                <w:sz w:val="24"/>
                <w:szCs w:val="24"/>
                <w:lang w:eastAsia="lv-LV"/>
              </w:rPr>
            </w:pPr>
            <w:r>
              <w:rPr>
                <w:sz w:val="24"/>
                <w:szCs w:val="24"/>
                <w:lang w:eastAsia="lv-LV"/>
              </w:rPr>
              <w:t>67%</w:t>
            </w:r>
          </w:p>
        </w:tc>
      </w:tr>
      <w:tr w:rsidR="00C1578B" w:rsidRPr="00E05210" w14:paraId="7B961642" w14:textId="77777777" w:rsidTr="000763D5">
        <w:trPr>
          <w:trHeight w:val="630"/>
        </w:trPr>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EC2F2F" w14:textId="77777777" w:rsidR="00C1578B" w:rsidRPr="00E05210" w:rsidRDefault="00C1578B" w:rsidP="00F82F7E">
            <w:pPr>
              <w:suppressAutoHyphens w:val="0"/>
              <w:autoSpaceDN/>
              <w:jc w:val="right"/>
              <w:textAlignment w:val="auto"/>
              <w:rPr>
                <w:sz w:val="24"/>
                <w:szCs w:val="24"/>
                <w:lang w:eastAsia="lv-LV"/>
              </w:rPr>
            </w:pPr>
            <w:r w:rsidRPr="00E05210">
              <w:rPr>
                <w:sz w:val="24"/>
                <w:szCs w:val="24"/>
                <w:lang w:eastAsia="lv-LV"/>
              </w:rPr>
              <w:t>Jaunā projekta dzīvojamās telpu grupas</w:t>
            </w:r>
          </w:p>
        </w:tc>
        <w:tc>
          <w:tcPr>
            <w:tcW w:w="171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8DB0D7D" w14:textId="77777777" w:rsidR="00C1578B" w:rsidRPr="00E05210" w:rsidRDefault="00C1578B" w:rsidP="00F82F7E">
            <w:pPr>
              <w:suppressAutoHyphens w:val="0"/>
              <w:autoSpaceDN/>
              <w:jc w:val="center"/>
              <w:textAlignment w:val="auto"/>
              <w:rPr>
                <w:sz w:val="24"/>
                <w:szCs w:val="24"/>
                <w:lang w:eastAsia="lv-LV"/>
              </w:rPr>
            </w:pPr>
            <w:r w:rsidRPr="00CD44E1">
              <w:rPr>
                <w:sz w:val="24"/>
                <w:szCs w:val="24"/>
                <w:lang w:eastAsia="lv-LV"/>
              </w:rPr>
              <w:t>32 480</w:t>
            </w:r>
          </w:p>
        </w:tc>
        <w:tc>
          <w:tcPr>
            <w:tcW w:w="1717" w:type="dxa"/>
            <w:tcBorders>
              <w:top w:val="nil"/>
              <w:left w:val="nil"/>
              <w:bottom w:val="single" w:sz="8" w:space="0" w:color="auto"/>
              <w:right w:val="single" w:sz="8" w:space="0" w:color="auto"/>
            </w:tcBorders>
            <w:vAlign w:val="center"/>
          </w:tcPr>
          <w:p w14:paraId="06A17870" w14:textId="77777777" w:rsidR="00C1578B" w:rsidRPr="00CD44E1" w:rsidRDefault="00521283" w:rsidP="00521283">
            <w:pPr>
              <w:suppressAutoHyphens w:val="0"/>
              <w:autoSpaceDN/>
              <w:jc w:val="center"/>
              <w:textAlignment w:val="auto"/>
              <w:rPr>
                <w:sz w:val="24"/>
                <w:szCs w:val="24"/>
                <w:lang w:eastAsia="lv-LV"/>
              </w:rPr>
            </w:pPr>
            <w:r>
              <w:rPr>
                <w:sz w:val="24"/>
                <w:szCs w:val="24"/>
                <w:lang w:eastAsia="lv-LV"/>
              </w:rPr>
              <w:t>3%</w:t>
            </w:r>
          </w:p>
        </w:tc>
      </w:tr>
    </w:tbl>
    <w:p w14:paraId="47E0DD4F" w14:textId="77777777" w:rsidR="009711A0" w:rsidRDefault="009711A0" w:rsidP="009711A0">
      <w:pPr>
        <w:suppressAutoHyphens w:val="0"/>
        <w:autoSpaceDN/>
        <w:textAlignment w:val="auto"/>
        <w:rPr>
          <w:i/>
          <w:sz w:val="24"/>
          <w:szCs w:val="24"/>
        </w:rPr>
      </w:pPr>
      <w:r>
        <w:rPr>
          <w:i/>
          <w:sz w:val="24"/>
          <w:szCs w:val="24"/>
        </w:rPr>
        <w:t xml:space="preserve">* Valsts zemes dienesta </w:t>
      </w:r>
      <w:r w:rsidRPr="00897A8D">
        <w:rPr>
          <w:i/>
          <w:sz w:val="24"/>
          <w:szCs w:val="24"/>
        </w:rPr>
        <w:t xml:space="preserve"> dati</w:t>
      </w:r>
      <w:r>
        <w:rPr>
          <w:i/>
          <w:sz w:val="24"/>
          <w:szCs w:val="24"/>
        </w:rPr>
        <w:t xml:space="preserve"> uz </w:t>
      </w:r>
      <w:r w:rsidRPr="00897A8D">
        <w:rPr>
          <w:i/>
          <w:sz w:val="24"/>
          <w:szCs w:val="24"/>
        </w:rPr>
        <w:t>2016.</w:t>
      </w:r>
      <w:r>
        <w:rPr>
          <w:i/>
          <w:sz w:val="24"/>
          <w:szCs w:val="24"/>
        </w:rPr>
        <w:t>gada maiju</w:t>
      </w:r>
    </w:p>
    <w:p w14:paraId="1896F8F1" w14:textId="77777777" w:rsidR="009711A0" w:rsidRPr="009711A0" w:rsidRDefault="009711A0" w:rsidP="009711A0">
      <w:pPr>
        <w:suppressAutoHyphens w:val="0"/>
        <w:autoSpaceDN/>
        <w:textAlignment w:val="auto"/>
        <w:rPr>
          <w:szCs w:val="28"/>
        </w:rPr>
      </w:pPr>
    </w:p>
    <w:p w14:paraId="72D8F5D6" w14:textId="132A4AFC" w:rsidR="00BE0663" w:rsidRPr="009711A0" w:rsidRDefault="00472C0E" w:rsidP="009711A0">
      <w:pPr>
        <w:pStyle w:val="ListParagraph"/>
        <w:numPr>
          <w:ilvl w:val="0"/>
          <w:numId w:val="23"/>
        </w:numPr>
        <w:ind w:left="0" w:firstLine="720"/>
        <w:jc w:val="both"/>
        <w:rPr>
          <w:szCs w:val="28"/>
        </w:rPr>
      </w:pPr>
      <w:r w:rsidRPr="009711A0">
        <w:rPr>
          <w:szCs w:val="28"/>
        </w:rPr>
        <w:t>Š</w:t>
      </w:r>
      <w:r w:rsidR="00DA100A" w:rsidRPr="009711A0">
        <w:rPr>
          <w:szCs w:val="28"/>
        </w:rPr>
        <w:t>āds</w:t>
      </w:r>
      <w:r w:rsidR="00BE0663" w:rsidRPr="009711A0">
        <w:rPr>
          <w:szCs w:val="28"/>
        </w:rPr>
        <w:t xml:space="preserve"> </w:t>
      </w:r>
      <w:r w:rsidR="00DA100A" w:rsidRPr="009711A0">
        <w:rPr>
          <w:szCs w:val="28"/>
        </w:rPr>
        <w:t>princips</w:t>
      </w:r>
      <w:r w:rsidRPr="009711A0">
        <w:rPr>
          <w:szCs w:val="28"/>
        </w:rPr>
        <w:t xml:space="preserve"> galvenokārt</w:t>
      </w:r>
      <w:r w:rsidR="00BE0663" w:rsidRPr="009711A0">
        <w:rPr>
          <w:szCs w:val="28"/>
        </w:rPr>
        <w:t xml:space="preserve"> </w:t>
      </w:r>
      <w:r w:rsidR="00964E00" w:rsidRPr="009711A0">
        <w:rPr>
          <w:szCs w:val="28"/>
        </w:rPr>
        <w:t xml:space="preserve">radīs negatīvu fiskālo ietekmi, t.i., </w:t>
      </w:r>
      <w:r w:rsidR="00BE0663" w:rsidRPr="009711A0">
        <w:rPr>
          <w:szCs w:val="28"/>
        </w:rPr>
        <w:t xml:space="preserve">būtiski samazinās visu pašvaldību budžeta ieņēmumus no nekustamā īpašuma nodokļa, kas var radīt problēmas pašvaldībām nodrošināt pakalpojumus iedzīvotājiem (piemēram, ielu apgaismojumu, ceļu uzkopšanu, bērnu dārza pakalpojumus, pabalstu piešķiršanu). </w:t>
      </w:r>
    </w:p>
    <w:p w14:paraId="085C0D1B" w14:textId="77777777" w:rsidR="00E36EDD" w:rsidRDefault="00A40129" w:rsidP="00E36EDD">
      <w:pPr>
        <w:widowControl w:val="0"/>
        <w:tabs>
          <w:tab w:val="left" w:pos="6740"/>
        </w:tabs>
        <w:suppressAutoHyphens w:val="0"/>
        <w:autoSpaceDN/>
        <w:ind w:firstLine="709"/>
        <w:jc w:val="both"/>
        <w:textAlignment w:val="auto"/>
        <w:rPr>
          <w:szCs w:val="28"/>
        </w:rPr>
      </w:pPr>
      <w:r>
        <w:rPr>
          <w:szCs w:val="28"/>
        </w:rPr>
        <w:t xml:space="preserve">Kopējie nekustamā īpašuma nodokļa ieņēmumi 2015.gadā bija 197 milj. </w:t>
      </w:r>
      <w:proofErr w:type="spellStart"/>
      <w:r w:rsidRPr="00CE0510">
        <w:rPr>
          <w:i/>
          <w:szCs w:val="28"/>
        </w:rPr>
        <w:t>euro</w:t>
      </w:r>
      <w:proofErr w:type="spellEnd"/>
      <w:r>
        <w:rPr>
          <w:szCs w:val="28"/>
        </w:rPr>
        <w:t xml:space="preserve"> (</w:t>
      </w:r>
      <w:r w:rsidRPr="00A40129">
        <w:rPr>
          <w:szCs w:val="28"/>
        </w:rPr>
        <w:t>100,</w:t>
      </w:r>
      <w:r w:rsidR="004378A3">
        <w:rPr>
          <w:szCs w:val="28"/>
        </w:rPr>
        <w:t>4</w:t>
      </w:r>
      <w:r w:rsidRPr="00A40129">
        <w:rPr>
          <w:szCs w:val="28"/>
        </w:rPr>
        <w:t xml:space="preserve"> milj. </w:t>
      </w:r>
      <w:proofErr w:type="spellStart"/>
      <w:r w:rsidRPr="00CE0510">
        <w:rPr>
          <w:i/>
          <w:szCs w:val="28"/>
        </w:rPr>
        <w:t>euro</w:t>
      </w:r>
      <w:proofErr w:type="spellEnd"/>
      <w:r w:rsidRPr="00A40129">
        <w:rPr>
          <w:szCs w:val="28"/>
        </w:rPr>
        <w:t xml:space="preserve"> par zemi un 96,6 milj. </w:t>
      </w:r>
      <w:proofErr w:type="spellStart"/>
      <w:r w:rsidRPr="00CE0510">
        <w:rPr>
          <w:i/>
          <w:szCs w:val="28"/>
        </w:rPr>
        <w:t>euro</w:t>
      </w:r>
      <w:proofErr w:type="spellEnd"/>
      <w:r w:rsidRPr="00A40129">
        <w:rPr>
          <w:szCs w:val="28"/>
        </w:rPr>
        <w:t xml:space="preserve"> par ēkām un būvēm)</w:t>
      </w:r>
      <w:r w:rsidR="00792BC6">
        <w:rPr>
          <w:szCs w:val="28"/>
        </w:rPr>
        <w:t xml:space="preserve">, kas ir </w:t>
      </w:r>
      <w:r w:rsidR="00944C20">
        <w:rPr>
          <w:szCs w:val="28"/>
        </w:rPr>
        <w:t xml:space="preserve">   </w:t>
      </w:r>
      <w:r w:rsidR="00792BC6">
        <w:rPr>
          <w:szCs w:val="28"/>
        </w:rPr>
        <w:t>2,8</w:t>
      </w:r>
      <w:r>
        <w:rPr>
          <w:szCs w:val="28"/>
        </w:rPr>
        <w:t>% no kopējiem nodokļu ieņēmumiem valstī</w:t>
      </w:r>
      <w:r w:rsidRPr="00A40129">
        <w:rPr>
          <w:szCs w:val="28"/>
        </w:rPr>
        <w:t>.</w:t>
      </w:r>
      <w:r>
        <w:rPr>
          <w:szCs w:val="28"/>
        </w:rPr>
        <w:t xml:space="preserve"> </w:t>
      </w:r>
      <w:r w:rsidR="004F5111">
        <w:rPr>
          <w:szCs w:val="28"/>
        </w:rPr>
        <w:t>N</w:t>
      </w:r>
      <w:r w:rsidR="00E36EDD">
        <w:rPr>
          <w:szCs w:val="28"/>
        </w:rPr>
        <w:t xml:space="preserve">ekustamā īpašuma nodokļa ieņēmumi par dzīvošanai paredzētajiem nekustamajiem īpašumiem 2015.gadā </w:t>
      </w:r>
      <w:r>
        <w:rPr>
          <w:szCs w:val="28"/>
        </w:rPr>
        <w:t>bija</w:t>
      </w:r>
      <w:r w:rsidR="00E36EDD">
        <w:rPr>
          <w:szCs w:val="28"/>
        </w:rPr>
        <w:t xml:space="preserve"> 24,2 milj. </w:t>
      </w:r>
      <w:proofErr w:type="spellStart"/>
      <w:r w:rsidR="00E36EDD" w:rsidRPr="00CE0510">
        <w:rPr>
          <w:i/>
          <w:szCs w:val="28"/>
        </w:rPr>
        <w:t>euro</w:t>
      </w:r>
      <w:proofErr w:type="spellEnd"/>
      <w:r w:rsidR="00E36EDD">
        <w:rPr>
          <w:szCs w:val="28"/>
        </w:rPr>
        <w:t>, kas ir 1</w:t>
      </w:r>
      <w:r>
        <w:rPr>
          <w:szCs w:val="28"/>
        </w:rPr>
        <w:t>2</w:t>
      </w:r>
      <w:r w:rsidR="00E36EDD">
        <w:rPr>
          <w:szCs w:val="28"/>
        </w:rPr>
        <w:t>% no kopējiem nekustamā īpašuma nodokļa ieņēmumiem</w:t>
      </w:r>
      <w:r w:rsidR="001650FE">
        <w:rPr>
          <w:szCs w:val="28"/>
        </w:rPr>
        <w:t xml:space="preserve"> un 25% no</w:t>
      </w:r>
      <w:r w:rsidR="001650FE" w:rsidRPr="001650FE">
        <w:t xml:space="preserve"> </w:t>
      </w:r>
      <w:r w:rsidR="001650FE" w:rsidRPr="001650FE">
        <w:rPr>
          <w:szCs w:val="28"/>
        </w:rPr>
        <w:t>nekustamā īpašuma nodokļa ieņēmumiem</w:t>
      </w:r>
      <w:r w:rsidR="001650FE">
        <w:rPr>
          <w:szCs w:val="28"/>
        </w:rPr>
        <w:t xml:space="preserve"> par ēkām un būvēm</w:t>
      </w:r>
      <w:r w:rsidR="00FB3DA1">
        <w:rPr>
          <w:szCs w:val="28"/>
        </w:rPr>
        <w:t>*.</w:t>
      </w:r>
    </w:p>
    <w:p w14:paraId="4E6F69BF" w14:textId="77777777" w:rsidR="00E36EDD" w:rsidRDefault="00D90F70" w:rsidP="00E36EDD">
      <w:pPr>
        <w:suppressAutoHyphens w:val="0"/>
        <w:autoSpaceDN/>
        <w:spacing w:before="120" w:after="120"/>
        <w:ind w:left="720"/>
        <w:jc w:val="right"/>
        <w:textAlignment w:val="auto"/>
        <w:rPr>
          <w:i/>
          <w:sz w:val="24"/>
          <w:szCs w:val="24"/>
        </w:rPr>
      </w:pPr>
      <w:r>
        <w:rPr>
          <w:i/>
          <w:sz w:val="24"/>
          <w:szCs w:val="24"/>
        </w:rPr>
        <w:t>7</w:t>
      </w:r>
      <w:r w:rsidR="00E36EDD" w:rsidRPr="00E36EDD">
        <w:rPr>
          <w:i/>
          <w:sz w:val="24"/>
          <w:szCs w:val="24"/>
        </w:rPr>
        <w:t>.tabula</w:t>
      </w:r>
    </w:p>
    <w:p w14:paraId="2338B348" w14:textId="77777777" w:rsidR="00E36EDD" w:rsidRDefault="00E36EDD" w:rsidP="00B53A4D">
      <w:pPr>
        <w:suppressAutoHyphens w:val="0"/>
        <w:autoSpaceDN/>
        <w:spacing w:before="120" w:after="120"/>
        <w:textAlignment w:val="auto"/>
        <w:rPr>
          <w:b/>
          <w:sz w:val="24"/>
          <w:szCs w:val="24"/>
        </w:rPr>
      </w:pPr>
      <w:r>
        <w:rPr>
          <w:b/>
          <w:sz w:val="24"/>
          <w:szCs w:val="24"/>
        </w:rPr>
        <w:t>Nekustamā īpašuma nodok</w:t>
      </w:r>
      <w:r w:rsidR="00856299">
        <w:rPr>
          <w:b/>
          <w:sz w:val="24"/>
          <w:szCs w:val="24"/>
        </w:rPr>
        <w:t>ļa ieņēmumi</w:t>
      </w:r>
      <w:r>
        <w:rPr>
          <w:b/>
          <w:sz w:val="24"/>
          <w:szCs w:val="24"/>
        </w:rPr>
        <w:t xml:space="preserve"> par </w:t>
      </w:r>
      <w:r w:rsidR="00856299" w:rsidRPr="00856299">
        <w:rPr>
          <w:b/>
          <w:sz w:val="24"/>
          <w:szCs w:val="24"/>
        </w:rPr>
        <w:t>dzīvošanai paredzētiem nekustamajiem īpašumiem</w:t>
      </w:r>
      <w:r w:rsidR="00E14F34">
        <w:rPr>
          <w:b/>
          <w:sz w:val="24"/>
          <w:szCs w:val="24"/>
        </w:rPr>
        <w:t xml:space="preserve"> (ēkām, būvēm)</w:t>
      </w:r>
      <w:r w:rsidR="00856299">
        <w:rPr>
          <w:b/>
          <w:sz w:val="24"/>
          <w:szCs w:val="24"/>
        </w:rPr>
        <w:t xml:space="preserve"> 2015.gadā</w:t>
      </w:r>
      <w:r w:rsidR="00200E33">
        <w:rPr>
          <w:b/>
          <w:sz w:val="24"/>
          <w:szCs w:val="24"/>
        </w:rPr>
        <w:t>*</w:t>
      </w:r>
    </w:p>
    <w:tbl>
      <w:tblPr>
        <w:tblW w:w="8505" w:type="dxa"/>
        <w:tblInd w:w="-10" w:type="dxa"/>
        <w:tblCellMar>
          <w:left w:w="0" w:type="dxa"/>
          <w:right w:w="0" w:type="dxa"/>
        </w:tblCellMar>
        <w:tblLook w:val="04A0" w:firstRow="1" w:lastRow="0" w:firstColumn="1" w:lastColumn="0" w:noHBand="0" w:noVBand="1"/>
      </w:tblPr>
      <w:tblGrid>
        <w:gridCol w:w="6662"/>
        <w:gridCol w:w="1843"/>
      </w:tblGrid>
      <w:tr w:rsidR="00E36EDD" w:rsidRPr="00CD44E1" w14:paraId="4AA47969" w14:textId="77777777" w:rsidTr="00B53A4D">
        <w:trPr>
          <w:trHeight w:val="315"/>
        </w:trPr>
        <w:tc>
          <w:tcPr>
            <w:tcW w:w="66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77ABB7" w14:textId="77777777" w:rsidR="00E36EDD" w:rsidRPr="00CD44E1" w:rsidRDefault="00856299" w:rsidP="00856299">
            <w:pPr>
              <w:suppressAutoHyphens w:val="0"/>
              <w:autoSpaceDN/>
              <w:jc w:val="center"/>
              <w:textAlignment w:val="auto"/>
              <w:rPr>
                <w:sz w:val="24"/>
                <w:szCs w:val="24"/>
                <w:lang w:eastAsia="lv-LV"/>
              </w:rPr>
            </w:pPr>
            <w:r w:rsidRPr="00CD44E1">
              <w:rPr>
                <w:sz w:val="24"/>
                <w:szCs w:val="24"/>
                <w:lang w:eastAsia="lv-LV"/>
              </w:rPr>
              <w:lastRenderedPageBreak/>
              <w:t>2015</w:t>
            </w:r>
            <w:r>
              <w:rPr>
                <w:sz w:val="24"/>
                <w:szCs w:val="24"/>
                <w:lang w:eastAsia="lv-LV"/>
              </w:rPr>
              <w:t>.g.</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40338BD" w14:textId="77777777" w:rsidR="00E36EDD" w:rsidRPr="00CD44E1" w:rsidRDefault="00856299" w:rsidP="00CE0510">
            <w:pPr>
              <w:suppressAutoHyphens w:val="0"/>
              <w:autoSpaceDN/>
              <w:jc w:val="center"/>
              <w:textAlignment w:val="auto"/>
              <w:rPr>
                <w:sz w:val="24"/>
                <w:szCs w:val="24"/>
                <w:lang w:eastAsia="lv-LV"/>
              </w:rPr>
            </w:pPr>
            <w:r>
              <w:rPr>
                <w:sz w:val="24"/>
                <w:szCs w:val="24"/>
                <w:lang w:eastAsia="lv-LV"/>
              </w:rPr>
              <w:t>M</w:t>
            </w:r>
            <w:r w:rsidRPr="00CD44E1">
              <w:rPr>
                <w:sz w:val="24"/>
                <w:szCs w:val="24"/>
                <w:lang w:eastAsia="lv-LV"/>
              </w:rPr>
              <w:t xml:space="preserve">ilj. </w:t>
            </w:r>
            <w:r w:rsidR="00CE0510">
              <w:rPr>
                <w:sz w:val="24"/>
                <w:szCs w:val="24"/>
                <w:lang w:eastAsia="lv-LV"/>
              </w:rPr>
              <w:t>EUR</w:t>
            </w:r>
          </w:p>
        </w:tc>
      </w:tr>
      <w:tr w:rsidR="00E36EDD" w:rsidRPr="00CD44E1" w14:paraId="5EBA7086" w14:textId="77777777" w:rsidTr="00B53A4D">
        <w:trPr>
          <w:trHeight w:val="315"/>
        </w:trPr>
        <w:tc>
          <w:tcPr>
            <w:tcW w:w="66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D29E51" w14:textId="77777777" w:rsidR="00E36EDD" w:rsidRPr="00CD44E1" w:rsidRDefault="00E36EDD" w:rsidP="00856299">
            <w:pPr>
              <w:suppressAutoHyphens w:val="0"/>
              <w:autoSpaceDN/>
              <w:jc w:val="center"/>
              <w:textAlignment w:val="auto"/>
              <w:rPr>
                <w:b/>
                <w:bCs/>
                <w:sz w:val="24"/>
                <w:szCs w:val="24"/>
                <w:lang w:eastAsia="lv-LV"/>
              </w:rPr>
            </w:pPr>
            <w:r w:rsidRPr="00CD44E1">
              <w:rPr>
                <w:b/>
                <w:bCs/>
                <w:sz w:val="24"/>
                <w:szCs w:val="24"/>
                <w:lang w:eastAsia="lv-LV"/>
              </w:rPr>
              <w:t xml:space="preserve">Nekustamā īpašuma nodoklis par </w:t>
            </w:r>
            <w:r w:rsidR="00856299">
              <w:rPr>
                <w:b/>
                <w:bCs/>
                <w:sz w:val="24"/>
                <w:szCs w:val="24"/>
                <w:lang w:eastAsia="lv-LV"/>
              </w:rPr>
              <w:t>dzīvošanai paredzētiem nekustamajiem īpašumiem</w:t>
            </w:r>
            <w:r w:rsidR="00E14F34">
              <w:rPr>
                <w:b/>
                <w:bCs/>
                <w:sz w:val="24"/>
                <w:szCs w:val="24"/>
                <w:lang w:eastAsia="lv-LV"/>
              </w:rPr>
              <w:t xml:space="preserve"> (ēkām, būvēm)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055DB" w14:textId="77777777" w:rsidR="00E36EDD" w:rsidRPr="00CD44E1" w:rsidRDefault="00E36EDD" w:rsidP="009069DA">
            <w:pPr>
              <w:suppressAutoHyphens w:val="0"/>
              <w:autoSpaceDN/>
              <w:spacing w:after="120"/>
              <w:jc w:val="center"/>
              <w:textAlignment w:val="auto"/>
              <w:rPr>
                <w:b/>
                <w:bCs/>
                <w:sz w:val="24"/>
                <w:szCs w:val="24"/>
                <w:lang w:eastAsia="lv-LV"/>
              </w:rPr>
            </w:pPr>
            <w:r w:rsidRPr="00CD44E1">
              <w:rPr>
                <w:b/>
                <w:bCs/>
                <w:sz w:val="24"/>
                <w:szCs w:val="24"/>
                <w:lang w:eastAsia="lv-LV"/>
              </w:rPr>
              <w:t>24,2</w:t>
            </w:r>
          </w:p>
        </w:tc>
      </w:tr>
      <w:tr w:rsidR="00E36EDD" w:rsidRPr="00CD44E1" w14:paraId="22AF1E2A" w14:textId="77777777" w:rsidTr="00B53A4D">
        <w:trPr>
          <w:trHeight w:val="308"/>
        </w:trPr>
        <w:tc>
          <w:tcPr>
            <w:tcW w:w="6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7BA6D6" w14:textId="77777777" w:rsidR="00E36EDD" w:rsidRPr="00CD44E1" w:rsidRDefault="00267C1E" w:rsidP="00267C1E">
            <w:pPr>
              <w:suppressAutoHyphens w:val="0"/>
              <w:autoSpaceDN/>
              <w:jc w:val="right"/>
              <w:textAlignment w:val="auto"/>
              <w:rPr>
                <w:sz w:val="24"/>
                <w:szCs w:val="24"/>
                <w:lang w:eastAsia="lv-LV"/>
              </w:rPr>
            </w:pPr>
            <w:r>
              <w:rPr>
                <w:sz w:val="24"/>
                <w:szCs w:val="24"/>
                <w:lang w:eastAsia="lv-LV"/>
              </w:rPr>
              <w:t>Nekustamā īpašuma nodokļa</w:t>
            </w:r>
            <w:r w:rsidR="00E36EDD" w:rsidRPr="00CD44E1">
              <w:rPr>
                <w:sz w:val="24"/>
                <w:szCs w:val="24"/>
                <w:lang w:eastAsia="lv-LV"/>
              </w:rPr>
              <w:t xml:space="preserve"> kārtējā saimnieciskā gada ieņēmumi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BC37A1" w14:textId="77777777" w:rsidR="00E36EDD" w:rsidRPr="00CD44E1" w:rsidRDefault="00E36EDD" w:rsidP="00F82F7E">
            <w:pPr>
              <w:suppressAutoHyphens w:val="0"/>
              <w:autoSpaceDN/>
              <w:jc w:val="center"/>
              <w:textAlignment w:val="auto"/>
              <w:rPr>
                <w:sz w:val="24"/>
                <w:szCs w:val="24"/>
                <w:lang w:eastAsia="lv-LV"/>
              </w:rPr>
            </w:pPr>
            <w:r w:rsidRPr="00CD44E1">
              <w:rPr>
                <w:sz w:val="24"/>
                <w:szCs w:val="24"/>
                <w:lang w:eastAsia="lv-LV"/>
              </w:rPr>
              <w:t>21,2</w:t>
            </w:r>
          </w:p>
        </w:tc>
      </w:tr>
      <w:tr w:rsidR="00E36EDD" w:rsidRPr="00CD44E1" w14:paraId="5CF464BF" w14:textId="77777777" w:rsidTr="00B53A4D">
        <w:trPr>
          <w:trHeight w:val="398"/>
        </w:trPr>
        <w:tc>
          <w:tcPr>
            <w:tcW w:w="6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2502B5" w14:textId="77777777" w:rsidR="00E36EDD" w:rsidRPr="00CD44E1" w:rsidRDefault="00E36EDD" w:rsidP="00267C1E">
            <w:pPr>
              <w:suppressAutoHyphens w:val="0"/>
              <w:autoSpaceDN/>
              <w:jc w:val="right"/>
              <w:textAlignment w:val="auto"/>
              <w:rPr>
                <w:sz w:val="24"/>
                <w:szCs w:val="24"/>
                <w:lang w:eastAsia="lv-LV"/>
              </w:rPr>
            </w:pPr>
            <w:r w:rsidRPr="00CD44E1">
              <w:rPr>
                <w:sz w:val="24"/>
                <w:szCs w:val="24"/>
                <w:lang w:eastAsia="lv-LV"/>
              </w:rPr>
              <w:t>Nekustamā īpašuma nodokļa parādi par iepriekšējiem gadiem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E59E3D" w14:textId="77777777" w:rsidR="00E36EDD" w:rsidRPr="00CD44E1" w:rsidRDefault="00E36EDD" w:rsidP="00F82F7E">
            <w:pPr>
              <w:suppressAutoHyphens w:val="0"/>
              <w:autoSpaceDN/>
              <w:jc w:val="center"/>
              <w:textAlignment w:val="auto"/>
              <w:rPr>
                <w:sz w:val="24"/>
                <w:szCs w:val="24"/>
                <w:lang w:eastAsia="lv-LV"/>
              </w:rPr>
            </w:pPr>
            <w:r w:rsidRPr="00CD44E1">
              <w:rPr>
                <w:sz w:val="24"/>
                <w:szCs w:val="24"/>
                <w:lang w:eastAsia="lv-LV"/>
              </w:rPr>
              <w:t>3,0</w:t>
            </w:r>
          </w:p>
        </w:tc>
      </w:tr>
    </w:tbl>
    <w:p w14:paraId="26C9E461" w14:textId="77777777" w:rsidR="00FB3DA1" w:rsidRPr="00FB3DA1" w:rsidRDefault="00FB3DA1" w:rsidP="00897A8D">
      <w:pPr>
        <w:pStyle w:val="ListParagraph"/>
        <w:ind w:left="0"/>
        <w:jc w:val="both"/>
        <w:rPr>
          <w:i/>
          <w:sz w:val="24"/>
          <w:szCs w:val="24"/>
        </w:rPr>
      </w:pPr>
      <w:r>
        <w:rPr>
          <w:i/>
          <w:sz w:val="24"/>
          <w:szCs w:val="24"/>
        </w:rPr>
        <w:t xml:space="preserve">* </w:t>
      </w:r>
      <w:r w:rsidRPr="00FB3DA1">
        <w:rPr>
          <w:i/>
          <w:sz w:val="24"/>
          <w:szCs w:val="24"/>
        </w:rPr>
        <w:t>FM dati</w:t>
      </w:r>
    </w:p>
    <w:p w14:paraId="2A4B33C8" w14:textId="78F49B26" w:rsidR="00267C1E" w:rsidRPr="00CE47DD" w:rsidRDefault="00CE47DD" w:rsidP="00214A32">
      <w:pPr>
        <w:spacing w:before="120"/>
        <w:ind w:firstLine="720"/>
        <w:jc w:val="both"/>
        <w:rPr>
          <w:szCs w:val="28"/>
        </w:rPr>
      </w:pPr>
      <w:r w:rsidRPr="00CE47DD">
        <w:rPr>
          <w:szCs w:val="28"/>
        </w:rPr>
        <w:t xml:space="preserve">No minētā varam secināt, ka </w:t>
      </w:r>
      <w:r>
        <w:rPr>
          <w:szCs w:val="28"/>
        </w:rPr>
        <w:t>ieviešot “vienīgā īpašuma” principu</w:t>
      </w:r>
      <w:r w:rsidR="00B53A4D">
        <w:rPr>
          <w:szCs w:val="28"/>
        </w:rPr>
        <w:t xml:space="preserve"> pastāv risk</w:t>
      </w:r>
      <w:r w:rsidR="00200E33">
        <w:rPr>
          <w:szCs w:val="28"/>
        </w:rPr>
        <w:t>s</w:t>
      </w:r>
      <w:r w:rsidR="00B53A4D">
        <w:rPr>
          <w:szCs w:val="28"/>
        </w:rPr>
        <w:t>, ka</w:t>
      </w:r>
      <w:r w:rsidR="00433A46">
        <w:rPr>
          <w:szCs w:val="28"/>
        </w:rPr>
        <w:t xml:space="preserve">, ja </w:t>
      </w:r>
      <w:r w:rsidR="006A24CB">
        <w:rPr>
          <w:szCs w:val="28"/>
        </w:rPr>
        <w:t xml:space="preserve">liela daļa </w:t>
      </w:r>
      <w:r w:rsidR="00433A46">
        <w:rPr>
          <w:szCs w:val="28"/>
        </w:rPr>
        <w:t>īpašniek</w:t>
      </w:r>
      <w:r w:rsidR="006A24CB">
        <w:rPr>
          <w:szCs w:val="28"/>
        </w:rPr>
        <w:t>u</w:t>
      </w:r>
      <w:r w:rsidR="00433A46">
        <w:rPr>
          <w:szCs w:val="28"/>
        </w:rPr>
        <w:t xml:space="preserve"> izvair</w:t>
      </w:r>
      <w:r w:rsidR="006A24CB">
        <w:rPr>
          <w:szCs w:val="28"/>
        </w:rPr>
        <w:t>īsies</w:t>
      </w:r>
      <w:r w:rsidR="00433A46">
        <w:rPr>
          <w:szCs w:val="28"/>
        </w:rPr>
        <w:t xml:space="preserve"> no nodokļa maksāšanas,</w:t>
      </w:r>
      <w:r w:rsidR="00B53A4D">
        <w:rPr>
          <w:szCs w:val="28"/>
        </w:rPr>
        <w:t xml:space="preserve"> </w:t>
      </w:r>
      <w:r w:rsidR="004F5111">
        <w:rPr>
          <w:szCs w:val="28"/>
        </w:rPr>
        <w:t xml:space="preserve">pašvaldību budžetos gada laikā </w:t>
      </w:r>
      <w:r w:rsidR="00B53A4D">
        <w:rPr>
          <w:szCs w:val="28"/>
        </w:rPr>
        <w:t xml:space="preserve">var </w:t>
      </w:r>
      <w:r w:rsidR="004F5111">
        <w:rPr>
          <w:szCs w:val="28"/>
        </w:rPr>
        <w:t>tik</w:t>
      </w:r>
      <w:r w:rsidR="00B53A4D">
        <w:rPr>
          <w:szCs w:val="28"/>
        </w:rPr>
        <w:t>t</w:t>
      </w:r>
      <w:r w:rsidR="004F5111">
        <w:rPr>
          <w:szCs w:val="28"/>
        </w:rPr>
        <w:t xml:space="preserve"> zaudēti</w:t>
      </w:r>
      <w:r w:rsidR="00D57451">
        <w:rPr>
          <w:szCs w:val="28"/>
        </w:rPr>
        <w:t xml:space="preserve"> </w:t>
      </w:r>
      <w:r w:rsidR="00B53A4D" w:rsidRPr="004378A3">
        <w:rPr>
          <w:szCs w:val="28"/>
        </w:rPr>
        <w:t>līdz</w:t>
      </w:r>
      <w:r w:rsidR="00D57451" w:rsidRPr="004378A3">
        <w:rPr>
          <w:szCs w:val="28"/>
        </w:rPr>
        <w:t xml:space="preserve"> 21</w:t>
      </w:r>
      <w:r w:rsidR="00D57451">
        <w:rPr>
          <w:szCs w:val="28"/>
        </w:rPr>
        <w:t xml:space="preserve"> milj. </w:t>
      </w:r>
      <w:proofErr w:type="spellStart"/>
      <w:r w:rsidR="00D57451" w:rsidRPr="00D44CB6">
        <w:rPr>
          <w:i/>
          <w:szCs w:val="28"/>
        </w:rPr>
        <w:t>euro</w:t>
      </w:r>
      <w:proofErr w:type="spellEnd"/>
      <w:r w:rsidR="00D57451">
        <w:rPr>
          <w:szCs w:val="28"/>
        </w:rPr>
        <w:t>, kas ir būtisks ienākumu apjoms, kas tiek izlietots pašvaldību autonomo funkciju veikšanai.</w:t>
      </w:r>
      <w:r w:rsidR="009C7A26">
        <w:rPr>
          <w:szCs w:val="28"/>
        </w:rPr>
        <w:t xml:space="preserve"> </w:t>
      </w:r>
      <w:r w:rsidR="00B53A4D">
        <w:rPr>
          <w:szCs w:val="28"/>
        </w:rPr>
        <w:t>P</w:t>
      </w:r>
      <w:r w:rsidR="009C7A26">
        <w:rPr>
          <w:szCs w:val="28"/>
        </w:rPr>
        <w:t>rognozē</w:t>
      </w:r>
      <w:r w:rsidR="00B53A4D">
        <w:rPr>
          <w:szCs w:val="28"/>
        </w:rPr>
        <w:t>jams</w:t>
      </w:r>
      <w:r w:rsidR="009C7A26">
        <w:rPr>
          <w:szCs w:val="28"/>
        </w:rPr>
        <w:t>, ka atsevišķ</w:t>
      </w:r>
      <w:r w:rsidR="00BB7BE0">
        <w:rPr>
          <w:szCs w:val="28"/>
        </w:rPr>
        <w:t>ā</w:t>
      </w:r>
      <w:r w:rsidR="009C7A26">
        <w:rPr>
          <w:szCs w:val="28"/>
        </w:rPr>
        <w:t xml:space="preserve">s pašvaldībās nekustamā īpašuma nodokļa ieņēmumu samazinājums </w:t>
      </w:r>
      <w:r w:rsidR="00B53A4D">
        <w:rPr>
          <w:szCs w:val="28"/>
        </w:rPr>
        <w:t xml:space="preserve">varētu </w:t>
      </w:r>
      <w:r w:rsidR="009C7A26">
        <w:rPr>
          <w:szCs w:val="28"/>
        </w:rPr>
        <w:t>bū</w:t>
      </w:r>
      <w:r w:rsidR="00B53A4D">
        <w:rPr>
          <w:szCs w:val="28"/>
        </w:rPr>
        <w:t>t</w:t>
      </w:r>
      <w:r w:rsidR="009C7A26">
        <w:rPr>
          <w:szCs w:val="28"/>
        </w:rPr>
        <w:t xml:space="preserve"> </w:t>
      </w:r>
      <w:r w:rsidR="00BB7BE0">
        <w:rPr>
          <w:szCs w:val="28"/>
        </w:rPr>
        <w:t>ļoti</w:t>
      </w:r>
      <w:r w:rsidR="009C7A26">
        <w:rPr>
          <w:szCs w:val="28"/>
        </w:rPr>
        <w:t xml:space="preserve"> būtisks</w:t>
      </w:r>
      <w:r w:rsidR="00266E14">
        <w:rPr>
          <w:szCs w:val="28"/>
        </w:rPr>
        <w:t>, tai pat laikā nodokļu maksātāj</w:t>
      </w:r>
      <w:r w:rsidR="00485086">
        <w:rPr>
          <w:szCs w:val="28"/>
        </w:rPr>
        <w:t>u ieguvums būtu</w:t>
      </w:r>
      <w:r w:rsidR="00266E14">
        <w:rPr>
          <w:szCs w:val="28"/>
        </w:rPr>
        <w:t xml:space="preserve"> ļoti nevienmērīgs (visvairāk iegūtu tie, kuriem pieder dārgāki īpašumi).</w:t>
      </w:r>
    </w:p>
    <w:p w14:paraId="220E51A1" w14:textId="77777777" w:rsidR="00267C1E" w:rsidRPr="00CE47DD" w:rsidRDefault="00267C1E" w:rsidP="00BE0663">
      <w:pPr>
        <w:ind w:firstLine="720"/>
        <w:jc w:val="both"/>
        <w:rPr>
          <w:szCs w:val="28"/>
          <w:u w:val="single"/>
        </w:rPr>
      </w:pPr>
    </w:p>
    <w:p w14:paraId="1A5E5C64" w14:textId="77777777" w:rsidR="001A6CBF" w:rsidRDefault="001A6CBF" w:rsidP="003C4B95">
      <w:pPr>
        <w:ind w:firstLine="720"/>
        <w:jc w:val="both"/>
        <w:rPr>
          <w:szCs w:val="28"/>
        </w:rPr>
      </w:pPr>
      <w:r>
        <w:rPr>
          <w:szCs w:val="28"/>
        </w:rPr>
        <w:t>5</w:t>
      </w:r>
      <w:r w:rsidR="001736AC">
        <w:rPr>
          <w:szCs w:val="28"/>
        </w:rPr>
        <w:t>.</w:t>
      </w:r>
      <w:r w:rsidR="00930A1E">
        <w:rPr>
          <w:szCs w:val="28"/>
        </w:rPr>
        <w:t xml:space="preserve"> </w:t>
      </w:r>
      <w:r w:rsidR="001736AC">
        <w:rPr>
          <w:szCs w:val="28"/>
        </w:rPr>
        <w:t>Š</w:t>
      </w:r>
      <w:r w:rsidR="00964E00">
        <w:rPr>
          <w:szCs w:val="28"/>
        </w:rPr>
        <w:t xml:space="preserve">āda </w:t>
      </w:r>
      <w:r w:rsidR="00DA100A">
        <w:rPr>
          <w:szCs w:val="28"/>
        </w:rPr>
        <w:t>principa</w:t>
      </w:r>
      <w:r w:rsidR="00964E00">
        <w:rPr>
          <w:szCs w:val="28"/>
        </w:rPr>
        <w:t xml:space="preserve"> administrēšana ir samērā sarežģīta un tā ieviešana prasa finansiālus ieguldījumus</w:t>
      </w:r>
      <w:r w:rsidR="001736AC">
        <w:rPr>
          <w:szCs w:val="28"/>
        </w:rPr>
        <w:t xml:space="preserve"> gan no valsts puses, gan no pašvaldību puses. </w:t>
      </w:r>
      <w:r w:rsidR="00405106">
        <w:rPr>
          <w:szCs w:val="28"/>
        </w:rPr>
        <w:t>Apzinot dažādas informācijas ieguves iespējas, i</w:t>
      </w:r>
      <w:r w:rsidR="00405106" w:rsidRPr="00405106">
        <w:rPr>
          <w:szCs w:val="28"/>
        </w:rPr>
        <w:t>r secināts, ka nodokļa administrācijai nepieciešamo informāciju daļēji nav iespējams iegūt, jo nav iespējams savietot valstī esošā</w:t>
      </w:r>
      <w:r w:rsidR="00405106">
        <w:rPr>
          <w:szCs w:val="28"/>
        </w:rPr>
        <w:t>s dažādas informācijas sistēmas</w:t>
      </w:r>
      <w:r w:rsidR="0030448F">
        <w:rPr>
          <w:szCs w:val="28"/>
        </w:rPr>
        <w:t>.</w:t>
      </w:r>
      <w:r w:rsidR="001736AC">
        <w:rPr>
          <w:szCs w:val="28"/>
        </w:rPr>
        <w:t xml:space="preserve"> </w:t>
      </w:r>
    </w:p>
    <w:p w14:paraId="310B2612" w14:textId="77777777" w:rsidR="00964E00" w:rsidRDefault="0030448F" w:rsidP="003C4B95">
      <w:pPr>
        <w:ind w:firstLine="720"/>
        <w:jc w:val="both"/>
        <w:rPr>
          <w:szCs w:val="28"/>
        </w:rPr>
      </w:pPr>
      <w:r>
        <w:rPr>
          <w:szCs w:val="28"/>
        </w:rPr>
        <w:t>Kā piemēru var minēt, ka p</w:t>
      </w:r>
      <w:r w:rsidR="00925EB4">
        <w:rPr>
          <w:szCs w:val="28"/>
        </w:rPr>
        <w:t>ēc SIA “ZZ</w:t>
      </w:r>
      <w:r w:rsidR="00C73F00">
        <w:rPr>
          <w:szCs w:val="28"/>
        </w:rPr>
        <w:t xml:space="preserve"> </w:t>
      </w:r>
      <w:proofErr w:type="spellStart"/>
      <w:r w:rsidR="00925EB4">
        <w:rPr>
          <w:szCs w:val="28"/>
        </w:rPr>
        <w:t>Dats</w:t>
      </w:r>
      <w:proofErr w:type="spellEnd"/>
      <w:r w:rsidR="00925EB4">
        <w:rPr>
          <w:szCs w:val="28"/>
        </w:rPr>
        <w:t>”</w:t>
      </w:r>
      <w:r w:rsidR="001A6CBF">
        <w:rPr>
          <w:szCs w:val="28"/>
        </w:rPr>
        <w:t xml:space="preserve"> (kas ir nekustamā īpašuma nodokļa</w:t>
      </w:r>
      <w:r w:rsidR="001A6CBF" w:rsidRPr="001A6CBF">
        <w:rPr>
          <w:szCs w:val="28"/>
        </w:rPr>
        <w:t xml:space="preserve"> administrēšanas sistēm</w:t>
      </w:r>
      <w:r w:rsidR="001A6CBF">
        <w:rPr>
          <w:szCs w:val="28"/>
        </w:rPr>
        <w:t>as</w:t>
      </w:r>
      <w:r w:rsidR="001A6CBF" w:rsidRPr="001A6CBF">
        <w:rPr>
          <w:szCs w:val="28"/>
        </w:rPr>
        <w:t xml:space="preserve"> NINO</w:t>
      </w:r>
      <w:r w:rsidR="001A6CBF">
        <w:rPr>
          <w:szCs w:val="28"/>
        </w:rPr>
        <w:t xml:space="preserve"> uzturētājs, kuras ietvaros tiek veikta informācijas sagatavošan</w:t>
      </w:r>
      <w:r w:rsidR="00AD66D9">
        <w:rPr>
          <w:szCs w:val="28"/>
        </w:rPr>
        <w:t>a</w:t>
      </w:r>
      <w:r w:rsidR="001A6CBF">
        <w:rPr>
          <w:szCs w:val="28"/>
        </w:rPr>
        <w:t xml:space="preserve"> visām pašvaldībām </w:t>
      </w:r>
      <w:r w:rsidR="0063308C">
        <w:rPr>
          <w:szCs w:val="28"/>
        </w:rPr>
        <w:t xml:space="preserve">saistībā </w:t>
      </w:r>
      <w:r w:rsidR="001A6CBF">
        <w:rPr>
          <w:szCs w:val="28"/>
        </w:rPr>
        <w:t>ar nekustamajiem īpašumiem</w:t>
      </w:r>
      <w:r w:rsidR="0063308C">
        <w:rPr>
          <w:szCs w:val="28"/>
        </w:rPr>
        <w:t>)</w:t>
      </w:r>
      <w:r w:rsidR="00925EB4">
        <w:rPr>
          <w:szCs w:val="28"/>
        </w:rPr>
        <w:t xml:space="preserve"> sniegtās </w:t>
      </w:r>
      <w:r w:rsidR="0063308C" w:rsidRPr="0063308C">
        <w:rPr>
          <w:szCs w:val="28"/>
        </w:rPr>
        <w:t xml:space="preserve">provizoriskās </w:t>
      </w:r>
      <w:r w:rsidR="00925EB4">
        <w:rPr>
          <w:szCs w:val="28"/>
        </w:rPr>
        <w:t xml:space="preserve">informācijas “vienīgā mājokļa” principu varētu piemērot </w:t>
      </w:r>
      <w:r w:rsidR="007B46CA">
        <w:rPr>
          <w:szCs w:val="28"/>
        </w:rPr>
        <w:t xml:space="preserve">aptuveni </w:t>
      </w:r>
      <w:r w:rsidR="003B44A5">
        <w:rPr>
          <w:szCs w:val="28"/>
        </w:rPr>
        <w:t>63</w:t>
      </w:r>
      <w:r w:rsidR="00925EB4" w:rsidRPr="00925EB4">
        <w:rPr>
          <w:szCs w:val="28"/>
        </w:rPr>
        <w:t xml:space="preserve">% </w:t>
      </w:r>
      <w:r w:rsidR="00925EB4">
        <w:rPr>
          <w:szCs w:val="28"/>
        </w:rPr>
        <w:t>īpašum</w:t>
      </w:r>
      <w:r w:rsidR="007B46CA">
        <w:rPr>
          <w:szCs w:val="28"/>
        </w:rPr>
        <w:t>u</w:t>
      </w:r>
      <w:r w:rsidR="00925EB4">
        <w:rPr>
          <w:szCs w:val="28"/>
        </w:rPr>
        <w:t xml:space="preserve"> </w:t>
      </w:r>
      <w:r w:rsidR="00925EB4" w:rsidRPr="00925EB4">
        <w:rPr>
          <w:szCs w:val="28"/>
        </w:rPr>
        <w:t>no kopēj</w:t>
      </w:r>
      <w:r w:rsidR="00925EB4">
        <w:rPr>
          <w:szCs w:val="28"/>
        </w:rPr>
        <w:t>ā</w:t>
      </w:r>
      <w:r w:rsidR="00925EB4" w:rsidRPr="00925EB4">
        <w:rPr>
          <w:szCs w:val="28"/>
        </w:rPr>
        <w:t xml:space="preserve"> īpašumu skaita, </w:t>
      </w:r>
      <w:r w:rsidR="003B44A5">
        <w:rPr>
          <w:szCs w:val="28"/>
        </w:rPr>
        <w:t>kuros ir dzīvojamie objekti (47</w:t>
      </w:r>
      <w:r w:rsidR="00925EB4" w:rsidRPr="00925EB4">
        <w:rPr>
          <w:szCs w:val="28"/>
        </w:rPr>
        <w:t xml:space="preserve">% ir dzīvokļa īpašumi, </w:t>
      </w:r>
      <w:r w:rsidR="00AD66D9">
        <w:rPr>
          <w:szCs w:val="28"/>
        </w:rPr>
        <w:t>kas</w:t>
      </w:r>
      <w:r w:rsidR="00925EB4" w:rsidRPr="00925EB4">
        <w:rPr>
          <w:szCs w:val="28"/>
        </w:rPr>
        <w:t xml:space="preserve"> </w:t>
      </w:r>
      <w:r w:rsidR="00AD66D9" w:rsidRPr="00925EB4">
        <w:rPr>
          <w:szCs w:val="28"/>
        </w:rPr>
        <w:t xml:space="preserve">ir </w:t>
      </w:r>
      <w:r w:rsidR="00925EB4" w:rsidRPr="00925EB4">
        <w:rPr>
          <w:szCs w:val="28"/>
        </w:rPr>
        <w:t>maksātāja vienīgais īpašum</w:t>
      </w:r>
      <w:r w:rsidR="00925EB4">
        <w:rPr>
          <w:szCs w:val="28"/>
        </w:rPr>
        <w:t>s un 1</w:t>
      </w:r>
      <w:r w:rsidR="007B46CA">
        <w:rPr>
          <w:szCs w:val="28"/>
        </w:rPr>
        <w:t>6</w:t>
      </w:r>
      <w:r w:rsidR="00925EB4" w:rsidRPr="00925EB4">
        <w:rPr>
          <w:szCs w:val="28"/>
        </w:rPr>
        <w:t>% ir “privātmājas”</w:t>
      </w:r>
      <w:r w:rsidR="00925EB4">
        <w:rPr>
          <w:szCs w:val="28"/>
        </w:rPr>
        <w:t>,</w:t>
      </w:r>
      <w:r w:rsidR="00925EB4" w:rsidRPr="00925EB4">
        <w:rPr>
          <w:szCs w:val="28"/>
        </w:rPr>
        <w:t xml:space="preserve"> kas ir </w:t>
      </w:r>
      <w:r w:rsidR="00AD66D9">
        <w:rPr>
          <w:szCs w:val="28"/>
        </w:rPr>
        <w:t xml:space="preserve">maksātāja </w:t>
      </w:r>
      <w:r w:rsidR="00925EB4" w:rsidRPr="00925EB4">
        <w:rPr>
          <w:szCs w:val="28"/>
        </w:rPr>
        <w:t xml:space="preserve">vienīgais </w:t>
      </w:r>
      <w:r w:rsidR="00AD66D9">
        <w:rPr>
          <w:szCs w:val="28"/>
        </w:rPr>
        <w:t>īpašums</w:t>
      </w:r>
      <w:r w:rsidR="00925EB4" w:rsidRPr="00925EB4">
        <w:rPr>
          <w:szCs w:val="28"/>
        </w:rPr>
        <w:t>). Savukārt pārējos 37% gadījum</w:t>
      </w:r>
      <w:r w:rsidR="007B46CA">
        <w:rPr>
          <w:szCs w:val="28"/>
        </w:rPr>
        <w:t>u</w:t>
      </w:r>
      <w:r w:rsidR="00925EB4" w:rsidRPr="00925EB4">
        <w:rPr>
          <w:szCs w:val="28"/>
        </w:rPr>
        <w:t xml:space="preserve"> šādas normas piemērošana būtu apgrūtināta</w:t>
      </w:r>
      <w:r w:rsidR="00F36172">
        <w:rPr>
          <w:szCs w:val="28"/>
        </w:rPr>
        <w:t>, jo</w:t>
      </w:r>
      <w:r w:rsidR="00F36172" w:rsidRPr="00F36172">
        <w:t xml:space="preserve"> </w:t>
      </w:r>
      <w:r w:rsidR="00F36172" w:rsidRPr="00F36172">
        <w:rPr>
          <w:szCs w:val="28"/>
        </w:rPr>
        <w:t xml:space="preserve">pārējos gadījumos nodokļa administratoriem būs jāveic </w:t>
      </w:r>
      <w:r w:rsidR="00F36172">
        <w:rPr>
          <w:szCs w:val="28"/>
        </w:rPr>
        <w:t xml:space="preserve">rūpīga </w:t>
      </w:r>
      <w:r w:rsidR="00F36172" w:rsidRPr="00F36172">
        <w:rPr>
          <w:szCs w:val="28"/>
        </w:rPr>
        <w:t>datu izvērtēšana</w:t>
      </w:r>
      <w:r w:rsidR="00925EB4" w:rsidRPr="00925EB4">
        <w:rPr>
          <w:szCs w:val="28"/>
        </w:rPr>
        <w:t>.</w:t>
      </w:r>
      <w:r w:rsidR="00925EB4">
        <w:rPr>
          <w:szCs w:val="28"/>
        </w:rPr>
        <w:t xml:space="preserve"> </w:t>
      </w:r>
      <w:r w:rsidR="001736AC">
        <w:rPr>
          <w:szCs w:val="28"/>
        </w:rPr>
        <w:t>Tādēļ, lai pielāgotu dažādas datu sistēmas un programmas jaunajiem kritērijiem, būs nepieciešami gan papildu finansiālie līdzekļi, gan lieli laika resursu patēriņi.</w:t>
      </w:r>
    </w:p>
    <w:p w14:paraId="13C04DCB" w14:textId="77777777" w:rsidR="009B47A7" w:rsidRDefault="009B47A7" w:rsidP="00F0055E">
      <w:pPr>
        <w:widowControl w:val="0"/>
        <w:tabs>
          <w:tab w:val="left" w:pos="6740"/>
        </w:tabs>
        <w:suppressAutoHyphens w:val="0"/>
        <w:autoSpaceDN/>
        <w:ind w:firstLine="709"/>
        <w:jc w:val="both"/>
        <w:textAlignment w:val="auto"/>
        <w:rPr>
          <w:szCs w:val="28"/>
          <w:u w:val="single"/>
        </w:rPr>
      </w:pPr>
    </w:p>
    <w:p w14:paraId="537522A3" w14:textId="77777777" w:rsidR="00F0055E" w:rsidRDefault="00F0055E" w:rsidP="00F0055E">
      <w:pPr>
        <w:widowControl w:val="0"/>
        <w:tabs>
          <w:tab w:val="left" w:pos="6740"/>
        </w:tabs>
        <w:suppressAutoHyphens w:val="0"/>
        <w:autoSpaceDN/>
        <w:ind w:firstLine="709"/>
        <w:jc w:val="both"/>
        <w:textAlignment w:val="auto"/>
        <w:rPr>
          <w:szCs w:val="28"/>
        </w:rPr>
      </w:pPr>
      <w:r w:rsidRPr="00C171C5">
        <w:rPr>
          <w:szCs w:val="28"/>
          <w:u w:val="single"/>
        </w:rPr>
        <w:t>Ja vienīgā mājokļa definīcijā tiek iekļauta arī zeme</w:t>
      </w:r>
      <w:r w:rsidRPr="005D1718">
        <w:rPr>
          <w:szCs w:val="28"/>
        </w:rPr>
        <w:t>,</w:t>
      </w:r>
      <w:r>
        <w:rPr>
          <w:szCs w:val="28"/>
        </w:rPr>
        <w:t xml:space="preserve"> tiek radītas papildu problēmas vienīgā īpašuma noteikšanai un tiks radīta nevienlīdzīga nodokļa piemērošanā dažādiem nodokļa maksātājiem. </w:t>
      </w:r>
    </w:p>
    <w:p w14:paraId="4FBEA267" w14:textId="77777777" w:rsidR="00F0055E" w:rsidRDefault="00F0055E" w:rsidP="00F0055E">
      <w:pPr>
        <w:widowControl w:val="0"/>
        <w:tabs>
          <w:tab w:val="left" w:pos="6740"/>
        </w:tabs>
        <w:suppressAutoHyphens w:val="0"/>
        <w:autoSpaceDN/>
        <w:ind w:firstLine="709"/>
        <w:jc w:val="both"/>
        <w:textAlignment w:val="auto"/>
        <w:rPr>
          <w:szCs w:val="28"/>
        </w:rPr>
      </w:pPr>
      <w:r>
        <w:rPr>
          <w:szCs w:val="28"/>
        </w:rPr>
        <w:t>Pašreiz valstī ir sastopamas ļoti dažādas īpašumu sastāvu kombinācijas, piemēram: daudzos gadījumos ēkai vai dzīvokļa īpašumam vispār nav piesaistīta zeme (domājamā daļa no zemes); vienai ēkai (individuālai mājai) ir piesaistīta ļoti liela zemes platība (zemesgrāmatā ir reģistrēts kā viens īpašums); vienai ēkai vai dzīvokļa īpašumam ir piesaistītas zemes domājamās daļas no vairākiem zemes īpašumiem (kuri daļēji var piederēt vai nepiederēt vispār ēkas vai dzīvokļa īpašniekam); “</w:t>
      </w:r>
      <w:proofErr w:type="spellStart"/>
      <w:r>
        <w:rPr>
          <w:szCs w:val="28"/>
        </w:rPr>
        <w:t>pseidodalītie</w:t>
      </w:r>
      <w:proofErr w:type="spellEnd"/>
      <w:r>
        <w:rPr>
          <w:szCs w:val="28"/>
        </w:rPr>
        <w:t xml:space="preserve">” īpašumi, kur ir iespējamas dažādas ēku un zemju kombinācijas un attiecības gan platību, gan piederības (īpašnieku, reģistrācijas), gan lietošanas veidu (uz viena zemes gabala atrodas gan dzīvojamās ēkas, gan </w:t>
      </w:r>
      <w:proofErr w:type="spellStart"/>
      <w:r>
        <w:rPr>
          <w:szCs w:val="28"/>
        </w:rPr>
        <w:t>komercēkas</w:t>
      </w:r>
      <w:proofErr w:type="spellEnd"/>
      <w:r>
        <w:rPr>
          <w:szCs w:val="28"/>
        </w:rPr>
        <w:t>) ziņā.</w:t>
      </w:r>
    </w:p>
    <w:p w14:paraId="5F69256E" w14:textId="77777777" w:rsidR="00F0055E" w:rsidRDefault="00F0055E" w:rsidP="00F0055E">
      <w:pPr>
        <w:widowControl w:val="0"/>
        <w:tabs>
          <w:tab w:val="left" w:pos="6740"/>
        </w:tabs>
        <w:suppressAutoHyphens w:val="0"/>
        <w:autoSpaceDN/>
        <w:ind w:firstLine="709"/>
        <w:jc w:val="both"/>
        <w:textAlignment w:val="auto"/>
        <w:rPr>
          <w:szCs w:val="28"/>
        </w:rPr>
      </w:pPr>
      <w:r>
        <w:rPr>
          <w:szCs w:val="28"/>
        </w:rPr>
        <w:lastRenderedPageBreak/>
        <w:t xml:space="preserve">Vēršam uzmanību, ka, piemēram, Rīgā šādu sarežģītu </w:t>
      </w:r>
      <w:r w:rsidR="003B44A5">
        <w:rPr>
          <w:szCs w:val="28"/>
        </w:rPr>
        <w:t>dalījumu īpašumi ir aptuveni 54</w:t>
      </w:r>
      <w:r>
        <w:rPr>
          <w:szCs w:val="28"/>
        </w:rPr>
        <w:t>% no kopējiem dzīvo</w:t>
      </w:r>
      <w:r w:rsidR="00D405F7">
        <w:rPr>
          <w:szCs w:val="28"/>
        </w:rPr>
        <w:t>kļu</w:t>
      </w:r>
      <w:r>
        <w:rPr>
          <w:szCs w:val="28"/>
        </w:rPr>
        <w:t xml:space="preserve"> īpašumiem, kas nozīmē, ka</w:t>
      </w:r>
      <w:r w:rsidR="00890EEA">
        <w:rPr>
          <w:szCs w:val="28"/>
        </w:rPr>
        <w:t xml:space="preserve"> tikai</w:t>
      </w:r>
      <w:r>
        <w:rPr>
          <w:szCs w:val="28"/>
        </w:rPr>
        <w:t xml:space="preserve"> Rīgā “vienīgā mājokļa” principa ieviešanas rezultātā, atviegloto nodokļa režīmu nesaņemtu vairāk nekā puse dzīvo</w:t>
      </w:r>
      <w:r w:rsidR="00D405F7">
        <w:rPr>
          <w:szCs w:val="28"/>
        </w:rPr>
        <w:t>kļu</w:t>
      </w:r>
      <w:r>
        <w:rPr>
          <w:szCs w:val="28"/>
        </w:rPr>
        <w:t xml:space="preserve"> īpašumu īpašnieki. Ieguvēji no </w:t>
      </w:r>
      <w:r w:rsidRPr="00E253F0">
        <w:rPr>
          <w:szCs w:val="28"/>
        </w:rPr>
        <w:t>“vienīgā mājokļa” principa ieviešanas</w:t>
      </w:r>
      <w:r>
        <w:rPr>
          <w:szCs w:val="28"/>
        </w:rPr>
        <w:t xml:space="preserve"> būs vienīgi privātmāju īpašnieki</w:t>
      </w:r>
      <w:r w:rsidR="00890EEA">
        <w:rPr>
          <w:szCs w:val="28"/>
        </w:rPr>
        <w:t>, pie tam arī šis ieguvums būs ierobežots</w:t>
      </w:r>
      <w:r>
        <w:rPr>
          <w:szCs w:val="28"/>
        </w:rPr>
        <w:t>.</w:t>
      </w:r>
      <w:r w:rsidR="00F14D8D">
        <w:rPr>
          <w:szCs w:val="28"/>
        </w:rPr>
        <w:t xml:space="preserve"> </w:t>
      </w:r>
    </w:p>
    <w:p w14:paraId="5FCDC8E5" w14:textId="77777777" w:rsidR="005D1718" w:rsidRPr="00146BB1" w:rsidRDefault="005D1718" w:rsidP="005D1718">
      <w:pPr>
        <w:widowControl w:val="0"/>
        <w:tabs>
          <w:tab w:val="left" w:pos="6740"/>
        </w:tabs>
        <w:suppressAutoHyphens w:val="0"/>
        <w:autoSpaceDN/>
        <w:ind w:firstLine="709"/>
        <w:jc w:val="both"/>
        <w:textAlignment w:val="auto"/>
        <w:rPr>
          <w:szCs w:val="28"/>
        </w:rPr>
      </w:pPr>
      <w:r w:rsidRPr="00146BB1">
        <w:rPr>
          <w:szCs w:val="28"/>
        </w:rPr>
        <w:t xml:space="preserve">Galvenā problēma, </w:t>
      </w:r>
      <w:r>
        <w:rPr>
          <w:szCs w:val="28"/>
        </w:rPr>
        <w:t>šādas likuma normas piemērošanā</w:t>
      </w:r>
      <w:r w:rsidRPr="00146BB1">
        <w:rPr>
          <w:szCs w:val="28"/>
        </w:rPr>
        <w:t xml:space="preserve"> ir saistīta ar dzīvojamā objekta piekritīgās platības</w:t>
      </w:r>
      <w:r>
        <w:rPr>
          <w:szCs w:val="28"/>
        </w:rPr>
        <w:t xml:space="preserve"> (zemes)</w:t>
      </w:r>
      <w:r w:rsidRPr="00146BB1">
        <w:rPr>
          <w:szCs w:val="28"/>
        </w:rPr>
        <w:t xml:space="preserve"> noteikšanu. Analizējot datus ir novērojama sekojošas reģionālas atšķirības:</w:t>
      </w:r>
    </w:p>
    <w:p w14:paraId="74A0F485" w14:textId="77777777" w:rsidR="005D1718" w:rsidRPr="00146BB1" w:rsidRDefault="00E519D5" w:rsidP="005D1718">
      <w:pPr>
        <w:widowControl w:val="0"/>
        <w:tabs>
          <w:tab w:val="left" w:pos="6740"/>
        </w:tabs>
        <w:suppressAutoHyphens w:val="0"/>
        <w:autoSpaceDN/>
        <w:ind w:firstLine="709"/>
        <w:jc w:val="both"/>
        <w:textAlignment w:val="auto"/>
        <w:rPr>
          <w:szCs w:val="28"/>
        </w:rPr>
      </w:pPr>
      <w:r>
        <w:rPr>
          <w:szCs w:val="28"/>
        </w:rPr>
        <w:t>- p</w:t>
      </w:r>
      <w:r w:rsidR="005D1718" w:rsidRPr="00146BB1">
        <w:rPr>
          <w:szCs w:val="28"/>
        </w:rPr>
        <w:t xml:space="preserve">ilsētu gadījumā dominējošie faktori ir – uz zemes atrodas arī citas patstāvīgas ēkas, ēkas ir </w:t>
      </w:r>
      <w:r w:rsidR="005D1718">
        <w:rPr>
          <w:szCs w:val="28"/>
        </w:rPr>
        <w:t xml:space="preserve">reģistrētu </w:t>
      </w:r>
      <w:r w:rsidR="005D1718" w:rsidRPr="00146BB1">
        <w:rPr>
          <w:szCs w:val="28"/>
        </w:rPr>
        <w:t>ēku un būvju īpašuma sastāvā</w:t>
      </w:r>
      <w:r>
        <w:rPr>
          <w:szCs w:val="28"/>
        </w:rPr>
        <w:t>;</w:t>
      </w:r>
    </w:p>
    <w:p w14:paraId="5DD191C5" w14:textId="77777777" w:rsidR="005D1718" w:rsidRPr="00146BB1" w:rsidRDefault="00E519D5" w:rsidP="005D1718">
      <w:pPr>
        <w:widowControl w:val="0"/>
        <w:tabs>
          <w:tab w:val="left" w:pos="6740"/>
        </w:tabs>
        <w:suppressAutoHyphens w:val="0"/>
        <w:autoSpaceDN/>
        <w:ind w:firstLine="709"/>
        <w:jc w:val="both"/>
        <w:textAlignment w:val="auto"/>
        <w:rPr>
          <w:szCs w:val="28"/>
        </w:rPr>
      </w:pPr>
      <w:r>
        <w:rPr>
          <w:szCs w:val="28"/>
        </w:rPr>
        <w:t>- n</w:t>
      </w:r>
      <w:r w:rsidR="005D1718">
        <w:rPr>
          <w:szCs w:val="28"/>
        </w:rPr>
        <w:t>ovados</w:t>
      </w:r>
      <w:r w:rsidR="005D1718" w:rsidRPr="00146BB1">
        <w:rPr>
          <w:szCs w:val="28"/>
        </w:rPr>
        <w:t xml:space="preserve"> ievērojami lielāka tendence ir gadījumiem, kad īpašuma sastāvā ir</w:t>
      </w:r>
      <w:r>
        <w:rPr>
          <w:szCs w:val="28"/>
        </w:rPr>
        <w:t xml:space="preserve"> vairāk kā viena zemes vienība;</w:t>
      </w:r>
    </w:p>
    <w:p w14:paraId="4BD20B5B" w14:textId="77777777" w:rsidR="005D1718" w:rsidRDefault="00E519D5" w:rsidP="005D1718">
      <w:pPr>
        <w:widowControl w:val="0"/>
        <w:tabs>
          <w:tab w:val="left" w:pos="6740"/>
        </w:tabs>
        <w:suppressAutoHyphens w:val="0"/>
        <w:autoSpaceDN/>
        <w:ind w:firstLine="709"/>
        <w:jc w:val="both"/>
        <w:textAlignment w:val="auto"/>
        <w:rPr>
          <w:szCs w:val="28"/>
        </w:rPr>
      </w:pPr>
      <w:r>
        <w:rPr>
          <w:szCs w:val="28"/>
        </w:rPr>
        <w:t>- g</w:t>
      </w:r>
      <w:r w:rsidR="005D1718">
        <w:rPr>
          <w:szCs w:val="28"/>
        </w:rPr>
        <w:t xml:space="preserve">an pilsētās, gan novados </w:t>
      </w:r>
      <w:r>
        <w:rPr>
          <w:szCs w:val="28"/>
        </w:rPr>
        <w:t>pastāv tendence</w:t>
      </w:r>
      <w:r w:rsidR="005D1718" w:rsidRPr="00146BB1">
        <w:rPr>
          <w:szCs w:val="28"/>
        </w:rPr>
        <w:t xml:space="preserve">, ka ēkā ir reģistrētas </w:t>
      </w:r>
      <w:r>
        <w:rPr>
          <w:szCs w:val="28"/>
        </w:rPr>
        <w:t xml:space="preserve">ne tikai dzīvojamās telpu grupas, bet arī </w:t>
      </w:r>
      <w:r w:rsidR="005D1718" w:rsidRPr="00146BB1">
        <w:rPr>
          <w:szCs w:val="28"/>
        </w:rPr>
        <w:t>nedzīvojamās telpu grupas</w:t>
      </w:r>
      <w:r>
        <w:rPr>
          <w:szCs w:val="28"/>
        </w:rPr>
        <w:t xml:space="preserve"> (kuras nav koplietošanas telpu grupas).</w:t>
      </w:r>
    </w:p>
    <w:p w14:paraId="540A8543" w14:textId="77777777" w:rsidR="001736AC" w:rsidRDefault="001D17F7" w:rsidP="00067852">
      <w:pPr>
        <w:ind w:firstLine="720"/>
        <w:jc w:val="both"/>
        <w:rPr>
          <w:szCs w:val="28"/>
        </w:rPr>
      </w:pPr>
      <w:r w:rsidRPr="004851D9">
        <w:rPr>
          <w:szCs w:val="28"/>
        </w:rPr>
        <w:t xml:space="preserve">Arī jaunākajā Pasaules Bankas pētījumā par Latvijas nodokļu sistēmu, tiek norādīts, ka pastāv negatīva korelācija starp nekustamajiem īpašumiem un iedzīvotāju ienākumiem – iedzīvotājiem ar lieliem ienākumiem, galvenokārt, pieder nekustamais īpašums, bet iedzīvotāji ar maziem ienākumiem, galvenokārt, īrē savu dzīvesvietu. </w:t>
      </w:r>
      <w:r w:rsidRPr="004D3924">
        <w:rPr>
          <w:szCs w:val="28"/>
        </w:rPr>
        <w:t>Pasaules Banka norāda, ka ieteicamākais risinājums Latvijai ir turpināt pilnveidot kadastrālās vērtēšanas procesu, nevis veikt izmaiņas nekustamā īpašuma nodokļa likmēs vai piemērotajos atbrīvojumos no nekustamā īpašuma nodokļa. Saskaņā ar maksātspējas principa ievērošanu, kadastrālajam vērtēšanas procesam ir jābūt vienādam visiem dzīvošanai paredzētajiem īpašumiem. Tas ļauj nodrošināt, ka nekustamā īpašuma nodoklis ir konkrēti saistīts ar nekustamā īpašuma kadastrālo vērtību (protams, pieņemot, ka jebkuru nekustamā īpašuma nodokļa sloga palielinājumu, daudzīvokļu māju īpašnieki iekļaus nomas maksā saviem īrniekiem). Neskatoties uz iepriekš minētajiem iebildumiem, šāda sasaiste (nekustamā īpašuma nodoklis un kadastrālā vērtība) ļauj zināmā mērā nodrošināt, ka nekustamā īpašuma īpašnieks maksā tādu nekustamā īpašuma nodokli, kas atbilst viņa maksātspējai. Šajā ziņā, tas, ka kadastrālās vērtības lielākais pieaugums ir gaidāms jauno dzīvokļu projektiem, ir uzskatām par progresu, jo var pieņemt, ka cilvēki, kas iegādājas vai īrē dzīvokļus jaunajos projektos, ir maksātspējīgi.</w:t>
      </w:r>
    </w:p>
    <w:p w14:paraId="56257836" w14:textId="77777777" w:rsidR="00B4735F" w:rsidRDefault="00B4735F" w:rsidP="008142A2">
      <w:pPr>
        <w:pStyle w:val="ListParagraph"/>
        <w:ind w:left="1276" w:hanging="567"/>
        <w:jc w:val="both"/>
        <w:rPr>
          <w:b/>
          <w:i/>
          <w:szCs w:val="28"/>
          <w:u w:val="single"/>
        </w:rPr>
      </w:pPr>
    </w:p>
    <w:p w14:paraId="568456CB" w14:textId="77777777" w:rsidR="001736AC" w:rsidRPr="003B44A5" w:rsidRDefault="001736AC" w:rsidP="008142A2">
      <w:pPr>
        <w:pStyle w:val="ListParagraph"/>
        <w:ind w:left="1276" w:hanging="567"/>
        <w:jc w:val="both"/>
        <w:rPr>
          <w:b/>
          <w:i/>
          <w:szCs w:val="28"/>
          <w:u w:val="single"/>
        </w:rPr>
      </w:pPr>
      <w:r w:rsidRPr="003B44A5">
        <w:rPr>
          <w:b/>
          <w:i/>
          <w:szCs w:val="28"/>
          <w:u w:val="single"/>
        </w:rPr>
        <w:t>Secinājumi</w:t>
      </w:r>
      <w:r w:rsidR="003B44A5">
        <w:rPr>
          <w:b/>
          <w:i/>
          <w:szCs w:val="28"/>
          <w:u w:val="single"/>
        </w:rPr>
        <w:t>:</w:t>
      </w:r>
    </w:p>
    <w:p w14:paraId="2E028071" w14:textId="77777777" w:rsidR="00545010" w:rsidRPr="001D17F7" w:rsidRDefault="008142A2" w:rsidP="00E250C6">
      <w:pPr>
        <w:ind w:firstLine="720"/>
        <w:jc w:val="both"/>
        <w:rPr>
          <w:b/>
          <w:i/>
          <w:szCs w:val="28"/>
        </w:rPr>
      </w:pPr>
      <w:r w:rsidRPr="001D17F7">
        <w:rPr>
          <w:b/>
          <w:i/>
          <w:szCs w:val="28"/>
        </w:rPr>
        <w:t>“</w:t>
      </w:r>
      <w:r w:rsidRPr="00466332">
        <w:rPr>
          <w:b/>
          <w:i/>
          <w:szCs w:val="28"/>
        </w:rPr>
        <w:t xml:space="preserve">Vienīgā īpašuma” atbrīvošana no nekustamā īpašuma nodokļa neatbilst iepriekš minētajiem aprakstītajiem </w:t>
      </w:r>
      <w:r w:rsidR="004B6A90" w:rsidRPr="00466332">
        <w:rPr>
          <w:b/>
          <w:i/>
          <w:szCs w:val="28"/>
        </w:rPr>
        <w:t xml:space="preserve">nekustamā īpašuma nodokļa politikas </w:t>
      </w:r>
      <w:r w:rsidRPr="00466332">
        <w:rPr>
          <w:b/>
          <w:i/>
          <w:szCs w:val="28"/>
        </w:rPr>
        <w:t>principiem</w:t>
      </w:r>
      <w:r w:rsidR="004B6A90" w:rsidRPr="00466332">
        <w:rPr>
          <w:b/>
          <w:i/>
          <w:szCs w:val="28"/>
        </w:rPr>
        <w:t xml:space="preserve"> un nenodrošina Ministru kabineta dotā uzdevuma izpildi, t.i., </w:t>
      </w:r>
      <w:r w:rsidR="009A0F35" w:rsidRPr="00466332">
        <w:rPr>
          <w:b/>
          <w:i/>
          <w:szCs w:val="28"/>
        </w:rPr>
        <w:t>netiek nodrošināts samērīgs nekustamā īpašuma nodokļa sloga pieaugums, kā arī netiek izpildīts nosacījums par pašvaldību budžeta ieņēmumu nodrošināšanas nepieciešamību.</w:t>
      </w:r>
    </w:p>
    <w:p w14:paraId="31062899" w14:textId="77777777" w:rsidR="00911664" w:rsidRPr="001D17F7" w:rsidRDefault="001E6792" w:rsidP="00911664">
      <w:pPr>
        <w:ind w:firstLine="720"/>
        <w:jc w:val="both"/>
        <w:rPr>
          <w:i/>
          <w:szCs w:val="28"/>
          <w:u w:val="single"/>
        </w:rPr>
      </w:pPr>
      <w:r w:rsidRPr="001D17F7">
        <w:rPr>
          <w:i/>
          <w:szCs w:val="28"/>
          <w:u w:val="single"/>
        </w:rPr>
        <w:t xml:space="preserve">Minēto apliecina </w:t>
      </w:r>
      <w:r w:rsidR="00911664" w:rsidRPr="001D17F7">
        <w:rPr>
          <w:i/>
          <w:szCs w:val="28"/>
          <w:u w:val="single"/>
        </w:rPr>
        <w:t>izklāstīt</w:t>
      </w:r>
      <w:r w:rsidRPr="001D17F7">
        <w:rPr>
          <w:i/>
          <w:szCs w:val="28"/>
          <w:u w:val="single"/>
        </w:rPr>
        <w:t>ie</w:t>
      </w:r>
      <w:r w:rsidR="00911664" w:rsidRPr="001D17F7">
        <w:rPr>
          <w:i/>
          <w:szCs w:val="28"/>
          <w:u w:val="single"/>
        </w:rPr>
        <w:t xml:space="preserve"> risk</w:t>
      </w:r>
      <w:r w:rsidRPr="001D17F7">
        <w:rPr>
          <w:i/>
          <w:szCs w:val="28"/>
          <w:u w:val="single"/>
        </w:rPr>
        <w:t>i</w:t>
      </w:r>
      <w:r w:rsidR="00911664" w:rsidRPr="001D17F7">
        <w:rPr>
          <w:i/>
          <w:szCs w:val="28"/>
          <w:u w:val="single"/>
        </w:rPr>
        <w:t xml:space="preserve"> un iespējamās problēmas:</w:t>
      </w:r>
    </w:p>
    <w:p w14:paraId="54503C3D" w14:textId="77777777" w:rsidR="00911664" w:rsidRPr="001D17F7" w:rsidRDefault="001E6792" w:rsidP="00911664">
      <w:pPr>
        <w:pStyle w:val="ListParagraph"/>
        <w:numPr>
          <w:ilvl w:val="0"/>
          <w:numId w:val="19"/>
        </w:numPr>
        <w:tabs>
          <w:tab w:val="left" w:pos="720"/>
          <w:tab w:val="left" w:pos="1134"/>
        </w:tabs>
        <w:ind w:left="0" w:firstLine="720"/>
        <w:jc w:val="both"/>
        <w:rPr>
          <w:i/>
          <w:szCs w:val="28"/>
        </w:rPr>
      </w:pPr>
      <w:r w:rsidRPr="001D17F7">
        <w:rPr>
          <w:i/>
          <w:szCs w:val="28"/>
        </w:rPr>
        <w:lastRenderedPageBreak/>
        <w:t>Principa</w:t>
      </w:r>
      <w:r w:rsidR="00911664" w:rsidRPr="001D17F7">
        <w:rPr>
          <w:i/>
          <w:szCs w:val="28"/>
        </w:rPr>
        <w:t xml:space="preserve"> ieviešana rada būtisku - līdz 21 milj. </w:t>
      </w:r>
      <w:proofErr w:type="spellStart"/>
      <w:r w:rsidR="00911664" w:rsidRPr="001D17F7">
        <w:rPr>
          <w:i/>
          <w:szCs w:val="28"/>
        </w:rPr>
        <w:t>euro</w:t>
      </w:r>
      <w:proofErr w:type="spellEnd"/>
      <w:r w:rsidR="00911664" w:rsidRPr="001D17F7">
        <w:rPr>
          <w:i/>
          <w:szCs w:val="28"/>
        </w:rPr>
        <w:t xml:space="preserve"> (dati balstīti uz 2015.gada nekustamā īpašuma nodokļa ieņēmumu rezultātiem) </w:t>
      </w:r>
      <w:r w:rsidRPr="001D17F7">
        <w:rPr>
          <w:i/>
          <w:szCs w:val="28"/>
        </w:rPr>
        <w:t xml:space="preserve">- </w:t>
      </w:r>
      <w:r w:rsidR="00911664" w:rsidRPr="001D17F7">
        <w:rPr>
          <w:i/>
          <w:szCs w:val="28"/>
        </w:rPr>
        <w:t>negatīvu fiskālo ietekmi uz pašvaldību budžetiem. Tiek prognozēts, ka 2016.gadā un turpmāk minētā negatīvā fiskālā ietekme varētu vēl palielināties.</w:t>
      </w:r>
    </w:p>
    <w:p w14:paraId="2523D504" w14:textId="77777777" w:rsidR="00911664" w:rsidRPr="001D17F7" w:rsidRDefault="001E6792" w:rsidP="00911664">
      <w:pPr>
        <w:pStyle w:val="ListParagraph"/>
        <w:numPr>
          <w:ilvl w:val="0"/>
          <w:numId w:val="19"/>
        </w:numPr>
        <w:tabs>
          <w:tab w:val="left" w:pos="1134"/>
        </w:tabs>
        <w:ind w:left="0" w:firstLine="720"/>
        <w:jc w:val="both"/>
        <w:rPr>
          <w:i/>
          <w:szCs w:val="28"/>
        </w:rPr>
      </w:pPr>
      <w:r w:rsidRPr="001D17F7">
        <w:rPr>
          <w:i/>
          <w:szCs w:val="28"/>
        </w:rPr>
        <w:t>Principa</w:t>
      </w:r>
      <w:r w:rsidR="00911664" w:rsidRPr="001D17F7">
        <w:rPr>
          <w:i/>
          <w:szCs w:val="28"/>
        </w:rPr>
        <w:t xml:space="preserve"> ieviešana rada sarežģītu, dārgu un neefektīvu administrēšanas procesu. Tikai aptuveni 464 tūkst</w:t>
      </w:r>
      <w:r w:rsidR="003B44A5" w:rsidRPr="001D17F7">
        <w:rPr>
          <w:i/>
          <w:szCs w:val="28"/>
        </w:rPr>
        <w:t>. nodokļa maksātāju (kas ir ~63</w:t>
      </w:r>
      <w:r w:rsidR="00911664" w:rsidRPr="001D17F7">
        <w:rPr>
          <w:i/>
          <w:szCs w:val="28"/>
        </w:rPr>
        <w:t xml:space="preserve">% no kopējā nodokļu maksātāju skaita) automātiski varētu piemērot “vienīgā mājokļa” principu, pārējos gadījumos nodokļa administratoriem būs jāveic papildus datu </w:t>
      </w:r>
      <w:r w:rsidRPr="001D17F7">
        <w:rPr>
          <w:i/>
          <w:szCs w:val="28"/>
        </w:rPr>
        <w:t xml:space="preserve">apstrāde un </w:t>
      </w:r>
      <w:r w:rsidR="00911664" w:rsidRPr="001D17F7">
        <w:rPr>
          <w:i/>
          <w:szCs w:val="28"/>
        </w:rPr>
        <w:t>izvērtēšana. Līdz ar to, bū</w:t>
      </w:r>
      <w:r w:rsidRPr="001D17F7">
        <w:rPr>
          <w:i/>
          <w:szCs w:val="28"/>
        </w:rPr>
        <w:t>s</w:t>
      </w:r>
      <w:r w:rsidR="00911664" w:rsidRPr="001D17F7">
        <w:rPr>
          <w:i/>
          <w:szCs w:val="28"/>
        </w:rPr>
        <w:t xml:space="preserve"> jāveido dārgas papildus apstrādes sistēmas, kuras nodrošinā</w:t>
      </w:r>
      <w:r w:rsidRPr="001D17F7">
        <w:rPr>
          <w:i/>
          <w:szCs w:val="28"/>
        </w:rPr>
        <w:t>s</w:t>
      </w:r>
      <w:r w:rsidR="00911664" w:rsidRPr="001D17F7">
        <w:rPr>
          <w:i/>
          <w:szCs w:val="28"/>
        </w:rPr>
        <w:t xml:space="preserve"> iespēju </w:t>
      </w:r>
      <w:r w:rsidRPr="001D17F7">
        <w:rPr>
          <w:i/>
          <w:szCs w:val="28"/>
        </w:rPr>
        <w:t xml:space="preserve">apstrādāt datus un </w:t>
      </w:r>
      <w:r w:rsidR="00911664" w:rsidRPr="001D17F7">
        <w:rPr>
          <w:i/>
          <w:szCs w:val="28"/>
        </w:rPr>
        <w:t xml:space="preserve">piemērot “vienīgā mājokļa” principu </w:t>
      </w:r>
      <w:r w:rsidRPr="001D17F7">
        <w:rPr>
          <w:i/>
          <w:szCs w:val="28"/>
        </w:rPr>
        <w:t xml:space="preserve">arī vēl </w:t>
      </w:r>
      <w:r w:rsidR="00911664" w:rsidRPr="001D17F7">
        <w:rPr>
          <w:i/>
          <w:szCs w:val="28"/>
        </w:rPr>
        <w:t>citos sarežģīt</w:t>
      </w:r>
      <w:r w:rsidRPr="001D17F7">
        <w:rPr>
          <w:i/>
          <w:szCs w:val="28"/>
        </w:rPr>
        <w:t>āko</w:t>
      </w:r>
      <w:r w:rsidR="00911664" w:rsidRPr="001D17F7">
        <w:rPr>
          <w:i/>
          <w:szCs w:val="28"/>
        </w:rPr>
        <w:t>s gadījumos.</w:t>
      </w:r>
      <w:r w:rsidRPr="001D17F7">
        <w:rPr>
          <w:i/>
          <w:szCs w:val="28"/>
        </w:rPr>
        <w:t xml:space="preserve"> Valstī pastā</w:t>
      </w:r>
      <w:r w:rsidR="00B203A7" w:rsidRPr="001D17F7">
        <w:rPr>
          <w:i/>
          <w:szCs w:val="28"/>
        </w:rPr>
        <w:t>vošo datu sistēmu nepilnību dēļ</w:t>
      </w:r>
      <w:r w:rsidRPr="001D17F7">
        <w:rPr>
          <w:i/>
          <w:szCs w:val="28"/>
        </w:rPr>
        <w:t xml:space="preserve"> “vienīgā īpašuma” principa ieviešana pilnībā nav iespējama.</w:t>
      </w:r>
      <w:r w:rsidR="00266E14">
        <w:rPr>
          <w:i/>
          <w:szCs w:val="28"/>
        </w:rPr>
        <w:t xml:space="preserve"> Principa kombinācija ar kādu papildu nosacījumu, piemēram, neapliekamo kadastrālās vērtības summu vēl vairāk sarežģītu administrēšanu.</w:t>
      </w:r>
    </w:p>
    <w:p w14:paraId="6AAFC0A9" w14:textId="77777777" w:rsidR="00BE1723" w:rsidRPr="001D17F7" w:rsidRDefault="001E6792" w:rsidP="00174DDF">
      <w:pPr>
        <w:pStyle w:val="ListParagraph"/>
        <w:numPr>
          <w:ilvl w:val="0"/>
          <w:numId w:val="19"/>
        </w:numPr>
        <w:tabs>
          <w:tab w:val="left" w:pos="720"/>
          <w:tab w:val="left" w:pos="1134"/>
        </w:tabs>
        <w:ind w:left="0" w:firstLine="720"/>
        <w:jc w:val="both"/>
        <w:rPr>
          <w:i/>
          <w:szCs w:val="28"/>
        </w:rPr>
      </w:pPr>
      <w:r w:rsidRPr="001D17F7">
        <w:rPr>
          <w:i/>
          <w:szCs w:val="28"/>
        </w:rPr>
        <w:t xml:space="preserve">Principa ieviešana rada izvairīšanās iespējas no nekustamā īpašuma nodokļa maksājumiem. </w:t>
      </w:r>
      <w:r w:rsidR="00BE1723" w:rsidRPr="001D17F7">
        <w:rPr>
          <w:i/>
          <w:szCs w:val="28"/>
        </w:rPr>
        <w:t>Pastāv risks, ka ģimenes īpašumā (uz vienas personas vārda) esošie vairāki nekustamie īpašumi tiks pārreģistrēti uz katra ģimenes locekļa (t.sk. arī nepilngadīga bērna) vārda, tādējādi nodrošinot, ka katram ģimenes loceklim tas būtu vienīgais nekustamais īpašums. Tāpat principa ieviešana nenodrošina sociālā taisnīguma principu un rada nevienlīdzīgu attieksmi pret dažādu sociālo slāņu nekustamā īpašuma īpašniekiem</w:t>
      </w:r>
      <w:r w:rsidR="00BF500D" w:rsidRPr="001D17F7">
        <w:rPr>
          <w:i/>
          <w:szCs w:val="28"/>
        </w:rPr>
        <w:t xml:space="preserve"> (princips tiks piemērots gan maznodrošinātām personā, gan bagātām personām)</w:t>
      </w:r>
      <w:r w:rsidR="00BE1723" w:rsidRPr="001D17F7">
        <w:rPr>
          <w:i/>
          <w:szCs w:val="28"/>
        </w:rPr>
        <w:t>.</w:t>
      </w:r>
    </w:p>
    <w:p w14:paraId="737EF4CC" w14:textId="77777777" w:rsidR="00911664" w:rsidRPr="001D17F7" w:rsidRDefault="00174DDF" w:rsidP="00911664">
      <w:pPr>
        <w:pStyle w:val="ListParagraph"/>
        <w:numPr>
          <w:ilvl w:val="0"/>
          <w:numId w:val="19"/>
        </w:numPr>
        <w:tabs>
          <w:tab w:val="left" w:pos="720"/>
          <w:tab w:val="left" w:pos="1134"/>
        </w:tabs>
        <w:ind w:left="0" w:firstLine="720"/>
        <w:jc w:val="both"/>
        <w:rPr>
          <w:i/>
          <w:szCs w:val="28"/>
        </w:rPr>
      </w:pPr>
      <w:r w:rsidRPr="001D17F7">
        <w:rPr>
          <w:i/>
          <w:szCs w:val="28"/>
        </w:rPr>
        <w:t>Principa</w:t>
      </w:r>
      <w:r w:rsidR="00911664" w:rsidRPr="001D17F7">
        <w:rPr>
          <w:i/>
          <w:szCs w:val="28"/>
        </w:rPr>
        <w:t xml:space="preserve"> ieviešana nerisina nekustamā īpašuma īpašnieka nodokļa sloga pārnešanu uz īrniekiem</w:t>
      </w:r>
      <w:r w:rsidR="00266E14">
        <w:rPr>
          <w:i/>
          <w:szCs w:val="28"/>
        </w:rPr>
        <w:t xml:space="preserve"> (t.sk. piespiedu nomas gadījumu)</w:t>
      </w:r>
      <w:r w:rsidR="00911664" w:rsidRPr="001D17F7">
        <w:rPr>
          <w:i/>
          <w:szCs w:val="28"/>
        </w:rPr>
        <w:t>. Īpašums, kas tiek izīrēts</w:t>
      </w:r>
      <w:r w:rsidRPr="001D17F7">
        <w:rPr>
          <w:i/>
          <w:szCs w:val="28"/>
        </w:rPr>
        <w:t>,</w:t>
      </w:r>
      <w:r w:rsidR="00911664" w:rsidRPr="001D17F7">
        <w:rPr>
          <w:i/>
          <w:szCs w:val="28"/>
        </w:rPr>
        <w:t xml:space="preserve"> visticamāk</w:t>
      </w:r>
      <w:r w:rsidR="00357699" w:rsidRPr="001D17F7">
        <w:rPr>
          <w:i/>
          <w:szCs w:val="28"/>
        </w:rPr>
        <w:t>,</w:t>
      </w:r>
      <w:r w:rsidR="00911664" w:rsidRPr="001D17F7">
        <w:rPr>
          <w:i/>
          <w:szCs w:val="28"/>
        </w:rPr>
        <w:t xml:space="preserve"> īpašniekam būs apliekams ar nodokli, bet īpašnieks šo maksājamo nodokli netieši caur īres maksu kā obligātu maksājumu pārcels uz īrnieku.</w:t>
      </w:r>
    </w:p>
    <w:p w14:paraId="68823B68" w14:textId="77777777" w:rsidR="00472C0E" w:rsidRDefault="004851D9" w:rsidP="000D3CC3">
      <w:pPr>
        <w:tabs>
          <w:tab w:val="left" w:pos="720"/>
          <w:tab w:val="left" w:pos="1134"/>
        </w:tabs>
        <w:jc w:val="both"/>
        <w:rPr>
          <w:szCs w:val="28"/>
        </w:rPr>
      </w:pPr>
      <w:r>
        <w:rPr>
          <w:szCs w:val="28"/>
        </w:rPr>
        <w:tab/>
      </w:r>
    </w:p>
    <w:p w14:paraId="672DE403" w14:textId="77777777" w:rsidR="00DD20CD" w:rsidRPr="00C532DA" w:rsidRDefault="004A46B5" w:rsidP="004A46B5">
      <w:pPr>
        <w:pStyle w:val="ListParagraph"/>
        <w:tabs>
          <w:tab w:val="left" w:pos="1134"/>
        </w:tabs>
        <w:ind w:left="709"/>
        <w:jc w:val="both"/>
        <w:rPr>
          <w:b/>
          <w:szCs w:val="28"/>
        </w:rPr>
      </w:pPr>
      <w:r>
        <w:rPr>
          <w:b/>
          <w:szCs w:val="28"/>
        </w:rPr>
        <w:t>2.</w:t>
      </w:r>
      <w:r w:rsidR="00CE0FAB">
        <w:rPr>
          <w:b/>
          <w:szCs w:val="28"/>
        </w:rPr>
        <w:t>2.</w:t>
      </w:r>
      <w:r w:rsidR="00F850BC">
        <w:rPr>
          <w:b/>
          <w:szCs w:val="28"/>
        </w:rPr>
        <w:t xml:space="preserve"> </w:t>
      </w:r>
      <w:r w:rsidR="0063308C" w:rsidRPr="00C532DA">
        <w:rPr>
          <w:b/>
          <w:szCs w:val="28"/>
        </w:rPr>
        <w:t xml:space="preserve">Alternatīvie </w:t>
      </w:r>
      <w:r w:rsidR="008F164C">
        <w:rPr>
          <w:b/>
          <w:szCs w:val="28"/>
        </w:rPr>
        <w:t xml:space="preserve">darba grupā izskatītie </w:t>
      </w:r>
      <w:r w:rsidR="00DD20CD" w:rsidRPr="00C532DA">
        <w:rPr>
          <w:b/>
          <w:szCs w:val="28"/>
        </w:rPr>
        <w:t xml:space="preserve">nekustamā īpašuma nodokļa sloga samazināšanas modeļi </w:t>
      </w:r>
    </w:p>
    <w:p w14:paraId="6691421F" w14:textId="77777777" w:rsidR="00C64F7F" w:rsidRDefault="006343D5" w:rsidP="00472C0E">
      <w:pPr>
        <w:ind w:firstLine="720"/>
        <w:jc w:val="both"/>
        <w:rPr>
          <w:szCs w:val="28"/>
        </w:rPr>
      </w:pPr>
      <w:r w:rsidRPr="006343D5">
        <w:rPr>
          <w:szCs w:val="28"/>
        </w:rPr>
        <w:t>Finanšu ministrijā kopš 2016.gada maija ir izveidota darba grupa</w:t>
      </w:r>
      <w:r w:rsidR="008F164C">
        <w:rPr>
          <w:szCs w:val="28"/>
        </w:rPr>
        <w:t>, kurā piedalās</w:t>
      </w:r>
      <w:r w:rsidR="00D43BC7" w:rsidRPr="00D43BC7">
        <w:t xml:space="preserve"> </w:t>
      </w:r>
      <w:r w:rsidR="00D43BC7" w:rsidRPr="00D43BC7">
        <w:rPr>
          <w:szCs w:val="28"/>
        </w:rPr>
        <w:t>Tieslietu ministrij</w:t>
      </w:r>
      <w:r w:rsidR="00D43BC7">
        <w:rPr>
          <w:szCs w:val="28"/>
        </w:rPr>
        <w:t>a</w:t>
      </w:r>
      <w:r w:rsidR="00D43BC7" w:rsidRPr="00D43BC7">
        <w:rPr>
          <w:szCs w:val="28"/>
        </w:rPr>
        <w:t>, Vides aizsardzības un reģionālās attīstības ministrij</w:t>
      </w:r>
      <w:r w:rsidR="00D43BC7">
        <w:rPr>
          <w:szCs w:val="28"/>
        </w:rPr>
        <w:t>a</w:t>
      </w:r>
      <w:r w:rsidR="00D43BC7" w:rsidRPr="00D43BC7">
        <w:rPr>
          <w:szCs w:val="28"/>
        </w:rPr>
        <w:t>, Valsts zemes dienest</w:t>
      </w:r>
      <w:r w:rsidR="00D43BC7">
        <w:rPr>
          <w:szCs w:val="28"/>
        </w:rPr>
        <w:t>s</w:t>
      </w:r>
      <w:r w:rsidR="00D43BC7" w:rsidRPr="00D43BC7">
        <w:rPr>
          <w:szCs w:val="28"/>
        </w:rPr>
        <w:t>, Latvijas Pašvaldību savienīb</w:t>
      </w:r>
      <w:r w:rsidR="00D43BC7">
        <w:rPr>
          <w:szCs w:val="28"/>
        </w:rPr>
        <w:t>a, Latvijas Darba devēju konfederācija, Latvijas Lielo pilsētu asociācija, Latvijas Brīvo arodbiedrību savienība, Pierīgas pašvaldību apvienība, Latvijas Tirdzniecības un rūpniecības kamera</w:t>
      </w:r>
      <w:r w:rsidR="00D43BC7" w:rsidRPr="00D43BC7">
        <w:rPr>
          <w:szCs w:val="28"/>
        </w:rPr>
        <w:t xml:space="preserve"> un cit</w:t>
      </w:r>
      <w:r w:rsidR="00D43BC7">
        <w:rPr>
          <w:szCs w:val="28"/>
        </w:rPr>
        <w:t>as</w:t>
      </w:r>
      <w:r w:rsidR="00D43BC7" w:rsidRPr="00D43BC7">
        <w:rPr>
          <w:szCs w:val="28"/>
        </w:rPr>
        <w:t xml:space="preserve"> </w:t>
      </w:r>
      <w:r w:rsidR="00D43BC7">
        <w:rPr>
          <w:szCs w:val="28"/>
        </w:rPr>
        <w:t xml:space="preserve">ieinteresētās </w:t>
      </w:r>
      <w:r w:rsidR="00D43BC7" w:rsidRPr="00D43BC7">
        <w:rPr>
          <w:szCs w:val="28"/>
        </w:rPr>
        <w:t>nevalstisk</w:t>
      </w:r>
      <w:r w:rsidR="00D43BC7">
        <w:rPr>
          <w:szCs w:val="28"/>
        </w:rPr>
        <w:t>ās</w:t>
      </w:r>
      <w:r w:rsidR="00D43BC7" w:rsidRPr="00D43BC7">
        <w:rPr>
          <w:szCs w:val="28"/>
        </w:rPr>
        <w:t xml:space="preserve"> organizācij</w:t>
      </w:r>
      <w:r w:rsidR="00D43BC7">
        <w:rPr>
          <w:szCs w:val="28"/>
        </w:rPr>
        <w:t>as</w:t>
      </w:r>
      <w:r w:rsidR="008F164C">
        <w:rPr>
          <w:szCs w:val="28"/>
        </w:rPr>
        <w:t>.</w:t>
      </w:r>
      <w:r>
        <w:rPr>
          <w:szCs w:val="28"/>
        </w:rPr>
        <w:t xml:space="preserve"> </w:t>
      </w:r>
      <w:r w:rsidRPr="006343D5">
        <w:rPr>
          <w:szCs w:val="28"/>
        </w:rPr>
        <w:t xml:space="preserve"> </w:t>
      </w:r>
    </w:p>
    <w:p w14:paraId="6DA282D7" w14:textId="77777777" w:rsidR="006343D5" w:rsidRDefault="008F164C" w:rsidP="00472C0E">
      <w:pPr>
        <w:ind w:firstLine="720"/>
        <w:jc w:val="both"/>
        <w:rPr>
          <w:szCs w:val="28"/>
        </w:rPr>
      </w:pPr>
      <w:r>
        <w:rPr>
          <w:szCs w:val="28"/>
        </w:rPr>
        <w:t>K</w:t>
      </w:r>
      <w:r w:rsidR="006343D5" w:rsidRPr="006343D5">
        <w:rPr>
          <w:szCs w:val="28"/>
        </w:rPr>
        <w:t>opumā ir notikušas četras</w:t>
      </w:r>
      <w:r w:rsidR="00576270">
        <w:rPr>
          <w:szCs w:val="28"/>
        </w:rPr>
        <w:t xml:space="preserve"> darba grupas</w:t>
      </w:r>
      <w:r w:rsidR="00C64F7F">
        <w:rPr>
          <w:szCs w:val="28"/>
        </w:rPr>
        <w:t xml:space="preserve"> sanāksmes</w:t>
      </w:r>
      <w:r w:rsidR="00576270">
        <w:rPr>
          <w:szCs w:val="28"/>
        </w:rPr>
        <w:t xml:space="preserve">, kurās ir vērtēti vairāki </w:t>
      </w:r>
      <w:r w:rsidR="00C64F7F">
        <w:rPr>
          <w:szCs w:val="28"/>
        </w:rPr>
        <w:t xml:space="preserve">iespējamie risinājuma varianti, kā arī divas </w:t>
      </w:r>
      <w:r w:rsidR="00C64F7F" w:rsidRPr="006343D5">
        <w:rPr>
          <w:szCs w:val="28"/>
        </w:rPr>
        <w:t>tikšanās</w:t>
      </w:r>
      <w:r w:rsidR="00C64F7F">
        <w:rPr>
          <w:szCs w:val="28"/>
        </w:rPr>
        <w:t xml:space="preserve"> šaurākā lokā (</w:t>
      </w:r>
      <w:r w:rsidR="006343D5" w:rsidRPr="006343D5">
        <w:rPr>
          <w:szCs w:val="28"/>
        </w:rPr>
        <w:t>ar Tieslietu ministriju, Valsts zemes dienestu</w:t>
      </w:r>
      <w:r w:rsidR="00C64F7F">
        <w:rPr>
          <w:szCs w:val="28"/>
        </w:rPr>
        <w:t xml:space="preserve"> un</w:t>
      </w:r>
      <w:r w:rsidR="006343D5" w:rsidRPr="006343D5">
        <w:rPr>
          <w:szCs w:val="28"/>
        </w:rPr>
        <w:t xml:space="preserve"> Latvijas Pašvaldību savienību</w:t>
      </w:r>
      <w:r w:rsidR="00C64F7F">
        <w:rPr>
          <w:szCs w:val="28"/>
        </w:rPr>
        <w:t xml:space="preserve">), lai pārrunātu </w:t>
      </w:r>
      <w:r w:rsidR="006343D5" w:rsidRPr="006343D5">
        <w:rPr>
          <w:szCs w:val="28"/>
        </w:rPr>
        <w:t xml:space="preserve"> </w:t>
      </w:r>
      <w:r w:rsidR="00C64F7F">
        <w:rPr>
          <w:szCs w:val="28"/>
        </w:rPr>
        <w:t>iespējamos</w:t>
      </w:r>
      <w:r w:rsidR="006343D5" w:rsidRPr="006343D5">
        <w:rPr>
          <w:szCs w:val="28"/>
        </w:rPr>
        <w:t xml:space="preserve"> konceptuāl</w:t>
      </w:r>
      <w:r w:rsidR="00C64F7F">
        <w:rPr>
          <w:szCs w:val="28"/>
        </w:rPr>
        <w:t>o</w:t>
      </w:r>
      <w:r w:rsidR="006343D5" w:rsidRPr="006343D5">
        <w:rPr>
          <w:szCs w:val="28"/>
        </w:rPr>
        <w:t>s risinājumus dažādām ar zemes kadastrālo vērtību saistītajām problēmām</w:t>
      </w:r>
      <w:r w:rsidR="00C64F7F">
        <w:rPr>
          <w:szCs w:val="28"/>
        </w:rPr>
        <w:t xml:space="preserve"> un kopējās kadastrālās vērtēšanas metodikas uzlabošanai</w:t>
      </w:r>
      <w:r w:rsidR="006343D5" w:rsidRPr="006343D5">
        <w:rPr>
          <w:szCs w:val="28"/>
        </w:rPr>
        <w:t>.</w:t>
      </w:r>
    </w:p>
    <w:p w14:paraId="0E825B4F" w14:textId="495CB9F0" w:rsidR="00472C0E" w:rsidRDefault="006343D5" w:rsidP="00472C0E">
      <w:pPr>
        <w:ind w:firstLine="720"/>
        <w:jc w:val="both"/>
        <w:rPr>
          <w:szCs w:val="28"/>
        </w:rPr>
      </w:pPr>
      <w:r>
        <w:rPr>
          <w:szCs w:val="28"/>
        </w:rPr>
        <w:t>D</w:t>
      </w:r>
      <w:r w:rsidR="00664B5A">
        <w:rPr>
          <w:szCs w:val="28"/>
        </w:rPr>
        <w:t>arba grupa</w:t>
      </w:r>
      <w:r w:rsidR="005978C6">
        <w:rPr>
          <w:szCs w:val="28"/>
        </w:rPr>
        <w:t>s</w:t>
      </w:r>
      <w:r w:rsidR="00664B5A">
        <w:rPr>
          <w:szCs w:val="28"/>
        </w:rPr>
        <w:t xml:space="preserve"> ietvaros </w:t>
      </w:r>
      <w:r w:rsidR="005D6524">
        <w:rPr>
          <w:szCs w:val="28"/>
        </w:rPr>
        <w:t>notika</w:t>
      </w:r>
      <w:r w:rsidR="005D6524" w:rsidRPr="00067852">
        <w:rPr>
          <w:szCs w:val="28"/>
        </w:rPr>
        <w:t xml:space="preserve"> </w:t>
      </w:r>
      <w:r w:rsidR="00472C0E" w:rsidRPr="00067852">
        <w:rPr>
          <w:szCs w:val="28"/>
        </w:rPr>
        <w:t>intensīvs darbs pie reālās situācijas un budžeta fiskālās ietekmes izpētes (saistībā ar kadastrālās vērtības iespējamo straujo pieaugumu 2018.gadā</w:t>
      </w:r>
      <w:r w:rsidR="003B3547">
        <w:rPr>
          <w:szCs w:val="28"/>
        </w:rPr>
        <w:t xml:space="preserve"> </w:t>
      </w:r>
      <w:r w:rsidR="003B3547" w:rsidRPr="003B3547">
        <w:rPr>
          <w:szCs w:val="28"/>
        </w:rPr>
        <w:t>atsevišķās teritorijās un īpašumu segmentos</w:t>
      </w:r>
      <w:r w:rsidR="00472C0E" w:rsidRPr="00067852">
        <w:rPr>
          <w:szCs w:val="28"/>
        </w:rPr>
        <w:t>) un risinājuma meklējumi</w:t>
      </w:r>
      <w:r w:rsidR="005978C6">
        <w:rPr>
          <w:szCs w:val="28"/>
        </w:rPr>
        <w:t>em</w:t>
      </w:r>
      <w:r w:rsidR="00472C0E" w:rsidRPr="00067852">
        <w:rPr>
          <w:szCs w:val="28"/>
        </w:rPr>
        <w:t xml:space="preserve"> attiecībā uz strauju nekustamā īpašuma nodokļa pieaugumu sakarā </w:t>
      </w:r>
      <w:r w:rsidR="00472C0E" w:rsidRPr="00067852">
        <w:rPr>
          <w:szCs w:val="28"/>
        </w:rPr>
        <w:lastRenderedPageBreak/>
        <w:t>ar strauju un būtisku nodokļa bāzes</w:t>
      </w:r>
      <w:r w:rsidR="00664B5A">
        <w:rPr>
          <w:szCs w:val="28"/>
        </w:rPr>
        <w:t xml:space="preserve"> (kadastrālās vērtības)</w:t>
      </w:r>
      <w:r w:rsidR="00472C0E" w:rsidRPr="00067852">
        <w:rPr>
          <w:szCs w:val="28"/>
        </w:rPr>
        <w:t xml:space="preserve"> kāpumu, kas ļaus vērtēt pasākumu ietekmi ne tikai uz kopējiem nodokļa ieņēmumiem, bet arī teritoriālā griezumā. </w:t>
      </w:r>
      <w:r w:rsidR="00664B5A">
        <w:rPr>
          <w:szCs w:val="28"/>
        </w:rPr>
        <w:t>Darba grupā diskutētajiem</w:t>
      </w:r>
      <w:r w:rsidR="004A5D00">
        <w:rPr>
          <w:szCs w:val="28"/>
        </w:rPr>
        <w:t xml:space="preserve"> risinājum</w:t>
      </w:r>
      <w:r w:rsidR="00664B5A">
        <w:rPr>
          <w:szCs w:val="28"/>
        </w:rPr>
        <w:t>iem</w:t>
      </w:r>
      <w:r w:rsidR="004A5D00">
        <w:rPr>
          <w:szCs w:val="28"/>
        </w:rPr>
        <w:t xml:space="preserve"> </w:t>
      </w:r>
      <w:r w:rsidR="00664B5A">
        <w:rPr>
          <w:szCs w:val="28"/>
        </w:rPr>
        <w:t>vajadzētu</w:t>
      </w:r>
      <w:r w:rsidR="004A5D00">
        <w:rPr>
          <w:szCs w:val="28"/>
        </w:rPr>
        <w:t xml:space="preserve"> ietekmē</w:t>
      </w:r>
      <w:r w:rsidR="00664B5A">
        <w:rPr>
          <w:szCs w:val="28"/>
        </w:rPr>
        <w:t>t</w:t>
      </w:r>
      <w:r w:rsidR="004A5D00">
        <w:rPr>
          <w:szCs w:val="28"/>
        </w:rPr>
        <w:t xml:space="preserve"> (</w:t>
      </w:r>
      <w:r w:rsidR="00664B5A">
        <w:rPr>
          <w:szCs w:val="28"/>
        </w:rPr>
        <w:t>sa</w:t>
      </w:r>
      <w:r w:rsidR="004A5D00">
        <w:rPr>
          <w:szCs w:val="28"/>
        </w:rPr>
        <w:t>mazin</w:t>
      </w:r>
      <w:r w:rsidR="00664B5A">
        <w:rPr>
          <w:szCs w:val="28"/>
        </w:rPr>
        <w:t>āt</w:t>
      </w:r>
      <w:r w:rsidR="004A5D00">
        <w:rPr>
          <w:szCs w:val="28"/>
        </w:rPr>
        <w:t xml:space="preserve"> nodokļa slog</w:t>
      </w:r>
      <w:r w:rsidR="00664B5A">
        <w:rPr>
          <w:szCs w:val="28"/>
        </w:rPr>
        <w:t>u</w:t>
      </w:r>
      <w:r w:rsidR="004A5D00">
        <w:rPr>
          <w:szCs w:val="28"/>
        </w:rPr>
        <w:t>) arī vienīgā īpašuma (dzīvošanai paredzētā, mājokļa) aplikšanu ar nekustamā īpašuma nodokli.</w:t>
      </w:r>
    </w:p>
    <w:p w14:paraId="39F59A13" w14:textId="0AF5DBA2" w:rsidR="00023C74" w:rsidRDefault="002C157F" w:rsidP="00023C74">
      <w:pPr>
        <w:ind w:firstLine="720"/>
        <w:jc w:val="both"/>
        <w:rPr>
          <w:szCs w:val="28"/>
        </w:rPr>
      </w:pPr>
      <w:r w:rsidRPr="00BB3C63">
        <w:rPr>
          <w:szCs w:val="28"/>
        </w:rPr>
        <w:t xml:space="preserve">Finanšu ministrijā </w:t>
      </w:r>
      <w:r w:rsidR="00E0137C">
        <w:rPr>
          <w:szCs w:val="28"/>
        </w:rPr>
        <w:t>tika</w:t>
      </w:r>
      <w:r w:rsidR="00E0137C" w:rsidRPr="00BB3C63">
        <w:rPr>
          <w:szCs w:val="28"/>
        </w:rPr>
        <w:t xml:space="preserve"> </w:t>
      </w:r>
      <w:r w:rsidRPr="00BB3C63">
        <w:rPr>
          <w:szCs w:val="28"/>
        </w:rPr>
        <w:t xml:space="preserve">vērtēti </w:t>
      </w:r>
      <w:r w:rsidR="00606622">
        <w:rPr>
          <w:szCs w:val="28"/>
        </w:rPr>
        <w:t xml:space="preserve">daži </w:t>
      </w:r>
      <w:r w:rsidR="0063308C">
        <w:rPr>
          <w:szCs w:val="28"/>
        </w:rPr>
        <w:t>alternatīvi</w:t>
      </w:r>
      <w:r w:rsidRPr="00BB3C63">
        <w:rPr>
          <w:szCs w:val="28"/>
        </w:rPr>
        <w:t xml:space="preserve"> modeļi, kā nodrošināt samērīgu nekustamā īpašuma nodokļa slogu</w:t>
      </w:r>
      <w:r w:rsidR="00BD507E">
        <w:rPr>
          <w:szCs w:val="28"/>
        </w:rPr>
        <w:t>,</w:t>
      </w:r>
      <w:r w:rsidR="005B452F">
        <w:rPr>
          <w:szCs w:val="28"/>
        </w:rPr>
        <w:t xml:space="preserve"> </w:t>
      </w:r>
      <w:r w:rsidR="00253AC9">
        <w:rPr>
          <w:szCs w:val="28"/>
        </w:rPr>
        <w:t xml:space="preserve">iespēju robežās nodrošinot </w:t>
      </w:r>
      <w:r w:rsidR="005B452F">
        <w:rPr>
          <w:szCs w:val="28"/>
        </w:rPr>
        <w:t xml:space="preserve">pašvaldību </w:t>
      </w:r>
      <w:r w:rsidR="000672A7">
        <w:rPr>
          <w:szCs w:val="28"/>
        </w:rPr>
        <w:t xml:space="preserve">tiesības uz </w:t>
      </w:r>
      <w:r w:rsidR="005B452F">
        <w:rPr>
          <w:szCs w:val="28"/>
        </w:rPr>
        <w:t>budžeta ieņēmum</w:t>
      </w:r>
      <w:r w:rsidR="000672A7">
        <w:rPr>
          <w:szCs w:val="28"/>
        </w:rPr>
        <w:t>iem</w:t>
      </w:r>
      <w:r w:rsidR="00253AC9">
        <w:rPr>
          <w:szCs w:val="28"/>
        </w:rPr>
        <w:t xml:space="preserve"> no nekustamā īpa</w:t>
      </w:r>
      <w:r w:rsidR="00216619">
        <w:rPr>
          <w:szCs w:val="28"/>
        </w:rPr>
        <w:t>šuma nodokļa</w:t>
      </w:r>
      <w:r w:rsidRPr="00BB3C63">
        <w:rPr>
          <w:szCs w:val="28"/>
        </w:rPr>
        <w:t>.</w:t>
      </w:r>
      <w:r w:rsidR="00890EEA">
        <w:rPr>
          <w:szCs w:val="28"/>
        </w:rPr>
        <w:t xml:space="preserve"> Jāņem vērā arī tas, ka vērtējot izmaiņas nekustāmā īpašuma tirgū, kā arī faktiskās situācijas nodokļu samaksas jomā, šādas diskusijas tiks atkārtotas regulāri.</w:t>
      </w:r>
      <w:r w:rsidRPr="00BB3C63">
        <w:rPr>
          <w:szCs w:val="28"/>
        </w:rPr>
        <w:t xml:space="preserve"> Tomēr jānorāda, ka visiem</w:t>
      </w:r>
      <w:r w:rsidR="00890EEA">
        <w:rPr>
          <w:szCs w:val="28"/>
        </w:rPr>
        <w:t xml:space="preserve"> līdz šim skatītajiem</w:t>
      </w:r>
      <w:r w:rsidRPr="00BB3C63">
        <w:rPr>
          <w:szCs w:val="28"/>
        </w:rPr>
        <w:t xml:space="preserve"> </w:t>
      </w:r>
      <w:r w:rsidR="0063308C">
        <w:rPr>
          <w:szCs w:val="28"/>
        </w:rPr>
        <w:t>modeļiem</w:t>
      </w:r>
      <w:r w:rsidR="0063308C" w:rsidRPr="00BB3C63">
        <w:rPr>
          <w:szCs w:val="28"/>
        </w:rPr>
        <w:t xml:space="preserve"> </w:t>
      </w:r>
      <w:r w:rsidRPr="00BB3C63">
        <w:rPr>
          <w:szCs w:val="28"/>
        </w:rPr>
        <w:t xml:space="preserve">ir </w:t>
      </w:r>
      <w:r w:rsidR="005B452F">
        <w:rPr>
          <w:szCs w:val="28"/>
        </w:rPr>
        <w:t xml:space="preserve">dažādi </w:t>
      </w:r>
      <w:r w:rsidRPr="00BB3C63">
        <w:rPr>
          <w:szCs w:val="28"/>
        </w:rPr>
        <w:t xml:space="preserve">trūkumi un arī </w:t>
      </w:r>
      <w:r w:rsidR="00E0137C">
        <w:rPr>
          <w:szCs w:val="28"/>
        </w:rPr>
        <w:t>da</w:t>
      </w:r>
      <w:r w:rsidR="004E70FF">
        <w:rPr>
          <w:szCs w:val="28"/>
        </w:rPr>
        <w:t>rba gru</w:t>
      </w:r>
      <w:r w:rsidR="00E0137C">
        <w:rPr>
          <w:szCs w:val="28"/>
        </w:rPr>
        <w:t>pas pārstāvjiem</w:t>
      </w:r>
      <w:r w:rsidR="00E0137C" w:rsidRPr="00BB3C63">
        <w:rPr>
          <w:szCs w:val="28"/>
        </w:rPr>
        <w:t xml:space="preserve"> </w:t>
      </w:r>
      <w:r w:rsidRPr="00BB3C63">
        <w:rPr>
          <w:szCs w:val="28"/>
        </w:rPr>
        <w:t xml:space="preserve">ir dažādi viedokļi par iespējamo problēmas risinājumu. </w:t>
      </w:r>
      <w:r w:rsidR="000B547E">
        <w:rPr>
          <w:szCs w:val="28"/>
        </w:rPr>
        <w:t xml:space="preserve">Arī 2017.gada 31.janvārī notikušajā Latvijas Pašvaldību savienības Finanšu un ekonomikas komitejas sēdē, kurā piedalījās arī Finanšu ministrijas pārstāvji, tika diskutēts par iespējamajiem risinājumu variantiem, kā rezultātā tika secināts, ka </w:t>
      </w:r>
      <w:r w:rsidR="000B547E" w:rsidRPr="000B547E">
        <w:rPr>
          <w:szCs w:val="28"/>
        </w:rPr>
        <w:t xml:space="preserve">vienotu viedokli par kādu risinājumu nav iespējams </w:t>
      </w:r>
      <w:r w:rsidR="000B547E">
        <w:rPr>
          <w:szCs w:val="28"/>
        </w:rPr>
        <w:t xml:space="preserve">panākt. </w:t>
      </w:r>
      <w:r w:rsidR="00023C74">
        <w:rPr>
          <w:szCs w:val="28"/>
        </w:rPr>
        <w:t xml:space="preserve">Vienlaikus jāuzsver, ka gan Finanšu ministrijas, gan pašvaldību ieskatā būtu jāsaglabā pašvaldībām piešķirtā kompetence ar saistošajiem noteikumiem </w:t>
      </w:r>
      <w:r w:rsidR="00023C74" w:rsidRPr="00F86791">
        <w:rPr>
          <w:szCs w:val="28"/>
        </w:rPr>
        <w:t xml:space="preserve">īstenot konkrētai pašvaldībai </w:t>
      </w:r>
      <w:r w:rsidR="00663293">
        <w:rPr>
          <w:szCs w:val="28"/>
        </w:rPr>
        <w:t xml:space="preserve">arī </w:t>
      </w:r>
      <w:r w:rsidR="00023C74" w:rsidRPr="00F86791">
        <w:rPr>
          <w:szCs w:val="28"/>
        </w:rPr>
        <w:t>ilgtermiņā labvēlīgāku nekustamā īpašuma nodokļa politiku.</w:t>
      </w:r>
    </w:p>
    <w:p w14:paraId="1E24A378" w14:textId="77777777" w:rsidR="00B304D8" w:rsidRDefault="002A5B44" w:rsidP="00D405F7">
      <w:pPr>
        <w:pStyle w:val="ListParagraph"/>
        <w:tabs>
          <w:tab w:val="left" w:pos="993"/>
        </w:tabs>
        <w:ind w:left="0" w:firstLine="720"/>
        <w:jc w:val="both"/>
        <w:rPr>
          <w:szCs w:val="28"/>
        </w:rPr>
      </w:pPr>
      <w:r w:rsidRPr="0034478E">
        <w:rPr>
          <w:szCs w:val="28"/>
          <w:u w:val="single"/>
        </w:rPr>
        <w:t>Darba grupā tika diskutēts</w:t>
      </w:r>
      <w:r w:rsidR="0034478E" w:rsidRPr="0034478E">
        <w:rPr>
          <w:szCs w:val="28"/>
          <w:u w:val="single"/>
        </w:rPr>
        <w:t xml:space="preserve"> par šādu </w:t>
      </w:r>
      <w:r w:rsidR="00611C6D" w:rsidRPr="0034478E">
        <w:rPr>
          <w:szCs w:val="28"/>
          <w:u w:val="single"/>
        </w:rPr>
        <w:t>modeli</w:t>
      </w:r>
      <w:r w:rsidR="0034478E" w:rsidRPr="0034478E">
        <w:rPr>
          <w:szCs w:val="28"/>
          <w:u w:val="single"/>
        </w:rPr>
        <w:t xml:space="preserve"> ēkām</w:t>
      </w:r>
      <w:r w:rsidR="00611C6D">
        <w:rPr>
          <w:szCs w:val="28"/>
        </w:rPr>
        <w:t xml:space="preserve">: </w:t>
      </w:r>
      <w:r w:rsidR="00B304D8" w:rsidRPr="00B304D8">
        <w:rPr>
          <w:szCs w:val="28"/>
        </w:rPr>
        <w:t xml:space="preserve">Ar nodokli neapliekamā </w:t>
      </w:r>
      <w:r w:rsidR="00471D19" w:rsidRPr="00471D19">
        <w:rPr>
          <w:szCs w:val="28"/>
        </w:rPr>
        <w:t xml:space="preserve">vai ar samazinātu nodokļa likmi apliekamā </w:t>
      </w:r>
      <w:r w:rsidR="00B304D8" w:rsidRPr="00B304D8">
        <w:rPr>
          <w:szCs w:val="28"/>
        </w:rPr>
        <w:t>minimuma (platības) noteikšana attiecībā uz dzīvojamaj</w:t>
      </w:r>
      <w:r w:rsidR="00606622">
        <w:rPr>
          <w:szCs w:val="28"/>
        </w:rPr>
        <w:t>ie</w:t>
      </w:r>
      <w:r w:rsidR="00B304D8" w:rsidRPr="00B304D8">
        <w:rPr>
          <w:szCs w:val="28"/>
        </w:rPr>
        <w:t xml:space="preserve">m </w:t>
      </w:r>
      <w:r w:rsidR="00606622">
        <w:rPr>
          <w:szCs w:val="28"/>
        </w:rPr>
        <w:t xml:space="preserve">īpašumiem (dzīvokļiem, </w:t>
      </w:r>
      <w:r w:rsidR="00455586">
        <w:rPr>
          <w:szCs w:val="28"/>
        </w:rPr>
        <w:t>ēkā</w:t>
      </w:r>
      <w:r w:rsidR="00606622">
        <w:rPr>
          <w:szCs w:val="28"/>
        </w:rPr>
        <w:t>m)</w:t>
      </w:r>
      <w:r w:rsidR="00B304D8" w:rsidRPr="00B304D8">
        <w:rPr>
          <w:szCs w:val="28"/>
        </w:rPr>
        <w:t>, par katru īpašumā deklarēto personu</w:t>
      </w:r>
      <w:r w:rsidR="00D405F7" w:rsidRPr="00D405F7">
        <w:rPr>
          <w:szCs w:val="28"/>
        </w:rPr>
        <w:t xml:space="preserve"> </w:t>
      </w:r>
      <w:r w:rsidR="00D405F7">
        <w:rPr>
          <w:szCs w:val="28"/>
        </w:rPr>
        <w:t>(platības apmērs ir diskutējams)</w:t>
      </w:r>
      <w:r w:rsidR="00606622">
        <w:rPr>
          <w:szCs w:val="28"/>
        </w:rPr>
        <w:t>, atlikušajai ar nodokli apliekamajai daļai piemērojot vienu nodokļa likmi (likmes apmērs ir diskutējams un nosakāms tādā apmērā, lai nesamazinātu pašvaldību budžeta ieņēmumus)</w:t>
      </w:r>
      <w:r w:rsidR="00471D19" w:rsidRPr="00471D19">
        <w:rPr>
          <w:szCs w:val="28"/>
        </w:rPr>
        <w:t>, vienlaikus saglabājot pašvaldībām tiesības ar saistošajiem noteikumiem paredzēt šai daļai no likuma atšķirīgu nodokļa likmi</w:t>
      </w:r>
      <w:r w:rsidR="004C3D39">
        <w:rPr>
          <w:szCs w:val="28"/>
        </w:rPr>
        <w:t>.</w:t>
      </w:r>
    </w:p>
    <w:p w14:paraId="7EA000E4" w14:textId="77777777" w:rsidR="00EC3BF5" w:rsidRPr="008F7649" w:rsidRDefault="0034478E" w:rsidP="00AC6E0B">
      <w:pPr>
        <w:spacing w:before="120"/>
        <w:ind w:firstLine="709"/>
        <w:jc w:val="both"/>
        <w:rPr>
          <w:i/>
          <w:szCs w:val="28"/>
        </w:rPr>
      </w:pPr>
      <w:r w:rsidRPr="008F7649">
        <w:rPr>
          <w:i/>
          <w:szCs w:val="28"/>
        </w:rPr>
        <w:t xml:space="preserve"> </w:t>
      </w:r>
      <w:r w:rsidR="00EC3BF5" w:rsidRPr="008F7649">
        <w:rPr>
          <w:i/>
          <w:szCs w:val="28"/>
        </w:rPr>
        <w:t>(+) tiek novērsts nesamērīgs nodokļa sloga pieaugums mājokļiem</w:t>
      </w:r>
      <w:r w:rsidR="00291FD0">
        <w:rPr>
          <w:i/>
          <w:szCs w:val="28"/>
        </w:rPr>
        <w:t xml:space="preserve"> </w:t>
      </w:r>
      <w:r w:rsidR="00EC3BF5">
        <w:rPr>
          <w:i/>
          <w:szCs w:val="28"/>
        </w:rPr>
        <w:t>(dzīvokļiem, ēkām)</w:t>
      </w:r>
      <w:r w:rsidR="00EC3BF5" w:rsidRPr="008F7649">
        <w:rPr>
          <w:i/>
          <w:szCs w:val="28"/>
        </w:rPr>
        <w:t xml:space="preserve"> un līdz ar to arī kopumā;</w:t>
      </w:r>
    </w:p>
    <w:p w14:paraId="5B4F23E9" w14:textId="77777777" w:rsidR="00B304D8" w:rsidRDefault="00B304D8" w:rsidP="00EC3BF5">
      <w:pPr>
        <w:pStyle w:val="ListParagraph"/>
        <w:ind w:left="0" w:firstLine="720"/>
        <w:jc w:val="both"/>
        <w:rPr>
          <w:i/>
          <w:szCs w:val="28"/>
        </w:rPr>
      </w:pPr>
      <w:r w:rsidRPr="008F7649">
        <w:rPr>
          <w:i/>
          <w:szCs w:val="28"/>
        </w:rPr>
        <w:t xml:space="preserve">(+) </w:t>
      </w:r>
      <w:r w:rsidR="00B31E57">
        <w:rPr>
          <w:i/>
          <w:szCs w:val="28"/>
        </w:rPr>
        <w:t xml:space="preserve">tiek </w:t>
      </w:r>
      <w:r w:rsidRPr="008F7649">
        <w:rPr>
          <w:i/>
          <w:szCs w:val="28"/>
        </w:rPr>
        <w:t>aizsargātas arī īrnieku intereses;</w:t>
      </w:r>
    </w:p>
    <w:p w14:paraId="06218FDE" w14:textId="77777777" w:rsidR="00471D19" w:rsidRPr="008F7649" w:rsidRDefault="00471D19" w:rsidP="00B304D8">
      <w:pPr>
        <w:pStyle w:val="ListParagraph"/>
        <w:ind w:left="0" w:firstLine="720"/>
        <w:jc w:val="both"/>
        <w:rPr>
          <w:i/>
          <w:szCs w:val="28"/>
        </w:rPr>
      </w:pPr>
      <w:r w:rsidRPr="00471D19">
        <w:rPr>
          <w:i/>
          <w:szCs w:val="28"/>
        </w:rPr>
        <w:t>(+) tiek saglabātas pašvaldību tiesības un iespējas</w:t>
      </w:r>
      <w:r>
        <w:rPr>
          <w:i/>
          <w:szCs w:val="28"/>
        </w:rPr>
        <w:t>,</w:t>
      </w:r>
      <w:r w:rsidRPr="00471D19">
        <w:rPr>
          <w:i/>
          <w:szCs w:val="28"/>
        </w:rPr>
        <w:t xml:space="preserve"> labāk pārzinot savu iedzīvotāju vajadzības un pašvaldību iespējas</w:t>
      </w:r>
      <w:r>
        <w:rPr>
          <w:i/>
          <w:szCs w:val="28"/>
        </w:rPr>
        <w:t>,</w:t>
      </w:r>
      <w:r w:rsidRPr="00471D19">
        <w:rPr>
          <w:i/>
          <w:szCs w:val="28"/>
        </w:rPr>
        <w:t xml:space="preserve"> īstenot atbilstošu nodokļa politiku;</w:t>
      </w:r>
    </w:p>
    <w:p w14:paraId="5098F28B" w14:textId="367E784B" w:rsidR="00B304D8" w:rsidRPr="008F7649" w:rsidRDefault="00B304D8" w:rsidP="00B304D8">
      <w:pPr>
        <w:pStyle w:val="ListParagraph"/>
        <w:ind w:left="0" w:firstLine="720"/>
        <w:jc w:val="both"/>
        <w:rPr>
          <w:i/>
          <w:szCs w:val="28"/>
        </w:rPr>
      </w:pPr>
      <w:r w:rsidRPr="008F7649">
        <w:rPr>
          <w:i/>
          <w:szCs w:val="28"/>
        </w:rPr>
        <w:t>(-) pastāv risks ar dzīvesvietas deklarēšanu dārgākajā īpašumā</w:t>
      </w:r>
      <w:r w:rsidR="00E0137C">
        <w:rPr>
          <w:i/>
          <w:szCs w:val="28"/>
        </w:rPr>
        <w:t xml:space="preserve"> (veicot pārdeklarēšanos no lētākā tās pašas personas īpašuma)</w:t>
      </w:r>
      <w:r w:rsidRPr="008F7649">
        <w:rPr>
          <w:i/>
          <w:szCs w:val="28"/>
        </w:rPr>
        <w:t>;</w:t>
      </w:r>
    </w:p>
    <w:p w14:paraId="169D8F7F" w14:textId="77777777" w:rsidR="00B304D8" w:rsidRPr="008F7649" w:rsidRDefault="00B304D8" w:rsidP="00B304D8">
      <w:pPr>
        <w:pStyle w:val="ListParagraph"/>
        <w:ind w:left="0" w:firstLine="720"/>
        <w:jc w:val="both"/>
        <w:rPr>
          <w:i/>
          <w:szCs w:val="28"/>
        </w:rPr>
      </w:pPr>
      <w:r w:rsidRPr="008F7649">
        <w:rPr>
          <w:i/>
          <w:szCs w:val="28"/>
        </w:rPr>
        <w:t>(-) nerisina nodokļa sloga pieaugumu zemei;</w:t>
      </w:r>
    </w:p>
    <w:p w14:paraId="3596BC2D" w14:textId="77777777" w:rsidR="007A347A" w:rsidRDefault="00B304D8" w:rsidP="00B304D8">
      <w:pPr>
        <w:pStyle w:val="ListParagraph"/>
        <w:tabs>
          <w:tab w:val="left" w:pos="1134"/>
        </w:tabs>
        <w:ind w:left="0" w:firstLine="720"/>
        <w:jc w:val="both"/>
        <w:rPr>
          <w:i/>
          <w:szCs w:val="28"/>
        </w:rPr>
      </w:pPr>
      <w:r w:rsidRPr="008F7649">
        <w:rPr>
          <w:i/>
          <w:szCs w:val="28"/>
        </w:rPr>
        <w:t>(-) sarežģīta administrēšana, kurai papildus nepieciešami finanšu resursi.</w:t>
      </w:r>
    </w:p>
    <w:p w14:paraId="72BDD74C" w14:textId="2C94AEDF" w:rsidR="00B304D8" w:rsidRDefault="00A0097A" w:rsidP="00B62F4A">
      <w:pPr>
        <w:spacing w:before="120"/>
        <w:ind w:firstLine="720"/>
        <w:jc w:val="both"/>
        <w:rPr>
          <w:szCs w:val="28"/>
        </w:rPr>
      </w:pPr>
      <w:r>
        <w:rPr>
          <w:szCs w:val="28"/>
        </w:rPr>
        <w:t xml:space="preserve">Līdz šim veicot iespējamās izpētes un analīzes, esam secinājuši, ka </w:t>
      </w:r>
      <w:r w:rsidR="00611C6D">
        <w:rPr>
          <w:szCs w:val="28"/>
        </w:rPr>
        <w:t xml:space="preserve">pašreiz </w:t>
      </w:r>
      <w:r>
        <w:rPr>
          <w:szCs w:val="28"/>
        </w:rPr>
        <w:t xml:space="preserve">nav iespējams veikt radikālas izmaiņas nekustamā īpašuma nodokļa aprēķināšanas kārtībā. </w:t>
      </w:r>
    </w:p>
    <w:p w14:paraId="77F96D5A" w14:textId="7DBFE32D" w:rsidR="00F279D7" w:rsidRDefault="00E0137C" w:rsidP="00A0097A">
      <w:pPr>
        <w:ind w:firstLine="720"/>
        <w:jc w:val="both"/>
        <w:rPr>
          <w:szCs w:val="28"/>
        </w:rPr>
      </w:pPr>
      <w:r>
        <w:rPr>
          <w:szCs w:val="28"/>
        </w:rPr>
        <w:t>P</w:t>
      </w:r>
      <w:r w:rsidR="0034478E">
        <w:rPr>
          <w:szCs w:val="28"/>
        </w:rPr>
        <w:t xml:space="preserve">iedāvātā </w:t>
      </w:r>
      <w:r w:rsidR="008C5B90">
        <w:rPr>
          <w:szCs w:val="28"/>
        </w:rPr>
        <w:t>modeļ</w:t>
      </w:r>
      <w:r w:rsidR="006343D5">
        <w:rPr>
          <w:szCs w:val="28"/>
        </w:rPr>
        <w:t>a</w:t>
      </w:r>
      <w:r w:rsidR="008C5B90">
        <w:rPr>
          <w:szCs w:val="28"/>
        </w:rPr>
        <w:t xml:space="preserve"> galvenais trūkums ir </w:t>
      </w:r>
      <w:r w:rsidR="008C5B90" w:rsidRPr="008C5B90">
        <w:rPr>
          <w:szCs w:val="28"/>
        </w:rPr>
        <w:t xml:space="preserve">tas, ka </w:t>
      </w:r>
      <w:r w:rsidR="006343D5">
        <w:rPr>
          <w:szCs w:val="28"/>
        </w:rPr>
        <w:t>šis modelis</w:t>
      </w:r>
      <w:r w:rsidR="008C5B90" w:rsidRPr="008C5B90">
        <w:rPr>
          <w:szCs w:val="28"/>
        </w:rPr>
        <w:t xml:space="preserve"> nerisin</w:t>
      </w:r>
      <w:r w:rsidR="006343D5">
        <w:rPr>
          <w:szCs w:val="28"/>
        </w:rPr>
        <w:t>a</w:t>
      </w:r>
      <w:r w:rsidR="008C5B90" w:rsidRPr="008C5B90">
        <w:rPr>
          <w:szCs w:val="28"/>
        </w:rPr>
        <w:t xml:space="preserve"> jautājumu par nekustāmā īpašuma nodok</w:t>
      </w:r>
      <w:r w:rsidR="003A1871">
        <w:rPr>
          <w:szCs w:val="28"/>
        </w:rPr>
        <w:t>l</w:t>
      </w:r>
      <w:r w:rsidR="008C5B90" w:rsidRPr="008C5B90">
        <w:rPr>
          <w:szCs w:val="28"/>
        </w:rPr>
        <w:t xml:space="preserve">i zemei, kas </w:t>
      </w:r>
      <w:r w:rsidR="00106DE3">
        <w:rPr>
          <w:szCs w:val="28"/>
        </w:rPr>
        <w:t xml:space="preserve">atsevišķās teritorijās </w:t>
      </w:r>
      <w:r w:rsidR="008C5B90" w:rsidRPr="008C5B90">
        <w:rPr>
          <w:szCs w:val="28"/>
        </w:rPr>
        <w:t xml:space="preserve">ir pamata iemesls iedzīvotāju maksājumu pieaugumam. </w:t>
      </w:r>
      <w:r w:rsidR="008C5B90">
        <w:rPr>
          <w:szCs w:val="28"/>
        </w:rPr>
        <w:t>D</w:t>
      </w:r>
      <w:r w:rsidR="008C5B90" w:rsidRPr="008C5B90">
        <w:rPr>
          <w:szCs w:val="28"/>
        </w:rPr>
        <w:t xml:space="preserve">arbu </w:t>
      </w:r>
      <w:r w:rsidR="008C5B90">
        <w:rPr>
          <w:szCs w:val="28"/>
        </w:rPr>
        <w:t>ar šo jautājumu apgrūtina</w:t>
      </w:r>
      <w:r w:rsidR="008C5B90" w:rsidRPr="008C5B90">
        <w:rPr>
          <w:szCs w:val="28"/>
        </w:rPr>
        <w:t xml:space="preserve"> tas, ka ēkas un zemes īpašnieki bieži ir dažādas personas, ēkai piesaistītā zemes gabala platība nav normēta</w:t>
      </w:r>
      <w:r w:rsidR="004E4935">
        <w:rPr>
          <w:szCs w:val="28"/>
        </w:rPr>
        <w:t xml:space="preserve">, t.i., nav noteikti tipveida (ar vienādām </w:t>
      </w:r>
      <w:r w:rsidR="004E4935">
        <w:rPr>
          <w:szCs w:val="28"/>
        </w:rPr>
        <w:lastRenderedPageBreak/>
        <w:t>standarta platībām) apbūves zemes gabali un nav noteikti tipveida ēkai piekritīgās zemes apjomi</w:t>
      </w:r>
      <w:r w:rsidR="008C5B90" w:rsidRPr="008C5B90">
        <w:rPr>
          <w:szCs w:val="28"/>
        </w:rPr>
        <w:t>, dzīvojamās ēkas īpašnieks visu nodokļa slogu var attiecināt uz īrniekiem (īpaši izteikta problēma denacionalizētajos īpašumos)</w:t>
      </w:r>
      <w:r w:rsidR="004E4935">
        <w:rPr>
          <w:szCs w:val="28"/>
        </w:rPr>
        <w:t>, ēkai piesaistīto zemes gabalu dažādie lietošanas veidi (apbūves zeme, lauksaimniecības zeme)</w:t>
      </w:r>
      <w:r w:rsidR="008C5B90" w:rsidRPr="008C5B90">
        <w:rPr>
          <w:szCs w:val="28"/>
        </w:rPr>
        <w:t>.</w:t>
      </w:r>
      <w:r w:rsidR="00890EEA">
        <w:rPr>
          <w:szCs w:val="28"/>
        </w:rPr>
        <w:t xml:space="preserve"> </w:t>
      </w:r>
    </w:p>
    <w:p w14:paraId="36E50185" w14:textId="77777777" w:rsidR="008C5B90" w:rsidRPr="003A1871" w:rsidRDefault="008C5B90" w:rsidP="00A0097A">
      <w:pPr>
        <w:ind w:firstLine="720"/>
        <w:jc w:val="both"/>
        <w:rPr>
          <w:szCs w:val="28"/>
        </w:rPr>
      </w:pPr>
      <w:r w:rsidRPr="003A1871">
        <w:rPr>
          <w:szCs w:val="28"/>
        </w:rPr>
        <w:t xml:space="preserve">Atbilstoši Finanšu ministrijas </w:t>
      </w:r>
      <w:r w:rsidR="00860D10">
        <w:rPr>
          <w:szCs w:val="28"/>
        </w:rPr>
        <w:t>rīcībā esošajai</w:t>
      </w:r>
      <w:r w:rsidRPr="003A1871">
        <w:rPr>
          <w:szCs w:val="28"/>
        </w:rPr>
        <w:t xml:space="preserve"> informācijai nekustāmā īpašuma nodokļa ieņēmumi starp zemi un ēkām sadalās šādi:</w:t>
      </w:r>
    </w:p>
    <w:p w14:paraId="0A780D7B" w14:textId="77777777" w:rsidR="008C5B90" w:rsidRPr="003A1871" w:rsidRDefault="00D90F70" w:rsidP="008C5B90">
      <w:pPr>
        <w:suppressAutoHyphens w:val="0"/>
        <w:autoSpaceDN/>
        <w:spacing w:before="120" w:after="120"/>
        <w:ind w:left="720"/>
        <w:jc w:val="right"/>
        <w:textAlignment w:val="auto"/>
        <w:rPr>
          <w:i/>
          <w:sz w:val="24"/>
          <w:szCs w:val="24"/>
        </w:rPr>
      </w:pPr>
      <w:r>
        <w:rPr>
          <w:i/>
          <w:sz w:val="24"/>
          <w:szCs w:val="24"/>
        </w:rPr>
        <w:t>8</w:t>
      </w:r>
      <w:r w:rsidR="008C5B90" w:rsidRPr="003A1871">
        <w:rPr>
          <w:i/>
          <w:sz w:val="24"/>
          <w:szCs w:val="24"/>
        </w:rPr>
        <w:t>.tabula</w:t>
      </w:r>
    </w:p>
    <w:p w14:paraId="3AA9EA12" w14:textId="77777777" w:rsidR="008C5B90" w:rsidRPr="003A1871" w:rsidRDefault="008C5B90" w:rsidP="0082258B">
      <w:pPr>
        <w:suppressAutoHyphens w:val="0"/>
        <w:autoSpaceDN/>
        <w:spacing w:before="120" w:after="120"/>
        <w:textAlignment w:val="auto"/>
        <w:rPr>
          <w:rFonts w:ascii="Calibri" w:hAnsi="Calibri"/>
          <w:b/>
          <w:sz w:val="24"/>
          <w:szCs w:val="24"/>
        </w:rPr>
      </w:pPr>
      <w:r w:rsidRPr="003A1871">
        <w:rPr>
          <w:b/>
          <w:sz w:val="24"/>
          <w:szCs w:val="24"/>
        </w:rPr>
        <w:t>Nekustamā īpašuma nodokļa ieņēmumi pa objektu grupām</w:t>
      </w:r>
      <w:r w:rsidR="003A1871">
        <w:rPr>
          <w:b/>
          <w:sz w:val="24"/>
          <w:szCs w:val="24"/>
        </w:rPr>
        <w:t xml:space="preserve"> 2015.gadā*</w:t>
      </w:r>
    </w:p>
    <w:tbl>
      <w:tblPr>
        <w:tblW w:w="8767" w:type="dxa"/>
        <w:tblInd w:w="-10" w:type="dxa"/>
        <w:tblCellMar>
          <w:left w:w="0" w:type="dxa"/>
          <w:right w:w="0" w:type="dxa"/>
        </w:tblCellMar>
        <w:tblLook w:val="04A0" w:firstRow="1" w:lastRow="0" w:firstColumn="1" w:lastColumn="0" w:noHBand="0" w:noVBand="1"/>
      </w:tblPr>
      <w:tblGrid>
        <w:gridCol w:w="5954"/>
        <w:gridCol w:w="1417"/>
        <w:gridCol w:w="1396"/>
      </w:tblGrid>
      <w:tr w:rsidR="00A17D5B" w:rsidRPr="00A17D5B" w14:paraId="54D5249A" w14:textId="77777777" w:rsidTr="003A1871">
        <w:trPr>
          <w:trHeight w:val="315"/>
        </w:trPr>
        <w:tc>
          <w:tcPr>
            <w:tcW w:w="5954" w:type="dxa"/>
            <w:tcBorders>
              <w:top w:val="single" w:sz="8" w:space="0" w:color="auto"/>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14:paraId="23858BD5" w14:textId="77777777" w:rsidR="008C5B90" w:rsidRPr="00A17D5B" w:rsidRDefault="008C5B90" w:rsidP="008C5B90">
            <w:pPr>
              <w:suppressAutoHyphens w:val="0"/>
              <w:autoSpaceDN/>
              <w:jc w:val="center"/>
              <w:textAlignment w:val="auto"/>
              <w:rPr>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vAlign w:val="bottom"/>
          </w:tcPr>
          <w:p w14:paraId="5552354E" w14:textId="77777777" w:rsidR="008C5B90" w:rsidRPr="00A17D5B" w:rsidRDefault="00DE3262" w:rsidP="00D44CB6">
            <w:pPr>
              <w:suppressAutoHyphens w:val="0"/>
              <w:autoSpaceDN/>
              <w:jc w:val="center"/>
              <w:textAlignment w:val="auto"/>
              <w:rPr>
                <w:sz w:val="24"/>
                <w:szCs w:val="24"/>
                <w:lang w:eastAsia="lv-LV"/>
              </w:rPr>
            </w:pPr>
            <w:r w:rsidRPr="00A17D5B">
              <w:rPr>
                <w:sz w:val="24"/>
                <w:szCs w:val="24"/>
                <w:lang w:eastAsia="lv-LV"/>
              </w:rPr>
              <w:t>m</w:t>
            </w:r>
            <w:r w:rsidR="008C5B90" w:rsidRPr="00A17D5B">
              <w:rPr>
                <w:sz w:val="24"/>
                <w:szCs w:val="24"/>
                <w:lang w:eastAsia="lv-LV"/>
              </w:rPr>
              <w:t xml:space="preserve">ilj. </w:t>
            </w:r>
            <w:r w:rsidR="00D44CB6">
              <w:rPr>
                <w:sz w:val="24"/>
                <w:szCs w:val="24"/>
                <w:lang w:eastAsia="lv-LV"/>
              </w:rPr>
              <w:t>EUR</w:t>
            </w:r>
          </w:p>
        </w:tc>
        <w:tc>
          <w:tcPr>
            <w:tcW w:w="1396" w:type="dxa"/>
            <w:tcBorders>
              <w:top w:val="single" w:sz="4" w:space="0" w:color="auto"/>
              <w:left w:val="single" w:sz="4" w:space="0" w:color="auto"/>
              <w:bottom w:val="single" w:sz="4" w:space="0" w:color="auto"/>
              <w:right w:val="single" w:sz="4" w:space="0" w:color="auto"/>
            </w:tcBorders>
          </w:tcPr>
          <w:p w14:paraId="4DD3E3C0" w14:textId="77777777" w:rsidR="008C5B90" w:rsidRPr="00A17D5B" w:rsidRDefault="008C5B90" w:rsidP="008C5B90">
            <w:pPr>
              <w:suppressAutoHyphens w:val="0"/>
              <w:autoSpaceDN/>
              <w:jc w:val="center"/>
              <w:textAlignment w:val="auto"/>
              <w:rPr>
                <w:sz w:val="24"/>
                <w:szCs w:val="24"/>
                <w:lang w:eastAsia="lv-LV"/>
              </w:rPr>
            </w:pPr>
            <w:r w:rsidRPr="00A17D5B">
              <w:rPr>
                <w:sz w:val="24"/>
                <w:szCs w:val="24"/>
                <w:lang w:eastAsia="lv-LV"/>
              </w:rPr>
              <w:t>Procentos no kopējiem ieņēmumiem</w:t>
            </w:r>
          </w:p>
        </w:tc>
      </w:tr>
      <w:tr w:rsidR="00A17D5B" w:rsidRPr="00A17D5B" w14:paraId="3C3FD2FA" w14:textId="77777777" w:rsidTr="003A1871">
        <w:trPr>
          <w:trHeight w:val="315"/>
        </w:trPr>
        <w:tc>
          <w:tcPr>
            <w:tcW w:w="5954"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14:paraId="0FE9F859" w14:textId="77777777" w:rsidR="008C5B90" w:rsidRPr="00A17D5B" w:rsidRDefault="008C5B90" w:rsidP="008C5B90">
            <w:pPr>
              <w:suppressAutoHyphens w:val="0"/>
              <w:autoSpaceDN/>
              <w:jc w:val="center"/>
              <w:textAlignment w:val="auto"/>
              <w:rPr>
                <w:b/>
                <w:bCs/>
                <w:sz w:val="24"/>
                <w:szCs w:val="24"/>
                <w:lang w:eastAsia="lv-LV"/>
              </w:rPr>
            </w:pPr>
            <w:r w:rsidRPr="00A17D5B">
              <w:rPr>
                <w:b/>
                <w:bCs/>
                <w:sz w:val="24"/>
                <w:szCs w:val="24"/>
                <w:lang w:eastAsia="lv-LV"/>
              </w:rPr>
              <w:t xml:space="preserve">Nekustamā īpašuma nodoklis, kopā </w:t>
            </w:r>
          </w:p>
        </w:tc>
        <w:tc>
          <w:tcPr>
            <w:tcW w:w="1417" w:type="dxa"/>
            <w:tcBorders>
              <w:top w:val="single" w:sz="4" w:space="0" w:color="auto"/>
              <w:left w:val="single" w:sz="4" w:space="0" w:color="auto"/>
              <w:bottom w:val="single" w:sz="4" w:space="0" w:color="auto"/>
              <w:right w:val="single" w:sz="4" w:space="0" w:color="auto"/>
            </w:tcBorders>
            <w:vAlign w:val="bottom"/>
          </w:tcPr>
          <w:p w14:paraId="1DE91DFD" w14:textId="77777777" w:rsidR="008C5B90" w:rsidRPr="00A17D5B" w:rsidRDefault="003A1871" w:rsidP="008C5B90">
            <w:pPr>
              <w:suppressAutoHyphens w:val="0"/>
              <w:autoSpaceDN/>
              <w:jc w:val="center"/>
              <w:textAlignment w:val="auto"/>
              <w:rPr>
                <w:b/>
                <w:bCs/>
                <w:sz w:val="24"/>
                <w:szCs w:val="24"/>
                <w:lang w:eastAsia="lv-LV"/>
              </w:rPr>
            </w:pPr>
            <w:r w:rsidRPr="00A17D5B">
              <w:rPr>
                <w:b/>
                <w:bCs/>
                <w:sz w:val="24"/>
                <w:szCs w:val="24"/>
                <w:lang w:eastAsia="lv-LV"/>
              </w:rPr>
              <w:t>197,0</w:t>
            </w:r>
          </w:p>
        </w:tc>
        <w:tc>
          <w:tcPr>
            <w:tcW w:w="1396" w:type="dxa"/>
            <w:tcBorders>
              <w:top w:val="single" w:sz="4" w:space="0" w:color="auto"/>
              <w:left w:val="single" w:sz="4" w:space="0" w:color="auto"/>
              <w:bottom w:val="single" w:sz="4" w:space="0" w:color="auto"/>
              <w:right w:val="single" w:sz="4" w:space="0" w:color="auto"/>
            </w:tcBorders>
          </w:tcPr>
          <w:p w14:paraId="13303A78" w14:textId="77777777" w:rsidR="008C5B90" w:rsidRPr="00A17D5B" w:rsidRDefault="003A1871" w:rsidP="008C5B90">
            <w:pPr>
              <w:suppressAutoHyphens w:val="0"/>
              <w:autoSpaceDN/>
              <w:jc w:val="center"/>
              <w:textAlignment w:val="auto"/>
              <w:rPr>
                <w:b/>
                <w:bCs/>
                <w:sz w:val="24"/>
                <w:szCs w:val="24"/>
                <w:lang w:eastAsia="lv-LV"/>
              </w:rPr>
            </w:pPr>
            <w:r w:rsidRPr="00A17D5B">
              <w:rPr>
                <w:b/>
                <w:bCs/>
                <w:sz w:val="24"/>
                <w:szCs w:val="24"/>
                <w:lang w:eastAsia="lv-LV"/>
              </w:rPr>
              <w:t>100%</w:t>
            </w:r>
          </w:p>
        </w:tc>
      </w:tr>
      <w:tr w:rsidR="00A17D5B" w:rsidRPr="00A17D5B" w14:paraId="02783D96" w14:textId="77777777" w:rsidTr="003A1871">
        <w:trPr>
          <w:trHeight w:val="308"/>
        </w:trPr>
        <w:tc>
          <w:tcPr>
            <w:tcW w:w="595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14:paraId="778DA24D" w14:textId="77777777" w:rsidR="008C5B90" w:rsidRPr="00A17D5B" w:rsidRDefault="008C5B90" w:rsidP="008C5B90">
            <w:pPr>
              <w:suppressAutoHyphens w:val="0"/>
              <w:autoSpaceDN/>
              <w:jc w:val="right"/>
              <w:textAlignment w:val="auto"/>
              <w:rPr>
                <w:sz w:val="24"/>
                <w:szCs w:val="24"/>
                <w:lang w:eastAsia="lv-LV"/>
              </w:rPr>
            </w:pPr>
            <w:r w:rsidRPr="00A17D5B">
              <w:rPr>
                <w:sz w:val="24"/>
                <w:szCs w:val="24"/>
                <w:lang w:eastAsia="lv-LV"/>
              </w:rPr>
              <w:t>Nekustamā īpašuma nodokļa ieņēmumi par ēkām, būvēm</w:t>
            </w:r>
          </w:p>
        </w:tc>
        <w:tc>
          <w:tcPr>
            <w:tcW w:w="1417" w:type="dxa"/>
            <w:tcBorders>
              <w:top w:val="single" w:sz="4" w:space="0" w:color="auto"/>
              <w:left w:val="single" w:sz="4" w:space="0" w:color="auto"/>
              <w:bottom w:val="single" w:sz="4" w:space="0" w:color="auto"/>
              <w:right w:val="single" w:sz="4" w:space="0" w:color="auto"/>
            </w:tcBorders>
            <w:vAlign w:val="bottom"/>
          </w:tcPr>
          <w:p w14:paraId="0F9849E1" w14:textId="77777777" w:rsidR="008C5B90" w:rsidRPr="00A17D5B" w:rsidRDefault="003A1871" w:rsidP="008C5B90">
            <w:pPr>
              <w:suppressAutoHyphens w:val="0"/>
              <w:autoSpaceDN/>
              <w:jc w:val="center"/>
              <w:textAlignment w:val="auto"/>
              <w:rPr>
                <w:sz w:val="24"/>
                <w:szCs w:val="24"/>
                <w:lang w:eastAsia="lv-LV"/>
              </w:rPr>
            </w:pPr>
            <w:r w:rsidRPr="00A17D5B">
              <w:rPr>
                <w:sz w:val="24"/>
                <w:szCs w:val="24"/>
                <w:lang w:eastAsia="lv-LV"/>
              </w:rPr>
              <w:t>96,6</w:t>
            </w:r>
          </w:p>
        </w:tc>
        <w:tc>
          <w:tcPr>
            <w:tcW w:w="1396" w:type="dxa"/>
            <w:tcBorders>
              <w:top w:val="single" w:sz="4" w:space="0" w:color="auto"/>
              <w:left w:val="single" w:sz="4" w:space="0" w:color="auto"/>
              <w:bottom w:val="single" w:sz="4" w:space="0" w:color="auto"/>
              <w:right w:val="single" w:sz="4" w:space="0" w:color="auto"/>
            </w:tcBorders>
          </w:tcPr>
          <w:p w14:paraId="6056F169" w14:textId="77777777" w:rsidR="008C5B90" w:rsidRPr="00A17D5B" w:rsidRDefault="003A1871" w:rsidP="008C5B90">
            <w:pPr>
              <w:suppressAutoHyphens w:val="0"/>
              <w:autoSpaceDN/>
              <w:jc w:val="center"/>
              <w:textAlignment w:val="auto"/>
              <w:rPr>
                <w:sz w:val="24"/>
                <w:szCs w:val="24"/>
                <w:lang w:eastAsia="lv-LV"/>
              </w:rPr>
            </w:pPr>
            <w:r w:rsidRPr="00A17D5B">
              <w:rPr>
                <w:sz w:val="24"/>
                <w:szCs w:val="24"/>
                <w:lang w:eastAsia="lv-LV"/>
              </w:rPr>
              <w:t>49%</w:t>
            </w:r>
          </w:p>
        </w:tc>
      </w:tr>
      <w:tr w:rsidR="00A17D5B" w:rsidRPr="00A17D5B" w14:paraId="2C7962B9" w14:textId="77777777" w:rsidTr="003A1871">
        <w:trPr>
          <w:trHeight w:val="308"/>
        </w:trPr>
        <w:tc>
          <w:tcPr>
            <w:tcW w:w="595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tcPr>
          <w:p w14:paraId="59DF614F" w14:textId="77777777" w:rsidR="003A1871" w:rsidRPr="00A17D5B" w:rsidRDefault="003A1871" w:rsidP="008C5B90">
            <w:pPr>
              <w:suppressAutoHyphens w:val="0"/>
              <w:autoSpaceDN/>
              <w:jc w:val="right"/>
              <w:textAlignment w:val="auto"/>
              <w:rPr>
                <w:i/>
                <w:sz w:val="24"/>
                <w:szCs w:val="24"/>
                <w:lang w:eastAsia="lv-LV"/>
              </w:rPr>
            </w:pPr>
            <w:r w:rsidRPr="00A17D5B">
              <w:rPr>
                <w:i/>
                <w:sz w:val="24"/>
                <w:szCs w:val="24"/>
                <w:lang w:eastAsia="lv-LV"/>
              </w:rPr>
              <w:t>t.sk. nekustamā īpašuma nodokļa ieņēmumi par dzīvošanai paredzētiem nekustamajiem īpašumiem (ēkām, būvēm)</w:t>
            </w:r>
          </w:p>
        </w:tc>
        <w:tc>
          <w:tcPr>
            <w:tcW w:w="1417" w:type="dxa"/>
            <w:tcBorders>
              <w:top w:val="single" w:sz="4" w:space="0" w:color="auto"/>
              <w:left w:val="single" w:sz="4" w:space="0" w:color="auto"/>
              <w:bottom w:val="single" w:sz="4" w:space="0" w:color="auto"/>
              <w:right w:val="single" w:sz="4" w:space="0" w:color="auto"/>
            </w:tcBorders>
            <w:vAlign w:val="bottom"/>
          </w:tcPr>
          <w:p w14:paraId="69A4E7EB" w14:textId="77777777" w:rsidR="003A1871" w:rsidRPr="00A17D5B" w:rsidRDefault="003A1871" w:rsidP="003A1871">
            <w:pPr>
              <w:suppressAutoHyphens w:val="0"/>
              <w:autoSpaceDN/>
              <w:spacing w:after="120"/>
              <w:jc w:val="center"/>
              <w:textAlignment w:val="auto"/>
              <w:rPr>
                <w:sz w:val="24"/>
                <w:szCs w:val="24"/>
                <w:lang w:eastAsia="lv-LV"/>
              </w:rPr>
            </w:pPr>
            <w:r w:rsidRPr="00A17D5B">
              <w:rPr>
                <w:sz w:val="24"/>
                <w:szCs w:val="24"/>
                <w:lang w:eastAsia="lv-LV"/>
              </w:rPr>
              <w:t>24,2</w:t>
            </w:r>
          </w:p>
        </w:tc>
        <w:tc>
          <w:tcPr>
            <w:tcW w:w="1396" w:type="dxa"/>
            <w:tcBorders>
              <w:top w:val="single" w:sz="4" w:space="0" w:color="auto"/>
              <w:left w:val="single" w:sz="4" w:space="0" w:color="auto"/>
              <w:bottom w:val="single" w:sz="4" w:space="0" w:color="auto"/>
              <w:right w:val="single" w:sz="4" w:space="0" w:color="auto"/>
            </w:tcBorders>
          </w:tcPr>
          <w:p w14:paraId="76621981" w14:textId="77777777" w:rsidR="003A1871" w:rsidRPr="00A17D5B" w:rsidRDefault="003A1871" w:rsidP="003A1871">
            <w:pPr>
              <w:suppressAutoHyphens w:val="0"/>
              <w:autoSpaceDN/>
              <w:spacing w:before="120" w:after="120"/>
              <w:jc w:val="center"/>
              <w:textAlignment w:val="auto"/>
              <w:rPr>
                <w:sz w:val="24"/>
                <w:szCs w:val="24"/>
                <w:lang w:eastAsia="lv-LV"/>
              </w:rPr>
            </w:pPr>
            <w:r w:rsidRPr="00A17D5B">
              <w:rPr>
                <w:sz w:val="24"/>
                <w:szCs w:val="24"/>
                <w:lang w:eastAsia="lv-LV"/>
              </w:rPr>
              <w:t>12,3%</w:t>
            </w:r>
          </w:p>
        </w:tc>
      </w:tr>
      <w:tr w:rsidR="00A17D5B" w:rsidRPr="00A17D5B" w14:paraId="257A9B9F" w14:textId="77777777" w:rsidTr="003E5D2A">
        <w:trPr>
          <w:trHeight w:val="299"/>
        </w:trPr>
        <w:tc>
          <w:tcPr>
            <w:tcW w:w="595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14:paraId="47CD2C99" w14:textId="77777777" w:rsidR="008C5B90" w:rsidRPr="00A17D5B" w:rsidRDefault="008C5B90" w:rsidP="008C5B90">
            <w:pPr>
              <w:suppressAutoHyphens w:val="0"/>
              <w:autoSpaceDN/>
              <w:jc w:val="right"/>
              <w:textAlignment w:val="auto"/>
              <w:rPr>
                <w:sz w:val="24"/>
                <w:szCs w:val="24"/>
                <w:lang w:eastAsia="lv-LV"/>
              </w:rPr>
            </w:pPr>
            <w:r w:rsidRPr="00A17D5B">
              <w:rPr>
                <w:sz w:val="24"/>
                <w:szCs w:val="24"/>
                <w:lang w:eastAsia="lv-LV"/>
              </w:rPr>
              <w:t>Nekustamā īpašuma nodokļa ieņēmumi par zemi</w:t>
            </w:r>
          </w:p>
        </w:tc>
        <w:tc>
          <w:tcPr>
            <w:tcW w:w="1417" w:type="dxa"/>
            <w:tcBorders>
              <w:top w:val="single" w:sz="4" w:space="0" w:color="auto"/>
              <w:left w:val="single" w:sz="4" w:space="0" w:color="auto"/>
              <w:bottom w:val="single" w:sz="4" w:space="0" w:color="auto"/>
              <w:right w:val="single" w:sz="4" w:space="0" w:color="auto"/>
            </w:tcBorders>
            <w:vAlign w:val="bottom"/>
          </w:tcPr>
          <w:p w14:paraId="2534B7CF" w14:textId="77777777" w:rsidR="008C5B90" w:rsidRPr="00A17D5B" w:rsidRDefault="003A1871" w:rsidP="003E5D2A">
            <w:pPr>
              <w:suppressAutoHyphens w:val="0"/>
              <w:autoSpaceDN/>
              <w:jc w:val="center"/>
              <w:textAlignment w:val="auto"/>
              <w:rPr>
                <w:sz w:val="24"/>
                <w:szCs w:val="24"/>
                <w:lang w:eastAsia="lv-LV"/>
              </w:rPr>
            </w:pPr>
            <w:r w:rsidRPr="00A17D5B">
              <w:rPr>
                <w:sz w:val="24"/>
                <w:szCs w:val="24"/>
                <w:lang w:eastAsia="lv-LV"/>
              </w:rPr>
              <w:t>100,4</w:t>
            </w:r>
          </w:p>
        </w:tc>
        <w:tc>
          <w:tcPr>
            <w:tcW w:w="1396" w:type="dxa"/>
            <w:tcBorders>
              <w:top w:val="single" w:sz="4" w:space="0" w:color="auto"/>
              <w:left w:val="single" w:sz="4" w:space="0" w:color="auto"/>
              <w:bottom w:val="single" w:sz="4" w:space="0" w:color="auto"/>
              <w:right w:val="single" w:sz="4" w:space="0" w:color="auto"/>
            </w:tcBorders>
          </w:tcPr>
          <w:p w14:paraId="727C4BF3" w14:textId="77777777" w:rsidR="008C5B90" w:rsidRPr="00A17D5B" w:rsidRDefault="003A1871" w:rsidP="008C5B90">
            <w:pPr>
              <w:suppressAutoHyphens w:val="0"/>
              <w:autoSpaceDN/>
              <w:jc w:val="center"/>
              <w:textAlignment w:val="auto"/>
              <w:rPr>
                <w:sz w:val="24"/>
                <w:szCs w:val="24"/>
                <w:lang w:eastAsia="lv-LV"/>
              </w:rPr>
            </w:pPr>
            <w:r w:rsidRPr="00A17D5B">
              <w:rPr>
                <w:sz w:val="24"/>
                <w:szCs w:val="24"/>
                <w:lang w:eastAsia="lv-LV"/>
              </w:rPr>
              <w:t>51%</w:t>
            </w:r>
          </w:p>
        </w:tc>
      </w:tr>
    </w:tbl>
    <w:p w14:paraId="6BB0DD6E" w14:textId="77777777" w:rsidR="008C5B90" w:rsidRDefault="00817EEF" w:rsidP="00817EEF">
      <w:pPr>
        <w:jc w:val="both"/>
        <w:rPr>
          <w:i/>
          <w:sz w:val="24"/>
          <w:szCs w:val="24"/>
        </w:rPr>
      </w:pPr>
      <w:r w:rsidRPr="00817EEF">
        <w:rPr>
          <w:i/>
          <w:sz w:val="24"/>
          <w:szCs w:val="24"/>
        </w:rPr>
        <w:t>*FM dati</w:t>
      </w:r>
    </w:p>
    <w:p w14:paraId="7B2BA76A" w14:textId="77777777" w:rsidR="00EA2D8F" w:rsidRDefault="00EA2D8F" w:rsidP="006343D5">
      <w:pPr>
        <w:spacing w:before="120"/>
        <w:ind w:firstLine="720"/>
        <w:jc w:val="both"/>
        <w:rPr>
          <w:i/>
          <w:szCs w:val="28"/>
        </w:rPr>
      </w:pPr>
      <w:r>
        <w:rPr>
          <w:szCs w:val="28"/>
        </w:rPr>
        <w:t>Risinot jautājumu par atbilstošu un samērīgu nekustamā īpašuma nodokļa samaksu un, ņ</w:t>
      </w:r>
      <w:r w:rsidRPr="00981564">
        <w:rPr>
          <w:szCs w:val="28"/>
        </w:rPr>
        <w:t xml:space="preserve">emot vērā </w:t>
      </w:r>
      <w:r w:rsidRPr="00CC29C8">
        <w:rPr>
          <w:szCs w:val="28"/>
        </w:rPr>
        <w:t>uzstādījumu, ka nekustamā īpašuma nodokļa sloga mazināšanas risinājumā būtu jāiekļauj arī apbūves zeme</w:t>
      </w:r>
      <w:r>
        <w:rPr>
          <w:szCs w:val="28"/>
        </w:rPr>
        <w:t xml:space="preserve">, </w:t>
      </w:r>
      <w:r w:rsidR="006343D5">
        <w:rPr>
          <w:szCs w:val="28"/>
        </w:rPr>
        <w:t>darba grupā</w:t>
      </w:r>
      <w:r>
        <w:rPr>
          <w:szCs w:val="28"/>
        </w:rPr>
        <w:t xml:space="preserve"> papildus </w:t>
      </w:r>
      <w:r w:rsidR="0034478E">
        <w:rPr>
          <w:szCs w:val="28"/>
        </w:rPr>
        <w:t xml:space="preserve">minētajam </w:t>
      </w:r>
      <w:r w:rsidRPr="00981564">
        <w:rPr>
          <w:szCs w:val="28"/>
        </w:rPr>
        <w:t>mode</w:t>
      </w:r>
      <w:r>
        <w:rPr>
          <w:szCs w:val="28"/>
        </w:rPr>
        <w:t>lim (</w:t>
      </w:r>
      <w:r w:rsidRPr="00981564">
        <w:rPr>
          <w:szCs w:val="28"/>
        </w:rPr>
        <w:t>attiecībā uz dzīvojamaji</w:t>
      </w:r>
      <w:r>
        <w:rPr>
          <w:szCs w:val="28"/>
        </w:rPr>
        <w:t>em īpašumiem (dzīvokļiem, ēkām))</w:t>
      </w:r>
      <w:r w:rsidRPr="00981564">
        <w:rPr>
          <w:szCs w:val="28"/>
        </w:rPr>
        <w:t xml:space="preserve"> </w:t>
      </w:r>
      <w:r w:rsidR="006343D5" w:rsidRPr="00466332">
        <w:rPr>
          <w:szCs w:val="28"/>
        </w:rPr>
        <w:t xml:space="preserve">tika diskutēts par </w:t>
      </w:r>
      <w:r w:rsidRPr="00466332">
        <w:rPr>
          <w:szCs w:val="28"/>
        </w:rPr>
        <w:t xml:space="preserve"> sekojošu risinājumu:</w:t>
      </w:r>
    </w:p>
    <w:p w14:paraId="54C2816C" w14:textId="77777777" w:rsidR="00EA2D8F" w:rsidRDefault="00EA2D8F" w:rsidP="00EA2D8F">
      <w:pPr>
        <w:ind w:firstLine="720"/>
        <w:jc w:val="both"/>
        <w:rPr>
          <w:szCs w:val="28"/>
        </w:rPr>
      </w:pPr>
      <w:r w:rsidRPr="00B56B79">
        <w:rPr>
          <w:szCs w:val="28"/>
          <w:u w:val="single"/>
        </w:rPr>
        <w:t>Modelis</w:t>
      </w:r>
      <w:r>
        <w:rPr>
          <w:szCs w:val="28"/>
          <w:u w:val="single"/>
        </w:rPr>
        <w:t xml:space="preserve"> zemei</w:t>
      </w:r>
      <w:r w:rsidRPr="00B56B79">
        <w:rPr>
          <w:szCs w:val="28"/>
          <w:u w:val="single"/>
        </w:rPr>
        <w:t>:</w:t>
      </w:r>
      <w:r>
        <w:rPr>
          <w:szCs w:val="28"/>
        </w:rPr>
        <w:t xml:space="preserve"> N</w:t>
      </w:r>
      <w:r w:rsidRPr="00334297">
        <w:rPr>
          <w:szCs w:val="28"/>
        </w:rPr>
        <w:t xml:space="preserve">oteikt ar samazinātu nodokļa likmi apliekamu minimumu (platību) arī attiecībā uz apbūves zemi, par katru īpašumā deklarēto personu (platības apmērs ir diskutējams), atlikušajai ar nodokli apliekamajai </w:t>
      </w:r>
      <w:r>
        <w:rPr>
          <w:szCs w:val="28"/>
        </w:rPr>
        <w:t xml:space="preserve">apbūves zemes platības </w:t>
      </w:r>
      <w:r w:rsidRPr="00334297">
        <w:rPr>
          <w:szCs w:val="28"/>
        </w:rPr>
        <w:t xml:space="preserve">daļai piemērojot </w:t>
      </w:r>
      <w:r>
        <w:rPr>
          <w:szCs w:val="28"/>
        </w:rPr>
        <w:t>standarta</w:t>
      </w:r>
      <w:r w:rsidRPr="00334297">
        <w:rPr>
          <w:szCs w:val="28"/>
        </w:rPr>
        <w:t xml:space="preserve"> nodokļa likmi</w:t>
      </w:r>
      <w:r>
        <w:rPr>
          <w:szCs w:val="28"/>
        </w:rPr>
        <w:t xml:space="preserve"> zemei</w:t>
      </w:r>
      <w:r w:rsidRPr="00334297">
        <w:rPr>
          <w:szCs w:val="28"/>
        </w:rPr>
        <w:t xml:space="preserve"> (likmes apmērs </w:t>
      </w:r>
      <w:r w:rsidR="0034478E">
        <w:rPr>
          <w:szCs w:val="28"/>
        </w:rPr>
        <w:t>varētu būt</w:t>
      </w:r>
      <w:r w:rsidR="0034478E" w:rsidRPr="00334297">
        <w:rPr>
          <w:szCs w:val="28"/>
        </w:rPr>
        <w:t xml:space="preserve"> </w:t>
      </w:r>
      <w:r w:rsidRPr="00334297">
        <w:rPr>
          <w:szCs w:val="28"/>
        </w:rPr>
        <w:t xml:space="preserve">diskutējams). </w:t>
      </w:r>
    </w:p>
    <w:p w14:paraId="44EBE613" w14:textId="77777777" w:rsidR="00EA2D8F" w:rsidRDefault="001F35B0" w:rsidP="00EA2D8F">
      <w:pPr>
        <w:pStyle w:val="ListParagraph"/>
        <w:spacing w:before="120"/>
        <w:ind w:left="0" w:firstLine="720"/>
        <w:jc w:val="both"/>
        <w:rPr>
          <w:i/>
          <w:szCs w:val="28"/>
        </w:rPr>
      </w:pPr>
      <w:r w:rsidRPr="00546795">
        <w:rPr>
          <w:i/>
          <w:szCs w:val="28"/>
        </w:rPr>
        <w:t xml:space="preserve"> </w:t>
      </w:r>
      <w:r w:rsidR="00EA2D8F" w:rsidRPr="00546795">
        <w:rPr>
          <w:i/>
          <w:szCs w:val="28"/>
        </w:rPr>
        <w:t xml:space="preserve">(+) tiek novērsts nesamērīgs nodokļa sloga pieaugums </w:t>
      </w:r>
      <w:r w:rsidR="00EA2D8F">
        <w:rPr>
          <w:i/>
          <w:szCs w:val="28"/>
        </w:rPr>
        <w:t>zemei</w:t>
      </w:r>
      <w:r w:rsidR="00EA2D8F" w:rsidRPr="00546795">
        <w:rPr>
          <w:i/>
          <w:szCs w:val="28"/>
        </w:rPr>
        <w:t xml:space="preserve"> un līdz ar to arī </w:t>
      </w:r>
      <w:r w:rsidR="00EA2D8F">
        <w:rPr>
          <w:i/>
          <w:szCs w:val="28"/>
        </w:rPr>
        <w:t xml:space="preserve">īpašumam </w:t>
      </w:r>
      <w:r w:rsidR="00EA2D8F" w:rsidRPr="00546795">
        <w:rPr>
          <w:i/>
          <w:szCs w:val="28"/>
        </w:rPr>
        <w:t xml:space="preserve">kopumā; </w:t>
      </w:r>
    </w:p>
    <w:p w14:paraId="28E63893" w14:textId="77777777" w:rsidR="00EA2D8F" w:rsidRDefault="00EA2D8F" w:rsidP="00EA2D8F">
      <w:pPr>
        <w:pStyle w:val="ListParagraph"/>
        <w:ind w:left="0" w:firstLine="720"/>
        <w:jc w:val="both"/>
        <w:rPr>
          <w:i/>
          <w:szCs w:val="28"/>
        </w:rPr>
      </w:pPr>
      <w:r w:rsidRPr="008F7649">
        <w:rPr>
          <w:i/>
          <w:szCs w:val="28"/>
        </w:rPr>
        <w:t>(+) aizsargātas arī īrnieku intereses;</w:t>
      </w:r>
    </w:p>
    <w:p w14:paraId="231538CB" w14:textId="77777777" w:rsidR="00EA2D8F" w:rsidRDefault="00EA2D8F" w:rsidP="00EA2D8F">
      <w:pPr>
        <w:pStyle w:val="ListParagraph"/>
        <w:tabs>
          <w:tab w:val="left" w:pos="1134"/>
        </w:tabs>
        <w:ind w:left="0" w:firstLine="720"/>
        <w:jc w:val="both"/>
        <w:rPr>
          <w:i/>
          <w:szCs w:val="28"/>
        </w:rPr>
      </w:pPr>
      <w:r w:rsidRPr="008F7649">
        <w:rPr>
          <w:i/>
          <w:szCs w:val="28"/>
        </w:rPr>
        <w:t>(-) sarežģīta administrēšana, kurai papildus nepieciešami finanšu resursi.</w:t>
      </w:r>
    </w:p>
    <w:p w14:paraId="003091FA" w14:textId="724D4223" w:rsidR="00EA2D8F" w:rsidRDefault="00E0223B" w:rsidP="00EA2D8F">
      <w:pPr>
        <w:spacing w:before="120"/>
        <w:ind w:firstLine="709"/>
        <w:jc w:val="both"/>
        <w:rPr>
          <w:szCs w:val="28"/>
        </w:rPr>
      </w:pPr>
      <w:r>
        <w:rPr>
          <w:szCs w:val="28"/>
        </w:rPr>
        <w:t>Analizējot</w:t>
      </w:r>
      <w:r w:rsidR="00EA2D8F">
        <w:rPr>
          <w:szCs w:val="28"/>
        </w:rPr>
        <w:t xml:space="preserve"> vidējo individuālās apbūves gadījumu Rīgā</w:t>
      </w:r>
      <w:r w:rsidR="00EE460F">
        <w:rPr>
          <w:szCs w:val="28"/>
        </w:rPr>
        <w:t xml:space="preserve"> (lielākais nodokļa maksātāju skaits)</w:t>
      </w:r>
      <w:r w:rsidR="00EA2D8F">
        <w:rPr>
          <w:szCs w:val="28"/>
        </w:rPr>
        <w:t xml:space="preserve">, varam secināt, ka, piemērojot piedāvātos modeļus, nekustamā īpašuma maksājumi samazinās aptuveni divas reizes. Nodokļa maksājuma samazinājums </w:t>
      </w:r>
      <w:r>
        <w:rPr>
          <w:szCs w:val="28"/>
        </w:rPr>
        <w:t>būs</w:t>
      </w:r>
      <w:r w:rsidR="00EA2D8F">
        <w:rPr>
          <w:szCs w:val="28"/>
        </w:rPr>
        <w:t xml:space="preserve"> atkarīgs no nekustamajā īpašumā deklarēto personu skaita. Savukārt nodokļa samazinājuma tendenci varētu apdraudēt nekustamā īpašuma kadastrālās vērtības kāpums nākotnē. </w:t>
      </w:r>
    </w:p>
    <w:p w14:paraId="3DAAFE7D" w14:textId="77777777" w:rsidR="00914E3B" w:rsidRDefault="00914E3B" w:rsidP="003D47FF">
      <w:pPr>
        <w:ind w:firstLine="709"/>
        <w:jc w:val="both"/>
        <w:rPr>
          <w:szCs w:val="28"/>
        </w:rPr>
      </w:pPr>
      <w:r>
        <w:rPr>
          <w:szCs w:val="28"/>
        </w:rPr>
        <w:t xml:space="preserve">Analizējot un vērtējot </w:t>
      </w:r>
      <w:r w:rsidR="00CF0BF7">
        <w:rPr>
          <w:szCs w:val="28"/>
        </w:rPr>
        <w:t xml:space="preserve">informatīvā ziņojuma </w:t>
      </w:r>
      <w:r w:rsidR="004045D6">
        <w:rPr>
          <w:szCs w:val="28"/>
        </w:rPr>
        <w:t>1.</w:t>
      </w:r>
      <w:r w:rsidR="00857B09">
        <w:rPr>
          <w:szCs w:val="28"/>
        </w:rPr>
        <w:t>4.</w:t>
      </w:r>
      <w:r w:rsidR="0004533C">
        <w:rPr>
          <w:szCs w:val="28"/>
        </w:rPr>
        <w:t>punktā</w:t>
      </w:r>
      <w:r w:rsidR="00857B09">
        <w:rPr>
          <w:szCs w:val="28"/>
        </w:rPr>
        <w:t xml:space="preserve"> </w:t>
      </w:r>
      <w:r w:rsidR="00F813EA">
        <w:rPr>
          <w:szCs w:val="28"/>
        </w:rPr>
        <w:t xml:space="preserve">minēto </w:t>
      </w:r>
      <w:r>
        <w:rPr>
          <w:szCs w:val="28"/>
        </w:rPr>
        <w:t xml:space="preserve">faktu, </w:t>
      </w:r>
      <w:r w:rsidR="00F813EA">
        <w:rPr>
          <w:szCs w:val="28"/>
        </w:rPr>
        <w:t xml:space="preserve">ka </w:t>
      </w:r>
      <w:r w:rsidR="00F813EA" w:rsidRPr="00F813EA">
        <w:rPr>
          <w:szCs w:val="28"/>
        </w:rPr>
        <w:t>individuālās apbūves zemes bāzes vērtību</w:t>
      </w:r>
      <w:r w:rsidR="00F813EA">
        <w:rPr>
          <w:szCs w:val="28"/>
        </w:rPr>
        <w:t xml:space="preserve"> līmenis svārstās vairāk kā </w:t>
      </w:r>
      <w:r w:rsidR="00E61CF0">
        <w:rPr>
          <w:szCs w:val="28"/>
        </w:rPr>
        <w:t>15</w:t>
      </w:r>
      <w:r w:rsidR="00F813EA">
        <w:rPr>
          <w:szCs w:val="28"/>
        </w:rPr>
        <w:t>00 reizes,</w:t>
      </w:r>
      <w:r w:rsidR="00F813EA" w:rsidRPr="00F813EA">
        <w:rPr>
          <w:szCs w:val="28"/>
        </w:rPr>
        <w:t xml:space="preserve"> </w:t>
      </w:r>
      <w:r>
        <w:rPr>
          <w:szCs w:val="28"/>
        </w:rPr>
        <w:t>ir skaidri saprotams, ka tikai ar nekustamā īpašuma nodok</w:t>
      </w:r>
      <w:r w:rsidR="00B06425">
        <w:rPr>
          <w:szCs w:val="28"/>
        </w:rPr>
        <w:t>ļa likmi, kas ir robežās no 0,2% līdz 1,5</w:t>
      </w:r>
      <w:r>
        <w:rPr>
          <w:szCs w:val="28"/>
        </w:rPr>
        <w:t>% (pieaugums tikai mazliet vairāk kā 7 reizes), straujo nodokļa pieauguma problēmu atrisināt (ierobežot) nav iespējams. Tādējādi varam secināt, ka tomēr</w:t>
      </w:r>
      <w:r w:rsidRPr="002A27EC">
        <w:rPr>
          <w:szCs w:val="28"/>
        </w:rPr>
        <w:t xml:space="preserve"> </w:t>
      </w:r>
      <w:r>
        <w:rPr>
          <w:szCs w:val="28"/>
        </w:rPr>
        <w:t xml:space="preserve">primāri </w:t>
      </w:r>
      <w:r w:rsidRPr="002A27EC">
        <w:rPr>
          <w:szCs w:val="28"/>
        </w:rPr>
        <w:t xml:space="preserve">ir nepieciešams nodrošināt nekustamā īpašuma nodokļa bāzes – </w:t>
      </w:r>
      <w:r w:rsidRPr="002A27EC">
        <w:rPr>
          <w:szCs w:val="28"/>
        </w:rPr>
        <w:lastRenderedPageBreak/>
        <w:t>kadastrāl</w:t>
      </w:r>
      <w:r>
        <w:rPr>
          <w:szCs w:val="28"/>
        </w:rPr>
        <w:t>ās</w:t>
      </w:r>
      <w:r w:rsidRPr="002A27EC">
        <w:rPr>
          <w:szCs w:val="28"/>
        </w:rPr>
        <w:t xml:space="preserve"> vērtīb</w:t>
      </w:r>
      <w:r>
        <w:rPr>
          <w:szCs w:val="28"/>
        </w:rPr>
        <w:t>as</w:t>
      </w:r>
      <w:r w:rsidRPr="002A27EC">
        <w:rPr>
          <w:szCs w:val="28"/>
        </w:rPr>
        <w:t xml:space="preserve"> – samērīgu pieaugumu</w:t>
      </w:r>
      <w:r w:rsidR="00B26DED">
        <w:rPr>
          <w:szCs w:val="28"/>
        </w:rPr>
        <w:t xml:space="preserve"> un pēc tam varētu </w:t>
      </w:r>
      <w:r w:rsidR="00F9631E">
        <w:rPr>
          <w:szCs w:val="28"/>
        </w:rPr>
        <w:t>uz</w:t>
      </w:r>
      <w:r w:rsidR="00B26DED">
        <w:rPr>
          <w:szCs w:val="28"/>
        </w:rPr>
        <w:t>sākt disku</w:t>
      </w:r>
      <w:r w:rsidR="00F9631E">
        <w:rPr>
          <w:szCs w:val="28"/>
        </w:rPr>
        <w:t>sijas</w:t>
      </w:r>
      <w:r w:rsidR="00B26DED">
        <w:rPr>
          <w:szCs w:val="28"/>
        </w:rPr>
        <w:t xml:space="preserve"> par noteiktu atvieglojumu</w:t>
      </w:r>
      <w:r w:rsidR="008A27A0">
        <w:rPr>
          <w:szCs w:val="28"/>
        </w:rPr>
        <w:t xml:space="preserve"> vai atbrīvojumu</w:t>
      </w:r>
      <w:r w:rsidR="00B26DED">
        <w:rPr>
          <w:szCs w:val="28"/>
        </w:rPr>
        <w:t xml:space="preserve"> </w:t>
      </w:r>
      <w:r w:rsidR="008A27A0">
        <w:rPr>
          <w:szCs w:val="28"/>
        </w:rPr>
        <w:t>noteikšanu</w:t>
      </w:r>
      <w:r w:rsidR="00B26DED">
        <w:rPr>
          <w:szCs w:val="28"/>
        </w:rPr>
        <w:t>.</w:t>
      </w:r>
    </w:p>
    <w:p w14:paraId="63F1D122" w14:textId="77777777" w:rsidR="00857B09" w:rsidRDefault="00857B09" w:rsidP="0034586B">
      <w:pPr>
        <w:ind w:firstLine="709"/>
        <w:jc w:val="both"/>
        <w:rPr>
          <w:szCs w:val="28"/>
        </w:rPr>
      </w:pPr>
    </w:p>
    <w:p w14:paraId="4EF0E961" w14:textId="77777777" w:rsidR="00EA1F4A" w:rsidRPr="0004533C" w:rsidRDefault="00731A4D" w:rsidP="00731A4D">
      <w:pPr>
        <w:ind w:left="709"/>
        <w:jc w:val="both"/>
        <w:rPr>
          <w:b/>
          <w:szCs w:val="28"/>
        </w:rPr>
      </w:pPr>
      <w:r>
        <w:rPr>
          <w:b/>
          <w:szCs w:val="28"/>
        </w:rPr>
        <w:t>2.</w:t>
      </w:r>
      <w:r w:rsidR="00857B09" w:rsidRPr="0004533C">
        <w:rPr>
          <w:b/>
          <w:szCs w:val="28"/>
        </w:rPr>
        <w:t xml:space="preserve">3. </w:t>
      </w:r>
      <w:r w:rsidR="00EA1F4A" w:rsidRPr="0004533C">
        <w:rPr>
          <w:b/>
          <w:szCs w:val="28"/>
        </w:rPr>
        <w:t>Iespējamie pasākumi nodokļa bāzes (kadastrālās vērtības) pilnveidošanai</w:t>
      </w:r>
    </w:p>
    <w:p w14:paraId="0B361AE3" w14:textId="77777777" w:rsidR="007E1EB6" w:rsidRDefault="00292589" w:rsidP="001C76BD">
      <w:pPr>
        <w:ind w:firstLine="709"/>
        <w:jc w:val="both"/>
        <w:rPr>
          <w:szCs w:val="28"/>
        </w:rPr>
      </w:pPr>
      <w:r>
        <w:rPr>
          <w:szCs w:val="28"/>
        </w:rPr>
        <w:t>Ņemot vērā informatīvā ziņojuma 1.4.punktā analizēto informāciju, ka</w:t>
      </w:r>
      <w:r w:rsidR="007E1EB6">
        <w:rPr>
          <w:szCs w:val="28"/>
        </w:rPr>
        <w:t xml:space="preserve"> </w:t>
      </w:r>
      <w:r w:rsidR="007E1EB6" w:rsidRPr="00F813EA">
        <w:rPr>
          <w:szCs w:val="28"/>
        </w:rPr>
        <w:t>individuālās apbūves zemes bāzes vērtību</w:t>
      </w:r>
      <w:r w:rsidR="007E1EB6">
        <w:rPr>
          <w:szCs w:val="28"/>
        </w:rPr>
        <w:t xml:space="preserve"> līmenis svārstās vairāk kā 1500 reizes, kā arī plānotās </w:t>
      </w:r>
      <w:r>
        <w:rPr>
          <w:szCs w:val="28"/>
        </w:rPr>
        <w:t>kadastrāl</w:t>
      </w:r>
      <w:r w:rsidR="007E1EB6">
        <w:rPr>
          <w:szCs w:val="28"/>
        </w:rPr>
        <w:t>o</w:t>
      </w:r>
      <w:r>
        <w:rPr>
          <w:szCs w:val="28"/>
        </w:rPr>
        <w:t xml:space="preserve"> vērt</w:t>
      </w:r>
      <w:r w:rsidR="007E1EB6">
        <w:rPr>
          <w:szCs w:val="28"/>
        </w:rPr>
        <w:t>ību izmaiņas vidēji Latvijas teritorijā ir vairāk nekā 30% apmērā,</w:t>
      </w:r>
      <w:r>
        <w:rPr>
          <w:szCs w:val="28"/>
        </w:rPr>
        <w:t xml:space="preserve"> </w:t>
      </w:r>
      <w:r w:rsidR="0034586B">
        <w:rPr>
          <w:szCs w:val="28"/>
        </w:rPr>
        <w:t xml:space="preserve">izriet secinājums, ka, </w:t>
      </w:r>
      <w:r w:rsidR="00E519B8">
        <w:rPr>
          <w:szCs w:val="28"/>
        </w:rPr>
        <w:t xml:space="preserve">ir nepieciešamas ievērojamas izmaiņas kadastrālajā vērtēšanā, </w:t>
      </w:r>
      <w:r w:rsidR="00E519B8" w:rsidRPr="00E519B8">
        <w:rPr>
          <w:szCs w:val="28"/>
        </w:rPr>
        <w:t>nodrošin</w:t>
      </w:r>
      <w:r w:rsidR="00E519B8">
        <w:rPr>
          <w:szCs w:val="28"/>
        </w:rPr>
        <w:t>o</w:t>
      </w:r>
      <w:r w:rsidR="00E519B8" w:rsidRPr="00E519B8">
        <w:rPr>
          <w:szCs w:val="28"/>
        </w:rPr>
        <w:t>t nekustamā īpašuma nodokļa bāzes – kadastrālās vērtības – samērīgu pieaugumu</w:t>
      </w:r>
      <w:r w:rsidR="00E519B8">
        <w:rPr>
          <w:szCs w:val="28"/>
        </w:rPr>
        <w:t>.</w:t>
      </w:r>
      <w:r w:rsidR="00E519B8" w:rsidRPr="00E519B8">
        <w:rPr>
          <w:szCs w:val="28"/>
        </w:rPr>
        <w:t xml:space="preserve"> </w:t>
      </w:r>
    </w:p>
    <w:p w14:paraId="35B2387A" w14:textId="77777777" w:rsidR="009A41F3" w:rsidRDefault="0034586B" w:rsidP="001C76BD">
      <w:pPr>
        <w:ind w:firstLine="709"/>
        <w:jc w:val="both"/>
        <w:rPr>
          <w:szCs w:val="28"/>
        </w:rPr>
      </w:pPr>
      <w:r>
        <w:rPr>
          <w:szCs w:val="28"/>
        </w:rPr>
        <w:t xml:space="preserve">Šobrīd masveida tirgus vērtību koriģē </w:t>
      </w:r>
      <w:r w:rsidR="009E78ED">
        <w:rPr>
          <w:szCs w:val="28"/>
        </w:rPr>
        <w:t xml:space="preserve">kadastrālās </w:t>
      </w:r>
      <w:r>
        <w:rPr>
          <w:szCs w:val="28"/>
        </w:rPr>
        <w:t xml:space="preserve">vērtības atbilstības koeficients, kas Latvijā ir 85% (piemēram, Zviedrijā </w:t>
      </w:r>
      <w:r w:rsidR="009E78ED">
        <w:rPr>
          <w:szCs w:val="28"/>
        </w:rPr>
        <w:t xml:space="preserve">kadastrālās </w:t>
      </w:r>
      <w:r>
        <w:rPr>
          <w:szCs w:val="28"/>
        </w:rPr>
        <w:t>vērtības atbilstības koeficients ir 75%</w:t>
      </w:r>
      <w:r w:rsidR="0004533C">
        <w:rPr>
          <w:szCs w:val="28"/>
        </w:rPr>
        <w:t>, bet</w:t>
      </w:r>
      <w:r w:rsidR="0004533C" w:rsidRPr="0004533C">
        <w:rPr>
          <w:szCs w:val="28"/>
        </w:rPr>
        <w:t xml:space="preserve"> atsevišķās valstīs (Beļģija, Vācija) nodokļa mērķiem kadastrālo vērtību pieaugums ir iesaldēts</w:t>
      </w:r>
      <w:r>
        <w:rPr>
          <w:szCs w:val="28"/>
        </w:rPr>
        <w:t xml:space="preserve">). </w:t>
      </w:r>
    </w:p>
    <w:p w14:paraId="112D7B23" w14:textId="77777777" w:rsidR="007E1EB6" w:rsidRDefault="006333E1" w:rsidP="0049544E">
      <w:pPr>
        <w:ind w:firstLine="709"/>
        <w:jc w:val="both"/>
        <w:rPr>
          <w:szCs w:val="28"/>
        </w:rPr>
      </w:pPr>
      <w:r>
        <w:rPr>
          <w:szCs w:val="28"/>
        </w:rPr>
        <w:t xml:space="preserve">Nosakot kadastrālo vērtību tik tuvu tirgus vērtībai (85% apmērā), ir jābūt pārliecībai, ka kadastrālajā vērtēšanā ir izmantotas metodes, kas </w:t>
      </w:r>
      <w:r w:rsidR="000E3EB7">
        <w:rPr>
          <w:szCs w:val="28"/>
        </w:rPr>
        <w:t>nodrošina</w:t>
      </w:r>
      <w:r>
        <w:rPr>
          <w:szCs w:val="28"/>
        </w:rPr>
        <w:t xml:space="preserve"> taisnīgāku un patiesāku kadastrālo vērtību noteikšanu. </w:t>
      </w:r>
      <w:r w:rsidR="007E1EB6">
        <w:rPr>
          <w:szCs w:val="28"/>
        </w:rPr>
        <w:t xml:space="preserve">Plānotās </w:t>
      </w:r>
      <w:r w:rsidR="00292589">
        <w:rPr>
          <w:szCs w:val="28"/>
        </w:rPr>
        <w:t>kadastrālo vērt</w:t>
      </w:r>
      <w:r w:rsidR="007E1EB6">
        <w:rPr>
          <w:szCs w:val="28"/>
        </w:rPr>
        <w:t>ību izmaiņas 2018./2019.gadā</w:t>
      </w:r>
      <w:r w:rsidR="00292589">
        <w:rPr>
          <w:szCs w:val="28"/>
        </w:rPr>
        <w:t xml:space="preserve">, kas paredz, ka kadastrālo vērtību atbilstība būtu vidēji 85% apmērā tirgus darījumu cenām, parāda, ka šobrīd dzīvojamās apbūves sektorā </w:t>
      </w:r>
      <w:r>
        <w:rPr>
          <w:szCs w:val="28"/>
        </w:rPr>
        <w:t xml:space="preserve">ir salīdzinoši liela </w:t>
      </w:r>
      <w:r w:rsidR="00292589">
        <w:rPr>
          <w:szCs w:val="28"/>
        </w:rPr>
        <w:t>kadastrālā</w:t>
      </w:r>
      <w:r w:rsidR="000E3EB7">
        <w:rPr>
          <w:szCs w:val="28"/>
        </w:rPr>
        <w:t xml:space="preserve">s vērtības </w:t>
      </w:r>
      <w:r>
        <w:rPr>
          <w:szCs w:val="28"/>
        </w:rPr>
        <w:t>neatbilstība tirgus vērtībai</w:t>
      </w:r>
      <w:r w:rsidR="00292589">
        <w:rPr>
          <w:szCs w:val="28"/>
        </w:rPr>
        <w:t xml:space="preserve">, īpaši vērtīgākajās kadastrālo vērtību zonās (Rīgas centra zona, Mežaparks, Ķīpsala, Jūrmala, Pierīgas pašvaldību teritorija), jo plānotais kadastrālās vērtības kāpums var būt pat vairāk nekā divas reizes (piemēram, jaunajiem dzīvokļu projektiem Jūrmalā kadastrālā vērtība var pieaugt pat vairāk nekā </w:t>
      </w:r>
      <w:r w:rsidR="000E3EB7">
        <w:rPr>
          <w:szCs w:val="28"/>
        </w:rPr>
        <w:t xml:space="preserve">par </w:t>
      </w:r>
      <w:r w:rsidR="00B4314D">
        <w:rPr>
          <w:szCs w:val="28"/>
        </w:rPr>
        <w:t>2</w:t>
      </w:r>
      <w:r w:rsidR="000E3EB7">
        <w:rPr>
          <w:szCs w:val="28"/>
        </w:rPr>
        <w:t>00%</w:t>
      </w:r>
      <w:r w:rsidR="00292589">
        <w:rPr>
          <w:szCs w:val="28"/>
        </w:rPr>
        <w:t xml:space="preserve">). </w:t>
      </w:r>
    </w:p>
    <w:p w14:paraId="18D9A6E3" w14:textId="77777777" w:rsidR="0049544E" w:rsidRDefault="007E1EB6" w:rsidP="007E1EB6">
      <w:pPr>
        <w:ind w:firstLine="709"/>
        <w:jc w:val="both"/>
        <w:rPr>
          <w:szCs w:val="28"/>
        </w:rPr>
      </w:pPr>
      <w:r>
        <w:rPr>
          <w:szCs w:val="28"/>
        </w:rPr>
        <w:t xml:space="preserve">Izvērtējot kadastrālās vērtēšanas metodes un situāciju, kā kadastrālās vērtēšanas modelis konkrētajā gadījumā ietekmē nekustamā īpašuma kadastrālo vērtību, Finanšu ministrija kopā ar Tieslietu ministriju un Latvijas </w:t>
      </w:r>
      <w:r w:rsidR="00EF4C0E">
        <w:rPr>
          <w:szCs w:val="28"/>
        </w:rPr>
        <w:t>P</w:t>
      </w:r>
      <w:r>
        <w:rPr>
          <w:szCs w:val="28"/>
        </w:rPr>
        <w:t>ašvaldību savienību secina, ka, l</w:t>
      </w:r>
      <w:r w:rsidR="00E519B8">
        <w:rPr>
          <w:szCs w:val="28"/>
        </w:rPr>
        <w:t xml:space="preserve">ai </w:t>
      </w:r>
      <w:r w:rsidR="00F21B90">
        <w:rPr>
          <w:szCs w:val="28"/>
        </w:rPr>
        <w:t xml:space="preserve">īstermiņā </w:t>
      </w:r>
      <w:r w:rsidR="0049544E">
        <w:rPr>
          <w:szCs w:val="28"/>
        </w:rPr>
        <w:t>nodrošinātu samērīgu</w:t>
      </w:r>
      <w:r w:rsidR="00E519B8">
        <w:rPr>
          <w:szCs w:val="28"/>
        </w:rPr>
        <w:t xml:space="preserve"> kadastrālās vērtības</w:t>
      </w:r>
      <w:r w:rsidR="0049544E">
        <w:rPr>
          <w:szCs w:val="28"/>
        </w:rPr>
        <w:t xml:space="preserve"> pieaugumu</w:t>
      </w:r>
      <w:r w:rsidR="00E519B8">
        <w:rPr>
          <w:szCs w:val="28"/>
        </w:rPr>
        <w:t>, primāri būtu jānodrošina kadastrā</w:t>
      </w:r>
      <w:r w:rsidR="0049544E">
        <w:rPr>
          <w:szCs w:val="28"/>
        </w:rPr>
        <w:t xml:space="preserve">lo vērtību “iesaldēšana”, t.i., </w:t>
      </w:r>
      <w:r w:rsidR="0049544E" w:rsidRPr="0049544E">
        <w:rPr>
          <w:szCs w:val="28"/>
        </w:rPr>
        <w:t xml:space="preserve">kadastrālo vērtību bāzes, kas stājās spēkā 2016.gada 1.janvārī, </w:t>
      </w:r>
      <w:r w:rsidR="0049544E">
        <w:rPr>
          <w:szCs w:val="28"/>
        </w:rPr>
        <w:t>būtu</w:t>
      </w:r>
      <w:r w:rsidR="0049544E" w:rsidRPr="0049544E">
        <w:rPr>
          <w:szCs w:val="28"/>
        </w:rPr>
        <w:t xml:space="preserve"> </w:t>
      </w:r>
      <w:r w:rsidR="0049544E">
        <w:rPr>
          <w:szCs w:val="28"/>
        </w:rPr>
        <w:t>jā</w:t>
      </w:r>
      <w:r w:rsidR="0049544E" w:rsidRPr="0049544E">
        <w:rPr>
          <w:szCs w:val="28"/>
        </w:rPr>
        <w:t>saglabā nemainī</w:t>
      </w:r>
      <w:r w:rsidR="0049544E">
        <w:rPr>
          <w:szCs w:val="28"/>
        </w:rPr>
        <w:t xml:space="preserve">gas līdz 2019.gada 31.decembrim, </w:t>
      </w:r>
      <w:r w:rsidR="0049544E" w:rsidRPr="0049544E">
        <w:rPr>
          <w:szCs w:val="28"/>
        </w:rPr>
        <w:t>vienlaikus pieļaujot izņēmumus attiecībā uz pašām vērtīgākajām kadastrālo vērtību zonām</w:t>
      </w:r>
      <w:r>
        <w:rPr>
          <w:szCs w:val="28"/>
        </w:rPr>
        <w:t xml:space="preserve"> (līdz šim nekustamie īpašumi šajās vērtību zonās nav bijuši atbilstoši novērtēti, piemēram Jūrmalā</w:t>
      </w:r>
      <w:r w:rsidR="00192758">
        <w:rPr>
          <w:szCs w:val="28"/>
        </w:rPr>
        <w:t>, Bulduri</w:t>
      </w:r>
      <w:r w:rsidR="00DA6D74">
        <w:rPr>
          <w:szCs w:val="28"/>
        </w:rPr>
        <w:t xml:space="preserve"> (Lielupe jūras pirmā līnija</w:t>
      </w:r>
      <w:r>
        <w:rPr>
          <w:szCs w:val="28"/>
        </w:rPr>
        <w:t>)</w:t>
      </w:r>
      <w:r w:rsidR="0049544E" w:rsidRPr="0049544E">
        <w:rPr>
          <w:szCs w:val="28"/>
        </w:rPr>
        <w:t xml:space="preserve">, atsevišķiem ēku tipiem, telpu grupu lietošanas veidiem un </w:t>
      </w:r>
      <w:r w:rsidR="0049544E">
        <w:rPr>
          <w:szCs w:val="28"/>
        </w:rPr>
        <w:t xml:space="preserve">atsevišķu </w:t>
      </w:r>
      <w:r w:rsidR="0049544E" w:rsidRPr="0049544E">
        <w:rPr>
          <w:szCs w:val="28"/>
        </w:rPr>
        <w:t>apgrūtinājum</w:t>
      </w:r>
      <w:r w:rsidR="0049544E">
        <w:rPr>
          <w:szCs w:val="28"/>
        </w:rPr>
        <w:t>u</w:t>
      </w:r>
      <w:r w:rsidR="0049544E" w:rsidRPr="0049544E">
        <w:rPr>
          <w:szCs w:val="28"/>
        </w:rPr>
        <w:t xml:space="preserve"> piemērošanu. </w:t>
      </w:r>
    </w:p>
    <w:p w14:paraId="70E41CA4" w14:textId="77777777" w:rsidR="005755A6" w:rsidRPr="005755A6" w:rsidRDefault="00BF30FB" w:rsidP="005755A6">
      <w:pPr>
        <w:ind w:firstLine="709"/>
        <w:jc w:val="both"/>
        <w:rPr>
          <w:szCs w:val="28"/>
        </w:rPr>
      </w:pPr>
      <w:r>
        <w:rPr>
          <w:szCs w:val="28"/>
        </w:rPr>
        <w:t>S</w:t>
      </w:r>
      <w:r w:rsidR="005755A6" w:rsidRPr="005755A6">
        <w:rPr>
          <w:szCs w:val="28"/>
        </w:rPr>
        <w:t>ākot ar 2018.gada 1.janvāri</w:t>
      </w:r>
      <w:r w:rsidR="005755A6">
        <w:rPr>
          <w:szCs w:val="28"/>
        </w:rPr>
        <w:t xml:space="preserve"> ir</w:t>
      </w:r>
      <w:r w:rsidR="005755A6" w:rsidRPr="005755A6">
        <w:rPr>
          <w:szCs w:val="28"/>
        </w:rPr>
        <w:t xml:space="preserve"> nepieciešam</w:t>
      </w:r>
      <w:r w:rsidR="005755A6">
        <w:rPr>
          <w:szCs w:val="28"/>
        </w:rPr>
        <w:t xml:space="preserve">s </w:t>
      </w:r>
      <w:r w:rsidR="005755A6" w:rsidRPr="005755A6">
        <w:rPr>
          <w:szCs w:val="28"/>
        </w:rPr>
        <w:t>novērst konstatētos individuālos trūkumus spēkā esošās kadastrālo vērtību bāzes regulējumā, kas pieļauj kadastrālo vērtību pie</w:t>
      </w:r>
      <w:r>
        <w:rPr>
          <w:szCs w:val="28"/>
        </w:rPr>
        <w:t xml:space="preserve">augumu noteiktām objektu grupām </w:t>
      </w:r>
      <w:r w:rsidR="005755A6" w:rsidRPr="005755A6">
        <w:rPr>
          <w:szCs w:val="28"/>
        </w:rPr>
        <w:t>šādos gadījumos:</w:t>
      </w:r>
    </w:p>
    <w:p w14:paraId="7A2BB909" w14:textId="77777777" w:rsidR="00BF30FB" w:rsidRDefault="00BF30FB" w:rsidP="00BF30FB">
      <w:pPr>
        <w:ind w:firstLine="709"/>
        <w:jc w:val="both"/>
        <w:rPr>
          <w:szCs w:val="28"/>
        </w:rPr>
      </w:pPr>
      <w:r>
        <w:rPr>
          <w:szCs w:val="28"/>
        </w:rPr>
        <w:t>- lai</w:t>
      </w:r>
      <w:r w:rsidR="005755A6" w:rsidRPr="005755A6">
        <w:rPr>
          <w:szCs w:val="28"/>
        </w:rPr>
        <w:t xml:space="preserve"> koriģēt</w:t>
      </w:r>
      <w:r>
        <w:rPr>
          <w:szCs w:val="28"/>
        </w:rPr>
        <w:t>u</w:t>
      </w:r>
      <w:r w:rsidR="005755A6" w:rsidRPr="005755A6">
        <w:rPr>
          <w:szCs w:val="28"/>
        </w:rPr>
        <w:t xml:space="preserve"> </w:t>
      </w:r>
      <w:r>
        <w:rPr>
          <w:szCs w:val="28"/>
        </w:rPr>
        <w:t>Nekustamā īpašuma valsts k</w:t>
      </w:r>
      <w:r w:rsidR="005755A6" w:rsidRPr="005755A6">
        <w:rPr>
          <w:szCs w:val="28"/>
        </w:rPr>
        <w:t>adastra informācijas sistēmā reģistrēt</w:t>
      </w:r>
      <w:r>
        <w:rPr>
          <w:szCs w:val="28"/>
        </w:rPr>
        <w:t>os</w:t>
      </w:r>
      <w:r w:rsidR="005755A6" w:rsidRPr="005755A6">
        <w:rPr>
          <w:szCs w:val="28"/>
        </w:rPr>
        <w:t xml:space="preserve"> nekustamā īpašuma dat</w:t>
      </w:r>
      <w:r>
        <w:rPr>
          <w:szCs w:val="28"/>
        </w:rPr>
        <w:t>us</w:t>
      </w:r>
      <w:r w:rsidR="005755A6" w:rsidRPr="005755A6">
        <w:rPr>
          <w:szCs w:val="28"/>
        </w:rPr>
        <w:t>, tajā skaitā informācij</w:t>
      </w:r>
      <w:r>
        <w:rPr>
          <w:szCs w:val="28"/>
        </w:rPr>
        <w:t>u</w:t>
      </w:r>
      <w:r w:rsidR="005755A6" w:rsidRPr="005755A6">
        <w:rPr>
          <w:szCs w:val="28"/>
        </w:rPr>
        <w:t xml:space="preserve"> par kad</w:t>
      </w:r>
      <w:r>
        <w:rPr>
          <w:szCs w:val="28"/>
        </w:rPr>
        <w:t>astra objekta lietošanas mērķi;</w:t>
      </w:r>
    </w:p>
    <w:p w14:paraId="7A66790A" w14:textId="77777777" w:rsidR="00BF30FB" w:rsidRDefault="00BF30FB" w:rsidP="00BF30FB">
      <w:pPr>
        <w:ind w:firstLine="709"/>
        <w:jc w:val="both"/>
        <w:rPr>
          <w:szCs w:val="28"/>
        </w:rPr>
      </w:pPr>
      <w:r>
        <w:rPr>
          <w:szCs w:val="28"/>
        </w:rPr>
        <w:t xml:space="preserve">- </w:t>
      </w:r>
      <w:r w:rsidR="005755A6" w:rsidRPr="005755A6">
        <w:rPr>
          <w:szCs w:val="28"/>
        </w:rPr>
        <w:t>lai noteiktu koriģējošo koeficientu ēkām, kas nodotas ekspluatācijā pēc 2000.gada 1.janvāra ar mērķi pakāpeniski tuvināt to vērtību situācijai tirgū;</w:t>
      </w:r>
    </w:p>
    <w:p w14:paraId="483E6EB1" w14:textId="77777777" w:rsidR="00BF30FB" w:rsidRDefault="00BF30FB" w:rsidP="00BF30FB">
      <w:pPr>
        <w:ind w:firstLine="709"/>
        <w:jc w:val="both"/>
        <w:rPr>
          <w:szCs w:val="28"/>
        </w:rPr>
      </w:pPr>
      <w:r>
        <w:rPr>
          <w:szCs w:val="28"/>
        </w:rPr>
        <w:lastRenderedPageBreak/>
        <w:t xml:space="preserve">- </w:t>
      </w:r>
      <w:r w:rsidR="005755A6" w:rsidRPr="005755A6">
        <w:rPr>
          <w:szCs w:val="28"/>
        </w:rPr>
        <w:t xml:space="preserve">lai atbilstoši Valsts zemes dienesta veiktajam </w:t>
      </w:r>
      <w:proofErr w:type="spellStart"/>
      <w:r w:rsidR="005755A6" w:rsidRPr="005755A6">
        <w:rPr>
          <w:szCs w:val="28"/>
        </w:rPr>
        <w:t>izvērtējumam</w:t>
      </w:r>
      <w:proofErr w:type="spellEnd"/>
      <w:r w:rsidR="005755A6" w:rsidRPr="005755A6">
        <w:rPr>
          <w:szCs w:val="28"/>
        </w:rPr>
        <w:t xml:space="preserve"> kadastrālo vērtību zonās, kurās būtiski (vairāk par 30%) atšķiras dzīvojamo ēku, biroja ēku, viesnīcu  un citu līdzīgu ēku bāzes vērtības, noteiktu koeficientu, kas pakāpeniski izlīdzina minēto ēku tipu kadastrālās bāzes vērtības, tuvinot tās augstākajai;</w:t>
      </w:r>
    </w:p>
    <w:p w14:paraId="1E295219" w14:textId="77777777" w:rsidR="005755A6" w:rsidRPr="0049544E" w:rsidRDefault="00BF30FB" w:rsidP="00BF30FB">
      <w:pPr>
        <w:ind w:firstLine="709"/>
        <w:jc w:val="both"/>
        <w:rPr>
          <w:szCs w:val="28"/>
        </w:rPr>
      </w:pPr>
      <w:r>
        <w:rPr>
          <w:szCs w:val="28"/>
        </w:rPr>
        <w:t xml:space="preserve">- </w:t>
      </w:r>
      <w:r w:rsidR="005755A6" w:rsidRPr="005755A6">
        <w:rPr>
          <w:szCs w:val="28"/>
        </w:rPr>
        <w:t>lai samazinātu vai atceltu atsevišķu apgrūtinājumu ietekmi uz kadastra objekta kadastrālo vērtību.</w:t>
      </w:r>
    </w:p>
    <w:p w14:paraId="323F3BBC" w14:textId="77777777" w:rsidR="0049544E" w:rsidRPr="0049544E" w:rsidRDefault="00F904FD" w:rsidP="0049544E">
      <w:pPr>
        <w:ind w:firstLine="709"/>
        <w:jc w:val="both"/>
        <w:rPr>
          <w:szCs w:val="28"/>
        </w:rPr>
      </w:pPr>
      <w:r>
        <w:rPr>
          <w:szCs w:val="28"/>
        </w:rPr>
        <w:t>Tāpat papildus minētajam būtu veicama</w:t>
      </w:r>
      <w:r w:rsidR="0049544E" w:rsidRPr="0049544E">
        <w:rPr>
          <w:szCs w:val="28"/>
        </w:rPr>
        <w:t xml:space="preserve"> kadastrālo vērtību metodikas pilnveidošan</w:t>
      </w:r>
      <w:r>
        <w:rPr>
          <w:szCs w:val="28"/>
        </w:rPr>
        <w:t>a</w:t>
      </w:r>
      <w:r w:rsidR="006333E1">
        <w:rPr>
          <w:szCs w:val="28"/>
        </w:rPr>
        <w:t xml:space="preserve"> 2017.-2018.gadā</w:t>
      </w:r>
      <w:r w:rsidR="0049544E" w:rsidRPr="0049544E">
        <w:rPr>
          <w:szCs w:val="28"/>
        </w:rPr>
        <w:t xml:space="preserve"> šādās jomās:</w:t>
      </w:r>
    </w:p>
    <w:p w14:paraId="3EE36D0B" w14:textId="77777777" w:rsidR="0049544E" w:rsidRPr="0049544E" w:rsidRDefault="00F904FD" w:rsidP="0049544E">
      <w:pPr>
        <w:ind w:firstLine="709"/>
        <w:jc w:val="both"/>
        <w:rPr>
          <w:szCs w:val="28"/>
        </w:rPr>
      </w:pPr>
      <w:r>
        <w:rPr>
          <w:szCs w:val="28"/>
        </w:rPr>
        <w:t xml:space="preserve">- </w:t>
      </w:r>
      <w:r w:rsidR="0049544E" w:rsidRPr="0049544E">
        <w:rPr>
          <w:szCs w:val="28"/>
        </w:rPr>
        <w:t xml:space="preserve">īpašumu klasificēšanas/grupēšanas </w:t>
      </w:r>
      <w:r>
        <w:rPr>
          <w:szCs w:val="28"/>
        </w:rPr>
        <w:t xml:space="preserve">principu </w:t>
      </w:r>
      <w:r w:rsidR="0049544E" w:rsidRPr="0049544E">
        <w:rPr>
          <w:szCs w:val="28"/>
        </w:rPr>
        <w:t>pārskatīšan</w:t>
      </w:r>
      <w:r w:rsidR="006511DE">
        <w:rPr>
          <w:szCs w:val="28"/>
        </w:rPr>
        <w:t>ā</w:t>
      </w:r>
      <w:r w:rsidR="0049544E" w:rsidRPr="0049544E">
        <w:rPr>
          <w:szCs w:val="28"/>
        </w:rPr>
        <w:t>;</w:t>
      </w:r>
    </w:p>
    <w:p w14:paraId="35DB1F5B" w14:textId="77777777" w:rsidR="0049544E" w:rsidRPr="0049544E" w:rsidRDefault="006511DE" w:rsidP="0049544E">
      <w:pPr>
        <w:ind w:firstLine="709"/>
        <w:jc w:val="both"/>
        <w:rPr>
          <w:szCs w:val="28"/>
        </w:rPr>
      </w:pPr>
      <w:r>
        <w:rPr>
          <w:szCs w:val="28"/>
        </w:rPr>
        <w:t xml:space="preserve">- </w:t>
      </w:r>
      <w:r w:rsidR="0049544E" w:rsidRPr="0049544E">
        <w:rPr>
          <w:szCs w:val="28"/>
        </w:rPr>
        <w:t>zemes un ēkas vērtību sadalījumu kopējā īpašuma vērtībā</w:t>
      </w:r>
      <w:r w:rsidRPr="006511DE">
        <w:rPr>
          <w:szCs w:val="28"/>
        </w:rPr>
        <w:t xml:space="preserve"> </w:t>
      </w:r>
      <w:r w:rsidRPr="0049544E">
        <w:rPr>
          <w:szCs w:val="28"/>
        </w:rPr>
        <w:t>atkārtot</w:t>
      </w:r>
      <w:r>
        <w:rPr>
          <w:szCs w:val="28"/>
        </w:rPr>
        <w:t>ā</w:t>
      </w:r>
      <w:r w:rsidRPr="0049544E">
        <w:rPr>
          <w:szCs w:val="28"/>
        </w:rPr>
        <w:t xml:space="preserve"> izvērtē</w:t>
      </w:r>
      <w:r>
        <w:rPr>
          <w:szCs w:val="28"/>
        </w:rPr>
        <w:t>šanā</w:t>
      </w:r>
      <w:r w:rsidR="0049544E" w:rsidRPr="0049544E">
        <w:rPr>
          <w:szCs w:val="28"/>
        </w:rPr>
        <w:t>;</w:t>
      </w:r>
    </w:p>
    <w:p w14:paraId="324EB02A" w14:textId="77777777" w:rsidR="0049544E" w:rsidRPr="0049544E" w:rsidRDefault="006511DE" w:rsidP="0049544E">
      <w:pPr>
        <w:ind w:firstLine="709"/>
        <w:jc w:val="both"/>
        <w:rPr>
          <w:szCs w:val="28"/>
        </w:rPr>
      </w:pPr>
      <w:r>
        <w:rPr>
          <w:szCs w:val="28"/>
        </w:rPr>
        <w:t xml:space="preserve">- </w:t>
      </w:r>
      <w:r w:rsidR="0049544E" w:rsidRPr="0049544E">
        <w:rPr>
          <w:szCs w:val="28"/>
        </w:rPr>
        <w:t>apgrūtinājumu piemērošanas maiņ</w:t>
      </w:r>
      <w:r w:rsidR="006333E1">
        <w:rPr>
          <w:szCs w:val="28"/>
        </w:rPr>
        <w:t>a</w:t>
      </w:r>
      <w:r w:rsidR="0049544E" w:rsidRPr="0049544E">
        <w:rPr>
          <w:szCs w:val="28"/>
        </w:rPr>
        <w:t xml:space="preserve"> zemei - kadastrālās vērtības aprēķinā ietver</w:t>
      </w:r>
      <w:r>
        <w:rPr>
          <w:szCs w:val="28"/>
        </w:rPr>
        <w:t>o</w:t>
      </w:r>
      <w:r w:rsidR="0049544E" w:rsidRPr="0049544E">
        <w:rPr>
          <w:szCs w:val="28"/>
        </w:rPr>
        <w:t>t tikai tos apgrūtinājumus, kas samazina vērtību tirgū;</w:t>
      </w:r>
    </w:p>
    <w:p w14:paraId="0FC90763" w14:textId="77777777" w:rsidR="0049544E" w:rsidRPr="0049544E" w:rsidRDefault="006511DE" w:rsidP="0049544E">
      <w:pPr>
        <w:ind w:firstLine="709"/>
        <w:jc w:val="both"/>
        <w:rPr>
          <w:szCs w:val="28"/>
        </w:rPr>
      </w:pPr>
      <w:r>
        <w:rPr>
          <w:szCs w:val="28"/>
        </w:rPr>
        <w:t xml:space="preserve">- </w:t>
      </w:r>
      <w:r w:rsidR="0015487A" w:rsidRPr="0049544E">
        <w:rPr>
          <w:szCs w:val="28"/>
        </w:rPr>
        <w:t>daudzdzīvokļu māju apbūves zeme</w:t>
      </w:r>
      <w:r w:rsidR="0015487A">
        <w:rPr>
          <w:szCs w:val="28"/>
        </w:rPr>
        <w:t>s</w:t>
      </w:r>
      <w:r w:rsidR="0015487A" w:rsidRPr="0049544E">
        <w:rPr>
          <w:szCs w:val="28"/>
        </w:rPr>
        <w:t xml:space="preserve"> </w:t>
      </w:r>
      <w:r w:rsidR="0049544E" w:rsidRPr="0049544E">
        <w:rPr>
          <w:szCs w:val="28"/>
        </w:rPr>
        <w:t>apbūvei vērtējamā</w:t>
      </w:r>
      <w:r w:rsidR="0015487A">
        <w:rPr>
          <w:szCs w:val="28"/>
        </w:rPr>
        <w:t>s</w:t>
      </w:r>
      <w:r w:rsidR="0049544E" w:rsidRPr="0049544E">
        <w:rPr>
          <w:szCs w:val="28"/>
        </w:rPr>
        <w:t xml:space="preserve"> standarta platība</w:t>
      </w:r>
      <w:r w:rsidR="0015487A">
        <w:rPr>
          <w:szCs w:val="28"/>
        </w:rPr>
        <w:t>s</w:t>
      </w:r>
      <w:r w:rsidR="0049544E" w:rsidRPr="0049544E">
        <w:rPr>
          <w:szCs w:val="28"/>
        </w:rPr>
        <w:t xml:space="preserve"> </w:t>
      </w:r>
      <w:r w:rsidR="0015487A" w:rsidRPr="0049544E">
        <w:rPr>
          <w:szCs w:val="28"/>
        </w:rPr>
        <w:t>noteik</w:t>
      </w:r>
      <w:r w:rsidR="0015487A">
        <w:rPr>
          <w:szCs w:val="28"/>
        </w:rPr>
        <w:t>šanā</w:t>
      </w:r>
      <w:r w:rsidR="0015487A" w:rsidRPr="0049544E">
        <w:rPr>
          <w:szCs w:val="28"/>
        </w:rPr>
        <w:t xml:space="preserve"> </w:t>
      </w:r>
      <w:r w:rsidR="0049544E" w:rsidRPr="0049544E">
        <w:rPr>
          <w:szCs w:val="28"/>
        </w:rPr>
        <w:t>atkarībā no apbūves intensitātes, lai lielām nestandarta zemes vienībām kā apbūvi neievērtētu zaļo zonu.</w:t>
      </w:r>
    </w:p>
    <w:p w14:paraId="2E2D296C" w14:textId="76ED2F04" w:rsidR="00262C79" w:rsidRPr="00262C79" w:rsidRDefault="00262C79" w:rsidP="00262C79">
      <w:pPr>
        <w:ind w:firstLine="709"/>
        <w:jc w:val="both"/>
        <w:rPr>
          <w:szCs w:val="28"/>
        </w:rPr>
      </w:pPr>
      <w:r>
        <w:rPr>
          <w:szCs w:val="28"/>
        </w:rPr>
        <w:t xml:space="preserve">Vidējā termiņā, lai </w:t>
      </w:r>
      <w:r w:rsidRPr="00262C79">
        <w:rPr>
          <w:szCs w:val="28"/>
        </w:rPr>
        <w:t>nodrošinātu samērīgu kadastrālo vērtību un nekustamā īpašuma nodokļa pieaugumu</w:t>
      </w:r>
      <w:r w:rsidR="00384FBD">
        <w:rPr>
          <w:szCs w:val="28"/>
        </w:rPr>
        <w:t>,</w:t>
      </w:r>
      <w:r>
        <w:rPr>
          <w:szCs w:val="28"/>
        </w:rPr>
        <w:t xml:space="preserve"> </w:t>
      </w:r>
      <w:r w:rsidR="00B86ACC">
        <w:rPr>
          <w:szCs w:val="28"/>
        </w:rPr>
        <w:t>Finanšu ministrijas skatījumā</w:t>
      </w:r>
      <w:r w:rsidR="00384FBD">
        <w:rPr>
          <w:szCs w:val="28"/>
        </w:rPr>
        <w:t>,</w:t>
      </w:r>
      <w:r w:rsidR="00B86ACC">
        <w:rPr>
          <w:szCs w:val="28"/>
        </w:rPr>
        <w:t xml:space="preserve"> </w:t>
      </w:r>
      <w:r>
        <w:rPr>
          <w:szCs w:val="28"/>
        </w:rPr>
        <w:t>Tieslietu ministrijā būtu vērtējam</w:t>
      </w:r>
      <w:r w:rsidR="00DE3958">
        <w:rPr>
          <w:szCs w:val="28"/>
        </w:rPr>
        <w:t>as</w:t>
      </w:r>
      <w:r>
        <w:rPr>
          <w:szCs w:val="28"/>
        </w:rPr>
        <w:t xml:space="preserve"> un izskatām</w:t>
      </w:r>
      <w:r w:rsidR="00DE3958">
        <w:rPr>
          <w:szCs w:val="28"/>
        </w:rPr>
        <w:t>as</w:t>
      </w:r>
      <w:r>
        <w:rPr>
          <w:szCs w:val="28"/>
        </w:rPr>
        <w:t xml:space="preserve"> </w:t>
      </w:r>
      <w:r w:rsidR="00DE3958">
        <w:rPr>
          <w:szCs w:val="28"/>
        </w:rPr>
        <w:t>iespējas</w:t>
      </w:r>
      <w:r>
        <w:rPr>
          <w:szCs w:val="28"/>
        </w:rPr>
        <w:t xml:space="preserve"> </w:t>
      </w:r>
      <w:r w:rsidR="00DE3958" w:rsidRPr="00262C79">
        <w:rPr>
          <w:szCs w:val="28"/>
        </w:rPr>
        <w:t>piemēro</w:t>
      </w:r>
      <w:r w:rsidR="00DE3958">
        <w:rPr>
          <w:szCs w:val="28"/>
        </w:rPr>
        <w:t>t 1</w:t>
      </w:r>
      <w:r w:rsidRPr="00262C79">
        <w:rPr>
          <w:szCs w:val="28"/>
        </w:rPr>
        <w:t>0% pieauguma ierobežojum</w:t>
      </w:r>
      <w:r w:rsidR="00DE3958">
        <w:rPr>
          <w:szCs w:val="28"/>
        </w:rPr>
        <w:t>u</w:t>
      </w:r>
      <w:r w:rsidRPr="00262C79">
        <w:rPr>
          <w:szCs w:val="28"/>
        </w:rPr>
        <w:t xml:space="preserve"> kadastrālās vērtības bāzei</w:t>
      </w:r>
      <w:r>
        <w:rPr>
          <w:szCs w:val="28"/>
        </w:rPr>
        <w:t xml:space="preserve">, </w:t>
      </w:r>
      <w:r w:rsidR="00DE3958">
        <w:rPr>
          <w:szCs w:val="28"/>
        </w:rPr>
        <w:t xml:space="preserve">dzīvojamajiem īpašumiem </w:t>
      </w:r>
      <w:r w:rsidR="006824A4">
        <w:rPr>
          <w:szCs w:val="28"/>
        </w:rPr>
        <w:t xml:space="preserve">samazināt </w:t>
      </w:r>
      <w:r w:rsidR="00835297" w:rsidRPr="00835297">
        <w:rPr>
          <w:szCs w:val="28"/>
        </w:rPr>
        <w:t>kadastrālo vērtību atbilstība</w:t>
      </w:r>
      <w:r w:rsidR="00835297">
        <w:rPr>
          <w:szCs w:val="28"/>
        </w:rPr>
        <w:t>s</w:t>
      </w:r>
      <w:r w:rsidR="00835297" w:rsidRPr="00835297">
        <w:rPr>
          <w:szCs w:val="28"/>
        </w:rPr>
        <w:t xml:space="preserve"> tirgus vērtībām </w:t>
      </w:r>
      <w:r w:rsidR="00835297">
        <w:rPr>
          <w:szCs w:val="28"/>
        </w:rPr>
        <w:t>(koeficients 0,</w:t>
      </w:r>
      <w:r w:rsidR="00835297" w:rsidRPr="00835297">
        <w:rPr>
          <w:szCs w:val="28"/>
        </w:rPr>
        <w:t>85</w:t>
      </w:r>
      <w:r w:rsidR="00835297">
        <w:rPr>
          <w:szCs w:val="28"/>
        </w:rPr>
        <w:t>)</w:t>
      </w:r>
      <w:r w:rsidR="006824A4">
        <w:rPr>
          <w:szCs w:val="28"/>
        </w:rPr>
        <w:t xml:space="preserve"> apmēru</w:t>
      </w:r>
      <w:r w:rsidR="00835297">
        <w:rPr>
          <w:szCs w:val="28"/>
        </w:rPr>
        <w:t xml:space="preserve">, </w:t>
      </w:r>
      <w:r w:rsidR="00DE3958">
        <w:rPr>
          <w:szCs w:val="28"/>
        </w:rPr>
        <w:t>nepiemērot atkāpes un atvieglotus nosacījumus “</w:t>
      </w:r>
      <w:proofErr w:type="spellStart"/>
      <w:r w:rsidR="00DE3958">
        <w:rPr>
          <w:szCs w:val="28"/>
        </w:rPr>
        <w:t>premium</w:t>
      </w:r>
      <w:proofErr w:type="spellEnd"/>
      <w:r w:rsidR="00DE3958">
        <w:rPr>
          <w:szCs w:val="28"/>
        </w:rPr>
        <w:t>” tipa ēkām</w:t>
      </w:r>
      <w:r w:rsidR="006824A4">
        <w:rPr>
          <w:szCs w:val="28"/>
        </w:rPr>
        <w:t>, kā arī vērtēt kadastrālo vērtību zonējumu atbilstību</w:t>
      </w:r>
      <w:r w:rsidR="00436CA0">
        <w:rPr>
          <w:szCs w:val="28"/>
        </w:rPr>
        <w:t xml:space="preserve"> un sadalījumu</w:t>
      </w:r>
      <w:r w:rsidR="006824A4">
        <w:rPr>
          <w:szCs w:val="28"/>
        </w:rPr>
        <w:t xml:space="preserve">. </w:t>
      </w:r>
    </w:p>
    <w:p w14:paraId="159AE084" w14:textId="77777777" w:rsidR="0049544E" w:rsidRDefault="00F21B90" w:rsidP="0049544E">
      <w:pPr>
        <w:ind w:firstLine="709"/>
        <w:jc w:val="both"/>
        <w:rPr>
          <w:szCs w:val="28"/>
        </w:rPr>
      </w:pPr>
      <w:r>
        <w:rPr>
          <w:szCs w:val="28"/>
        </w:rPr>
        <w:t xml:space="preserve">Savukārt ilgtermiņā ir nepieciešams vienoties </w:t>
      </w:r>
      <w:r w:rsidR="0049544E" w:rsidRPr="0049544E">
        <w:rPr>
          <w:szCs w:val="28"/>
        </w:rPr>
        <w:t>par kadastrālo vērtību bāzi 2020.</w:t>
      </w:r>
      <w:r>
        <w:rPr>
          <w:szCs w:val="28"/>
        </w:rPr>
        <w:t xml:space="preserve"> </w:t>
      </w:r>
      <w:r w:rsidR="0049544E" w:rsidRPr="0049544E">
        <w:rPr>
          <w:szCs w:val="28"/>
        </w:rPr>
        <w:t xml:space="preserve">- 2023.gadam, kas </w:t>
      </w:r>
      <w:r>
        <w:rPr>
          <w:szCs w:val="28"/>
        </w:rPr>
        <w:t xml:space="preserve">tiktu </w:t>
      </w:r>
      <w:r w:rsidR="0049544E" w:rsidRPr="0049544E">
        <w:rPr>
          <w:szCs w:val="28"/>
        </w:rPr>
        <w:t xml:space="preserve">aprēķināta, balstoties uz </w:t>
      </w:r>
      <w:r>
        <w:rPr>
          <w:szCs w:val="28"/>
        </w:rPr>
        <w:t xml:space="preserve">jau iepriekš </w:t>
      </w:r>
      <w:r w:rsidR="0049544E" w:rsidRPr="0049544E">
        <w:rPr>
          <w:szCs w:val="28"/>
        </w:rPr>
        <w:t>pilnveidoto kadastrālās vērtēšanas metodiku.</w:t>
      </w:r>
    </w:p>
    <w:p w14:paraId="71A3D7FB" w14:textId="77777777" w:rsidR="00427C56" w:rsidRDefault="00436CA0" w:rsidP="00427C56">
      <w:pPr>
        <w:ind w:firstLine="709"/>
        <w:jc w:val="both"/>
        <w:rPr>
          <w:szCs w:val="28"/>
        </w:rPr>
      </w:pPr>
      <w:r>
        <w:rPr>
          <w:szCs w:val="28"/>
        </w:rPr>
        <w:t>Vienlaicīgi</w:t>
      </w:r>
      <w:r w:rsidR="00427C56">
        <w:rPr>
          <w:szCs w:val="28"/>
        </w:rPr>
        <w:t>,</w:t>
      </w:r>
      <w:r>
        <w:rPr>
          <w:szCs w:val="28"/>
        </w:rPr>
        <w:t xml:space="preserve"> dažādu diskusiju ietvaros, Latvijas Pašvaldību savienība ir ierosinājusi pārskatīt </w:t>
      </w:r>
      <w:r w:rsidR="00D87274">
        <w:rPr>
          <w:szCs w:val="28"/>
        </w:rPr>
        <w:t>Ministru kabineta 2012.gada 3.</w:t>
      </w:r>
      <w:r w:rsidRPr="00436CA0">
        <w:rPr>
          <w:szCs w:val="28"/>
        </w:rPr>
        <w:t>oktobra</w:t>
      </w:r>
      <w:r>
        <w:rPr>
          <w:szCs w:val="28"/>
        </w:rPr>
        <w:t xml:space="preserve"> rīkojumu Nr.</w:t>
      </w:r>
      <w:r w:rsidRPr="00436CA0">
        <w:rPr>
          <w:szCs w:val="28"/>
        </w:rPr>
        <w:t xml:space="preserve">462 </w:t>
      </w:r>
      <w:r>
        <w:rPr>
          <w:szCs w:val="28"/>
        </w:rPr>
        <w:t>“</w:t>
      </w:r>
      <w:r w:rsidRPr="00436CA0">
        <w:rPr>
          <w:szCs w:val="28"/>
        </w:rPr>
        <w:t>Par kadastrālās vērtēšanas sistēmas pilnveidošanas un kadastra datu aktualitātes nodrošināšanas koncepciju</w:t>
      </w:r>
      <w:r>
        <w:rPr>
          <w:szCs w:val="28"/>
        </w:rPr>
        <w:t>” u</w:t>
      </w:r>
      <w:r w:rsidRPr="00436CA0">
        <w:rPr>
          <w:szCs w:val="28"/>
        </w:rPr>
        <w:t>n tajā dotos uzdevumus</w:t>
      </w:r>
      <w:r w:rsidR="00427C56">
        <w:rPr>
          <w:szCs w:val="28"/>
        </w:rPr>
        <w:t xml:space="preserve">. Savukārt </w:t>
      </w:r>
      <w:r>
        <w:rPr>
          <w:szCs w:val="28"/>
        </w:rPr>
        <w:t xml:space="preserve">Latvijas Lielo pilsētu asociācija ir ierosinājusi </w:t>
      </w:r>
      <w:r w:rsidR="00427C56" w:rsidRPr="00427C56">
        <w:rPr>
          <w:szCs w:val="28"/>
        </w:rPr>
        <w:t>pilnveidot kadastrālās vērtēšanas metodiku</w:t>
      </w:r>
      <w:r w:rsidR="00427C56" w:rsidRPr="00427C56">
        <w:t xml:space="preserve"> </w:t>
      </w:r>
      <w:r w:rsidR="00427C56" w:rsidRPr="00427C56">
        <w:rPr>
          <w:szCs w:val="28"/>
        </w:rPr>
        <w:t>attiecībā uz īpašumiem, kuriem ir mazs tirgus darījumu skaits, tai skaitā vērtēšanā plašāk izmantojot ienākumu kapitalizācijas un izmaksu metodes</w:t>
      </w:r>
      <w:r w:rsidR="00D87274">
        <w:rPr>
          <w:szCs w:val="28"/>
        </w:rPr>
        <w:t xml:space="preserve">, </w:t>
      </w:r>
      <w:r w:rsidR="00427C56" w:rsidRPr="00427C56">
        <w:rPr>
          <w:szCs w:val="28"/>
        </w:rPr>
        <w:t xml:space="preserve">piemēram, inženierbūvēm, rūpnieciskās apbūves objektiem </w:t>
      </w:r>
      <w:proofErr w:type="spellStart"/>
      <w:r w:rsidR="00427C56" w:rsidRPr="00427C56">
        <w:rPr>
          <w:szCs w:val="28"/>
        </w:rPr>
        <w:t>komercobjektiem</w:t>
      </w:r>
      <w:proofErr w:type="spellEnd"/>
      <w:r w:rsidR="00427C56">
        <w:rPr>
          <w:szCs w:val="28"/>
        </w:rPr>
        <w:t>, jo šo objektu</w:t>
      </w:r>
      <w:r w:rsidR="00427C56" w:rsidRPr="00427C56">
        <w:rPr>
          <w:szCs w:val="28"/>
        </w:rPr>
        <w:t xml:space="preserve"> kadastrālā vērtība būtiski atšķiras no tirgus darījumu vai būvniecības izmaksām.</w:t>
      </w:r>
    </w:p>
    <w:p w14:paraId="35A1A295" w14:textId="77777777" w:rsidR="00427C56" w:rsidRDefault="00427C56" w:rsidP="00427C56">
      <w:pPr>
        <w:ind w:firstLine="709"/>
        <w:jc w:val="both"/>
        <w:rPr>
          <w:szCs w:val="28"/>
        </w:rPr>
      </w:pPr>
    </w:p>
    <w:p w14:paraId="0E101C64" w14:textId="1A4D4879" w:rsidR="00563224" w:rsidRPr="0004533C" w:rsidRDefault="00563224" w:rsidP="00563224">
      <w:pPr>
        <w:ind w:left="709"/>
        <w:jc w:val="both"/>
        <w:rPr>
          <w:b/>
          <w:szCs w:val="28"/>
        </w:rPr>
      </w:pPr>
      <w:r w:rsidRPr="00701DC5">
        <w:rPr>
          <w:b/>
          <w:szCs w:val="28"/>
        </w:rPr>
        <w:t xml:space="preserve">2.4. </w:t>
      </w:r>
      <w:r w:rsidR="00701DC5">
        <w:rPr>
          <w:b/>
          <w:szCs w:val="28"/>
        </w:rPr>
        <w:t>Nodokļa aprēķina elementi un to ietekme uz nodokļa apmēru</w:t>
      </w:r>
    </w:p>
    <w:p w14:paraId="36698EC2" w14:textId="361D36D0" w:rsidR="00563224" w:rsidRDefault="00563224" w:rsidP="00427C56">
      <w:pPr>
        <w:ind w:firstLine="709"/>
        <w:jc w:val="both"/>
        <w:rPr>
          <w:szCs w:val="28"/>
        </w:rPr>
      </w:pPr>
      <w:r>
        <w:rPr>
          <w:szCs w:val="28"/>
        </w:rPr>
        <w:t xml:space="preserve">Dažādu sabiedrības diskusiju ietvaros publiski ir izskanējuši ierosinājumi būtiski mazināt kadastrālās vērtības ietekmi un piesaisti nekustamā īpašuma nodokļa aprēķinam. </w:t>
      </w:r>
    </w:p>
    <w:p w14:paraId="514E353F" w14:textId="062A6E40" w:rsidR="00563224" w:rsidRDefault="00563224" w:rsidP="00427C56">
      <w:pPr>
        <w:ind w:firstLine="709"/>
        <w:jc w:val="both"/>
        <w:rPr>
          <w:szCs w:val="28"/>
        </w:rPr>
      </w:pPr>
      <w:r>
        <w:rPr>
          <w:szCs w:val="28"/>
        </w:rPr>
        <w:t>Taču ir jānorāda, ka</w:t>
      </w:r>
      <w:r w:rsidRPr="00563224">
        <w:rPr>
          <w:szCs w:val="28"/>
        </w:rPr>
        <w:t xml:space="preserve"> primāri kadastrālās vērtības tiek noteiktas un izmantotas nekustamā īpašuma nodokļa aprēķināšanai. Kadastrālās vērtības izmantošana citiem mērķiem u</w:t>
      </w:r>
      <w:r>
        <w:rPr>
          <w:szCs w:val="28"/>
        </w:rPr>
        <w:t>n vajadzībām ir tikai sekundāra</w:t>
      </w:r>
      <w:r w:rsidRPr="00563224">
        <w:rPr>
          <w:szCs w:val="28"/>
        </w:rPr>
        <w:t>.</w:t>
      </w:r>
    </w:p>
    <w:p w14:paraId="023C0914" w14:textId="26A4E425" w:rsidR="00563224" w:rsidRDefault="00563224" w:rsidP="00427C56">
      <w:pPr>
        <w:ind w:firstLine="709"/>
        <w:jc w:val="both"/>
        <w:rPr>
          <w:szCs w:val="28"/>
        </w:rPr>
      </w:pPr>
      <w:r>
        <w:rPr>
          <w:szCs w:val="28"/>
        </w:rPr>
        <w:lastRenderedPageBreak/>
        <w:t>Pašreiz nekustamā īpašuma nodoklis tiek aprēķināts pēc šādas formulas</w:t>
      </w:r>
      <w:r w:rsidR="00635D23">
        <w:rPr>
          <w:szCs w:val="28"/>
        </w:rPr>
        <w:t xml:space="preserve"> – nekustamā īpašuma kadastrālā vērtība uz taksācijas gada 1.janvāri tiek reizināta ar piemērojamo nodokļa likmi</w:t>
      </w:r>
      <w:r>
        <w:rPr>
          <w:szCs w:val="28"/>
        </w:rPr>
        <w:t>:</w:t>
      </w:r>
    </w:p>
    <w:p w14:paraId="24D4539C" w14:textId="77777777" w:rsidR="00563224" w:rsidRPr="00563224" w:rsidRDefault="00563224" w:rsidP="00427C56">
      <w:pPr>
        <w:ind w:firstLine="709"/>
        <w:jc w:val="both"/>
        <w:rPr>
          <w:sz w:val="16"/>
          <w:szCs w:val="16"/>
        </w:rPr>
      </w:pPr>
    </w:p>
    <w:tbl>
      <w:tblPr>
        <w:tblStyle w:val="TableGrid"/>
        <w:tblW w:w="0" w:type="auto"/>
        <w:tblInd w:w="2160" w:type="dxa"/>
        <w:tblLook w:val="04A0" w:firstRow="1" w:lastRow="0" w:firstColumn="1" w:lastColumn="0" w:noHBand="0" w:noVBand="1"/>
      </w:tblPr>
      <w:tblGrid>
        <w:gridCol w:w="2397"/>
      </w:tblGrid>
      <w:tr w:rsidR="00635D23" w14:paraId="153E9DD8" w14:textId="77777777" w:rsidTr="00635D23">
        <w:tc>
          <w:tcPr>
            <w:tcW w:w="2397" w:type="dxa"/>
          </w:tcPr>
          <w:p w14:paraId="7058AF01" w14:textId="517C03BA" w:rsidR="00635D23" w:rsidRPr="002C560F" w:rsidRDefault="00635D23" w:rsidP="00635D23">
            <w:pPr>
              <w:spacing w:before="120" w:after="120"/>
              <w:jc w:val="both"/>
              <w:rPr>
                <w:b/>
                <w:szCs w:val="28"/>
              </w:rPr>
            </w:pPr>
            <w:r w:rsidRPr="002C560F">
              <w:rPr>
                <w:b/>
                <w:szCs w:val="28"/>
              </w:rPr>
              <w:t>NĪN = KV x likme</w:t>
            </w:r>
          </w:p>
        </w:tc>
      </w:tr>
    </w:tbl>
    <w:p w14:paraId="62AE86EC" w14:textId="73359E47" w:rsidR="00635D23" w:rsidRPr="00FC6A30" w:rsidRDefault="00FC6A30" w:rsidP="00635D23">
      <w:pPr>
        <w:jc w:val="both"/>
        <w:rPr>
          <w:sz w:val="16"/>
          <w:szCs w:val="16"/>
        </w:rPr>
      </w:pPr>
      <w:r>
        <w:rPr>
          <w:szCs w:val="28"/>
        </w:rPr>
        <w:tab/>
      </w:r>
    </w:p>
    <w:p w14:paraId="6B061096" w14:textId="22F0A0C7" w:rsidR="00FC6A30" w:rsidRDefault="00FC6A30" w:rsidP="00D511F8">
      <w:pPr>
        <w:jc w:val="both"/>
        <w:rPr>
          <w:szCs w:val="28"/>
        </w:rPr>
      </w:pPr>
      <w:r>
        <w:rPr>
          <w:szCs w:val="28"/>
        </w:rPr>
        <w:tab/>
        <w:t xml:space="preserve">Analizējot patreizējo nekustamā īpašuma nodokļa formulu </w:t>
      </w:r>
      <w:r w:rsidR="002C560F">
        <w:rPr>
          <w:szCs w:val="28"/>
        </w:rPr>
        <w:t>detalizētāk, vispirms tiek aprēķināta maksājamā nodokļa summa (bez atlaidēm):</w:t>
      </w:r>
    </w:p>
    <w:p w14:paraId="6270D179" w14:textId="3ED8192D" w:rsidR="00FC6A30" w:rsidRPr="00D511F8" w:rsidRDefault="00FC6A30" w:rsidP="00D511F8">
      <w:pPr>
        <w:jc w:val="both"/>
        <w:rPr>
          <w:sz w:val="24"/>
          <w:szCs w:val="24"/>
        </w:rPr>
      </w:pPr>
    </w:p>
    <w:p w14:paraId="1EE4CC1F" w14:textId="7433C7A9" w:rsidR="002C560F" w:rsidRPr="002C560F" w:rsidRDefault="002C560F" w:rsidP="00D511F8">
      <w:pPr>
        <w:suppressAutoHyphens w:val="0"/>
        <w:autoSpaceDN/>
        <w:jc w:val="center"/>
        <w:textAlignment w:val="auto"/>
        <w:rPr>
          <w:i/>
          <w:sz w:val="24"/>
          <w:szCs w:val="24"/>
        </w:rPr>
      </w:pPr>
      <w:r w:rsidRPr="002C560F">
        <w:rPr>
          <w:i/>
          <w:sz w:val="24"/>
          <w:szCs w:val="24"/>
        </w:rPr>
        <w:t>NĪN</w:t>
      </w:r>
      <w:r w:rsidRPr="00D511F8">
        <w:rPr>
          <w:i/>
          <w:sz w:val="24"/>
          <w:szCs w:val="24"/>
        </w:rPr>
        <w:t xml:space="preserve"> (</w:t>
      </w:r>
      <w:r w:rsidRPr="002C560F">
        <w:rPr>
          <w:i/>
          <w:sz w:val="24"/>
          <w:szCs w:val="24"/>
        </w:rPr>
        <w:t>pirms atlaidēm</w:t>
      </w:r>
      <w:r w:rsidRPr="00D511F8">
        <w:rPr>
          <w:i/>
          <w:sz w:val="24"/>
          <w:szCs w:val="24"/>
        </w:rPr>
        <w:t>)</w:t>
      </w:r>
      <w:r w:rsidRPr="002C560F">
        <w:rPr>
          <w:i/>
          <w:sz w:val="24"/>
          <w:szCs w:val="24"/>
        </w:rPr>
        <w:t xml:space="preserve"> = </w:t>
      </w:r>
      <w:r w:rsidRPr="00D511F8">
        <w:rPr>
          <w:i/>
          <w:sz w:val="24"/>
          <w:szCs w:val="24"/>
        </w:rPr>
        <w:t xml:space="preserve">KV x </w:t>
      </w:r>
      <w:r w:rsidRPr="002C560F">
        <w:rPr>
          <w:i/>
          <w:sz w:val="24"/>
          <w:szCs w:val="24"/>
        </w:rPr>
        <w:t>likme (likumā noteiktā (vai ± pašvaldības noteiktā))</w:t>
      </w:r>
    </w:p>
    <w:p w14:paraId="4A778FA3" w14:textId="77777777" w:rsidR="002C560F" w:rsidRPr="002C560F" w:rsidRDefault="002C560F" w:rsidP="00D511F8">
      <w:pPr>
        <w:suppressAutoHyphens w:val="0"/>
        <w:autoSpaceDN/>
        <w:jc w:val="both"/>
        <w:textAlignment w:val="auto"/>
        <w:rPr>
          <w:sz w:val="24"/>
          <w:szCs w:val="24"/>
        </w:rPr>
      </w:pPr>
    </w:p>
    <w:p w14:paraId="017F9BD4" w14:textId="02F302A1" w:rsidR="002C560F" w:rsidRPr="002C560F" w:rsidRDefault="002C560F" w:rsidP="00D511F8">
      <w:pPr>
        <w:suppressAutoHyphens w:val="0"/>
        <w:autoSpaceDN/>
        <w:jc w:val="both"/>
        <w:textAlignment w:val="auto"/>
        <w:rPr>
          <w:szCs w:val="28"/>
        </w:rPr>
      </w:pPr>
      <w:r>
        <w:rPr>
          <w:szCs w:val="28"/>
        </w:rPr>
        <w:tab/>
        <w:t>Savukārt aprēķinot jau galīgo nodokļa maksātājam maksājamo nodokļa apmēru tiek piemērotas arī likumā vai pašvaldību saistošajos noteikumos noteiktās nodokļa</w:t>
      </w:r>
      <w:r w:rsidR="00D511F8">
        <w:rPr>
          <w:szCs w:val="28"/>
        </w:rPr>
        <w:t xml:space="preserve"> atlaides:</w:t>
      </w:r>
    </w:p>
    <w:p w14:paraId="1789CA31" w14:textId="77777777" w:rsidR="002C560F" w:rsidRDefault="002C560F" w:rsidP="00D511F8">
      <w:pPr>
        <w:suppressAutoHyphens w:val="0"/>
        <w:autoSpaceDN/>
        <w:jc w:val="both"/>
        <w:textAlignment w:val="auto"/>
        <w:rPr>
          <w:sz w:val="24"/>
        </w:rPr>
      </w:pPr>
    </w:p>
    <w:p w14:paraId="67CE39E7" w14:textId="3CC93074" w:rsidR="002C560F" w:rsidRPr="002C560F" w:rsidRDefault="002C560F" w:rsidP="00D511F8">
      <w:pPr>
        <w:suppressAutoHyphens w:val="0"/>
        <w:autoSpaceDN/>
        <w:jc w:val="center"/>
        <w:textAlignment w:val="auto"/>
        <w:rPr>
          <w:i/>
          <w:sz w:val="24"/>
        </w:rPr>
      </w:pPr>
      <w:r w:rsidRPr="002C560F">
        <w:rPr>
          <w:i/>
          <w:sz w:val="24"/>
        </w:rPr>
        <w:t xml:space="preserve">NĪN </w:t>
      </w:r>
      <w:r w:rsidR="00D511F8" w:rsidRPr="00D511F8">
        <w:rPr>
          <w:i/>
          <w:sz w:val="24"/>
        </w:rPr>
        <w:t>(</w:t>
      </w:r>
      <w:r w:rsidRPr="002C560F">
        <w:rPr>
          <w:i/>
          <w:sz w:val="24"/>
        </w:rPr>
        <w:t>galīgais</w:t>
      </w:r>
      <w:r w:rsidR="00D511F8" w:rsidRPr="00D511F8">
        <w:rPr>
          <w:i/>
          <w:sz w:val="24"/>
        </w:rPr>
        <w:t>)</w:t>
      </w:r>
      <w:r w:rsidRPr="002C560F">
        <w:rPr>
          <w:i/>
          <w:sz w:val="24"/>
        </w:rPr>
        <w:t xml:space="preserve"> = NĪN</w:t>
      </w:r>
      <w:r w:rsidR="00D511F8" w:rsidRPr="00D511F8">
        <w:rPr>
          <w:i/>
          <w:sz w:val="24"/>
        </w:rPr>
        <w:t xml:space="preserve"> – </w:t>
      </w:r>
      <w:r w:rsidRPr="002C560F">
        <w:rPr>
          <w:i/>
          <w:sz w:val="24"/>
        </w:rPr>
        <w:t>NĪN</w:t>
      </w:r>
      <w:r w:rsidR="00D511F8" w:rsidRPr="00D511F8">
        <w:rPr>
          <w:i/>
          <w:sz w:val="24"/>
        </w:rPr>
        <w:t xml:space="preserve"> x </w:t>
      </w:r>
      <w:r w:rsidRPr="002C560F">
        <w:rPr>
          <w:i/>
          <w:sz w:val="24"/>
        </w:rPr>
        <w:t>NĪN atlaide (likumā noteiktā vai pašvaldību noteiktā)</w:t>
      </w:r>
    </w:p>
    <w:p w14:paraId="65463D4E" w14:textId="52AAC648" w:rsidR="00D511F8" w:rsidRPr="00D511F8" w:rsidRDefault="00D511F8" w:rsidP="005D6E87">
      <w:pPr>
        <w:suppressAutoHyphens w:val="0"/>
        <w:autoSpaceDN/>
        <w:spacing w:before="240"/>
        <w:jc w:val="right"/>
        <w:textAlignment w:val="auto"/>
        <w:rPr>
          <w:i/>
          <w:sz w:val="24"/>
        </w:rPr>
      </w:pPr>
      <w:r w:rsidRPr="00D511F8">
        <w:rPr>
          <w:i/>
          <w:sz w:val="24"/>
        </w:rPr>
        <w:t>9.tabula</w:t>
      </w:r>
    </w:p>
    <w:p w14:paraId="0D54A58A" w14:textId="7C85960A" w:rsidR="00D511F8" w:rsidRPr="002C560F" w:rsidRDefault="00D511F8" w:rsidP="00D511F8">
      <w:pPr>
        <w:suppressAutoHyphens w:val="0"/>
        <w:autoSpaceDN/>
        <w:spacing w:before="120" w:after="120"/>
        <w:textAlignment w:val="auto"/>
        <w:rPr>
          <w:b/>
          <w:szCs w:val="28"/>
        </w:rPr>
      </w:pPr>
      <w:r w:rsidRPr="00D511F8">
        <w:rPr>
          <w:b/>
          <w:sz w:val="24"/>
        </w:rPr>
        <w:t>Nodokļa aprēķinā iekļauto elementu analīze un iespējamās izmaiņas</w:t>
      </w:r>
    </w:p>
    <w:tbl>
      <w:tblPr>
        <w:tblStyle w:val="TableGrid2"/>
        <w:tblW w:w="9351" w:type="dxa"/>
        <w:tblLook w:val="04A0" w:firstRow="1" w:lastRow="0" w:firstColumn="1" w:lastColumn="0" w:noHBand="0" w:noVBand="1"/>
      </w:tblPr>
      <w:tblGrid>
        <w:gridCol w:w="2548"/>
        <w:gridCol w:w="3568"/>
        <w:gridCol w:w="3235"/>
      </w:tblGrid>
      <w:tr w:rsidR="002C560F" w:rsidRPr="002C560F" w14:paraId="4AE7E031" w14:textId="77777777" w:rsidTr="005D6E87">
        <w:tc>
          <w:tcPr>
            <w:tcW w:w="2548" w:type="dxa"/>
            <w:shd w:val="clear" w:color="auto" w:fill="D9D9D9" w:themeFill="background1" w:themeFillShade="D9"/>
          </w:tcPr>
          <w:p w14:paraId="5181A415" w14:textId="77777777" w:rsidR="002C560F" w:rsidRPr="002C560F" w:rsidRDefault="002C560F" w:rsidP="00E629E7">
            <w:pPr>
              <w:suppressAutoHyphens w:val="0"/>
              <w:spacing w:before="60" w:after="60"/>
              <w:jc w:val="center"/>
              <w:rPr>
                <w:b/>
              </w:rPr>
            </w:pPr>
            <w:r w:rsidRPr="002C560F">
              <w:rPr>
                <w:b/>
              </w:rPr>
              <w:t>Nodokļa elements</w:t>
            </w:r>
          </w:p>
        </w:tc>
        <w:tc>
          <w:tcPr>
            <w:tcW w:w="3568" w:type="dxa"/>
            <w:shd w:val="clear" w:color="auto" w:fill="D9D9D9" w:themeFill="background1" w:themeFillShade="D9"/>
          </w:tcPr>
          <w:p w14:paraId="7580AD8A" w14:textId="77777777" w:rsidR="002C560F" w:rsidRPr="002C560F" w:rsidRDefault="002C560F" w:rsidP="00E629E7">
            <w:pPr>
              <w:suppressAutoHyphens w:val="0"/>
              <w:spacing w:before="60" w:after="60"/>
              <w:jc w:val="center"/>
              <w:rPr>
                <w:b/>
              </w:rPr>
            </w:pPr>
            <w:r w:rsidRPr="002C560F">
              <w:rPr>
                <w:b/>
              </w:rPr>
              <w:t>Pašreiz spēkā esošais</w:t>
            </w:r>
          </w:p>
        </w:tc>
        <w:tc>
          <w:tcPr>
            <w:tcW w:w="3235" w:type="dxa"/>
            <w:shd w:val="clear" w:color="auto" w:fill="D9D9D9" w:themeFill="background1" w:themeFillShade="D9"/>
          </w:tcPr>
          <w:p w14:paraId="648E8742" w14:textId="77777777" w:rsidR="002C560F" w:rsidRPr="002C560F" w:rsidRDefault="002C560F" w:rsidP="00E629E7">
            <w:pPr>
              <w:suppressAutoHyphens w:val="0"/>
              <w:spacing w:before="60" w:after="60"/>
              <w:jc w:val="center"/>
              <w:rPr>
                <w:b/>
              </w:rPr>
            </w:pPr>
            <w:r w:rsidRPr="002C560F">
              <w:rPr>
                <w:b/>
              </w:rPr>
              <w:t>Iespējamās izmaiņas</w:t>
            </w:r>
          </w:p>
        </w:tc>
      </w:tr>
      <w:tr w:rsidR="002C560F" w:rsidRPr="002C560F" w14:paraId="3919E54E" w14:textId="77777777" w:rsidTr="005D6E87">
        <w:tc>
          <w:tcPr>
            <w:tcW w:w="2548" w:type="dxa"/>
          </w:tcPr>
          <w:p w14:paraId="3C90A340" w14:textId="77777777" w:rsidR="002C560F" w:rsidRPr="002C560F" w:rsidRDefault="002C560F" w:rsidP="00E629E7">
            <w:pPr>
              <w:suppressAutoHyphens w:val="0"/>
            </w:pPr>
            <w:r w:rsidRPr="002C560F">
              <w:t xml:space="preserve">Nekustamā īpašuma kadastrālā vērtība </w:t>
            </w:r>
          </w:p>
        </w:tc>
        <w:tc>
          <w:tcPr>
            <w:tcW w:w="3568" w:type="dxa"/>
          </w:tcPr>
          <w:p w14:paraId="13D393DD" w14:textId="77777777" w:rsidR="002C560F" w:rsidRPr="002C560F" w:rsidRDefault="002C560F" w:rsidP="00E629E7">
            <w:pPr>
              <w:suppressAutoHyphens w:val="0"/>
              <w:rPr>
                <w:b/>
              </w:rPr>
            </w:pPr>
            <w:r w:rsidRPr="002C560F">
              <w:rPr>
                <w:b/>
              </w:rPr>
              <w:t xml:space="preserve">Tuvināta nekustamā īpašuma tirgus vērtībai </w:t>
            </w:r>
          </w:p>
          <w:p w14:paraId="6F556F69" w14:textId="77777777" w:rsidR="00E629E7" w:rsidRPr="00E629E7" w:rsidRDefault="00E629E7" w:rsidP="00E629E7">
            <w:pPr>
              <w:suppressAutoHyphens w:val="0"/>
              <w:rPr>
                <w:sz w:val="16"/>
                <w:szCs w:val="16"/>
              </w:rPr>
            </w:pPr>
          </w:p>
          <w:p w14:paraId="36DC2EF2" w14:textId="77777777" w:rsidR="002C560F" w:rsidRPr="002C560F" w:rsidRDefault="002C560F" w:rsidP="00E629E7">
            <w:pPr>
              <w:suppressAutoHyphens w:val="0"/>
            </w:pPr>
            <w:r w:rsidRPr="002C560F">
              <w:t>(Noteikta, pamatojoties uz Nekustamā īpašuma valsts kadastra likumu, saskaņā ar VZD metodiku)</w:t>
            </w:r>
          </w:p>
        </w:tc>
        <w:tc>
          <w:tcPr>
            <w:tcW w:w="3235" w:type="dxa"/>
          </w:tcPr>
          <w:p w14:paraId="3801D374" w14:textId="0BB5541A" w:rsidR="002C560F" w:rsidRPr="002C560F" w:rsidRDefault="002C560F" w:rsidP="00E629E7">
            <w:pPr>
              <w:suppressAutoHyphens w:val="0"/>
            </w:pPr>
            <w:r w:rsidRPr="002C560F">
              <w:t>Kadastrālās vērtēšanas metodikas pilnveidošana</w:t>
            </w:r>
            <w:r w:rsidR="00D511F8">
              <w:t>.</w:t>
            </w:r>
          </w:p>
        </w:tc>
      </w:tr>
      <w:tr w:rsidR="002C560F" w:rsidRPr="002C560F" w14:paraId="2A0E0566" w14:textId="77777777" w:rsidTr="005D6E87">
        <w:tc>
          <w:tcPr>
            <w:tcW w:w="2548" w:type="dxa"/>
          </w:tcPr>
          <w:p w14:paraId="317EA4D9" w14:textId="77777777" w:rsidR="002C560F" w:rsidRPr="002C560F" w:rsidRDefault="002C560F" w:rsidP="00E629E7">
            <w:pPr>
              <w:suppressAutoHyphens w:val="0"/>
            </w:pPr>
            <w:r w:rsidRPr="002C560F">
              <w:t>Kadastrālās vērtības atbilstības koeficients nekustamā īpašuma tirgus cenām</w:t>
            </w:r>
          </w:p>
        </w:tc>
        <w:tc>
          <w:tcPr>
            <w:tcW w:w="3568" w:type="dxa"/>
          </w:tcPr>
          <w:p w14:paraId="6286E58F" w14:textId="77777777" w:rsidR="002C560F" w:rsidRDefault="002C560F" w:rsidP="00E629E7">
            <w:pPr>
              <w:suppressAutoHyphens w:val="0"/>
              <w:rPr>
                <w:b/>
              </w:rPr>
            </w:pPr>
            <w:r w:rsidRPr="002C560F">
              <w:rPr>
                <w:b/>
              </w:rPr>
              <w:t xml:space="preserve">0,85 </w:t>
            </w:r>
          </w:p>
          <w:p w14:paraId="0C0FB6B2" w14:textId="77777777" w:rsidR="00E629E7" w:rsidRPr="002C560F" w:rsidRDefault="00E629E7" w:rsidP="00E629E7">
            <w:pPr>
              <w:suppressAutoHyphens w:val="0"/>
              <w:rPr>
                <w:b/>
                <w:sz w:val="16"/>
                <w:szCs w:val="16"/>
              </w:rPr>
            </w:pPr>
          </w:p>
          <w:p w14:paraId="6C2178C9" w14:textId="77777777" w:rsidR="002C560F" w:rsidRPr="002C560F" w:rsidRDefault="002C560F" w:rsidP="00E629E7">
            <w:pPr>
              <w:suppressAutoHyphens w:val="0"/>
            </w:pPr>
            <w:r w:rsidRPr="002C560F">
              <w:t>(Noteikts Nekustamā īpašuma valsts kadastra likumā)</w:t>
            </w:r>
          </w:p>
        </w:tc>
        <w:tc>
          <w:tcPr>
            <w:tcW w:w="3235" w:type="dxa"/>
          </w:tcPr>
          <w:p w14:paraId="5B23AF0E" w14:textId="77777777" w:rsidR="002C560F" w:rsidRPr="002C560F" w:rsidRDefault="002C560F" w:rsidP="00E629E7">
            <w:pPr>
              <w:suppressAutoHyphens w:val="0"/>
            </w:pPr>
            <w:r w:rsidRPr="002C560F">
              <w:t xml:space="preserve">Ņemot vērā, ka sērijveida (veco) dzīvokļu projektu kadastrālo vērtību bāzes atbilstība šobrīd ir 72% no tirgus vērtības, iespējamais risinājums – noteikt šādu koeficientu, kamēr to nav sasnieguši arī jauno dzīvokļu projektu un individuālo dzīvojamo māju kadastrālā vērtība. </w:t>
            </w:r>
          </w:p>
          <w:p w14:paraId="02FF85A1" w14:textId="77777777" w:rsidR="002C560F" w:rsidRPr="002C560F" w:rsidRDefault="002C560F" w:rsidP="00E629E7">
            <w:pPr>
              <w:suppressAutoHyphens w:val="0"/>
              <w:rPr>
                <w:sz w:val="16"/>
                <w:szCs w:val="16"/>
              </w:rPr>
            </w:pPr>
          </w:p>
          <w:p w14:paraId="1FB6274A" w14:textId="77777777" w:rsidR="002C560F" w:rsidRPr="002C560F" w:rsidRDefault="002C560F" w:rsidP="00E629E7">
            <w:pPr>
              <w:suppressAutoHyphens w:val="0"/>
            </w:pPr>
            <w:r w:rsidRPr="002C560F">
              <w:t>Lai nodrošinātu samērīgu nodokļa bāzes pieaugumu, noteikt, ka pieaugums gadā nepārsniedz 10%.</w:t>
            </w:r>
          </w:p>
        </w:tc>
      </w:tr>
      <w:tr w:rsidR="002C560F" w:rsidRPr="002C560F" w14:paraId="0BEF99C4" w14:textId="77777777" w:rsidTr="005D6E87">
        <w:tc>
          <w:tcPr>
            <w:tcW w:w="2548" w:type="dxa"/>
          </w:tcPr>
          <w:p w14:paraId="76F1D76B" w14:textId="77777777" w:rsidR="002C560F" w:rsidRPr="002C560F" w:rsidRDefault="002C560F" w:rsidP="002C560F">
            <w:pPr>
              <w:suppressAutoHyphens w:val="0"/>
            </w:pPr>
            <w:r w:rsidRPr="002C560F">
              <w:t xml:space="preserve">Nekustamā īpašuma nodokļa likme </w:t>
            </w:r>
          </w:p>
        </w:tc>
        <w:tc>
          <w:tcPr>
            <w:tcW w:w="3568" w:type="dxa"/>
          </w:tcPr>
          <w:p w14:paraId="36E21B02" w14:textId="77777777" w:rsidR="002C560F" w:rsidRPr="002C560F" w:rsidRDefault="002C560F" w:rsidP="002C560F">
            <w:pPr>
              <w:suppressAutoHyphens w:val="0"/>
            </w:pPr>
          </w:p>
        </w:tc>
        <w:tc>
          <w:tcPr>
            <w:tcW w:w="3235" w:type="dxa"/>
          </w:tcPr>
          <w:p w14:paraId="1B32EE60" w14:textId="77777777" w:rsidR="002C560F" w:rsidRPr="002C560F" w:rsidRDefault="002C560F" w:rsidP="002C560F">
            <w:pPr>
              <w:suppressAutoHyphens w:val="0"/>
            </w:pPr>
          </w:p>
        </w:tc>
      </w:tr>
      <w:tr w:rsidR="002C560F" w:rsidRPr="002C560F" w14:paraId="5118C537" w14:textId="77777777" w:rsidTr="005D6E87">
        <w:tc>
          <w:tcPr>
            <w:tcW w:w="2548" w:type="dxa"/>
          </w:tcPr>
          <w:p w14:paraId="01EAB339" w14:textId="77777777" w:rsidR="002C560F" w:rsidRPr="002C560F" w:rsidRDefault="002C560F" w:rsidP="00700F6A">
            <w:pPr>
              <w:numPr>
                <w:ilvl w:val="0"/>
                <w:numId w:val="32"/>
              </w:numPr>
              <w:suppressAutoHyphens w:val="0"/>
              <w:contextualSpacing/>
              <w:jc w:val="right"/>
              <w:rPr>
                <w:i/>
              </w:rPr>
            </w:pPr>
            <w:r w:rsidRPr="002C560F">
              <w:rPr>
                <w:i/>
              </w:rPr>
              <w:t>likumā noteiktā (valsts līmenī)</w:t>
            </w:r>
          </w:p>
        </w:tc>
        <w:tc>
          <w:tcPr>
            <w:tcW w:w="3568" w:type="dxa"/>
          </w:tcPr>
          <w:p w14:paraId="23EA3BF8" w14:textId="77777777" w:rsidR="002C560F" w:rsidRPr="002C560F" w:rsidRDefault="002C560F" w:rsidP="00E629E7">
            <w:pPr>
              <w:suppressAutoHyphens w:val="0"/>
            </w:pPr>
            <w:r w:rsidRPr="002C560F">
              <w:t xml:space="preserve">Zemei, ēkām (izņemot dzīvojamās ēkas), inženierbūvēm – </w:t>
            </w:r>
            <w:r w:rsidRPr="002C560F">
              <w:rPr>
                <w:b/>
              </w:rPr>
              <w:t>1,5%</w:t>
            </w:r>
          </w:p>
          <w:p w14:paraId="6C0B5DA7" w14:textId="77777777" w:rsidR="002C560F" w:rsidRPr="002C560F" w:rsidRDefault="002C560F" w:rsidP="00E629E7">
            <w:pPr>
              <w:suppressAutoHyphens w:val="0"/>
            </w:pPr>
          </w:p>
          <w:p w14:paraId="0B14C83B" w14:textId="77777777" w:rsidR="002C560F" w:rsidRPr="002C560F" w:rsidRDefault="002C560F" w:rsidP="00E629E7">
            <w:pPr>
              <w:suppressAutoHyphens w:val="0"/>
            </w:pPr>
            <w:r w:rsidRPr="002C560F">
              <w:t>Dzīvojamām ēkām un telpu grupām, kas saistītas ar dzīvošanu:</w:t>
            </w:r>
          </w:p>
          <w:p w14:paraId="37523CF3" w14:textId="77777777" w:rsidR="002C560F" w:rsidRPr="002C560F" w:rsidRDefault="002C560F" w:rsidP="00E629E7">
            <w:pPr>
              <w:suppressAutoHyphens w:val="0"/>
            </w:pPr>
            <w:r w:rsidRPr="002C560F">
              <w:lastRenderedPageBreak/>
              <w:t xml:space="preserve">- </w:t>
            </w:r>
            <w:r w:rsidRPr="002C560F">
              <w:rPr>
                <w:b/>
              </w:rPr>
              <w:t>0,2%</w:t>
            </w:r>
            <w:r w:rsidRPr="002C560F">
              <w:t xml:space="preserve"> no kadastrālās vērtības, kas nepārsniedz EUR 56 915 </w:t>
            </w:r>
          </w:p>
          <w:p w14:paraId="68F914FC" w14:textId="77777777" w:rsidR="002C560F" w:rsidRPr="002C560F" w:rsidRDefault="002C560F" w:rsidP="00E629E7">
            <w:pPr>
              <w:suppressAutoHyphens w:val="0"/>
            </w:pPr>
            <w:r w:rsidRPr="002C560F">
              <w:t xml:space="preserve">- </w:t>
            </w:r>
            <w:r w:rsidRPr="002C560F">
              <w:rPr>
                <w:b/>
              </w:rPr>
              <w:t>0,4%</w:t>
            </w:r>
            <w:r w:rsidRPr="002C560F">
              <w:t xml:space="preserve"> no kadastrālās vērtības daļas, kas pārsniedz EUR 56 915, bet nepārsniedz EUR 106 715 </w:t>
            </w:r>
          </w:p>
          <w:p w14:paraId="36A6F82A" w14:textId="77777777" w:rsidR="002C560F" w:rsidRPr="002C560F" w:rsidRDefault="002C560F" w:rsidP="00E629E7">
            <w:pPr>
              <w:suppressAutoHyphens w:val="0"/>
            </w:pPr>
            <w:r w:rsidRPr="002C560F">
              <w:t xml:space="preserve">- </w:t>
            </w:r>
            <w:r w:rsidRPr="002C560F">
              <w:rPr>
                <w:b/>
              </w:rPr>
              <w:t>0,6%</w:t>
            </w:r>
            <w:r w:rsidRPr="002C560F">
              <w:t xml:space="preserve"> no kadastrālās vērtības daļas, kas pārsniedz EUR 106 715</w:t>
            </w:r>
          </w:p>
          <w:p w14:paraId="3E8B3D52" w14:textId="77777777" w:rsidR="002C560F" w:rsidRPr="002C560F" w:rsidRDefault="002C560F" w:rsidP="00E629E7">
            <w:pPr>
              <w:suppressAutoHyphens w:val="0"/>
            </w:pPr>
          </w:p>
          <w:p w14:paraId="7EBC595D" w14:textId="77777777" w:rsidR="002C560F" w:rsidRPr="002C560F" w:rsidRDefault="002C560F" w:rsidP="00E629E7">
            <w:pPr>
              <w:suppressAutoHyphens w:val="0"/>
              <w:rPr>
                <w:b/>
              </w:rPr>
            </w:pPr>
            <w:r w:rsidRPr="002C560F">
              <w:t xml:space="preserve">Komersanta īpašumā esošajām dzīvojamām ēkām, ja šajos objektos nav īrnieku (īres tiesības nav nostiprinātas zemesgrāmatā) – </w:t>
            </w:r>
            <w:r w:rsidRPr="002C560F">
              <w:rPr>
                <w:b/>
              </w:rPr>
              <w:t>1,5%</w:t>
            </w:r>
          </w:p>
          <w:p w14:paraId="1ABD382D" w14:textId="77777777" w:rsidR="002C560F" w:rsidRPr="002C560F" w:rsidRDefault="002C560F" w:rsidP="002C560F">
            <w:pPr>
              <w:suppressAutoHyphens w:val="0"/>
            </w:pPr>
          </w:p>
        </w:tc>
        <w:tc>
          <w:tcPr>
            <w:tcW w:w="3235" w:type="dxa"/>
          </w:tcPr>
          <w:p w14:paraId="6820E5B2" w14:textId="77777777" w:rsidR="002C560F" w:rsidRPr="002C560F" w:rsidRDefault="002C560F" w:rsidP="002C560F">
            <w:pPr>
              <w:suppressAutoHyphens w:val="0"/>
            </w:pPr>
            <w:r w:rsidRPr="002C560F">
              <w:lastRenderedPageBreak/>
              <w:t>Nav efektīvi izmantot likmju izmaiņas valsts līmenī, ja kadastrālo vērtību atšķirības ir vairāk nekā 1500 reižu.</w:t>
            </w:r>
          </w:p>
        </w:tc>
      </w:tr>
      <w:tr w:rsidR="002C560F" w:rsidRPr="002C560F" w14:paraId="334CA6EB" w14:textId="77777777" w:rsidTr="005D6E87">
        <w:tc>
          <w:tcPr>
            <w:tcW w:w="2548" w:type="dxa"/>
          </w:tcPr>
          <w:p w14:paraId="3E52A9DE" w14:textId="79C87E74" w:rsidR="002C560F" w:rsidRPr="002C560F" w:rsidRDefault="00700F6A" w:rsidP="00700F6A">
            <w:pPr>
              <w:numPr>
                <w:ilvl w:val="0"/>
                <w:numId w:val="32"/>
              </w:numPr>
              <w:suppressAutoHyphens w:val="0"/>
              <w:ind w:left="313" w:right="60"/>
              <w:contextualSpacing/>
              <w:jc w:val="right"/>
              <w:rPr>
                <w:i/>
              </w:rPr>
            </w:pPr>
            <w:r>
              <w:rPr>
                <w:i/>
              </w:rPr>
              <w:lastRenderedPageBreak/>
              <w:t>p</w:t>
            </w:r>
            <w:r w:rsidR="002C560F" w:rsidRPr="002C560F">
              <w:rPr>
                <w:i/>
              </w:rPr>
              <w:t>ašvaldību</w:t>
            </w:r>
            <w:r>
              <w:rPr>
                <w:i/>
              </w:rPr>
              <w:t xml:space="preserve"> </w:t>
            </w:r>
            <w:r w:rsidR="002C560F" w:rsidRPr="002C560F">
              <w:rPr>
                <w:i/>
              </w:rPr>
              <w:t>saistošajos noteikumos noteiktā</w:t>
            </w:r>
          </w:p>
        </w:tc>
        <w:tc>
          <w:tcPr>
            <w:tcW w:w="3568" w:type="dxa"/>
          </w:tcPr>
          <w:p w14:paraId="044B9028" w14:textId="77777777" w:rsidR="002C560F" w:rsidRPr="002C560F" w:rsidRDefault="002C560F" w:rsidP="002C560F">
            <w:pPr>
              <w:suppressAutoHyphens w:val="0"/>
            </w:pPr>
            <w:r w:rsidRPr="002C560F">
              <w:t xml:space="preserve">Pašvaldībām tiesības  noteikt NĪN likmi no </w:t>
            </w:r>
            <w:r w:rsidRPr="002C560F">
              <w:rPr>
                <w:b/>
              </w:rPr>
              <w:t xml:space="preserve">0,2% līdz 3% </w:t>
            </w:r>
            <w:r w:rsidRPr="002C560F">
              <w:t>(</w:t>
            </w:r>
            <w:r w:rsidRPr="002C560F">
              <w:rPr>
                <w:b/>
              </w:rPr>
              <w:t xml:space="preserve">virs 1,5% </w:t>
            </w:r>
            <w:r w:rsidRPr="002C560F">
              <w:t>- ja īpašums netiek uzturēts normatīvajos aktos noteiktajā kārtībā)</w:t>
            </w:r>
          </w:p>
          <w:p w14:paraId="61E5EE39" w14:textId="77777777" w:rsidR="002C560F" w:rsidRPr="002C560F" w:rsidRDefault="002C560F" w:rsidP="002C560F">
            <w:pPr>
              <w:suppressAutoHyphens w:val="0"/>
            </w:pPr>
          </w:p>
          <w:p w14:paraId="4CF0FA8A" w14:textId="77777777" w:rsidR="002C560F" w:rsidRPr="002C560F" w:rsidRDefault="002C560F" w:rsidP="002C560F">
            <w:pPr>
              <w:suppressAutoHyphens w:val="0"/>
            </w:pPr>
            <w:r w:rsidRPr="002C560F">
              <w:t>Nosakot likmes, pašvaldībām jāievēro likumā noteiktie principi</w:t>
            </w:r>
            <w:r w:rsidRPr="002C560F">
              <w:rPr>
                <w:vertAlign w:val="superscript"/>
              </w:rPr>
              <w:footnoteReference w:id="20"/>
            </w:r>
          </w:p>
          <w:p w14:paraId="53C8674F" w14:textId="77777777" w:rsidR="002C560F" w:rsidRPr="002C560F" w:rsidRDefault="002C560F" w:rsidP="002C560F">
            <w:pPr>
              <w:suppressAutoHyphens w:val="0"/>
            </w:pPr>
          </w:p>
        </w:tc>
        <w:tc>
          <w:tcPr>
            <w:tcW w:w="3235" w:type="dxa"/>
          </w:tcPr>
          <w:p w14:paraId="4A30201C" w14:textId="77777777" w:rsidR="002C560F" w:rsidRPr="002C560F" w:rsidRDefault="002C560F" w:rsidP="002C560F">
            <w:pPr>
              <w:suppressAutoHyphens w:val="0"/>
            </w:pPr>
          </w:p>
        </w:tc>
      </w:tr>
      <w:tr w:rsidR="002C560F" w:rsidRPr="002C560F" w14:paraId="6248BD0E" w14:textId="77777777" w:rsidTr="005D6E87">
        <w:tc>
          <w:tcPr>
            <w:tcW w:w="2548" w:type="dxa"/>
            <w:tcBorders>
              <w:bottom w:val="single" w:sz="4" w:space="0" w:color="auto"/>
            </w:tcBorders>
          </w:tcPr>
          <w:p w14:paraId="1EAC498F" w14:textId="77777777" w:rsidR="002C560F" w:rsidRPr="002C560F" w:rsidRDefault="002C560F" w:rsidP="002C560F">
            <w:pPr>
              <w:suppressAutoHyphens w:val="0"/>
            </w:pPr>
            <w:r w:rsidRPr="002C560F">
              <w:t>NĪN atlaides</w:t>
            </w:r>
          </w:p>
        </w:tc>
        <w:tc>
          <w:tcPr>
            <w:tcW w:w="3568" w:type="dxa"/>
            <w:tcBorders>
              <w:bottom w:val="single" w:sz="4" w:space="0" w:color="auto"/>
            </w:tcBorders>
          </w:tcPr>
          <w:p w14:paraId="528EB1AA" w14:textId="77777777" w:rsidR="002C560F" w:rsidRPr="002C560F" w:rsidRDefault="002C560F" w:rsidP="002C560F">
            <w:pPr>
              <w:suppressAutoHyphens w:val="0"/>
            </w:pPr>
          </w:p>
        </w:tc>
        <w:tc>
          <w:tcPr>
            <w:tcW w:w="3235" w:type="dxa"/>
            <w:tcBorders>
              <w:bottom w:val="single" w:sz="4" w:space="0" w:color="auto"/>
            </w:tcBorders>
          </w:tcPr>
          <w:p w14:paraId="4742A1DF" w14:textId="77777777" w:rsidR="002C560F" w:rsidRPr="002C560F" w:rsidRDefault="002C560F" w:rsidP="002C560F">
            <w:pPr>
              <w:suppressAutoHyphens w:val="0"/>
            </w:pPr>
          </w:p>
        </w:tc>
      </w:tr>
      <w:tr w:rsidR="002C560F" w:rsidRPr="002C560F" w14:paraId="70CF1F35" w14:textId="77777777" w:rsidTr="005D6E87">
        <w:tc>
          <w:tcPr>
            <w:tcW w:w="2548" w:type="dxa"/>
            <w:tcBorders>
              <w:bottom w:val="single" w:sz="4" w:space="0" w:color="auto"/>
            </w:tcBorders>
          </w:tcPr>
          <w:p w14:paraId="1B89A226" w14:textId="77777777" w:rsidR="002C560F" w:rsidRPr="002C560F" w:rsidRDefault="002C560F" w:rsidP="00700F6A">
            <w:pPr>
              <w:numPr>
                <w:ilvl w:val="0"/>
                <w:numId w:val="32"/>
              </w:numPr>
              <w:suppressAutoHyphens w:val="0"/>
              <w:contextualSpacing/>
              <w:jc w:val="right"/>
              <w:rPr>
                <w:i/>
              </w:rPr>
            </w:pPr>
            <w:r w:rsidRPr="002C560F">
              <w:rPr>
                <w:i/>
              </w:rPr>
              <w:t>likumā noteiktās</w:t>
            </w:r>
          </w:p>
        </w:tc>
        <w:tc>
          <w:tcPr>
            <w:tcW w:w="3568" w:type="dxa"/>
            <w:tcBorders>
              <w:bottom w:val="single" w:sz="4" w:space="0" w:color="auto"/>
            </w:tcBorders>
          </w:tcPr>
          <w:p w14:paraId="0A1E3A0A" w14:textId="1BA81850" w:rsidR="002C560F" w:rsidRDefault="002C560F" w:rsidP="00700F6A">
            <w:pPr>
              <w:shd w:val="clear" w:color="auto" w:fill="FFFFFF"/>
              <w:suppressAutoHyphens w:val="0"/>
              <w:jc w:val="both"/>
              <w:rPr>
                <w:rFonts w:eastAsia="Times New Roman"/>
                <w:szCs w:val="24"/>
                <w:lang w:eastAsia="lv-LV"/>
              </w:rPr>
            </w:pPr>
            <w:r w:rsidRPr="002C560F">
              <w:rPr>
                <w:rFonts w:eastAsia="Times New Roman"/>
                <w:szCs w:val="24"/>
                <w:lang w:eastAsia="lv-LV"/>
              </w:rPr>
              <w:t xml:space="preserve">Par dzīvojamām ēkām un tām piekritīgo zemi trūcīgām personām - </w:t>
            </w:r>
            <w:r w:rsidRPr="002C560F">
              <w:rPr>
                <w:rFonts w:eastAsia="Times New Roman"/>
                <w:b/>
                <w:szCs w:val="24"/>
                <w:lang w:eastAsia="lv-LV"/>
              </w:rPr>
              <w:t>90%</w:t>
            </w:r>
            <w:r w:rsidRPr="002C560F">
              <w:rPr>
                <w:rFonts w:eastAsia="Times New Roman"/>
                <w:szCs w:val="24"/>
                <w:lang w:eastAsia="lv-LV"/>
              </w:rPr>
              <w:t xml:space="preserve"> apmērā</w:t>
            </w:r>
          </w:p>
          <w:p w14:paraId="1AB96565" w14:textId="77777777" w:rsidR="00700F6A" w:rsidRPr="002C560F" w:rsidRDefault="00700F6A" w:rsidP="00700F6A">
            <w:pPr>
              <w:shd w:val="clear" w:color="auto" w:fill="FFFFFF"/>
              <w:suppressAutoHyphens w:val="0"/>
              <w:jc w:val="both"/>
              <w:rPr>
                <w:rFonts w:eastAsia="Times New Roman"/>
                <w:sz w:val="16"/>
                <w:szCs w:val="16"/>
                <w:lang w:eastAsia="lv-LV"/>
              </w:rPr>
            </w:pPr>
          </w:p>
          <w:p w14:paraId="44A547E2" w14:textId="55738D3C" w:rsidR="002C560F" w:rsidRDefault="002C560F" w:rsidP="00700F6A">
            <w:pPr>
              <w:shd w:val="clear" w:color="auto" w:fill="FFFFFF"/>
              <w:suppressAutoHyphens w:val="0"/>
              <w:jc w:val="both"/>
              <w:rPr>
                <w:rFonts w:eastAsia="Times New Roman"/>
                <w:b/>
                <w:szCs w:val="24"/>
                <w:lang w:eastAsia="lv-LV"/>
              </w:rPr>
            </w:pPr>
            <w:r w:rsidRPr="002C560F">
              <w:rPr>
                <w:rFonts w:eastAsia="Times New Roman"/>
                <w:szCs w:val="24"/>
                <w:lang w:eastAsia="lv-LV"/>
              </w:rPr>
              <w:t xml:space="preserve">Par dzīvojamām ēkām un tām piekritīgo zemi maznodrošinātām personām – līdz </w:t>
            </w:r>
            <w:r w:rsidRPr="002C560F">
              <w:rPr>
                <w:rFonts w:eastAsia="Times New Roman"/>
                <w:b/>
                <w:szCs w:val="24"/>
                <w:lang w:eastAsia="lv-LV"/>
              </w:rPr>
              <w:t>90%</w:t>
            </w:r>
          </w:p>
          <w:p w14:paraId="4CFE23D1" w14:textId="77777777" w:rsidR="00700F6A" w:rsidRPr="002C560F" w:rsidRDefault="00700F6A" w:rsidP="00700F6A">
            <w:pPr>
              <w:shd w:val="clear" w:color="auto" w:fill="FFFFFF"/>
              <w:suppressAutoHyphens w:val="0"/>
              <w:jc w:val="both"/>
              <w:rPr>
                <w:rFonts w:eastAsia="Times New Roman"/>
                <w:sz w:val="16"/>
                <w:szCs w:val="16"/>
                <w:lang w:eastAsia="lv-LV"/>
              </w:rPr>
            </w:pPr>
          </w:p>
          <w:p w14:paraId="13C37010" w14:textId="77777777" w:rsidR="002C560F" w:rsidRPr="002C560F" w:rsidRDefault="002C560F" w:rsidP="00700F6A">
            <w:pPr>
              <w:shd w:val="clear" w:color="auto" w:fill="FFFFFF"/>
              <w:suppressAutoHyphens w:val="0"/>
              <w:jc w:val="both"/>
              <w:rPr>
                <w:rFonts w:eastAsia="Times New Roman"/>
                <w:szCs w:val="24"/>
                <w:lang w:eastAsia="lv-LV"/>
              </w:rPr>
            </w:pPr>
            <w:r w:rsidRPr="002C560F">
              <w:rPr>
                <w:rFonts w:eastAsia="Times New Roman"/>
                <w:szCs w:val="24"/>
                <w:lang w:eastAsia="lv-LV"/>
              </w:rPr>
              <w:t xml:space="preserve">Dzīvojamām ēkām politiski represētajām personām – </w:t>
            </w:r>
            <w:r w:rsidRPr="002C560F">
              <w:rPr>
                <w:rFonts w:eastAsia="Times New Roman"/>
                <w:b/>
                <w:szCs w:val="24"/>
                <w:lang w:eastAsia="lv-LV"/>
              </w:rPr>
              <w:t>50%.</w:t>
            </w:r>
          </w:p>
          <w:p w14:paraId="4BAEC9D0" w14:textId="7A1A7B33" w:rsidR="002C560F" w:rsidRPr="002C560F" w:rsidRDefault="002C560F" w:rsidP="00700F6A">
            <w:pPr>
              <w:shd w:val="clear" w:color="auto" w:fill="FFFFFF"/>
              <w:suppressAutoHyphens w:val="0"/>
              <w:jc w:val="both"/>
              <w:rPr>
                <w:rFonts w:eastAsia="Times New Roman"/>
                <w:szCs w:val="24"/>
                <w:lang w:eastAsia="lv-LV"/>
              </w:rPr>
            </w:pPr>
            <w:proofErr w:type="spellStart"/>
            <w:r w:rsidRPr="002C560F">
              <w:rPr>
                <w:rFonts w:eastAsia="Times New Roman"/>
                <w:szCs w:val="24"/>
                <w:lang w:eastAsia="lv-LV"/>
              </w:rPr>
              <w:t>Daudzbērnu</w:t>
            </w:r>
            <w:proofErr w:type="spellEnd"/>
            <w:r w:rsidRPr="002C560F">
              <w:rPr>
                <w:rFonts w:eastAsia="Times New Roman"/>
                <w:szCs w:val="24"/>
                <w:lang w:eastAsia="lv-LV"/>
              </w:rPr>
              <w:t xml:space="preserve"> ģimenēm – </w:t>
            </w:r>
            <w:r w:rsidRPr="002C560F">
              <w:rPr>
                <w:rFonts w:eastAsia="Times New Roman"/>
                <w:b/>
                <w:szCs w:val="24"/>
                <w:lang w:eastAsia="lv-LV"/>
              </w:rPr>
              <w:t>50%</w:t>
            </w:r>
            <w:r w:rsidRPr="002C560F">
              <w:rPr>
                <w:rFonts w:eastAsia="Times New Roman"/>
                <w:szCs w:val="24"/>
                <w:lang w:eastAsia="lv-LV"/>
              </w:rPr>
              <w:t>, bet ne vairāk kā EUR 427</w:t>
            </w:r>
          </w:p>
        </w:tc>
        <w:tc>
          <w:tcPr>
            <w:tcW w:w="3235" w:type="dxa"/>
            <w:tcBorders>
              <w:bottom w:val="single" w:sz="4" w:space="0" w:color="auto"/>
            </w:tcBorders>
          </w:tcPr>
          <w:p w14:paraId="0B810CA7" w14:textId="77777777" w:rsidR="002C560F" w:rsidRPr="002C560F" w:rsidRDefault="002C560F" w:rsidP="002C560F">
            <w:pPr>
              <w:suppressAutoHyphens w:val="0"/>
            </w:pPr>
            <w:r w:rsidRPr="002C560F">
              <w:t>Valsts nevar pielāgot atlaides dažādiem specifiskiem gadījumiem, īpašām nodokļu maksātāju situācijām.</w:t>
            </w:r>
          </w:p>
        </w:tc>
      </w:tr>
      <w:tr w:rsidR="002C560F" w:rsidRPr="002C560F" w14:paraId="4511680B" w14:textId="77777777" w:rsidTr="005D6E87">
        <w:tc>
          <w:tcPr>
            <w:tcW w:w="2548" w:type="dxa"/>
            <w:tcBorders>
              <w:top w:val="single" w:sz="4" w:space="0" w:color="auto"/>
            </w:tcBorders>
          </w:tcPr>
          <w:p w14:paraId="54ED2B77" w14:textId="77777777" w:rsidR="002C560F" w:rsidRPr="002C560F" w:rsidRDefault="002C560F" w:rsidP="00700F6A">
            <w:pPr>
              <w:numPr>
                <w:ilvl w:val="0"/>
                <w:numId w:val="32"/>
              </w:numPr>
              <w:suppressAutoHyphens w:val="0"/>
              <w:contextualSpacing/>
              <w:jc w:val="right"/>
              <w:rPr>
                <w:i/>
              </w:rPr>
            </w:pPr>
            <w:r w:rsidRPr="002C560F">
              <w:rPr>
                <w:i/>
              </w:rPr>
              <w:t>pašvaldību saistošajos noteikumos  noteiktās</w:t>
            </w:r>
          </w:p>
        </w:tc>
        <w:tc>
          <w:tcPr>
            <w:tcW w:w="3568" w:type="dxa"/>
            <w:tcBorders>
              <w:top w:val="single" w:sz="4" w:space="0" w:color="auto"/>
            </w:tcBorders>
          </w:tcPr>
          <w:p w14:paraId="29A94DC5" w14:textId="77777777" w:rsidR="002C560F" w:rsidRPr="002C560F" w:rsidRDefault="002C560F" w:rsidP="002C560F">
            <w:pPr>
              <w:suppressAutoHyphens w:val="0"/>
            </w:pPr>
            <w:r w:rsidRPr="002C560F">
              <w:t xml:space="preserve">Atvieglojumi pašvaldību noteiktām NĪN maksātāju kategorijām </w:t>
            </w:r>
            <w:r w:rsidRPr="002C560F">
              <w:rPr>
                <w:b/>
              </w:rPr>
              <w:t>90, 70, 50 vai 25%</w:t>
            </w:r>
            <w:r w:rsidRPr="002C560F">
              <w:t xml:space="preserve"> apmērā no NĪN summas</w:t>
            </w:r>
            <w:r w:rsidRPr="002C560F">
              <w:rPr>
                <w:vertAlign w:val="superscript"/>
              </w:rPr>
              <w:footnoteReference w:id="21"/>
            </w:r>
            <w:r w:rsidRPr="002C560F">
              <w:t>.</w:t>
            </w:r>
          </w:p>
          <w:p w14:paraId="5F195ABA" w14:textId="77777777" w:rsidR="002C560F" w:rsidRPr="002C560F" w:rsidRDefault="002C560F" w:rsidP="002C560F">
            <w:pPr>
              <w:suppressAutoHyphens w:val="0"/>
            </w:pPr>
          </w:p>
          <w:p w14:paraId="6ABA7B71" w14:textId="77777777" w:rsidR="002C560F" w:rsidRPr="002C560F" w:rsidRDefault="002C560F" w:rsidP="002C560F">
            <w:pPr>
              <w:suppressAutoHyphens w:val="0"/>
            </w:pPr>
          </w:p>
        </w:tc>
        <w:tc>
          <w:tcPr>
            <w:tcW w:w="3235" w:type="dxa"/>
            <w:tcBorders>
              <w:top w:val="single" w:sz="4" w:space="0" w:color="auto"/>
            </w:tcBorders>
          </w:tcPr>
          <w:p w14:paraId="0F1E9125" w14:textId="77777777" w:rsidR="002C560F" w:rsidRPr="002C560F" w:rsidRDefault="002C560F" w:rsidP="002C560F">
            <w:pPr>
              <w:suppressAutoHyphens w:val="0"/>
            </w:pPr>
            <w:r w:rsidRPr="002C560F">
              <w:t xml:space="preserve">Pašvaldībām jau pašreiz ir tiesības noteikt maksātājiem labvēlīgākas nodokļu atlaides. Tādējādi pašvaldībām ir tiesības pieņemt lēmumu par nodokļa atlaidēm vienīgajam mājoklim, ja tas iespējams, </w:t>
            </w:r>
            <w:r w:rsidRPr="002C560F">
              <w:lastRenderedPageBreak/>
              <w:t xml:space="preserve">ievērojot likumā noteiktos principus. </w:t>
            </w:r>
          </w:p>
          <w:p w14:paraId="22B2EBEB" w14:textId="77777777" w:rsidR="002C560F" w:rsidRPr="002C560F" w:rsidRDefault="002C560F" w:rsidP="002C560F">
            <w:pPr>
              <w:suppressAutoHyphens w:val="0"/>
            </w:pPr>
            <w:r w:rsidRPr="002C560F">
              <w:t>Pašvaldībām ir iespējas izvērtēt un pielāgot nodokļa atlaides dažādām īpašām un specifiskām nodokļa maksātāja situācijām.</w:t>
            </w:r>
          </w:p>
        </w:tc>
      </w:tr>
      <w:tr w:rsidR="002C560F" w:rsidRPr="002C560F" w14:paraId="66FAF190" w14:textId="77777777" w:rsidTr="005D6E87">
        <w:tc>
          <w:tcPr>
            <w:tcW w:w="2548" w:type="dxa"/>
          </w:tcPr>
          <w:p w14:paraId="47D14763" w14:textId="77777777" w:rsidR="002C560F" w:rsidRPr="002C560F" w:rsidRDefault="002C560F" w:rsidP="002C560F">
            <w:pPr>
              <w:suppressAutoHyphens w:val="0"/>
            </w:pPr>
            <w:r w:rsidRPr="002C560F">
              <w:lastRenderedPageBreak/>
              <w:t>Citi atvieglojumi</w:t>
            </w:r>
          </w:p>
        </w:tc>
        <w:tc>
          <w:tcPr>
            <w:tcW w:w="3568" w:type="dxa"/>
            <w:shd w:val="clear" w:color="auto" w:fill="FFFFFF" w:themeFill="background1"/>
          </w:tcPr>
          <w:p w14:paraId="42AC6F31" w14:textId="335922DA" w:rsidR="002C560F" w:rsidRPr="002C560F" w:rsidRDefault="00C279EE" w:rsidP="002C560F">
            <w:pPr>
              <w:suppressAutoHyphens w:val="0"/>
              <w:rPr>
                <w:b/>
                <w:szCs w:val="24"/>
                <w:shd w:val="clear" w:color="auto" w:fill="F1F1F1"/>
              </w:rPr>
            </w:pPr>
            <w:r w:rsidRPr="00C279EE">
              <w:rPr>
                <w:b/>
              </w:rPr>
              <w:t>Pašvaldībai ir tiesības pēc nodokļa maksātāja sociālā stāvokļa un maksātspējas izvērtēšanas pieņemt lēmumu par nodokļa maksājumu atlikšanu attiecībā uz dzīvojamām ēkām, ja persona tur ir deklarējusi dzīvesvietu, un tām piekritīgo zemi līdz nekustamā īpašuma tiesību pārejai citai personai.</w:t>
            </w:r>
          </w:p>
        </w:tc>
        <w:tc>
          <w:tcPr>
            <w:tcW w:w="3235" w:type="dxa"/>
          </w:tcPr>
          <w:p w14:paraId="6C32768D" w14:textId="6DC82C51" w:rsidR="002C560F" w:rsidRPr="002C560F" w:rsidRDefault="002C560F" w:rsidP="00C279EE">
            <w:pPr>
              <w:suppressAutoHyphens w:val="0"/>
            </w:pPr>
            <w:r w:rsidRPr="002C560F">
              <w:t>Nav informācijas par pašvaldībām, kas šo iespēju izmantotu.</w:t>
            </w:r>
            <w:r w:rsidR="00C279EE">
              <w:t xml:space="preserve"> </w:t>
            </w:r>
          </w:p>
        </w:tc>
      </w:tr>
    </w:tbl>
    <w:p w14:paraId="44120258" w14:textId="77777777" w:rsidR="002C560F" w:rsidRPr="002C560F" w:rsidRDefault="002C560F" w:rsidP="002C560F">
      <w:pPr>
        <w:suppressAutoHyphens w:val="0"/>
        <w:autoSpaceDN/>
        <w:textAlignment w:val="auto"/>
        <w:rPr>
          <w:sz w:val="24"/>
        </w:rPr>
      </w:pPr>
    </w:p>
    <w:p w14:paraId="07136344" w14:textId="54292907" w:rsidR="00065A54" w:rsidRPr="00065A54" w:rsidRDefault="00065A54" w:rsidP="00635D23">
      <w:pPr>
        <w:jc w:val="both"/>
        <w:rPr>
          <w:b/>
          <w:i/>
          <w:szCs w:val="28"/>
          <w:u w:val="single"/>
        </w:rPr>
      </w:pPr>
      <w:r>
        <w:rPr>
          <w:szCs w:val="28"/>
        </w:rPr>
        <w:tab/>
      </w:r>
      <w:r w:rsidRPr="00065A54">
        <w:rPr>
          <w:b/>
          <w:i/>
          <w:szCs w:val="28"/>
          <w:u w:val="single"/>
        </w:rPr>
        <w:t>Secinājums:</w:t>
      </w:r>
    </w:p>
    <w:p w14:paraId="3FEBCD20" w14:textId="4C372A99" w:rsidR="00065A54" w:rsidRDefault="00065A54" w:rsidP="00635D23">
      <w:pPr>
        <w:jc w:val="both"/>
        <w:rPr>
          <w:i/>
          <w:szCs w:val="28"/>
        </w:rPr>
      </w:pPr>
      <w:r>
        <w:rPr>
          <w:szCs w:val="28"/>
        </w:rPr>
        <w:tab/>
      </w:r>
      <w:r w:rsidR="00701DC5" w:rsidRPr="00701DC5">
        <w:rPr>
          <w:i/>
          <w:szCs w:val="28"/>
        </w:rPr>
        <w:t xml:space="preserve">No minētā izklāsta varam secināt, ka, ja ir nepieciešams mazināt </w:t>
      </w:r>
      <w:r w:rsidR="00701DC5">
        <w:rPr>
          <w:i/>
          <w:szCs w:val="28"/>
        </w:rPr>
        <w:t xml:space="preserve">kadastrālās vērtības ietekmi uz nekustamā īpašuma nodokļa aprēķinu, tad to ir iespējams </w:t>
      </w:r>
      <w:r w:rsidR="004F56EC">
        <w:rPr>
          <w:i/>
          <w:szCs w:val="28"/>
        </w:rPr>
        <w:t>risināt</w:t>
      </w:r>
      <w:r w:rsidR="00701DC5">
        <w:rPr>
          <w:i/>
          <w:szCs w:val="28"/>
        </w:rPr>
        <w:t>:</w:t>
      </w:r>
    </w:p>
    <w:p w14:paraId="69AF5677" w14:textId="652D1CA3" w:rsidR="00701DC5" w:rsidRDefault="00701DC5" w:rsidP="00C76DBA">
      <w:pPr>
        <w:pStyle w:val="ListParagraph"/>
        <w:numPr>
          <w:ilvl w:val="0"/>
          <w:numId w:val="31"/>
        </w:numPr>
        <w:ind w:left="0" w:firstLine="720"/>
        <w:jc w:val="both"/>
        <w:rPr>
          <w:i/>
          <w:szCs w:val="28"/>
        </w:rPr>
      </w:pPr>
      <w:r>
        <w:rPr>
          <w:i/>
          <w:szCs w:val="28"/>
        </w:rPr>
        <w:t xml:space="preserve">ierobežojot vai samazinot </w:t>
      </w:r>
      <w:r w:rsidR="00C76DBA">
        <w:rPr>
          <w:i/>
          <w:szCs w:val="28"/>
        </w:rPr>
        <w:t>k</w:t>
      </w:r>
      <w:r w:rsidR="00C76DBA" w:rsidRPr="00C76DBA">
        <w:rPr>
          <w:i/>
          <w:szCs w:val="28"/>
        </w:rPr>
        <w:t>adastrālās vērtības atbilstības koeficient</w:t>
      </w:r>
      <w:r w:rsidR="00C76DBA">
        <w:rPr>
          <w:i/>
          <w:szCs w:val="28"/>
        </w:rPr>
        <w:t>u</w:t>
      </w:r>
      <w:r w:rsidR="00C76DBA" w:rsidRPr="00C76DBA">
        <w:rPr>
          <w:i/>
          <w:szCs w:val="28"/>
        </w:rPr>
        <w:t xml:space="preserve"> nekustamā īpašuma tirgus cenām</w:t>
      </w:r>
      <w:r w:rsidR="00C76DBA">
        <w:rPr>
          <w:i/>
          <w:szCs w:val="28"/>
        </w:rPr>
        <w:t>;</w:t>
      </w:r>
    </w:p>
    <w:p w14:paraId="5E41E0B1" w14:textId="4AB6E128" w:rsidR="00A87AFF" w:rsidRPr="00A87AFF" w:rsidRDefault="00A87AFF" w:rsidP="00A87AFF">
      <w:pPr>
        <w:pStyle w:val="ListParagraph"/>
        <w:numPr>
          <w:ilvl w:val="0"/>
          <w:numId w:val="31"/>
        </w:numPr>
        <w:tabs>
          <w:tab w:val="left" w:pos="1134"/>
        </w:tabs>
        <w:ind w:left="0" w:firstLine="720"/>
        <w:jc w:val="both"/>
        <w:rPr>
          <w:i/>
          <w:szCs w:val="28"/>
        </w:rPr>
      </w:pPr>
      <w:r w:rsidRPr="00A87AFF">
        <w:rPr>
          <w:i/>
          <w:szCs w:val="28"/>
        </w:rPr>
        <w:t>palielinot pašvaldību rīcībā esošo</w:t>
      </w:r>
      <w:r w:rsidR="004F56EC">
        <w:rPr>
          <w:i/>
          <w:szCs w:val="28"/>
        </w:rPr>
        <w:t>s</w:t>
      </w:r>
      <w:r w:rsidRPr="00A87AFF">
        <w:rPr>
          <w:i/>
          <w:szCs w:val="28"/>
        </w:rPr>
        <w:t xml:space="preserve"> instrumentu</w:t>
      </w:r>
      <w:r w:rsidR="004F56EC">
        <w:rPr>
          <w:i/>
          <w:szCs w:val="28"/>
        </w:rPr>
        <w:t>s</w:t>
      </w:r>
      <w:r w:rsidRPr="00A87AFF">
        <w:rPr>
          <w:i/>
          <w:szCs w:val="28"/>
        </w:rPr>
        <w:t xml:space="preserve"> (atlaides) balstoties uz to, ka pašvaldības vislabāk pārzina vietējo situāciju un nodokļa maksātāju vajadzības un iespējas.</w:t>
      </w:r>
    </w:p>
    <w:p w14:paraId="5E1CC362" w14:textId="77777777" w:rsidR="00563224" w:rsidRDefault="00563224" w:rsidP="00427C56">
      <w:pPr>
        <w:ind w:firstLine="709"/>
        <w:jc w:val="both"/>
        <w:rPr>
          <w:szCs w:val="28"/>
        </w:rPr>
      </w:pPr>
    </w:p>
    <w:p w14:paraId="65159A2E" w14:textId="77777777" w:rsidR="006A0F96" w:rsidRPr="00012A2F" w:rsidRDefault="00DE01EA" w:rsidP="00012A2F">
      <w:pPr>
        <w:ind w:firstLine="709"/>
        <w:jc w:val="both"/>
        <w:rPr>
          <w:b/>
          <w:szCs w:val="28"/>
        </w:rPr>
      </w:pPr>
      <w:r>
        <w:rPr>
          <w:b/>
          <w:szCs w:val="28"/>
        </w:rPr>
        <w:t>3</w:t>
      </w:r>
      <w:r w:rsidR="00012A2F">
        <w:rPr>
          <w:b/>
          <w:szCs w:val="28"/>
        </w:rPr>
        <w:t>. Veicamie pasākumi un n</w:t>
      </w:r>
      <w:r w:rsidR="006A0F96" w:rsidRPr="00012A2F">
        <w:rPr>
          <w:b/>
          <w:szCs w:val="28"/>
        </w:rPr>
        <w:t>epieciešamie grozījumi normatīvajos aktos</w:t>
      </w:r>
    </w:p>
    <w:p w14:paraId="08C8C2C3" w14:textId="77777777" w:rsidR="00BA093B" w:rsidRDefault="00564299" w:rsidP="00083846">
      <w:pPr>
        <w:tabs>
          <w:tab w:val="left" w:pos="6379"/>
        </w:tabs>
        <w:ind w:firstLine="720"/>
        <w:jc w:val="both"/>
        <w:rPr>
          <w:szCs w:val="28"/>
        </w:rPr>
      </w:pPr>
      <w:r w:rsidRPr="00E2397F">
        <w:rPr>
          <w:szCs w:val="28"/>
        </w:rPr>
        <w:t xml:space="preserve">Vērtējot pašreizējo situāciju un modelējot nākotnē iespējamos </w:t>
      </w:r>
      <w:r w:rsidR="00BA093B">
        <w:rPr>
          <w:szCs w:val="28"/>
        </w:rPr>
        <w:t>risinājumus</w:t>
      </w:r>
      <w:r w:rsidRPr="00E2397F">
        <w:rPr>
          <w:szCs w:val="28"/>
        </w:rPr>
        <w:t>, esam secinājuši, ka</w:t>
      </w:r>
      <w:r w:rsidR="00BB0902" w:rsidRPr="00E2397F">
        <w:rPr>
          <w:szCs w:val="28"/>
        </w:rPr>
        <w:t xml:space="preserve">, ja </w:t>
      </w:r>
      <w:r w:rsidR="00F30E69">
        <w:rPr>
          <w:szCs w:val="28"/>
        </w:rPr>
        <w:t>ne</w:t>
      </w:r>
      <w:r w:rsidR="00BB0902" w:rsidRPr="00E2397F">
        <w:rPr>
          <w:szCs w:val="28"/>
        </w:rPr>
        <w:t>tiek veikti būtiski uzlabojumi kadastrālās v</w:t>
      </w:r>
      <w:r w:rsidR="00BA093B">
        <w:rPr>
          <w:szCs w:val="28"/>
        </w:rPr>
        <w:t xml:space="preserve">ērtēšanas metodes pilnveidošanā un mazināta dažādība nekustamo īpašumu struktūrā, </w:t>
      </w:r>
      <w:r w:rsidRPr="00E2397F">
        <w:rPr>
          <w:szCs w:val="28"/>
        </w:rPr>
        <w:t xml:space="preserve"> nav iespējams tikai ar nekustamā īpašuma nodokļa</w:t>
      </w:r>
      <w:r w:rsidR="00890EEA">
        <w:rPr>
          <w:szCs w:val="28"/>
        </w:rPr>
        <w:t xml:space="preserve"> </w:t>
      </w:r>
      <w:r w:rsidR="00BA093B">
        <w:rPr>
          <w:szCs w:val="28"/>
        </w:rPr>
        <w:t>politikas</w:t>
      </w:r>
      <w:r w:rsidRPr="00E2397F">
        <w:rPr>
          <w:szCs w:val="28"/>
        </w:rPr>
        <w:t xml:space="preserve"> izmaiņām ierobežot, stabilizēt un sabalansēt pieaugošo nekustamā īpašuma nodok</w:t>
      </w:r>
      <w:r w:rsidR="00890EEA">
        <w:rPr>
          <w:szCs w:val="28"/>
        </w:rPr>
        <w:t>ļa slogu.</w:t>
      </w:r>
      <w:r w:rsidRPr="00E2397F">
        <w:rPr>
          <w:szCs w:val="28"/>
        </w:rPr>
        <w:t xml:space="preserve"> </w:t>
      </w:r>
      <w:r w:rsidR="00890EEA">
        <w:rPr>
          <w:szCs w:val="28"/>
        </w:rPr>
        <w:t>No</w:t>
      </w:r>
      <w:r w:rsidR="00083846">
        <w:rPr>
          <w:szCs w:val="28"/>
        </w:rPr>
        <w:t>dokļu sloga neproporcionālu (</w:t>
      </w:r>
      <w:r w:rsidR="00890EEA">
        <w:rPr>
          <w:szCs w:val="28"/>
        </w:rPr>
        <w:t xml:space="preserve">atsevišķos gadījumos – neadekvāti lielu) pieaugumu primāri nosaka </w:t>
      </w:r>
      <w:r w:rsidRPr="00E2397F">
        <w:rPr>
          <w:szCs w:val="28"/>
        </w:rPr>
        <w:t xml:space="preserve">strauji augoša nodokļa bāze – kadastrālā vērtība. </w:t>
      </w:r>
      <w:r w:rsidR="009B21F9" w:rsidRPr="00E2397F">
        <w:rPr>
          <w:szCs w:val="28"/>
        </w:rPr>
        <w:t>Veicot izmaiņas kadastrālās vērtēšanas sistēmā un metodēs, ir nepieciešams nodrošināt samērīgu kadastrālās vērtības pieaugumu tieši t</w:t>
      </w:r>
      <w:r w:rsidR="00804F8A" w:rsidRPr="00E2397F">
        <w:rPr>
          <w:szCs w:val="28"/>
        </w:rPr>
        <w:t>aj</w:t>
      </w:r>
      <w:r w:rsidR="009B21F9" w:rsidRPr="00E2397F">
        <w:rPr>
          <w:szCs w:val="28"/>
        </w:rPr>
        <w:t>os nekustamā īpašuma segmentos, kuros līdz šim ir bijusi lielākā kadastrālo vērtību neatbilstība tirgus vērtīb</w:t>
      </w:r>
      <w:r w:rsidR="00804F8A" w:rsidRPr="00E2397F">
        <w:rPr>
          <w:szCs w:val="28"/>
        </w:rPr>
        <w:t>ai</w:t>
      </w:r>
      <w:r w:rsidR="009B21F9" w:rsidRPr="00E2397F">
        <w:rPr>
          <w:szCs w:val="28"/>
        </w:rPr>
        <w:t>.</w:t>
      </w:r>
      <w:r w:rsidRPr="00E2397F">
        <w:rPr>
          <w:szCs w:val="28"/>
        </w:rPr>
        <w:t xml:space="preserve"> </w:t>
      </w:r>
    </w:p>
    <w:p w14:paraId="18E46379" w14:textId="77777777" w:rsidR="00BA093B" w:rsidRDefault="00564299" w:rsidP="000763D5">
      <w:pPr>
        <w:tabs>
          <w:tab w:val="left" w:pos="6379"/>
        </w:tabs>
        <w:ind w:firstLine="720"/>
        <w:jc w:val="both"/>
        <w:rPr>
          <w:szCs w:val="28"/>
        </w:rPr>
      </w:pPr>
      <w:r w:rsidRPr="00E2397F">
        <w:rPr>
          <w:szCs w:val="28"/>
        </w:rPr>
        <w:t>Tādējādi</w:t>
      </w:r>
      <w:r w:rsidR="006333E1">
        <w:rPr>
          <w:szCs w:val="28"/>
        </w:rPr>
        <w:t>, saskaņā ar informatīvā ziņojuma 2.3.punktu,</w:t>
      </w:r>
      <w:r w:rsidRPr="00E2397F">
        <w:rPr>
          <w:szCs w:val="28"/>
        </w:rPr>
        <w:t xml:space="preserve"> </w:t>
      </w:r>
      <w:r w:rsidR="00BA093B">
        <w:rPr>
          <w:szCs w:val="28"/>
        </w:rPr>
        <w:t>būtu</w:t>
      </w:r>
      <w:r w:rsidRPr="00E2397F">
        <w:rPr>
          <w:szCs w:val="28"/>
        </w:rPr>
        <w:t xml:space="preserve"> nepieciešams veikt </w:t>
      </w:r>
      <w:r w:rsidR="006333E1">
        <w:rPr>
          <w:szCs w:val="28"/>
          <w:u w:val="single"/>
        </w:rPr>
        <w:t>g</w:t>
      </w:r>
      <w:r w:rsidR="00BA093B">
        <w:rPr>
          <w:szCs w:val="28"/>
          <w:u w:val="single"/>
        </w:rPr>
        <w:t>rozījumus</w:t>
      </w:r>
      <w:r w:rsidR="00BA093B" w:rsidRPr="005770F3">
        <w:rPr>
          <w:szCs w:val="28"/>
          <w:u w:val="single"/>
        </w:rPr>
        <w:t xml:space="preserve"> normatīvajos aktos</w:t>
      </w:r>
      <w:r w:rsidR="00BA093B" w:rsidRPr="005770F3">
        <w:rPr>
          <w:szCs w:val="28"/>
        </w:rPr>
        <w:t xml:space="preserve"> (dažādos likumos un Ministru kabineta noteikumos atbilstoši informatīv</w:t>
      </w:r>
      <w:r w:rsidR="00BA093B">
        <w:rPr>
          <w:szCs w:val="28"/>
        </w:rPr>
        <w:t>aj</w:t>
      </w:r>
      <w:r w:rsidR="00BA093B" w:rsidRPr="005770F3">
        <w:rPr>
          <w:szCs w:val="28"/>
        </w:rPr>
        <w:t>ā ziņojum</w:t>
      </w:r>
      <w:r w:rsidR="00BA093B">
        <w:rPr>
          <w:szCs w:val="28"/>
        </w:rPr>
        <w:t>ā</w:t>
      </w:r>
      <w:r w:rsidR="00BA093B" w:rsidRPr="005770F3">
        <w:rPr>
          <w:szCs w:val="28"/>
        </w:rPr>
        <w:t xml:space="preserve"> minētajam)</w:t>
      </w:r>
      <w:r w:rsidR="006333E1">
        <w:rPr>
          <w:szCs w:val="28"/>
        </w:rPr>
        <w:t>,</w:t>
      </w:r>
      <w:r w:rsidR="00BA093B" w:rsidRPr="005770F3">
        <w:rPr>
          <w:szCs w:val="28"/>
        </w:rPr>
        <w:t xml:space="preserve"> lai pilnveidotu kadastrālās vērtēšanas kritērijus, principus un metodes, ar kurām nodrošinātu mērenu un pakāpenisku kadastrālo vērtību pieaugumu dzīvojamās apbūves zemēm, tādējādi ierobežojot straujas kadastrālās vērtības pieaugumu šim nekustamā īpašuma segmentam.</w:t>
      </w:r>
    </w:p>
    <w:p w14:paraId="0CC8C804" w14:textId="77777777" w:rsidR="005770F3" w:rsidRPr="005770F3" w:rsidRDefault="005770F3" w:rsidP="00757DD9">
      <w:pPr>
        <w:jc w:val="both"/>
        <w:rPr>
          <w:szCs w:val="28"/>
        </w:rPr>
      </w:pPr>
    </w:p>
    <w:p w14:paraId="54D0C0E3" w14:textId="77777777" w:rsidR="0003383C" w:rsidRDefault="0003383C" w:rsidP="0003383C">
      <w:pPr>
        <w:ind w:firstLine="720"/>
        <w:jc w:val="both"/>
        <w:rPr>
          <w:szCs w:val="28"/>
        </w:rPr>
      </w:pPr>
      <w:r>
        <w:rPr>
          <w:szCs w:val="28"/>
        </w:rPr>
        <w:t>Attiecībā uz 2018. un 2019.gadā aprēķināmo nekustamā īpašuma nodokli, spēkā paliek līdzšinējā nekustamā īpašuma nodokļa aprēķināšanas kārtība, t.i., kadastrālā vērtība netiek aktualizēta (izņemot informatīvā ziņojuma 2.3.punktā minētajos izņēmuma gadījumos), likumā noteiktās nodokļa likmes netiek mainītas un pašvaldībām netiek ierobežotas likumā noteiktās tiesības likmju un atvieglojumu piemērošanai. 2019.gadā tiks izstrādāts attiecīgais normatīvo aktu regulējums (grozījumi normatīvajos aktos, saistībā ar kadastrālo vērtību noteikšanas metodiku), ar kuru tiks noteikta kadastrālo vērtību bāze 2020. – 2023.gadam.</w:t>
      </w:r>
      <w:r w:rsidRPr="005770F3">
        <w:t xml:space="preserve"> </w:t>
      </w:r>
      <w:r w:rsidRPr="005770F3">
        <w:rPr>
          <w:szCs w:val="28"/>
        </w:rPr>
        <w:t xml:space="preserve">Lai ar </w:t>
      </w:r>
      <w:r>
        <w:rPr>
          <w:szCs w:val="28"/>
        </w:rPr>
        <w:t xml:space="preserve">nākošo taksācijas </w:t>
      </w:r>
      <w:r w:rsidRPr="005770F3">
        <w:rPr>
          <w:szCs w:val="28"/>
        </w:rPr>
        <w:t>gadu spēkā stātos jaun</w:t>
      </w:r>
      <w:r>
        <w:rPr>
          <w:szCs w:val="28"/>
        </w:rPr>
        <w:t>s normatīvo aktu regulējums attiecībā</w:t>
      </w:r>
      <w:r w:rsidRPr="005770F3">
        <w:rPr>
          <w:szCs w:val="28"/>
        </w:rPr>
        <w:t xml:space="preserve"> </w:t>
      </w:r>
      <w:r>
        <w:rPr>
          <w:szCs w:val="28"/>
        </w:rPr>
        <w:t xml:space="preserve">uz </w:t>
      </w:r>
      <w:r w:rsidRPr="005770F3">
        <w:rPr>
          <w:szCs w:val="28"/>
        </w:rPr>
        <w:t xml:space="preserve">nekustamā īpašuma nodokļa </w:t>
      </w:r>
      <w:r>
        <w:rPr>
          <w:szCs w:val="28"/>
        </w:rPr>
        <w:t>samērīga pieauguma nodrošināšanu</w:t>
      </w:r>
      <w:r w:rsidRPr="005770F3">
        <w:rPr>
          <w:szCs w:val="28"/>
        </w:rPr>
        <w:t xml:space="preserve">, Saeimai grozījumi </w:t>
      </w:r>
      <w:r>
        <w:rPr>
          <w:szCs w:val="28"/>
        </w:rPr>
        <w:t>normatīvajos aktos</w:t>
      </w:r>
      <w:r w:rsidRPr="005770F3">
        <w:rPr>
          <w:szCs w:val="28"/>
        </w:rPr>
        <w:t xml:space="preserve"> ir jāpieņem līdz pirmstaksācijas gada 1.jū</w:t>
      </w:r>
      <w:r>
        <w:rPr>
          <w:szCs w:val="28"/>
        </w:rPr>
        <w:t>n</w:t>
      </w:r>
      <w:r w:rsidRPr="005770F3">
        <w:rPr>
          <w:szCs w:val="28"/>
        </w:rPr>
        <w:t xml:space="preserve">ijam.  </w:t>
      </w:r>
    </w:p>
    <w:p w14:paraId="66019B7A" w14:textId="77777777" w:rsidR="008C6B90" w:rsidRDefault="008C6B90" w:rsidP="001F6F7E">
      <w:pPr>
        <w:ind w:firstLine="72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7490"/>
      </w:tblGrid>
      <w:tr w:rsidR="008C6B90" w14:paraId="5422DCFA" w14:textId="77777777" w:rsidTr="008C6B90">
        <w:tc>
          <w:tcPr>
            <w:tcW w:w="1317" w:type="dxa"/>
          </w:tcPr>
          <w:p w14:paraId="66B675CE" w14:textId="77777777" w:rsidR="008C6B90" w:rsidRDefault="008C6B90" w:rsidP="008C6B90">
            <w:pPr>
              <w:ind w:left="-113" w:right="-91"/>
              <w:jc w:val="both"/>
              <w:rPr>
                <w:szCs w:val="28"/>
              </w:rPr>
            </w:pPr>
            <w:r>
              <w:rPr>
                <w:szCs w:val="28"/>
              </w:rPr>
              <w:t>Pielikumā:</w:t>
            </w:r>
          </w:p>
        </w:tc>
        <w:tc>
          <w:tcPr>
            <w:tcW w:w="7490" w:type="dxa"/>
          </w:tcPr>
          <w:p w14:paraId="00D23B8D" w14:textId="77777777" w:rsidR="009979D0" w:rsidRPr="009979D0" w:rsidRDefault="009979D0" w:rsidP="00CC1EB0">
            <w:pPr>
              <w:pStyle w:val="ListParagraph"/>
              <w:numPr>
                <w:ilvl w:val="0"/>
                <w:numId w:val="25"/>
              </w:numPr>
              <w:tabs>
                <w:tab w:val="left" w:pos="135"/>
              </w:tabs>
              <w:ind w:left="276" w:hanging="283"/>
              <w:jc w:val="both"/>
              <w:rPr>
                <w:szCs w:val="28"/>
              </w:rPr>
            </w:pPr>
            <w:r>
              <w:rPr>
                <w:szCs w:val="28"/>
              </w:rPr>
              <w:t>I</w:t>
            </w:r>
            <w:r w:rsidRPr="009979D0">
              <w:rPr>
                <w:szCs w:val="28"/>
              </w:rPr>
              <w:t>nformatīvā tabula “</w:t>
            </w:r>
            <w:r w:rsidR="00CC1EB0" w:rsidRPr="00CC1EB0">
              <w:rPr>
                <w:szCs w:val="28"/>
              </w:rPr>
              <w:t>Nekustamā īpašuma nodokļa prognoze, kuru ņem vērā pašvaldību finanšu izlīdzināšanā, un izpilde 2016.gadā</w:t>
            </w:r>
            <w:r w:rsidRPr="009979D0">
              <w:rPr>
                <w:szCs w:val="28"/>
              </w:rPr>
              <w:t>”</w:t>
            </w:r>
            <w:r>
              <w:rPr>
                <w:szCs w:val="28"/>
              </w:rPr>
              <w:t xml:space="preserve"> (datne: NĪN_progn</w:t>
            </w:r>
            <w:r w:rsidR="00A91894">
              <w:rPr>
                <w:szCs w:val="28"/>
              </w:rPr>
              <w:t>&amp;</w:t>
            </w:r>
            <w:r>
              <w:rPr>
                <w:szCs w:val="28"/>
              </w:rPr>
              <w:t xml:space="preserve">izpilde_2016.xlsx) uz 3 </w:t>
            </w:r>
            <w:proofErr w:type="spellStart"/>
            <w:r>
              <w:rPr>
                <w:szCs w:val="28"/>
              </w:rPr>
              <w:t>lpp</w:t>
            </w:r>
            <w:proofErr w:type="spellEnd"/>
            <w:r>
              <w:rPr>
                <w:szCs w:val="28"/>
              </w:rPr>
              <w:t>;</w:t>
            </w:r>
          </w:p>
          <w:p w14:paraId="1C43504A" w14:textId="77777777" w:rsidR="00453C0F" w:rsidRPr="00453C0F" w:rsidRDefault="00453C0F" w:rsidP="009979D0">
            <w:pPr>
              <w:pStyle w:val="ListParagraph"/>
              <w:numPr>
                <w:ilvl w:val="0"/>
                <w:numId w:val="25"/>
              </w:numPr>
              <w:ind w:left="276" w:hanging="283"/>
              <w:jc w:val="both"/>
              <w:rPr>
                <w:szCs w:val="28"/>
              </w:rPr>
            </w:pPr>
            <w:r>
              <w:t>I</w:t>
            </w:r>
            <w:r w:rsidRPr="00453C0F">
              <w:rPr>
                <w:szCs w:val="28"/>
              </w:rPr>
              <w:t>nformatīvā tabula “Pašvaldību 2016.gada izdevumi sociālajiem pabalstiem, EUR”</w:t>
            </w:r>
            <w:r w:rsidR="008C6B90" w:rsidRPr="00453C0F">
              <w:rPr>
                <w:szCs w:val="28"/>
              </w:rPr>
              <w:t xml:space="preserve"> </w:t>
            </w:r>
            <w:r>
              <w:rPr>
                <w:szCs w:val="28"/>
              </w:rPr>
              <w:t xml:space="preserve">(datne: Soc_pabalsti_2016.xlsx) uz </w:t>
            </w:r>
            <w:r w:rsidR="0051568C">
              <w:rPr>
                <w:szCs w:val="28"/>
              </w:rPr>
              <w:t xml:space="preserve">3 </w:t>
            </w:r>
            <w:proofErr w:type="spellStart"/>
            <w:r w:rsidR="0051568C">
              <w:rPr>
                <w:szCs w:val="28"/>
              </w:rPr>
              <w:t>lpp</w:t>
            </w:r>
            <w:proofErr w:type="spellEnd"/>
            <w:r w:rsidR="0051568C">
              <w:rPr>
                <w:szCs w:val="28"/>
              </w:rPr>
              <w:t>;</w:t>
            </w:r>
          </w:p>
          <w:p w14:paraId="5D6BE5F9" w14:textId="77777777" w:rsidR="008C6B90" w:rsidRDefault="009979D0" w:rsidP="009979D0">
            <w:pPr>
              <w:tabs>
                <w:tab w:val="left" w:pos="135"/>
                <w:tab w:val="left" w:pos="1418"/>
              </w:tabs>
              <w:ind w:left="276" w:hanging="283"/>
              <w:jc w:val="both"/>
              <w:rPr>
                <w:szCs w:val="28"/>
              </w:rPr>
            </w:pPr>
            <w:r>
              <w:rPr>
                <w:szCs w:val="28"/>
              </w:rPr>
              <w:t>3</w:t>
            </w:r>
            <w:r w:rsidR="0051568C">
              <w:rPr>
                <w:szCs w:val="28"/>
              </w:rPr>
              <w:t xml:space="preserve">. </w:t>
            </w:r>
            <w:r w:rsidR="008C6B90" w:rsidRPr="008C6B90">
              <w:rPr>
                <w:szCs w:val="28"/>
              </w:rPr>
              <w:t>Informatīvā karte “Individuālās apbūves zemes bāzes vērtību līmeņi (</w:t>
            </w:r>
            <w:proofErr w:type="spellStart"/>
            <w:r w:rsidR="008C6B90" w:rsidRPr="003E3C58">
              <w:rPr>
                <w:szCs w:val="28"/>
              </w:rPr>
              <w:t>euro</w:t>
            </w:r>
            <w:proofErr w:type="spellEnd"/>
            <w:r w:rsidR="008C6B90" w:rsidRPr="008C6B90">
              <w:rPr>
                <w:szCs w:val="28"/>
              </w:rPr>
              <w:t>/m</w:t>
            </w:r>
            <w:r w:rsidR="008C6B90" w:rsidRPr="00F4753B">
              <w:rPr>
                <w:szCs w:val="28"/>
                <w:vertAlign w:val="superscript"/>
              </w:rPr>
              <w:t>2</w:t>
            </w:r>
            <w:r w:rsidR="008C6B90" w:rsidRPr="008C6B90">
              <w:rPr>
                <w:szCs w:val="28"/>
              </w:rPr>
              <w:t xml:space="preserve">)” </w:t>
            </w:r>
            <w:r w:rsidR="008C6B90">
              <w:rPr>
                <w:szCs w:val="28"/>
              </w:rPr>
              <w:t xml:space="preserve">(datne: </w:t>
            </w:r>
            <w:r w:rsidR="008C6B90" w:rsidRPr="008C6B90">
              <w:rPr>
                <w:szCs w:val="28"/>
              </w:rPr>
              <w:t>FMinf_</w:t>
            </w:r>
            <w:r w:rsidR="00DD04EC">
              <w:rPr>
                <w:szCs w:val="28"/>
              </w:rPr>
              <w:t>230317</w:t>
            </w:r>
            <w:r w:rsidR="008C6B90" w:rsidRPr="008C6B90">
              <w:rPr>
                <w:szCs w:val="28"/>
              </w:rPr>
              <w:t>_Latvija.p</w:t>
            </w:r>
            <w:r w:rsidR="00DD04EC">
              <w:rPr>
                <w:szCs w:val="28"/>
              </w:rPr>
              <w:t>ng</w:t>
            </w:r>
            <w:r w:rsidR="008C6B90">
              <w:rPr>
                <w:szCs w:val="28"/>
              </w:rPr>
              <w:t xml:space="preserve">) uz </w:t>
            </w:r>
            <w:r w:rsidR="00560D3F">
              <w:rPr>
                <w:szCs w:val="28"/>
              </w:rPr>
              <w:t xml:space="preserve">          </w:t>
            </w:r>
            <w:r w:rsidR="008C6B90">
              <w:rPr>
                <w:szCs w:val="28"/>
              </w:rPr>
              <w:t xml:space="preserve">1 </w:t>
            </w:r>
            <w:proofErr w:type="spellStart"/>
            <w:r w:rsidR="008C6B90">
              <w:rPr>
                <w:szCs w:val="28"/>
              </w:rPr>
              <w:t>lpp</w:t>
            </w:r>
            <w:proofErr w:type="spellEnd"/>
            <w:r w:rsidR="008C6B90">
              <w:rPr>
                <w:szCs w:val="28"/>
              </w:rPr>
              <w:t>;</w:t>
            </w:r>
          </w:p>
          <w:p w14:paraId="0F62648E" w14:textId="77777777" w:rsidR="008C6B90" w:rsidRDefault="009979D0" w:rsidP="009979D0">
            <w:pPr>
              <w:pStyle w:val="ListParagraph"/>
              <w:tabs>
                <w:tab w:val="left" w:pos="135"/>
              </w:tabs>
              <w:ind w:left="276" w:hanging="283"/>
              <w:jc w:val="both"/>
              <w:rPr>
                <w:szCs w:val="28"/>
              </w:rPr>
            </w:pPr>
            <w:r>
              <w:rPr>
                <w:szCs w:val="28"/>
              </w:rPr>
              <w:t>4</w:t>
            </w:r>
            <w:r w:rsidR="008C6B90">
              <w:rPr>
                <w:szCs w:val="28"/>
              </w:rPr>
              <w:t>. I</w:t>
            </w:r>
            <w:r w:rsidR="008C6B90" w:rsidRPr="008C6B90">
              <w:rPr>
                <w:szCs w:val="28"/>
              </w:rPr>
              <w:t xml:space="preserve">nformatīvā karte “Individuālās apbūves zemes bāzes vērtību </w:t>
            </w:r>
            <w:r w:rsidR="008C6B90">
              <w:rPr>
                <w:szCs w:val="28"/>
              </w:rPr>
              <w:t>līmeņi Rīgas reģionā (</w:t>
            </w:r>
            <w:proofErr w:type="spellStart"/>
            <w:r w:rsidR="008C6B90" w:rsidRPr="003E3C58">
              <w:rPr>
                <w:szCs w:val="28"/>
              </w:rPr>
              <w:t>euro</w:t>
            </w:r>
            <w:proofErr w:type="spellEnd"/>
            <w:r w:rsidR="008C6B90">
              <w:rPr>
                <w:szCs w:val="28"/>
              </w:rPr>
              <w:t>/m</w:t>
            </w:r>
            <w:r w:rsidR="008C6B90" w:rsidRPr="00F4753B">
              <w:rPr>
                <w:szCs w:val="28"/>
                <w:vertAlign w:val="superscript"/>
              </w:rPr>
              <w:t>2</w:t>
            </w:r>
            <w:r w:rsidR="008C6B90">
              <w:rPr>
                <w:szCs w:val="28"/>
              </w:rPr>
              <w:t>)”</w:t>
            </w:r>
            <w:r w:rsidR="008C6B90" w:rsidRPr="008C6B90">
              <w:rPr>
                <w:szCs w:val="28"/>
              </w:rPr>
              <w:t xml:space="preserve"> </w:t>
            </w:r>
            <w:r w:rsidR="008C6B90">
              <w:rPr>
                <w:szCs w:val="28"/>
              </w:rPr>
              <w:t xml:space="preserve">(datne: </w:t>
            </w:r>
            <w:r w:rsidR="008C6B90" w:rsidRPr="008C6B90">
              <w:rPr>
                <w:szCs w:val="28"/>
              </w:rPr>
              <w:t>FMinf_</w:t>
            </w:r>
            <w:r w:rsidR="00DD04EC">
              <w:rPr>
                <w:szCs w:val="28"/>
              </w:rPr>
              <w:t>230317</w:t>
            </w:r>
            <w:r w:rsidR="008C6B90" w:rsidRPr="008C6B90">
              <w:rPr>
                <w:szCs w:val="28"/>
              </w:rPr>
              <w:t>_</w:t>
            </w:r>
            <w:r w:rsidR="00DD04EC">
              <w:rPr>
                <w:szCs w:val="28"/>
              </w:rPr>
              <w:t>Ri</w:t>
            </w:r>
            <w:r w:rsidR="008C6B90">
              <w:rPr>
                <w:szCs w:val="28"/>
              </w:rPr>
              <w:t>ga</w:t>
            </w:r>
            <w:r w:rsidR="008C6B90" w:rsidRPr="008C6B90">
              <w:rPr>
                <w:szCs w:val="28"/>
              </w:rPr>
              <w:t>.p</w:t>
            </w:r>
            <w:r w:rsidR="00DD04EC">
              <w:rPr>
                <w:szCs w:val="28"/>
              </w:rPr>
              <w:t>ng</w:t>
            </w:r>
            <w:r w:rsidR="008C6B90">
              <w:rPr>
                <w:szCs w:val="28"/>
              </w:rPr>
              <w:t>) uz 1 lpp</w:t>
            </w:r>
            <w:r w:rsidR="00265E0F">
              <w:rPr>
                <w:szCs w:val="28"/>
              </w:rPr>
              <w:t>.</w:t>
            </w:r>
          </w:p>
          <w:p w14:paraId="4CB84459" w14:textId="77777777" w:rsidR="008C6B90" w:rsidRDefault="008C6B90" w:rsidP="00B57CE3">
            <w:pPr>
              <w:pStyle w:val="ListParagraph"/>
              <w:tabs>
                <w:tab w:val="left" w:pos="135"/>
              </w:tabs>
              <w:ind w:left="276" w:hanging="283"/>
              <w:jc w:val="both"/>
              <w:rPr>
                <w:szCs w:val="28"/>
              </w:rPr>
            </w:pPr>
          </w:p>
        </w:tc>
      </w:tr>
    </w:tbl>
    <w:p w14:paraId="58844A12" w14:textId="77777777" w:rsidR="00A0097A" w:rsidRPr="00E2397F" w:rsidRDefault="00A0097A" w:rsidP="00A0097A">
      <w:pPr>
        <w:ind w:firstLine="720"/>
        <w:jc w:val="both"/>
        <w:rPr>
          <w:szCs w:val="28"/>
        </w:rPr>
      </w:pPr>
    </w:p>
    <w:p w14:paraId="60369694" w14:textId="377ED24B" w:rsidR="00C1008D" w:rsidRDefault="00890FF4">
      <w:pPr>
        <w:jc w:val="both"/>
        <w:rPr>
          <w:noProof/>
          <w:szCs w:val="28"/>
        </w:rPr>
      </w:pPr>
      <w:r w:rsidRPr="00E2397F">
        <w:rPr>
          <w:noProof/>
          <w:szCs w:val="28"/>
        </w:rPr>
        <w:t>Finanšu ministre</w:t>
      </w:r>
      <w:r w:rsidR="00C1008D">
        <w:rPr>
          <w:noProof/>
          <w:szCs w:val="28"/>
        </w:rPr>
        <w:t xml:space="preserve">s vietā – </w:t>
      </w:r>
    </w:p>
    <w:p w14:paraId="661A79EA" w14:textId="7AA68B98" w:rsidR="000036F6" w:rsidRDefault="00C1008D" w:rsidP="00C1008D">
      <w:pPr>
        <w:tabs>
          <w:tab w:val="left" w:pos="7797"/>
        </w:tabs>
        <w:jc w:val="both"/>
        <w:rPr>
          <w:noProof/>
          <w:szCs w:val="28"/>
        </w:rPr>
      </w:pPr>
      <w:r>
        <w:rPr>
          <w:noProof/>
          <w:szCs w:val="28"/>
        </w:rPr>
        <w:t>Satiksmes ministrs</w:t>
      </w:r>
      <w:r>
        <w:rPr>
          <w:noProof/>
          <w:szCs w:val="28"/>
        </w:rPr>
        <w:tab/>
      </w:r>
      <w:bookmarkStart w:id="0" w:name="_GoBack"/>
      <w:bookmarkEnd w:id="0"/>
      <w:r>
        <w:rPr>
          <w:noProof/>
          <w:szCs w:val="28"/>
        </w:rPr>
        <w:t>U.Augulis</w:t>
      </w:r>
    </w:p>
    <w:p w14:paraId="20C3FCFF" w14:textId="77777777" w:rsidR="00F54784" w:rsidRDefault="00F54784">
      <w:pPr>
        <w:jc w:val="both"/>
        <w:rPr>
          <w:szCs w:val="28"/>
        </w:rPr>
      </w:pPr>
    </w:p>
    <w:p w14:paraId="19CD8733" w14:textId="77777777" w:rsidR="003169CB" w:rsidRDefault="003169CB">
      <w:pPr>
        <w:jc w:val="both"/>
        <w:rPr>
          <w:szCs w:val="28"/>
        </w:rPr>
      </w:pPr>
    </w:p>
    <w:p w14:paraId="315F9A6A" w14:textId="77777777" w:rsidR="003169CB" w:rsidRDefault="003169CB">
      <w:pPr>
        <w:jc w:val="both"/>
        <w:rPr>
          <w:szCs w:val="28"/>
        </w:rPr>
      </w:pPr>
    </w:p>
    <w:p w14:paraId="23DFE598" w14:textId="77777777" w:rsidR="00C502BF" w:rsidRDefault="00C502BF">
      <w:pPr>
        <w:jc w:val="both"/>
        <w:rPr>
          <w:szCs w:val="28"/>
        </w:rPr>
      </w:pPr>
    </w:p>
    <w:p w14:paraId="5F77C7CA" w14:textId="77777777" w:rsidR="00C502BF" w:rsidRDefault="00C502BF">
      <w:pPr>
        <w:jc w:val="both"/>
        <w:rPr>
          <w:szCs w:val="28"/>
        </w:rPr>
      </w:pPr>
    </w:p>
    <w:p w14:paraId="11388CD8" w14:textId="77777777" w:rsidR="00C502BF" w:rsidRDefault="00C502BF">
      <w:pPr>
        <w:jc w:val="both"/>
        <w:rPr>
          <w:szCs w:val="28"/>
        </w:rPr>
      </w:pPr>
    </w:p>
    <w:p w14:paraId="417FE2A1" w14:textId="77777777" w:rsidR="00C502BF" w:rsidRDefault="00C502BF">
      <w:pPr>
        <w:jc w:val="both"/>
        <w:rPr>
          <w:szCs w:val="28"/>
        </w:rPr>
      </w:pPr>
    </w:p>
    <w:p w14:paraId="6226221D" w14:textId="77777777" w:rsidR="00C502BF" w:rsidRDefault="00C502BF">
      <w:pPr>
        <w:jc w:val="both"/>
        <w:rPr>
          <w:szCs w:val="28"/>
        </w:rPr>
      </w:pPr>
    </w:p>
    <w:p w14:paraId="6BF79464" w14:textId="77777777" w:rsidR="00C502BF" w:rsidRDefault="00C502BF">
      <w:pPr>
        <w:jc w:val="both"/>
        <w:rPr>
          <w:szCs w:val="28"/>
        </w:rPr>
      </w:pPr>
    </w:p>
    <w:p w14:paraId="1404A2B6" w14:textId="77777777" w:rsidR="00C502BF" w:rsidRDefault="00C502BF">
      <w:pPr>
        <w:jc w:val="both"/>
        <w:rPr>
          <w:szCs w:val="28"/>
        </w:rPr>
      </w:pPr>
    </w:p>
    <w:p w14:paraId="3BB39FF6" w14:textId="77777777" w:rsidR="003169CB" w:rsidRDefault="003169CB">
      <w:pPr>
        <w:jc w:val="both"/>
        <w:rPr>
          <w:szCs w:val="28"/>
        </w:rPr>
      </w:pPr>
    </w:p>
    <w:p w14:paraId="750C76D5" w14:textId="77777777" w:rsidR="000C736D" w:rsidRPr="00523D34" w:rsidRDefault="00E250C6" w:rsidP="000C736D">
      <w:pPr>
        <w:suppressAutoHyphens w:val="0"/>
        <w:autoSpaceDN/>
        <w:jc w:val="both"/>
        <w:textAlignment w:val="auto"/>
        <w:rPr>
          <w:rFonts w:eastAsia="Times New Roman"/>
          <w:sz w:val="20"/>
          <w:szCs w:val="20"/>
        </w:rPr>
      </w:pPr>
      <w:r>
        <w:rPr>
          <w:rFonts w:eastAsia="Times New Roman"/>
          <w:sz w:val="20"/>
          <w:szCs w:val="20"/>
        </w:rPr>
        <w:t>Ozoliņa</w:t>
      </w:r>
      <w:r w:rsidR="00187580">
        <w:rPr>
          <w:rFonts w:eastAsia="Times New Roman"/>
          <w:sz w:val="20"/>
          <w:szCs w:val="20"/>
        </w:rPr>
        <w:t xml:space="preserve">, </w:t>
      </w:r>
      <w:r w:rsidR="000C736D" w:rsidRPr="00523D34">
        <w:rPr>
          <w:rFonts w:eastAsia="Times New Roman"/>
          <w:sz w:val="20"/>
          <w:szCs w:val="20"/>
        </w:rPr>
        <w:t>6709549</w:t>
      </w:r>
      <w:r w:rsidR="00187580">
        <w:rPr>
          <w:rFonts w:eastAsia="Times New Roman"/>
          <w:sz w:val="20"/>
          <w:szCs w:val="20"/>
        </w:rPr>
        <w:t>3</w:t>
      </w:r>
    </w:p>
    <w:p w14:paraId="7A37BABE" w14:textId="77777777" w:rsidR="00890E3D" w:rsidRPr="0076447B" w:rsidRDefault="00E01FF0" w:rsidP="00D23DEB">
      <w:pPr>
        <w:suppressAutoHyphens w:val="0"/>
        <w:autoSpaceDN/>
        <w:jc w:val="both"/>
        <w:textAlignment w:val="auto"/>
        <w:rPr>
          <w:sz w:val="22"/>
        </w:rPr>
      </w:pPr>
      <w:hyperlink r:id="rId10" w:history="1">
        <w:r w:rsidR="00E250C6" w:rsidRPr="00CA1A57">
          <w:rPr>
            <w:rStyle w:val="Hyperlink"/>
            <w:rFonts w:eastAsia="Times New Roman"/>
            <w:sz w:val="20"/>
            <w:szCs w:val="20"/>
          </w:rPr>
          <w:t>Agrita.Ozolina@fm.gov.lv</w:t>
        </w:r>
      </w:hyperlink>
      <w:r w:rsidR="000C736D" w:rsidRPr="000C736D">
        <w:rPr>
          <w:rFonts w:eastAsia="Times New Roman"/>
          <w:sz w:val="20"/>
          <w:szCs w:val="20"/>
        </w:rPr>
        <w:t xml:space="preserve"> </w:t>
      </w:r>
    </w:p>
    <w:sectPr w:rsidR="00890E3D" w:rsidRPr="0076447B" w:rsidSect="00C279EE">
      <w:headerReference w:type="even" r:id="rId11"/>
      <w:headerReference w:type="default" r:id="rId12"/>
      <w:footerReference w:type="even" r:id="rId13"/>
      <w:footerReference w:type="default" r:id="rId14"/>
      <w:headerReference w:type="first" r:id="rId15"/>
      <w:footerReference w:type="first" r:id="rId16"/>
      <w:pgSz w:w="11906" w:h="16838"/>
      <w:pgMar w:top="993" w:right="1133" w:bottom="993" w:left="1701" w:header="720" w:footer="30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B0A7E" w14:textId="77777777" w:rsidR="00E01FF0" w:rsidRDefault="00E01FF0">
      <w:r>
        <w:separator/>
      </w:r>
    </w:p>
  </w:endnote>
  <w:endnote w:type="continuationSeparator" w:id="0">
    <w:p w14:paraId="0A308D98" w14:textId="77777777" w:rsidR="00E01FF0" w:rsidRDefault="00E0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5540" w14:textId="7A8C3421" w:rsidR="00563224" w:rsidRPr="00523D34" w:rsidRDefault="003D3FC9" w:rsidP="008564C2">
    <w:pPr>
      <w:tabs>
        <w:tab w:val="center" w:pos="4153"/>
        <w:tab w:val="right" w:pos="8306"/>
      </w:tabs>
      <w:suppressAutoHyphens w:val="0"/>
      <w:autoSpaceDN/>
      <w:jc w:val="both"/>
      <w:textAlignment w:val="auto"/>
      <w:rPr>
        <w:sz w:val="20"/>
        <w:szCs w:val="20"/>
      </w:rPr>
    </w:pPr>
    <w:fldSimple w:instr=" FILENAME   \* MERGEFORMAT ">
      <w:r w:rsidR="00EE7DBA" w:rsidRPr="00EE7DBA">
        <w:rPr>
          <w:rFonts w:eastAsia="Times New Roman"/>
          <w:noProof/>
          <w:sz w:val="20"/>
          <w:szCs w:val="20"/>
        </w:rPr>
        <w:t>FMZin_050417_NIN.docx</w:t>
      </w:r>
    </w:fldSimple>
    <w:r w:rsidR="00563224">
      <w:rPr>
        <w:rFonts w:eastAsia="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64F0" w14:textId="6FB8BC7D" w:rsidR="00563224" w:rsidRPr="00865BC7" w:rsidRDefault="00E01FF0" w:rsidP="00865BC7">
    <w:pPr>
      <w:tabs>
        <w:tab w:val="center" w:pos="4153"/>
        <w:tab w:val="right" w:pos="8306"/>
      </w:tabs>
      <w:suppressAutoHyphens w:val="0"/>
      <w:autoSpaceDN/>
      <w:jc w:val="both"/>
      <w:textAlignment w:val="auto"/>
      <w:rPr>
        <w:sz w:val="20"/>
        <w:szCs w:val="20"/>
      </w:rPr>
    </w:pPr>
    <w:r>
      <w:fldChar w:fldCharType="begin"/>
    </w:r>
    <w:r>
      <w:instrText xml:space="preserve"> FILENAME   \* MERGEFORMAT </w:instrText>
    </w:r>
    <w:r>
      <w:fldChar w:fldCharType="separate"/>
    </w:r>
    <w:r w:rsidR="00EE7DBA" w:rsidRPr="00EE7DBA">
      <w:rPr>
        <w:rFonts w:eastAsia="Times New Roman"/>
        <w:noProof/>
        <w:sz w:val="20"/>
        <w:szCs w:val="20"/>
      </w:rPr>
      <w:t>FMZin_050417_NIN.docx</w:t>
    </w:r>
    <w:r>
      <w:rPr>
        <w:rFonts w:eastAsia="Times New Roman"/>
        <w:noProof/>
        <w:sz w:val="20"/>
        <w:szCs w:val="20"/>
      </w:rPr>
      <w:fldChar w:fldCharType="end"/>
    </w:r>
    <w:r w:rsidR="00563224">
      <w:rPr>
        <w:rFonts w:eastAsia="Times New Roman"/>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45CA" w14:textId="1D23F3D5" w:rsidR="00563224" w:rsidRPr="00523D34" w:rsidRDefault="003D3FC9" w:rsidP="00305B7A">
    <w:pPr>
      <w:tabs>
        <w:tab w:val="center" w:pos="4153"/>
        <w:tab w:val="right" w:pos="8306"/>
      </w:tabs>
      <w:suppressAutoHyphens w:val="0"/>
      <w:autoSpaceDN/>
      <w:jc w:val="both"/>
      <w:textAlignment w:val="auto"/>
      <w:rPr>
        <w:sz w:val="20"/>
        <w:szCs w:val="20"/>
      </w:rPr>
    </w:pPr>
    <w:fldSimple w:instr=" FILENAME   \* MERGEFORMAT ">
      <w:r w:rsidR="00EE7DBA" w:rsidRPr="00EE7DBA">
        <w:rPr>
          <w:rFonts w:eastAsia="Times New Roman"/>
          <w:noProof/>
          <w:sz w:val="20"/>
          <w:szCs w:val="20"/>
        </w:rPr>
        <w:t>FMZin_050417_NIN.docx</w:t>
      </w:r>
    </w:fldSimple>
    <w:r w:rsidR="00563224">
      <w:rPr>
        <w:rFonts w:eastAsia="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60B29" w14:textId="77777777" w:rsidR="00E01FF0" w:rsidRDefault="00E01FF0">
      <w:r>
        <w:rPr>
          <w:color w:val="000000"/>
        </w:rPr>
        <w:separator/>
      </w:r>
    </w:p>
  </w:footnote>
  <w:footnote w:type="continuationSeparator" w:id="0">
    <w:p w14:paraId="4AC95F66" w14:textId="77777777" w:rsidR="00E01FF0" w:rsidRDefault="00E01FF0">
      <w:r>
        <w:continuationSeparator/>
      </w:r>
    </w:p>
  </w:footnote>
  <w:footnote w:id="1">
    <w:p w14:paraId="63703491" w14:textId="77777777" w:rsidR="00563224" w:rsidRDefault="00563224" w:rsidP="000D51EF">
      <w:pPr>
        <w:pStyle w:val="FootnoteText"/>
      </w:pPr>
      <w:r>
        <w:rPr>
          <w:rStyle w:val="FootnoteReference"/>
        </w:rPr>
        <w:footnoteRef/>
      </w:r>
      <w:r>
        <w:t xml:space="preserve"> </w:t>
      </w:r>
      <w:r w:rsidRPr="000D51EF">
        <w:t>likum</w:t>
      </w:r>
      <w:r>
        <w:t>a</w:t>
      </w:r>
      <w:r w:rsidRPr="000D51EF">
        <w:t xml:space="preserve"> “Par nekustamā īpašuma nodokli</w:t>
      </w:r>
      <w:r>
        <w:t>” 2.panta pirmā daļa</w:t>
      </w:r>
    </w:p>
  </w:footnote>
  <w:footnote w:id="2">
    <w:p w14:paraId="629D7FDB" w14:textId="77777777" w:rsidR="00563224" w:rsidRDefault="00563224" w:rsidP="000F3E9C">
      <w:pPr>
        <w:pStyle w:val="FootnoteText"/>
      </w:pPr>
      <w:r>
        <w:rPr>
          <w:rStyle w:val="FootnoteReference"/>
        </w:rPr>
        <w:footnoteRef/>
      </w:r>
      <w:r>
        <w:t xml:space="preserve"> </w:t>
      </w:r>
      <w:r w:rsidRPr="000D51EF">
        <w:t>likum</w:t>
      </w:r>
      <w:r>
        <w:t>a</w:t>
      </w:r>
      <w:r w:rsidRPr="000D51EF">
        <w:t xml:space="preserve"> “Par nekustamā īpašuma nodokli</w:t>
      </w:r>
      <w:r>
        <w:t>” 3.panta trešā daļa</w:t>
      </w:r>
    </w:p>
  </w:footnote>
  <w:footnote w:id="3">
    <w:p w14:paraId="4F3EE4F3" w14:textId="77777777" w:rsidR="00563224" w:rsidRDefault="00563224" w:rsidP="000F3E9C">
      <w:pPr>
        <w:pStyle w:val="FootnoteText"/>
      </w:pPr>
      <w:r>
        <w:rPr>
          <w:rStyle w:val="FootnoteReference"/>
        </w:rPr>
        <w:footnoteRef/>
      </w:r>
      <w:r>
        <w:t xml:space="preserve"> </w:t>
      </w:r>
      <w:r w:rsidRPr="000D51EF">
        <w:t>likum</w:t>
      </w:r>
      <w:r>
        <w:t>a</w:t>
      </w:r>
      <w:r w:rsidRPr="000D51EF">
        <w:t xml:space="preserve"> “Par nekustamā īpašuma nodokli</w:t>
      </w:r>
      <w:r>
        <w:t>” 4.panta pirmā daļa</w:t>
      </w:r>
    </w:p>
  </w:footnote>
  <w:footnote w:id="4">
    <w:p w14:paraId="3AE229CD" w14:textId="77777777" w:rsidR="00563224" w:rsidRDefault="00563224" w:rsidP="000F3E9C">
      <w:pPr>
        <w:pStyle w:val="FootnoteText"/>
      </w:pPr>
      <w:r>
        <w:rPr>
          <w:rStyle w:val="FootnoteReference"/>
        </w:rPr>
        <w:footnoteRef/>
      </w:r>
      <w:r>
        <w:t xml:space="preserve"> </w:t>
      </w:r>
      <w:r w:rsidRPr="000D51EF">
        <w:t>likum</w:t>
      </w:r>
      <w:r>
        <w:t>a</w:t>
      </w:r>
      <w:r w:rsidRPr="000D51EF">
        <w:t xml:space="preserve"> “Par nekustamā īpašuma nodokli</w:t>
      </w:r>
      <w:r>
        <w:t>” 3.panta pirmā daļa</w:t>
      </w:r>
    </w:p>
  </w:footnote>
  <w:footnote w:id="5">
    <w:p w14:paraId="116A6A0D" w14:textId="77777777" w:rsidR="00563224" w:rsidRDefault="00563224" w:rsidP="00697E0D">
      <w:pPr>
        <w:pStyle w:val="FootnoteText"/>
      </w:pPr>
      <w:r>
        <w:rPr>
          <w:rStyle w:val="FootnoteReference"/>
        </w:rPr>
        <w:footnoteRef/>
      </w:r>
      <w:r>
        <w:t xml:space="preserve"> </w:t>
      </w:r>
      <w:r w:rsidRPr="000D51EF">
        <w:t>likum</w:t>
      </w:r>
      <w:r>
        <w:t>a</w:t>
      </w:r>
      <w:r w:rsidRPr="000D51EF">
        <w:t xml:space="preserve"> “Par nekustamā īpašuma nodokli</w:t>
      </w:r>
      <w:r>
        <w:t>” 5.panta 1.</w:t>
      </w:r>
      <w:r>
        <w:rPr>
          <w:vertAlign w:val="superscript"/>
        </w:rPr>
        <w:t>1</w:t>
      </w:r>
      <w:r>
        <w:t xml:space="preserve"> daļa</w:t>
      </w:r>
    </w:p>
  </w:footnote>
  <w:footnote w:id="6">
    <w:p w14:paraId="3A7340A0" w14:textId="77777777" w:rsidR="00563224" w:rsidRDefault="00563224" w:rsidP="00697E0D">
      <w:pPr>
        <w:pStyle w:val="FootnoteText"/>
      </w:pPr>
      <w:r>
        <w:rPr>
          <w:rStyle w:val="FootnoteReference"/>
        </w:rPr>
        <w:footnoteRef/>
      </w:r>
      <w:r>
        <w:t xml:space="preserve"> </w:t>
      </w:r>
      <w:r w:rsidRPr="000D51EF">
        <w:t>likum</w:t>
      </w:r>
      <w:r>
        <w:t>a</w:t>
      </w:r>
      <w:r w:rsidRPr="000D51EF">
        <w:t xml:space="preserve"> “Par nekustamā īpašuma nodokli</w:t>
      </w:r>
      <w:r>
        <w:t>” 5.panta 1.</w:t>
      </w:r>
      <w:r>
        <w:rPr>
          <w:vertAlign w:val="superscript"/>
        </w:rPr>
        <w:t>2</w:t>
      </w:r>
      <w:r>
        <w:t xml:space="preserve"> daļa</w:t>
      </w:r>
    </w:p>
  </w:footnote>
  <w:footnote w:id="7">
    <w:p w14:paraId="72831409" w14:textId="77777777" w:rsidR="00563224" w:rsidRDefault="00563224" w:rsidP="00A91A0E">
      <w:pPr>
        <w:pStyle w:val="FootnoteText"/>
      </w:pPr>
      <w:r>
        <w:rPr>
          <w:rStyle w:val="FootnoteReference"/>
        </w:rPr>
        <w:footnoteRef/>
      </w:r>
      <w:r>
        <w:t xml:space="preserve"> </w:t>
      </w:r>
      <w:r w:rsidRPr="000D51EF">
        <w:t>likum</w:t>
      </w:r>
      <w:r>
        <w:t>a</w:t>
      </w:r>
      <w:r w:rsidRPr="000D51EF">
        <w:t xml:space="preserve"> “Par nekustamā īpašuma nodokli</w:t>
      </w:r>
      <w:r>
        <w:t>” 5.panta 2.daļa</w:t>
      </w:r>
    </w:p>
  </w:footnote>
  <w:footnote w:id="8">
    <w:p w14:paraId="29A49C46" w14:textId="77777777" w:rsidR="00563224" w:rsidRDefault="00563224" w:rsidP="004E563F">
      <w:pPr>
        <w:pStyle w:val="FootnoteText"/>
      </w:pPr>
      <w:r>
        <w:rPr>
          <w:rStyle w:val="FootnoteReference"/>
        </w:rPr>
        <w:footnoteRef/>
      </w:r>
      <w:r>
        <w:t xml:space="preserve"> </w:t>
      </w:r>
      <w:r w:rsidRPr="000D51EF">
        <w:t>likum</w:t>
      </w:r>
      <w:r>
        <w:t>a</w:t>
      </w:r>
      <w:r w:rsidRPr="000D51EF">
        <w:t xml:space="preserve"> “Par nekustamā īpašuma nodokli</w:t>
      </w:r>
      <w:r>
        <w:t>” 8.panta 5.daļa</w:t>
      </w:r>
    </w:p>
  </w:footnote>
  <w:footnote w:id="9">
    <w:p w14:paraId="2B0BFEC6" w14:textId="77777777" w:rsidR="00563224" w:rsidRDefault="00563224" w:rsidP="00EA7EE3">
      <w:pPr>
        <w:pStyle w:val="FootnoteText"/>
      </w:pPr>
      <w:r>
        <w:rPr>
          <w:rStyle w:val="FootnoteReference"/>
        </w:rPr>
        <w:footnoteRef/>
      </w:r>
      <w:r>
        <w:t xml:space="preserve"> Deklarācija par Māra Kučinska vadītā Ministru kabineta iecerēto darbību, </w:t>
      </w:r>
      <w:r w:rsidRPr="00817B80">
        <w:t>Rīga, 2016. gada februāris</w:t>
      </w:r>
    </w:p>
  </w:footnote>
  <w:footnote w:id="10">
    <w:p w14:paraId="0639C780" w14:textId="77777777" w:rsidR="00563224" w:rsidRDefault="00563224" w:rsidP="00091A65">
      <w:pPr>
        <w:pStyle w:val="FootnoteText"/>
      </w:pPr>
      <w:r>
        <w:rPr>
          <w:rStyle w:val="FootnoteReference"/>
        </w:rPr>
        <w:footnoteRef/>
      </w:r>
      <w:r>
        <w:t xml:space="preserve"> </w:t>
      </w:r>
      <w:r w:rsidRPr="00091A65">
        <w:t>Pašvaldību finanšu izlīdzināšanas likuma 5.panta ceturt</w:t>
      </w:r>
      <w:r>
        <w:t>ā</w:t>
      </w:r>
      <w:r w:rsidRPr="00091A65">
        <w:t xml:space="preserve"> daļ</w:t>
      </w:r>
      <w:r>
        <w:t>a</w:t>
      </w:r>
    </w:p>
  </w:footnote>
  <w:footnote w:id="11">
    <w:p w14:paraId="71A73D9B" w14:textId="77777777" w:rsidR="00563224" w:rsidRDefault="00563224" w:rsidP="00166935">
      <w:pPr>
        <w:pStyle w:val="FootnoteText"/>
      </w:pPr>
      <w:r>
        <w:rPr>
          <w:rStyle w:val="FootnoteReference"/>
        </w:rPr>
        <w:footnoteRef/>
      </w:r>
      <w:r>
        <w:t xml:space="preserve"> </w:t>
      </w:r>
      <w:r w:rsidRPr="00166935">
        <w:t>Ministru kabineta 2016.gada 10.maija noteikum</w:t>
      </w:r>
      <w:r>
        <w:t>i</w:t>
      </w:r>
      <w:r w:rsidRPr="00166935">
        <w:t xml:space="preserve"> Nr.292 “Nekustamā īpašuma nodokļa ieņēmumu prognozes noteikšanas kārtība”</w:t>
      </w:r>
    </w:p>
  </w:footnote>
  <w:footnote w:id="12">
    <w:p w14:paraId="37F367C8" w14:textId="77777777" w:rsidR="00563224" w:rsidRDefault="00563224" w:rsidP="00166935">
      <w:pPr>
        <w:pStyle w:val="FootnoteText"/>
      </w:pPr>
      <w:r>
        <w:rPr>
          <w:rStyle w:val="FootnoteReference"/>
        </w:rPr>
        <w:footnoteRef/>
      </w:r>
      <w:r>
        <w:t xml:space="preserve"> </w:t>
      </w:r>
      <w:r w:rsidRPr="00166935">
        <w:t>Ministru kabineta 2016.gada 10.maija noteikumi Nr.292 “Nekustamā īpašuma nodokļa ieņēmumu prognozes noteikšanas kārtība”</w:t>
      </w:r>
    </w:p>
  </w:footnote>
  <w:footnote w:id="13">
    <w:p w14:paraId="0FE142E5" w14:textId="77777777" w:rsidR="00563224" w:rsidRDefault="00563224" w:rsidP="00166935">
      <w:pPr>
        <w:pStyle w:val="FootnoteText"/>
      </w:pPr>
      <w:r>
        <w:rPr>
          <w:rStyle w:val="FootnoteReference"/>
        </w:rPr>
        <w:footnoteRef/>
      </w:r>
      <w:r>
        <w:t xml:space="preserve"> </w:t>
      </w:r>
      <w:r w:rsidRPr="00166935">
        <w:t>Ministru kabin</w:t>
      </w:r>
      <w:r>
        <w:t>eta 2016.gada 10.maija noteikumu</w:t>
      </w:r>
      <w:r w:rsidRPr="00166935">
        <w:t xml:space="preserve"> Nr.292 “Nekustamā īpašuma nodokļa ieņēmumu prognozes noteikšanas kārtība”</w:t>
      </w:r>
      <w:r>
        <w:t xml:space="preserve"> 10.punkts</w:t>
      </w:r>
    </w:p>
  </w:footnote>
  <w:footnote w:id="14">
    <w:p w14:paraId="4FCFF97F" w14:textId="77777777" w:rsidR="00563224" w:rsidRDefault="00563224" w:rsidP="00462380">
      <w:pPr>
        <w:pStyle w:val="FootnoteText"/>
      </w:pPr>
      <w:r>
        <w:rPr>
          <w:rStyle w:val="FootnoteReference"/>
        </w:rPr>
        <w:footnoteRef/>
      </w:r>
      <w:r>
        <w:t xml:space="preserve"> </w:t>
      </w:r>
      <w:r w:rsidRPr="00166935">
        <w:t>Ministru kabin</w:t>
      </w:r>
      <w:r>
        <w:t>eta 2016.gada 10.maija noteikumu</w:t>
      </w:r>
      <w:r w:rsidRPr="00166935">
        <w:t xml:space="preserve"> Nr.292 “Nekustamā īpašuma nodokļa ieņēmumu prognozes noteikšanas kārtība”</w:t>
      </w:r>
      <w:r>
        <w:t xml:space="preserve"> 8.punkts</w:t>
      </w:r>
    </w:p>
  </w:footnote>
  <w:footnote w:id="15">
    <w:p w14:paraId="78A360B7" w14:textId="77777777" w:rsidR="00563224" w:rsidRDefault="00563224" w:rsidP="00C0428A">
      <w:pPr>
        <w:pStyle w:val="FootnoteText"/>
      </w:pPr>
      <w:r>
        <w:rPr>
          <w:rStyle w:val="FootnoteReference"/>
        </w:rPr>
        <w:footnoteRef/>
      </w:r>
      <w:r>
        <w:t xml:space="preserve"> </w:t>
      </w:r>
      <w:r>
        <w:rPr>
          <w:szCs w:val="28"/>
        </w:rPr>
        <w:t>likumam “Par pašvaldībām”</w:t>
      </w:r>
      <w:r>
        <w:t xml:space="preserve"> 15.pants</w:t>
      </w:r>
    </w:p>
  </w:footnote>
  <w:footnote w:id="16">
    <w:p w14:paraId="2EC235AE" w14:textId="77777777" w:rsidR="00563224" w:rsidRPr="00183F7E" w:rsidRDefault="00563224" w:rsidP="00096E4E">
      <w:pPr>
        <w:pStyle w:val="FootnoteText"/>
        <w:jc w:val="both"/>
      </w:pPr>
      <w:r>
        <w:rPr>
          <w:rStyle w:val="FootnoteReference"/>
        </w:rPr>
        <w:footnoteRef/>
      </w:r>
      <w:r>
        <w:t xml:space="preserve"> Ministru kabineta 2015.gada 4.augusta noteikumi Nr.456 “Grozījumi Ministru kabineta 2006.gada 18.aprīļa noteikumos Nr.305 “Kadastrālās vērtēšanas noteikumi”” </w:t>
      </w:r>
      <w:r>
        <w:rPr>
          <w:i/>
        </w:rPr>
        <w:t xml:space="preserve">(zaudējis spēku 2016.gada 13.septembrī) </w:t>
      </w:r>
      <w:r>
        <w:t>un Ministru kabineta 2016.gada 13.septembra noteikumi Nr.610 “Grozījumi Ministru kabineta 2006.gada 18.aprīļa noteikumos Nr.305 “Kadastrālās vērtēšanas noteikumi””</w:t>
      </w:r>
    </w:p>
  </w:footnote>
  <w:footnote w:id="17">
    <w:p w14:paraId="6B922EF2" w14:textId="77777777" w:rsidR="00563224" w:rsidRDefault="00563224">
      <w:pPr>
        <w:pStyle w:val="FootnoteText"/>
      </w:pPr>
      <w:r>
        <w:rPr>
          <w:rStyle w:val="FootnoteReference"/>
        </w:rPr>
        <w:footnoteRef/>
      </w:r>
      <w:r>
        <w:t xml:space="preserve"> Problēmu kopš 2015.gada risina ar nekustamā īpašuma nodokļa bāzes vērtības pieauguma ierobežojumu pret iepriekšējo gadu (ar pieaugumu, kas nepārsniedz 10%).</w:t>
      </w:r>
    </w:p>
  </w:footnote>
  <w:footnote w:id="18">
    <w:p w14:paraId="621FF8D7" w14:textId="77777777" w:rsidR="00563224" w:rsidRDefault="00563224" w:rsidP="00254590">
      <w:pPr>
        <w:pStyle w:val="FootnoteText"/>
      </w:pPr>
      <w:r>
        <w:rPr>
          <w:rStyle w:val="FootnoteReference"/>
        </w:rPr>
        <w:footnoteRef/>
      </w:r>
      <w:r>
        <w:t xml:space="preserve"> Valsts Zemes dienesta pārskata “Par kadastrālo vērtību bāzes izstrādi 2018.-2019.gadam” 5.nodaļa</w:t>
      </w:r>
    </w:p>
  </w:footnote>
  <w:footnote w:id="19">
    <w:p w14:paraId="7F9A44EA" w14:textId="77777777" w:rsidR="00563224" w:rsidRDefault="00563224" w:rsidP="00922CB0">
      <w:pPr>
        <w:pStyle w:val="FootnoteText"/>
      </w:pPr>
      <w:r>
        <w:rPr>
          <w:rStyle w:val="FootnoteReference"/>
        </w:rPr>
        <w:footnoteRef/>
      </w:r>
      <w:r>
        <w:t xml:space="preserve"> </w:t>
      </w:r>
      <w:r w:rsidRPr="00922CB0">
        <w:t xml:space="preserve">SIA “ZZ </w:t>
      </w:r>
      <w:proofErr w:type="spellStart"/>
      <w:r w:rsidRPr="00922CB0">
        <w:t>Dats</w:t>
      </w:r>
      <w:proofErr w:type="spellEnd"/>
      <w:r w:rsidRPr="00922CB0">
        <w:t>” dati uz 2016.gada augustu</w:t>
      </w:r>
    </w:p>
  </w:footnote>
  <w:footnote w:id="20">
    <w:p w14:paraId="01F0CC6E" w14:textId="77777777" w:rsidR="002C560F" w:rsidRDefault="002C560F" w:rsidP="002C560F">
      <w:pPr>
        <w:pStyle w:val="FootnoteText"/>
      </w:pPr>
      <w:r>
        <w:rPr>
          <w:rStyle w:val="FootnoteReference"/>
        </w:rPr>
        <w:footnoteRef/>
      </w:r>
      <w:r>
        <w:t xml:space="preserve"> Pašvaldībām jāievēro objektīvā grupējuma princips, efektivitātes princips, atbildīgas budžeta plānošanas princips, prognozējamības un stabilitātes princips; pašvaldības var piemērot arī uzņēmējdarbības atbalsta principu un teritorijas attīstības un teritorijas sakārtošanas principu.</w:t>
      </w:r>
    </w:p>
  </w:footnote>
  <w:footnote w:id="21">
    <w:p w14:paraId="0DDF3F01" w14:textId="77777777" w:rsidR="002C560F" w:rsidRDefault="002C560F" w:rsidP="002C560F">
      <w:pPr>
        <w:pStyle w:val="FootnoteText"/>
      </w:pPr>
      <w:r>
        <w:rPr>
          <w:rStyle w:val="FootnoteReference"/>
        </w:rPr>
        <w:footnoteRef/>
      </w:r>
      <w:r>
        <w:t xml:space="preserve"> Nosakot nekustamā īpašuma nodokļa atvieglojumus, pašvaldībai jāievēro objektīvā grupējuma princips, efektivitātes princips, atbildīgas budžeta plānošanas princips, ; pašvaldības var piemērot arī uzņēmējdarbības atbalsta principu un teritorijas attīstības un teritorijas sakārtošanas principu. Nosakot NĪN atvieglojumus kopsakarā ar nodokļa likmi vai likmēm, pašvaldība ievēro sociālās atbildības principu, saskaņā ar kuru tā it īpaši ņem vērā nodokļa ietekmi uz sociāli </w:t>
      </w:r>
      <w:proofErr w:type="spellStart"/>
      <w:r>
        <w:t>mazaizsargāto</w:t>
      </w:r>
      <w:proofErr w:type="spellEnd"/>
      <w:r>
        <w:t xml:space="preserve"> un trūcīgo iedzīvotāju grupām.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168787"/>
      <w:docPartObj>
        <w:docPartGallery w:val="Page Numbers (Top of Page)"/>
        <w:docPartUnique/>
      </w:docPartObj>
    </w:sdtPr>
    <w:sdtEndPr>
      <w:rPr>
        <w:noProof/>
      </w:rPr>
    </w:sdtEndPr>
    <w:sdtContent>
      <w:p w14:paraId="649CF065" w14:textId="77777777" w:rsidR="00563224" w:rsidRDefault="00563224">
        <w:pPr>
          <w:pStyle w:val="Header"/>
          <w:jc w:val="center"/>
        </w:pPr>
        <w:r>
          <w:fldChar w:fldCharType="begin"/>
        </w:r>
        <w:r>
          <w:instrText xml:space="preserve"> PAGE   \* MERGEFORMAT </w:instrText>
        </w:r>
        <w:r>
          <w:fldChar w:fldCharType="separate"/>
        </w:r>
        <w:r w:rsidR="00C1008D">
          <w:rPr>
            <w:noProof/>
          </w:rPr>
          <w:t>26</w:t>
        </w:r>
        <w:r>
          <w:rPr>
            <w:noProof/>
          </w:rPr>
          <w:fldChar w:fldCharType="end"/>
        </w:r>
      </w:p>
    </w:sdtContent>
  </w:sdt>
  <w:p w14:paraId="73BF4EEB" w14:textId="77777777" w:rsidR="00563224" w:rsidRDefault="00563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776046"/>
      <w:docPartObj>
        <w:docPartGallery w:val="Page Numbers (Top of Page)"/>
        <w:docPartUnique/>
      </w:docPartObj>
    </w:sdtPr>
    <w:sdtEndPr>
      <w:rPr>
        <w:noProof/>
      </w:rPr>
    </w:sdtEndPr>
    <w:sdtContent>
      <w:p w14:paraId="7486C78B" w14:textId="77777777" w:rsidR="00563224" w:rsidRDefault="00563224">
        <w:pPr>
          <w:pStyle w:val="Header"/>
          <w:jc w:val="center"/>
        </w:pPr>
        <w:r>
          <w:fldChar w:fldCharType="begin"/>
        </w:r>
        <w:r>
          <w:instrText xml:space="preserve"> PAGE   \* MERGEFORMAT </w:instrText>
        </w:r>
        <w:r>
          <w:fldChar w:fldCharType="separate"/>
        </w:r>
        <w:r w:rsidR="00C1008D">
          <w:rPr>
            <w:noProof/>
          </w:rPr>
          <w:t>25</w:t>
        </w:r>
        <w:r>
          <w:rPr>
            <w:noProof/>
          </w:rPr>
          <w:fldChar w:fldCharType="end"/>
        </w:r>
      </w:p>
    </w:sdtContent>
  </w:sdt>
  <w:p w14:paraId="71A20732" w14:textId="77777777" w:rsidR="00563224" w:rsidRDefault="005632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0FCA9" w14:textId="77777777" w:rsidR="00EE7DBA" w:rsidRDefault="00EE7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3AA"/>
    <w:multiLevelType w:val="hybridMultilevel"/>
    <w:tmpl w:val="A3AA43B8"/>
    <w:lvl w:ilvl="0" w:tplc="901A9F1C">
      <w:start w:val="1"/>
      <w:numFmt w:val="decimal"/>
      <w:lvlText w:val="%1)"/>
      <w:lvlJc w:val="left"/>
      <w:pPr>
        <w:ind w:left="1080" w:hanging="360"/>
      </w:pPr>
      <w:rPr>
        <w:rFonts w:hint="default"/>
        <w:b/>
        <w:i/>
        <w:sz w:val="27"/>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0D22828"/>
    <w:multiLevelType w:val="hybridMultilevel"/>
    <w:tmpl w:val="02D8545A"/>
    <w:lvl w:ilvl="0" w:tplc="8C32F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B405915"/>
    <w:multiLevelType w:val="hybridMultilevel"/>
    <w:tmpl w:val="13B0A8D2"/>
    <w:lvl w:ilvl="0" w:tplc="E5D83164">
      <w:start w:val="3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F18498C"/>
    <w:multiLevelType w:val="multilevel"/>
    <w:tmpl w:val="770C75C8"/>
    <w:lvl w:ilvl="0">
      <w:start w:val="1"/>
      <w:numFmt w:val="decimal"/>
      <w:lvlText w:val="%1)"/>
      <w:lvlJc w:val="left"/>
      <w:pPr>
        <w:ind w:left="1353" w:hanging="360"/>
      </w:p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4">
    <w:nsid w:val="12296742"/>
    <w:multiLevelType w:val="hybridMultilevel"/>
    <w:tmpl w:val="BEC4F8E2"/>
    <w:lvl w:ilvl="0" w:tplc="64C2BF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3B94835"/>
    <w:multiLevelType w:val="hybridMultilevel"/>
    <w:tmpl w:val="7806DD46"/>
    <w:lvl w:ilvl="0" w:tplc="52A2A1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49E364D"/>
    <w:multiLevelType w:val="hybridMultilevel"/>
    <w:tmpl w:val="07CA4770"/>
    <w:lvl w:ilvl="0" w:tplc="1116E1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A126B9D"/>
    <w:multiLevelType w:val="hybridMultilevel"/>
    <w:tmpl w:val="F4A4BA00"/>
    <w:lvl w:ilvl="0" w:tplc="C5C480EA">
      <w:start w:val="1"/>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1C8A1DE8"/>
    <w:multiLevelType w:val="hybridMultilevel"/>
    <w:tmpl w:val="E99A4096"/>
    <w:lvl w:ilvl="0" w:tplc="3C68DD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1DE47382"/>
    <w:multiLevelType w:val="hybridMultilevel"/>
    <w:tmpl w:val="7270A1F6"/>
    <w:lvl w:ilvl="0" w:tplc="80CCA2DC">
      <w:start w:val="201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09E7C34"/>
    <w:multiLevelType w:val="hybridMultilevel"/>
    <w:tmpl w:val="133ADBD6"/>
    <w:lvl w:ilvl="0" w:tplc="04260015">
      <w:start w:val="1"/>
      <w:numFmt w:val="upp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247F48F2"/>
    <w:multiLevelType w:val="hybridMultilevel"/>
    <w:tmpl w:val="F83A5522"/>
    <w:lvl w:ilvl="0" w:tplc="22F0C96E">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D4C6665"/>
    <w:multiLevelType w:val="hybridMultilevel"/>
    <w:tmpl w:val="94F865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EFC2E4B"/>
    <w:multiLevelType w:val="hybridMultilevel"/>
    <w:tmpl w:val="7172C248"/>
    <w:lvl w:ilvl="0" w:tplc="CCBCC6BA">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31793A13"/>
    <w:multiLevelType w:val="hybridMultilevel"/>
    <w:tmpl w:val="4D984404"/>
    <w:lvl w:ilvl="0" w:tplc="AF62F3B4">
      <w:start w:val="1"/>
      <w:numFmt w:val="bullet"/>
      <w:lvlText w:val=""/>
      <w:lvlJc w:val="left"/>
      <w:pPr>
        <w:tabs>
          <w:tab w:val="num" w:pos="720"/>
        </w:tabs>
        <w:ind w:left="720" w:hanging="360"/>
      </w:pPr>
      <w:rPr>
        <w:rFonts w:ascii="Wingdings" w:hAnsi="Wingdings" w:hint="default"/>
      </w:rPr>
    </w:lvl>
    <w:lvl w:ilvl="1" w:tplc="F41449F0" w:tentative="1">
      <w:start w:val="1"/>
      <w:numFmt w:val="bullet"/>
      <w:lvlText w:val=""/>
      <w:lvlJc w:val="left"/>
      <w:pPr>
        <w:tabs>
          <w:tab w:val="num" w:pos="1440"/>
        </w:tabs>
        <w:ind w:left="1440" w:hanging="360"/>
      </w:pPr>
      <w:rPr>
        <w:rFonts w:ascii="Wingdings" w:hAnsi="Wingdings" w:hint="default"/>
      </w:rPr>
    </w:lvl>
    <w:lvl w:ilvl="2" w:tplc="0534EF40">
      <w:start w:val="41"/>
      <w:numFmt w:val="bullet"/>
      <w:lvlText w:val=""/>
      <w:lvlJc w:val="left"/>
      <w:pPr>
        <w:tabs>
          <w:tab w:val="num" w:pos="2160"/>
        </w:tabs>
        <w:ind w:left="2160" w:hanging="360"/>
      </w:pPr>
      <w:rPr>
        <w:rFonts w:ascii="Wingdings" w:hAnsi="Wingdings" w:hint="default"/>
      </w:rPr>
    </w:lvl>
    <w:lvl w:ilvl="3" w:tplc="EA7A0436" w:tentative="1">
      <w:start w:val="1"/>
      <w:numFmt w:val="bullet"/>
      <w:lvlText w:val=""/>
      <w:lvlJc w:val="left"/>
      <w:pPr>
        <w:tabs>
          <w:tab w:val="num" w:pos="2880"/>
        </w:tabs>
        <w:ind w:left="2880" w:hanging="360"/>
      </w:pPr>
      <w:rPr>
        <w:rFonts w:ascii="Wingdings" w:hAnsi="Wingdings" w:hint="default"/>
      </w:rPr>
    </w:lvl>
    <w:lvl w:ilvl="4" w:tplc="D4789F46" w:tentative="1">
      <w:start w:val="1"/>
      <w:numFmt w:val="bullet"/>
      <w:lvlText w:val=""/>
      <w:lvlJc w:val="left"/>
      <w:pPr>
        <w:tabs>
          <w:tab w:val="num" w:pos="3600"/>
        </w:tabs>
        <w:ind w:left="3600" w:hanging="360"/>
      </w:pPr>
      <w:rPr>
        <w:rFonts w:ascii="Wingdings" w:hAnsi="Wingdings" w:hint="default"/>
      </w:rPr>
    </w:lvl>
    <w:lvl w:ilvl="5" w:tplc="DE04E0E0" w:tentative="1">
      <w:start w:val="1"/>
      <w:numFmt w:val="bullet"/>
      <w:lvlText w:val=""/>
      <w:lvlJc w:val="left"/>
      <w:pPr>
        <w:tabs>
          <w:tab w:val="num" w:pos="4320"/>
        </w:tabs>
        <w:ind w:left="4320" w:hanging="360"/>
      </w:pPr>
      <w:rPr>
        <w:rFonts w:ascii="Wingdings" w:hAnsi="Wingdings" w:hint="default"/>
      </w:rPr>
    </w:lvl>
    <w:lvl w:ilvl="6" w:tplc="9D960320" w:tentative="1">
      <w:start w:val="1"/>
      <w:numFmt w:val="bullet"/>
      <w:lvlText w:val=""/>
      <w:lvlJc w:val="left"/>
      <w:pPr>
        <w:tabs>
          <w:tab w:val="num" w:pos="5040"/>
        </w:tabs>
        <w:ind w:left="5040" w:hanging="360"/>
      </w:pPr>
      <w:rPr>
        <w:rFonts w:ascii="Wingdings" w:hAnsi="Wingdings" w:hint="default"/>
      </w:rPr>
    </w:lvl>
    <w:lvl w:ilvl="7" w:tplc="5AD64AFC" w:tentative="1">
      <w:start w:val="1"/>
      <w:numFmt w:val="bullet"/>
      <w:lvlText w:val=""/>
      <w:lvlJc w:val="left"/>
      <w:pPr>
        <w:tabs>
          <w:tab w:val="num" w:pos="5760"/>
        </w:tabs>
        <w:ind w:left="5760" w:hanging="360"/>
      </w:pPr>
      <w:rPr>
        <w:rFonts w:ascii="Wingdings" w:hAnsi="Wingdings" w:hint="default"/>
      </w:rPr>
    </w:lvl>
    <w:lvl w:ilvl="8" w:tplc="2B720B26" w:tentative="1">
      <w:start w:val="1"/>
      <w:numFmt w:val="bullet"/>
      <w:lvlText w:val=""/>
      <w:lvlJc w:val="left"/>
      <w:pPr>
        <w:tabs>
          <w:tab w:val="num" w:pos="6480"/>
        </w:tabs>
        <w:ind w:left="6480" w:hanging="360"/>
      </w:pPr>
      <w:rPr>
        <w:rFonts w:ascii="Wingdings" w:hAnsi="Wingdings" w:hint="default"/>
      </w:rPr>
    </w:lvl>
  </w:abstractNum>
  <w:abstractNum w:abstractNumId="15">
    <w:nsid w:val="35AF29E6"/>
    <w:multiLevelType w:val="hybridMultilevel"/>
    <w:tmpl w:val="5B4A9B06"/>
    <w:lvl w:ilvl="0" w:tplc="4FFE5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908EB"/>
    <w:multiLevelType w:val="multilevel"/>
    <w:tmpl w:val="97284392"/>
    <w:lvl w:ilvl="0">
      <w:start w:val="1"/>
      <w:numFmt w:val="decimal"/>
      <w:lvlText w:val="%1)"/>
      <w:lvlJc w:val="left"/>
      <w:pPr>
        <w:ind w:left="1353" w:hanging="360"/>
      </w:pPr>
      <w:rPr>
        <w:rFonts w:hint="default"/>
        <w:b/>
        <w:i w:val="0"/>
      </w:rPr>
    </w:lvl>
    <w:lvl w:ilvl="1">
      <w:start w:val="1"/>
      <w:numFmt w:val="lowerLetter"/>
      <w:lvlText w:val="%2."/>
      <w:lvlJc w:val="left"/>
      <w:pPr>
        <w:ind w:left="1875" w:hanging="360"/>
      </w:pPr>
      <w:rPr>
        <w:rFonts w:hint="default"/>
      </w:rPr>
    </w:lvl>
    <w:lvl w:ilvl="2">
      <w:start w:val="1"/>
      <w:numFmt w:val="lowerRoman"/>
      <w:lvlText w:val="%3."/>
      <w:lvlJc w:val="right"/>
      <w:pPr>
        <w:ind w:left="2595" w:hanging="180"/>
      </w:pPr>
      <w:rPr>
        <w:rFonts w:hint="default"/>
      </w:rPr>
    </w:lvl>
    <w:lvl w:ilvl="3">
      <w:start w:val="1"/>
      <w:numFmt w:val="decimal"/>
      <w:lvlText w:val="%4."/>
      <w:lvlJc w:val="left"/>
      <w:pPr>
        <w:ind w:left="3315" w:hanging="360"/>
      </w:pPr>
      <w:rPr>
        <w:rFonts w:hint="default"/>
      </w:rPr>
    </w:lvl>
    <w:lvl w:ilvl="4">
      <w:start w:val="1"/>
      <w:numFmt w:val="lowerLetter"/>
      <w:lvlText w:val="%5."/>
      <w:lvlJc w:val="left"/>
      <w:pPr>
        <w:ind w:left="4035" w:hanging="360"/>
      </w:pPr>
      <w:rPr>
        <w:rFonts w:hint="default"/>
      </w:rPr>
    </w:lvl>
    <w:lvl w:ilvl="5">
      <w:start w:val="1"/>
      <w:numFmt w:val="lowerRoman"/>
      <w:lvlText w:val="%6."/>
      <w:lvlJc w:val="right"/>
      <w:pPr>
        <w:ind w:left="4755" w:hanging="180"/>
      </w:pPr>
      <w:rPr>
        <w:rFonts w:hint="default"/>
      </w:rPr>
    </w:lvl>
    <w:lvl w:ilvl="6">
      <w:start w:val="1"/>
      <w:numFmt w:val="decimal"/>
      <w:lvlText w:val="%7."/>
      <w:lvlJc w:val="left"/>
      <w:pPr>
        <w:ind w:left="5475" w:hanging="360"/>
      </w:pPr>
      <w:rPr>
        <w:rFonts w:hint="default"/>
      </w:rPr>
    </w:lvl>
    <w:lvl w:ilvl="7">
      <w:start w:val="1"/>
      <w:numFmt w:val="lowerLetter"/>
      <w:lvlText w:val="%8."/>
      <w:lvlJc w:val="left"/>
      <w:pPr>
        <w:ind w:left="6195" w:hanging="360"/>
      </w:pPr>
      <w:rPr>
        <w:rFonts w:hint="default"/>
      </w:rPr>
    </w:lvl>
    <w:lvl w:ilvl="8">
      <w:start w:val="1"/>
      <w:numFmt w:val="lowerRoman"/>
      <w:lvlText w:val="%9."/>
      <w:lvlJc w:val="right"/>
      <w:pPr>
        <w:ind w:left="6915" w:hanging="180"/>
      </w:pPr>
      <w:rPr>
        <w:rFonts w:hint="default"/>
      </w:rPr>
    </w:lvl>
  </w:abstractNum>
  <w:abstractNum w:abstractNumId="17">
    <w:nsid w:val="397330D9"/>
    <w:multiLevelType w:val="hybridMultilevel"/>
    <w:tmpl w:val="47420EB8"/>
    <w:lvl w:ilvl="0" w:tplc="25A6CF88">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6FD1FAE"/>
    <w:multiLevelType w:val="hybridMultilevel"/>
    <w:tmpl w:val="C59EEF76"/>
    <w:lvl w:ilvl="0" w:tplc="63BA33FC">
      <w:start w:val="1"/>
      <w:numFmt w:val="upperRoman"/>
      <w:lvlText w:val="%1."/>
      <w:lvlJc w:val="left"/>
      <w:pPr>
        <w:ind w:left="4973"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78A4CEA"/>
    <w:multiLevelType w:val="hybridMultilevel"/>
    <w:tmpl w:val="F77E416E"/>
    <w:lvl w:ilvl="0" w:tplc="831AEB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BCB7B88"/>
    <w:multiLevelType w:val="hybridMultilevel"/>
    <w:tmpl w:val="E2D6EB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8A167C5"/>
    <w:multiLevelType w:val="hybridMultilevel"/>
    <w:tmpl w:val="73FAD8DA"/>
    <w:lvl w:ilvl="0" w:tplc="6FAEE5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62D55DE8"/>
    <w:multiLevelType w:val="hybridMultilevel"/>
    <w:tmpl w:val="8D18744E"/>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23">
    <w:nsid w:val="63046858"/>
    <w:multiLevelType w:val="hybridMultilevel"/>
    <w:tmpl w:val="D7604094"/>
    <w:lvl w:ilvl="0" w:tplc="C5F624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69D5121"/>
    <w:multiLevelType w:val="hybridMultilevel"/>
    <w:tmpl w:val="9D181036"/>
    <w:lvl w:ilvl="0" w:tplc="3036E25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9DC5B2B"/>
    <w:multiLevelType w:val="hybridMultilevel"/>
    <w:tmpl w:val="2C4E19CC"/>
    <w:lvl w:ilvl="0" w:tplc="B5BEC5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AA625A7"/>
    <w:multiLevelType w:val="multilevel"/>
    <w:tmpl w:val="49D284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AAC10AD"/>
    <w:multiLevelType w:val="hybridMultilevel"/>
    <w:tmpl w:val="31B42EE6"/>
    <w:lvl w:ilvl="0" w:tplc="056EC168">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28">
    <w:nsid w:val="6F404950"/>
    <w:multiLevelType w:val="hybridMultilevel"/>
    <w:tmpl w:val="A5AA1696"/>
    <w:lvl w:ilvl="0" w:tplc="1C78A06A">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0025F32"/>
    <w:multiLevelType w:val="hybridMultilevel"/>
    <w:tmpl w:val="BA2497D4"/>
    <w:lvl w:ilvl="0" w:tplc="A126BB16">
      <w:start w:val="201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77BC3D53"/>
    <w:multiLevelType w:val="hybridMultilevel"/>
    <w:tmpl w:val="C4547250"/>
    <w:lvl w:ilvl="0" w:tplc="73F020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E526D1F"/>
    <w:multiLevelType w:val="hybridMultilevel"/>
    <w:tmpl w:val="8EE8FD22"/>
    <w:lvl w:ilvl="0" w:tplc="1B40BEA6">
      <w:start w:val="2"/>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32">
    <w:nsid w:val="7ED76224"/>
    <w:multiLevelType w:val="hybridMultilevel"/>
    <w:tmpl w:val="6E9A9E20"/>
    <w:lvl w:ilvl="0" w:tplc="35D2192E">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2"/>
  </w:num>
  <w:num w:numId="4">
    <w:abstractNumId w:val="10"/>
  </w:num>
  <w:num w:numId="5">
    <w:abstractNumId w:val="31"/>
  </w:num>
  <w:num w:numId="6">
    <w:abstractNumId w:val="20"/>
  </w:num>
  <w:num w:numId="7">
    <w:abstractNumId w:val="0"/>
  </w:num>
  <w:num w:numId="8">
    <w:abstractNumId w:val="16"/>
  </w:num>
  <w:num w:numId="9">
    <w:abstractNumId w:val="12"/>
  </w:num>
  <w:num w:numId="10">
    <w:abstractNumId w:val="19"/>
  </w:num>
  <w:num w:numId="11">
    <w:abstractNumId w:val="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28"/>
  </w:num>
  <w:num w:numId="15">
    <w:abstractNumId w:val="17"/>
  </w:num>
  <w:num w:numId="16">
    <w:abstractNumId w:val="7"/>
  </w:num>
  <w:num w:numId="17">
    <w:abstractNumId w:val="23"/>
  </w:num>
  <w:num w:numId="18">
    <w:abstractNumId w:val="18"/>
  </w:num>
  <w:num w:numId="19">
    <w:abstractNumId w:val="1"/>
  </w:num>
  <w:num w:numId="20">
    <w:abstractNumId w:val="29"/>
  </w:num>
  <w:num w:numId="21">
    <w:abstractNumId w:val="13"/>
  </w:num>
  <w:num w:numId="22">
    <w:abstractNumId w:val="4"/>
  </w:num>
  <w:num w:numId="23">
    <w:abstractNumId w:val="30"/>
  </w:num>
  <w:num w:numId="24">
    <w:abstractNumId w:val="14"/>
  </w:num>
  <w:num w:numId="25">
    <w:abstractNumId w:val="27"/>
  </w:num>
  <w:num w:numId="26">
    <w:abstractNumId w:val="21"/>
  </w:num>
  <w:num w:numId="27">
    <w:abstractNumId w:val="8"/>
  </w:num>
  <w:num w:numId="28">
    <w:abstractNumId w:val="9"/>
  </w:num>
  <w:num w:numId="29">
    <w:abstractNumId w:val="25"/>
  </w:num>
  <w:num w:numId="30">
    <w:abstractNumId w:val="26"/>
  </w:num>
  <w:num w:numId="31">
    <w:abstractNumId w:val="5"/>
  </w:num>
  <w:num w:numId="32">
    <w:abstractNumId w:val="2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F6"/>
    <w:rsid w:val="00000408"/>
    <w:rsid w:val="00000A30"/>
    <w:rsid w:val="00000B53"/>
    <w:rsid w:val="00000E70"/>
    <w:rsid w:val="0000175E"/>
    <w:rsid w:val="00002A97"/>
    <w:rsid w:val="000036F6"/>
    <w:rsid w:val="000074E3"/>
    <w:rsid w:val="00010286"/>
    <w:rsid w:val="00011F9C"/>
    <w:rsid w:val="00012A2F"/>
    <w:rsid w:val="00012F32"/>
    <w:rsid w:val="000143CA"/>
    <w:rsid w:val="00014596"/>
    <w:rsid w:val="000151D1"/>
    <w:rsid w:val="00016110"/>
    <w:rsid w:val="00022CDB"/>
    <w:rsid w:val="00023C74"/>
    <w:rsid w:val="00025480"/>
    <w:rsid w:val="00025C64"/>
    <w:rsid w:val="00026C89"/>
    <w:rsid w:val="00027BC7"/>
    <w:rsid w:val="000314A0"/>
    <w:rsid w:val="00031AFC"/>
    <w:rsid w:val="0003383C"/>
    <w:rsid w:val="000350BD"/>
    <w:rsid w:val="00035A59"/>
    <w:rsid w:val="000360AF"/>
    <w:rsid w:val="0003691F"/>
    <w:rsid w:val="00037129"/>
    <w:rsid w:val="00037232"/>
    <w:rsid w:val="000375DA"/>
    <w:rsid w:val="00041C67"/>
    <w:rsid w:val="00042BB0"/>
    <w:rsid w:val="00042E22"/>
    <w:rsid w:val="00043EBF"/>
    <w:rsid w:val="0004407B"/>
    <w:rsid w:val="0004533C"/>
    <w:rsid w:val="00054327"/>
    <w:rsid w:val="00054F5E"/>
    <w:rsid w:val="00055F31"/>
    <w:rsid w:val="00056696"/>
    <w:rsid w:val="00057A33"/>
    <w:rsid w:val="00057BF6"/>
    <w:rsid w:val="00060856"/>
    <w:rsid w:val="00065A54"/>
    <w:rsid w:val="00065D1A"/>
    <w:rsid w:val="000672A7"/>
    <w:rsid w:val="00067852"/>
    <w:rsid w:val="0007018C"/>
    <w:rsid w:val="000735D0"/>
    <w:rsid w:val="00074786"/>
    <w:rsid w:val="00075CFE"/>
    <w:rsid w:val="000761F6"/>
    <w:rsid w:val="000763D5"/>
    <w:rsid w:val="00076D85"/>
    <w:rsid w:val="000806AA"/>
    <w:rsid w:val="00081F5D"/>
    <w:rsid w:val="000827B4"/>
    <w:rsid w:val="00083846"/>
    <w:rsid w:val="00091A65"/>
    <w:rsid w:val="00092CFD"/>
    <w:rsid w:val="000961BC"/>
    <w:rsid w:val="00096E4E"/>
    <w:rsid w:val="000976D5"/>
    <w:rsid w:val="00097E7A"/>
    <w:rsid w:val="000A414B"/>
    <w:rsid w:val="000A48D3"/>
    <w:rsid w:val="000A5244"/>
    <w:rsid w:val="000A7C43"/>
    <w:rsid w:val="000B0489"/>
    <w:rsid w:val="000B10BA"/>
    <w:rsid w:val="000B1219"/>
    <w:rsid w:val="000B19DA"/>
    <w:rsid w:val="000B1B2C"/>
    <w:rsid w:val="000B1C49"/>
    <w:rsid w:val="000B232C"/>
    <w:rsid w:val="000B547E"/>
    <w:rsid w:val="000B582B"/>
    <w:rsid w:val="000B59E9"/>
    <w:rsid w:val="000C00E8"/>
    <w:rsid w:val="000C02F9"/>
    <w:rsid w:val="000C1ACB"/>
    <w:rsid w:val="000C3DE9"/>
    <w:rsid w:val="000C4EFA"/>
    <w:rsid w:val="000C53B1"/>
    <w:rsid w:val="000C58A2"/>
    <w:rsid w:val="000C736D"/>
    <w:rsid w:val="000D2AA9"/>
    <w:rsid w:val="000D3CC3"/>
    <w:rsid w:val="000D51EF"/>
    <w:rsid w:val="000D540B"/>
    <w:rsid w:val="000D55E8"/>
    <w:rsid w:val="000E3BD7"/>
    <w:rsid w:val="000E3EB7"/>
    <w:rsid w:val="000E4F00"/>
    <w:rsid w:val="000E6CD2"/>
    <w:rsid w:val="000E7977"/>
    <w:rsid w:val="000F2F4C"/>
    <w:rsid w:val="000F3741"/>
    <w:rsid w:val="000F3E9C"/>
    <w:rsid w:val="000F558C"/>
    <w:rsid w:val="000F565D"/>
    <w:rsid w:val="000F7642"/>
    <w:rsid w:val="000F7AF8"/>
    <w:rsid w:val="0010267C"/>
    <w:rsid w:val="0010376C"/>
    <w:rsid w:val="001060DF"/>
    <w:rsid w:val="00106DE3"/>
    <w:rsid w:val="00107302"/>
    <w:rsid w:val="001128DC"/>
    <w:rsid w:val="001139F0"/>
    <w:rsid w:val="00114AE0"/>
    <w:rsid w:val="00120D66"/>
    <w:rsid w:val="00121199"/>
    <w:rsid w:val="001223BF"/>
    <w:rsid w:val="00122548"/>
    <w:rsid w:val="00122743"/>
    <w:rsid w:val="001228E8"/>
    <w:rsid w:val="00125130"/>
    <w:rsid w:val="00125F3C"/>
    <w:rsid w:val="00133346"/>
    <w:rsid w:val="00133B2C"/>
    <w:rsid w:val="00135051"/>
    <w:rsid w:val="001353BB"/>
    <w:rsid w:val="00136D51"/>
    <w:rsid w:val="00137B1F"/>
    <w:rsid w:val="00141171"/>
    <w:rsid w:val="00141620"/>
    <w:rsid w:val="00142E95"/>
    <w:rsid w:val="00143CE0"/>
    <w:rsid w:val="00144B4F"/>
    <w:rsid w:val="00144D22"/>
    <w:rsid w:val="00146679"/>
    <w:rsid w:val="00146BB1"/>
    <w:rsid w:val="00147FF7"/>
    <w:rsid w:val="0015232A"/>
    <w:rsid w:val="00153DFA"/>
    <w:rsid w:val="0015487A"/>
    <w:rsid w:val="00154EE2"/>
    <w:rsid w:val="00155401"/>
    <w:rsid w:val="00155B16"/>
    <w:rsid w:val="001564A4"/>
    <w:rsid w:val="00161CEB"/>
    <w:rsid w:val="001650FE"/>
    <w:rsid w:val="00165312"/>
    <w:rsid w:val="0016613A"/>
    <w:rsid w:val="00166935"/>
    <w:rsid w:val="001673DB"/>
    <w:rsid w:val="00172E9F"/>
    <w:rsid w:val="001736AC"/>
    <w:rsid w:val="00174915"/>
    <w:rsid w:val="00174B02"/>
    <w:rsid w:val="00174DDF"/>
    <w:rsid w:val="00180273"/>
    <w:rsid w:val="00183773"/>
    <w:rsid w:val="00183F7E"/>
    <w:rsid w:val="0018501E"/>
    <w:rsid w:val="00185EAA"/>
    <w:rsid w:val="00187580"/>
    <w:rsid w:val="00192758"/>
    <w:rsid w:val="00192DDC"/>
    <w:rsid w:val="00193E0A"/>
    <w:rsid w:val="00196646"/>
    <w:rsid w:val="00196B6D"/>
    <w:rsid w:val="001A120D"/>
    <w:rsid w:val="001A56EB"/>
    <w:rsid w:val="001A6199"/>
    <w:rsid w:val="001A6CBF"/>
    <w:rsid w:val="001A74B5"/>
    <w:rsid w:val="001A78A7"/>
    <w:rsid w:val="001A7D3D"/>
    <w:rsid w:val="001B2FC2"/>
    <w:rsid w:val="001B3900"/>
    <w:rsid w:val="001B3DD6"/>
    <w:rsid w:val="001B5F97"/>
    <w:rsid w:val="001C1B16"/>
    <w:rsid w:val="001C3464"/>
    <w:rsid w:val="001C425D"/>
    <w:rsid w:val="001C56D4"/>
    <w:rsid w:val="001C76BD"/>
    <w:rsid w:val="001D11AF"/>
    <w:rsid w:val="001D17F7"/>
    <w:rsid w:val="001D2664"/>
    <w:rsid w:val="001D62A3"/>
    <w:rsid w:val="001E0004"/>
    <w:rsid w:val="001E337E"/>
    <w:rsid w:val="001E4DB8"/>
    <w:rsid w:val="001E520B"/>
    <w:rsid w:val="001E6792"/>
    <w:rsid w:val="001E6E6D"/>
    <w:rsid w:val="001E7FBC"/>
    <w:rsid w:val="001F0208"/>
    <w:rsid w:val="001F1CA6"/>
    <w:rsid w:val="001F21EB"/>
    <w:rsid w:val="001F35B0"/>
    <w:rsid w:val="001F6E66"/>
    <w:rsid w:val="001F6F7E"/>
    <w:rsid w:val="001F7514"/>
    <w:rsid w:val="0020086F"/>
    <w:rsid w:val="00200E33"/>
    <w:rsid w:val="00201343"/>
    <w:rsid w:val="00202EEA"/>
    <w:rsid w:val="00203BFA"/>
    <w:rsid w:val="00204400"/>
    <w:rsid w:val="002056B4"/>
    <w:rsid w:val="002062E9"/>
    <w:rsid w:val="002102CC"/>
    <w:rsid w:val="002109BF"/>
    <w:rsid w:val="00211CDB"/>
    <w:rsid w:val="00213ECA"/>
    <w:rsid w:val="00214A32"/>
    <w:rsid w:val="00214DDC"/>
    <w:rsid w:val="00215B7C"/>
    <w:rsid w:val="00216619"/>
    <w:rsid w:val="00221585"/>
    <w:rsid w:val="00221852"/>
    <w:rsid w:val="00221A6D"/>
    <w:rsid w:val="00221C8F"/>
    <w:rsid w:val="002265AA"/>
    <w:rsid w:val="002331A9"/>
    <w:rsid w:val="002334CF"/>
    <w:rsid w:val="002348F3"/>
    <w:rsid w:val="002401F8"/>
    <w:rsid w:val="002403F6"/>
    <w:rsid w:val="00241166"/>
    <w:rsid w:val="002413DD"/>
    <w:rsid w:val="002466CC"/>
    <w:rsid w:val="002467B8"/>
    <w:rsid w:val="00250B11"/>
    <w:rsid w:val="00251A25"/>
    <w:rsid w:val="00253AC9"/>
    <w:rsid w:val="00254590"/>
    <w:rsid w:val="00255566"/>
    <w:rsid w:val="00261699"/>
    <w:rsid w:val="002621FB"/>
    <w:rsid w:val="00262C79"/>
    <w:rsid w:val="002634E6"/>
    <w:rsid w:val="002642BF"/>
    <w:rsid w:val="00265066"/>
    <w:rsid w:val="00265C88"/>
    <w:rsid w:val="00265E0F"/>
    <w:rsid w:val="00266E14"/>
    <w:rsid w:val="00267C1E"/>
    <w:rsid w:val="0027239C"/>
    <w:rsid w:val="00276E8E"/>
    <w:rsid w:val="00277DDA"/>
    <w:rsid w:val="00285741"/>
    <w:rsid w:val="00287261"/>
    <w:rsid w:val="00287DBB"/>
    <w:rsid w:val="002903C5"/>
    <w:rsid w:val="002910D9"/>
    <w:rsid w:val="00291FD0"/>
    <w:rsid w:val="00292589"/>
    <w:rsid w:val="00292FDB"/>
    <w:rsid w:val="00293097"/>
    <w:rsid w:val="00294F0E"/>
    <w:rsid w:val="00296068"/>
    <w:rsid w:val="00297639"/>
    <w:rsid w:val="002A17AE"/>
    <w:rsid w:val="002A27EC"/>
    <w:rsid w:val="002A4DAD"/>
    <w:rsid w:val="002A5B44"/>
    <w:rsid w:val="002B1594"/>
    <w:rsid w:val="002B2176"/>
    <w:rsid w:val="002B5970"/>
    <w:rsid w:val="002B69A6"/>
    <w:rsid w:val="002C13CA"/>
    <w:rsid w:val="002C157F"/>
    <w:rsid w:val="002C28D6"/>
    <w:rsid w:val="002C4EFC"/>
    <w:rsid w:val="002C560F"/>
    <w:rsid w:val="002C5A13"/>
    <w:rsid w:val="002C694B"/>
    <w:rsid w:val="002D0406"/>
    <w:rsid w:val="002D0874"/>
    <w:rsid w:val="002D1314"/>
    <w:rsid w:val="002D1FD9"/>
    <w:rsid w:val="002D2DA8"/>
    <w:rsid w:val="002D36FF"/>
    <w:rsid w:val="002D3941"/>
    <w:rsid w:val="002D4673"/>
    <w:rsid w:val="002D49D5"/>
    <w:rsid w:val="002D5853"/>
    <w:rsid w:val="002E046A"/>
    <w:rsid w:val="002E132C"/>
    <w:rsid w:val="002E2BB3"/>
    <w:rsid w:val="002E396C"/>
    <w:rsid w:val="002E51EC"/>
    <w:rsid w:val="002E7CC7"/>
    <w:rsid w:val="002F2105"/>
    <w:rsid w:val="002F6005"/>
    <w:rsid w:val="0030448F"/>
    <w:rsid w:val="00305B7A"/>
    <w:rsid w:val="00307DCF"/>
    <w:rsid w:val="0031080A"/>
    <w:rsid w:val="00312591"/>
    <w:rsid w:val="0031327F"/>
    <w:rsid w:val="0031468F"/>
    <w:rsid w:val="00315473"/>
    <w:rsid w:val="003169CB"/>
    <w:rsid w:val="003172F3"/>
    <w:rsid w:val="00320486"/>
    <w:rsid w:val="003216CA"/>
    <w:rsid w:val="00330BEF"/>
    <w:rsid w:val="003327EC"/>
    <w:rsid w:val="00332BE2"/>
    <w:rsid w:val="00333407"/>
    <w:rsid w:val="00333D3E"/>
    <w:rsid w:val="00334297"/>
    <w:rsid w:val="00337155"/>
    <w:rsid w:val="0034478E"/>
    <w:rsid w:val="00344FEC"/>
    <w:rsid w:val="00345443"/>
    <w:rsid w:val="0034586B"/>
    <w:rsid w:val="00346614"/>
    <w:rsid w:val="0035071B"/>
    <w:rsid w:val="003507F2"/>
    <w:rsid w:val="00351295"/>
    <w:rsid w:val="003512B1"/>
    <w:rsid w:val="0035161D"/>
    <w:rsid w:val="00352C60"/>
    <w:rsid w:val="00357699"/>
    <w:rsid w:val="00357C89"/>
    <w:rsid w:val="0036511E"/>
    <w:rsid w:val="00365F8C"/>
    <w:rsid w:val="003668F1"/>
    <w:rsid w:val="00366F98"/>
    <w:rsid w:val="00370BD8"/>
    <w:rsid w:val="00372440"/>
    <w:rsid w:val="003727B5"/>
    <w:rsid w:val="00372CFF"/>
    <w:rsid w:val="003746F5"/>
    <w:rsid w:val="00376226"/>
    <w:rsid w:val="003771A2"/>
    <w:rsid w:val="00377396"/>
    <w:rsid w:val="003820E8"/>
    <w:rsid w:val="00384FBD"/>
    <w:rsid w:val="00386CC4"/>
    <w:rsid w:val="00391DA2"/>
    <w:rsid w:val="00391E2A"/>
    <w:rsid w:val="00391FE8"/>
    <w:rsid w:val="00394188"/>
    <w:rsid w:val="00395129"/>
    <w:rsid w:val="003957E8"/>
    <w:rsid w:val="003965CC"/>
    <w:rsid w:val="00397AC8"/>
    <w:rsid w:val="003A1871"/>
    <w:rsid w:val="003A195C"/>
    <w:rsid w:val="003A26A0"/>
    <w:rsid w:val="003A4A15"/>
    <w:rsid w:val="003A57DC"/>
    <w:rsid w:val="003B3547"/>
    <w:rsid w:val="003B44A5"/>
    <w:rsid w:val="003B4BDA"/>
    <w:rsid w:val="003C2537"/>
    <w:rsid w:val="003C4B95"/>
    <w:rsid w:val="003C5533"/>
    <w:rsid w:val="003C56AE"/>
    <w:rsid w:val="003C599E"/>
    <w:rsid w:val="003C5D0E"/>
    <w:rsid w:val="003D046E"/>
    <w:rsid w:val="003D2FF5"/>
    <w:rsid w:val="003D3E3D"/>
    <w:rsid w:val="003D3FC9"/>
    <w:rsid w:val="003D424A"/>
    <w:rsid w:val="003D47FF"/>
    <w:rsid w:val="003E11E0"/>
    <w:rsid w:val="003E2828"/>
    <w:rsid w:val="003E3C58"/>
    <w:rsid w:val="003E5A98"/>
    <w:rsid w:val="003E5D2A"/>
    <w:rsid w:val="003E5DA8"/>
    <w:rsid w:val="003E5E3B"/>
    <w:rsid w:val="003E6EBF"/>
    <w:rsid w:val="003E79A1"/>
    <w:rsid w:val="003F1DD8"/>
    <w:rsid w:val="003F2EED"/>
    <w:rsid w:val="003F47E8"/>
    <w:rsid w:val="003F71AC"/>
    <w:rsid w:val="004002E4"/>
    <w:rsid w:val="00400B1E"/>
    <w:rsid w:val="00401FBD"/>
    <w:rsid w:val="00402A78"/>
    <w:rsid w:val="00402E04"/>
    <w:rsid w:val="00404239"/>
    <w:rsid w:val="00404505"/>
    <w:rsid w:val="004045D6"/>
    <w:rsid w:val="00405106"/>
    <w:rsid w:val="004109EC"/>
    <w:rsid w:val="00411AB5"/>
    <w:rsid w:val="00414FEC"/>
    <w:rsid w:val="004178F1"/>
    <w:rsid w:val="00417BE7"/>
    <w:rsid w:val="004206F5"/>
    <w:rsid w:val="00423C1E"/>
    <w:rsid w:val="004242AE"/>
    <w:rsid w:val="00427738"/>
    <w:rsid w:val="00427C56"/>
    <w:rsid w:val="00427E23"/>
    <w:rsid w:val="00433A46"/>
    <w:rsid w:val="00434F22"/>
    <w:rsid w:val="0043576B"/>
    <w:rsid w:val="00435DC6"/>
    <w:rsid w:val="00436CA0"/>
    <w:rsid w:val="00437267"/>
    <w:rsid w:val="004378A3"/>
    <w:rsid w:val="00441547"/>
    <w:rsid w:val="00446015"/>
    <w:rsid w:val="00451460"/>
    <w:rsid w:val="00451556"/>
    <w:rsid w:val="004524FF"/>
    <w:rsid w:val="004526D8"/>
    <w:rsid w:val="00453C0F"/>
    <w:rsid w:val="00455586"/>
    <w:rsid w:val="00456BA0"/>
    <w:rsid w:val="00456DFA"/>
    <w:rsid w:val="004613D5"/>
    <w:rsid w:val="00462380"/>
    <w:rsid w:val="00462EDA"/>
    <w:rsid w:val="00466332"/>
    <w:rsid w:val="004703E5"/>
    <w:rsid w:val="004707BE"/>
    <w:rsid w:val="00470B69"/>
    <w:rsid w:val="00471784"/>
    <w:rsid w:val="00471D19"/>
    <w:rsid w:val="00472ACE"/>
    <w:rsid w:val="00472C0E"/>
    <w:rsid w:val="00472F60"/>
    <w:rsid w:val="00473814"/>
    <w:rsid w:val="00473D97"/>
    <w:rsid w:val="004754CD"/>
    <w:rsid w:val="00476027"/>
    <w:rsid w:val="004778D1"/>
    <w:rsid w:val="00477C51"/>
    <w:rsid w:val="00481DEB"/>
    <w:rsid w:val="00481EB8"/>
    <w:rsid w:val="00483E4A"/>
    <w:rsid w:val="0048443C"/>
    <w:rsid w:val="00485086"/>
    <w:rsid w:val="004851D9"/>
    <w:rsid w:val="00486C09"/>
    <w:rsid w:val="00494874"/>
    <w:rsid w:val="0049503B"/>
    <w:rsid w:val="0049523D"/>
    <w:rsid w:val="0049544E"/>
    <w:rsid w:val="004A03A2"/>
    <w:rsid w:val="004A1424"/>
    <w:rsid w:val="004A1485"/>
    <w:rsid w:val="004A30E8"/>
    <w:rsid w:val="004A3FD6"/>
    <w:rsid w:val="004A46B5"/>
    <w:rsid w:val="004A4A4D"/>
    <w:rsid w:val="004A5D00"/>
    <w:rsid w:val="004A5FA4"/>
    <w:rsid w:val="004A6C9B"/>
    <w:rsid w:val="004B0053"/>
    <w:rsid w:val="004B0605"/>
    <w:rsid w:val="004B0B31"/>
    <w:rsid w:val="004B0C42"/>
    <w:rsid w:val="004B0D7E"/>
    <w:rsid w:val="004B4185"/>
    <w:rsid w:val="004B5079"/>
    <w:rsid w:val="004B5CB9"/>
    <w:rsid w:val="004B5D2C"/>
    <w:rsid w:val="004B653C"/>
    <w:rsid w:val="004B6A90"/>
    <w:rsid w:val="004B6C20"/>
    <w:rsid w:val="004B710F"/>
    <w:rsid w:val="004B7328"/>
    <w:rsid w:val="004C04C3"/>
    <w:rsid w:val="004C2E09"/>
    <w:rsid w:val="004C3D39"/>
    <w:rsid w:val="004C59CE"/>
    <w:rsid w:val="004C6C70"/>
    <w:rsid w:val="004C6FBA"/>
    <w:rsid w:val="004C7A34"/>
    <w:rsid w:val="004D1202"/>
    <w:rsid w:val="004D2D94"/>
    <w:rsid w:val="004D3924"/>
    <w:rsid w:val="004D710B"/>
    <w:rsid w:val="004E222C"/>
    <w:rsid w:val="004E24CA"/>
    <w:rsid w:val="004E2CC6"/>
    <w:rsid w:val="004E2FF5"/>
    <w:rsid w:val="004E33DD"/>
    <w:rsid w:val="004E36DE"/>
    <w:rsid w:val="004E4935"/>
    <w:rsid w:val="004E5153"/>
    <w:rsid w:val="004E563F"/>
    <w:rsid w:val="004E5B4E"/>
    <w:rsid w:val="004E70FF"/>
    <w:rsid w:val="004F1E00"/>
    <w:rsid w:val="004F2A78"/>
    <w:rsid w:val="004F5111"/>
    <w:rsid w:val="004F56EC"/>
    <w:rsid w:val="004F6035"/>
    <w:rsid w:val="00502796"/>
    <w:rsid w:val="00502BEB"/>
    <w:rsid w:val="00505B70"/>
    <w:rsid w:val="00507C50"/>
    <w:rsid w:val="00512B58"/>
    <w:rsid w:val="00515369"/>
    <w:rsid w:val="0051568C"/>
    <w:rsid w:val="0051745C"/>
    <w:rsid w:val="00521283"/>
    <w:rsid w:val="00523D34"/>
    <w:rsid w:val="00525D67"/>
    <w:rsid w:val="005271F0"/>
    <w:rsid w:val="00527452"/>
    <w:rsid w:val="005311FC"/>
    <w:rsid w:val="005312EF"/>
    <w:rsid w:val="00531B42"/>
    <w:rsid w:val="00534E5D"/>
    <w:rsid w:val="00540A3B"/>
    <w:rsid w:val="00540B82"/>
    <w:rsid w:val="00545010"/>
    <w:rsid w:val="00546795"/>
    <w:rsid w:val="00547C97"/>
    <w:rsid w:val="0055050F"/>
    <w:rsid w:val="00550A48"/>
    <w:rsid w:val="0055196A"/>
    <w:rsid w:val="00553114"/>
    <w:rsid w:val="00554F98"/>
    <w:rsid w:val="005606BE"/>
    <w:rsid w:val="00560CB2"/>
    <w:rsid w:val="00560D3F"/>
    <w:rsid w:val="00563224"/>
    <w:rsid w:val="00563382"/>
    <w:rsid w:val="00563D3D"/>
    <w:rsid w:val="00564299"/>
    <w:rsid w:val="00564AAD"/>
    <w:rsid w:val="00566AAB"/>
    <w:rsid w:val="0057143E"/>
    <w:rsid w:val="00571716"/>
    <w:rsid w:val="00573728"/>
    <w:rsid w:val="005755A6"/>
    <w:rsid w:val="00575F61"/>
    <w:rsid w:val="005761FF"/>
    <w:rsid w:val="00576270"/>
    <w:rsid w:val="005770F3"/>
    <w:rsid w:val="00577621"/>
    <w:rsid w:val="00581311"/>
    <w:rsid w:val="00581DDC"/>
    <w:rsid w:val="005822C3"/>
    <w:rsid w:val="00582BE9"/>
    <w:rsid w:val="00584508"/>
    <w:rsid w:val="00586313"/>
    <w:rsid w:val="00586E68"/>
    <w:rsid w:val="00590B68"/>
    <w:rsid w:val="00590E26"/>
    <w:rsid w:val="00592A4C"/>
    <w:rsid w:val="00592D2D"/>
    <w:rsid w:val="005934F1"/>
    <w:rsid w:val="00593DD7"/>
    <w:rsid w:val="005951AB"/>
    <w:rsid w:val="0059781A"/>
    <w:rsid w:val="005978C6"/>
    <w:rsid w:val="005A0454"/>
    <w:rsid w:val="005A135B"/>
    <w:rsid w:val="005A4C00"/>
    <w:rsid w:val="005A4FCC"/>
    <w:rsid w:val="005A585D"/>
    <w:rsid w:val="005A6FF8"/>
    <w:rsid w:val="005B20B4"/>
    <w:rsid w:val="005B3DAC"/>
    <w:rsid w:val="005B452F"/>
    <w:rsid w:val="005B4654"/>
    <w:rsid w:val="005C0339"/>
    <w:rsid w:val="005C19D6"/>
    <w:rsid w:val="005C1A1A"/>
    <w:rsid w:val="005C21A2"/>
    <w:rsid w:val="005C3036"/>
    <w:rsid w:val="005C58FC"/>
    <w:rsid w:val="005C6AF4"/>
    <w:rsid w:val="005D135B"/>
    <w:rsid w:val="005D1718"/>
    <w:rsid w:val="005D1C20"/>
    <w:rsid w:val="005D2C21"/>
    <w:rsid w:val="005D3A1D"/>
    <w:rsid w:val="005D4F9B"/>
    <w:rsid w:val="005D5374"/>
    <w:rsid w:val="005D64D1"/>
    <w:rsid w:val="005D6524"/>
    <w:rsid w:val="005D67D5"/>
    <w:rsid w:val="005D6E87"/>
    <w:rsid w:val="005D6F3E"/>
    <w:rsid w:val="005E007F"/>
    <w:rsid w:val="005E0230"/>
    <w:rsid w:val="005E1DA5"/>
    <w:rsid w:val="005E1EC8"/>
    <w:rsid w:val="005E6436"/>
    <w:rsid w:val="005F2A7F"/>
    <w:rsid w:val="005F4C69"/>
    <w:rsid w:val="005F64E2"/>
    <w:rsid w:val="00601FF1"/>
    <w:rsid w:val="006041E8"/>
    <w:rsid w:val="00606622"/>
    <w:rsid w:val="00611938"/>
    <w:rsid w:val="00611C6D"/>
    <w:rsid w:val="006123EA"/>
    <w:rsid w:val="0061445F"/>
    <w:rsid w:val="0061632A"/>
    <w:rsid w:val="00624F6F"/>
    <w:rsid w:val="00626628"/>
    <w:rsid w:val="0063010D"/>
    <w:rsid w:val="00632EDC"/>
    <w:rsid w:val="0063308C"/>
    <w:rsid w:val="006333E1"/>
    <w:rsid w:val="006343D5"/>
    <w:rsid w:val="00635D23"/>
    <w:rsid w:val="00636ABA"/>
    <w:rsid w:val="00637DD6"/>
    <w:rsid w:val="00640D45"/>
    <w:rsid w:val="0064217F"/>
    <w:rsid w:val="0064410E"/>
    <w:rsid w:val="00645603"/>
    <w:rsid w:val="006511DE"/>
    <w:rsid w:val="00652E66"/>
    <w:rsid w:val="006557FC"/>
    <w:rsid w:val="00656B1C"/>
    <w:rsid w:val="00657B91"/>
    <w:rsid w:val="00662C73"/>
    <w:rsid w:val="00663261"/>
    <w:rsid w:val="00663293"/>
    <w:rsid w:val="0066460F"/>
    <w:rsid w:val="00664B5A"/>
    <w:rsid w:val="00664E9A"/>
    <w:rsid w:val="00671459"/>
    <w:rsid w:val="00673238"/>
    <w:rsid w:val="00674606"/>
    <w:rsid w:val="00674A3B"/>
    <w:rsid w:val="00676883"/>
    <w:rsid w:val="006824A4"/>
    <w:rsid w:val="00682EC5"/>
    <w:rsid w:val="00682EF1"/>
    <w:rsid w:val="00683C10"/>
    <w:rsid w:val="006869DF"/>
    <w:rsid w:val="00686DE1"/>
    <w:rsid w:val="0068709B"/>
    <w:rsid w:val="00690131"/>
    <w:rsid w:val="00692A16"/>
    <w:rsid w:val="006930B7"/>
    <w:rsid w:val="00693E34"/>
    <w:rsid w:val="0069467A"/>
    <w:rsid w:val="00694AFA"/>
    <w:rsid w:val="00695AC0"/>
    <w:rsid w:val="0069678A"/>
    <w:rsid w:val="0069699D"/>
    <w:rsid w:val="00697E0D"/>
    <w:rsid w:val="006A0F96"/>
    <w:rsid w:val="006A1635"/>
    <w:rsid w:val="006A22BC"/>
    <w:rsid w:val="006A24CB"/>
    <w:rsid w:val="006A2FF9"/>
    <w:rsid w:val="006A324A"/>
    <w:rsid w:val="006A78C7"/>
    <w:rsid w:val="006A7C0E"/>
    <w:rsid w:val="006B2A2C"/>
    <w:rsid w:val="006B3E66"/>
    <w:rsid w:val="006B4881"/>
    <w:rsid w:val="006B4BDB"/>
    <w:rsid w:val="006B50F0"/>
    <w:rsid w:val="006B537C"/>
    <w:rsid w:val="006B6A18"/>
    <w:rsid w:val="006B6D53"/>
    <w:rsid w:val="006B7A62"/>
    <w:rsid w:val="006B7AC3"/>
    <w:rsid w:val="006C13C9"/>
    <w:rsid w:val="006C2E62"/>
    <w:rsid w:val="006C488E"/>
    <w:rsid w:val="006C48B2"/>
    <w:rsid w:val="006C6AFD"/>
    <w:rsid w:val="006D24D9"/>
    <w:rsid w:val="006D250B"/>
    <w:rsid w:val="006D4F39"/>
    <w:rsid w:val="006E1BB0"/>
    <w:rsid w:val="006E1CAE"/>
    <w:rsid w:val="006E3C8B"/>
    <w:rsid w:val="006F21FA"/>
    <w:rsid w:val="006F3A1D"/>
    <w:rsid w:val="006F4F9C"/>
    <w:rsid w:val="006F75D2"/>
    <w:rsid w:val="007002B0"/>
    <w:rsid w:val="007005DB"/>
    <w:rsid w:val="00700F6A"/>
    <w:rsid w:val="00701DC5"/>
    <w:rsid w:val="00702FBA"/>
    <w:rsid w:val="007041AA"/>
    <w:rsid w:val="0070515C"/>
    <w:rsid w:val="00705F28"/>
    <w:rsid w:val="00712E64"/>
    <w:rsid w:val="00714EE5"/>
    <w:rsid w:val="007172AF"/>
    <w:rsid w:val="007173BD"/>
    <w:rsid w:val="00720C36"/>
    <w:rsid w:val="00720FED"/>
    <w:rsid w:val="00723925"/>
    <w:rsid w:val="00723EEB"/>
    <w:rsid w:val="00724398"/>
    <w:rsid w:val="00725ECF"/>
    <w:rsid w:val="00727A13"/>
    <w:rsid w:val="00731A4D"/>
    <w:rsid w:val="00734A03"/>
    <w:rsid w:val="00734BA8"/>
    <w:rsid w:val="00740F6E"/>
    <w:rsid w:val="00741EEE"/>
    <w:rsid w:val="00741FCC"/>
    <w:rsid w:val="00743ABA"/>
    <w:rsid w:val="007465DE"/>
    <w:rsid w:val="00746E9A"/>
    <w:rsid w:val="00750054"/>
    <w:rsid w:val="0075233F"/>
    <w:rsid w:val="00754DB6"/>
    <w:rsid w:val="00755844"/>
    <w:rsid w:val="00757DD9"/>
    <w:rsid w:val="0076125E"/>
    <w:rsid w:val="00761D6A"/>
    <w:rsid w:val="00763980"/>
    <w:rsid w:val="0076447B"/>
    <w:rsid w:val="00766E1D"/>
    <w:rsid w:val="00766EDB"/>
    <w:rsid w:val="00766FDF"/>
    <w:rsid w:val="00767770"/>
    <w:rsid w:val="007718AB"/>
    <w:rsid w:val="007742FB"/>
    <w:rsid w:val="00774E4E"/>
    <w:rsid w:val="00775C0E"/>
    <w:rsid w:val="0078046C"/>
    <w:rsid w:val="007811E3"/>
    <w:rsid w:val="007829EE"/>
    <w:rsid w:val="00782EDB"/>
    <w:rsid w:val="007830EE"/>
    <w:rsid w:val="007834F7"/>
    <w:rsid w:val="0078611F"/>
    <w:rsid w:val="00786208"/>
    <w:rsid w:val="00790ADC"/>
    <w:rsid w:val="00791720"/>
    <w:rsid w:val="007919B1"/>
    <w:rsid w:val="00792BC6"/>
    <w:rsid w:val="00793707"/>
    <w:rsid w:val="007941D4"/>
    <w:rsid w:val="00794D36"/>
    <w:rsid w:val="00795143"/>
    <w:rsid w:val="0079639B"/>
    <w:rsid w:val="007A0631"/>
    <w:rsid w:val="007A347A"/>
    <w:rsid w:val="007A4DA5"/>
    <w:rsid w:val="007A53E6"/>
    <w:rsid w:val="007A6F41"/>
    <w:rsid w:val="007B46CA"/>
    <w:rsid w:val="007B4A68"/>
    <w:rsid w:val="007B6195"/>
    <w:rsid w:val="007B6C2B"/>
    <w:rsid w:val="007C0114"/>
    <w:rsid w:val="007C2B46"/>
    <w:rsid w:val="007C40A4"/>
    <w:rsid w:val="007C4E05"/>
    <w:rsid w:val="007C547E"/>
    <w:rsid w:val="007C636B"/>
    <w:rsid w:val="007D1D39"/>
    <w:rsid w:val="007D213C"/>
    <w:rsid w:val="007D4CB6"/>
    <w:rsid w:val="007D703A"/>
    <w:rsid w:val="007E04CB"/>
    <w:rsid w:val="007E1EB6"/>
    <w:rsid w:val="007E36E0"/>
    <w:rsid w:val="007E521F"/>
    <w:rsid w:val="007E6405"/>
    <w:rsid w:val="007F2BD1"/>
    <w:rsid w:val="007F3797"/>
    <w:rsid w:val="007F630B"/>
    <w:rsid w:val="008002FD"/>
    <w:rsid w:val="0080043F"/>
    <w:rsid w:val="00800C47"/>
    <w:rsid w:val="00800CD7"/>
    <w:rsid w:val="00802892"/>
    <w:rsid w:val="0080379E"/>
    <w:rsid w:val="008046F8"/>
    <w:rsid w:val="00804F8A"/>
    <w:rsid w:val="00805783"/>
    <w:rsid w:val="00806E7F"/>
    <w:rsid w:val="008105F9"/>
    <w:rsid w:val="00810632"/>
    <w:rsid w:val="008109F5"/>
    <w:rsid w:val="00810DC7"/>
    <w:rsid w:val="00812500"/>
    <w:rsid w:val="008142A2"/>
    <w:rsid w:val="008171E4"/>
    <w:rsid w:val="00817B80"/>
    <w:rsid w:val="00817CF0"/>
    <w:rsid w:val="00817EEF"/>
    <w:rsid w:val="00820298"/>
    <w:rsid w:val="0082258B"/>
    <w:rsid w:val="008325CB"/>
    <w:rsid w:val="008327F7"/>
    <w:rsid w:val="00834E6E"/>
    <w:rsid w:val="00835297"/>
    <w:rsid w:val="00835AA1"/>
    <w:rsid w:val="00837FE0"/>
    <w:rsid w:val="008408F3"/>
    <w:rsid w:val="00840905"/>
    <w:rsid w:val="00841B91"/>
    <w:rsid w:val="00844955"/>
    <w:rsid w:val="00844EA5"/>
    <w:rsid w:val="00845C8C"/>
    <w:rsid w:val="00846B13"/>
    <w:rsid w:val="00852071"/>
    <w:rsid w:val="00852922"/>
    <w:rsid w:val="00853922"/>
    <w:rsid w:val="008545F4"/>
    <w:rsid w:val="00856299"/>
    <w:rsid w:val="008564C2"/>
    <w:rsid w:val="00857B09"/>
    <w:rsid w:val="00857DA7"/>
    <w:rsid w:val="00860D10"/>
    <w:rsid w:val="00862F54"/>
    <w:rsid w:val="00865505"/>
    <w:rsid w:val="00865BC7"/>
    <w:rsid w:val="00865EF0"/>
    <w:rsid w:val="00866A75"/>
    <w:rsid w:val="00866BEA"/>
    <w:rsid w:val="008712B6"/>
    <w:rsid w:val="0087195C"/>
    <w:rsid w:val="00874A73"/>
    <w:rsid w:val="00874EC6"/>
    <w:rsid w:val="008773D4"/>
    <w:rsid w:val="008774FC"/>
    <w:rsid w:val="00880030"/>
    <w:rsid w:val="0088105E"/>
    <w:rsid w:val="008829B2"/>
    <w:rsid w:val="00883294"/>
    <w:rsid w:val="0088591C"/>
    <w:rsid w:val="00887184"/>
    <w:rsid w:val="00890E3D"/>
    <w:rsid w:val="00890EEA"/>
    <w:rsid w:val="00890FF4"/>
    <w:rsid w:val="008913D4"/>
    <w:rsid w:val="00891ADB"/>
    <w:rsid w:val="0089263C"/>
    <w:rsid w:val="00894572"/>
    <w:rsid w:val="0089478E"/>
    <w:rsid w:val="008964D0"/>
    <w:rsid w:val="0089683A"/>
    <w:rsid w:val="00897586"/>
    <w:rsid w:val="008976B3"/>
    <w:rsid w:val="00897893"/>
    <w:rsid w:val="008978B9"/>
    <w:rsid w:val="00897A8D"/>
    <w:rsid w:val="00897CCB"/>
    <w:rsid w:val="008A06DE"/>
    <w:rsid w:val="008A0810"/>
    <w:rsid w:val="008A27A0"/>
    <w:rsid w:val="008A2C5D"/>
    <w:rsid w:val="008A49B7"/>
    <w:rsid w:val="008A79C9"/>
    <w:rsid w:val="008B007D"/>
    <w:rsid w:val="008B3726"/>
    <w:rsid w:val="008B5001"/>
    <w:rsid w:val="008B678A"/>
    <w:rsid w:val="008C1323"/>
    <w:rsid w:val="008C3833"/>
    <w:rsid w:val="008C5B90"/>
    <w:rsid w:val="008C6451"/>
    <w:rsid w:val="008C6B90"/>
    <w:rsid w:val="008C6F23"/>
    <w:rsid w:val="008C71A9"/>
    <w:rsid w:val="008C76D5"/>
    <w:rsid w:val="008D0AE2"/>
    <w:rsid w:val="008D1B04"/>
    <w:rsid w:val="008D1C2C"/>
    <w:rsid w:val="008D24CD"/>
    <w:rsid w:val="008D4BAA"/>
    <w:rsid w:val="008D57C3"/>
    <w:rsid w:val="008D5EDC"/>
    <w:rsid w:val="008D684F"/>
    <w:rsid w:val="008D776D"/>
    <w:rsid w:val="008D7C27"/>
    <w:rsid w:val="008D7DC6"/>
    <w:rsid w:val="008E40A8"/>
    <w:rsid w:val="008E4D5C"/>
    <w:rsid w:val="008E54ED"/>
    <w:rsid w:val="008E724D"/>
    <w:rsid w:val="008F164C"/>
    <w:rsid w:val="008F1EDE"/>
    <w:rsid w:val="008F4B11"/>
    <w:rsid w:val="008F4B16"/>
    <w:rsid w:val="008F7649"/>
    <w:rsid w:val="0090223C"/>
    <w:rsid w:val="00902F1F"/>
    <w:rsid w:val="009048CF"/>
    <w:rsid w:val="00904F1E"/>
    <w:rsid w:val="009069DA"/>
    <w:rsid w:val="00907724"/>
    <w:rsid w:val="00911664"/>
    <w:rsid w:val="00912D47"/>
    <w:rsid w:val="00913BF7"/>
    <w:rsid w:val="00914E3B"/>
    <w:rsid w:val="00916E93"/>
    <w:rsid w:val="00920B38"/>
    <w:rsid w:val="00920FF1"/>
    <w:rsid w:val="00922CB0"/>
    <w:rsid w:val="00922D6A"/>
    <w:rsid w:val="00923ED0"/>
    <w:rsid w:val="009256B0"/>
    <w:rsid w:val="00925EB4"/>
    <w:rsid w:val="00926810"/>
    <w:rsid w:val="00930A1E"/>
    <w:rsid w:val="00930BAE"/>
    <w:rsid w:val="009320CF"/>
    <w:rsid w:val="00932954"/>
    <w:rsid w:val="009332B3"/>
    <w:rsid w:val="00933567"/>
    <w:rsid w:val="00933CDC"/>
    <w:rsid w:val="00934043"/>
    <w:rsid w:val="00936935"/>
    <w:rsid w:val="00936EFB"/>
    <w:rsid w:val="00940BEC"/>
    <w:rsid w:val="009439B2"/>
    <w:rsid w:val="00943A14"/>
    <w:rsid w:val="00944243"/>
    <w:rsid w:val="00944C20"/>
    <w:rsid w:val="0094629A"/>
    <w:rsid w:val="00950FC5"/>
    <w:rsid w:val="009522D4"/>
    <w:rsid w:val="00953801"/>
    <w:rsid w:val="009545EF"/>
    <w:rsid w:val="00956F6E"/>
    <w:rsid w:val="00957BBB"/>
    <w:rsid w:val="009616FF"/>
    <w:rsid w:val="00964E00"/>
    <w:rsid w:val="00967699"/>
    <w:rsid w:val="00967CE8"/>
    <w:rsid w:val="009706AC"/>
    <w:rsid w:val="009711A0"/>
    <w:rsid w:val="009741C4"/>
    <w:rsid w:val="00974609"/>
    <w:rsid w:val="009746D2"/>
    <w:rsid w:val="00977D06"/>
    <w:rsid w:val="00981564"/>
    <w:rsid w:val="00981CE2"/>
    <w:rsid w:val="009904A9"/>
    <w:rsid w:val="00991353"/>
    <w:rsid w:val="00991FBD"/>
    <w:rsid w:val="00993AA0"/>
    <w:rsid w:val="00994CC3"/>
    <w:rsid w:val="009979D0"/>
    <w:rsid w:val="009A0909"/>
    <w:rsid w:val="009A0F35"/>
    <w:rsid w:val="009A17E9"/>
    <w:rsid w:val="009A3F1D"/>
    <w:rsid w:val="009A41F3"/>
    <w:rsid w:val="009A438B"/>
    <w:rsid w:val="009A5996"/>
    <w:rsid w:val="009A5D13"/>
    <w:rsid w:val="009B112D"/>
    <w:rsid w:val="009B21F9"/>
    <w:rsid w:val="009B3A26"/>
    <w:rsid w:val="009B4037"/>
    <w:rsid w:val="009B47A7"/>
    <w:rsid w:val="009C0004"/>
    <w:rsid w:val="009C0802"/>
    <w:rsid w:val="009C31D6"/>
    <w:rsid w:val="009C62D1"/>
    <w:rsid w:val="009C70F0"/>
    <w:rsid w:val="009C7A26"/>
    <w:rsid w:val="009D1AD5"/>
    <w:rsid w:val="009D2AEC"/>
    <w:rsid w:val="009D2C28"/>
    <w:rsid w:val="009D4ADD"/>
    <w:rsid w:val="009D6063"/>
    <w:rsid w:val="009D73D0"/>
    <w:rsid w:val="009D765A"/>
    <w:rsid w:val="009D7A56"/>
    <w:rsid w:val="009E01FE"/>
    <w:rsid w:val="009E39A9"/>
    <w:rsid w:val="009E3BFD"/>
    <w:rsid w:val="009E68AC"/>
    <w:rsid w:val="009E78ED"/>
    <w:rsid w:val="009F01DC"/>
    <w:rsid w:val="009F5CF7"/>
    <w:rsid w:val="009F7577"/>
    <w:rsid w:val="009F77A2"/>
    <w:rsid w:val="009F7B10"/>
    <w:rsid w:val="00A0097A"/>
    <w:rsid w:val="00A02816"/>
    <w:rsid w:val="00A02B8A"/>
    <w:rsid w:val="00A0352A"/>
    <w:rsid w:val="00A07464"/>
    <w:rsid w:val="00A10076"/>
    <w:rsid w:val="00A1295E"/>
    <w:rsid w:val="00A130E3"/>
    <w:rsid w:val="00A145F0"/>
    <w:rsid w:val="00A164A7"/>
    <w:rsid w:val="00A1701D"/>
    <w:rsid w:val="00A17BAE"/>
    <w:rsid w:val="00A17C19"/>
    <w:rsid w:val="00A17D5B"/>
    <w:rsid w:val="00A17FB7"/>
    <w:rsid w:val="00A20C32"/>
    <w:rsid w:val="00A22922"/>
    <w:rsid w:val="00A25E99"/>
    <w:rsid w:val="00A25EB5"/>
    <w:rsid w:val="00A274C0"/>
    <w:rsid w:val="00A3070C"/>
    <w:rsid w:val="00A3202A"/>
    <w:rsid w:val="00A34835"/>
    <w:rsid w:val="00A37504"/>
    <w:rsid w:val="00A40129"/>
    <w:rsid w:val="00A43A3D"/>
    <w:rsid w:val="00A45031"/>
    <w:rsid w:val="00A46C01"/>
    <w:rsid w:val="00A47F38"/>
    <w:rsid w:val="00A500DF"/>
    <w:rsid w:val="00A51F3E"/>
    <w:rsid w:val="00A56692"/>
    <w:rsid w:val="00A56F75"/>
    <w:rsid w:val="00A578AC"/>
    <w:rsid w:val="00A5796E"/>
    <w:rsid w:val="00A61676"/>
    <w:rsid w:val="00A61E32"/>
    <w:rsid w:val="00A6231F"/>
    <w:rsid w:val="00A6359B"/>
    <w:rsid w:val="00A63D26"/>
    <w:rsid w:val="00A663FB"/>
    <w:rsid w:val="00A726C1"/>
    <w:rsid w:val="00A74A8D"/>
    <w:rsid w:val="00A757EB"/>
    <w:rsid w:val="00A7604B"/>
    <w:rsid w:val="00A771D3"/>
    <w:rsid w:val="00A833B1"/>
    <w:rsid w:val="00A857B9"/>
    <w:rsid w:val="00A85B61"/>
    <w:rsid w:val="00A8654E"/>
    <w:rsid w:val="00A872AF"/>
    <w:rsid w:val="00A875D1"/>
    <w:rsid w:val="00A87AFF"/>
    <w:rsid w:val="00A91022"/>
    <w:rsid w:val="00A91894"/>
    <w:rsid w:val="00A91A0E"/>
    <w:rsid w:val="00A91CC3"/>
    <w:rsid w:val="00A945A6"/>
    <w:rsid w:val="00A947AC"/>
    <w:rsid w:val="00A94CEE"/>
    <w:rsid w:val="00A97A42"/>
    <w:rsid w:val="00A97A6C"/>
    <w:rsid w:val="00AA072F"/>
    <w:rsid w:val="00AA2130"/>
    <w:rsid w:val="00AA48DC"/>
    <w:rsid w:val="00AB22F6"/>
    <w:rsid w:val="00AB2C38"/>
    <w:rsid w:val="00AB4A7E"/>
    <w:rsid w:val="00AB588C"/>
    <w:rsid w:val="00AB63B3"/>
    <w:rsid w:val="00AC1EC8"/>
    <w:rsid w:val="00AC3E7D"/>
    <w:rsid w:val="00AC4AC6"/>
    <w:rsid w:val="00AC6E0B"/>
    <w:rsid w:val="00AD0CF6"/>
    <w:rsid w:val="00AD305C"/>
    <w:rsid w:val="00AD3A97"/>
    <w:rsid w:val="00AD464F"/>
    <w:rsid w:val="00AD66D9"/>
    <w:rsid w:val="00AE360A"/>
    <w:rsid w:val="00AE5463"/>
    <w:rsid w:val="00AE5B05"/>
    <w:rsid w:val="00AE5CB4"/>
    <w:rsid w:val="00AE6004"/>
    <w:rsid w:val="00AE7593"/>
    <w:rsid w:val="00AF0974"/>
    <w:rsid w:val="00AF35BD"/>
    <w:rsid w:val="00AF491A"/>
    <w:rsid w:val="00AF4FD5"/>
    <w:rsid w:val="00B004F0"/>
    <w:rsid w:val="00B00FB7"/>
    <w:rsid w:val="00B04686"/>
    <w:rsid w:val="00B06425"/>
    <w:rsid w:val="00B07694"/>
    <w:rsid w:val="00B12D97"/>
    <w:rsid w:val="00B149C0"/>
    <w:rsid w:val="00B165D5"/>
    <w:rsid w:val="00B203A7"/>
    <w:rsid w:val="00B23C8A"/>
    <w:rsid w:val="00B23DC4"/>
    <w:rsid w:val="00B24724"/>
    <w:rsid w:val="00B260AB"/>
    <w:rsid w:val="00B26DED"/>
    <w:rsid w:val="00B271BB"/>
    <w:rsid w:val="00B304D8"/>
    <w:rsid w:val="00B31E57"/>
    <w:rsid w:val="00B33F0E"/>
    <w:rsid w:val="00B34AE2"/>
    <w:rsid w:val="00B35C5A"/>
    <w:rsid w:val="00B36E93"/>
    <w:rsid w:val="00B37C04"/>
    <w:rsid w:val="00B37D13"/>
    <w:rsid w:val="00B41BB3"/>
    <w:rsid w:val="00B4314D"/>
    <w:rsid w:val="00B460A1"/>
    <w:rsid w:val="00B46FED"/>
    <w:rsid w:val="00B4735F"/>
    <w:rsid w:val="00B474AE"/>
    <w:rsid w:val="00B47FA8"/>
    <w:rsid w:val="00B53A4D"/>
    <w:rsid w:val="00B5445B"/>
    <w:rsid w:val="00B54F6D"/>
    <w:rsid w:val="00B55406"/>
    <w:rsid w:val="00B56B79"/>
    <w:rsid w:val="00B57CE3"/>
    <w:rsid w:val="00B606EC"/>
    <w:rsid w:val="00B61F4A"/>
    <w:rsid w:val="00B62326"/>
    <w:rsid w:val="00B62F4A"/>
    <w:rsid w:val="00B63E8C"/>
    <w:rsid w:val="00B64333"/>
    <w:rsid w:val="00B656EE"/>
    <w:rsid w:val="00B65EAD"/>
    <w:rsid w:val="00B77080"/>
    <w:rsid w:val="00B77F14"/>
    <w:rsid w:val="00B83BCE"/>
    <w:rsid w:val="00B860CD"/>
    <w:rsid w:val="00B86ACC"/>
    <w:rsid w:val="00B8716C"/>
    <w:rsid w:val="00B87DD4"/>
    <w:rsid w:val="00B90721"/>
    <w:rsid w:val="00B9112D"/>
    <w:rsid w:val="00B918F3"/>
    <w:rsid w:val="00B93C2E"/>
    <w:rsid w:val="00B97A7F"/>
    <w:rsid w:val="00BA06A8"/>
    <w:rsid w:val="00BA093B"/>
    <w:rsid w:val="00BA10DC"/>
    <w:rsid w:val="00BA13E7"/>
    <w:rsid w:val="00BA2A6B"/>
    <w:rsid w:val="00BA56C8"/>
    <w:rsid w:val="00BA61DB"/>
    <w:rsid w:val="00BB03D4"/>
    <w:rsid w:val="00BB0557"/>
    <w:rsid w:val="00BB0902"/>
    <w:rsid w:val="00BB2A66"/>
    <w:rsid w:val="00BB3C63"/>
    <w:rsid w:val="00BB3C75"/>
    <w:rsid w:val="00BB3EAA"/>
    <w:rsid w:val="00BB5094"/>
    <w:rsid w:val="00BB5183"/>
    <w:rsid w:val="00BB551F"/>
    <w:rsid w:val="00BB5FE9"/>
    <w:rsid w:val="00BB6079"/>
    <w:rsid w:val="00BB6217"/>
    <w:rsid w:val="00BB7957"/>
    <w:rsid w:val="00BB7BE0"/>
    <w:rsid w:val="00BC21C6"/>
    <w:rsid w:val="00BC2FA0"/>
    <w:rsid w:val="00BC3108"/>
    <w:rsid w:val="00BC7B07"/>
    <w:rsid w:val="00BD507E"/>
    <w:rsid w:val="00BD6A4E"/>
    <w:rsid w:val="00BD78F5"/>
    <w:rsid w:val="00BE0663"/>
    <w:rsid w:val="00BE1723"/>
    <w:rsid w:val="00BE35D9"/>
    <w:rsid w:val="00BE36F9"/>
    <w:rsid w:val="00BF30FB"/>
    <w:rsid w:val="00BF417D"/>
    <w:rsid w:val="00BF4BC6"/>
    <w:rsid w:val="00BF500D"/>
    <w:rsid w:val="00BF6C1F"/>
    <w:rsid w:val="00BF7AE9"/>
    <w:rsid w:val="00BF7F07"/>
    <w:rsid w:val="00C0295F"/>
    <w:rsid w:val="00C02E40"/>
    <w:rsid w:val="00C03C1C"/>
    <w:rsid w:val="00C040D9"/>
    <w:rsid w:val="00C0428A"/>
    <w:rsid w:val="00C04DB0"/>
    <w:rsid w:val="00C068C8"/>
    <w:rsid w:val="00C1008D"/>
    <w:rsid w:val="00C1140A"/>
    <w:rsid w:val="00C117C6"/>
    <w:rsid w:val="00C11F75"/>
    <w:rsid w:val="00C1270D"/>
    <w:rsid w:val="00C13349"/>
    <w:rsid w:val="00C143EF"/>
    <w:rsid w:val="00C155E4"/>
    <w:rsid w:val="00C1578B"/>
    <w:rsid w:val="00C171C5"/>
    <w:rsid w:val="00C2395C"/>
    <w:rsid w:val="00C24E17"/>
    <w:rsid w:val="00C279EE"/>
    <w:rsid w:val="00C3278B"/>
    <w:rsid w:val="00C32F38"/>
    <w:rsid w:val="00C33621"/>
    <w:rsid w:val="00C34565"/>
    <w:rsid w:val="00C35E6C"/>
    <w:rsid w:val="00C36371"/>
    <w:rsid w:val="00C40192"/>
    <w:rsid w:val="00C4057C"/>
    <w:rsid w:val="00C42502"/>
    <w:rsid w:val="00C42CFC"/>
    <w:rsid w:val="00C42F84"/>
    <w:rsid w:val="00C44E24"/>
    <w:rsid w:val="00C47C52"/>
    <w:rsid w:val="00C502BF"/>
    <w:rsid w:val="00C50DB0"/>
    <w:rsid w:val="00C52AF7"/>
    <w:rsid w:val="00C532DA"/>
    <w:rsid w:val="00C55B83"/>
    <w:rsid w:val="00C55F90"/>
    <w:rsid w:val="00C620DC"/>
    <w:rsid w:val="00C62720"/>
    <w:rsid w:val="00C6373E"/>
    <w:rsid w:val="00C63B80"/>
    <w:rsid w:val="00C64A33"/>
    <w:rsid w:val="00C64DD0"/>
    <w:rsid w:val="00C64F7F"/>
    <w:rsid w:val="00C65F53"/>
    <w:rsid w:val="00C66444"/>
    <w:rsid w:val="00C67621"/>
    <w:rsid w:val="00C72868"/>
    <w:rsid w:val="00C72CCB"/>
    <w:rsid w:val="00C73F00"/>
    <w:rsid w:val="00C75B89"/>
    <w:rsid w:val="00C76DBA"/>
    <w:rsid w:val="00C80AF2"/>
    <w:rsid w:val="00C8262B"/>
    <w:rsid w:val="00C82DA1"/>
    <w:rsid w:val="00C83A99"/>
    <w:rsid w:val="00C8484A"/>
    <w:rsid w:val="00C85724"/>
    <w:rsid w:val="00C85EB2"/>
    <w:rsid w:val="00C8617A"/>
    <w:rsid w:val="00C87B6C"/>
    <w:rsid w:val="00C87EAF"/>
    <w:rsid w:val="00C9155A"/>
    <w:rsid w:val="00C91802"/>
    <w:rsid w:val="00C92ECD"/>
    <w:rsid w:val="00C92FFF"/>
    <w:rsid w:val="00C96B91"/>
    <w:rsid w:val="00CA21F4"/>
    <w:rsid w:val="00CA542A"/>
    <w:rsid w:val="00CA5B5F"/>
    <w:rsid w:val="00CB1CDD"/>
    <w:rsid w:val="00CB267D"/>
    <w:rsid w:val="00CB5BEB"/>
    <w:rsid w:val="00CB6AA9"/>
    <w:rsid w:val="00CB7ADE"/>
    <w:rsid w:val="00CC1EB0"/>
    <w:rsid w:val="00CC29C8"/>
    <w:rsid w:val="00CC3FA2"/>
    <w:rsid w:val="00CC7ADD"/>
    <w:rsid w:val="00CD00FE"/>
    <w:rsid w:val="00CD1B88"/>
    <w:rsid w:val="00CD1CDD"/>
    <w:rsid w:val="00CD2434"/>
    <w:rsid w:val="00CD2F05"/>
    <w:rsid w:val="00CD44E1"/>
    <w:rsid w:val="00CD5F77"/>
    <w:rsid w:val="00CD7E3C"/>
    <w:rsid w:val="00CE03F6"/>
    <w:rsid w:val="00CE043A"/>
    <w:rsid w:val="00CE0510"/>
    <w:rsid w:val="00CE0FAB"/>
    <w:rsid w:val="00CE142A"/>
    <w:rsid w:val="00CE19B3"/>
    <w:rsid w:val="00CE264E"/>
    <w:rsid w:val="00CE307B"/>
    <w:rsid w:val="00CE3442"/>
    <w:rsid w:val="00CE47DD"/>
    <w:rsid w:val="00CE4FC0"/>
    <w:rsid w:val="00CE7A07"/>
    <w:rsid w:val="00CF0BF7"/>
    <w:rsid w:val="00CF11EC"/>
    <w:rsid w:val="00CF263F"/>
    <w:rsid w:val="00CF45E3"/>
    <w:rsid w:val="00CF5C89"/>
    <w:rsid w:val="00D00AB4"/>
    <w:rsid w:val="00D030C7"/>
    <w:rsid w:val="00D03E88"/>
    <w:rsid w:val="00D042E8"/>
    <w:rsid w:val="00D043A4"/>
    <w:rsid w:val="00D04974"/>
    <w:rsid w:val="00D17741"/>
    <w:rsid w:val="00D215AF"/>
    <w:rsid w:val="00D2184D"/>
    <w:rsid w:val="00D21E40"/>
    <w:rsid w:val="00D23DEB"/>
    <w:rsid w:val="00D3455A"/>
    <w:rsid w:val="00D3475C"/>
    <w:rsid w:val="00D36DC8"/>
    <w:rsid w:val="00D405F7"/>
    <w:rsid w:val="00D43BC7"/>
    <w:rsid w:val="00D43DD5"/>
    <w:rsid w:val="00D4499D"/>
    <w:rsid w:val="00D44CB6"/>
    <w:rsid w:val="00D4556B"/>
    <w:rsid w:val="00D45808"/>
    <w:rsid w:val="00D4633A"/>
    <w:rsid w:val="00D4758D"/>
    <w:rsid w:val="00D5051E"/>
    <w:rsid w:val="00D511F8"/>
    <w:rsid w:val="00D53B8C"/>
    <w:rsid w:val="00D53D1D"/>
    <w:rsid w:val="00D541E3"/>
    <w:rsid w:val="00D54CC5"/>
    <w:rsid w:val="00D56186"/>
    <w:rsid w:val="00D56388"/>
    <w:rsid w:val="00D57451"/>
    <w:rsid w:val="00D619FE"/>
    <w:rsid w:val="00D61A4A"/>
    <w:rsid w:val="00D64C8A"/>
    <w:rsid w:val="00D667FD"/>
    <w:rsid w:val="00D67FB3"/>
    <w:rsid w:val="00D70720"/>
    <w:rsid w:val="00D71637"/>
    <w:rsid w:val="00D71833"/>
    <w:rsid w:val="00D765E2"/>
    <w:rsid w:val="00D7703D"/>
    <w:rsid w:val="00D77160"/>
    <w:rsid w:val="00D77701"/>
    <w:rsid w:val="00D81059"/>
    <w:rsid w:val="00D83F9B"/>
    <w:rsid w:val="00D84D7F"/>
    <w:rsid w:val="00D86D2F"/>
    <w:rsid w:val="00D87274"/>
    <w:rsid w:val="00D90F58"/>
    <w:rsid w:val="00D90F70"/>
    <w:rsid w:val="00D922EA"/>
    <w:rsid w:val="00D92FEF"/>
    <w:rsid w:val="00D956DB"/>
    <w:rsid w:val="00D95C12"/>
    <w:rsid w:val="00D961C7"/>
    <w:rsid w:val="00D96460"/>
    <w:rsid w:val="00D97B55"/>
    <w:rsid w:val="00DA100A"/>
    <w:rsid w:val="00DA15E7"/>
    <w:rsid w:val="00DA4542"/>
    <w:rsid w:val="00DA6D74"/>
    <w:rsid w:val="00DA71C3"/>
    <w:rsid w:val="00DA7674"/>
    <w:rsid w:val="00DA7937"/>
    <w:rsid w:val="00DB15D0"/>
    <w:rsid w:val="00DB186A"/>
    <w:rsid w:val="00DB2242"/>
    <w:rsid w:val="00DB4454"/>
    <w:rsid w:val="00DB44ED"/>
    <w:rsid w:val="00DC2F8C"/>
    <w:rsid w:val="00DC3397"/>
    <w:rsid w:val="00DC5852"/>
    <w:rsid w:val="00DC5C72"/>
    <w:rsid w:val="00DC5DAC"/>
    <w:rsid w:val="00DC6F33"/>
    <w:rsid w:val="00DC6F60"/>
    <w:rsid w:val="00DD0268"/>
    <w:rsid w:val="00DD04EC"/>
    <w:rsid w:val="00DD20CD"/>
    <w:rsid w:val="00DD233C"/>
    <w:rsid w:val="00DD3FFE"/>
    <w:rsid w:val="00DD49D3"/>
    <w:rsid w:val="00DD50BE"/>
    <w:rsid w:val="00DD66C4"/>
    <w:rsid w:val="00DD6C45"/>
    <w:rsid w:val="00DD6F0F"/>
    <w:rsid w:val="00DD70EC"/>
    <w:rsid w:val="00DD79C4"/>
    <w:rsid w:val="00DE01EA"/>
    <w:rsid w:val="00DE15B2"/>
    <w:rsid w:val="00DE3262"/>
    <w:rsid w:val="00DE3958"/>
    <w:rsid w:val="00DE4E7D"/>
    <w:rsid w:val="00DE5216"/>
    <w:rsid w:val="00DF07E6"/>
    <w:rsid w:val="00DF16C2"/>
    <w:rsid w:val="00DF2F7F"/>
    <w:rsid w:val="00DF3A91"/>
    <w:rsid w:val="00DF4541"/>
    <w:rsid w:val="00DF48A9"/>
    <w:rsid w:val="00DF7A1D"/>
    <w:rsid w:val="00E00310"/>
    <w:rsid w:val="00E0087D"/>
    <w:rsid w:val="00E0137C"/>
    <w:rsid w:val="00E01EF7"/>
    <w:rsid w:val="00E01FF0"/>
    <w:rsid w:val="00E0223B"/>
    <w:rsid w:val="00E03F6A"/>
    <w:rsid w:val="00E05210"/>
    <w:rsid w:val="00E063B6"/>
    <w:rsid w:val="00E12C08"/>
    <w:rsid w:val="00E13AB2"/>
    <w:rsid w:val="00E14F34"/>
    <w:rsid w:val="00E17309"/>
    <w:rsid w:val="00E22C79"/>
    <w:rsid w:val="00E2397F"/>
    <w:rsid w:val="00E23EC4"/>
    <w:rsid w:val="00E248B5"/>
    <w:rsid w:val="00E250C6"/>
    <w:rsid w:val="00E253F0"/>
    <w:rsid w:val="00E2639A"/>
    <w:rsid w:val="00E30374"/>
    <w:rsid w:val="00E322CA"/>
    <w:rsid w:val="00E32370"/>
    <w:rsid w:val="00E33A87"/>
    <w:rsid w:val="00E36155"/>
    <w:rsid w:val="00E36EDD"/>
    <w:rsid w:val="00E405C6"/>
    <w:rsid w:val="00E416B2"/>
    <w:rsid w:val="00E41C5E"/>
    <w:rsid w:val="00E451E5"/>
    <w:rsid w:val="00E464FA"/>
    <w:rsid w:val="00E50841"/>
    <w:rsid w:val="00E519B8"/>
    <w:rsid w:val="00E519D5"/>
    <w:rsid w:val="00E51EF1"/>
    <w:rsid w:val="00E52492"/>
    <w:rsid w:val="00E54F26"/>
    <w:rsid w:val="00E55940"/>
    <w:rsid w:val="00E56C67"/>
    <w:rsid w:val="00E572F0"/>
    <w:rsid w:val="00E615AE"/>
    <w:rsid w:val="00E61A94"/>
    <w:rsid w:val="00E61CC0"/>
    <w:rsid w:val="00E61CF0"/>
    <w:rsid w:val="00E629E7"/>
    <w:rsid w:val="00E64D0C"/>
    <w:rsid w:val="00E65881"/>
    <w:rsid w:val="00E709B9"/>
    <w:rsid w:val="00E71715"/>
    <w:rsid w:val="00E71779"/>
    <w:rsid w:val="00E72E53"/>
    <w:rsid w:val="00E73915"/>
    <w:rsid w:val="00E74846"/>
    <w:rsid w:val="00E75BEC"/>
    <w:rsid w:val="00E7631E"/>
    <w:rsid w:val="00E76675"/>
    <w:rsid w:val="00E80788"/>
    <w:rsid w:val="00E82D36"/>
    <w:rsid w:val="00E8419D"/>
    <w:rsid w:val="00E842C6"/>
    <w:rsid w:val="00E90775"/>
    <w:rsid w:val="00E92B44"/>
    <w:rsid w:val="00E93072"/>
    <w:rsid w:val="00E97CE2"/>
    <w:rsid w:val="00EA136D"/>
    <w:rsid w:val="00EA179D"/>
    <w:rsid w:val="00EA17CE"/>
    <w:rsid w:val="00EA1F4A"/>
    <w:rsid w:val="00EA2D8F"/>
    <w:rsid w:val="00EA2E74"/>
    <w:rsid w:val="00EA313E"/>
    <w:rsid w:val="00EA7EE3"/>
    <w:rsid w:val="00EA7FF0"/>
    <w:rsid w:val="00EB0941"/>
    <w:rsid w:val="00EB2803"/>
    <w:rsid w:val="00EB2C4F"/>
    <w:rsid w:val="00EB4BE5"/>
    <w:rsid w:val="00EB6050"/>
    <w:rsid w:val="00EB6240"/>
    <w:rsid w:val="00EC06E9"/>
    <w:rsid w:val="00EC15BA"/>
    <w:rsid w:val="00EC3BF5"/>
    <w:rsid w:val="00EC40CF"/>
    <w:rsid w:val="00EC52D1"/>
    <w:rsid w:val="00EC5518"/>
    <w:rsid w:val="00EC6405"/>
    <w:rsid w:val="00EC7561"/>
    <w:rsid w:val="00EC7AD2"/>
    <w:rsid w:val="00ED1563"/>
    <w:rsid w:val="00ED4938"/>
    <w:rsid w:val="00ED6C19"/>
    <w:rsid w:val="00ED7316"/>
    <w:rsid w:val="00EE19BE"/>
    <w:rsid w:val="00EE2999"/>
    <w:rsid w:val="00EE2EFE"/>
    <w:rsid w:val="00EE32F8"/>
    <w:rsid w:val="00EE460F"/>
    <w:rsid w:val="00EE4DE8"/>
    <w:rsid w:val="00EE7DBA"/>
    <w:rsid w:val="00EF2800"/>
    <w:rsid w:val="00EF3401"/>
    <w:rsid w:val="00EF358F"/>
    <w:rsid w:val="00EF3D0D"/>
    <w:rsid w:val="00EF460F"/>
    <w:rsid w:val="00EF4C0E"/>
    <w:rsid w:val="00F0055E"/>
    <w:rsid w:val="00F043E1"/>
    <w:rsid w:val="00F04845"/>
    <w:rsid w:val="00F0507C"/>
    <w:rsid w:val="00F054CC"/>
    <w:rsid w:val="00F05C72"/>
    <w:rsid w:val="00F07DB1"/>
    <w:rsid w:val="00F11F6C"/>
    <w:rsid w:val="00F131DB"/>
    <w:rsid w:val="00F132C7"/>
    <w:rsid w:val="00F133D3"/>
    <w:rsid w:val="00F134EA"/>
    <w:rsid w:val="00F141EF"/>
    <w:rsid w:val="00F14D8D"/>
    <w:rsid w:val="00F15F79"/>
    <w:rsid w:val="00F20835"/>
    <w:rsid w:val="00F21B90"/>
    <w:rsid w:val="00F2233B"/>
    <w:rsid w:val="00F23EFE"/>
    <w:rsid w:val="00F279D7"/>
    <w:rsid w:val="00F27BC1"/>
    <w:rsid w:val="00F30793"/>
    <w:rsid w:val="00F30E69"/>
    <w:rsid w:val="00F3464B"/>
    <w:rsid w:val="00F36172"/>
    <w:rsid w:val="00F36CB2"/>
    <w:rsid w:val="00F3776A"/>
    <w:rsid w:val="00F413B0"/>
    <w:rsid w:val="00F41A41"/>
    <w:rsid w:val="00F42427"/>
    <w:rsid w:val="00F4522A"/>
    <w:rsid w:val="00F4560A"/>
    <w:rsid w:val="00F4753B"/>
    <w:rsid w:val="00F4773C"/>
    <w:rsid w:val="00F504C4"/>
    <w:rsid w:val="00F50D3E"/>
    <w:rsid w:val="00F52CA8"/>
    <w:rsid w:val="00F52F15"/>
    <w:rsid w:val="00F5417A"/>
    <w:rsid w:val="00F54784"/>
    <w:rsid w:val="00F54EF7"/>
    <w:rsid w:val="00F565A3"/>
    <w:rsid w:val="00F57E85"/>
    <w:rsid w:val="00F635B1"/>
    <w:rsid w:val="00F63FE9"/>
    <w:rsid w:val="00F6692B"/>
    <w:rsid w:val="00F714CC"/>
    <w:rsid w:val="00F739F0"/>
    <w:rsid w:val="00F73C74"/>
    <w:rsid w:val="00F76C58"/>
    <w:rsid w:val="00F80952"/>
    <w:rsid w:val="00F813EA"/>
    <w:rsid w:val="00F82F7E"/>
    <w:rsid w:val="00F848AE"/>
    <w:rsid w:val="00F850BC"/>
    <w:rsid w:val="00F8643B"/>
    <w:rsid w:val="00F86791"/>
    <w:rsid w:val="00F87B84"/>
    <w:rsid w:val="00F904FD"/>
    <w:rsid w:val="00F9130B"/>
    <w:rsid w:val="00F943A8"/>
    <w:rsid w:val="00F95DA2"/>
    <w:rsid w:val="00F95F66"/>
    <w:rsid w:val="00F9631E"/>
    <w:rsid w:val="00FA024E"/>
    <w:rsid w:val="00FA13E4"/>
    <w:rsid w:val="00FA2797"/>
    <w:rsid w:val="00FB0835"/>
    <w:rsid w:val="00FB094C"/>
    <w:rsid w:val="00FB35F0"/>
    <w:rsid w:val="00FB3D05"/>
    <w:rsid w:val="00FB3DA1"/>
    <w:rsid w:val="00FB59F7"/>
    <w:rsid w:val="00FB65F1"/>
    <w:rsid w:val="00FC0E71"/>
    <w:rsid w:val="00FC2436"/>
    <w:rsid w:val="00FC2B76"/>
    <w:rsid w:val="00FC3D4A"/>
    <w:rsid w:val="00FC5773"/>
    <w:rsid w:val="00FC5A51"/>
    <w:rsid w:val="00FC6A30"/>
    <w:rsid w:val="00FD0E1A"/>
    <w:rsid w:val="00FD17CF"/>
    <w:rsid w:val="00FD25DF"/>
    <w:rsid w:val="00FD5607"/>
    <w:rsid w:val="00FD5C22"/>
    <w:rsid w:val="00FD63CB"/>
    <w:rsid w:val="00FD7161"/>
    <w:rsid w:val="00FE2024"/>
    <w:rsid w:val="00FE2776"/>
    <w:rsid w:val="00FE2F9B"/>
    <w:rsid w:val="00FE5166"/>
    <w:rsid w:val="00FF185C"/>
    <w:rsid w:val="00FF1CDE"/>
    <w:rsid w:val="00FF21DA"/>
    <w:rsid w:val="00FF2D48"/>
    <w:rsid w:val="00FF4122"/>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79ECB"/>
  <w15:docId w15:val="{DB4F638A-EA09-4040-A206-04159B64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2"/>
        <w:lang w:val="lv-LV"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20CD"/>
    <w:pPr>
      <w:suppressAutoHyphens/>
    </w:pPr>
  </w:style>
  <w:style w:type="paragraph" w:styleId="Heading1">
    <w:name w:val="heading 1"/>
    <w:basedOn w:val="Normal"/>
    <w:next w:val="Normal"/>
    <w:link w:val="Heading1Char"/>
    <w:uiPriority w:val="99"/>
    <w:qFormat/>
    <w:rsid w:val="006D250B"/>
    <w:pPr>
      <w:keepNext/>
      <w:suppressAutoHyphens w:val="0"/>
      <w:autoSpaceDN/>
      <w:ind w:firstLine="709"/>
      <w:jc w:val="right"/>
      <w:textAlignment w:val="auto"/>
      <w:outlineLvl w:val="0"/>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117C6"/>
    <w:pPr>
      <w:ind w:left="720"/>
    </w:pPr>
  </w:style>
  <w:style w:type="paragraph" w:styleId="Header">
    <w:name w:val="header"/>
    <w:basedOn w:val="Normal"/>
    <w:uiPriority w:val="99"/>
    <w:rsid w:val="00C117C6"/>
    <w:pPr>
      <w:tabs>
        <w:tab w:val="center" w:pos="4153"/>
        <w:tab w:val="right" w:pos="8306"/>
      </w:tabs>
    </w:pPr>
    <w:rPr>
      <w:rFonts w:eastAsia="Times New Roman"/>
      <w:sz w:val="24"/>
      <w:szCs w:val="24"/>
      <w:lang w:eastAsia="lv-LV"/>
    </w:rPr>
  </w:style>
  <w:style w:type="character" w:customStyle="1" w:styleId="HeaderChar">
    <w:name w:val="Header Char"/>
    <w:basedOn w:val="DefaultParagraphFont"/>
    <w:uiPriority w:val="99"/>
    <w:rsid w:val="00C117C6"/>
    <w:rPr>
      <w:rFonts w:eastAsia="Times New Roman" w:cs="Times New Roman"/>
      <w:sz w:val="24"/>
      <w:szCs w:val="24"/>
      <w:lang w:eastAsia="lv-LV"/>
    </w:rPr>
  </w:style>
  <w:style w:type="character" w:styleId="Hyperlink">
    <w:name w:val="Hyperlink"/>
    <w:basedOn w:val="DefaultParagraphFont"/>
    <w:rsid w:val="00C117C6"/>
    <w:rPr>
      <w:color w:val="0000FF"/>
      <w:u w:val="single"/>
    </w:rPr>
  </w:style>
  <w:style w:type="paragraph" w:styleId="Footer">
    <w:name w:val="footer"/>
    <w:basedOn w:val="Normal"/>
    <w:uiPriority w:val="99"/>
    <w:rsid w:val="00C117C6"/>
    <w:pPr>
      <w:tabs>
        <w:tab w:val="center" w:pos="4153"/>
        <w:tab w:val="right" w:pos="8306"/>
      </w:tabs>
    </w:pPr>
  </w:style>
  <w:style w:type="character" w:customStyle="1" w:styleId="FooterChar">
    <w:name w:val="Footer Char"/>
    <w:basedOn w:val="DefaultParagraphFont"/>
    <w:uiPriority w:val="99"/>
    <w:rsid w:val="00C117C6"/>
  </w:style>
  <w:style w:type="paragraph" w:styleId="BalloonText">
    <w:name w:val="Balloon Text"/>
    <w:basedOn w:val="Normal"/>
    <w:rsid w:val="00C117C6"/>
    <w:rPr>
      <w:rFonts w:ascii="Tahoma" w:hAnsi="Tahoma" w:cs="Tahoma"/>
      <w:sz w:val="16"/>
      <w:szCs w:val="16"/>
    </w:rPr>
  </w:style>
  <w:style w:type="character" w:customStyle="1" w:styleId="BalloonTextChar">
    <w:name w:val="Balloon Text Char"/>
    <w:basedOn w:val="DefaultParagraphFont"/>
    <w:rsid w:val="00C117C6"/>
    <w:rPr>
      <w:rFonts w:ascii="Tahoma" w:hAnsi="Tahoma" w:cs="Tahoma"/>
      <w:sz w:val="16"/>
      <w:szCs w:val="16"/>
    </w:rPr>
  </w:style>
  <w:style w:type="character" w:styleId="CommentReference">
    <w:name w:val="annotation reference"/>
    <w:basedOn w:val="DefaultParagraphFont"/>
    <w:uiPriority w:val="99"/>
    <w:semiHidden/>
    <w:unhideWhenUsed/>
    <w:rsid w:val="00201343"/>
    <w:rPr>
      <w:sz w:val="16"/>
      <w:szCs w:val="16"/>
    </w:rPr>
  </w:style>
  <w:style w:type="paragraph" w:styleId="CommentText">
    <w:name w:val="annotation text"/>
    <w:basedOn w:val="Normal"/>
    <w:link w:val="CommentTextChar"/>
    <w:uiPriority w:val="99"/>
    <w:semiHidden/>
    <w:unhideWhenUsed/>
    <w:rsid w:val="00201343"/>
    <w:rPr>
      <w:sz w:val="20"/>
      <w:szCs w:val="20"/>
    </w:rPr>
  </w:style>
  <w:style w:type="character" w:customStyle="1" w:styleId="CommentTextChar">
    <w:name w:val="Comment Text Char"/>
    <w:basedOn w:val="DefaultParagraphFont"/>
    <w:link w:val="CommentText"/>
    <w:uiPriority w:val="99"/>
    <w:semiHidden/>
    <w:rsid w:val="00201343"/>
    <w:rPr>
      <w:sz w:val="20"/>
      <w:szCs w:val="20"/>
    </w:rPr>
  </w:style>
  <w:style w:type="paragraph" w:styleId="CommentSubject">
    <w:name w:val="annotation subject"/>
    <w:basedOn w:val="CommentText"/>
    <w:next w:val="CommentText"/>
    <w:link w:val="CommentSubjectChar"/>
    <w:uiPriority w:val="99"/>
    <w:semiHidden/>
    <w:unhideWhenUsed/>
    <w:rsid w:val="00201343"/>
    <w:rPr>
      <w:b/>
      <w:bCs/>
    </w:rPr>
  </w:style>
  <w:style w:type="character" w:customStyle="1" w:styleId="CommentSubjectChar">
    <w:name w:val="Comment Subject Char"/>
    <w:basedOn w:val="CommentTextChar"/>
    <w:link w:val="CommentSubject"/>
    <w:uiPriority w:val="99"/>
    <w:semiHidden/>
    <w:rsid w:val="00201343"/>
    <w:rPr>
      <w:b/>
      <w:bCs/>
      <w:sz w:val="20"/>
      <w:szCs w:val="20"/>
    </w:rPr>
  </w:style>
  <w:style w:type="paragraph" w:styleId="FootnoteText">
    <w:name w:val="footnote text"/>
    <w:basedOn w:val="Normal"/>
    <w:link w:val="FootnoteTextChar"/>
    <w:uiPriority w:val="99"/>
    <w:semiHidden/>
    <w:unhideWhenUsed/>
    <w:rsid w:val="00A51F3E"/>
    <w:rPr>
      <w:sz w:val="20"/>
      <w:szCs w:val="20"/>
    </w:rPr>
  </w:style>
  <w:style w:type="character" w:customStyle="1" w:styleId="FootnoteTextChar">
    <w:name w:val="Footnote Text Char"/>
    <w:basedOn w:val="DefaultParagraphFont"/>
    <w:link w:val="FootnoteText"/>
    <w:uiPriority w:val="99"/>
    <w:semiHidden/>
    <w:rsid w:val="00A51F3E"/>
    <w:rPr>
      <w:sz w:val="20"/>
      <w:szCs w:val="20"/>
    </w:rPr>
  </w:style>
  <w:style w:type="character" w:styleId="FootnoteReference">
    <w:name w:val="footnote reference"/>
    <w:basedOn w:val="DefaultParagraphFont"/>
    <w:uiPriority w:val="99"/>
    <w:semiHidden/>
    <w:unhideWhenUsed/>
    <w:rsid w:val="00A51F3E"/>
    <w:rPr>
      <w:vertAlign w:val="superscript"/>
    </w:rPr>
  </w:style>
  <w:style w:type="paragraph" w:styleId="Revision">
    <w:name w:val="Revision"/>
    <w:hidden/>
    <w:uiPriority w:val="99"/>
    <w:semiHidden/>
    <w:rsid w:val="00C42502"/>
    <w:pPr>
      <w:autoSpaceDN/>
      <w:textAlignment w:val="auto"/>
    </w:pPr>
  </w:style>
  <w:style w:type="character" w:customStyle="1" w:styleId="Heading1Char">
    <w:name w:val="Heading 1 Char"/>
    <w:basedOn w:val="DefaultParagraphFont"/>
    <w:link w:val="Heading1"/>
    <w:uiPriority w:val="99"/>
    <w:rsid w:val="006D250B"/>
    <w:rPr>
      <w:rFonts w:eastAsia="Times New Roman"/>
      <w:szCs w:val="28"/>
    </w:rPr>
  </w:style>
  <w:style w:type="table" w:styleId="TableGrid">
    <w:name w:val="Table Grid"/>
    <w:basedOn w:val="TableNormal"/>
    <w:uiPriority w:val="59"/>
    <w:rsid w:val="008C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B6D"/>
    <w:rPr>
      <w:color w:val="800080" w:themeColor="followedHyperlink"/>
      <w:u w:val="single"/>
    </w:rPr>
  </w:style>
  <w:style w:type="table" w:customStyle="1" w:styleId="TableGrid1">
    <w:name w:val="Table Grid1"/>
    <w:basedOn w:val="TableNormal"/>
    <w:next w:val="TableGrid"/>
    <w:uiPriority w:val="39"/>
    <w:rsid w:val="00F133D3"/>
    <w:pPr>
      <w:autoSpaceDN/>
      <w:jc w:val="center"/>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560F"/>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2014">
      <w:bodyDiv w:val="1"/>
      <w:marLeft w:val="0"/>
      <w:marRight w:val="0"/>
      <w:marTop w:val="0"/>
      <w:marBottom w:val="0"/>
      <w:divBdr>
        <w:top w:val="none" w:sz="0" w:space="0" w:color="auto"/>
        <w:left w:val="none" w:sz="0" w:space="0" w:color="auto"/>
        <w:bottom w:val="none" w:sz="0" w:space="0" w:color="auto"/>
        <w:right w:val="none" w:sz="0" w:space="0" w:color="auto"/>
      </w:divBdr>
    </w:div>
    <w:div w:id="188179717">
      <w:bodyDiv w:val="1"/>
      <w:marLeft w:val="0"/>
      <w:marRight w:val="0"/>
      <w:marTop w:val="0"/>
      <w:marBottom w:val="0"/>
      <w:divBdr>
        <w:top w:val="none" w:sz="0" w:space="0" w:color="auto"/>
        <w:left w:val="none" w:sz="0" w:space="0" w:color="auto"/>
        <w:bottom w:val="none" w:sz="0" w:space="0" w:color="auto"/>
        <w:right w:val="none" w:sz="0" w:space="0" w:color="auto"/>
      </w:divBdr>
    </w:div>
    <w:div w:id="1054963837">
      <w:bodyDiv w:val="1"/>
      <w:marLeft w:val="0"/>
      <w:marRight w:val="0"/>
      <w:marTop w:val="0"/>
      <w:marBottom w:val="0"/>
      <w:divBdr>
        <w:top w:val="none" w:sz="0" w:space="0" w:color="auto"/>
        <w:left w:val="none" w:sz="0" w:space="0" w:color="auto"/>
        <w:bottom w:val="none" w:sz="0" w:space="0" w:color="auto"/>
        <w:right w:val="none" w:sz="0" w:space="0" w:color="auto"/>
      </w:divBdr>
    </w:div>
    <w:div w:id="1383094137">
      <w:bodyDiv w:val="1"/>
      <w:marLeft w:val="0"/>
      <w:marRight w:val="0"/>
      <w:marTop w:val="0"/>
      <w:marBottom w:val="0"/>
      <w:divBdr>
        <w:top w:val="none" w:sz="0" w:space="0" w:color="auto"/>
        <w:left w:val="none" w:sz="0" w:space="0" w:color="auto"/>
        <w:bottom w:val="none" w:sz="0" w:space="0" w:color="auto"/>
        <w:right w:val="none" w:sz="0" w:space="0" w:color="auto"/>
      </w:divBdr>
    </w:div>
    <w:div w:id="206379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data/databa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grita.Ozolina@fm.gov.lv"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94174659994609E-2"/>
          <c:y val="7.7556434869762936E-2"/>
          <c:w val="0.9424036344080059"/>
          <c:h val="0.80930552119448462"/>
        </c:manualLayout>
      </c:layout>
      <c:bar3DChart>
        <c:barDir val="col"/>
        <c:grouping val="stacked"/>
        <c:varyColors val="0"/>
        <c:ser>
          <c:idx val="0"/>
          <c:order val="0"/>
          <c:tx>
            <c:strRef>
              <c:f>'sagatave grafikam '!$E$3</c:f>
              <c:strCache>
                <c:ptCount val="1"/>
                <c:pt idx="0">
                  <c:v>GMI pabalsts</c:v>
                </c:pt>
              </c:strCache>
            </c:strRef>
          </c:tx>
          <c:spPr>
            <a:solidFill>
              <a:schemeClr val="accent1"/>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'sagatave grafikam '!$F$2:$M$2</c:f>
              <c:strCache>
                <c:ptCount val="8"/>
                <c:pt idx="0">
                  <c:v>2009</c:v>
                </c:pt>
                <c:pt idx="1">
                  <c:v>2010</c:v>
                </c:pt>
                <c:pt idx="2">
                  <c:v>2011</c:v>
                </c:pt>
                <c:pt idx="3">
                  <c:v>2012</c:v>
                </c:pt>
                <c:pt idx="4">
                  <c:v>2013</c:v>
                </c:pt>
                <c:pt idx="5">
                  <c:v>2014</c:v>
                </c:pt>
                <c:pt idx="6">
                  <c:v>2015</c:v>
                </c:pt>
                <c:pt idx="7">
                  <c:v>2016.</c:v>
                </c:pt>
              </c:strCache>
            </c:strRef>
          </c:cat>
          <c:val>
            <c:numRef>
              <c:f>'sagatave grafikam '!$F$3:$M$3</c:f>
              <c:numCache>
                <c:formatCode>#,##0</c:formatCode>
                <c:ptCount val="8"/>
                <c:pt idx="0">
                  <c:v>9353249.2700667568</c:v>
                </c:pt>
                <c:pt idx="1">
                  <c:v>26311591.852066871</c:v>
                </c:pt>
                <c:pt idx="2">
                  <c:v>31308526.986186761</c:v>
                </c:pt>
                <c:pt idx="3">
                  <c:v>22844860.017871272</c:v>
                </c:pt>
                <c:pt idx="4">
                  <c:v>12945213.743803393</c:v>
                </c:pt>
                <c:pt idx="5">
                  <c:v>9858496</c:v>
                </c:pt>
                <c:pt idx="6">
                  <c:v>7848916</c:v>
                </c:pt>
                <c:pt idx="7">
                  <c:v>6728107</c:v>
                </c:pt>
              </c:numCache>
            </c:numRef>
          </c:val>
          <c:extLst xmlns:c16r2="http://schemas.microsoft.com/office/drawing/2015/06/chart">
            <c:ext xmlns:c16="http://schemas.microsoft.com/office/drawing/2014/chart" uri="{C3380CC4-5D6E-409C-BE32-E72D297353CC}">
              <c16:uniqueId val="{00000000-D731-4195-8823-2EE64899F719}"/>
            </c:ext>
          </c:extLst>
        </c:ser>
        <c:ser>
          <c:idx val="1"/>
          <c:order val="1"/>
          <c:tx>
            <c:strRef>
              <c:f>'sagatave grafikam '!$E$4</c:f>
              <c:strCache>
                <c:ptCount val="1"/>
                <c:pt idx="0">
                  <c:v>Dzīvokļa pabalsts</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'sagatave grafikam '!$F$2:$M$2</c:f>
              <c:strCache>
                <c:ptCount val="8"/>
                <c:pt idx="0">
                  <c:v>2009</c:v>
                </c:pt>
                <c:pt idx="1">
                  <c:v>2010</c:v>
                </c:pt>
                <c:pt idx="2">
                  <c:v>2011</c:v>
                </c:pt>
                <c:pt idx="3">
                  <c:v>2012</c:v>
                </c:pt>
                <c:pt idx="4">
                  <c:v>2013</c:v>
                </c:pt>
                <c:pt idx="5">
                  <c:v>2014</c:v>
                </c:pt>
                <c:pt idx="6">
                  <c:v>2015</c:v>
                </c:pt>
                <c:pt idx="7">
                  <c:v>2016.</c:v>
                </c:pt>
              </c:strCache>
            </c:strRef>
          </c:cat>
          <c:val>
            <c:numRef>
              <c:f>'sagatave grafikam '!$F$4:$M$4</c:f>
              <c:numCache>
                <c:formatCode>#,##0</c:formatCode>
                <c:ptCount val="8"/>
                <c:pt idx="0">
                  <c:v>17103052.913756903</c:v>
                </c:pt>
                <c:pt idx="1">
                  <c:v>22314636.797741611</c:v>
                </c:pt>
                <c:pt idx="2">
                  <c:v>28502552.632028282</c:v>
                </c:pt>
                <c:pt idx="3">
                  <c:v>26760798.1741709</c:v>
                </c:pt>
                <c:pt idx="4">
                  <c:v>23315726.717548557</c:v>
                </c:pt>
                <c:pt idx="5">
                  <c:v>20477219</c:v>
                </c:pt>
                <c:pt idx="6">
                  <c:v>18152203</c:v>
                </c:pt>
                <c:pt idx="7">
                  <c:v>16641640</c:v>
                </c:pt>
              </c:numCache>
            </c:numRef>
          </c:val>
          <c:extLst xmlns:c16r2="http://schemas.microsoft.com/office/drawing/2015/06/chart">
            <c:ext xmlns:c16="http://schemas.microsoft.com/office/drawing/2014/chart" uri="{C3380CC4-5D6E-409C-BE32-E72D297353CC}">
              <c16:uniqueId val="{00000001-D731-4195-8823-2EE64899F719}"/>
            </c:ext>
          </c:extLst>
        </c:ser>
        <c:ser>
          <c:idx val="2"/>
          <c:order val="2"/>
          <c:tx>
            <c:strRef>
              <c:f>'sagatave grafikam '!$E$5</c:f>
              <c:strCache>
                <c:ptCount val="1"/>
                <c:pt idx="0">
                  <c:v>Bezdarbnieka stipendija</c:v>
                </c:pt>
              </c:strCache>
            </c:strRef>
          </c:tx>
          <c:spPr>
            <a:solidFill>
              <a:schemeClr val="accent3"/>
            </a:solidFill>
            <a:ln>
              <a:noFill/>
            </a:ln>
            <a:effectLst/>
            <a:sp3d/>
          </c:spPr>
          <c:invertIfNegative val="0"/>
          <c:dLbls>
            <c:dLbl>
              <c:idx val="6"/>
              <c:layout>
                <c:manualLayout>
                  <c:x val="1.3654618992048279E-3"/>
                  <c:y val="0"/>
                </c:manualLayout>
              </c:layout>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731-4195-8823-2EE64899F719}"/>
                </c:ext>
                <c:ext xmlns:c15="http://schemas.microsoft.com/office/drawing/2012/chart" uri="{CE6537A1-D6FC-4f65-9D91-7224C49458BB}">
                  <c15:spPr xmlns:c15="http://schemas.microsoft.com/office/drawing/2012/chart">
                    <a:prstGeom prst="wedgeRectCallout">
                      <a:avLst/>
                    </a:prstGeom>
                  </c15:spPr>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'sagatave grafikam '!$F$2:$M$2</c:f>
              <c:strCache>
                <c:ptCount val="8"/>
                <c:pt idx="0">
                  <c:v>2009</c:v>
                </c:pt>
                <c:pt idx="1">
                  <c:v>2010</c:v>
                </c:pt>
                <c:pt idx="2">
                  <c:v>2011</c:v>
                </c:pt>
                <c:pt idx="3">
                  <c:v>2012</c:v>
                </c:pt>
                <c:pt idx="4">
                  <c:v>2013</c:v>
                </c:pt>
                <c:pt idx="5">
                  <c:v>2014</c:v>
                </c:pt>
                <c:pt idx="6">
                  <c:v>2015</c:v>
                </c:pt>
                <c:pt idx="7">
                  <c:v>2016.</c:v>
                </c:pt>
              </c:strCache>
            </c:strRef>
          </c:cat>
          <c:val>
            <c:numRef>
              <c:f>'sagatave grafikam '!$F$5:$M$5</c:f>
              <c:numCache>
                <c:formatCode>#,##0</c:formatCode>
                <c:ptCount val="8"/>
                <c:pt idx="0">
                  <c:v>4158580.4861668404</c:v>
                </c:pt>
                <c:pt idx="1">
                  <c:v>29079744.850626927</c:v>
                </c:pt>
                <c:pt idx="2">
                  <c:v>23906976.909636252</c:v>
                </c:pt>
                <c:pt idx="3">
                  <c:v>11172184.5635483</c:v>
                </c:pt>
                <c:pt idx="4">
                  <c:v>11707464.670092938</c:v>
                </c:pt>
                <c:pt idx="5">
                  <c:v>6821342</c:v>
                </c:pt>
                <c:pt idx="6">
                  <c:v>3155390</c:v>
                </c:pt>
                <c:pt idx="7">
                  <c:v>4267425</c:v>
                </c:pt>
              </c:numCache>
            </c:numRef>
          </c:val>
          <c:extLst xmlns:c16r2="http://schemas.microsoft.com/office/drawing/2015/06/chart">
            <c:ext xmlns:c16="http://schemas.microsoft.com/office/drawing/2014/chart" uri="{C3380CC4-5D6E-409C-BE32-E72D297353CC}">
              <c16:uniqueId val="{00000003-D731-4195-8823-2EE64899F719}"/>
            </c:ext>
          </c:extLst>
        </c:ser>
        <c:ser>
          <c:idx val="3"/>
          <c:order val="3"/>
          <c:tx>
            <c:strRef>
              <c:f>'sagatave grafikam '!$E$6</c:f>
              <c:strCache>
                <c:ptCount val="1"/>
                <c:pt idx="0">
                  <c:v>Pārējie soc.pabalsti</c:v>
                </c:pt>
              </c:strCache>
            </c:strRef>
          </c:tx>
          <c:spPr>
            <a:solidFill>
              <a:schemeClr val="accent4"/>
            </a:solidFill>
            <a:ln>
              <a:noFill/>
            </a:ln>
            <a:effectLst/>
            <a:sp3d/>
          </c:spPr>
          <c:invertIfNegative val="0"/>
          <c:dLbls>
            <c:dLbl>
              <c:idx val="7"/>
              <c:layout>
                <c:manualLayout>
                  <c:x val="0"/>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731-4195-8823-2EE64899F719}"/>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'sagatave grafikam '!$F$2:$M$2</c:f>
              <c:strCache>
                <c:ptCount val="8"/>
                <c:pt idx="0">
                  <c:v>2009</c:v>
                </c:pt>
                <c:pt idx="1">
                  <c:v>2010</c:v>
                </c:pt>
                <c:pt idx="2">
                  <c:v>2011</c:v>
                </c:pt>
                <c:pt idx="3">
                  <c:v>2012</c:v>
                </c:pt>
                <c:pt idx="4">
                  <c:v>2013</c:v>
                </c:pt>
                <c:pt idx="5">
                  <c:v>2014</c:v>
                </c:pt>
                <c:pt idx="6">
                  <c:v>2015</c:v>
                </c:pt>
                <c:pt idx="7">
                  <c:v>2016.</c:v>
                </c:pt>
              </c:strCache>
            </c:strRef>
          </c:cat>
          <c:val>
            <c:numRef>
              <c:f>'sagatave grafikam '!$F$6:$M$6</c:f>
              <c:numCache>
                <c:formatCode>#,##0</c:formatCode>
                <c:ptCount val="8"/>
                <c:pt idx="0">
                  <c:v>44678344.175616533</c:v>
                </c:pt>
                <c:pt idx="1">
                  <c:v>41457175.827115387</c:v>
                </c:pt>
                <c:pt idx="2">
                  <c:v>44566354.204017065</c:v>
                </c:pt>
                <c:pt idx="3">
                  <c:v>39528645.255291678</c:v>
                </c:pt>
                <c:pt idx="4">
                  <c:v>39735061.268860169</c:v>
                </c:pt>
                <c:pt idx="5">
                  <c:v>45667109</c:v>
                </c:pt>
                <c:pt idx="6">
                  <c:v>45929514</c:v>
                </c:pt>
                <c:pt idx="7">
                  <c:v>55170422</c:v>
                </c:pt>
              </c:numCache>
            </c:numRef>
          </c:val>
          <c:extLst xmlns:c16r2="http://schemas.microsoft.com/office/drawing/2015/06/chart">
            <c:ext xmlns:c16="http://schemas.microsoft.com/office/drawing/2014/chart" uri="{C3380CC4-5D6E-409C-BE32-E72D297353CC}">
              <c16:uniqueId val="{00000005-D731-4195-8823-2EE64899F719}"/>
            </c:ext>
          </c:extLst>
        </c:ser>
        <c:dLbls>
          <c:showLegendKey val="0"/>
          <c:showVal val="1"/>
          <c:showCatName val="0"/>
          <c:showSerName val="0"/>
          <c:showPercent val="0"/>
          <c:showBubbleSize val="0"/>
        </c:dLbls>
        <c:gapWidth val="150"/>
        <c:shape val="box"/>
        <c:axId val="281567920"/>
        <c:axId val="281568704"/>
        <c:axId val="0"/>
      </c:bar3DChart>
      <c:catAx>
        <c:axId val="281567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1568704"/>
        <c:crosses val="autoZero"/>
        <c:auto val="1"/>
        <c:lblAlgn val="ctr"/>
        <c:lblOffset val="100"/>
        <c:noMultiLvlLbl val="0"/>
      </c:catAx>
      <c:valAx>
        <c:axId val="281568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1567920"/>
        <c:crosses val="autoZero"/>
        <c:crossBetween val="between"/>
        <c:dispUnits>
          <c:builtInUnit val="millions"/>
        </c:dispUnits>
      </c:valAx>
      <c:spPr>
        <a:noFill/>
        <a:ln>
          <a:noFill/>
        </a:ln>
        <a:effectLst/>
      </c:spPr>
    </c:plotArea>
    <c:legend>
      <c:legendPos val="b"/>
      <c:layout>
        <c:manualLayout>
          <c:xMode val="edge"/>
          <c:yMode val="edge"/>
          <c:x val="4.9999954824924031E-2"/>
          <c:y val="0.93187079024760455"/>
          <c:w val="0.89999990964984833"/>
          <c:h val="6.812920975239540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9013-CEFB-49FB-BDEF-E14508AF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42632</Words>
  <Characters>24301</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Par nekustamā īpašuma nodokļa atcelšanu vienīgajam īpašumam</vt:lpstr>
    </vt:vector>
  </TitlesOfParts>
  <Company>FM</Company>
  <LinksUpToDate>false</LinksUpToDate>
  <CharactersWithSpaces>66800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nodokļa atcelšanu vienīgajam īpašumam</dc:title>
  <dc:subject>Informatīvais ziņojums</dc:subject>
  <dc:creator>Agrita Ozoliņa</dc:creator>
  <dc:description>67095493
Agrita.Ozolina@fm.gov.lv</dc:description>
  <cp:lastModifiedBy>Agrita Ozoliņa</cp:lastModifiedBy>
  <cp:revision>5</cp:revision>
  <cp:lastPrinted>2017-04-05T05:45:00Z</cp:lastPrinted>
  <dcterms:created xsi:type="dcterms:W3CDTF">2017-04-05T11:10:00Z</dcterms:created>
  <dcterms:modified xsi:type="dcterms:W3CDTF">2017-04-06T07:16:00Z</dcterms:modified>
</cp:coreProperties>
</file>