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5F3" w:rsidRPr="00713F12" w:rsidRDefault="005275F3" w:rsidP="005275F3">
      <w:pPr>
        <w:jc w:val="center"/>
        <w:rPr>
          <w:b/>
          <w:color w:val="000000"/>
        </w:rPr>
      </w:pPr>
      <w:r w:rsidRPr="008977ED">
        <w:rPr>
          <w:b/>
        </w:rPr>
        <w:t>Likumprojekta „Grozījum</w:t>
      </w:r>
      <w:r>
        <w:rPr>
          <w:b/>
        </w:rPr>
        <w:t>i Nacionālās drošības likumā”</w:t>
      </w:r>
      <w:r w:rsidRPr="008977ED">
        <w:rPr>
          <w:b/>
        </w:rPr>
        <w:t xml:space="preserve"> sākotnējās ietekmes novērtējuma ziņojums (anotācija)</w:t>
      </w:r>
    </w:p>
    <w:p w:rsidR="005275F3" w:rsidRPr="008977ED" w:rsidRDefault="005275F3" w:rsidP="005275F3">
      <w:pPr>
        <w:pStyle w:val="BodyText"/>
        <w:rPr>
          <w:sz w:val="24"/>
        </w:rPr>
      </w:pPr>
    </w:p>
    <w:tbl>
      <w:tblPr>
        <w:tblStyle w:val="TableGrid"/>
        <w:tblW w:w="9034" w:type="dxa"/>
        <w:tblLayout w:type="fixed"/>
        <w:tblLook w:val="04A0" w:firstRow="1" w:lastRow="0" w:firstColumn="1" w:lastColumn="0" w:noHBand="0" w:noVBand="1"/>
      </w:tblPr>
      <w:tblGrid>
        <w:gridCol w:w="576"/>
        <w:gridCol w:w="2694"/>
        <w:gridCol w:w="425"/>
        <w:gridCol w:w="5339"/>
      </w:tblGrid>
      <w:tr w:rsidR="005275F3" w:rsidRPr="008977ED" w:rsidTr="009636A5">
        <w:tc>
          <w:tcPr>
            <w:tcW w:w="9034" w:type="dxa"/>
            <w:gridSpan w:val="4"/>
          </w:tcPr>
          <w:p w:rsidR="005275F3" w:rsidRPr="008977ED" w:rsidRDefault="005275F3" w:rsidP="00FE6378">
            <w:pPr>
              <w:pStyle w:val="BodyText"/>
              <w:spacing w:before="60" w:after="60"/>
              <w:rPr>
                <w:sz w:val="24"/>
              </w:rPr>
            </w:pPr>
            <w:r w:rsidRPr="008977ED">
              <w:rPr>
                <w:sz w:val="24"/>
              </w:rPr>
              <w:t>I. Tiesību akta projekta izstrādes nepieciešamība</w:t>
            </w:r>
          </w:p>
        </w:tc>
      </w:tr>
      <w:tr w:rsidR="005275F3" w:rsidRPr="008977ED" w:rsidTr="009636A5">
        <w:tc>
          <w:tcPr>
            <w:tcW w:w="576" w:type="dxa"/>
          </w:tcPr>
          <w:p w:rsidR="005275F3" w:rsidRPr="008977ED" w:rsidRDefault="005275F3" w:rsidP="00FE6378">
            <w:pPr>
              <w:spacing w:before="60"/>
            </w:pPr>
            <w:r w:rsidRPr="008977ED">
              <w:t>1.</w:t>
            </w:r>
          </w:p>
        </w:tc>
        <w:tc>
          <w:tcPr>
            <w:tcW w:w="2694" w:type="dxa"/>
          </w:tcPr>
          <w:p w:rsidR="005275F3" w:rsidRPr="008977ED" w:rsidRDefault="005275F3" w:rsidP="00FE6378">
            <w:pPr>
              <w:spacing w:before="60"/>
            </w:pPr>
            <w:r w:rsidRPr="008977ED">
              <w:t>Pamatojums</w:t>
            </w:r>
          </w:p>
        </w:tc>
        <w:tc>
          <w:tcPr>
            <w:tcW w:w="5764" w:type="dxa"/>
            <w:gridSpan w:val="2"/>
          </w:tcPr>
          <w:p w:rsidR="005275F3" w:rsidRPr="0028505E" w:rsidRDefault="005275F3" w:rsidP="00FE6378">
            <w:pPr>
              <w:spacing w:before="60"/>
              <w:ind w:firstLine="771"/>
              <w:jc w:val="both"/>
            </w:pPr>
            <w:r w:rsidRPr="0028505E">
              <w:t xml:space="preserve">Ministru kabineta </w:t>
            </w:r>
            <w:proofErr w:type="gramStart"/>
            <w:r w:rsidRPr="0028505E">
              <w:t>2016.gada</w:t>
            </w:r>
            <w:proofErr w:type="gramEnd"/>
            <w:r w:rsidRPr="0028505E">
              <w:t xml:space="preserve"> 2.februāra </w:t>
            </w:r>
            <w:r w:rsidR="00643E89">
              <w:t xml:space="preserve">sēdes </w:t>
            </w:r>
            <w:bookmarkStart w:id="0" w:name="_GoBack"/>
            <w:bookmarkEnd w:id="0"/>
            <w:r w:rsidRPr="0028505E">
              <w:t>protokols Nr.5, 38.§ (TA-2689-DV).</w:t>
            </w:r>
          </w:p>
        </w:tc>
      </w:tr>
      <w:tr w:rsidR="005275F3" w:rsidRPr="00FD2781" w:rsidTr="009636A5">
        <w:tc>
          <w:tcPr>
            <w:tcW w:w="576" w:type="dxa"/>
          </w:tcPr>
          <w:p w:rsidR="005275F3" w:rsidRPr="008977ED" w:rsidRDefault="005275F3" w:rsidP="00FE6378">
            <w:pPr>
              <w:spacing w:before="60" w:line="720" w:lineRule="auto"/>
            </w:pPr>
            <w:r w:rsidRPr="008977ED">
              <w:t>2.</w:t>
            </w:r>
          </w:p>
        </w:tc>
        <w:tc>
          <w:tcPr>
            <w:tcW w:w="2694" w:type="dxa"/>
          </w:tcPr>
          <w:p w:rsidR="005275F3" w:rsidRPr="008977ED" w:rsidRDefault="005275F3" w:rsidP="00FE6378">
            <w:pPr>
              <w:spacing w:before="60"/>
            </w:pPr>
            <w:r w:rsidRPr="008977ED">
              <w:t>Pašreizējā situācija un problēmas, kuru risināšanai tiesību akta projekts izstrādāts, tiesiskā regulējuma mērķis un būtība</w:t>
            </w:r>
          </w:p>
        </w:tc>
        <w:tc>
          <w:tcPr>
            <w:tcW w:w="5764" w:type="dxa"/>
            <w:gridSpan w:val="2"/>
          </w:tcPr>
          <w:p w:rsidR="005275F3" w:rsidRPr="00D600CC" w:rsidRDefault="005275F3" w:rsidP="00486F88">
            <w:pPr>
              <w:tabs>
                <w:tab w:val="left" w:pos="567"/>
              </w:tabs>
              <w:ind w:firstLine="771"/>
              <w:jc w:val="both"/>
            </w:pPr>
            <w:r w:rsidRPr="00D600CC">
              <w:t xml:space="preserve">Ievērojot Ministru kabineta </w:t>
            </w:r>
            <w:proofErr w:type="gramStart"/>
            <w:r w:rsidRPr="00D600CC">
              <w:t>2016.gada</w:t>
            </w:r>
            <w:proofErr w:type="gramEnd"/>
            <w:r w:rsidRPr="00D600CC">
              <w:t xml:space="preserve"> 2.februāra sēdes protokola Nr.5 38.§ (TA-2689-DV) „Par informatīvo ziņojumu „Par Ministru kabineta 2015.gada 7.aprīļa sēdes </w:t>
            </w:r>
            <w:proofErr w:type="spellStart"/>
            <w:r w:rsidRPr="00D600CC">
              <w:t>protokollēmuma</w:t>
            </w:r>
            <w:proofErr w:type="spellEnd"/>
            <w:r w:rsidRPr="00D600CC">
              <w:t xml:space="preserve"> (prot.Nr.18 68.§) „Par militārās pieredzes un kaujas pieredzes gūšanas ierobežošanas pasākumiem” 4.punktā uzdotā uzdevuma izpildi”” 2.punktā noteikto, Iekšlietu ministrija ir sagatavojusi grozījumu Nacionālās drošības likumā (turpmāk – likumprojekts). </w:t>
            </w:r>
          </w:p>
          <w:p w:rsidR="00620966" w:rsidRPr="00D600CC" w:rsidRDefault="005275F3" w:rsidP="00620966">
            <w:pPr>
              <w:ind w:firstLine="629"/>
              <w:jc w:val="both"/>
            </w:pPr>
            <w:proofErr w:type="gramStart"/>
            <w:r w:rsidRPr="00D600CC">
              <w:t>Ņemot vērā pašreiz esošo situāciju</w:t>
            </w:r>
            <w:proofErr w:type="gramEnd"/>
            <w:r w:rsidRPr="00D600CC">
              <w:t xml:space="preserve"> valstu drošību jautājumos, vairākas valstis, piemēram, Lielbritānija, Dānija, Vācija un Nīderlande ir jau veikušas izmaiņas savos normatīvajos aktos ar mērķi novērst </w:t>
            </w:r>
            <w:proofErr w:type="spellStart"/>
            <w:r w:rsidRPr="00D600CC">
              <w:t>radikalizācijas</w:t>
            </w:r>
            <w:proofErr w:type="spellEnd"/>
            <w:r w:rsidRPr="00D600CC">
              <w:t xml:space="preserve"> un ekstrēmisma izplatīšanos. </w:t>
            </w:r>
            <w:proofErr w:type="spellStart"/>
            <w:r w:rsidR="00620966" w:rsidRPr="00D600CC">
              <w:t>Radikalizācija</w:t>
            </w:r>
            <w:proofErr w:type="spellEnd"/>
            <w:r w:rsidR="00620966" w:rsidRPr="00D600CC">
              <w:t xml:space="preserve"> ir tādu uzskatu pieņemšana, kas pieļauj vardarbības izmantošanu politisku vai ideoloģisku mērķu sasniegšanai. Pretterorisma kontekstā ar </w:t>
            </w:r>
            <w:proofErr w:type="spellStart"/>
            <w:r w:rsidR="00620966" w:rsidRPr="00D600CC">
              <w:t>radikalizāciju</w:t>
            </w:r>
            <w:proofErr w:type="spellEnd"/>
            <w:r w:rsidR="00620966" w:rsidRPr="00D600CC">
              <w:t xml:space="preserve"> saprot tieši radikālas ideoloģijas pieņemšanu, kas var novest pie terorisma kā procesa vai cīņas atbalstīšanas un iesaistes tajā. </w:t>
            </w:r>
            <w:r w:rsidR="00620966" w:rsidRPr="00D600CC">
              <w:rPr>
                <w:lang w:eastAsia="lv-LV"/>
              </w:rPr>
              <w:t xml:space="preserve">Īpaša uzmanība pievēršama nepilngadīgām personām, kuras ir mazāk aizsargātas un tām nav pilnīga izpratne par iesaistīšanās mērķi </w:t>
            </w:r>
            <w:r w:rsidR="00620966" w:rsidRPr="00D600CC">
              <w:t>prettiesiskajos militārajos vai bruņotajos formējumos.</w:t>
            </w:r>
          </w:p>
          <w:p w:rsidR="005275F3" w:rsidRPr="00D600CC" w:rsidRDefault="005275F3" w:rsidP="00486F88">
            <w:pPr>
              <w:ind w:firstLine="720"/>
              <w:jc w:val="both"/>
              <w:rPr>
                <w:lang w:eastAsia="lv-LV"/>
              </w:rPr>
            </w:pPr>
            <w:r w:rsidRPr="00D600CC">
              <w:t xml:space="preserve">Viens no valsts līdzekļiem minētā novēršanai ir ierobežot personas tiesības ceļot uz Eiropas Savienības, Šengenas līguma dalībvalstīm un trešajām valstīm. Šo ierobežojumu piemērošana ir kā galējais līdzeklis attiecīgā mērķa sasniegšanai. </w:t>
            </w:r>
            <w:r w:rsidRPr="00D600CC">
              <w:rPr>
                <w:lang w:eastAsia="lv-LV"/>
              </w:rPr>
              <w:t>Saskaņā ar Eiropas Cilvēktiesību un pamatbrīvību aizsardzības konvencijas 4.protokolu, kurš nodrošina noteiktas tiesības un brīvības, kuras nav iekļautas konvencijā un tās</w:t>
            </w:r>
            <w:r w:rsidR="00E6123B" w:rsidRPr="00D600CC">
              <w:rPr>
                <w:lang w:eastAsia="lv-LV"/>
              </w:rPr>
              <w:t xml:space="preserve"> pirmajā protokolā, </w:t>
            </w:r>
            <w:proofErr w:type="gramStart"/>
            <w:r w:rsidR="00E6123B" w:rsidRPr="00D600CC">
              <w:rPr>
                <w:lang w:eastAsia="lv-LV"/>
              </w:rPr>
              <w:t>2.panta</w:t>
            </w:r>
            <w:proofErr w:type="gramEnd"/>
            <w:r w:rsidR="00E6123B" w:rsidRPr="00D600CC">
              <w:rPr>
                <w:lang w:eastAsia="lv-LV"/>
              </w:rPr>
              <w:t xml:space="preserve"> 2. un </w:t>
            </w:r>
            <w:r w:rsidRPr="00D600CC">
              <w:rPr>
                <w:lang w:eastAsia="lv-LV"/>
              </w:rPr>
              <w:t xml:space="preserve">3. </w:t>
            </w:r>
            <w:r w:rsidR="00E6123B" w:rsidRPr="00D600CC">
              <w:rPr>
                <w:lang w:eastAsia="lv-LV"/>
              </w:rPr>
              <w:t xml:space="preserve">punktu </w:t>
            </w:r>
            <w:r w:rsidRPr="00D600CC">
              <w:rPr>
                <w:lang w:eastAsia="lv-LV"/>
              </w:rPr>
              <w:t xml:space="preserve">ikvienam ir tiesības brīvi atstāt jebkuru valsti, ieskaitot savu valsti, un šo tiesību izmantošanai nedrīkst noteikt nekādus ierobežojumus, izņemot tos, kurus nosaka likums un kas ir nepieciešami demokrātiskā sabiedrībā valsts drošības un sabiedriskās drošības interesēs, lai aizsargātu sabiedrisko iekārtu, nepieļautu noziedzīgus nodarījumus, aizsargātu veselību vai tikumību vai lai aizsargātu citu cilvēku tiesības un brīvības. Tomēr tiesības, kas noteiktas </w:t>
            </w:r>
            <w:proofErr w:type="gramStart"/>
            <w:r w:rsidRPr="00D600CC">
              <w:rPr>
                <w:lang w:eastAsia="lv-LV"/>
              </w:rPr>
              <w:t>2.panta</w:t>
            </w:r>
            <w:proofErr w:type="gramEnd"/>
            <w:r w:rsidRPr="00D600CC">
              <w:rPr>
                <w:lang w:eastAsia="lv-LV"/>
              </w:rPr>
              <w:t xml:space="preserve"> pirmajā daļā, zināmos </w:t>
            </w:r>
            <w:r w:rsidR="00CA65E1" w:rsidRPr="00D600CC">
              <w:rPr>
                <w:lang w:eastAsia="lv-LV"/>
              </w:rPr>
              <w:t>apstākļos</w:t>
            </w:r>
            <w:r w:rsidRPr="00D600CC">
              <w:rPr>
                <w:lang w:eastAsia="lv-LV"/>
              </w:rPr>
              <w:t xml:space="preserve"> var tikt pakļautas ierobežojumiem, ko nosaka likums un kuri ir noteikti sabiedrības interesēs demokrātiskā sabiedrībā. Turklāt nevienu nedrīkst izraidīt nedz individuāli, nedz kolektīvi no tās valsts teritorijas, </w:t>
            </w:r>
            <w:r w:rsidRPr="00D600CC">
              <w:rPr>
                <w:lang w:eastAsia="lv-LV"/>
              </w:rPr>
              <w:lastRenderedPageBreak/>
              <w:t xml:space="preserve">kuras pilsonis viņš ir, un nevienam nedrīkst liegt tiesības ieceļot tās valsts teritorijā, kuras pilsonis viņš ir. Arī Eiropas Savienības Pamattiesību hartas </w:t>
            </w:r>
            <w:proofErr w:type="gramStart"/>
            <w:r w:rsidRPr="00D600CC">
              <w:rPr>
                <w:lang w:eastAsia="lv-LV"/>
              </w:rPr>
              <w:t>45.pants</w:t>
            </w:r>
            <w:proofErr w:type="gramEnd"/>
            <w:r w:rsidRPr="00D600CC">
              <w:rPr>
                <w:lang w:eastAsia="lv-LV"/>
              </w:rPr>
              <w:t xml:space="preserve"> paredz ikvienam Savienības pilsonim tiesības brīvi pārvietoties un apmesties uz dzīvi dalībvalstu teritorijā.</w:t>
            </w:r>
          </w:p>
          <w:p w:rsidR="00620966" w:rsidRPr="00D600CC" w:rsidRDefault="00620966" w:rsidP="00620966">
            <w:pPr>
              <w:autoSpaceDE w:val="0"/>
              <w:autoSpaceDN w:val="0"/>
              <w:adjustRightInd w:val="0"/>
              <w:ind w:firstLine="459"/>
              <w:jc w:val="both"/>
              <w:rPr>
                <w:lang w:eastAsia="lv-LV"/>
              </w:rPr>
            </w:pPr>
            <w:r w:rsidRPr="00D600CC">
              <w:rPr>
                <w:rFonts w:cs="EUAlbertina"/>
                <w:color w:val="000000"/>
                <w:lang w:eastAsia="lv-LV"/>
              </w:rPr>
              <w:t>Vērtējot savu valstspiederīgo dalību bruņotos konfliktos ārvalstīs, daudzas valstis jau pašlaik ir atzinušas, ka šādas personas un to rīcība rada būtisku apdraudējumu starptautiskajam mieram un drošībai, kā arī rada apdraudējumu vairākām interešu grupām, piemēram:</w:t>
            </w:r>
          </w:p>
          <w:p w:rsidR="00620966" w:rsidRPr="00D600CC" w:rsidRDefault="00620966" w:rsidP="00620966">
            <w:pPr>
              <w:autoSpaceDE w:val="0"/>
              <w:autoSpaceDN w:val="0"/>
              <w:adjustRightInd w:val="0"/>
              <w:ind w:firstLine="459"/>
              <w:jc w:val="both"/>
              <w:rPr>
                <w:lang w:eastAsia="lv-LV"/>
              </w:rPr>
            </w:pPr>
            <w:r w:rsidRPr="00D600CC">
              <w:rPr>
                <w:rFonts w:cs="EUAlbertina"/>
                <w:color w:val="000000"/>
                <w:lang w:eastAsia="lv-LV"/>
              </w:rPr>
              <w:t xml:space="preserve">1. tiek ievērojami apdraudētas starptautiskā miera intereses; </w:t>
            </w:r>
          </w:p>
          <w:p w:rsidR="00620966" w:rsidRPr="00D600CC" w:rsidRDefault="00620966" w:rsidP="00620966">
            <w:pPr>
              <w:autoSpaceDE w:val="0"/>
              <w:autoSpaceDN w:val="0"/>
              <w:adjustRightInd w:val="0"/>
              <w:ind w:firstLine="459"/>
              <w:jc w:val="both"/>
              <w:rPr>
                <w:lang w:eastAsia="lv-LV"/>
              </w:rPr>
            </w:pPr>
            <w:r w:rsidRPr="00D600CC">
              <w:rPr>
                <w:rFonts w:cs="EUAlbertina"/>
                <w:color w:val="000000"/>
                <w:lang w:eastAsia="lv-LV"/>
              </w:rPr>
              <w:t xml:space="preserve">2. tiek apdraudētas tautu un nāciju mierīgas </w:t>
            </w:r>
            <w:proofErr w:type="gramStart"/>
            <w:r w:rsidRPr="00D600CC">
              <w:rPr>
                <w:rFonts w:cs="EUAlbertina"/>
                <w:color w:val="000000"/>
                <w:lang w:eastAsia="lv-LV"/>
              </w:rPr>
              <w:t>līdz</w:t>
            </w:r>
            <w:r w:rsidR="00836542" w:rsidRPr="00D600CC">
              <w:rPr>
                <w:rFonts w:cs="EUAlbertina"/>
                <w:color w:val="000000"/>
                <w:lang w:eastAsia="lv-LV"/>
              </w:rPr>
              <w:t xml:space="preserve">ās </w:t>
            </w:r>
            <w:r w:rsidRPr="00D600CC">
              <w:rPr>
                <w:rFonts w:cs="EUAlbertina"/>
                <w:color w:val="000000"/>
                <w:lang w:eastAsia="lv-LV"/>
              </w:rPr>
              <w:t>pastāvēšanas</w:t>
            </w:r>
            <w:proofErr w:type="gramEnd"/>
            <w:r w:rsidRPr="00D600CC">
              <w:rPr>
                <w:rFonts w:cs="EUAlbertina"/>
                <w:color w:val="000000"/>
                <w:lang w:eastAsia="lv-LV"/>
              </w:rPr>
              <w:t xml:space="preserve"> intereses;</w:t>
            </w:r>
          </w:p>
          <w:p w:rsidR="00620966" w:rsidRPr="00D600CC" w:rsidRDefault="00620966" w:rsidP="00620966">
            <w:pPr>
              <w:autoSpaceDE w:val="0"/>
              <w:autoSpaceDN w:val="0"/>
              <w:adjustRightInd w:val="0"/>
              <w:ind w:firstLine="459"/>
              <w:jc w:val="both"/>
              <w:rPr>
                <w:lang w:eastAsia="lv-LV"/>
              </w:rPr>
            </w:pPr>
            <w:r w:rsidRPr="00D600CC">
              <w:rPr>
                <w:rFonts w:cs="EUAlbertina"/>
                <w:color w:val="000000"/>
                <w:lang w:eastAsia="lv-LV"/>
              </w:rPr>
              <w:t>3. tiek pastiprināts apdraudējums citu valstu ārējās un iekšējās drošības interesēm;</w:t>
            </w:r>
          </w:p>
          <w:p w:rsidR="00620966" w:rsidRPr="00D600CC" w:rsidRDefault="00620966" w:rsidP="00620966">
            <w:pPr>
              <w:autoSpaceDE w:val="0"/>
              <w:autoSpaceDN w:val="0"/>
              <w:adjustRightInd w:val="0"/>
              <w:ind w:firstLine="459"/>
              <w:jc w:val="both"/>
              <w:rPr>
                <w:lang w:eastAsia="lv-LV"/>
              </w:rPr>
            </w:pPr>
            <w:r w:rsidRPr="00D600CC">
              <w:rPr>
                <w:rFonts w:cs="EUAlbertina"/>
                <w:color w:val="000000"/>
                <w:lang w:eastAsia="lv-LV"/>
              </w:rPr>
              <w:t>4. ievērojami tiek apdraudēta cilvēktiesību nodrošināšana – apdraudētas tiek visas būtiskākās personas pamattiesības un pamatbrīvības;</w:t>
            </w:r>
          </w:p>
          <w:p w:rsidR="00620966" w:rsidRPr="00D600CC" w:rsidRDefault="00620966" w:rsidP="00620966">
            <w:pPr>
              <w:autoSpaceDE w:val="0"/>
              <w:autoSpaceDN w:val="0"/>
              <w:adjustRightInd w:val="0"/>
              <w:ind w:firstLine="459"/>
              <w:jc w:val="both"/>
              <w:rPr>
                <w:rFonts w:cs="EUAlbertina"/>
                <w:color w:val="000000"/>
                <w:lang w:eastAsia="lv-LV"/>
              </w:rPr>
            </w:pPr>
            <w:r w:rsidRPr="00D600CC">
              <w:rPr>
                <w:rFonts w:cs="EUAlbertina"/>
                <w:color w:val="000000"/>
                <w:lang w:eastAsia="lv-LV"/>
              </w:rPr>
              <w:t>5. apdraudētas tiek arī nacionālās drošības intereses – riski saistāmi gan ar valsts starptautisko reputāciju, gan ar kaujas pieredzi guvušo personu atgriešanos un iespējamu teroristisku darbību veikšanu.</w:t>
            </w:r>
          </w:p>
          <w:p w:rsidR="00620966" w:rsidRPr="00D600CC" w:rsidRDefault="00620966" w:rsidP="00620966">
            <w:pPr>
              <w:autoSpaceDE w:val="0"/>
              <w:autoSpaceDN w:val="0"/>
              <w:adjustRightInd w:val="0"/>
              <w:ind w:firstLine="459"/>
              <w:jc w:val="both"/>
              <w:rPr>
                <w:lang w:eastAsia="lv-LV"/>
              </w:rPr>
            </w:pPr>
            <w:r w:rsidRPr="00D600CC">
              <w:rPr>
                <w:color w:val="000000"/>
              </w:rPr>
              <w:t xml:space="preserve">Valstis, kuras ievēro apņemšanos neizmantot karu kā konfliktu risināšanas līdzekli, ir ieinteresētas nepieļaut savu </w:t>
            </w:r>
            <w:r w:rsidRPr="00D600CC">
              <w:rPr>
                <w:rStyle w:val="spelle"/>
                <w:color w:val="000000"/>
              </w:rPr>
              <w:t>valstspiederīgo</w:t>
            </w:r>
            <w:r w:rsidRPr="00D600CC">
              <w:rPr>
                <w:color w:val="000000"/>
              </w:rPr>
              <w:t xml:space="preserve"> iesaisti bruņotos konfliktos ārvalstīs, kontroles nepieciešamību pamatojot ar ievērojamiem valsts un sabiedrības drošības apdraudējumiem, kas rodas pēc šādu personu atgriešanās valstī.</w:t>
            </w:r>
          </w:p>
          <w:p w:rsidR="002725AD" w:rsidRPr="00D600CC" w:rsidRDefault="002A1D2F" w:rsidP="002725AD">
            <w:pPr>
              <w:ind w:firstLine="629"/>
              <w:jc w:val="both"/>
            </w:pPr>
            <w:r w:rsidRPr="00D600CC">
              <w:t xml:space="preserve">Saskaņā ar Latvijas Republikas Satversmes </w:t>
            </w:r>
            <w:proofErr w:type="gramStart"/>
            <w:r w:rsidRPr="00D600CC">
              <w:t>98.pantu</w:t>
            </w:r>
            <w:proofErr w:type="gramEnd"/>
            <w:r w:rsidRPr="00D600CC">
              <w:t xml:space="preserve"> ikvienam ir tiesības brīvi izbraukt no Latvijas. Ikviens, kam ir Latvijas pase, ārpus Latvijas atrodas valsts aizsardzībā, un viņam ir tiesības brīvi atgriezties Latvijā. Latvijas pilsoni nevar izdot ārvalstīm, izņemot Saeimas apstiprinātajos starptautiskajos līgumos paredzētos gadījumus, ja ar izdošanu netiek pārkāptas Satversmē noteiktās cilvēka pamattiesības. Tomēr minētās</w:t>
            </w:r>
            <w:r w:rsidR="002725AD" w:rsidRPr="00D600CC">
              <w:t xml:space="preserve"> personas</w:t>
            </w:r>
            <w:r w:rsidRPr="00D600CC">
              <w:t xml:space="preserve"> </w:t>
            </w:r>
            <w:r w:rsidR="002725AD" w:rsidRPr="00D600CC">
              <w:t xml:space="preserve">tiesības ir ierobežojamas. Proti, </w:t>
            </w:r>
            <w:r w:rsidRPr="00D600CC">
              <w:t xml:space="preserve">Latvijas Republikas </w:t>
            </w:r>
            <w:r w:rsidR="002725AD" w:rsidRPr="00D600CC">
              <w:t>Satversmes 116.pants nosaka, ka</w:t>
            </w:r>
            <w:r w:rsidRPr="00D600CC">
              <w:t xml:space="preserve"> personas tiesības, kas noteiktas Satversmes </w:t>
            </w:r>
            <w:r w:rsidR="002725AD" w:rsidRPr="00D600CC">
              <w:t>98.pantā</w:t>
            </w:r>
            <w:r w:rsidRPr="00D600CC">
              <w:t xml:space="preserve"> var ierobežot likumā par</w:t>
            </w:r>
            <w:r w:rsidR="002725AD" w:rsidRPr="00D600CC">
              <w:t>edzētajos gadījumos, lai aizsarg</w:t>
            </w:r>
            <w:r w:rsidRPr="00D600CC">
              <w:t xml:space="preserve">ātu citu cilvēku tiesības, demokrātisko valsts iekārtu, sabiedrības drošību, labklājību un tikumību. </w:t>
            </w:r>
          </w:p>
          <w:p w:rsidR="00F36ED9" w:rsidRPr="00D600CC" w:rsidRDefault="002725AD" w:rsidP="00F36ED9">
            <w:pPr>
              <w:ind w:firstLine="629"/>
              <w:jc w:val="both"/>
              <w:rPr>
                <w:lang w:eastAsia="lv-LV"/>
              </w:rPr>
            </w:pPr>
            <w:r w:rsidRPr="00D600CC">
              <w:t xml:space="preserve">Tādējādi pamattiesību ierobežojumus var noteikt tikai tad, ja ar to tiek sasniegts kāds no Latvijas Republikas Satversmes 116.pantā minētajiem mērķiem. Proti, pamattiesības var ierobežot, lai aizsargātu citu cilvēku tiesības, demokrātisko valsts iekārtu, sabiedrības drošību, labklājību un tikumību. </w:t>
            </w:r>
            <w:r w:rsidR="00F36ED9" w:rsidRPr="00D600CC">
              <w:t>Šīs piecas konstitucionāla ranga vērtības ir tie leģitīmie mērķi, kuru labad var notikt pamattiesību ierobežošana (</w:t>
            </w:r>
            <w:r w:rsidR="00F36ED9" w:rsidRPr="00D600CC">
              <w:rPr>
                <w:i/>
              </w:rPr>
              <w:t xml:space="preserve">K. Balodis, referāts </w:t>
            </w:r>
            <w:r w:rsidR="00F36ED9" w:rsidRPr="00D600CC">
              <w:rPr>
                <w:i/>
              </w:rPr>
              <w:lastRenderedPageBreak/>
              <w:t>„Pamattiesību ierobežojumu pieļaujamība demokrātiskā valstī”</w:t>
            </w:r>
            <w:r w:rsidR="00F36ED9" w:rsidRPr="00D600CC">
              <w:t xml:space="preserve">). </w:t>
            </w:r>
          </w:p>
          <w:p w:rsidR="00D34988" w:rsidRPr="00D600CC" w:rsidRDefault="00F36ED9" w:rsidP="00D34988">
            <w:pPr>
              <w:ind w:firstLine="629"/>
              <w:jc w:val="both"/>
            </w:pPr>
            <w:r w:rsidRPr="00D600CC">
              <w:t xml:space="preserve">Analizējot situāciju, kas pašreiz ir vērojama Eiropā saistībā ar </w:t>
            </w:r>
            <w:proofErr w:type="spellStart"/>
            <w:r w:rsidRPr="00D600CC">
              <w:t>radikalizācijas</w:t>
            </w:r>
            <w:proofErr w:type="spellEnd"/>
            <w:r w:rsidRPr="00D600CC">
              <w:t xml:space="preserve"> tendencēm un sekām, Iekšlietu ministrija ir konstatējusi, ka nepieciešams arī Latvijā ieviest tiesisko mehānismu izceļošanas aizlieguma noteikšanai, tādējādi aizsargājot Latvijas Republikas Satversmes 116.pantā noteikto sabiedrības drošību. </w:t>
            </w:r>
          </w:p>
          <w:p w:rsidR="00620966" w:rsidRPr="00D600CC" w:rsidRDefault="00D34988" w:rsidP="00620966">
            <w:pPr>
              <w:ind w:firstLine="629"/>
              <w:jc w:val="both"/>
            </w:pPr>
            <w:r w:rsidRPr="00D600CC">
              <w:t>Latvijas Republikas Satversmes tiesa ir secinājusi, ka sabiedrības drošība kā regulējuma leģitīmais mērķis ir saistāma ar demokrātiskās valsts iekārtas aizsardzību un tiek atzīta par pieļaujamu galvenokārt tādos gadījumos, kad tiek skarti jautājumi par valsts vai sabiedrības drošības apdraudējumiem. Lai likumdevējs varētu izmantot sabiedrības drošību kā tiesiskā regulējuma leģitīmo mērķi, ir nepieciešams pamatot objektīvi pastāvošo vai potenciāli iespējamo saikni starp konkrēta tiesiskā regulējuma pieņemšanu un sabiedrības drošības stiprināšanu, drošības apdraudējuma novēršanu vai mazināšanu (</w:t>
            </w:r>
            <w:r w:rsidRPr="00D600CC">
              <w:rPr>
                <w:i/>
              </w:rPr>
              <w:t xml:space="preserve">Satversmes tiesas </w:t>
            </w:r>
            <w:proofErr w:type="gramStart"/>
            <w:r w:rsidRPr="00D600CC">
              <w:rPr>
                <w:i/>
              </w:rPr>
              <w:t>2010.gada</w:t>
            </w:r>
            <w:proofErr w:type="gramEnd"/>
            <w:r w:rsidRPr="00D600CC">
              <w:rPr>
                <w:i/>
              </w:rPr>
              <w:t xml:space="preserve"> 7.oktobra spriedums lietā Nr.2010-01-01</w:t>
            </w:r>
            <w:r w:rsidRPr="00D600CC">
              <w:t>).</w:t>
            </w:r>
          </w:p>
          <w:p w:rsidR="00FF4211" w:rsidRPr="00D600CC" w:rsidRDefault="00620966" w:rsidP="00FF4211">
            <w:pPr>
              <w:ind w:firstLine="720"/>
              <w:jc w:val="both"/>
            </w:pPr>
            <w:r w:rsidRPr="00D600CC">
              <w:rPr>
                <w:lang w:eastAsia="lv-LV"/>
              </w:rPr>
              <w:t xml:space="preserve">Pašreiz Latvijā nav paredzētas pilnvaras ierobežot personas tiesības ceļot, ievērojot sabiedrības un nacionālās drošības intereses. </w:t>
            </w:r>
            <w:r w:rsidR="00612809" w:rsidRPr="00D600CC">
              <w:rPr>
                <w:lang w:eastAsia="lv-LV"/>
              </w:rPr>
              <w:t>Norādām, ka a</w:t>
            </w:r>
            <w:r w:rsidRPr="00D600CC">
              <w:rPr>
                <w:lang w:eastAsia="lv-LV"/>
              </w:rPr>
              <w:t>tbilstoši Kriminālprocesa likuma 255.pantā noteiktajam, procesa virzītājam ir tiesības noteikt a</w:t>
            </w:r>
            <w:r w:rsidRPr="00D600CC">
              <w:t>izliegumu izbraukt no valsts bez procesa virzītāja atļaujas aizdomās turētajam vai apsūdzētajam.</w:t>
            </w:r>
            <w:r w:rsidRPr="00D600CC">
              <w:rPr>
                <w:lang w:eastAsia="lv-LV"/>
              </w:rPr>
              <w:t xml:space="preserve"> Taču minētais ir piemērojams tikai tajos gadījumos, kad pret personu ir uzsākts kriminālprocess, bet gadījumos, kad kriminālprocess nav uzsākts, bet valsts drošības iestādēm ir attiecīgās ziņas, </w:t>
            </w:r>
            <w:r w:rsidR="00836542" w:rsidRPr="00D600CC">
              <w:rPr>
                <w:lang w:eastAsia="lv-LV"/>
              </w:rPr>
              <w:t xml:space="preserve">ka </w:t>
            </w:r>
            <w:r w:rsidRPr="00D600CC">
              <w:t>persona var apdraudēt valsts drošību, plāno iesaistīties teroristiskās darbībās vai bruņotā konfliktā ārvalstī</w:t>
            </w:r>
            <w:r w:rsidRPr="00D600CC">
              <w:rPr>
                <w:lang w:eastAsia="lv-LV"/>
              </w:rPr>
              <w:t>,</w:t>
            </w:r>
            <w:r w:rsidRPr="00D600CC">
              <w:t xml:space="preserve"> valsts rīcībā nav preventīva mehānisma personas ceļošanas tiesību ierobežošanai. </w:t>
            </w:r>
            <w:r w:rsidRPr="00D600CC">
              <w:rPr>
                <w:lang w:eastAsia="lv-LV"/>
              </w:rPr>
              <w:t xml:space="preserve">Savukārt Pilsonības likuma </w:t>
            </w:r>
            <w:proofErr w:type="gramStart"/>
            <w:r w:rsidRPr="00D600CC">
              <w:rPr>
                <w:lang w:eastAsia="lv-LV"/>
              </w:rPr>
              <w:t>24.pantā</w:t>
            </w:r>
            <w:proofErr w:type="gramEnd"/>
            <w:r w:rsidRPr="00D600CC">
              <w:rPr>
                <w:lang w:eastAsia="lv-LV"/>
              </w:rPr>
              <w:t xml:space="preserve"> ir uzskaitīti pilsonības atņemšanas nosacījumi. Proti, </w:t>
            </w:r>
            <w:r w:rsidRPr="00D600CC">
              <w:t xml:space="preserve">Latvijas pilsonību personai atņem, ja tā bez Ministru kabineta atļaujas brīvprātīgi dien kādas citas valsts bruņotajos spēkos vai militārā organizācijā, veikusi darbību, kas vērsta uz vardarbīgu Latvijas Republikas valsts varas gāšanu, publiski aicinājusi vardarbīgi gāzt </w:t>
            </w:r>
            <w:hyperlink r:id="rId8" w:tgtFrame="_blank" w:history="1">
              <w:r w:rsidRPr="00D600CC">
                <w:rPr>
                  <w:rStyle w:val="Hyperlink"/>
                  <w:color w:val="auto"/>
                  <w:u w:val="none"/>
                </w:rPr>
                <w:t>Latvijas Republikas Satversmē</w:t>
              </w:r>
            </w:hyperlink>
            <w:r w:rsidRPr="00D600CC">
              <w:t xml:space="preserve"> nostiprināto valsts varu vai vardarbīgi grozīt valsts iekārtu, publiski aicinājusi veikt vai veikusi organizatoriskas darbības, kas vērstas uz Latvijas Republikas valstiskās neatkarības likvidēšanu, tas konstatēts ar tiesas spriedumu.</w:t>
            </w:r>
            <w:r w:rsidR="00836542" w:rsidRPr="00D600CC">
              <w:t xml:space="preserve"> </w:t>
            </w:r>
            <w:proofErr w:type="gramStart"/>
            <w:r w:rsidR="00836542" w:rsidRPr="00D600CC">
              <w:t>Bez tam</w:t>
            </w:r>
            <w:proofErr w:type="gramEnd"/>
            <w:r w:rsidR="00836542" w:rsidRPr="00D600CC">
              <w:t xml:space="preserve"> m</w:t>
            </w:r>
            <w:r w:rsidRPr="00D600CC">
              <w:t>inētajos gadījumos pilsonība ir atņemama tikai tad, ja Latvijas pilsonības atņemšanas gadījumā šī persona nekļūst par bezvalstnieku.</w:t>
            </w:r>
          </w:p>
          <w:p w:rsidR="00CC3836" w:rsidRPr="00D600CC" w:rsidRDefault="00F36ED9" w:rsidP="00FF4211">
            <w:pPr>
              <w:ind w:firstLine="720"/>
              <w:jc w:val="both"/>
            </w:pPr>
            <w:r w:rsidRPr="00D600CC">
              <w:t xml:space="preserve">Saskaņā ar Nacionālās drošības likuma </w:t>
            </w:r>
            <w:proofErr w:type="gramStart"/>
            <w:r w:rsidRPr="00D600CC">
              <w:t>1.panta</w:t>
            </w:r>
            <w:proofErr w:type="gramEnd"/>
            <w:r w:rsidRPr="00D600CC">
              <w:t xml:space="preserve"> otro daļu nacionālās drošības garantēšana ir valsts pamatpienākums. </w:t>
            </w:r>
          </w:p>
          <w:p w:rsidR="00F36ED9" w:rsidRPr="00D600CC" w:rsidRDefault="00F36ED9" w:rsidP="00FF4211">
            <w:pPr>
              <w:ind w:firstLine="720"/>
              <w:jc w:val="both"/>
            </w:pPr>
            <w:r w:rsidRPr="00D600CC">
              <w:lastRenderedPageBreak/>
              <w:t xml:space="preserve">Vienlaikus ir norādāms, ka Eiropas Savienības tiesa jau ir vērtējusi šāda izceļošanas aizlieguma pieļaujamību </w:t>
            </w:r>
            <w:proofErr w:type="gramStart"/>
            <w:r w:rsidRPr="00D600CC">
              <w:t>2008.gada</w:t>
            </w:r>
            <w:proofErr w:type="gramEnd"/>
            <w:r w:rsidRPr="00D600CC">
              <w:t xml:space="preserve"> 10.jūlija lietā C-33/07, </w:t>
            </w:r>
            <w:proofErr w:type="spellStart"/>
            <w:r w:rsidRPr="00D600CC">
              <w:t>Jipa</w:t>
            </w:r>
            <w:proofErr w:type="spellEnd"/>
            <w:r w:rsidRPr="00D600CC">
              <w:t xml:space="preserve">, kurā minētā tiesa principiāli nenoliedz attiecīgā lieguma izceļot no valsts noteikšanu. Vienlaikus Eiropas Savienības tiesa norāda, ka: 1) apdraudējumam, ko rada attiecīgā persona, ir jābūt vērstam uz attiecīgo valsti, kas noteica aizliegumu; 2) apdraudējumam ir jābūt faktiskam un pietiekoši nopietnam konkrētajā brīdī; 3) liegumam izceļot jāpamatojas tikai uz attiecīgā indivīda personisko darbību; 4) nav pieļaujams, ka ierobežojums pamatojas uz vispārējās profilakses apsvērumiem. </w:t>
            </w:r>
          </w:p>
          <w:p w:rsidR="00FF4211" w:rsidRPr="00D600CC" w:rsidRDefault="00CC3836" w:rsidP="00FF4211">
            <w:pPr>
              <w:ind w:firstLine="771"/>
              <w:jc w:val="both"/>
            </w:pPr>
            <w:r w:rsidRPr="00D600CC">
              <w:t>Papildus</w:t>
            </w:r>
            <w:r w:rsidR="00F36ED9" w:rsidRPr="00D600CC">
              <w:t xml:space="preserve"> norādām, ka gan </w:t>
            </w:r>
            <w:proofErr w:type="gramStart"/>
            <w:r w:rsidR="00F36ED9" w:rsidRPr="00D600CC">
              <w:t>1951.gada</w:t>
            </w:r>
            <w:proofErr w:type="gramEnd"/>
            <w:r w:rsidR="00F36ED9" w:rsidRPr="00D600CC">
              <w:t xml:space="preserve"> 28.jūlija Konvencijas par bēgļa statusu 28.panta 1.paragrāfs, gan </w:t>
            </w:r>
            <w:r w:rsidR="00E6123B" w:rsidRPr="00D600CC">
              <w:t>Eiropas Parlamenta un Padomes 2011.gada 13.decembra direktīvas 2011/95/ES par standartiem, lai trešo valstu  valstspiederīgos vai bezvalstniekus kvalificētu kā starptautiskās aizsardzības saņēmējus, par bēgļu vai personu, kas tiesīgas saņemt alternatīvo aizsardzību, vienotu statusu, un par piešķirtās aizsardzības statusu (turpmāk - Direktīva</w:t>
            </w:r>
            <w:r w:rsidR="00F36ED9" w:rsidRPr="00D600CC">
              <w:t xml:space="preserve"> 2011/95/ES</w:t>
            </w:r>
            <w:r w:rsidR="00E6123B" w:rsidRPr="00D600CC">
              <w:t>)</w:t>
            </w:r>
            <w:r w:rsidR="00F36ED9" w:rsidRPr="00D600CC">
              <w:t xml:space="preserve"> 24.panta 1.punkts un 25.panta 1.punkts nacionālās drošības vai sabiedriskās kārtības apsvērumu dēļ paredz iespēju neizsniegt bēglim tādas kvalitātes dokumentu, kas būtu noderīgs ceļošanas tiesību apliecināšanai. Līdzīgus nosacījumus paredz arī Direktīvas 2011/95/ES </w:t>
            </w:r>
            <w:proofErr w:type="gramStart"/>
            <w:r w:rsidR="00F36ED9" w:rsidRPr="00D600CC">
              <w:t>24.panta</w:t>
            </w:r>
            <w:proofErr w:type="gramEnd"/>
            <w:r w:rsidR="00F36ED9" w:rsidRPr="00D600CC">
              <w:t xml:space="preserve"> 2.punkts un 25.panta 2.punkts attiecībā uz alternatīvo statusu ieguvušajām personām.</w:t>
            </w:r>
          </w:p>
          <w:p w:rsidR="00FF4211" w:rsidRPr="00D600CC" w:rsidRDefault="005275F3" w:rsidP="00FF4211">
            <w:pPr>
              <w:ind w:firstLine="771"/>
              <w:jc w:val="both"/>
            </w:pPr>
            <w:r w:rsidRPr="00D600CC">
              <w:t>Ņemot vērā minēto</w:t>
            </w:r>
            <w:r w:rsidR="00620966" w:rsidRPr="00D600CC">
              <w:t xml:space="preserve"> un to, lai aizsargātu gan Latvijas iedzīvotāj</w:t>
            </w:r>
            <w:r w:rsidR="00612809" w:rsidRPr="00D600CC">
              <w:t>us</w:t>
            </w:r>
            <w:r w:rsidR="00620966" w:rsidRPr="00D600CC">
              <w:t xml:space="preserve">, kurus var apdraudēt </w:t>
            </w:r>
            <w:proofErr w:type="spellStart"/>
            <w:r w:rsidR="00620966" w:rsidRPr="00D600CC">
              <w:t>radikalizējusies</w:t>
            </w:r>
            <w:proofErr w:type="spellEnd"/>
            <w:r w:rsidR="00620966" w:rsidRPr="00D600CC">
              <w:t xml:space="preserve"> persona, gan</w:t>
            </w:r>
            <w:r w:rsidR="00612809" w:rsidRPr="00D600CC">
              <w:t xml:space="preserve"> lai</w:t>
            </w:r>
            <w:r w:rsidR="00620966" w:rsidRPr="00D600CC">
              <w:t xml:space="preserve"> aizsargātu personas, kuras savu īpašību dēļ nespēj apzināties dalības sekas minētajos pasākumos (piemēram, nepilngadīgās personas)</w:t>
            </w:r>
            <w:r w:rsidRPr="00D600CC">
              <w:t>, Iekšlietu ministrija ir izstrādājusi grozījumu Nacionālās drošības likumā, paredzot papildināt likumu ar II.</w:t>
            </w:r>
            <w:r w:rsidRPr="00D600CC">
              <w:rPr>
                <w:vertAlign w:val="superscript"/>
              </w:rPr>
              <w:t>1</w:t>
            </w:r>
            <w:r w:rsidRPr="00D600CC">
              <w:t>nodaļu “Aizliegums personai izceļot no Latvijas Republikas”, kurā ir noteikta kārtīb</w:t>
            </w:r>
            <w:r w:rsidR="00CA65E1" w:rsidRPr="00D600CC">
              <w:t>a</w:t>
            </w:r>
            <w:r w:rsidRPr="00D600CC">
              <w:t>, kādā tiek īstenots izceļošanas aizliegum</w:t>
            </w:r>
            <w:r w:rsidR="00612809" w:rsidRPr="00D600CC">
              <w:t>a mehānisms</w:t>
            </w:r>
            <w:r w:rsidRPr="00D600CC">
              <w:t>.</w:t>
            </w:r>
            <w:r w:rsidR="00620966" w:rsidRPr="00D600CC">
              <w:t xml:space="preserve">  </w:t>
            </w:r>
            <w:r w:rsidRPr="00D600CC">
              <w:t>Likumprojektā ietvertais regulējums var attiekties uz tām personām, pret kurām tomēr nav pietiekams pamats uzsākt kriminālprocesu par prettiesisku piedalīšanos bruņotajā konfliktā, vai nākotnē par ceļošanu terorisma nolūkā</w:t>
            </w:r>
            <w:r w:rsidR="00CA65E1" w:rsidRPr="00D600CC">
              <w:t>.</w:t>
            </w:r>
            <w:r w:rsidR="00CC3836" w:rsidRPr="00D600CC">
              <w:t xml:space="preserve"> Tādējādi papildinot to līdzekļu </w:t>
            </w:r>
            <w:r w:rsidR="00836542" w:rsidRPr="00D600CC">
              <w:t>kopumu</w:t>
            </w:r>
            <w:r w:rsidR="00CC3836" w:rsidRPr="00D600CC">
              <w:t>, kas jau ir</w:t>
            </w:r>
            <w:proofErr w:type="gramStart"/>
            <w:r w:rsidR="00CC3836" w:rsidRPr="00D600CC">
              <w:t xml:space="preserve"> pašreiz noteikts</w:t>
            </w:r>
            <w:proofErr w:type="gramEnd"/>
            <w:r w:rsidR="00CC3836" w:rsidRPr="00D600CC">
              <w:t>, proti, audzināšana un paredzētā kriminālatbildība par piedalīšanos bruņotajos konfliktos, ar vēl vienu līdzekli, kas atturētu personu piedalīties attiecīgajā pasākumā.</w:t>
            </w:r>
            <w:r w:rsidRPr="00D600CC">
              <w:t xml:space="preserve"> Likumprojektā ir paredzēts, ka iekšlietu ministrs</w:t>
            </w:r>
            <w:r w:rsidR="00874926" w:rsidRPr="00D600CC">
              <w:t xml:space="preserve"> var </w:t>
            </w:r>
            <w:r w:rsidRPr="00D600CC">
              <w:t>pieņem</w:t>
            </w:r>
            <w:r w:rsidR="00874926" w:rsidRPr="00D600CC">
              <w:t>t</w:t>
            </w:r>
            <w:r w:rsidRPr="00D600CC">
              <w:t xml:space="preserve"> lēmumu par aizliegumu pilsonim, nepilsonim vai personai, kurai Latvijas Republikā piešķirts bezvalstnieka vai alternatīvais statuss, </w:t>
            </w:r>
            <w:r w:rsidR="006F0430" w:rsidRPr="00D600CC">
              <w:t xml:space="preserve">kā arī </w:t>
            </w:r>
            <w:r w:rsidRPr="00D600CC">
              <w:t xml:space="preserve">bēglim izceļot no Latvijas Republikas uz noteiktu laiku līdz vienam gadam. </w:t>
            </w:r>
            <w:r w:rsidR="00FF4211" w:rsidRPr="00D600CC">
              <w:t xml:space="preserve">Ņemot vērā to, ka iekšlietu ministra pieņemtajam lēmumam par aizliegumu izceļot no </w:t>
            </w:r>
            <w:r w:rsidR="00FF4211" w:rsidRPr="00D600CC">
              <w:lastRenderedPageBreak/>
              <w:t>Latvijas Republikas ir piemērojami Administra</w:t>
            </w:r>
            <w:r w:rsidR="006F0430" w:rsidRPr="00D600CC">
              <w:t xml:space="preserve">tīvā procesa likuma nosacījumi. Proti, </w:t>
            </w:r>
            <w:r w:rsidR="00FF4211" w:rsidRPr="00D600CC">
              <w:t xml:space="preserve">saskaņā ar minētā </w:t>
            </w:r>
            <w:r w:rsidR="006F0430" w:rsidRPr="00D600CC">
              <w:t xml:space="preserve">likuma </w:t>
            </w:r>
            <w:proofErr w:type="gramStart"/>
            <w:r w:rsidR="006F0430" w:rsidRPr="00D600CC">
              <w:t>67.panta</w:t>
            </w:r>
            <w:proofErr w:type="gramEnd"/>
            <w:r w:rsidR="006F0430" w:rsidRPr="00D600CC">
              <w:t xml:space="preserve"> otro</w:t>
            </w:r>
            <w:r w:rsidR="00FF4211" w:rsidRPr="00D600CC">
              <w:t xml:space="preserve"> daļ</w:t>
            </w:r>
            <w:r w:rsidR="006F0430" w:rsidRPr="00D600CC">
              <w:t>u</w:t>
            </w:r>
            <w:r w:rsidR="00FF4211" w:rsidRPr="00D600CC">
              <w:t xml:space="preserve"> rakstveidā izdotā administratīvā akta sastāvdaļām ir administratīvā akta pamatojums, it sevišķi ietverot lietderības apsvērumus. Proti, Administratīvā procesa likuma </w:t>
            </w:r>
            <w:proofErr w:type="gramStart"/>
            <w:r w:rsidR="00FF4211" w:rsidRPr="00D600CC">
              <w:t>66.pants</w:t>
            </w:r>
            <w:proofErr w:type="gramEnd"/>
            <w:r w:rsidR="00FF4211" w:rsidRPr="00D600CC">
              <w:t xml:space="preserve"> nosaka, ka apsverot administratīvā akta izdošanas vai tā satura lietderību (</w:t>
            </w:r>
            <w:hyperlink r:id="rId9" w:anchor="p65" w:tgtFrame="_blank" w:history="1">
              <w:r w:rsidR="00FF4211" w:rsidRPr="00D600CC">
                <w:rPr>
                  <w:rStyle w:val="Hyperlink"/>
                </w:rPr>
                <w:t>65.pants</w:t>
              </w:r>
            </w:hyperlink>
            <w:r w:rsidR="00FF4211" w:rsidRPr="00D600CC">
              <w:t>), iestāde lemj:</w:t>
            </w:r>
          </w:p>
          <w:p w:rsidR="00FF4211" w:rsidRPr="00D600CC" w:rsidRDefault="00FF4211" w:rsidP="00FF4211">
            <w:pPr>
              <w:pStyle w:val="tv213"/>
              <w:spacing w:before="0" w:beforeAutospacing="0" w:after="0" w:afterAutospacing="0"/>
              <w:jc w:val="both"/>
            </w:pPr>
            <w:r w:rsidRPr="00D600CC">
              <w:t>1) par administratīvā akta nepieciešamību, lai sasniegtu tiesisku (leģitīmu) mērķi;</w:t>
            </w:r>
          </w:p>
          <w:p w:rsidR="00FF4211" w:rsidRPr="00D600CC" w:rsidRDefault="00FF4211" w:rsidP="00FF4211">
            <w:pPr>
              <w:pStyle w:val="tv213"/>
              <w:spacing w:before="0" w:beforeAutospacing="0" w:after="0" w:afterAutospacing="0"/>
              <w:jc w:val="both"/>
            </w:pPr>
            <w:r w:rsidRPr="00D600CC">
              <w:t>2) par administratīvā akta piemērotību attiecīgā mērķa sasniegšanai;</w:t>
            </w:r>
          </w:p>
          <w:p w:rsidR="00FF4211" w:rsidRPr="00D600CC" w:rsidRDefault="00FF4211" w:rsidP="00FF4211">
            <w:pPr>
              <w:pStyle w:val="tv213"/>
              <w:spacing w:before="0" w:beforeAutospacing="0" w:after="0" w:afterAutospacing="0"/>
              <w:jc w:val="both"/>
            </w:pPr>
            <w:r w:rsidRPr="00D600CC">
              <w:t>3) par administratīvā akta vajadzību, tas ir, par to, vai šo mērķi nav iespējams sasniegt ar līdzekļiem, kuri mazāk ierobežo administratīvā procesa dalībnieku tiesības vai tiesiskās intereses;</w:t>
            </w:r>
          </w:p>
          <w:p w:rsidR="00FF4211" w:rsidRPr="00D600CC" w:rsidRDefault="00FF4211" w:rsidP="00FF4211">
            <w:pPr>
              <w:pStyle w:val="tv213"/>
              <w:spacing w:before="0" w:beforeAutospacing="0" w:after="0" w:afterAutospacing="0"/>
              <w:jc w:val="both"/>
            </w:pPr>
            <w:r w:rsidRPr="00D600CC">
              <w:t>4) par administratīvā akta atbilstību, salīdzinot privātpersonas tiesību aizskārumu un sabiedrības interešu ieguvumu un ņemot vērā, ka privātpersonas tiesību būtisku ierobežošanu var attaisnot tikai ievērojams sabiedrības ieguvums.</w:t>
            </w:r>
          </w:p>
          <w:p w:rsidR="00811C8E" w:rsidRPr="00D600CC" w:rsidRDefault="00FF4211" w:rsidP="00811C8E">
            <w:pPr>
              <w:ind w:firstLine="629"/>
              <w:jc w:val="both"/>
              <w:rPr>
                <w:lang w:eastAsia="lv-LV"/>
              </w:rPr>
            </w:pPr>
            <w:r w:rsidRPr="00D600CC">
              <w:t xml:space="preserve">Tādējādi minētie nosacījumi tiks vērtēti katrā konkrētajā gadījumā, tai skaitā, vērtējot arī personas tiesības uz privātās un ģimenes dzīves neaizskaramību, kā arī Konvencijas 1.protokola </w:t>
            </w:r>
            <w:proofErr w:type="gramStart"/>
            <w:r w:rsidRPr="00D600CC">
              <w:t>1.pantā</w:t>
            </w:r>
            <w:proofErr w:type="gramEnd"/>
            <w:r w:rsidRPr="00D600CC">
              <w:t xml:space="preserve"> garantētās tiesības uz īpašuma aizsardzību.</w:t>
            </w:r>
            <w:r w:rsidR="000C66C9" w:rsidRPr="00D600CC">
              <w:t xml:space="preserve"> Attiecībā uz dubultpilsoni tiks vērtētas </w:t>
            </w:r>
            <w:r w:rsidR="006F0430" w:rsidRPr="00D600CC">
              <w:t xml:space="preserve">arī </w:t>
            </w:r>
            <w:r w:rsidR="000C66C9" w:rsidRPr="00D600CC">
              <w:t>personas tiesības piedalīties vēlēšanās.</w:t>
            </w:r>
            <w:r w:rsidRPr="00D600CC">
              <w:t xml:space="preserve"> Turklāt, ņemot vērā minēto nosacījumu izvērtējumu, tiks noteikts aizlieguma izceļot no Latvijas Republikas termiņš. Maksimālais aizlieguma</w:t>
            </w:r>
            <w:r w:rsidR="00874926" w:rsidRPr="00D600CC">
              <w:t xml:space="preserve">, izceļot no Latvijas Republikas, </w:t>
            </w:r>
            <w:r w:rsidRPr="00D600CC">
              <w:t>termiņš var būt līdz vienam gadam.</w:t>
            </w:r>
            <w:r w:rsidR="008B53C6" w:rsidRPr="00D600CC">
              <w:t xml:space="preserve"> Līdz ar to</w:t>
            </w:r>
            <w:r w:rsidR="008B53C6" w:rsidRPr="00D600CC">
              <w:rPr>
                <w:lang w:eastAsia="lv-LV"/>
              </w:rPr>
              <w:t xml:space="preserve"> valstij piešķirtās pilnvaras, ierobežot </w:t>
            </w:r>
            <w:r w:rsidR="006F0430" w:rsidRPr="00D600CC">
              <w:rPr>
                <w:lang w:eastAsia="lv-LV"/>
              </w:rPr>
              <w:t xml:space="preserve">personas </w:t>
            </w:r>
            <w:r w:rsidR="008B53C6" w:rsidRPr="00D600CC">
              <w:rPr>
                <w:lang w:eastAsia="lv-LV"/>
              </w:rPr>
              <w:t>tiesības ceļot, ir izmantojamas izņēmuma gadījumā, katrā gadījumā (individuāli) rūpīgi pārbaudot</w:t>
            </w:r>
            <w:r w:rsidR="006F0430" w:rsidRPr="00D600CC">
              <w:rPr>
                <w:lang w:eastAsia="lv-LV"/>
              </w:rPr>
              <w:t xml:space="preserve"> šāda</w:t>
            </w:r>
            <w:proofErr w:type="gramStart"/>
            <w:r w:rsidR="006F0430" w:rsidRPr="00D600CC">
              <w:rPr>
                <w:lang w:eastAsia="lv-LV"/>
              </w:rPr>
              <w:t xml:space="preserve"> </w:t>
            </w:r>
            <w:r w:rsidR="008B53C6" w:rsidRPr="00D600CC">
              <w:rPr>
                <w:lang w:eastAsia="lv-LV"/>
              </w:rPr>
              <w:t xml:space="preserve"> </w:t>
            </w:r>
            <w:proofErr w:type="gramEnd"/>
            <w:r w:rsidR="008B53C6" w:rsidRPr="00D600CC">
              <w:rPr>
                <w:lang w:eastAsia="lv-LV"/>
              </w:rPr>
              <w:t xml:space="preserve">ierobežojuma samērīgumu, </w:t>
            </w:r>
            <w:r w:rsidR="006F0430" w:rsidRPr="00D600CC">
              <w:rPr>
                <w:lang w:eastAsia="lv-LV"/>
              </w:rPr>
              <w:t xml:space="preserve">un </w:t>
            </w:r>
            <w:r w:rsidR="008B53C6" w:rsidRPr="00D600CC">
              <w:rPr>
                <w:lang w:eastAsia="lv-LV"/>
              </w:rPr>
              <w:t xml:space="preserve">tādējādi novēršot pārvietošanās brīvības pārkāpumu. </w:t>
            </w:r>
          </w:p>
          <w:p w:rsidR="00D600CC" w:rsidRPr="00143C99" w:rsidRDefault="00D600CC" w:rsidP="00D600CC">
            <w:pPr>
              <w:pStyle w:val="tv213"/>
              <w:spacing w:before="0" w:beforeAutospacing="0" w:after="0" w:afterAutospacing="0"/>
              <w:ind w:firstLine="720"/>
              <w:jc w:val="both"/>
            </w:pPr>
            <w:r w:rsidRPr="00143C99">
              <w:t xml:space="preserve">Saskaņā ar Administratīvā procesa likuma </w:t>
            </w:r>
            <w:proofErr w:type="gramStart"/>
            <w:r w:rsidRPr="00143C99">
              <w:t>70.panta</w:t>
            </w:r>
            <w:proofErr w:type="gramEnd"/>
            <w:r w:rsidRPr="00143C99">
              <w:t xml:space="preserve"> pirmo daļu, ja ārējā normatīvajā aktā vai pašā administratīvajā aktā nav noteikts citādi, administratīvais akts stājas spēkā ar brīdi, kad tas paziņots adresātam. Ņemot vērā to, ka iekšlietu ministrs var pieņemt lēmumu par aizliegumu pilsonim, nepilsonim, personai, kurai Latvijas Republikā piešķirts bezvalstnieka vai alternatīvais statuss, vai bēglim izceļot no Latvijas Republikas, ja valsts drošības iestāde ir konstatējusi, ka minētā persona var apdraudēt valsts drošību, plāno iesaistīties teroristiskās darbībās vai bruņotā konfliktā ārvalstī, ir svarīgi nodrošināt</w:t>
            </w:r>
            <w:r w:rsidR="005336C5" w:rsidRPr="00143C99">
              <w:t xml:space="preserve"> šāda lēmuma nekavējošu izpildi, nepieļaujot minētās</w:t>
            </w:r>
            <w:r w:rsidRPr="00143C99">
              <w:t xml:space="preserve"> persona</w:t>
            </w:r>
            <w:r w:rsidR="005336C5" w:rsidRPr="00143C99">
              <w:t>s</w:t>
            </w:r>
            <w:r w:rsidRPr="00143C99">
              <w:t xml:space="preserve"> </w:t>
            </w:r>
            <w:r w:rsidR="005336C5" w:rsidRPr="00143C99">
              <w:t>izceļošanu</w:t>
            </w:r>
            <w:r w:rsidRPr="00143C99">
              <w:t xml:space="preserve"> no Latvijas Republikas. Tādējādi likumprojektā ir paredzēts, ka lēmums par izceļošanas aizliegumu no Latvijas Republikas stājas spēkā tā pieņemšanas brīdī un ka </w:t>
            </w:r>
            <w:r w:rsidRPr="00143C99">
              <w:lastRenderedPageBreak/>
              <w:t>iekšlietu ministrs pēc lēmuma par aizliegumu personai izceļot no Latvijas Republikas pieņemšanas triju darbdienu laikā informē Pilsonības un migrācijas lietu pārvaldi, kura atzīst par nederīgu attiecīgās personas personu apliecinošu dokumentu un izsniedz jaunu personu apliecinošu dokumentu, kas nav derīgs ceļošanai.</w:t>
            </w:r>
          </w:p>
          <w:p w:rsidR="00F819E2" w:rsidRPr="00D600CC" w:rsidRDefault="008B53C6" w:rsidP="00F819E2">
            <w:pPr>
              <w:ind w:firstLine="629"/>
              <w:jc w:val="both"/>
            </w:pPr>
            <w:r w:rsidRPr="00D600CC">
              <w:t>Vienlaikus l</w:t>
            </w:r>
            <w:r w:rsidR="0015567B" w:rsidRPr="00D600CC">
              <w:t>ikumprojektā ir ietverts regulējums, kas nosaka pieteikuma par iekšlietu ministra lēmuma par aizliegumu personai izceļot no Latvijas Republikas izskatīšanu tiesā. Proti, Augstākās tiesas Administratīvo lietu departaments lietu, kas ierosināta, pamatojoties uz pieteikumu par iekšlietu ministra lēmumu, izskat</w:t>
            </w:r>
            <w:r w:rsidRPr="00D600CC">
              <w:t>īs</w:t>
            </w:r>
            <w:r w:rsidR="0015567B" w:rsidRPr="00D600CC">
              <w:t xml:space="preserve"> divu mēnešu laikā no dienas, kad pieņemts lēmums par </w:t>
            </w:r>
            <w:r w:rsidR="006F0430" w:rsidRPr="00D600CC">
              <w:t xml:space="preserve">šāda </w:t>
            </w:r>
            <w:r w:rsidR="0015567B" w:rsidRPr="00D600CC">
              <w:t>pieteikuma pieņemšanu un lietas ie</w:t>
            </w:r>
            <w:r w:rsidR="006F0430" w:rsidRPr="00D600CC">
              <w:t xml:space="preserve">rosināšanu. Tiesa lietu izskatīs kā pirmās instances tiesa </w:t>
            </w:r>
            <w:r w:rsidR="0015567B" w:rsidRPr="00D600CC">
              <w:t>koleģiālā sastāvā.</w:t>
            </w:r>
            <w:r w:rsidR="000E4EB8" w:rsidRPr="00D600CC">
              <w:t xml:space="preserve"> </w:t>
            </w:r>
            <w:r w:rsidR="00724B3C" w:rsidRPr="00D600CC">
              <w:t xml:space="preserve">Tiesas nolēmums </w:t>
            </w:r>
            <w:r w:rsidR="006F0430" w:rsidRPr="00D600CC">
              <w:t>būs</w:t>
            </w:r>
            <w:r w:rsidR="00724B3C" w:rsidRPr="00D600CC">
              <w:t xml:space="preserve"> galīgs un</w:t>
            </w:r>
            <w:r w:rsidR="006F0430" w:rsidRPr="00D600CC">
              <w:t xml:space="preserve"> nebūs </w:t>
            </w:r>
            <w:r w:rsidR="00724B3C" w:rsidRPr="00D600CC">
              <w:t>pārsūdzams</w:t>
            </w:r>
            <w:r w:rsidR="0016728E" w:rsidRPr="00D600CC">
              <w:t>,</w:t>
            </w:r>
            <w:r w:rsidR="00724B3C" w:rsidRPr="00D600CC">
              <w:t xml:space="preserve"> un </w:t>
            </w:r>
            <w:r w:rsidR="006F0430" w:rsidRPr="00D600CC">
              <w:t>tas stāsies spēkā</w:t>
            </w:r>
            <w:r w:rsidR="00724B3C" w:rsidRPr="00D600CC">
              <w:t xml:space="preserve"> pasludināšanas brīdī.</w:t>
            </w:r>
          </w:p>
          <w:p w:rsidR="00F819E2" w:rsidRPr="00143C99" w:rsidRDefault="006F0430" w:rsidP="00F819E2">
            <w:pPr>
              <w:ind w:firstLine="771"/>
              <w:jc w:val="both"/>
            </w:pPr>
            <w:r w:rsidRPr="00143C99">
              <w:t>N</w:t>
            </w:r>
            <w:r w:rsidR="00F819E2" w:rsidRPr="00143C99">
              <w:t>orādām, ka Administratīvā procesa likuma 108.</w:t>
            </w:r>
            <w:r w:rsidR="00F819E2" w:rsidRPr="00143C99">
              <w:rPr>
                <w:vertAlign w:val="superscript"/>
              </w:rPr>
              <w:t>1</w:t>
            </w:r>
            <w:r w:rsidR="00F819E2" w:rsidRPr="00143C99">
              <w:t xml:space="preserve">panta pirmā daļa nosaka, ka, ja tiesai lietas apstākļu objektīvai noskaidrošanai ir nepieciešams pārbaudīt informāciju, kas ir valsts noslēpuma objekts, šīs informācijas pārbaudē piedalās lietas dalībnieki, kā arī, ja nepieciešams, citas personas, kurām ir speciālā atļauja pieejai valsts noslēpumam. </w:t>
            </w:r>
            <w:r w:rsidR="00F72DA8" w:rsidRPr="00143C99">
              <w:t>Savukārt minētā</w:t>
            </w:r>
            <w:r w:rsidR="00F819E2" w:rsidRPr="00143C99">
              <w:t xml:space="preserve"> likuma 145.panta ceturtā daļa nosaka, ka, lai neizpaustu personu privātās dzīves apstākļus, kā arī, lai aizsargātu valsts, profesionālo, komerciālo vai adopcijas noslēpumu, tiesa pēc savas iniciatīvas vai administratīvā procesa dalībnieka lūguma var pieņemt motivētu lēmumu, ar kuru nosaka ierobežojumu pieteicējam vai atbildētājam iepazīties ar lietas materiālu attiecīgo daļu. Ņemot vērā to, ka, veicot izlūkošanu, pretizlūkošanu un operatīvās darbības, iegūtā informācija ir sensitīva un tā ir saistīta ar valsts drošības interesēm, līdz ar to tā ir attiecīgi aizsargājama. </w:t>
            </w:r>
            <w:r w:rsidR="00F72DA8" w:rsidRPr="00143C99">
              <w:t>Līdz ar to ir s</w:t>
            </w:r>
            <w:r w:rsidR="00F819E2" w:rsidRPr="00143C99">
              <w:t>varīgi ierobežot to personu, kuri var iepazīties ar izlūkošanas, pretizlūkošanas un operatīvās darbības procesu gaitā iegūto informāciju, loku. Lai nodrošinātu īpaši sensitīvas informācijas, kas iegūta izlūkošanas, pretizlūkošanas un operatīvās darbības procesu gaitā, aizsardzību, likumprojekta 18.</w:t>
            </w:r>
            <w:r w:rsidR="00F819E2" w:rsidRPr="00143C99">
              <w:rPr>
                <w:vertAlign w:val="superscript"/>
              </w:rPr>
              <w:t>2</w:t>
            </w:r>
            <w:r w:rsidR="00F819E2" w:rsidRPr="00143C99">
              <w:t>panta trešajā daļā ir noteikts, ja tiesai lietas apstākļu objektīvai noskaidrošanai ir nepieciešams pārbaudīt valsts noslēpumu saturošu informāciju, tad ar šādu informāciju iepazīstas un to izvērtē tikai tiesa. Nolēmumā tiesa norāda, ka šī informācija ir izvērtēta. Lai gan minētais paredz tiesības uz taisnīgu tiesu ierobežojumu, tomēr</w:t>
            </w:r>
            <w:r w:rsidR="00CB0D60" w:rsidRPr="00143C99">
              <w:t xml:space="preserve"> šāds ierobežojums ir attaisnojams ar vajadzību nodrošināt valsts noslēpuma aizsardzību.</w:t>
            </w:r>
            <w:r w:rsidR="00F819E2" w:rsidRPr="00143C99">
              <w:t xml:space="preserve"> </w:t>
            </w:r>
            <w:r w:rsidR="00811C8E" w:rsidRPr="00143C99">
              <w:t>K</w:t>
            </w:r>
            <w:r w:rsidR="00F819E2" w:rsidRPr="00143C99">
              <w:t xml:space="preserve">ā ir norādījusi Latvijas Republikas Satversmes tiesa, arī Latvijas Republikas Satversmes </w:t>
            </w:r>
            <w:proofErr w:type="gramStart"/>
            <w:r w:rsidR="00F819E2" w:rsidRPr="00143C99">
              <w:t>92.pantā</w:t>
            </w:r>
            <w:proofErr w:type="gramEnd"/>
            <w:r w:rsidR="00F819E2" w:rsidRPr="00143C99">
              <w:t xml:space="preserve"> noteiktajām personas pamattiesībām var noteikt ierobežojumus, lai aizsargātu citas Satversmē garantētās vērtības, tostarp citu personu pamattiesības, demokrātisku </w:t>
            </w:r>
            <w:r w:rsidR="00F819E2" w:rsidRPr="00143C99">
              <w:lastRenderedPageBreak/>
              <w:t>valsts iekārtu un valsts drošību. Leģitīmajam mērķim, kura dēļ attiecīgie ierobežojum</w:t>
            </w:r>
            <w:r w:rsidR="005336C5" w:rsidRPr="00143C99">
              <w:t>i</w:t>
            </w:r>
            <w:r w:rsidR="00F819E2" w:rsidRPr="00143C99">
              <w:t xml:space="preserve"> uzlikti, jābūt samērīgiem ar mērķi, ko valsts vēlējusies sasniegt (</w:t>
            </w:r>
            <w:r w:rsidR="00F819E2" w:rsidRPr="00143C99">
              <w:rPr>
                <w:i/>
              </w:rPr>
              <w:t xml:space="preserve">Latvijas Republikas Satversmes tiesas </w:t>
            </w:r>
            <w:proofErr w:type="gramStart"/>
            <w:r w:rsidR="00F819E2" w:rsidRPr="00143C99">
              <w:rPr>
                <w:i/>
              </w:rPr>
              <w:t>2003.gada</w:t>
            </w:r>
            <w:proofErr w:type="gramEnd"/>
            <w:r w:rsidR="00F819E2" w:rsidRPr="00143C99">
              <w:rPr>
                <w:i/>
              </w:rPr>
              <w:t xml:space="preserve"> 23.aprīļa spriedum</w:t>
            </w:r>
            <w:r w:rsidRPr="00143C99">
              <w:rPr>
                <w:i/>
              </w:rPr>
              <w:t>a</w:t>
            </w:r>
            <w:r w:rsidR="00F819E2" w:rsidRPr="00143C99">
              <w:rPr>
                <w:i/>
              </w:rPr>
              <w:t xml:space="preserve"> lietā Nr.2002-20-0103, 5.punkts</w:t>
            </w:r>
            <w:r w:rsidR="00F819E2" w:rsidRPr="00143C99">
              <w:t xml:space="preserve">). Latvijas Republikas Satversme tieši neparedz gadījumus, kuros tiesības uz taisnīgu tiesu varētu ierobežot, tomēr šīs tiesības nevar uzskatīt par absolūtām </w:t>
            </w:r>
            <w:r w:rsidR="00F819E2" w:rsidRPr="00143C99">
              <w:rPr>
                <w:i/>
                <w:iCs/>
              </w:rPr>
              <w:t>(Latvijas Republikas Satvers</w:t>
            </w:r>
            <w:r w:rsidR="008D7B47" w:rsidRPr="00143C99">
              <w:rPr>
                <w:i/>
                <w:iCs/>
              </w:rPr>
              <w:t xml:space="preserve">mes tiesas </w:t>
            </w:r>
            <w:proofErr w:type="gramStart"/>
            <w:r w:rsidR="008D7B47" w:rsidRPr="00143C99">
              <w:rPr>
                <w:i/>
                <w:iCs/>
              </w:rPr>
              <w:t>2005.</w:t>
            </w:r>
            <w:r w:rsidRPr="00143C99">
              <w:rPr>
                <w:i/>
                <w:iCs/>
              </w:rPr>
              <w:t>gada</w:t>
            </w:r>
            <w:proofErr w:type="gramEnd"/>
            <w:r w:rsidRPr="00143C99">
              <w:rPr>
                <w:i/>
                <w:iCs/>
              </w:rPr>
              <w:t xml:space="preserve"> 4.</w:t>
            </w:r>
            <w:r w:rsidR="00F819E2" w:rsidRPr="00143C99">
              <w:rPr>
                <w:i/>
                <w:iCs/>
              </w:rPr>
              <w:t>janvāra sprieduma lietā Nr. 2004-16-01, 7.1.apakšpunkts)</w:t>
            </w:r>
            <w:r w:rsidR="00F819E2" w:rsidRPr="00143C99">
              <w:t xml:space="preserve">. Tiesības uz taisnīgu tiesu ir vienas no svarīgākajām personas tiesībām, tāpēc to ierobežojumi nosakāmi tikai izņēmuma gadījumos </w:t>
            </w:r>
            <w:r w:rsidR="00F819E2" w:rsidRPr="00143C99">
              <w:rPr>
                <w:i/>
                <w:iCs/>
              </w:rPr>
              <w:t>(Latvijas Rep</w:t>
            </w:r>
            <w:r w:rsidR="008D7B47" w:rsidRPr="00143C99">
              <w:rPr>
                <w:i/>
                <w:iCs/>
              </w:rPr>
              <w:t xml:space="preserve">ublikas Satversmes tiesas </w:t>
            </w:r>
            <w:proofErr w:type="gramStart"/>
            <w:r w:rsidR="008D7B47" w:rsidRPr="00143C99">
              <w:rPr>
                <w:i/>
                <w:iCs/>
              </w:rPr>
              <w:t>2006.gada</w:t>
            </w:r>
            <w:proofErr w:type="gramEnd"/>
            <w:r w:rsidR="008D7B47" w:rsidRPr="00143C99">
              <w:rPr>
                <w:i/>
                <w:iCs/>
              </w:rPr>
              <w:t xml:space="preserve"> 14.</w:t>
            </w:r>
            <w:r w:rsidR="00F819E2" w:rsidRPr="00143C99">
              <w:rPr>
                <w:i/>
                <w:iCs/>
              </w:rPr>
              <w:t>marta spri</w:t>
            </w:r>
            <w:r w:rsidR="008D7B47" w:rsidRPr="00143C99">
              <w:rPr>
                <w:i/>
                <w:iCs/>
              </w:rPr>
              <w:t>eduma lietā Nr. 2005-18-01, 10.</w:t>
            </w:r>
            <w:r w:rsidR="00F819E2" w:rsidRPr="00143C99">
              <w:rPr>
                <w:i/>
                <w:iCs/>
              </w:rPr>
              <w:t>punkts)</w:t>
            </w:r>
            <w:r w:rsidR="00F819E2" w:rsidRPr="00143C99">
              <w:t>.</w:t>
            </w:r>
          </w:p>
          <w:p w:rsidR="0015567B" w:rsidRPr="00D600CC" w:rsidRDefault="00F819E2" w:rsidP="005336C5">
            <w:pPr>
              <w:ind w:firstLine="771"/>
              <w:jc w:val="both"/>
            </w:pPr>
            <w:r w:rsidRPr="00143C99">
              <w:t xml:space="preserve">Vienlaikus norādām, ka, lai nodrošinātu personas tiesības uz taisnīgu tiesu, </w:t>
            </w:r>
            <w:r w:rsidR="005336C5" w:rsidRPr="00143C99">
              <w:t>ir saglabāta arī</w:t>
            </w:r>
            <w:r w:rsidRPr="00143C99">
              <w:t xml:space="preserve"> pārstāvja iesaiste tiesvedības procesa daļā, kur tas neskar ar valsts noslēpumu saistītu informāciju.</w:t>
            </w:r>
          </w:p>
        </w:tc>
      </w:tr>
      <w:tr w:rsidR="005275F3" w:rsidRPr="008977ED" w:rsidTr="009636A5">
        <w:tc>
          <w:tcPr>
            <w:tcW w:w="576" w:type="dxa"/>
          </w:tcPr>
          <w:p w:rsidR="005275F3" w:rsidRPr="008977ED" w:rsidRDefault="005275F3" w:rsidP="00FE6378">
            <w:pPr>
              <w:spacing w:before="60"/>
            </w:pPr>
            <w:r w:rsidRPr="008977ED">
              <w:lastRenderedPageBreak/>
              <w:t>3.</w:t>
            </w:r>
          </w:p>
        </w:tc>
        <w:tc>
          <w:tcPr>
            <w:tcW w:w="2694" w:type="dxa"/>
          </w:tcPr>
          <w:p w:rsidR="005275F3" w:rsidRPr="008977ED" w:rsidRDefault="005275F3" w:rsidP="00FE6378">
            <w:pPr>
              <w:spacing w:before="60" w:after="60"/>
            </w:pPr>
            <w:r w:rsidRPr="008977ED">
              <w:t>Projekta izstrādē iesaistītās institūcijas</w:t>
            </w:r>
          </w:p>
        </w:tc>
        <w:tc>
          <w:tcPr>
            <w:tcW w:w="5764" w:type="dxa"/>
            <w:gridSpan w:val="2"/>
          </w:tcPr>
          <w:p w:rsidR="005275F3" w:rsidRPr="000553A8" w:rsidRDefault="005275F3" w:rsidP="00FE6378">
            <w:pPr>
              <w:autoSpaceDE w:val="0"/>
              <w:autoSpaceDN w:val="0"/>
              <w:adjustRightInd w:val="0"/>
              <w:spacing w:before="60" w:after="60"/>
              <w:jc w:val="both"/>
            </w:pPr>
            <w:r>
              <w:t>Iekšlietu ministrija.</w:t>
            </w:r>
          </w:p>
        </w:tc>
      </w:tr>
      <w:tr w:rsidR="005275F3" w:rsidRPr="008977ED" w:rsidTr="009636A5">
        <w:tc>
          <w:tcPr>
            <w:tcW w:w="576" w:type="dxa"/>
          </w:tcPr>
          <w:p w:rsidR="005275F3" w:rsidRPr="008977ED" w:rsidRDefault="005275F3" w:rsidP="00FE6378">
            <w:pPr>
              <w:spacing w:before="60"/>
            </w:pPr>
            <w:r w:rsidRPr="008977ED">
              <w:t>4.</w:t>
            </w:r>
          </w:p>
        </w:tc>
        <w:tc>
          <w:tcPr>
            <w:tcW w:w="2694" w:type="dxa"/>
          </w:tcPr>
          <w:p w:rsidR="005275F3" w:rsidRPr="008977ED" w:rsidRDefault="005275F3" w:rsidP="00FE6378">
            <w:pPr>
              <w:spacing w:before="60" w:after="60"/>
            </w:pPr>
            <w:r w:rsidRPr="008977ED">
              <w:t xml:space="preserve">Cita informācija </w:t>
            </w:r>
          </w:p>
        </w:tc>
        <w:tc>
          <w:tcPr>
            <w:tcW w:w="5764" w:type="dxa"/>
            <w:gridSpan w:val="2"/>
          </w:tcPr>
          <w:p w:rsidR="000B7141" w:rsidRDefault="002C2B57" w:rsidP="0015636F">
            <w:pPr>
              <w:shd w:val="clear" w:color="auto" w:fill="FFFFFF"/>
              <w:spacing w:after="100" w:afterAutospacing="1"/>
              <w:ind w:firstLine="629"/>
              <w:contextualSpacing/>
              <w:jc w:val="both"/>
              <w:rPr>
                <w:lang w:eastAsia="lv-LV"/>
              </w:rPr>
            </w:pPr>
            <w:r w:rsidRPr="000B7141">
              <w:t>Lai īstenotu likumprojektā noteikto izceļo</w:t>
            </w:r>
            <w:r w:rsidR="00351AD8" w:rsidRPr="000B7141">
              <w:t>šanas aizlieguma</w:t>
            </w:r>
            <w:r w:rsidRPr="000B7141">
              <w:t xml:space="preserve"> no Latvijas Republikas mehānismu</w:t>
            </w:r>
            <w:r w:rsidR="00351AD8" w:rsidRPr="000B7141">
              <w:t>, Pilsonības un migrācijas lietu pārvalde atzīs par nederīgu attiecīgās personas personu apliecinošu dokumentu un izsniegs jaunu personu apliecinošu dokumentu, kas nav derīgs ceļošanai.</w:t>
            </w:r>
            <w:r w:rsidR="000B7141" w:rsidRPr="000B7141">
              <w:t xml:space="preserve"> Saskaņā ar likumprojektu „Grozījumi Pers</w:t>
            </w:r>
            <w:r w:rsidR="008D7B47">
              <w:t>onu apliecinošu dokumentu likumā</w:t>
            </w:r>
            <w:r w:rsidR="000B7141" w:rsidRPr="000B7141">
              <w:t xml:space="preserve">” </w:t>
            </w:r>
            <w:r w:rsidR="008D7B47">
              <w:rPr>
                <w:lang w:eastAsia="lv-LV"/>
              </w:rPr>
              <w:t>persona</w:t>
            </w:r>
            <w:r w:rsidR="000B7141" w:rsidRPr="000B7141">
              <w:rPr>
                <w:lang w:eastAsia="lv-LV"/>
              </w:rPr>
              <w:t xml:space="preserve"> nekavējoties, bet ne vēlāk kā 10 darba dienu laikā no lēmuma </w:t>
            </w:r>
            <w:r w:rsidR="00F819E2">
              <w:rPr>
                <w:lang w:eastAsia="lv-LV"/>
              </w:rPr>
              <w:t>spēkā stāšanās</w:t>
            </w:r>
            <w:r w:rsidR="000B7141" w:rsidRPr="000B7141">
              <w:rPr>
                <w:lang w:eastAsia="lv-LV"/>
              </w:rPr>
              <w:t>, uz lēmumā noteikto laiku nodod ceļošanai nederīgo personu apliecinoš</w:t>
            </w:r>
            <w:r w:rsidR="008D7B47">
              <w:rPr>
                <w:lang w:eastAsia="lv-LV"/>
              </w:rPr>
              <w:t>o</w:t>
            </w:r>
            <w:r w:rsidR="000B7141" w:rsidRPr="000B7141">
              <w:rPr>
                <w:lang w:eastAsia="lv-LV"/>
              </w:rPr>
              <w:t xml:space="preserve"> dokumentu glabāšanai izdevējiestādē, bet, ja dokumenta turētājs atrodas ārvalstī, - tuvākajā Latvijas Republikas diplomātiskajā vai konsulārajā pārstāvniecībā.</w:t>
            </w:r>
            <w:r w:rsidR="000B7141">
              <w:rPr>
                <w:lang w:eastAsia="lv-LV"/>
              </w:rPr>
              <w:t xml:space="preserve"> </w:t>
            </w:r>
          </w:p>
          <w:p w:rsidR="005275F3" w:rsidRPr="000B7141" w:rsidRDefault="000B7141" w:rsidP="0015636F">
            <w:pPr>
              <w:shd w:val="clear" w:color="auto" w:fill="FFFFFF"/>
              <w:spacing w:after="100" w:afterAutospacing="1"/>
              <w:ind w:firstLine="629"/>
              <w:contextualSpacing/>
              <w:jc w:val="both"/>
              <w:rPr>
                <w:lang w:eastAsia="lv-LV"/>
              </w:rPr>
            </w:pPr>
            <w:r>
              <w:rPr>
                <w:lang w:eastAsia="lv-LV"/>
              </w:rPr>
              <w:t>Savukārt par aizlieguma izceļot no Latvijas Republikas pārkāpšanu ir paredzēta kriminālatbildība (minētā aizlieguma izpildes kārtība ir līdzīga, kad personai ir piemērots drošības līdzeklis – neizbraukšana no valsts</w:t>
            </w:r>
            <w:r w:rsidR="008D7B47">
              <w:rPr>
                <w:lang w:eastAsia="lv-LV"/>
              </w:rPr>
              <w:t>)</w:t>
            </w:r>
            <w:r>
              <w:rPr>
                <w:lang w:eastAsia="lv-LV"/>
              </w:rPr>
              <w:t>. Ja persona pārkāpj noteikto drošības līdzekli, tad personai ir jārēķinās, ka tiks piemērots bargāks drošības līdzeklis, piemēram, apcietinājums).</w:t>
            </w:r>
          </w:p>
        </w:tc>
      </w:tr>
      <w:tr w:rsidR="005275F3" w:rsidRPr="008977ED" w:rsidTr="009636A5">
        <w:tc>
          <w:tcPr>
            <w:tcW w:w="9034" w:type="dxa"/>
            <w:gridSpan w:val="4"/>
          </w:tcPr>
          <w:p w:rsidR="005275F3" w:rsidRPr="008977ED" w:rsidRDefault="005275F3" w:rsidP="00FE6378">
            <w:pPr>
              <w:spacing w:before="60" w:after="60"/>
              <w:jc w:val="center"/>
            </w:pPr>
            <w:r w:rsidRPr="008977ED">
              <w:rPr>
                <w:b/>
              </w:rPr>
              <w:t>II. Tiesību akta projekta ietekme uz sabiedrību, tautsaimniecības attīstību un administratīvo slogu</w:t>
            </w:r>
          </w:p>
        </w:tc>
      </w:tr>
      <w:tr w:rsidR="005275F3" w:rsidRPr="008977ED" w:rsidTr="009636A5">
        <w:tc>
          <w:tcPr>
            <w:tcW w:w="576" w:type="dxa"/>
          </w:tcPr>
          <w:p w:rsidR="005275F3" w:rsidRPr="008977ED" w:rsidRDefault="005275F3" w:rsidP="00FE6378">
            <w:r w:rsidRPr="008977ED">
              <w:t xml:space="preserve">1. </w:t>
            </w:r>
          </w:p>
        </w:tc>
        <w:tc>
          <w:tcPr>
            <w:tcW w:w="2694" w:type="dxa"/>
          </w:tcPr>
          <w:p w:rsidR="005275F3" w:rsidRPr="008977ED" w:rsidRDefault="005275F3" w:rsidP="00FE6378">
            <w:pPr>
              <w:spacing w:before="60" w:after="60"/>
            </w:pPr>
            <w:r w:rsidRPr="008977ED">
              <w:t>Sabiedrības mērķgrupas, kuras tiesiskais regulējums ietekmē vai varētu ietekmēt</w:t>
            </w:r>
          </w:p>
        </w:tc>
        <w:tc>
          <w:tcPr>
            <w:tcW w:w="5764" w:type="dxa"/>
            <w:gridSpan w:val="2"/>
          </w:tcPr>
          <w:p w:rsidR="00B06AC7" w:rsidRPr="00B06AC7" w:rsidRDefault="005275F3" w:rsidP="00B06AC7">
            <w:pPr>
              <w:ind w:firstLine="720"/>
              <w:jc w:val="both"/>
            </w:pPr>
            <w:r w:rsidRPr="00B06AC7">
              <w:t>Pilsonis, nepilsonis vai persona, kurai Latvijas Republikā piešķirts bezvalstnieka vai alternatīvais statuss, bēgl</w:t>
            </w:r>
            <w:r w:rsidR="008D7B47">
              <w:t>is</w:t>
            </w:r>
            <w:r w:rsidRPr="00B06AC7">
              <w:t xml:space="preserve">, par kuru valsts drošības iestāde </w:t>
            </w:r>
            <w:r w:rsidR="00B06AC7" w:rsidRPr="00B06AC7">
              <w:t>ir konstatējusi, ka minētā persona var apdraudēt valsts drošību, plāno iesaistīties teroristiskās darbībās vai bruņotā konfliktā ārvalstī</w:t>
            </w:r>
            <w:r w:rsidR="008D7B47">
              <w:t>s</w:t>
            </w:r>
            <w:r w:rsidR="00B06AC7" w:rsidRPr="00B06AC7">
              <w:t>.</w:t>
            </w:r>
          </w:p>
          <w:p w:rsidR="005275F3" w:rsidRPr="00B06AC7" w:rsidRDefault="005275F3" w:rsidP="00B06AC7">
            <w:pPr>
              <w:ind w:firstLine="720"/>
              <w:jc w:val="both"/>
            </w:pPr>
          </w:p>
        </w:tc>
      </w:tr>
      <w:tr w:rsidR="005275F3" w:rsidRPr="008977ED" w:rsidTr="009636A5">
        <w:tc>
          <w:tcPr>
            <w:tcW w:w="576" w:type="dxa"/>
          </w:tcPr>
          <w:p w:rsidR="005275F3" w:rsidRPr="008977ED" w:rsidRDefault="005275F3" w:rsidP="00FE6378">
            <w:r w:rsidRPr="008977ED">
              <w:t>2.</w:t>
            </w:r>
          </w:p>
        </w:tc>
        <w:tc>
          <w:tcPr>
            <w:tcW w:w="2694" w:type="dxa"/>
          </w:tcPr>
          <w:p w:rsidR="005275F3" w:rsidRPr="008977ED" w:rsidRDefault="005275F3" w:rsidP="00FE6378">
            <w:pPr>
              <w:spacing w:before="60" w:after="60"/>
            </w:pPr>
            <w:r w:rsidRPr="008977ED">
              <w:t xml:space="preserve">Tiesiskā regulējuma ietekme uz </w:t>
            </w:r>
            <w:r w:rsidRPr="008977ED">
              <w:lastRenderedPageBreak/>
              <w:t>tautsaimniecību un administratīvo slogu</w:t>
            </w:r>
          </w:p>
        </w:tc>
        <w:tc>
          <w:tcPr>
            <w:tcW w:w="5764" w:type="dxa"/>
            <w:gridSpan w:val="2"/>
          </w:tcPr>
          <w:p w:rsidR="005275F3" w:rsidRPr="00BC2CF2" w:rsidRDefault="00CA65E1" w:rsidP="00FE6378">
            <w:pPr>
              <w:jc w:val="both"/>
            </w:pPr>
            <w:r>
              <w:lastRenderedPageBreak/>
              <w:t>Projekts šo jomu neskar.</w:t>
            </w:r>
          </w:p>
        </w:tc>
      </w:tr>
      <w:tr w:rsidR="005275F3" w:rsidRPr="008977ED" w:rsidTr="009636A5">
        <w:tc>
          <w:tcPr>
            <w:tcW w:w="576" w:type="dxa"/>
          </w:tcPr>
          <w:p w:rsidR="005275F3" w:rsidRPr="008977ED" w:rsidRDefault="005275F3" w:rsidP="00FE6378">
            <w:r w:rsidRPr="008977ED">
              <w:t>3.</w:t>
            </w:r>
          </w:p>
        </w:tc>
        <w:tc>
          <w:tcPr>
            <w:tcW w:w="2694" w:type="dxa"/>
          </w:tcPr>
          <w:p w:rsidR="005275F3" w:rsidRPr="008977ED" w:rsidRDefault="005275F3" w:rsidP="00FE6378">
            <w:pPr>
              <w:spacing w:before="60" w:after="60"/>
            </w:pPr>
            <w:r w:rsidRPr="008977ED">
              <w:t>Administratīvo izmaksu monetārs novērtējums</w:t>
            </w:r>
          </w:p>
        </w:tc>
        <w:tc>
          <w:tcPr>
            <w:tcW w:w="5764" w:type="dxa"/>
            <w:gridSpan w:val="2"/>
          </w:tcPr>
          <w:p w:rsidR="005275F3" w:rsidRPr="008977ED" w:rsidRDefault="005275F3" w:rsidP="00FE6378">
            <w:pPr>
              <w:spacing w:before="60" w:after="60"/>
              <w:jc w:val="both"/>
            </w:pPr>
            <w:r>
              <w:t>Projekts šo jomu neskar.</w:t>
            </w:r>
          </w:p>
        </w:tc>
      </w:tr>
      <w:tr w:rsidR="005275F3" w:rsidRPr="008977ED" w:rsidTr="009636A5">
        <w:tc>
          <w:tcPr>
            <w:tcW w:w="576" w:type="dxa"/>
          </w:tcPr>
          <w:p w:rsidR="005275F3" w:rsidRPr="008977ED" w:rsidRDefault="005275F3" w:rsidP="00FE6378">
            <w:r w:rsidRPr="008977ED">
              <w:t>4.</w:t>
            </w:r>
          </w:p>
        </w:tc>
        <w:tc>
          <w:tcPr>
            <w:tcW w:w="2694" w:type="dxa"/>
          </w:tcPr>
          <w:p w:rsidR="005275F3" w:rsidRPr="008977ED" w:rsidRDefault="005275F3" w:rsidP="00FE6378">
            <w:pPr>
              <w:spacing w:before="60" w:after="60"/>
            </w:pPr>
            <w:r w:rsidRPr="008977ED">
              <w:t>Cita informācija</w:t>
            </w:r>
          </w:p>
        </w:tc>
        <w:tc>
          <w:tcPr>
            <w:tcW w:w="5764" w:type="dxa"/>
            <w:gridSpan w:val="2"/>
          </w:tcPr>
          <w:p w:rsidR="005275F3" w:rsidRPr="008977ED" w:rsidRDefault="005275F3" w:rsidP="00FE6378">
            <w:pPr>
              <w:spacing w:before="60" w:after="60"/>
              <w:jc w:val="both"/>
            </w:pPr>
            <w:r w:rsidRPr="008977ED">
              <w:t>Nav.</w:t>
            </w:r>
          </w:p>
        </w:tc>
      </w:tr>
      <w:tr w:rsidR="005275F3" w:rsidRPr="008977ED" w:rsidTr="009636A5">
        <w:tc>
          <w:tcPr>
            <w:tcW w:w="9034" w:type="dxa"/>
            <w:gridSpan w:val="4"/>
          </w:tcPr>
          <w:p w:rsidR="005275F3" w:rsidRPr="008977ED" w:rsidRDefault="005275F3" w:rsidP="00FE6378">
            <w:pPr>
              <w:pStyle w:val="naisf"/>
              <w:spacing w:before="0" w:after="0"/>
              <w:ind w:firstLine="0"/>
              <w:jc w:val="center"/>
              <w:rPr>
                <w:b/>
                <w:color w:val="000000" w:themeColor="text1"/>
              </w:rPr>
            </w:pPr>
            <w:r w:rsidRPr="008977ED">
              <w:rPr>
                <w:b/>
                <w:color w:val="000000" w:themeColor="text1"/>
              </w:rPr>
              <w:t>III. Tiesību akta projekta ietekme uz valsts budžetu un pašvaldību budžetiem</w:t>
            </w:r>
          </w:p>
        </w:tc>
      </w:tr>
      <w:tr w:rsidR="005275F3" w:rsidRPr="008977ED" w:rsidTr="009636A5">
        <w:tc>
          <w:tcPr>
            <w:tcW w:w="9034" w:type="dxa"/>
            <w:gridSpan w:val="4"/>
          </w:tcPr>
          <w:p w:rsidR="005275F3" w:rsidRPr="001A2DAE" w:rsidRDefault="005275F3" w:rsidP="00FE6378">
            <w:pPr>
              <w:pStyle w:val="naisf"/>
              <w:spacing w:before="0" w:after="0"/>
              <w:ind w:firstLine="0"/>
              <w:jc w:val="center"/>
              <w:rPr>
                <w:bCs/>
                <w:color w:val="000000" w:themeColor="text1"/>
              </w:rPr>
            </w:pPr>
            <w:r>
              <w:t>Projekts šo jomu neskar.</w:t>
            </w:r>
          </w:p>
        </w:tc>
      </w:tr>
      <w:tr w:rsidR="005275F3" w:rsidRPr="008977ED" w:rsidTr="009636A5">
        <w:tc>
          <w:tcPr>
            <w:tcW w:w="9034" w:type="dxa"/>
            <w:gridSpan w:val="4"/>
          </w:tcPr>
          <w:p w:rsidR="005275F3" w:rsidRPr="0024458A" w:rsidRDefault="005275F3" w:rsidP="00FE6378">
            <w:pPr>
              <w:pStyle w:val="naisf"/>
              <w:spacing w:before="60" w:after="60"/>
              <w:ind w:firstLine="357"/>
              <w:jc w:val="center"/>
              <w:rPr>
                <w:b/>
                <w:color w:val="000000" w:themeColor="text1"/>
              </w:rPr>
            </w:pPr>
            <w:r w:rsidRPr="0024458A">
              <w:rPr>
                <w:b/>
              </w:rPr>
              <w:t>IV. Tiesību akta projekta ietekme uz spēkā esošo tiesību normu sistēmu</w:t>
            </w:r>
          </w:p>
        </w:tc>
      </w:tr>
      <w:tr w:rsidR="005275F3" w:rsidRPr="008977ED" w:rsidTr="009636A5">
        <w:tc>
          <w:tcPr>
            <w:tcW w:w="576" w:type="dxa"/>
          </w:tcPr>
          <w:p w:rsidR="005275F3" w:rsidRPr="008977ED" w:rsidRDefault="005275F3" w:rsidP="00FE6378">
            <w:pPr>
              <w:rPr>
                <w:iCs/>
                <w:lang w:eastAsia="lv-LV"/>
              </w:rPr>
            </w:pPr>
            <w:r w:rsidRPr="008977ED">
              <w:rPr>
                <w:iCs/>
                <w:lang w:eastAsia="lv-LV"/>
              </w:rPr>
              <w:t>1.</w:t>
            </w:r>
          </w:p>
        </w:tc>
        <w:tc>
          <w:tcPr>
            <w:tcW w:w="3119" w:type="dxa"/>
            <w:gridSpan w:val="2"/>
          </w:tcPr>
          <w:p w:rsidR="005275F3" w:rsidRPr="00A351E0" w:rsidRDefault="005275F3" w:rsidP="00FE6378">
            <w:pPr>
              <w:spacing w:before="60" w:after="60"/>
              <w:jc w:val="both"/>
              <w:rPr>
                <w:iCs/>
                <w:lang w:eastAsia="lv-LV"/>
              </w:rPr>
            </w:pPr>
            <w:r>
              <w:t>Nepieciešamie saistītie tiesību aktu projekti</w:t>
            </w:r>
          </w:p>
        </w:tc>
        <w:tc>
          <w:tcPr>
            <w:tcW w:w="5339" w:type="dxa"/>
            <w:vAlign w:val="center"/>
          </w:tcPr>
          <w:p w:rsidR="00865875" w:rsidRDefault="005275F3" w:rsidP="00865875">
            <w:pPr>
              <w:pStyle w:val="naisf"/>
              <w:spacing w:before="0" w:after="0"/>
              <w:ind w:firstLine="0"/>
            </w:pPr>
            <w:r w:rsidRPr="00865875">
              <w:rPr>
                <w:iCs/>
              </w:rPr>
              <w:t>Vienlaikus nepieciešams izdarīt attiecīgus grozījumus Person</w:t>
            </w:r>
            <w:r w:rsidR="00B06AC7" w:rsidRPr="00865875">
              <w:rPr>
                <w:iCs/>
              </w:rPr>
              <w:t>u apliecinošu dokumentu likumā.</w:t>
            </w:r>
            <w:r w:rsidR="000E4EB8">
              <w:rPr>
                <w:iCs/>
              </w:rPr>
              <w:t xml:space="preserve"> </w:t>
            </w:r>
            <w:r w:rsidR="00865875" w:rsidRPr="00865875">
              <w:rPr>
                <w:iCs/>
              </w:rPr>
              <w:t>Likumprojektam pievienotais Ministru kabineta</w:t>
            </w:r>
            <w:r w:rsidR="005217AA">
              <w:rPr>
                <w:iCs/>
              </w:rPr>
              <w:t xml:space="preserve"> sēdes</w:t>
            </w:r>
            <w:r w:rsidR="00865875" w:rsidRPr="00865875">
              <w:rPr>
                <w:iCs/>
              </w:rPr>
              <w:t xml:space="preserve"> </w:t>
            </w:r>
            <w:proofErr w:type="spellStart"/>
            <w:r w:rsidR="00865875" w:rsidRPr="00865875">
              <w:rPr>
                <w:iCs/>
              </w:rPr>
              <w:t>protokollēmums</w:t>
            </w:r>
            <w:proofErr w:type="spellEnd"/>
            <w:r w:rsidR="00865875" w:rsidRPr="00865875">
              <w:rPr>
                <w:iCs/>
              </w:rPr>
              <w:t xml:space="preserve"> paredz uzdevumu i</w:t>
            </w:r>
            <w:r w:rsidR="00865875" w:rsidRPr="00865875">
              <w:t>ekšlietu ministram iesniegt Saeimā priekšlikumus nepieciešamajiem grozījumiem Krimināllikumā, lai paredzētu kriminālatbildību par valsts robežas šķērsošanu, ja to izdarījusi persona, par kuru ir pieņemts lēmums par aizliegumu izceļot no Latvijas Republikas, saskaņojot tos ar Tieslietu ministriju.</w:t>
            </w:r>
          </w:p>
          <w:p w:rsidR="00865875" w:rsidRPr="00865875" w:rsidRDefault="000E4EB8" w:rsidP="008D7B47">
            <w:pPr>
              <w:pStyle w:val="naisf"/>
              <w:spacing w:before="0" w:after="0"/>
              <w:ind w:firstLine="0"/>
              <w:rPr>
                <w:iCs/>
              </w:rPr>
            </w:pPr>
            <w:r>
              <w:rPr>
                <w:iCs/>
              </w:rPr>
              <w:t xml:space="preserve">Likumprojekts “Grozījumi Personu apliecinošu dokumentu likumā” un likumprojekts “Grozījums Krimināllikumā” </w:t>
            </w:r>
            <w:r w:rsidR="00724B3C">
              <w:rPr>
                <w:iCs/>
              </w:rPr>
              <w:t xml:space="preserve">ir </w:t>
            </w:r>
            <w:r>
              <w:rPr>
                <w:iCs/>
              </w:rPr>
              <w:t xml:space="preserve">izsludināts Valsts </w:t>
            </w:r>
            <w:r w:rsidR="008D7B47">
              <w:t xml:space="preserve">sekretāru </w:t>
            </w:r>
            <w:proofErr w:type="gramStart"/>
            <w:r>
              <w:t>2016.gada</w:t>
            </w:r>
            <w:proofErr w:type="gramEnd"/>
            <w:r>
              <w:t xml:space="preserve"> 5.maija sanāksmē (prot. Nr.18, 14., 16.§).</w:t>
            </w:r>
          </w:p>
        </w:tc>
      </w:tr>
      <w:tr w:rsidR="005275F3" w:rsidRPr="008977ED" w:rsidTr="009636A5">
        <w:tc>
          <w:tcPr>
            <w:tcW w:w="576" w:type="dxa"/>
          </w:tcPr>
          <w:p w:rsidR="005275F3" w:rsidRPr="008977ED" w:rsidRDefault="005275F3" w:rsidP="00FE6378">
            <w:pPr>
              <w:rPr>
                <w:iCs/>
                <w:lang w:eastAsia="lv-LV"/>
              </w:rPr>
            </w:pPr>
            <w:r>
              <w:rPr>
                <w:iCs/>
                <w:lang w:eastAsia="lv-LV"/>
              </w:rPr>
              <w:t>2.</w:t>
            </w:r>
          </w:p>
        </w:tc>
        <w:tc>
          <w:tcPr>
            <w:tcW w:w="3119" w:type="dxa"/>
            <w:gridSpan w:val="2"/>
          </w:tcPr>
          <w:p w:rsidR="005275F3" w:rsidRPr="00A351E0" w:rsidRDefault="005275F3" w:rsidP="00FE6378">
            <w:pPr>
              <w:spacing w:before="60" w:after="60"/>
              <w:jc w:val="both"/>
            </w:pPr>
            <w:r>
              <w:t>Atbildīgā institūcija</w:t>
            </w:r>
          </w:p>
        </w:tc>
        <w:tc>
          <w:tcPr>
            <w:tcW w:w="5339" w:type="dxa"/>
            <w:vAlign w:val="center"/>
          </w:tcPr>
          <w:p w:rsidR="005275F3" w:rsidRDefault="005275F3" w:rsidP="00CA65E1">
            <w:pPr>
              <w:pStyle w:val="naisf"/>
              <w:spacing w:before="0" w:after="0"/>
              <w:ind w:firstLine="0"/>
              <w:rPr>
                <w:iCs/>
              </w:rPr>
            </w:pPr>
            <w:r>
              <w:rPr>
                <w:iCs/>
              </w:rPr>
              <w:t>Iekšlietu ministrija.</w:t>
            </w:r>
          </w:p>
        </w:tc>
      </w:tr>
      <w:tr w:rsidR="005275F3" w:rsidRPr="008977ED" w:rsidTr="009636A5">
        <w:tc>
          <w:tcPr>
            <w:tcW w:w="576" w:type="dxa"/>
          </w:tcPr>
          <w:p w:rsidR="005275F3" w:rsidRPr="008977ED" w:rsidRDefault="005275F3" w:rsidP="00FE6378">
            <w:pPr>
              <w:rPr>
                <w:iCs/>
                <w:lang w:eastAsia="lv-LV"/>
              </w:rPr>
            </w:pPr>
            <w:r w:rsidRPr="008977ED">
              <w:rPr>
                <w:iCs/>
                <w:lang w:eastAsia="lv-LV"/>
              </w:rPr>
              <w:t>3.</w:t>
            </w:r>
          </w:p>
        </w:tc>
        <w:tc>
          <w:tcPr>
            <w:tcW w:w="3119" w:type="dxa"/>
            <w:gridSpan w:val="2"/>
          </w:tcPr>
          <w:p w:rsidR="005275F3" w:rsidRPr="008977ED" w:rsidRDefault="005275F3" w:rsidP="00FE6378">
            <w:pPr>
              <w:spacing w:before="60" w:after="60"/>
              <w:rPr>
                <w:iCs/>
                <w:lang w:eastAsia="lv-LV"/>
              </w:rPr>
            </w:pPr>
            <w:r w:rsidRPr="008977ED">
              <w:rPr>
                <w:iCs/>
                <w:lang w:eastAsia="lv-LV"/>
              </w:rPr>
              <w:t>Cita informācija</w:t>
            </w:r>
          </w:p>
        </w:tc>
        <w:tc>
          <w:tcPr>
            <w:tcW w:w="5339" w:type="dxa"/>
            <w:vAlign w:val="center"/>
          </w:tcPr>
          <w:p w:rsidR="005275F3" w:rsidRPr="008977ED" w:rsidRDefault="005275F3" w:rsidP="00FE6378">
            <w:pPr>
              <w:spacing w:before="60" w:after="60"/>
              <w:rPr>
                <w:iCs/>
                <w:lang w:eastAsia="lv-LV"/>
              </w:rPr>
            </w:pPr>
            <w:r w:rsidRPr="008977ED">
              <w:t>Nav.</w:t>
            </w:r>
          </w:p>
        </w:tc>
      </w:tr>
      <w:tr w:rsidR="005275F3" w:rsidRPr="008977ED" w:rsidTr="009636A5">
        <w:tc>
          <w:tcPr>
            <w:tcW w:w="9034" w:type="dxa"/>
            <w:gridSpan w:val="4"/>
          </w:tcPr>
          <w:p w:rsidR="005275F3" w:rsidRPr="00CC3675" w:rsidRDefault="005275F3" w:rsidP="00FE6378">
            <w:pPr>
              <w:pStyle w:val="naisf"/>
              <w:spacing w:before="60" w:after="60"/>
              <w:ind w:firstLine="357"/>
              <w:jc w:val="center"/>
              <w:rPr>
                <w:b/>
                <w:color w:val="000000" w:themeColor="text1"/>
              </w:rPr>
            </w:pPr>
            <w:r w:rsidRPr="00CC3675">
              <w:rPr>
                <w:b/>
              </w:rPr>
              <w:t>V</w:t>
            </w:r>
            <w:r w:rsidRPr="00012182">
              <w:rPr>
                <w:b/>
              </w:rPr>
              <w:t>.</w:t>
            </w:r>
            <w:r w:rsidRPr="00012182">
              <w:rPr>
                <w:b/>
                <w:bCs/>
              </w:rPr>
              <w:t xml:space="preserve"> Tiesību akta projekta atbilstība Latvijas Republikas starptautiskajām saistībām</w:t>
            </w:r>
          </w:p>
        </w:tc>
      </w:tr>
      <w:tr w:rsidR="005275F3" w:rsidRPr="008977ED" w:rsidTr="009636A5">
        <w:tc>
          <w:tcPr>
            <w:tcW w:w="576" w:type="dxa"/>
          </w:tcPr>
          <w:p w:rsidR="005275F3" w:rsidRPr="00012182" w:rsidRDefault="005275F3" w:rsidP="00FE6378">
            <w:pPr>
              <w:jc w:val="both"/>
              <w:rPr>
                <w:iCs/>
                <w:lang w:eastAsia="lv-LV"/>
              </w:rPr>
            </w:pPr>
            <w:r w:rsidRPr="00012182">
              <w:rPr>
                <w:iCs/>
                <w:lang w:eastAsia="lv-LV"/>
              </w:rPr>
              <w:t>1.</w:t>
            </w:r>
          </w:p>
        </w:tc>
        <w:tc>
          <w:tcPr>
            <w:tcW w:w="3119" w:type="dxa"/>
            <w:gridSpan w:val="2"/>
          </w:tcPr>
          <w:p w:rsidR="005275F3" w:rsidRPr="00012182" w:rsidRDefault="005275F3" w:rsidP="00FE6378">
            <w:pPr>
              <w:spacing w:before="60" w:after="60"/>
              <w:jc w:val="both"/>
              <w:rPr>
                <w:iCs/>
                <w:lang w:eastAsia="lv-LV"/>
              </w:rPr>
            </w:pPr>
            <w:r>
              <w:rPr>
                <w:iCs/>
                <w:lang w:eastAsia="lv-LV"/>
              </w:rPr>
              <w:t>Saistības pret Eiropas Savienību</w:t>
            </w:r>
          </w:p>
        </w:tc>
        <w:tc>
          <w:tcPr>
            <w:tcW w:w="5339" w:type="dxa"/>
          </w:tcPr>
          <w:p w:rsidR="005275F3" w:rsidRPr="00677B76" w:rsidRDefault="0064347C" w:rsidP="00CA65E1">
            <w:pPr>
              <w:spacing w:before="60"/>
              <w:jc w:val="both"/>
            </w:pPr>
            <w:r>
              <w:t xml:space="preserve">Eiropas Savienības Pamattiesību harta, Eiropas Savienības tiesa spriedums </w:t>
            </w:r>
            <w:proofErr w:type="gramStart"/>
            <w:r>
              <w:t>2008.gada</w:t>
            </w:r>
            <w:proofErr w:type="gramEnd"/>
            <w:r>
              <w:t xml:space="preserve"> 10.jūlija lietā C-33/07, </w:t>
            </w:r>
            <w:proofErr w:type="spellStart"/>
            <w:r>
              <w:t>Jipa</w:t>
            </w:r>
            <w:proofErr w:type="spellEnd"/>
            <w:r>
              <w:t>.</w:t>
            </w:r>
          </w:p>
        </w:tc>
      </w:tr>
      <w:tr w:rsidR="005275F3" w:rsidRPr="008977ED" w:rsidTr="009636A5">
        <w:tc>
          <w:tcPr>
            <w:tcW w:w="576" w:type="dxa"/>
          </w:tcPr>
          <w:p w:rsidR="005275F3" w:rsidRPr="00012182" w:rsidRDefault="005275F3" w:rsidP="00FE6378">
            <w:pPr>
              <w:jc w:val="both"/>
              <w:rPr>
                <w:iCs/>
                <w:lang w:eastAsia="lv-LV"/>
              </w:rPr>
            </w:pPr>
            <w:r w:rsidRPr="00012182">
              <w:rPr>
                <w:iCs/>
                <w:lang w:eastAsia="lv-LV"/>
              </w:rPr>
              <w:t>2.</w:t>
            </w:r>
          </w:p>
        </w:tc>
        <w:tc>
          <w:tcPr>
            <w:tcW w:w="3119" w:type="dxa"/>
            <w:gridSpan w:val="2"/>
          </w:tcPr>
          <w:p w:rsidR="005275F3" w:rsidRPr="00012182" w:rsidRDefault="005275F3" w:rsidP="00FE6378">
            <w:pPr>
              <w:spacing w:before="60" w:after="60"/>
              <w:jc w:val="both"/>
              <w:rPr>
                <w:iCs/>
                <w:lang w:eastAsia="lv-LV"/>
              </w:rPr>
            </w:pPr>
            <w:r>
              <w:rPr>
                <w:iCs/>
                <w:lang w:eastAsia="lv-LV"/>
              </w:rPr>
              <w:t>Citas starptautiskās saistības</w:t>
            </w:r>
          </w:p>
        </w:tc>
        <w:tc>
          <w:tcPr>
            <w:tcW w:w="5339" w:type="dxa"/>
          </w:tcPr>
          <w:p w:rsidR="005275F3" w:rsidRPr="00677B76" w:rsidRDefault="0064347C" w:rsidP="00CA65E1">
            <w:pPr>
              <w:spacing w:before="60"/>
              <w:jc w:val="both"/>
              <w:rPr>
                <w:iCs/>
                <w:lang w:eastAsia="lv-LV"/>
              </w:rPr>
            </w:pPr>
            <w:r>
              <w:t>Eiropas Cilvēka tiesību un pamatbrīvību aizsardzības konvencija</w:t>
            </w:r>
          </w:p>
        </w:tc>
      </w:tr>
      <w:tr w:rsidR="005275F3" w:rsidRPr="008977ED" w:rsidTr="009636A5">
        <w:tc>
          <w:tcPr>
            <w:tcW w:w="576" w:type="dxa"/>
          </w:tcPr>
          <w:p w:rsidR="005275F3" w:rsidRPr="00012182" w:rsidRDefault="005275F3" w:rsidP="00FE6378">
            <w:pPr>
              <w:jc w:val="both"/>
              <w:rPr>
                <w:iCs/>
                <w:lang w:eastAsia="lv-LV"/>
              </w:rPr>
            </w:pPr>
            <w:r w:rsidRPr="00012182">
              <w:rPr>
                <w:iCs/>
                <w:lang w:eastAsia="lv-LV"/>
              </w:rPr>
              <w:t>3.</w:t>
            </w:r>
          </w:p>
        </w:tc>
        <w:tc>
          <w:tcPr>
            <w:tcW w:w="3119" w:type="dxa"/>
            <w:gridSpan w:val="2"/>
          </w:tcPr>
          <w:p w:rsidR="005275F3" w:rsidRPr="00012182" w:rsidRDefault="005275F3" w:rsidP="00FE6378">
            <w:pPr>
              <w:spacing w:before="60" w:after="60"/>
              <w:jc w:val="both"/>
            </w:pPr>
            <w:r>
              <w:t>Cita informācija</w:t>
            </w:r>
          </w:p>
        </w:tc>
        <w:tc>
          <w:tcPr>
            <w:tcW w:w="5339" w:type="dxa"/>
          </w:tcPr>
          <w:p w:rsidR="005275F3" w:rsidRPr="00F15918" w:rsidRDefault="00FF4211" w:rsidP="00FF4211">
            <w:pPr>
              <w:pStyle w:val="tv213"/>
              <w:spacing w:after="0" w:afterAutospacing="0"/>
              <w:jc w:val="both"/>
            </w:pPr>
            <w:r>
              <w:t>Nav.</w:t>
            </w:r>
          </w:p>
        </w:tc>
      </w:tr>
      <w:tr w:rsidR="0028084B" w:rsidRPr="008977ED" w:rsidTr="009636A5">
        <w:tc>
          <w:tcPr>
            <w:tcW w:w="9034" w:type="dxa"/>
            <w:gridSpan w:val="4"/>
          </w:tcPr>
          <w:p w:rsidR="0028084B" w:rsidRDefault="0028084B" w:rsidP="00FE6378">
            <w:pPr>
              <w:pStyle w:val="naisf"/>
              <w:spacing w:before="60" w:after="60"/>
              <w:ind w:firstLine="357"/>
              <w:jc w:val="center"/>
              <w:rPr>
                <w:b/>
              </w:rPr>
            </w:pPr>
            <w:r>
              <w:rPr>
                <w:b/>
              </w:rPr>
              <w:t>1.tabula</w:t>
            </w:r>
          </w:p>
          <w:p w:rsidR="0028084B" w:rsidRDefault="0028084B" w:rsidP="00FE6378">
            <w:pPr>
              <w:pStyle w:val="naisf"/>
              <w:spacing w:before="60" w:after="60"/>
              <w:ind w:firstLine="357"/>
              <w:jc w:val="center"/>
              <w:rPr>
                <w:b/>
              </w:rPr>
            </w:pPr>
            <w:r>
              <w:rPr>
                <w:b/>
              </w:rPr>
              <w:t>Tiesību akta projekta atbilstības ES tiesību aktiem</w:t>
            </w:r>
          </w:p>
        </w:tc>
      </w:tr>
      <w:tr w:rsidR="0028084B" w:rsidRPr="0028084B" w:rsidTr="009636A5">
        <w:tc>
          <w:tcPr>
            <w:tcW w:w="9034" w:type="dxa"/>
            <w:gridSpan w:val="4"/>
          </w:tcPr>
          <w:p w:rsidR="0028084B" w:rsidRPr="0028084B" w:rsidRDefault="0028084B" w:rsidP="00FE6378">
            <w:pPr>
              <w:pStyle w:val="naisf"/>
              <w:spacing w:before="60" w:after="60"/>
              <w:ind w:firstLine="357"/>
              <w:jc w:val="center"/>
            </w:pPr>
            <w:r w:rsidRPr="0028084B">
              <w:t>Projekts šo jomu neskar.</w:t>
            </w:r>
          </w:p>
        </w:tc>
      </w:tr>
      <w:tr w:rsidR="0028084B" w:rsidRPr="008977ED" w:rsidTr="009636A5">
        <w:tc>
          <w:tcPr>
            <w:tcW w:w="9034" w:type="dxa"/>
            <w:gridSpan w:val="4"/>
          </w:tcPr>
          <w:p w:rsidR="0028084B" w:rsidRDefault="0028084B" w:rsidP="00FE6378">
            <w:pPr>
              <w:pStyle w:val="naisf"/>
              <w:spacing w:before="60" w:after="60"/>
              <w:ind w:firstLine="357"/>
              <w:jc w:val="center"/>
              <w:rPr>
                <w:b/>
              </w:rPr>
            </w:pPr>
            <w:r>
              <w:rPr>
                <w:b/>
              </w:rPr>
              <w:t>2.tabula</w:t>
            </w:r>
          </w:p>
          <w:p w:rsidR="0028084B" w:rsidRDefault="0028084B" w:rsidP="00FE6378">
            <w:pPr>
              <w:pStyle w:val="naisf"/>
              <w:spacing w:before="60" w:after="60"/>
              <w:ind w:firstLine="357"/>
              <w:jc w:val="center"/>
              <w:rPr>
                <w:b/>
              </w:rPr>
            </w:pPr>
            <w:r>
              <w:rPr>
                <w:b/>
              </w:rPr>
              <w:t>Ar tiesību akta projektu izpildītās vai uzņemtās saistības, kas izriet no starptautiskajiem tiesību aktiem vai starptautiskas institūcijas vai organizācijas dokumentiem.</w:t>
            </w:r>
          </w:p>
          <w:p w:rsidR="0028084B" w:rsidRPr="00CC3675" w:rsidRDefault="0028084B" w:rsidP="00FE6378">
            <w:pPr>
              <w:pStyle w:val="naisf"/>
              <w:spacing w:before="60" w:after="60"/>
              <w:ind w:firstLine="357"/>
              <w:jc w:val="center"/>
              <w:rPr>
                <w:b/>
              </w:rPr>
            </w:pPr>
            <w:r>
              <w:rPr>
                <w:b/>
              </w:rPr>
              <w:t>Pasākumiem šo saistību izpildei.</w:t>
            </w:r>
          </w:p>
        </w:tc>
      </w:tr>
      <w:tr w:rsidR="0028084B" w:rsidRPr="0028084B" w:rsidTr="009636A5">
        <w:tc>
          <w:tcPr>
            <w:tcW w:w="9034" w:type="dxa"/>
            <w:gridSpan w:val="4"/>
          </w:tcPr>
          <w:p w:rsidR="0028084B" w:rsidRPr="0028084B" w:rsidRDefault="0028084B" w:rsidP="00FE6378">
            <w:pPr>
              <w:pStyle w:val="naisf"/>
              <w:spacing w:before="60" w:after="60"/>
              <w:ind w:firstLine="357"/>
              <w:jc w:val="center"/>
            </w:pPr>
            <w:r w:rsidRPr="0028084B">
              <w:t>Projekts šo jomu neskar.</w:t>
            </w:r>
          </w:p>
        </w:tc>
      </w:tr>
      <w:tr w:rsidR="005275F3" w:rsidRPr="008977ED" w:rsidTr="009636A5">
        <w:tc>
          <w:tcPr>
            <w:tcW w:w="9034" w:type="dxa"/>
            <w:gridSpan w:val="4"/>
          </w:tcPr>
          <w:p w:rsidR="005275F3" w:rsidRPr="00CC3675" w:rsidRDefault="005275F3" w:rsidP="00FE6378">
            <w:pPr>
              <w:pStyle w:val="naisf"/>
              <w:spacing w:before="60" w:after="60"/>
              <w:ind w:firstLine="357"/>
              <w:jc w:val="center"/>
              <w:rPr>
                <w:b/>
              </w:rPr>
            </w:pPr>
            <w:r w:rsidRPr="00CC3675">
              <w:rPr>
                <w:b/>
              </w:rPr>
              <w:t>VI.</w:t>
            </w:r>
            <w:r w:rsidRPr="00CC3675">
              <w:rPr>
                <w:b/>
                <w:bCs/>
              </w:rPr>
              <w:t xml:space="preserve"> Sabiedrības līdzdalība un komunikācijas aktivitātes</w:t>
            </w:r>
          </w:p>
        </w:tc>
      </w:tr>
      <w:tr w:rsidR="005275F3" w:rsidRPr="008977ED" w:rsidTr="009636A5">
        <w:tc>
          <w:tcPr>
            <w:tcW w:w="576" w:type="dxa"/>
          </w:tcPr>
          <w:p w:rsidR="005275F3" w:rsidRPr="00012182" w:rsidRDefault="005275F3" w:rsidP="00FE6378">
            <w:pPr>
              <w:jc w:val="both"/>
              <w:rPr>
                <w:iCs/>
                <w:lang w:eastAsia="lv-LV"/>
              </w:rPr>
            </w:pPr>
            <w:r w:rsidRPr="00012182">
              <w:rPr>
                <w:iCs/>
                <w:lang w:eastAsia="lv-LV"/>
              </w:rPr>
              <w:lastRenderedPageBreak/>
              <w:t>1.</w:t>
            </w:r>
          </w:p>
        </w:tc>
        <w:tc>
          <w:tcPr>
            <w:tcW w:w="3119" w:type="dxa"/>
            <w:gridSpan w:val="2"/>
          </w:tcPr>
          <w:p w:rsidR="005275F3" w:rsidRPr="00012182" w:rsidRDefault="005275F3" w:rsidP="00FE6378">
            <w:pPr>
              <w:spacing w:before="60" w:after="60"/>
              <w:jc w:val="both"/>
              <w:rPr>
                <w:iCs/>
                <w:lang w:eastAsia="lv-LV"/>
              </w:rPr>
            </w:pPr>
            <w:r w:rsidRPr="00012182">
              <w:t>Plānotās sabiedrības līdzdalības un komunikācijas aktivitātes saistībā ar projektu</w:t>
            </w:r>
          </w:p>
        </w:tc>
        <w:tc>
          <w:tcPr>
            <w:tcW w:w="5339" w:type="dxa"/>
          </w:tcPr>
          <w:p w:rsidR="005275F3" w:rsidRPr="00677B76" w:rsidRDefault="005275F3" w:rsidP="00FE6378">
            <w:pPr>
              <w:spacing w:before="60"/>
              <w:jc w:val="both"/>
            </w:pPr>
            <w:r w:rsidRPr="001F5831">
              <w:t>Projekts pirms izsludināšanas Valsts sekretāru sanāksmē publicēts Iekšlietu ministrijas mājaslapā.</w:t>
            </w:r>
          </w:p>
        </w:tc>
      </w:tr>
      <w:tr w:rsidR="005275F3" w:rsidRPr="008977ED" w:rsidTr="009636A5">
        <w:tc>
          <w:tcPr>
            <w:tcW w:w="576" w:type="dxa"/>
          </w:tcPr>
          <w:p w:rsidR="005275F3" w:rsidRPr="00012182" w:rsidRDefault="005275F3" w:rsidP="00FE6378">
            <w:pPr>
              <w:jc w:val="both"/>
              <w:rPr>
                <w:iCs/>
                <w:lang w:eastAsia="lv-LV"/>
              </w:rPr>
            </w:pPr>
            <w:r w:rsidRPr="00012182">
              <w:rPr>
                <w:iCs/>
                <w:lang w:eastAsia="lv-LV"/>
              </w:rPr>
              <w:t>2.</w:t>
            </w:r>
          </w:p>
        </w:tc>
        <w:tc>
          <w:tcPr>
            <w:tcW w:w="3119" w:type="dxa"/>
            <w:gridSpan w:val="2"/>
          </w:tcPr>
          <w:p w:rsidR="005275F3" w:rsidRDefault="005275F3" w:rsidP="00FE6378">
            <w:pPr>
              <w:spacing w:before="60" w:after="60"/>
              <w:jc w:val="both"/>
            </w:pPr>
            <w:r w:rsidRPr="00012182">
              <w:t>Sabiedrības līdzdalība projekta izstrādē</w:t>
            </w:r>
          </w:p>
          <w:p w:rsidR="005275F3" w:rsidRPr="00012182" w:rsidRDefault="005275F3" w:rsidP="00FE6378">
            <w:pPr>
              <w:spacing w:before="60" w:after="60"/>
              <w:jc w:val="both"/>
              <w:rPr>
                <w:iCs/>
                <w:lang w:eastAsia="lv-LV"/>
              </w:rPr>
            </w:pPr>
          </w:p>
        </w:tc>
        <w:tc>
          <w:tcPr>
            <w:tcW w:w="5339" w:type="dxa"/>
          </w:tcPr>
          <w:p w:rsidR="005275F3" w:rsidRPr="00677B76" w:rsidRDefault="005275F3" w:rsidP="00FE6378">
            <w:pPr>
              <w:spacing w:before="60"/>
              <w:jc w:val="both"/>
              <w:rPr>
                <w:iCs/>
                <w:lang w:eastAsia="lv-LV"/>
              </w:rPr>
            </w:pPr>
            <w:r>
              <w:rPr>
                <w:iCs/>
                <w:lang w:eastAsia="lv-LV"/>
              </w:rPr>
              <w:t>Projekts šo jomu neskar.</w:t>
            </w:r>
          </w:p>
        </w:tc>
      </w:tr>
      <w:tr w:rsidR="005275F3" w:rsidRPr="008977ED" w:rsidTr="009636A5">
        <w:tc>
          <w:tcPr>
            <w:tcW w:w="576" w:type="dxa"/>
          </w:tcPr>
          <w:p w:rsidR="005275F3" w:rsidRPr="00012182" w:rsidRDefault="005275F3" w:rsidP="00FE6378">
            <w:pPr>
              <w:jc w:val="both"/>
              <w:rPr>
                <w:iCs/>
                <w:lang w:eastAsia="lv-LV"/>
              </w:rPr>
            </w:pPr>
            <w:r w:rsidRPr="00012182">
              <w:rPr>
                <w:iCs/>
                <w:lang w:eastAsia="lv-LV"/>
              </w:rPr>
              <w:t>3.</w:t>
            </w:r>
          </w:p>
        </w:tc>
        <w:tc>
          <w:tcPr>
            <w:tcW w:w="3119" w:type="dxa"/>
            <w:gridSpan w:val="2"/>
          </w:tcPr>
          <w:p w:rsidR="005275F3" w:rsidRDefault="005275F3" w:rsidP="00FE6378">
            <w:pPr>
              <w:spacing w:before="60" w:after="60"/>
              <w:jc w:val="both"/>
            </w:pPr>
            <w:r w:rsidRPr="00012182">
              <w:t>Sabiedrības līdzdalības rezultāti</w:t>
            </w:r>
          </w:p>
          <w:p w:rsidR="005275F3" w:rsidRPr="00012182" w:rsidRDefault="005275F3" w:rsidP="00FE6378">
            <w:pPr>
              <w:spacing w:before="60" w:after="60"/>
              <w:jc w:val="both"/>
            </w:pPr>
          </w:p>
        </w:tc>
        <w:tc>
          <w:tcPr>
            <w:tcW w:w="5339" w:type="dxa"/>
          </w:tcPr>
          <w:p w:rsidR="005275F3" w:rsidRPr="00677B76" w:rsidRDefault="005275F3" w:rsidP="00FE6378">
            <w:pPr>
              <w:spacing w:before="60"/>
              <w:jc w:val="both"/>
            </w:pPr>
            <w:r>
              <w:t>Projekts šo jomu neskar.</w:t>
            </w:r>
          </w:p>
        </w:tc>
      </w:tr>
      <w:tr w:rsidR="005275F3" w:rsidRPr="008977ED" w:rsidTr="009636A5">
        <w:tc>
          <w:tcPr>
            <w:tcW w:w="576" w:type="dxa"/>
          </w:tcPr>
          <w:p w:rsidR="005275F3" w:rsidRPr="008977ED" w:rsidRDefault="005275F3" w:rsidP="00FE6378">
            <w:pPr>
              <w:rPr>
                <w:iCs/>
                <w:lang w:eastAsia="lv-LV"/>
              </w:rPr>
            </w:pPr>
            <w:r>
              <w:rPr>
                <w:iCs/>
                <w:lang w:eastAsia="lv-LV"/>
              </w:rPr>
              <w:t>4</w:t>
            </w:r>
            <w:r w:rsidRPr="008977ED">
              <w:rPr>
                <w:iCs/>
                <w:lang w:eastAsia="lv-LV"/>
              </w:rPr>
              <w:t>.</w:t>
            </w:r>
          </w:p>
        </w:tc>
        <w:tc>
          <w:tcPr>
            <w:tcW w:w="3119" w:type="dxa"/>
            <w:gridSpan w:val="2"/>
          </w:tcPr>
          <w:p w:rsidR="005275F3" w:rsidRPr="008977ED" w:rsidRDefault="005275F3" w:rsidP="00FE6378">
            <w:pPr>
              <w:spacing w:before="60" w:after="60"/>
              <w:rPr>
                <w:iCs/>
                <w:lang w:eastAsia="lv-LV"/>
              </w:rPr>
            </w:pPr>
            <w:r w:rsidRPr="008977ED">
              <w:rPr>
                <w:iCs/>
                <w:lang w:eastAsia="lv-LV"/>
              </w:rPr>
              <w:t>Cita informācija</w:t>
            </w:r>
          </w:p>
        </w:tc>
        <w:tc>
          <w:tcPr>
            <w:tcW w:w="5339" w:type="dxa"/>
            <w:vAlign w:val="center"/>
          </w:tcPr>
          <w:p w:rsidR="005275F3" w:rsidRPr="008977ED" w:rsidRDefault="005275F3" w:rsidP="00FE6378">
            <w:pPr>
              <w:spacing w:before="60" w:after="60"/>
              <w:rPr>
                <w:iCs/>
                <w:lang w:eastAsia="lv-LV"/>
              </w:rPr>
            </w:pPr>
            <w:r w:rsidRPr="008977ED">
              <w:t>Nav.</w:t>
            </w:r>
          </w:p>
        </w:tc>
      </w:tr>
      <w:tr w:rsidR="005275F3" w:rsidRPr="008977ED" w:rsidTr="009636A5">
        <w:tc>
          <w:tcPr>
            <w:tcW w:w="9034" w:type="dxa"/>
            <w:gridSpan w:val="4"/>
          </w:tcPr>
          <w:p w:rsidR="005275F3" w:rsidRPr="008977ED" w:rsidRDefault="005275F3" w:rsidP="00FE6378">
            <w:pPr>
              <w:pStyle w:val="naisf"/>
              <w:spacing w:before="60" w:after="60"/>
              <w:ind w:firstLine="357"/>
              <w:jc w:val="center"/>
              <w:rPr>
                <w:b/>
                <w:color w:val="000000" w:themeColor="text1"/>
              </w:rPr>
            </w:pPr>
            <w:r w:rsidRPr="008977ED">
              <w:rPr>
                <w:b/>
              </w:rPr>
              <w:t>VII. Tiesību akta projekta izpildes nodrošināšana un tās ietekme uz institūcijām</w:t>
            </w:r>
          </w:p>
        </w:tc>
      </w:tr>
      <w:tr w:rsidR="005275F3" w:rsidRPr="008977ED" w:rsidTr="009636A5">
        <w:tc>
          <w:tcPr>
            <w:tcW w:w="576" w:type="dxa"/>
          </w:tcPr>
          <w:p w:rsidR="005275F3" w:rsidRPr="008977ED" w:rsidRDefault="005275F3" w:rsidP="00FE6378">
            <w:pPr>
              <w:rPr>
                <w:iCs/>
                <w:lang w:eastAsia="lv-LV"/>
              </w:rPr>
            </w:pPr>
            <w:r w:rsidRPr="008977ED">
              <w:rPr>
                <w:iCs/>
                <w:lang w:eastAsia="lv-LV"/>
              </w:rPr>
              <w:t>1.</w:t>
            </w:r>
          </w:p>
        </w:tc>
        <w:tc>
          <w:tcPr>
            <w:tcW w:w="3119" w:type="dxa"/>
            <w:gridSpan w:val="2"/>
          </w:tcPr>
          <w:p w:rsidR="005275F3" w:rsidRPr="008977ED" w:rsidRDefault="005275F3" w:rsidP="00FE6378">
            <w:pPr>
              <w:spacing w:before="60" w:after="60"/>
              <w:rPr>
                <w:iCs/>
                <w:lang w:eastAsia="lv-LV"/>
              </w:rPr>
            </w:pPr>
            <w:r w:rsidRPr="008977ED">
              <w:t>Projekta izpildē iesaistītās institūcijas</w:t>
            </w:r>
          </w:p>
        </w:tc>
        <w:tc>
          <w:tcPr>
            <w:tcW w:w="5339" w:type="dxa"/>
            <w:vAlign w:val="center"/>
          </w:tcPr>
          <w:p w:rsidR="005275F3" w:rsidRPr="008977ED" w:rsidRDefault="005275F3" w:rsidP="004F2089">
            <w:pPr>
              <w:spacing w:before="60" w:after="60"/>
              <w:jc w:val="both"/>
              <w:rPr>
                <w:iCs/>
                <w:lang w:eastAsia="lv-LV"/>
              </w:rPr>
            </w:pPr>
            <w:r>
              <w:rPr>
                <w:iCs/>
                <w:lang w:eastAsia="lv-LV"/>
              </w:rPr>
              <w:t>Iekšlietu ministrija, Pilsonības un migrācijas lietu pārvalde, valsts drošības iestādes, Latvijas Republikas Augstākā tiesa.</w:t>
            </w:r>
          </w:p>
        </w:tc>
      </w:tr>
      <w:tr w:rsidR="005275F3" w:rsidRPr="008977ED" w:rsidTr="009636A5">
        <w:tc>
          <w:tcPr>
            <w:tcW w:w="576" w:type="dxa"/>
          </w:tcPr>
          <w:p w:rsidR="005275F3" w:rsidRPr="008977ED" w:rsidRDefault="005275F3" w:rsidP="00FE6378">
            <w:pPr>
              <w:rPr>
                <w:iCs/>
                <w:lang w:eastAsia="lv-LV"/>
              </w:rPr>
            </w:pPr>
            <w:r w:rsidRPr="008977ED">
              <w:rPr>
                <w:iCs/>
                <w:lang w:eastAsia="lv-LV"/>
              </w:rPr>
              <w:t>2.</w:t>
            </w:r>
          </w:p>
        </w:tc>
        <w:tc>
          <w:tcPr>
            <w:tcW w:w="3119" w:type="dxa"/>
            <w:gridSpan w:val="2"/>
          </w:tcPr>
          <w:p w:rsidR="005275F3" w:rsidRPr="008977ED" w:rsidRDefault="005275F3" w:rsidP="00FE6378">
            <w:pPr>
              <w:spacing w:before="60" w:after="60"/>
              <w:rPr>
                <w:iCs/>
                <w:lang w:eastAsia="lv-LV"/>
              </w:rPr>
            </w:pPr>
            <w:r w:rsidRPr="008977ED">
              <w:t>Projekta izpildes ietekme uz pārvaldes funkcijām un institucionālo struktūru. Jaunu institūciju izveide, esošu institūciju likvidācija vai reorganizācija, to ietekme uz institūcijas cilvēkresursiem</w:t>
            </w:r>
          </w:p>
        </w:tc>
        <w:tc>
          <w:tcPr>
            <w:tcW w:w="5339" w:type="dxa"/>
          </w:tcPr>
          <w:p w:rsidR="005275F3" w:rsidRPr="00CA65E1" w:rsidRDefault="005275F3" w:rsidP="00CA65E1">
            <w:pPr>
              <w:ind w:firstLine="720"/>
              <w:jc w:val="both"/>
            </w:pPr>
            <w:r w:rsidRPr="00CA65E1">
              <w:rPr>
                <w:iCs/>
                <w:lang w:eastAsia="lv-LV"/>
              </w:rPr>
              <w:t xml:space="preserve">Likumprojektā ir paredzēts, ka valsts drošības iestāde, konstatējot </w:t>
            </w:r>
            <w:r w:rsidRPr="00CA65E1">
              <w:rPr>
                <w:lang w:eastAsia="lv-LV"/>
              </w:rPr>
              <w:t xml:space="preserve">personas, </w:t>
            </w:r>
            <w:r w:rsidR="00CA65E1" w:rsidRPr="00CA65E1">
              <w:t xml:space="preserve">kuras var apdraudēt valsts drošību, plāno iesaistīties teroristiskās darbībās vai bruņotā konfliktā ārvalstī, </w:t>
            </w:r>
            <w:r w:rsidRPr="00CA65E1">
              <w:t xml:space="preserve">sagatavos atzinumu un to nosūtīs iekšlietu ministram lēmuma par izceļošanas aizlieguma no </w:t>
            </w:r>
            <w:r w:rsidR="008D7B47">
              <w:t>Latvijas Republikas</w:t>
            </w:r>
            <w:r w:rsidRPr="00CA65E1">
              <w:t xml:space="preserve"> pieņemšanai.</w:t>
            </w:r>
          </w:p>
          <w:p w:rsidR="005275F3" w:rsidRDefault="005275F3" w:rsidP="00FE6378">
            <w:pPr>
              <w:pStyle w:val="tv213"/>
              <w:spacing w:before="0" w:beforeAutospacing="0" w:after="0" w:afterAutospacing="0"/>
              <w:ind w:firstLine="720"/>
              <w:jc w:val="both"/>
            </w:pPr>
            <w:r>
              <w:t xml:space="preserve">Minēto lēmumu Iekšlietu ministrija nosūtīs personai, pa kuru tas pieņemts, un Pilsonības un </w:t>
            </w:r>
            <w:r w:rsidRPr="006877FC">
              <w:t>migrācijas lietu pārvaldei personu apliecinoša dokumenta atzīšanai par nederīgu un jauna personu apliecinoša dokumenta</w:t>
            </w:r>
            <w:r>
              <w:t>, kas nav derīgs ceļošanai,</w:t>
            </w:r>
            <w:r w:rsidRPr="006877FC">
              <w:t xml:space="preserve"> izsniegšanai.</w:t>
            </w:r>
            <w:r>
              <w:t xml:space="preserve"> Ja tiks nodots personu apliecinošs dokuments, tad tas tiks glabāts Pilsonības un migrācijas lietu pārvaldē uz pieņemtā lēmuma laiku un pēc lēmuma termiņa beigām tiks atdots atpakaļ personai.</w:t>
            </w:r>
          </w:p>
          <w:p w:rsidR="005275F3" w:rsidRPr="006877FC" w:rsidRDefault="005275F3" w:rsidP="008D7B47">
            <w:pPr>
              <w:pStyle w:val="tv213"/>
              <w:spacing w:before="0" w:beforeAutospacing="0" w:after="0" w:afterAutospacing="0"/>
              <w:ind w:firstLine="720"/>
              <w:jc w:val="both"/>
              <w:rPr>
                <w:sz w:val="28"/>
                <w:szCs w:val="28"/>
              </w:rPr>
            </w:pPr>
            <w:r w:rsidRPr="00CA65E1">
              <w:t xml:space="preserve">Ja minētā persona pārsūdzēs lēmumu par aizliegumu izceļot no </w:t>
            </w:r>
            <w:r w:rsidR="008D7B47">
              <w:t>Latvijas Republikas, tad personas pieteikumu izskatīs Augstākā tiesa.</w:t>
            </w:r>
          </w:p>
        </w:tc>
      </w:tr>
      <w:tr w:rsidR="005275F3" w:rsidRPr="008977ED" w:rsidTr="009636A5">
        <w:tc>
          <w:tcPr>
            <w:tcW w:w="576" w:type="dxa"/>
          </w:tcPr>
          <w:p w:rsidR="005275F3" w:rsidRPr="008977ED" w:rsidRDefault="005275F3" w:rsidP="00FE6378">
            <w:pPr>
              <w:rPr>
                <w:iCs/>
                <w:lang w:eastAsia="lv-LV"/>
              </w:rPr>
            </w:pPr>
            <w:r>
              <w:rPr>
                <w:iCs/>
                <w:lang w:eastAsia="lv-LV"/>
              </w:rPr>
              <w:t>3</w:t>
            </w:r>
            <w:r w:rsidRPr="008977ED">
              <w:rPr>
                <w:iCs/>
                <w:lang w:eastAsia="lv-LV"/>
              </w:rPr>
              <w:t>.</w:t>
            </w:r>
          </w:p>
        </w:tc>
        <w:tc>
          <w:tcPr>
            <w:tcW w:w="3119" w:type="dxa"/>
            <w:gridSpan w:val="2"/>
          </w:tcPr>
          <w:p w:rsidR="005275F3" w:rsidRPr="008977ED" w:rsidRDefault="005275F3" w:rsidP="00FE6378">
            <w:pPr>
              <w:spacing w:before="60" w:after="60"/>
              <w:rPr>
                <w:iCs/>
                <w:lang w:eastAsia="lv-LV"/>
              </w:rPr>
            </w:pPr>
            <w:r w:rsidRPr="008977ED">
              <w:rPr>
                <w:iCs/>
                <w:lang w:eastAsia="lv-LV"/>
              </w:rPr>
              <w:t>Cita informācija</w:t>
            </w:r>
          </w:p>
        </w:tc>
        <w:tc>
          <w:tcPr>
            <w:tcW w:w="5339" w:type="dxa"/>
            <w:vAlign w:val="center"/>
          </w:tcPr>
          <w:p w:rsidR="005275F3" w:rsidRPr="008977ED" w:rsidRDefault="005275F3" w:rsidP="00FE6378">
            <w:pPr>
              <w:spacing w:before="60" w:after="60"/>
              <w:rPr>
                <w:iCs/>
                <w:lang w:eastAsia="lv-LV"/>
              </w:rPr>
            </w:pPr>
            <w:r w:rsidRPr="008977ED">
              <w:t>Nav.</w:t>
            </w:r>
          </w:p>
        </w:tc>
      </w:tr>
    </w:tbl>
    <w:p w:rsidR="005275F3" w:rsidRPr="008977ED" w:rsidRDefault="005275F3" w:rsidP="005275F3">
      <w:pPr>
        <w:jc w:val="both"/>
        <w:rPr>
          <w:lang w:val="de-DE"/>
        </w:rPr>
      </w:pPr>
    </w:p>
    <w:p w:rsidR="005275F3" w:rsidRDefault="005275F3" w:rsidP="005275F3">
      <w:pPr>
        <w:jc w:val="both"/>
        <w:rPr>
          <w:lang w:val="de-DE"/>
        </w:rPr>
      </w:pPr>
    </w:p>
    <w:p w:rsidR="005275F3" w:rsidRPr="008977ED" w:rsidRDefault="005275F3" w:rsidP="005275F3">
      <w:pPr>
        <w:jc w:val="both"/>
        <w:rPr>
          <w:lang w:val="de-DE"/>
        </w:rPr>
      </w:pPr>
      <w:r w:rsidRPr="008977ED">
        <w:rPr>
          <w:lang w:val="de-DE"/>
        </w:rPr>
        <w:t>Iekšlietu ministrs</w:t>
      </w:r>
      <w:r w:rsidRPr="008977ED">
        <w:rPr>
          <w:lang w:val="de-DE"/>
        </w:rPr>
        <w:tab/>
      </w:r>
      <w:r w:rsidRPr="008977ED">
        <w:rPr>
          <w:lang w:val="de-DE"/>
        </w:rPr>
        <w:tab/>
      </w:r>
      <w:r w:rsidRPr="008977ED">
        <w:rPr>
          <w:lang w:val="de-DE"/>
        </w:rPr>
        <w:tab/>
      </w:r>
      <w:r w:rsidRPr="008977ED">
        <w:rPr>
          <w:lang w:val="de-DE"/>
        </w:rPr>
        <w:tab/>
      </w:r>
      <w:r w:rsidRPr="008977ED">
        <w:rPr>
          <w:lang w:val="de-DE"/>
        </w:rPr>
        <w:tab/>
        <w:t xml:space="preserve">             </w:t>
      </w:r>
      <w:r>
        <w:rPr>
          <w:lang w:val="de-DE"/>
        </w:rPr>
        <w:t xml:space="preserve">                   </w:t>
      </w:r>
      <w:r w:rsidRPr="008977ED">
        <w:rPr>
          <w:lang w:val="de-DE"/>
        </w:rPr>
        <w:t>R. Kozlovskis</w:t>
      </w:r>
    </w:p>
    <w:p w:rsidR="005275F3" w:rsidRPr="008977ED" w:rsidRDefault="005275F3" w:rsidP="005275F3">
      <w:pPr>
        <w:jc w:val="both"/>
        <w:rPr>
          <w:lang w:val="de-DE"/>
        </w:rPr>
      </w:pPr>
    </w:p>
    <w:p w:rsidR="005275F3" w:rsidRPr="008977ED" w:rsidRDefault="005275F3" w:rsidP="005275F3">
      <w:pPr>
        <w:pStyle w:val="naisf"/>
        <w:ind w:firstLine="0"/>
        <w:rPr>
          <w:color w:val="000000"/>
        </w:rPr>
      </w:pPr>
      <w:r w:rsidRPr="008977ED">
        <w:t>Vīza: valsts sekretāre</w:t>
      </w:r>
      <w:r w:rsidRPr="008977ED">
        <w:tab/>
      </w:r>
      <w:r w:rsidRPr="008977ED">
        <w:tab/>
      </w:r>
      <w:r w:rsidRPr="008977ED">
        <w:tab/>
      </w:r>
      <w:r w:rsidRPr="008977ED">
        <w:tab/>
      </w:r>
      <w:proofErr w:type="gramStart"/>
      <w:r>
        <w:t xml:space="preserve">                                 </w:t>
      </w:r>
      <w:r w:rsidRPr="008977ED">
        <w:t xml:space="preserve"> </w:t>
      </w:r>
      <w:proofErr w:type="gramEnd"/>
      <w:r w:rsidRPr="008977ED">
        <w:t>I.Pētersone–Godmane</w:t>
      </w:r>
    </w:p>
    <w:p w:rsidR="005275F3" w:rsidRDefault="005275F3" w:rsidP="005275F3">
      <w:pPr>
        <w:rPr>
          <w:sz w:val="20"/>
          <w:szCs w:val="20"/>
        </w:rPr>
      </w:pPr>
    </w:p>
    <w:p w:rsidR="005275F3" w:rsidRDefault="005275F3" w:rsidP="005275F3">
      <w:pPr>
        <w:rPr>
          <w:sz w:val="20"/>
          <w:szCs w:val="20"/>
        </w:rPr>
      </w:pPr>
    </w:p>
    <w:p w:rsidR="005275F3" w:rsidRDefault="005275F3" w:rsidP="005275F3">
      <w:pPr>
        <w:rPr>
          <w:sz w:val="20"/>
          <w:szCs w:val="20"/>
        </w:rPr>
      </w:pPr>
    </w:p>
    <w:p w:rsidR="00724B3C" w:rsidRDefault="00724B3C" w:rsidP="005275F3">
      <w:pPr>
        <w:rPr>
          <w:sz w:val="20"/>
          <w:szCs w:val="20"/>
        </w:rPr>
      </w:pPr>
    </w:p>
    <w:p w:rsidR="00724B3C" w:rsidRDefault="00724B3C" w:rsidP="005275F3">
      <w:pPr>
        <w:rPr>
          <w:sz w:val="20"/>
          <w:szCs w:val="20"/>
        </w:rPr>
      </w:pPr>
    </w:p>
    <w:p w:rsidR="005275F3" w:rsidRDefault="005275F3" w:rsidP="005275F3">
      <w:pPr>
        <w:rPr>
          <w:sz w:val="20"/>
          <w:szCs w:val="20"/>
        </w:rPr>
      </w:pPr>
    </w:p>
    <w:p w:rsidR="005275F3" w:rsidRPr="00AB4374" w:rsidRDefault="005275F3" w:rsidP="005275F3">
      <w:pPr>
        <w:rPr>
          <w:rStyle w:val="Hyperlink"/>
          <w:color w:val="auto"/>
          <w:sz w:val="20"/>
          <w:szCs w:val="20"/>
          <w:u w:val="none"/>
        </w:rPr>
      </w:pPr>
      <w:r w:rsidRPr="00AB4374">
        <w:rPr>
          <w:rStyle w:val="Hyperlink"/>
          <w:color w:val="auto"/>
          <w:sz w:val="20"/>
          <w:szCs w:val="20"/>
          <w:u w:val="none"/>
        </w:rPr>
        <w:t>D.Radzeviča</w:t>
      </w:r>
    </w:p>
    <w:p w:rsidR="00DA71B5" w:rsidRDefault="005275F3">
      <w:r w:rsidRPr="00AB4374">
        <w:rPr>
          <w:rStyle w:val="Hyperlink"/>
          <w:color w:val="auto"/>
          <w:sz w:val="20"/>
          <w:szCs w:val="20"/>
          <w:u w:val="none"/>
        </w:rPr>
        <w:t xml:space="preserve">67219418, </w:t>
      </w:r>
      <w:hyperlink r:id="rId10" w:history="1">
        <w:r w:rsidRPr="00AB4374">
          <w:rPr>
            <w:rStyle w:val="Hyperlink"/>
            <w:color w:val="auto"/>
            <w:sz w:val="20"/>
            <w:szCs w:val="20"/>
            <w:u w:val="none"/>
          </w:rPr>
          <w:t>dace.radzevica@iem.gov.lv</w:t>
        </w:r>
      </w:hyperlink>
    </w:p>
    <w:sectPr w:rsidR="00DA71B5" w:rsidSect="00D416BA">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52E" w:rsidRDefault="00D1052E">
      <w:r>
        <w:separator/>
      </w:r>
    </w:p>
  </w:endnote>
  <w:endnote w:type="continuationSeparator" w:id="0">
    <w:p w:rsidR="00D1052E" w:rsidRDefault="00D1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EF" w:rsidRDefault="00FA4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5E" w:rsidRPr="00A13E5E" w:rsidRDefault="00A13E5E" w:rsidP="00A13E5E">
    <w:pPr>
      <w:pStyle w:val="Footer"/>
      <w:rPr>
        <w:sz w:val="20"/>
        <w:szCs w:val="20"/>
      </w:rPr>
    </w:pPr>
    <w:r w:rsidRPr="00A13E5E">
      <w:rPr>
        <w:sz w:val="20"/>
        <w:szCs w:val="20"/>
      </w:rPr>
      <w:t>IEMAnot_</w:t>
    </w:r>
    <w:r w:rsidR="003D0C5B">
      <w:rPr>
        <w:sz w:val="20"/>
        <w:szCs w:val="20"/>
      </w:rPr>
      <w:t>0202</w:t>
    </w:r>
    <w:r w:rsidRPr="00A13E5E">
      <w:rPr>
        <w:sz w:val="20"/>
        <w:szCs w:val="20"/>
      </w:rPr>
      <w:t>2017</w:t>
    </w:r>
  </w:p>
  <w:p w:rsidR="00A13E5E" w:rsidRDefault="00A13E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BA" w:rsidRPr="0024458A" w:rsidRDefault="00643E89" w:rsidP="00D416BA">
    <w:pPr>
      <w:pStyle w:val="Footer"/>
    </w:pPr>
  </w:p>
  <w:p w:rsidR="009636A5" w:rsidRPr="00A13E5E" w:rsidRDefault="009636A5" w:rsidP="009636A5">
    <w:pPr>
      <w:pStyle w:val="Footer"/>
      <w:rPr>
        <w:sz w:val="20"/>
        <w:szCs w:val="20"/>
      </w:rPr>
    </w:pPr>
    <w:r w:rsidRPr="00A13E5E">
      <w:rPr>
        <w:sz w:val="20"/>
        <w:szCs w:val="20"/>
      </w:rPr>
      <w:t>IEMAnot_</w:t>
    </w:r>
    <w:r w:rsidR="003D0C5B">
      <w:rPr>
        <w:sz w:val="20"/>
        <w:szCs w:val="20"/>
      </w:rPr>
      <w:t>0202</w:t>
    </w:r>
    <w:r w:rsidRPr="00A13E5E">
      <w:rPr>
        <w:sz w:val="20"/>
        <w:szCs w:val="20"/>
      </w:rPr>
      <w:t>2017</w:t>
    </w:r>
  </w:p>
  <w:p w:rsidR="00D416BA" w:rsidRPr="00A13E5E" w:rsidRDefault="00643E89" w:rsidP="009636A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52E" w:rsidRDefault="00D1052E">
      <w:r>
        <w:separator/>
      </w:r>
    </w:p>
  </w:footnote>
  <w:footnote w:type="continuationSeparator" w:id="0">
    <w:p w:rsidR="00D1052E" w:rsidRDefault="00D10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BA" w:rsidRDefault="003865A3" w:rsidP="00D416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6BA" w:rsidRDefault="00643E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BA" w:rsidRDefault="003865A3" w:rsidP="00D416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3E89">
      <w:rPr>
        <w:rStyle w:val="PageNumber"/>
        <w:noProof/>
      </w:rPr>
      <w:t>9</w:t>
    </w:r>
    <w:r>
      <w:rPr>
        <w:rStyle w:val="PageNumber"/>
      </w:rPr>
      <w:fldChar w:fldCharType="end"/>
    </w:r>
  </w:p>
  <w:p w:rsidR="00D416BA" w:rsidRDefault="00643E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EF" w:rsidRDefault="00FA4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069B7"/>
    <w:multiLevelType w:val="hybridMultilevel"/>
    <w:tmpl w:val="D7C2B61E"/>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F3"/>
    <w:rsid w:val="000B7141"/>
    <w:rsid w:val="000C66C9"/>
    <w:rsid w:val="000E4EB8"/>
    <w:rsid w:val="00143C99"/>
    <w:rsid w:val="0015567B"/>
    <w:rsid w:val="0015636F"/>
    <w:rsid w:val="0016728E"/>
    <w:rsid w:val="00195841"/>
    <w:rsid w:val="001D3F8D"/>
    <w:rsid w:val="001F28FE"/>
    <w:rsid w:val="002063B5"/>
    <w:rsid w:val="00220898"/>
    <w:rsid w:val="0026037F"/>
    <w:rsid w:val="002725AD"/>
    <w:rsid w:val="0028084B"/>
    <w:rsid w:val="00283231"/>
    <w:rsid w:val="00283CBA"/>
    <w:rsid w:val="002A1D2F"/>
    <w:rsid w:val="002C2B57"/>
    <w:rsid w:val="00321B51"/>
    <w:rsid w:val="00351AD8"/>
    <w:rsid w:val="003865A3"/>
    <w:rsid w:val="003979C8"/>
    <w:rsid w:val="003D0C5B"/>
    <w:rsid w:val="00401F84"/>
    <w:rsid w:val="00481B57"/>
    <w:rsid w:val="00486F88"/>
    <w:rsid w:val="004F2089"/>
    <w:rsid w:val="005217AA"/>
    <w:rsid w:val="005275F3"/>
    <w:rsid w:val="005336C5"/>
    <w:rsid w:val="005B4709"/>
    <w:rsid w:val="00612809"/>
    <w:rsid w:val="00620966"/>
    <w:rsid w:val="0064347C"/>
    <w:rsid w:val="00643E89"/>
    <w:rsid w:val="006768EE"/>
    <w:rsid w:val="006A67F2"/>
    <w:rsid w:val="006F0430"/>
    <w:rsid w:val="00724B3C"/>
    <w:rsid w:val="007D100C"/>
    <w:rsid w:val="00811C8E"/>
    <w:rsid w:val="00825AC3"/>
    <w:rsid w:val="00836542"/>
    <w:rsid w:val="00865875"/>
    <w:rsid w:val="00871C12"/>
    <w:rsid w:val="00874926"/>
    <w:rsid w:val="008A2C05"/>
    <w:rsid w:val="008B53C6"/>
    <w:rsid w:val="008C07B3"/>
    <w:rsid w:val="008D2693"/>
    <w:rsid w:val="008D7B47"/>
    <w:rsid w:val="009636A5"/>
    <w:rsid w:val="009713CF"/>
    <w:rsid w:val="0097737C"/>
    <w:rsid w:val="009D36FF"/>
    <w:rsid w:val="00A13E5E"/>
    <w:rsid w:val="00A1400D"/>
    <w:rsid w:val="00AC542D"/>
    <w:rsid w:val="00AF572F"/>
    <w:rsid w:val="00B06AC7"/>
    <w:rsid w:val="00B0711A"/>
    <w:rsid w:val="00B92CC4"/>
    <w:rsid w:val="00BF3A05"/>
    <w:rsid w:val="00C23EF4"/>
    <w:rsid w:val="00C33439"/>
    <w:rsid w:val="00C50F35"/>
    <w:rsid w:val="00CA65E1"/>
    <w:rsid w:val="00CB0D60"/>
    <w:rsid w:val="00CC3836"/>
    <w:rsid w:val="00CD5B77"/>
    <w:rsid w:val="00D1052E"/>
    <w:rsid w:val="00D34988"/>
    <w:rsid w:val="00D600CC"/>
    <w:rsid w:val="00D64550"/>
    <w:rsid w:val="00DA71B5"/>
    <w:rsid w:val="00DD6993"/>
    <w:rsid w:val="00E6123B"/>
    <w:rsid w:val="00EE09C7"/>
    <w:rsid w:val="00F31F94"/>
    <w:rsid w:val="00F36ED9"/>
    <w:rsid w:val="00F72DA8"/>
    <w:rsid w:val="00F77C18"/>
    <w:rsid w:val="00F819E2"/>
    <w:rsid w:val="00FA4EEF"/>
    <w:rsid w:val="00FD35A9"/>
    <w:rsid w:val="00FF42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5F717-28F0-406F-AC6A-7895464C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75F3"/>
    <w:pPr>
      <w:jc w:val="center"/>
    </w:pPr>
    <w:rPr>
      <w:b/>
      <w:bCs/>
      <w:sz w:val="28"/>
    </w:rPr>
  </w:style>
  <w:style w:type="character" w:customStyle="1" w:styleId="BodyTextChar">
    <w:name w:val="Body Text Char"/>
    <w:basedOn w:val="DefaultParagraphFont"/>
    <w:link w:val="BodyText"/>
    <w:rsid w:val="005275F3"/>
    <w:rPr>
      <w:rFonts w:ascii="Times New Roman" w:eastAsia="Times New Roman" w:hAnsi="Times New Roman" w:cs="Times New Roman"/>
      <w:b/>
      <w:bCs/>
      <w:sz w:val="28"/>
      <w:szCs w:val="24"/>
    </w:rPr>
  </w:style>
  <w:style w:type="paragraph" w:customStyle="1" w:styleId="naisf">
    <w:name w:val="naisf"/>
    <w:basedOn w:val="Normal"/>
    <w:rsid w:val="005275F3"/>
    <w:pPr>
      <w:spacing w:before="75" w:after="75"/>
      <w:ind w:firstLine="375"/>
      <w:jc w:val="both"/>
    </w:pPr>
    <w:rPr>
      <w:lang w:eastAsia="lv-LV"/>
    </w:rPr>
  </w:style>
  <w:style w:type="paragraph" w:styleId="Header">
    <w:name w:val="header"/>
    <w:basedOn w:val="Normal"/>
    <w:link w:val="HeaderChar"/>
    <w:rsid w:val="005275F3"/>
    <w:pPr>
      <w:tabs>
        <w:tab w:val="center" w:pos="4153"/>
        <w:tab w:val="right" w:pos="8306"/>
      </w:tabs>
    </w:pPr>
    <w:rPr>
      <w:lang w:eastAsia="lv-LV"/>
    </w:rPr>
  </w:style>
  <w:style w:type="character" w:customStyle="1" w:styleId="HeaderChar">
    <w:name w:val="Header Char"/>
    <w:basedOn w:val="DefaultParagraphFont"/>
    <w:link w:val="Header"/>
    <w:rsid w:val="005275F3"/>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5275F3"/>
    <w:pPr>
      <w:tabs>
        <w:tab w:val="center" w:pos="4153"/>
        <w:tab w:val="right" w:pos="8306"/>
      </w:tabs>
    </w:pPr>
    <w:rPr>
      <w:lang w:eastAsia="lv-LV"/>
    </w:rPr>
  </w:style>
  <w:style w:type="character" w:customStyle="1" w:styleId="FooterChar">
    <w:name w:val="Footer Char"/>
    <w:basedOn w:val="DefaultParagraphFont"/>
    <w:link w:val="Footer"/>
    <w:uiPriority w:val="99"/>
    <w:rsid w:val="005275F3"/>
    <w:rPr>
      <w:rFonts w:ascii="Times New Roman" w:eastAsia="Times New Roman" w:hAnsi="Times New Roman" w:cs="Times New Roman"/>
      <w:sz w:val="24"/>
      <w:szCs w:val="24"/>
      <w:lang w:eastAsia="lv-LV"/>
    </w:rPr>
  </w:style>
  <w:style w:type="character" w:styleId="PageNumber">
    <w:name w:val="page number"/>
    <w:basedOn w:val="DefaultParagraphFont"/>
    <w:rsid w:val="005275F3"/>
  </w:style>
  <w:style w:type="character" w:styleId="Hyperlink">
    <w:name w:val="Hyperlink"/>
    <w:basedOn w:val="DefaultParagraphFont"/>
    <w:uiPriority w:val="99"/>
    <w:rsid w:val="005275F3"/>
    <w:rPr>
      <w:rFonts w:cs="Times New Roman"/>
      <w:color w:val="0000FF"/>
      <w:u w:val="single"/>
    </w:rPr>
  </w:style>
  <w:style w:type="table" w:styleId="TableGrid">
    <w:name w:val="Table Grid"/>
    <w:basedOn w:val="TableNormal"/>
    <w:uiPriority w:val="59"/>
    <w:rsid w:val="00527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5275F3"/>
  </w:style>
  <w:style w:type="paragraph" w:customStyle="1" w:styleId="tv213">
    <w:name w:val="tv213"/>
    <w:basedOn w:val="Normal"/>
    <w:rsid w:val="005275F3"/>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9D3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6FF"/>
    <w:rPr>
      <w:rFonts w:ascii="Segoe UI" w:eastAsia="Times New Roman" w:hAnsi="Segoe UI" w:cs="Segoe UI"/>
      <w:sz w:val="18"/>
      <w:szCs w:val="18"/>
    </w:rPr>
  </w:style>
  <w:style w:type="character" w:customStyle="1" w:styleId="highlight">
    <w:name w:val="highlight"/>
    <w:basedOn w:val="DefaultParagraphFont"/>
    <w:rsid w:val="00D34988"/>
  </w:style>
  <w:style w:type="paragraph" w:customStyle="1" w:styleId="naisc">
    <w:name w:val="naisc"/>
    <w:basedOn w:val="Normal"/>
    <w:rsid w:val="000E4EB8"/>
    <w:pPr>
      <w:spacing w:before="75" w:after="75"/>
      <w:jc w:val="center"/>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7643">
      <w:bodyDiv w:val="1"/>
      <w:marLeft w:val="0"/>
      <w:marRight w:val="0"/>
      <w:marTop w:val="0"/>
      <w:marBottom w:val="0"/>
      <w:divBdr>
        <w:top w:val="none" w:sz="0" w:space="0" w:color="auto"/>
        <w:left w:val="none" w:sz="0" w:space="0" w:color="auto"/>
        <w:bottom w:val="none" w:sz="0" w:space="0" w:color="auto"/>
        <w:right w:val="none" w:sz="0" w:space="0" w:color="auto"/>
      </w:divBdr>
    </w:div>
    <w:div w:id="518467948">
      <w:bodyDiv w:val="1"/>
      <w:marLeft w:val="0"/>
      <w:marRight w:val="0"/>
      <w:marTop w:val="0"/>
      <w:marBottom w:val="0"/>
      <w:divBdr>
        <w:top w:val="none" w:sz="0" w:space="0" w:color="auto"/>
        <w:left w:val="none" w:sz="0" w:space="0" w:color="auto"/>
        <w:bottom w:val="none" w:sz="0" w:space="0" w:color="auto"/>
        <w:right w:val="none" w:sz="0" w:space="0" w:color="auto"/>
      </w:divBdr>
    </w:div>
    <w:div w:id="1375231992">
      <w:bodyDiv w:val="1"/>
      <w:marLeft w:val="0"/>
      <w:marRight w:val="0"/>
      <w:marTop w:val="0"/>
      <w:marBottom w:val="0"/>
      <w:divBdr>
        <w:top w:val="none" w:sz="0" w:space="0" w:color="auto"/>
        <w:left w:val="none" w:sz="0" w:space="0" w:color="auto"/>
        <w:bottom w:val="none" w:sz="0" w:space="0" w:color="auto"/>
        <w:right w:val="none" w:sz="0" w:space="0" w:color="auto"/>
      </w:divBdr>
      <w:divsChild>
        <w:div w:id="1220362086">
          <w:marLeft w:val="0"/>
          <w:marRight w:val="0"/>
          <w:marTop w:val="0"/>
          <w:marBottom w:val="0"/>
          <w:divBdr>
            <w:top w:val="none" w:sz="0" w:space="0" w:color="auto"/>
            <w:left w:val="none" w:sz="0" w:space="0" w:color="auto"/>
            <w:bottom w:val="none" w:sz="0" w:space="0" w:color="auto"/>
            <w:right w:val="none" w:sz="0" w:space="0" w:color="auto"/>
          </w:divBdr>
        </w:div>
        <w:div w:id="1466580048">
          <w:marLeft w:val="0"/>
          <w:marRight w:val="0"/>
          <w:marTop w:val="0"/>
          <w:marBottom w:val="0"/>
          <w:divBdr>
            <w:top w:val="none" w:sz="0" w:space="0" w:color="auto"/>
            <w:left w:val="none" w:sz="0" w:space="0" w:color="auto"/>
            <w:bottom w:val="none" w:sz="0" w:space="0" w:color="auto"/>
            <w:right w:val="none" w:sz="0" w:space="0" w:color="auto"/>
          </w:divBdr>
        </w:div>
        <w:div w:id="1662733755">
          <w:marLeft w:val="0"/>
          <w:marRight w:val="0"/>
          <w:marTop w:val="0"/>
          <w:marBottom w:val="0"/>
          <w:divBdr>
            <w:top w:val="none" w:sz="0" w:space="0" w:color="auto"/>
            <w:left w:val="none" w:sz="0" w:space="0" w:color="auto"/>
            <w:bottom w:val="none" w:sz="0" w:space="0" w:color="auto"/>
            <w:right w:val="none" w:sz="0" w:space="0" w:color="auto"/>
          </w:divBdr>
        </w:div>
        <w:div w:id="767893744">
          <w:marLeft w:val="0"/>
          <w:marRight w:val="0"/>
          <w:marTop w:val="0"/>
          <w:marBottom w:val="0"/>
          <w:divBdr>
            <w:top w:val="none" w:sz="0" w:space="0" w:color="auto"/>
            <w:left w:val="none" w:sz="0" w:space="0" w:color="auto"/>
            <w:bottom w:val="none" w:sz="0" w:space="0" w:color="auto"/>
            <w:right w:val="none" w:sz="0" w:space="0" w:color="auto"/>
          </w:divBdr>
        </w:div>
        <w:div w:id="957100543">
          <w:marLeft w:val="0"/>
          <w:marRight w:val="0"/>
          <w:marTop w:val="0"/>
          <w:marBottom w:val="0"/>
          <w:divBdr>
            <w:top w:val="none" w:sz="0" w:space="0" w:color="auto"/>
            <w:left w:val="none" w:sz="0" w:space="0" w:color="auto"/>
            <w:bottom w:val="none" w:sz="0" w:space="0" w:color="auto"/>
            <w:right w:val="none" w:sz="0" w:space="0" w:color="auto"/>
          </w:divBdr>
        </w:div>
        <w:div w:id="181435652">
          <w:marLeft w:val="0"/>
          <w:marRight w:val="0"/>
          <w:marTop w:val="0"/>
          <w:marBottom w:val="0"/>
          <w:divBdr>
            <w:top w:val="none" w:sz="0" w:space="0" w:color="auto"/>
            <w:left w:val="none" w:sz="0" w:space="0" w:color="auto"/>
            <w:bottom w:val="none" w:sz="0" w:space="0" w:color="auto"/>
            <w:right w:val="none" w:sz="0" w:space="0" w:color="auto"/>
          </w:divBdr>
        </w:div>
        <w:div w:id="854802087">
          <w:marLeft w:val="0"/>
          <w:marRight w:val="0"/>
          <w:marTop w:val="0"/>
          <w:marBottom w:val="0"/>
          <w:divBdr>
            <w:top w:val="none" w:sz="0" w:space="0" w:color="auto"/>
            <w:left w:val="none" w:sz="0" w:space="0" w:color="auto"/>
            <w:bottom w:val="none" w:sz="0" w:space="0" w:color="auto"/>
            <w:right w:val="none" w:sz="0" w:space="0" w:color="auto"/>
          </w:divBdr>
        </w:div>
        <w:div w:id="640233134">
          <w:marLeft w:val="0"/>
          <w:marRight w:val="0"/>
          <w:marTop w:val="0"/>
          <w:marBottom w:val="0"/>
          <w:divBdr>
            <w:top w:val="none" w:sz="0" w:space="0" w:color="auto"/>
            <w:left w:val="none" w:sz="0" w:space="0" w:color="auto"/>
            <w:bottom w:val="none" w:sz="0" w:space="0" w:color="auto"/>
            <w:right w:val="none" w:sz="0" w:space="0" w:color="auto"/>
          </w:divBdr>
        </w:div>
        <w:div w:id="1480806327">
          <w:marLeft w:val="0"/>
          <w:marRight w:val="0"/>
          <w:marTop w:val="0"/>
          <w:marBottom w:val="0"/>
          <w:divBdr>
            <w:top w:val="none" w:sz="0" w:space="0" w:color="auto"/>
            <w:left w:val="none" w:sz="0" w:space="0" w:color="auto"/>
            <w:bottom w:val="none" w:sz="0" w:space="0" w:color="auto"/>
            <w:right w:val="none" w:sz="0" w:space="0" w:color="auto"/>
          </w:divBdr>
        </w:div>
        <w:div w:id="1130825351">
          <w:marLeft w:val="0"/>
          <w:marRight w:val="0"/>
          <w:marTop w:val="0"/>
          <w:marBottom w:val="0"/>
          <w:divBdr>
            <w:top w:val="none" w:sz="0" w:space="0" w:color="auto"/>
            <w:left w:val="none" w:sz="0" w:space="0" w:color="auto"/>
            <w:bottom w:val="none" w:sz="0" w:space="0" w:color="auto"/>
            <w:right w:val="none" w:sz="0" w:space="0" w:color="auto"/>
          </w:divBdr>
        </w:div>
        <w:div w:id="1949193743">
          <w:marLeft w:val="0"/>
          <w:marRight w:val="0"/>
          <w:marTop w:val="0"/>
          <w:marBottom w:val="0"/>
          <w:divBdr>
            <w:top w:val="none" w:sz="0" w:space="0" w:color="auto"/>
            <w:left w:val="none" w:sz="0" w:space="0" w:color="auto"/>
            <w:bottom w:val="none" w:sz="0" w:space="0" w:color="auto"/>
            <w:right w:val="none" w:sz="0" w:space="0" w:color="auto"/>
          </w:divBdr>
        </w:div>
        <w:div w:id="526794635">
          <w:marLeft w:val="0"/>
          <w:marRight w:val="0"/>
          <w:marTop w:val="0"/>
          <w:marBottom w:val="0"/>
          <w:divBdr>
            <w:top w:val="none" w:sz="0" w:space="0" w:color="auto"/>
            <w:left w:val="none" w:sz="0" w:space="0" w:color="auto"/>
            <w:bottom w:val="none" w:sz="0" w:space="0" w:color="auto"/>
            <w:right w:val="none" w:sz="0" w:space="0" w:color="auto"/>
          </w:divBdr>
        </w:div>
        <w:div w:id="1485077822">
          <w:marLeft w:val="0"/>
          <w:marRight w:val="0"/>
          <w:marTop w:val="0"/>
          <w:marBottom w:val="0"/>
          <w:divBdr>
            <w:top w:val="none" w:sz="0" w:space="0" w:color="auto"/>
            <w:left w:val="none" w:sz="0" w:space="0" w:color="auto"/>
            <w:bottom w:val="none" w:sz="0" w:space="0" w:color="auto"/>
            <w:right w:val="none" w:sz="0" w:space="0" w:color="auto"/>
          </w:divBdr>
        </w:div>
        <w:div w:id="1480147554">
          <w:marLeft w:val="0"/>
          <w:marRight w:val="0"/>
          <w:marTop w:val="0"/>
          <w:marBottom w:val="0"/>
          <w:divBdr>
            <w:top w:val="none" w:sz="0" w:space="0" w:color="auto"/>
            <w:left w:val="none" w:sz="0" w:space="0" w:color="auto"/>
            <w:bottom w:val="none" w:sz="0" w:space="0" w:color="auto"/>
            <w:right w:val="none" w:sz="0" w:space="0" w:color="auto"/>
          </w:divBdr>
        </w:div>
        <w:div w:id="1156191869">
          <w:marLeft w:val="0"/>
          <w:marRight w:val="0"/>
          <w:marTop w:val="0"/>
          <w:marBottom w:val="0"/>
          <w:divBdr>
            <w:top w:val="none" w:sz="0" w:space="0" w:color="auto"/>
            <w:left w:val="none" w:sz="0" w:space="0" w:color="auto"/>
            <w:bottom w:val="none" w:sz="0" w:space="0" w:color="auto"/>
            <w:right w:val="none" w:sz="0" w:space="0" w:color="auto"/>
          </w:divBdr>
        </w:div>
        <w:div w:id="1350912547">
          <w:marLeft w:val="0"/>
          <w:marRight w:val="0"/>
          <w:marTop w:val="0"/>
          <w:marBottom w:val="0"/>
          <w:divBdr>
            <w:top w:val="none" w:sz="0" w:space="0" w:color="auto"/>
            <w:left w:val="none" w:sz="0" w:space="0" w:color="auto"/>
            <w:bottom w:val="none" w:sz="0" w:space="0" w:color="auto"/>
            <w:right w:val="none" w:sz="0" w:space="0" w:color="auto"/>
          </w:divBdr>
        </w:div>
        <w:div w:id="1049644968">
          <w:marLeft w:val="0"/>
          <w:marRight w:val="0"/>
          <w:marTop w:val="0"/>
          <w:marBottom w:val="0"/>
          <w:divBdr>
            <w:top w:val="none" w:sz="0" w:space="0" w:color="auto"/>
            <w:left w:val="none" w:sz="0" w:space="0" w:color="auto"/>
            <w:bottom w:val="none" w:sz="0" w:space="0" w:color="auto"/>
            <w:right w:val="none" w:sz="0" w:space="0" w:color="auto"/>
          </w:divBdr>
        </w:div>
        <w:div w:id="234249008">
          <w:marLeft w:val="0"/>
          <w:marRight w:val="0"/>
          <w:marTop w:val="0"/>
          <w:marBottom w:val="0"/>
          <w:divBdr>
            <w:top w:val="none" w:sz="0" w:space="0" w:color="auto"/>
            <w:left w:val="none" w:sz="0" w:space="0" w:color="auto"/>
            <w:bottom w:val="none" w:sz="0" w:space="0" w:color="auto"/>
            <w:right w:val="none" w:sz="0" w:space="0" w:color="auto"/>
          </w:divBdr>
        </w:div>
        <w:div w:id="1935936809">
          <w:marLeft w:val="0"/>
          <w:marRight w:val="0"/>
          <w:marTop w:val="0"/>
          <w:marBottom w:val="0"/>
          <w:divBdr>
            <w:top w:val="none" w:sz="0" w:space="0" w:color="auto"/>
            <w:left w:val="none" w:sz="0" w:space="0" w:color="auto"/>
            <w:bottom w:val="none" w:sz="0" w:space="0" w:color="auto"/>
            <w:right w:val="none" w:sz="0" w:space="0" w:color="auto"/>
          </w:divBdr>
        </w:div>
        <w:div w:id="1718777125">
          <w:marLeft w:val="0"/>
          <w:marRight w:val="0"/>
          <w:marTop w:val="0"/>
          <w:marBottom w:val="0"/>
          <w:divBdr>
            <w:top w:val="none" w:sz="0" w:space="0" w:color="auto"/>
            <w:left w:val="none" w:sz="0" w:space="0" w:color="auto"/>
            <w:bottom w:val="none" w:sz="0" w:space="0" w:color="auto"/>
            <w:right w:val="none" w:sz="0" w:space="0" w:color="auto"/>
          </w:divBdr>
        </w:div>
        <w:div w:id="962808440">
          <w:marLeft w:val="0"/>
          <w:marRight w:val="0"/>
          <w:marTop w:val="0"/>
          <w:marBottom w:val="0"/>
          <w:divBdr>
            <w:top w:val="none" w:sz="0" w:space="0" w:color="auto"/>
            <w:left w:val="none" w:sz="0" w:space="0" w:color="auto"/>
            <w:bottom w:val="none" w:sz="0" w:space="0" w:color="auto"/>
            <w:right w:val="none" w:sz="0" w:space="0" w:color="auto"/>
          </w:divBdr>
        </w:div>
        <w:div w:id="1984499505">
          <w:marLeft w:val="0"/>
          <w:marRight w:val="0"/>
          <w:marTop w:val="0"/>
          <w:marBottom w:val="0"/>
          <w:divBdr>
            <w:top w:val="none" w:sz="0" w:space="0" w:color="auto"/>
            <w:left w:val="none" w:sz="0" w:space="0" w:color="auto"/>
            <w:bottom w:val="none" w:sz="0" w:space="0" w:color="auto"/>
            <w:right w:val="none" w:sz="0" w:space="0" w:color="auto"/>
          </w:divBdr>
        </w:div>
        <w:div w:id="1256011965">
          <w:marLeft w:val="0"/>
          <w:marRight w:val="0"/>
          <w:marTop w:val="0"/>
          <w:marBottom w:val="0"/>
          <w:divBdr>
            <w:top w:val="none" w:sz="0" w:space="0" w:color="auto"/>
            <w:left w:val="none" w:sz="0" w:space="0" w:color="auto"/>
            <w:bottom w:val="none" w:sz="0" w:space="0" w:color="auto"/>
            <w:right w:val="none" w:sz="0" w:space="0" w:color="auto"/>
          </w:divBdr>
        </w:div>
        <w:div w:id="971131169">
          <w:marLeft w:val="0"/>
          <w:marRight w:val="0"/>
          <w:marTop w:val="0"/>
          <w:marBottom w:val="0"/>
          <w:divBdr>
            <w:top w:val="none" w:sz="0" w:space="0" w:color="auto"/>
            <w:left w:val="none" w:sz="0" w:space="0" w:color="auto"/>
            <w:bottom w:val="none" w:sz="0" w:space="0" w:color="auto"/>
            <w:right w:val="none" w:sz="0" w:space="0" w:color="auto"/>
          </w:divBdr>
        </w:div>
        <w:div w:id="278804536">
          <w:marLeft w:val="0"/>
          <w:marRight w:val="0"/>
          <w:marTop w:val="0"/>
          <w:marBottom w:val="0"/>
          <w:divBdr>
            <w:top w:val="none" w:sz="0" w:space="0" w:color="auto"/>
            <w:left w:val="none" w:sz="0" w:space="0" w:color="auto"/>
            <w:bottom w:val="none" w:sz="0" w:space="0" w:color="auto"/>
            <w:right w:val="none" w:sz="0" w:space="0" w:color="auto"/>
          </w:divBdr>
        </w:div>
        <w:div w:id="1109618082">
          <w:marLeft w:val="0"/>
          <w:marRight w:val="0"/>
          <w:marTop w:val="0"/>
          <w:marBottom w:val="0"/>
          <w:divBdr>
            <w:top w:val="none" w:sz="0" w:space="0" w:color="auto"/>
            <w:left w:val="none" w:sz="0" w:space="0" w:color="auto"/>
            <w:bottom w:val="none" w:sz="0" w:space="0" w:color="auto"/>
            <w:right w:val="none" w:sz="0" w:space="0" w:color="auto"/>
          </w:divBdr>
        </w:div>
        <w:div w:id="2104105401">
          <w:marLeft w:val="0"/>
          <w:marRight w:val="0"/>
          <w:marTop w:val="0"/>
          <w:marBottom w:val="0"/>
          <w:divBdr>
            <w:top w:val="none" w:sz="0" w:space="0" w:color="auto"/>
            <w:left w:val="none" w:sz="0" w:space="0" w:color="auto"/>
            <w:bottom w:val="none" w:sz="0" w:space="0" w:color="auto"/>
            <w:right w:val="none" w:sz="0" w:space="0" w:color="auto"/>
          </w:divBdr>
        </w:div>
        <w:div w:id="1763454216">
          <w:marLeft w:val="0"/>
          <w:marRight w:val="0"/>
          <w:marTop w:val="0"/>
          <w:marBottom w:val="0"/>
          <w:divBdr>
            <w:top w:val="none" w:sz="0" w:space="0" w:color="auto"/>
            <w:left w:val="none" w:sz="0" w:space="0" w:color="auto"/>
            <w:bottom w:val="none" w:sz="0" w:space="0" w:color="auto"/>
            <w:right w:val="none" w:sz="0" w:space="0" w:color="auto"/>
          </w:divBdr>
        </w:div>
        <w:div w:id="688872849">
          <w:marLeft w:val="0"/>
          <w:marRight w:val="0"/>
          <w:marTop w:val="0"/>
          <w:marBottom w:val="0"/>
          <w:divBdr>
            <w:top w:val="none" w:sz="0" w:space="0" w:color="auto"/>
            <w:left w:val="none" w:sz="0" w:space="0" w:color="auto"/>
            <w:bottom w:val="none" w:sz="0" w:space="0" w:color="auto"/>
            <w:right w:val="none" w:sz="0" w:space="0" w:color="auto"/>
          </w:divBdr>
        </w:div>
        <w:div w:id="467014665">
          <w:marLeft w:val="0"/>
          <w:marRight w:val="0"/>
          <w:marTop w:val="0"/>
          <w:marBottom w:val="0"/>
          <w:divBdr>
            <w:top w:val="none" w:sz="0" w:space="0" w:color="auto"/>
            <w:left w:val="none" w:sz="0" w:space="0" w:color="auto"/>
            <w:bottom w:val="none" w:sz="0" w:space="0" w:color="auto"/>
            <w:right w:val="none" w:sz="0" w:space="0" w:color="auto"/>
          </w:divBdr>
        </w:div>
        <w:div w:id="789593884">
          <w:marLeft w:val="0"/>
          <w:marRight w:val="0"/>
          <w:marTop w:val="0"/>
          <w:marBottom w:val="0"/>
          <w:divBdr>
            <w:top w:val="none" w:sz="0" w:space="0" w:color="auto"/>
            <w:left w:val="none" w:sz="0" w:space="0" w:color="auto"/>
            <w:bottom w:val="none" w:sz="0" w:space="0" w:color="auto"/>
            <w:right w:val="none" w:sz="0" w:space="0" w:color="auto"/>
          </w:divBdr>
        </w:div>
        <w:div w:id="825820153">
          <w:marLeft w:val="0"/>
          <w:marRight w:val="0"/>
          <w:marTop w:val="0"/>
          <w:marBottom w:val="0"/>
          <w:divBdr>
            <w:top w:val="none" w:sz="0" w:space="0" w:color="auto"/>
            <w:left w:val="none" w:sz="0" w:space="0" w:color="auto"/>
            <w:bottom w:val="none" w:sz="0" w:space="0" w:color="auto"/>
            <w:right w:val="none" w:sz="0" w:space="0" w:color="auto"/>
          </w:divBdr>
        </w:div>
        <w:div w:id="1857186435">
          <w:marLeft w:val="0"/>
          <w:marRight w:val="0"/>
          <w:marTop w:val="0"/>
          <w:marBottom w:val="0"/>
          <w:divBdr>
            <w:top w:val="none" w:sz="0" w:space="0" w:color="auto"/>
            <w:left w:val="none" w:sz="0" w:space="0" w:color="auto"/>
            <w:bottom w:val="none" w:sz="0" w:space="0" w:color="auto"/>
            <w:right w:val="none" w:sz="0" w:space="0" w:color="auto"/>
          </w:divBdr>
        </w:div>
        <w:div w:id="1112474392">
          <w:marLeft w:val="0"/>
          <w:marRight w:val="0"/>
          <w:marTop w:val="0"/>
          <w:marBottom w:val="0"/>
          <w:divBdr>
            <w:top w:val="none" w:sz="0" w:space="0" w:color="auto"/>
            <w:left w:val="none" w:sz="0" w:space="0" w:color="auto"/>
            <w:bottom w:val="none" w:sz="0" w:space="0" w:color="auto"/>
            <w:right w:val="none" w:sz="0" w:space="0" w:color="auto"/>
          </w:divBdr>
        </w:div>
        <w:div w:id="1159807548">
          <w:marLeft w:val="0"/>
          <w:marRight w:val="0"/>
          <w:marTop w:val="0"/>
          <w:marBottom w:val="0"/>
          <w:divBdr>
            <w:top w:val="none" w:sz="0" w:space="0" w:color="auto"/>
            <w:left w:val="none" w:sz="0" w:space="0" w:color="auto"/>
            <w:bottom w:val="none" w:sz="0" w:space="0" w:color="auto"/>
            <w:right w:val="none" w:sz="0" w:space="0" w:color="auto"/>
          </w:divBdr>
        </w:div>
        <w:div w:id="362292502">
          <w:marLeft w:val="0"/>
          <w:marRight w:val="0"/>
          <w:marTop w:val="0"/>
          <w:marBottom w:val="0"/>
          <w:divBdr>
            <w:top w:val="none" w:sz="0" w:space="0" w:color="auto"/>
            <w:left w:val="none" w:sz="0" w:space="0" w:color="auto"/>
            <w:bottom w:val="none" w:sz="0" w:space="0" w:color="auto"/>
            <w:right w:val="none" w:sz="0" w:space="0" w:color="auto"/>
          </w:divBdr>
        </w:div>
      </w:divsChild>
    </w:div>
    <w:div w:id="1457748889">
      <w:bodyDiv w:val="1"/>
      <w:marLeft w:val="0"/>
      <w:marRight w:val="0"/>
      <w:marTop w:val="0"/>
      <w:marBottom w:val="0"/>
      <w:divBdr>
        <w:top w:val="none" w:sz="0" w:space="0" w:color="auto"/>
        <w:left w:val="none" w:sz="0" w:space="0" w:color="auto"/>
        <w:bottom w:val="none" w:sz="0" w:space="0" w:color="auto"/>
        <w:right w:val="none" w:sz="0" w:space="0" w:color="auto"/>
      </w:divBdr>
    </w:div>
    <w:div w:id="1985161492">
      <w:bodyDiv w:val="1"/>
      <w:marLeft w:val="0"/>
      <w:marRight w:val="0"/>
      <w:marTop w:val="0"/>
      <w:marBottom w:val="0"/>
      <w:divBdr>
        <w:top w:val="none" w:sz="0" w:space="0" w:color="auto"/>
        <w:left w:val="none" w:sz="0" w:space="0" w:color="auto"/>
        <w:bottom w:val="none" w:sz="0" w:space="0" w:color="auto"/>
        <w:right w:val="none" w:sz="0" w:space="0" w:color="auto"/>
      </w:divBdr>
    </w:div>
    <w:div w:id="20925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7980-latvijas-republikas-satversm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ce.radzevica@iem.gov.lv" TargetMode="External"/><Relationship Id="rId4" Type="http://schemas.openxmlformats.org/officeDocument/2006/relationships/settings" Target="settings.xml"/><Relationship Id="rId9" Type="http://schemas.openxmlformats.org/officeDocument/2006/relationships/hyperlink" Target="http://likumi.lv/doc.php?id=5556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496E2-D4BC-4B3B-B391-72A651AA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likumprojekta sākotnējās ietekmes novērtējuma ziņojums (anotācija) "Grozījums Nacionālās drošības likumā"</vt:lpstr>
    </vt:vector>
  </TitlesOfParts>
  <Company>Iekšlietu ministrija</Company>
  <LinksUpToDate>false</LinksUpToDate>
  <CharactersWithSpaces>22745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sākotnējās ietekmes novērtējuma ziņojums (anotācija) "Grozījums Nacionālās drošības likumā"</dc:title>
  <dc:subject>Anotācija</dc:subject>
  <dc:creator>Dace Radzeviča</dc:creator>
  <cp:keywords/>
  <dc:description>dace.radzevica@iem.go.lv, 67219418</dc:description>
  <cp:lastModifiedBy>Sandis Blumbergs</cp:lastModifiedBy>
  <cp:revision>11</cp:revision>
  <cp:lastPrinted>2017-02-07T10:40:00Z</cp:lastPrinted>
  <dcterms:created xsi:type="dcterms:W3CDTF">2017-01-20T11:54:00Z</dcterms:created>
  <dcterms:modified xsi:type="dcterms:W3CDTF">2017-02-08T07:46:00Z</dcterms:modified>
</cp:coreProperties>
</file>