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F5339" w:rsidRDefault="007269A7" w:rsidP="007269A7">
      <w:pPr>
        <w:shd w:val="clear" w:color="auto" w:fill="FFFFFF"/>
        <w:spacing w:after="0" w:line="240" w:lineRule="auto"/>
        <w:jc w:val="center"/>
        <w:rPr>
          <w:rFonts w:ascii="Times New Roman" w:eastAsia="Times New Roman" w:hAnsi="Times New Roman" w:cs="Times New Roman"/>
          <w:b/>
          <w:bCs/>
          <w:sz w:val="28"/>
          <w:szCs w:val="24"/>
          <w:lang w:eastAsia="lv-LV"/>
        </w:rPr>
      </w:pPr>
      <w:r w:rsidRPr="00AF5339">
        <w:rPr>
          <w:rFonts w:ascii="Times New Roman" w:eastAsia="Times New Roman" w:hAnsi="Times New Roman" w:cs="Times New Roman"/>
          <w:b/>
          <w:bCs/>
          <w:sz w:val="28"/>
          <w:szCs w:val="24"/>
          <w:lang w:eastAsia="lv-LV"/>
        </w:rPr>
        <w:t>Ministru kabineta noteikumu “Grozījumi Ministru kabineta 201</w:t>
      </w:r>
      <w:r w:rsidR="004C6BE8" w:rsidRPr="00AF5339">
        <w:rPr>
          <w:rFonts w:ascii="Times New Roman" w:eastAsia="Times New Roman" w:hAnsi="Times New Roman" w:cs="Times New Roman"/>
          <w:b/>
          <w:bCs/>
          <w:sz w:val="28"/>
          <w:szCs w:val="24"/>
          <w:lang w:eastAsia="lv-LV"/>
        </w:rPr>
        <w:t>3</w:t>
      </w:r>
      <w:r w:rsidRPr="00AF5339">
        <w:rPr>
          <w:rFonts w:ascii="Times New Roman" w:eastAsia="Times New Roman" w:hAnsi="Times New Roman" w:cs="Times New Roman"/>
          <w:b/>
          <w:bCs/>
          <w:sz w:val="28"/>
          <w:szCs w:val="24"/>
          <w:lang w:eastAsia="lv-LV"/>
        </w:rPr>
        <w:t xml:space="preserve">.gada </w:t>
      </w:r>
      <w:r w:rsidR="004C6BE8" w:rsidRPr="00AF5339">
        <w:rPr>
          <w:rFonts w:ascii="Times New Roman" w:eastAsia="Times New Roman" w:hAnsi="Times New Roman" w:cs="Times New Roman"/>
          <w:b/>
          <w:bCs/>
          <w:sz w:val="28"/>
          <w:szCs w:val="24"/>
          <w:lang w:eastAsia="lv-LV"/>
        </w:rPr>
        <w:t>1</w:t>
      </w:r>
      <w:r w:rsidRPr="00AF5339">
        <w:rPr>
          <w:rFonts w:ascii="Times New Roman" w:eastAsia="Times New Roman" w:hAnsi="Times New Roman" w:cs="Times New Roman"/>
          <w:b/>
          <w:bCs/>
          <w:sz w:val="28"/>
          <w:szCs w:val="24"/>
          <w:lang w:eastAsia="lv-LV"/>
        </w:rPr>
        <w:t>.</w:t>
      </w:r>
      <w:r w:rsidR="004C6BE8" w:rsidRPr="00AF5339">
        <w:rPr>
          <w:rFonts w:ascii="Times New Roman" w:eastAsia="Times New Roman" w:hAnsi="Times New Roman" w:cs="Times New Roman"/>
          <w:b/>
          <w:bCs/>
          <w:sz w:val="28"/>
          <w:szCs w:val="24"/>
          <w:lang w:eastAsia="lv-LV"/>
        </w:rPr>
        <w:t>oktob</w:t>
      </w:r>
      <w:r w:rsidR="0079117A" w:rsidRPr="00AF5339">
        <w:rPr>
          <w:rFonts w:ascii="Times New Roman" w:eastAsia="Times New Roman" w:hAnsi="Times New Roman" w:cs="Times New Roman"/>
          <w:b/>
          <w:bCs/>
          <w:sz w:val="28"/>
          <w:szCs w:val="24"/>
          <w:lang w:eastAsia="lv-LV"/>
        </w:rPr>
        <w:t>r</w:t>
      </w:r>
      <w:r w:rsidRPr="00AF5339">
        <w:rPr>
          <w:rFonts w:ascii="Times New Roman" w:eastAsia="Times New Roman" w:hAnsi="Times New Roman" w:cs="Times New Roman"/>
          <w:b/>
          <w:bCs/>
          <w:sz w:val="28"/>
          <w:szCs w:val="24"/>
          <w:lang w:eastAsia="lv-LV"/>
        </w:rPr>
        <w:t>a noteikumos Nr.</w:t>
      </w:r>
      <w:r w:rsidR="004C6BE8" w:rsidRPr="00AF5339">
        <w:rPr>
          <w:rFonts w:ascii="Times New Roman" w:eastAsia="Times New Roman" w:hAnsi="Times New Roman" w:cs="Times New Roman"/>
          <w:b/>
          <w:bCs/>
          <w:sz w:val="28"/>
          <w:szCs w:val="24"/>
          <w:lang w:eastAsia="lv-LV"/>
        </w:rPr>
        <w:t>1034</w:t>
      </w:r>
      <w:r w:rsidRPr="00AF5339">
        <w:rPr>
          <w:rFonts w:ascii="Times New Roman" w:eastAsia="Times New Roman" w:hAnsi="Times New Roman" w:cs="Times New Roman"/>
          <w:b/>
          <w:bCs/>
          <w:sz w:val="28"/>
          <w:szCs w:val="24"/>
          <w:lang w:eastAsia="lv-LV"/>
        </w:rPr>
        <w:t xml:space="preserve"> “</w:t>
      </w:r>
      <w:r w:rsidR="004C6BE8" w:rsidRPr="00AF5339">
        <w:rPr>
          <w:rFonts w:ascii="Times New Roman" w:eastAsia="Times New Roman" w:hAnsi="Times New Roman" w:cs="Times New Roman"/>
          <w:b/>
          <w:bCs/>
          <w:sz w:val="28"/>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r w:rsidR="009D5F0D" w:rsidRPr="00AF5339">
        <w:rPr>
          <w:rFonts w:ascii="Times New Roman" w:eastAsia="Times New Roman" w:hAnsi="Times New Roman" w:cs="Times New Roman"/>
          <w:b/>
          <w:bCs/>
          <w:sz w:val="28"/>
          <w:szCs w:val="24"/>
          <w:lang w:eastAsia="lv-LV"/>
        </w:rPr>
        <w:t>”</w:t>
      </w:r>
      <w:r w:rsidR="00894C55" w:rsidRPr="00AF5339">
        <w:rPr>
          <w:rFonts w:ascii="Times New Roman" w:eastAsia="Times New Roman" w:hAnsi="Times New Roman" w:cs="Times New Roman"/>
          <w:b/>
          <w:bCs/>
          <w:sz w:val="28"/>
          <w:szCs w:val="24"/>
          <w:lang w:eastAsia="lv-LV"/>
        </w:rPr>
        <w:t xml:space="preserve"> projekta</w:t>
      </w:r>
      <w:r w:rsidR="0079117A" w:rsidRPr="00AF5339">
        <w:rPr>
          <w:rFonts w:ascii="Times New Roman" w:eastAsia="Times New Roman" w:hAnsi="Times New Roman" w:cs="Times New Roman"/>
          <w:b/>
          <w:bCs/>
          <w:sz w:val="28"/>
          <w:szCs w:val="24"/>
          <w:lang w:eastAsia="lv-LV"/>
        </w:rPr>
        <w:t xml:space="preserve"> </w:t>
      </w:r>
      <w:r w:rsidR="00894C55" w:rsidRPr="00AF5339">
        <w:rPr>
          <w:rFonts w:ascii="Times New Roman" w:eastAsia="Times New Roman" w:hAnsi="Times New Roman" w:cs="Times New Roman"/>
          <w:b/>
          <w:bCs/>
          <w:sz w:val="28"/>
          <w:szCs w:val="24"/>
          <w:lang w:eastAsia="lv-LV"/>
        </w:rPr>
        <w:t>sākotnējās ietekmes novērtējuma ziņojums (anotācija)</w:t>
      </w:r>
    </w:p>
    <w:p w:rsidR="00894C55" w:rsidRPr="00AF533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AF5339"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izstrādes nepieciešamība</w:t>
            </w:r>
          </w:p>
        </w:tc>
      </w:tr>
      <w:tr w:rsidR="00894C55" w:rsidRPr="00AF5339"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EB1739">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2017.gada 2.februārī Saeimā pieņemts likums “Grozījumi Imigrācijas likumā”, kas paredz</w:t>
            </w:r>
            <w:r w:rsidR="00F9064D" w:rsidRPr="00AF5339">
              <w:rPr>
                <w:rFonts w:ascii="Times New Roman" w:eastAsia="Times New Roman" w:hAnsi="Times New Roman" w:cs="Times New Roman"/>
                <w:sz w:val="24"/>
                <w:szCs w:val="24"/>
                <w:lang w:eastAsia="lv-LV"/>
              </w:rPr>
              <w:t xml:space="preserve"> ar 2017.gada 1.maiju</w:t>
            </w:r>
            <w:r w:rsidRPr="00AF5339">
              <w:rPr>
                <w:rFonts w:ascii="Times New Roman" w:eastAsia="Times New Roman" w:hAnsi="Times New Roman" w:cs="Times New Roman"/>
                <w:sz w:val="24"/>
                <w:szCs w:val="24"/>
                <w:lang w:eastAsia="lv-LV"/>
              </w:rPr>
              <w:t xml:space="preserve"> </w:t>
            </w:r>
            <w:r w:rsidR="004C6BE8" w:rsidRPr="00AF5339">
              <w:rPr>
                <w:rFonts w:ascii="Times New Roman" w:eastAsia="Times New Roman" w:hAnsi="Times New Roman" w:cs="Times New Roman"/>
                <w:sz w:val="24"/>
                <w:szCs w:val="24"/>
                <w:lang w:eastAsia="lv-LV"/>
              </w:rPr>
              <w:t xml:space="preserve">saīsināt dokumentu izskatīšanas termiņu atsevišķos uzturēšanās atļauju pieprasīšanas gadījumos. </w:t>
            </w:r>
            <w:r w:rsidRPr="00AF5339">
              <w:rPr>
                <w:rFonts w:ascii="Times New Roman" w:eastAsia="Times New Roman" w:hAnsi="Times New Roman" w:cs="Times New Roman"/>
                <w:sz w:val="24"/>
                <w:szCs w:val="24"/>
                <w:lang w:eastAsia="lv-LV"/>
              </w:rPr>
              <w:t>Likumprojekta izpildei nepieciešams veikt grozījumus Ministru kabineta 201</w:t>
            </w:r>
            <w:r w:rsidR="004C6BE8" w:rsidRPr="00AF5339">
              <w:rPr>
                <w:rFonts w:ascii="Times New Roman" w:eastAsia="Times New Roman" w:hAnsi="Times New Roman" w:cs="Times New Roman"/>
                <w:sz w:val="24"/>
                <w:szCs w:val="24"/>
                <w:lang w:eastAsia="lv-LV"/>
              </w:rPr>
              <w:t>3</w:t>
            </w:r>
            <w:r w:rsidRPr="00AF5339">
              <w:rPr>
                <w:rFonts w:ascii="Times New Roman" w:eastAsia="Times New Roman" w:hAnsi="Times New Roman" w:cs="Times New Roman"/>
                <w:sz w:val="24"/>
                <w:szCs w:val="24"/>
                <w:lang w:eastAsia="lv-LV"/>
              </w:rPr>
              <w:t xml:space="preserve">.gada </w:t>
            </w:r>
            <w:r w:rsidR="004C6BE8" w:rsidRPr="00AF5339">
              <w:rPr>
                <w:rFonts w:ascii="Times New Roman" w:eastAsia="Times New Roman" w:hAnsi="Times New Roman" w:cs="Times New Roman"/>
                <w:sz w:val="24"/>
                <w:szCs w:val="24"/>
                <w:lang w:eastAsia="lv-LV"/>
              </w:rPr>
              <w:t>1</w:t>
            </w:r>
            <w:r w:rsidRPr="00AF5339">
              <w:rPr>
                <w:rFonts w:ascii="Times New Roman" w:eastAsia="Times New Roman" w:hAnsi="Times New Roman" w:cs="Times New Roman"/>
                <w:sz w:val="24"/>
                <w:szCs w:val="24"/>
                <w:lang w:eastAsia="lv-LV"/>
              </w:rPr>
              <w:t>.</w:t>
            </w:r>
            <w:r w:rsidR="004C6BE8" w:rsidRPr="00AF5339">
              <w:rPr>
                <w:rFonts w:ascii="Times New Roman" w:eastAsia="Times New Roman" w:hAnsi="Times New Roman" w:cs="Times New Roman"/>
                <w:sz w:val="24"/>
                <w:szCs w:val="24"/>
                <w:lang w:eastAsia="lv-LV"/>
              </w:rPr>
              <w:t>oktob</w:t>
            </w:r>
            <w:r w:rsidR="00305A98" w:rsidRPr="00AF5339">
              <w:rPr>
                <w:rFonts w:ascii="Times New Roman" w:eastAsia="Times New Roman" w:hAnsi="Times New Roman" w:cs="Times New Roman"/>
                <w:sz w:val="24"/>
                <w:szCs w:val="24"/>
                <w:lang w:eastAsia="lv-LV"/>
              </w:rPr>
              <w:t>r</w:t>
            </w:r>
            <w:r w:rsidRPr="00AF5339">
              <w:rPr>
                <w:rFonts w:ascii="Times New Roman" w:eastAsia="Times New Roman" w:hAnsi="Times New Roman" w:cs="Times New Roman"/>
                <w:sz w:val="24"/>
                <w:szCs w:val="24"/>
                <w:lang w:eastAsia="lv-LV"/>
              </w:rPr>
              <w:t>a noteikumos Nr.</w:t>
            </w:r>
            <w:r w:rsidR="004C6BE8" w:rsidRPr="00AF5339">
              <w:rPr>
                <w:rFonts w:ascii="Times New Roman" w:eastAsia="Times New Roman" w:hAnsi="Times New Roman" w:cs="Times New Roman"/>
                <w:sz w:val="24"/>
                <w:szCs w:val="24"/>
                <w:lang w:eastAsia="lv-LV"/>
              </w:rPr>
              <w:t>1034 “Noteikumi par valsts nodevu par vīzas, uzturēšanās atļaujas vai Eiropas Savienības pastāvīgā iedzīvotāja statusa Latvijas Republikā pieprasīšanai nepieciešamo dokumentu izskatīšanu un ar to saistītajiem pakalpojumiem”</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675144"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75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C6BE8" w:rsidRPr="00AF5339" w:rsidRDefault="00AD393D" w:rsidP="004C6BE8">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Ministru kabineta noteikumu “Grozījumi Ministru kabineta 2013.gada 1.oktobra noteikumos Nr.1034 “Noteikumi par valsts nodevu par vīzas, uzturēšanās atļaujas vai Eiropas Savienības pastāvīgā iedzīvotāja statusa Latvijas Republikā pieprasīšanai nepieciešamo dokumentu izskatīšanu un ar to saistītajiem pakalpojumiem”” </w:t>
            </w:r>
            <w:r w:rsidR="004C6BE8" w:rsidRPr="00AF5339">
              <w:rPr>
                <w:rFonts w:ascii="Times New Roman" w:eastAsia="Times New Roman" w:hAnsi="Times New Roman" w:cs="Times New Roman"/>
                <w:sz w:val="24"/>
                <w:szCs w:val="24"/>
                <w:lang w:eastAsia="lv-LV"/>
              </w:rPr>
              <w:t>projektā</w:t>
            </w:r>
            <w:r w:rsidR="00EB1739" w:rsidRPr="00AF5339">
              <w:rPr>
                <w:rFonts w:ascii="Times New Roman" w:eastAsia="Times New Roman" w:hAnsi="Times New Roman" w:cs="Times New Roman"/>
                <w:sz w:val="24"/>
                <w:szCs w:val="24"/>
                <w:lang w:eastAsia="lv-LV"/>
              </w:rPr>
              <w:t xml:space="preserve"> (turpmāk – projekts)</w:t>
            </w:r>
            <w:r w:rsidR="004C6BE8" w:rsidRPr="00AF5339">
              <w:rPr>
                <w:rFonts w:ascii="Times New Roman" w:eastAsia="Times New Roman" w:hAnsi="Times New Roman" w:cs="Times New Roman"/>
                <w:sz w:val="24"/>
                <w:szCs w:val="24"/>
                <w:lang w:eastAsia="lv-LV"/>
              </w:rPr>
              <w:t xml:space="preserve"> </w:t>
            </w:r>
            <w:r w:rsidR="00305A98" w:rsidRPr="00AF5339">
              <w:rPr>
                <w:rFonts w:ascii="Times New Roman" w:eastAsia="Times New Roman" w:hAnsi="Times New Roman" w:cs="Times New Roman"/>
                <w:sz w:val="24"/>
                <w:szCs w:val="24"/>
                <w:lang w:eastAsia="lv-LV"/>
              </w:rPr>
              <w:t xml:space="preserve">saskaņā ar grozījumiem Imigrācijas likuma </w:t>
            </w:r>
            <w:r w:rsidR="004C6BE8" w:rsidRPr="00AF5339">
              <w:rPr>
                <w:rFonts w:ascii="Times New Roman" w:eastAsia="Times New Roman" w:hAnsi="Times New Roman" w:cs="Times New Roman"/>
                <w:sz w:val="24"/>
                <w:szCs w:val="24"/>
                <w:lang w:eastAsia="lv-LV"/>
              </w:rPr>
              <w:t xml:space="preserve">33.pantā noteikts </w:t>
            </w:r>
            <w:r w:rsidR="00430471" w:rsidRPr="00AF5339">
              <w:rPr>
                <w:rFonts w:ascii="Times New Roman" w:eastAsia="Times New Roman" w:hAnsi="Times New Roman" w:cs="Times New Roman"/>
                <w:sz w:val="24"/>
                <w:szCs w:val="24"/>
                <w:lang w:eastAsia="lv-LV"/>
              </w:rPr>
              <w:t xml:space="preserve">saīsināts </w:t>
            </w:r>
            <w:r w:rsidR="004C6BE8" w:rsidRPr="00AF5339">
              <w:rPr>
                <w:rFonts w:ascii="Times New Roman" w:eastAsia="Times New Roman" w:hAnsi="Times New Roman" w:cs="Times New Roman"/>
                <w:sz w:val="24"/>
                <w:szCs w:val="24"/>
                <w:lang w:eastAsia="lv-LV"/>
              </w:rPr>
              <w:t>dokumentu izskatīšanas termiņš:</w:t>
            </w:r>
          </w:p>
          <w:p w:rsidR="004C6BE8" w:rsidRPr="00AF5339" w:rsidRDefault="004C6BE8" w:rsidP="009D5F0D">
            <w:pPr>
              <w:pStyle w:val="ListParagraph"/>
              <w:numPr>
                <w:ilvl w:val="0"/>
                <w:numId w:val="2"/>
              </w:numPr>
              <w:spacing w:after="0" w:line="240" w:lineRule="auto"/>
              <w:ind w:left="0" w:firstLine="360"/>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Eiropas Savienības zilās kartes pieprasīšanai </w:t>
            </w:r>
            <w:r w:rsidR="00EB1739" w:rsidRPr="00AF5339">
              <w:rPr>
                <w:rFonts w:ascii="Times New Roman" w:eastAsia="Times New Roman" w:hAnsi="Times New Roman" w:cs="Times New Roman"/>
                <w:sz w:val="24"/>
                <w:szCs w:val="24"/>
                <w:lang w:eastAsia="lv-LV"/>
              </w:rPr>
              <w:t xml:space="preserve">– </w:t>
            </w:r>
            <w:r w:rsidRPr="00AF5339">
              <w:rPr>
                <w:rFonts w:ascii="Times New Roman" w:eastAsia="Times New Roman" w:hAnsi="Times New Roman" w:cs="Times New Roman"/>
                <w:sz w:val="24"/>
                <w:szCs w:val="24"/>
                <w:lang w:eastAsia="lv-LV"/>
              </w:rPr>
              <w:t>10 darba dienas, nosakot piecu darba dienu termiņu dokumentu paātrinātai izskatīšanai</w:t>
            </w:r>
            <w:r w:rsidR="00430471" w:rsidRPr="00AF5339">
              <w:rPr>
                <w:rFonts w:ascii="Times New Roman" w:eastAsia="Times New Roman" w:hAnsi="Times New Roman" w:cs="Times New Roman"/>
                <w:sz w:val="24"/>
                <w:szCs w:val="24"/>
                <w:lang w:eastAsia="lv-LV"/>
              </w:rPr>
              <w:t xml:space="preserve"> (pašreizējo 30 dienu, 10 darba dienu un piecu darba dienu termiņa vietā)</w:t>
            </w:r>
            <w:r w:rsidRPr="00AF5339">
              <w:rPr>
                <w:rFonts w:ascii="Times New Roman" w:eastAsia="Times New Roman" w:hAnsi="Times New Roman" w:cs="Times New Roman"/>
                <w:sz w:val="24"/>
                <w:szCs w:val="24"/>
                <w:lang w:eastAsia="lv-LV"/>
              </w:rPr>
              <w:t>;</w:t>
            </w:r>
          </w:p>
          <w:p w:rsidR="00894C55" w:rsidRPr="00AF5339" w:rsidRDefault="004C6BE8" w:rsidP="009D5F0D">
            <w:pPr>
              <w:pStyle w:val="ListParagraph"/>
              <w:numPr>
                <w:ilvl w:val="0"/>
                <w:numId w:val="2"/>
              </w:numPr>
              <w:spacing w:after="0" w:line="240" w:lineRule="auto"/>
              <w:ind w:left="0" w:firstLine="360"/>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Pastāvīgās uzturēšanās atļaujas pieprasīšanai </w:t>
            </w:r>
            <w:r w:rsidR="00EB1739" w:rsidRPr="00AF5339">
              <w:rPr>
                <w:rFonts w:ascii="Times New Roman" w:eastAsia="Times New Roman" w:hAnsi="Times New Roman" w:cs="Times New Roman"/>
                <w:sz w:val="24"/>
                <w:szCs w:val="24"/>
                <w:lang w:eastAsia="lv-LV"/>
              </w:rPr>
              <w:t xml:space="preserve">– </w:t>
            </w:r>
            <w:r w:rsidRPr="00AF5339">
              <w:rPr>
                <w:rFonts w:ascii="Times New Roman" w:eastAsia="Times New Roman" w:hAnsi="Times New Roman" w:cs="Times New Roman"/>
                <w:sz w:val="24"/>
                <w:szCs w:val="24"/>
                <w:lang w:eastAsia="lv-LV"/>
              </w:rPr>
              <w:t>30 dienas, nosakot 10 darba dienu termiņu dokumentu paātrinātai izskatīšanai</w:t>
            </w:r>
            <w:r w:rsidR="00430471" w:rsidRPr="00AF5339">
              <w:rPr>
                <w:rFonts w:ascii="Times New Roman" w:eastAsia="Times New Roman" w:hAnsi="Times New Roman" w:cs="Times New Roman"/>
                <w:sz w:val="24"/>
                <w:szCs w:val="24"/>
                <w:lang w:eastAsia="lv-LV"/>
              </w:rPr>
              <w:t xml:space="preserve"> </w:t>
            </w:r>
            <w:proofErr w:type="gramStart"/>
            <w:r w:rsidR="00430471" w:rsidRPr="00AF5339">
              <w:rPr>
                <w:rFonts w:ascii="Times New Roman" w:eastAsia="Times New Roman" w:hAnsi="Times New Roman" w:cs="Times New Roman"/>
                <w:sz w:val="24"/>
                <w:szCs w:val="24"/>
                <w:lang w:eastAsia="lv-LV"/>
              </w:rPr>
              <w:t>(</w:t>
            </w:r>
            <w:proofErr w:type="gramEnd"/>
            <w:r w:rsidR="00430471" w:rsidRPr="00AF5339">
              <w:rPr>
                <w:rFonts w:ascii="Times New Roman" w:eastAsia="Times New Roman" w:hAnsi="Times New Roman" w:cs="Times New Roman"/>
                <w:sz w:val="24"/>
                <w:szCs w:val="24"/>
                <w:lang w:eastAsia="lv-LV"/>
              </w:rPr>
              <w:t>pašreizējo 90 dienu, 45 dienu un 10 darba dienu termiņa vietā</w:t>
            </w:r>
            <w:r w:rsidRPr="00AF5339">
              <w:rPr>
                <w:rFonts w:ascii="Times New Roman" w:eastAsia="Times New Roman" w:hAnsi="Times New Roman" w:cs="Times New Roman"/>
                <w:sz w:val="24"/>
                <w:szCs w:val="24"/>
                <w:lang w:eastAsia="lv-LV"/>
              </w:rPr>
              <w:t>.</w:t>
            </w:r>
          </w:p>
          <w:p w:rsidR="00675144" w:rsidRPr="00AF5339" w:rsidRDefault="00EB1739">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    </w:t>
            </w:r>
            <w:r w:rsidR="00AD393D" w:rsidRPr="00AF5339">
              <w:rPr>
                <w:rFonts w:ascii="Times New Roman" w:eastAsia="Times New Roman" w:hAnsi="Times New Roman" w:cs="Times New Roman"/>
                <w:sz w:val="24"/>
                <w:szCs w:val="24"/>
                <w:lang w:eastAsia="lv-LV"/>
              </w:rPr>
              <w:t xml:space="preserve">Ņemot vērā, ka attiecīgie grozījumi Imigrācijas likumā stājas spēkā 2017.gada 1.maijā, tad arī </w:t>
            </w:r>
            <w:r w:rsidRPr="00AF5339">
              <w:rPr>
                <w:rFonts w:ascii="Times New Roman" w:eastAsia="Times New Roman" w:hAnsi="Times New Roman" w:cs="Times New Roman"/>
                <w:sz w:val="24"/>
                <w:szCs w:val="24"/>
                <w:lang w:eastAsia="lv-LV"/>
              </w:rPr>
              <w:t xml:space="preserve">projektā </w:t>
            </w:r>
            <w:r w:rsidR="00AD393D" w:rsidRPr="00AF5339">
              <w:rPr>
                <w:rFonts w:ascii="Times New Roman" w:eastAsia="Times New Roman" w:hAnsi="Times New Roman" w:cs="Times New Roman"/>
                <w:sz w:val="24"/>
                <w:szCs w:val="24"/>
                <w:lang w:eastAsia="lv-LV"/>
              </w:rPr>
              <w:t xml:space="preserve">noteikts šāds </w:t>
            </w:r>
            <w:r w:rsidRPr="00AF5339">
              <w:rPr>
                <w:rFonts w:ascii="Times New Roman" w:eastAsia="Times New Roman" w:hAnsi="Times New Roman" w:cs="Times New Roman"/>
                <w:sz w:val="24"/>
                <w:szCs w:val="24"/>
                <w:lang w:eastAsia="lv-LV"/>
              </w:rPr>
              <w:t xml:space="preserve">noteikumu </w:t>
            </w:r>
            <w:r w:rsidR="00AD393D" w:rsidRPr="00AF5339">
              <w:rPr>
                <w:rFonts w:ascii="Times New Roman" w:eastAsia="Times New Roman" w:hAnsi="Times New Roman" w:cs="Times New Roman"/>
                <w:sz w:val="24"/>
                <w:szCs w:val="24"/>
                <w:lang w:eastAsia="lv-LV"/>
              </w:rPr>
              <w:t>spēkā stāšanās laiks.</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Iekšlietu ministrija, Pilsonības un migrācijas lietu pārvalde</w:t>
            </w:r>
          </w:p>
        </w:tc>
      </w:tr>
      <w:tr w:rsidR="00894C55" w:rsidRPr="00AF5339"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5B07A4">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AF5339"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lastRenderedPageBreak/>
              <w:t>II.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4C6BE8">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Ārzemnieki, kas pieprasa Eiropas Savienības (ES) zilo karti un pastāvīgās uzturēšanās atļaujas Latvijas Republikā. 2016.gadā izsniegtas 193 ES zilās kartes un 1224 pastāvīgās uzturēšanās atļaujas. </w:t>
            </w:r>
          </w:p>
        </w:tc>
      </w:tr>
      <w:tr w:rsidR="00894C55" w:rsidRPr="009D02DA"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430471">
            <w:pPr>
              <w:keepNext/>
              <w:keepLines/>
              <w:spacing w:before="200" w:after="0" w:line="240" w:lineRule="auto"/>
              <w:jc w:val="both"/>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Projekts </w:t>
            </w:r>
            <w:r w:rsidR="00430471" w:rsidRPr="009D02DA">
              <w:rPr>
                <w:rFonts w:ascii="Times New Roman" w:eastAsia="Times New Roman" w:hAnsi="Times New Roman" w:cs="Times New Roman"/>
                <w:sz w:val="24"/>
                <w:szCs w:val="24"/>
                <w:lang w:eastAsia="lv-LV"/>
              </w:rPr>
              <w:t>labvēlīgi ietekmē tautsaimniecību, jo no 30 dienām uz 10 darba dienām tiek saīsināts dokumentu izskatīšanas termiņš Eiropas Savienības zilās kartes pieprasīšanai, līdz ar to darba devēji varēs elastīgāk risināt ar darbaspēka trūkumu saistītos jautājumus savos uzņēmumos.</w:t>
            </w:r>
            <w:proofErr w:type="gramStart"/>
            <w:r w:rsidR="00430471" w:rsidRPr="009D02DA">
              <w:rPr>
                <w:rFonts w:ascii="Times New Roman" w:eastAsia="Times New Roman" w:hAnsi="Times New Roman" w:cs="Times New Roman"/>
                <w:sz w:val="24"/>
                <w:szCs w:val="24"/>
                <w:lang w:eastAsia="lv-LV"/>
              </w:rPr>
              <w:t xml:space="preserve"> </w:t>
            </w:r>
            <w:r w:rsidRPr="009D02DA">
              <w:rPr>
                <w:rFonts w:ascii="Times New Roman" w:eastAsia="Times New Roman" w:hAnsi="Times New Roman" w:cs="Times New Roman"/>
                <w:sz w:val="24"/>
                <w:szCs w:val="24"/>
                <w:lang w:eastAsia="lv-LV"/>
              </w:rPr>
              <w:t>.</w:t>
            </w:r>
            <w:proofErr w:type="gramEnd"/>
          </w:p>
        </w:tc>
      </w:tr>
      <w:tr w:rsidR="00894C55" w:rsidRPr="00AF5339"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E17DC1">
            <w:pPr>
              <w:spacing w:after="0" w:line="240" w:lineRule="auto"/>
              <w:jc w:val="both"/>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Projekts šo jomu neskar.</w:t>
            </w:r>
          </w:p>
        </w:tc>
      </w:tr>
      <w:tr w:rsidR="00894C55" w:rsidRPr="00AF5339"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647AF2">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AF5339" w:rsidRDefault="00AF533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101"/>
        <w:gridCol w:w="1186"/>
        <w:gridCol w:w="1550"/>
        <w:gridCol w:w="1094"/>
        <w:gridCol w:w="1185"/>
        <w:gridCol w:w="1003"/>
      </w:tblGrid>
      <w:tr w:rsidR="009D02DA" w:rsidTr="00184D4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III. Tiesību akta projekta ietekme uz valsts budžetu un pašvaldību budžetiem</w:t>
            </w:r>
          </w:p>
        </w:tc>
      </w:tr>
      <w:tr w:rsidR="009D02DA" w:rsidTr="00184D4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2017.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Turpmākie trīs gadi (tūkst. </w:t>
            </w:r>
            <w:proofErr w:type="spellStart"/>
            <w:r w:rsidRPr="009D02DA">
              <w:rPr>
                <w:rFonts w:ascii="Times New Roman" w:eastAsia="Times New Roman" w:hAnsi="Times New Roman" w:cs="Times New Roman"/>
                <w:i/>
                <w:iCs/>
                <w:sz w:val="24"/>
                <w:szCs w:val="24"/>
                <w:lang w:eastAsia="lv-LV"/>
              </w:rPr>
              <w:t>euro</w:t>
            </w:r>
            <w:proofErr w:type="spellEnd"/>
            <w:r w:rsidRPr="009D02DA">
              <w:rPr>
                <w:rFonts w:ascii="Times New Roman" w:eastAsia="Times New Roman" w:hAnsi="Times New Roman" w:cs="Times New Roman"/>
                <w:sz w:val="24"/>
                <w:szCs w:val="24"/>
                <w:lang w:eastAsia="lv-LV"/>
              </w:rPr>
              <w:t>)</w:t>
            </w: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2020</w:t>
            </w: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jc w:val="center"/>
              <w:rPr>
                <w:rFonts w:ascii="Times New Roman" w:hAnsi="Times New Roman" w:cs="Times New Roman"/>
                <w:sz w:val="24"/>
                <w:szCs w:val="24"/>
              </w:rPr>
            </w:pPr>
            <w:r w:rsidRPr="009D02DA">
              <w:rPr>
                <w:rFonts w:ascii="Times New Roman" w:hAnsi="Times New Roman" w:cs="Times New Roman"/>
                <w:sz w:val="24"/>
                <w:szCs w:val="24"/>
              </w:rPr>
              <w:t>3 454 306</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hAnsi="Times New Roman" w:cs="Times New Roman"/>
                <w:sz w:val="24"/>
                <w:szCs w:val="24"/>
              </w:rPr>
            </w:pPr>
            <w:r w:rsidRPr="009D02DA">
              <w:rPr>
                <w:rFonts w:ascii="Times New Roman" w:hAnsi="Times New Roman" w:cs="Times New Roman"/>
                <w:sz w:val="24"/>
                <w:szCs w:val="24"/>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hAnsi="Times New Roman" w:cs="Times New Roman"/>
                <w:sz w:val="24"/>
                <w:szCs w:val="24"/>
              </w:rPr>
              <w:t>3 454 306</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keepNext/>
              <w:keepLines/>
              <w:numPr>
                <w:ilvl w:val="0"/>
                <w:numId w:val="3"/>
              </w:numPr>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proofErr w:type="gramStart"/>
            <w:r w:rsidRPr="009D02DA">
              <w:rPr>
                <w:rFonts w:ascii="Times New Roman" w:eastAsia="Times New Roman" w:hAnsi="Times New Roman" w:cs="Times New Roman"/>
                <w:sz w:val="24"/>
                <w:szCs w:val="24"/>
                <w:lang w:eastAsia="lv-LV"/>
              </w:rPr>
              <w:t xml:space="preserve">4. Finanšu līdzekļi papildu </w:t>
            </w:r>
            <w:r w:rsidRPr="009D02DA">
              <w:rPr>
                <w:rFonts w:ascii="Times New Roman" w:eastAsia="Times New Roman" w:hAnsi="Times New Roman" w:cs="Times New Roman"/>
                <w:sz w:val="24"/>
                <w:szCs w:val="24"/>
                <w:lang w:eastAsia="lv-LV"/>
              </w:rPr>
              <w:lastRenderedPageBreak/>
              <w:t>izdevumu finansēšanai</w:t>
            </w:r>
            <w:proofErr w:type="gramEnd"/>
            <w:r w:rsidRPr="009D02DA">
              <w:rPr>
                <w:rFonts w:ascii="Times New Roman" w:eastAsia="Times New Roman" w:hAnsi="Times New Roman" w:cs="Times New Roman"/>
                <w:sz w:val="24"/>
                <w:szCs w:val="24"/>
                <w:lang w:eastAsia="lv-LV"/>
              </w:rPr>
              <w:t xml:space="preserve">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X</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ind w:left="360"/>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ind w:left="360"/>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Pašreiz </w:t>
            </w:r>
            <w:r w:rsidRPr="009D02DA">
              <w:rPr>
                <w:rFonts w:ascii="Times New Roman" w:eastAsia="Times New Roman" w:hAnsi="Times New Roman" w:cs="Times New Roman"/>
                <w:i/>
                <w:sz w:val="24"/>
                <w:szCs w:val="24"/>
              </w:rPr>
              <w:t>valsts nodeva par dokumentu izskatīšanu ES zilās kartes (uzturēšanās atļaujas) pieprasīšanai</w:t>
            </w:r>
            <w:r w:rsidRPr="009D02DA">
              <w:rPr>
                <w:rFonts w:ascii="Times New Roman" w:eastAsia="Times New Roman" w:hAnsi="Times New Roman" w:cs="Times New Roman"/>
                <w:sz w:val="24"/>
                <w:szCs w:val="24"/>
              </w:rPr>
              <w:t xml:space="preserve"> noteikta:</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- 30 dienu laikā (parastais izskatīšanas termiņš) – 99,60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w:t>
            </w:r>
          </w:p>
          <w:p w:rsidR="009D02DA" w:rsidRPr="009D02DA" w:rsidRDefault="009D02DA" w:rsidP="00184D43">
            <w:pPr>
              <w:spacing w:after="0" w:line="240" w:lineRule="auto"/>
              <w:jc w:val="both"/>
              <w:rPr>
                <w:rFonts w:ascii="Times New Roman" w:eastAsia="Times New Roman" w:hAnsi="Times New Roman" w:cs="Times New Roman"/>
                <w:i/>
                <w:sz w:val="24"/>
                <w:szCs w:val="24"/>
              </w:rPr>
            </w:pPr>
            <w:r w:rsidRPr="009D02DA">
              <w:rPr>
                <w:rFonts w:ascii="Times New Roman" w:eastAsia="Times New Roman" w:hAnsi="Times New Roman" w:cs="Times New Roman"/>
                <w:sz w:val="24"/>
                <w:szCs w:val="24"/>
              </w:rPr>
              <w:t xml:space="preserve">- par paātrinātu dokumentu izskatīšanu 10 darba dienu laikā - 241,89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par paātrinātu dokumentu izskatīšanu 5 darba dienu laikā –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Pastāvīgās uzturēšanās atļaujas pieprasītāji analogu valsts nodevu maksā par dokumentu izskatīšanu attiecīgi trīs mēnešu, 45 dienu un 10 darba dienu laikā.</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Ievērojot to, ka Imigrācijas likums no 2017.gada 1.maija paredz saīsināt parasto (nepaātrināto) dokumentu izskatīšanas termiņu, nosakot to:</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- 10 darbdienas ES zilās kartes pieprasīšanai;</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- 30 dienas – pastāvīgās uzturēšanās atļaujas pieprasīšanai, projektā nav paredzēts mainīt valsts nodevu likmes, bet šobrīd noteikto parasto (nepaātrināto) termiņu noteikt atbilstoši Imigrācijas likumā noteiktajam, katram atļaujas veidam saglabājot tikai vienu paātrinātās izskatīšanas termiņu, kam valsts nodeva noteikta tādā pašā apmērā, kāds šobrīd noteikts pēc parastās izskatīšanas termiņa sekojošajam nākamajam paātrinātās izskatīšanas termiņam. Pēc grozījumu veikšanas netiks saglabāta valsts nodeva par visātrāko dokumentu izskatīšanas termiņu, jo trīs dažādu termiņu noteikšana, pastāvot tik ierobežotam parastās izskatīšanas termiņam, nav iespējama (dokumentus nav iespējams izvērtēt divu vai trīs dienu laikā).</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Prognozējams, ka gada laikā aptuveni 55 gadījumos uzturēšanās atļauju pieprasītāji (22 ES zilās kartes pieprasītāji un 33 pastāvīgās uzturēšanās atļauju pieprasītāji) varētu ietilpt tajā ārzemnieku kategorijā, kuriem pēc pašreizējā regulējuma būtu jāmaksā valsts nodeva par uzturēšanās atļaujas dokumentu izskatīšanu visīsākajā termiņā, bet, ievērojot to, ka valsts nodevas likme atšķirsies no tās likmes, kas jāmaksā saskaņā ar pašlaik spēkā esošo regulējumu, vairs nebūs pamata iekasēt valsts nodevu par dokumentu izskatīšanu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jo turpmāk tiks noteikti tikai divi dokumentu izskatīšanas termiņi – ES zilajai kartei – 10 </w:t>
            </w:r>
            <w:r w:rsidRPr="009D02DA">
              <w:rPr>
                <w:rFonts w:ascii="Times New Roman" w:eastAsia="Times New Roman" w:hAnsi="Times New Roman" w:cs="Times New Roman"/>
                <w:sz w:val="24"/>
                <w:szCs w:val="24"/>
              </w:rPr>
              <w:lastRenderedPageBreak/>
              <w:t xml:space="preserve">darba dienas un piecas darba dienas, savukārt pastāvīgās uzturēšanās atļaujai – 30 dienas un 10 darba dienas.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Starpība starp valsts nodevu likmēm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=142,29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Prognozētais personu skaits, kas varētu maksāt valsts nodevu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(iepriekš noteiktās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vietā – 55 (2016.gada faktiskais skaits).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Prognozētais valsts pamatbudžeta ieņēmumu no valsts nodevas par dokumentu izskatīšanu un ar to saistītajiem pakalpojumiem samazinājums gadā prognozēts 7826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(55 x 142,29 </w:t>
            </w:r>
            <w:r w:rsidRPr="009D02DA">
              <w:rPr>
                <w:rFonts w:ascii="Times New Roman" w:eastAsia="Times New Roman" w:hAnsi="Times New Roman" w:cs="Times New Roman"/>
                <w:i/>
                <w:sz w:val="24"/>
                <w:szCs w:val="24"/>
              </w:rPr>
              <w:t>euro</w:t>
            </w:r>
            <w:r w:rsidRPr="009D02DA">
              <w:rPr>
                <w:rFonts w:ascii="Times New Roman" w:eastAsia="Times New Roman" w:hAnsi="Times New Roman" w:cs="Times New Roman"/>
                <w:sz w:val="24"/>
                <w:szCs w:val="24"/>
              </w:rPr>
              <w:t xml:space="preserve">=7826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bet 2017.gada 8 mēnešos–5217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Vienlaikus faktiskais valsts pamatbudžeta ieņēmumu apjoms būs atkarīgs no faktiskā personu skaita, kas izmantos šo pakalpojumu.</w:t>
            </w:r>
          </w:p>
          <w:p w:rsidR="009D02DA" w:rsidRPr="009D02DA" w:rsidRDefault="009D02DA" w:rsidP="009D02DA">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Vienlaikus var pieņemt, ka minēto valsts pamatbudžeta ieņēmumu nosacīto samazinājumu kompensēs papildu valsts pamatbudžeta ieņēmumi sakarā ar jaunu termiņuzturēšanās atļaujas pieprasīšanas pamatu - saistībā ar ārzemnieka darbību </w:t>
            </w:r>
            <w:proofErr w:type="spellStart"/>
            <w:r w:rsidRPr="009D02DA">
              <w:rPr>
                <w:rFonts w:ascii="Times New Roman" w:eastAsia="Times New Roman" w:hAnsi="Times New Roman" w:cs="Times New Roman"/>
                <w:sz w:val="24"/>
                <w:szCs w:val="24"/>
              </w:rPr>
              <w:t>jaunuzņēmumā</w:t>
            </w:r>
            <w:proofErr w:type="spellEnd"/>
            <w:r w:rsidRPr="009D02DA">
              <w:rPr>
                <w:rFonts w:ascii="Times New Roman" w:eastAsia="Times New Roman" w:hAnsi="Times New Roman" w:cs="Times New Roman"/>
                <w:sz w:val="24"/>
                <w:szCs w:val="24"/>
              </w:rPr>
              <w:t>,</w:t>
            </w:r>
            <w:r w:rsidRPr="009D02DA">
              <w:rPr>
                <w:rFonts w:ascii="Times New Roman" w:hAnsi="Times New Roman" w:cs="Times New Roman"/>
                <w:sz w:val="24"/>
                <w:szCs w:val="24"/>
              </w:rPr>
              <w:t xml:space="preserve"> </w:t>
            </w:r>
            <w:r w:rsidRPr="009D02DA">
              <w:rPr>
                <w:rFonts w:ascii="Times New Roman" w:eastAsia="Times New Roman" w:hAnsi="Times New Roman" w:cs="Times New Roman"/>
                <w:sz w:val="24"/>
                <w:szCs w:val="24"/>
              </w:rPr>
              <w:t>izstrādājot vai attīstot inovatīvu produktu (saskaņā ar 2017.gada 2.februārī apstiprinātajiem grozījumiem</w:t>
            </w:r>
            <w:r>
              <w:rPr>
                <w:rFonts w:ascii="Times New Roman" w:eastAsia="Times New Roman" w:hAnsi="Times New Roman" w:cs="Times New Roman"/>
                <w:sz w:val="24"/>
                <w:szCs w:val="24"/>
              </w:rPr>
              <w:t>, kas paredz</w:t>
            </w:r>
            <w:r w:rsidRPr="009D02D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migrācijas likuma 23.panta pirmo </w:t>
            </w:r>
            <w:r w:rsidRPr="009D02DA">
              <w:rPr>
                <w:rFonts w:ascii="Times New Roman" w:eastAsia="Times New Roman" w:hAnsi="Times New Roman" w:cs="Times New Roman"/>
                <w:sz w:val="24"/>
                <w:szCs w:val="24"/>
              </w:rPr>
              <w:t>daļ</w:t>
            </w:r>
            <w:r>
              <w:rPr>
                <w:rFonts w:ascii="Times New Roman" w:eastAsia="Times New Roman" w:hAnsi="Times New Roman" w:cs="Times New Roman"/>
                <w:sz w:val="24"/>
                <w:szCs w:val="24"/>
              </w:rPr>
              <w:t>u</w:t>
            </w:r>
            <w:r w:rsidRPr="009D02DA">
              <w:rPr>
                <w:rFonts w:ascii="Times New Roman" w:eastAsia="Times New Roman" w:hAnsi="Times New Roman" w:cs="Times New Roman"/>
                <w:sz w:val="24"/>
                <w:szCs w:val="24"/>
              </w:rPr>
              <w:t xml:space="preserve"> papildināt ar 33.punktu, kas stāsies spēkā 2017.gada 1.maijā). Pieņemot, ka katru gadu tiks pieprasītas 30 termiņuzturēšanās atļaujas ar minēto pamatojumu, gadā papildu valsts pamatbudžeta ieņēmumi varētu sastādīt ap 7257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10 x 99,60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+10x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+ 10x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bet 2017.gada 8 mēnešos proporcionāli: 4838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w:t>
            </w:r>
            <w:proofErr w:type="gramStart"/>
            <w:r w:rsidRPr="009D02DA">
              <w:rPr>
                <w:rFonts w:ascii="Times New Roman" w:eastAsia="Times New Roman" w:hAnsi="Times New Roman" w:cs="Times New Roman"/>
                <w:sz w:val="24"/>
                <w:szCs w:val="24"/>
              </w:rPr>
              <w:t>Bez tam</w:t>
            </w:r>
            <w:proofErr w:type="gramEnd"/>
            <w:r w:rsidRPr="009D02DA">
              <w:rPr>
                <w:rFonts w:ascii="Times New Roman" w:eastAsia="Times New Roman" w:hAnsi="Times New Roman" w:cs="Times New Roman"/>
                <w:sz w:val="24"/>
                <w:szCs w:val="24"/>
              </w:rPr>
              <w:t xml:space="preserve">, ievērojot arī šīs sadaļas 7.punktā minēto, var prognozēt, ka iepriekš minētais nosacītais ieņēmumu samazinājums tiks kompensēts ar ieņēmumu palielinājumu no citiem nodevu veidiem.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rPr>
            </w:pPr>
          </w:p>
        </w:tc>
      </w:tr>
      <w:tr w:rsidR="009D02DA" w:rsidTr="00184D43">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Saskaņā ar likuma “Par valsts budžetu 2017.gadam” un likuma “Par vidēja termiņa budžeta ietvaru 2017., 2018. un 2019.gadam” 2.pielikumu “Pamatbudžetā iemaksājamās valsts nodevas un citi maksājumi par valsts institūciju sniegtajiem pakalpojumiem un veiktās darbības” valsts pamatbudžeta ieņēmumi no nodevas par vīzas, uzturēšanās atļaujas vai Eiropas Kopienas pastāvīgā iedzīvotāja statusa Latvijas Republikā pieprasīšanai nepieciešamo dokumentu izskatīšanu un ar to saistītajiem pakalpojumiem” plānoti 3 454 306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(katru gadu).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Izpildi par 2016.gadu un 2017.gada 2 mēnešiem raksturo šādi rādītāji (Valsts kases dati):</w:t>
            </w:r>
          </w:p>
          <w:p w:rsidR="009D02DA" w:rsidRPr="009D02DA" w:rsidRDefault="009D02DA" w:rsidP="00184D43">
            <w:pPr>
              <w:spacing w:after="0" w:line="240" w:lineRule="auto"/>
              <w:ind w:left="360"/>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2016.gads: plāns – 3 454 306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izpilde – 5 298 718</w:t>
            </w:r>
            <w:r w:rsidRPr="009D02DA">
              <w:rPr>
                <w:rFonts w:ascii="Times New Roman" w:eastAsia="Times New Roman" w:hAnsi="Times New Roman" w:cs="Times New Roman"/>
                <w:i/>
                <w:sz w:val="24"/>
                <w:szCs w:val="24"/>
              </w:rPr>
              <w:t xml:space="preserve">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jeb 153,4% no plāna;</w:t>
            </w:r>
          </w:p>
          <w:p w:rsidR="009D02DA" w:rsidRPr="009D02DA" w:rsidRDefault="009D02DA" w:rsidP="00184D43">
            <w:pPr>
              <w:spacing w:after="0" w:line="240" w:lineRule="auto"/>
              <w:ind w:left="360"/>
              <w:jc w:val="both"/>
              <w:rPr>
                <w:rFonts w:ascii="Times New Roman" w:eastAsia="Times New Roman" w:hAnsi="Times New Roman" w:cs="Times New Roman"/>
                <w:sz w:val="24"/>
                <w:szCs w:val="24"/>
                <w:highlight w:val="yellow"/>
              </w:rPr>
            </w:pPr>
            <w:r w:rsidRPr="009D02DA">
              <w:rPr>
                <w:rFonts w:ascii="Times New Roman" w:eastAsia="Times New Roman" w:hAnsi="Times New Roman" w:cs="Times New Roman"/>
                <w:sz w:val="24"/>
                <w:szCs w:val="24"/>
              </w:rPr>
              <w:t xml:space="preserve">2017.gads: 2 mēnešu plāns (1/6 daļa no gada plāna) – 575 718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izpilde –</w:t>
            </w:r>
            <w:proofErr w:type="gramStart"/>
            <w:r w:rsidRPr="009D02DA">
              <w:rPr>
                <w:rFonts w:ascii="Times New Roman" w:eastAsia="Times New Roman" w:hAnsi="Times New Roman" w:cs="Times New Roman"/>
                <w:sz w:val="24"/>
                <w:szCs w:val="24"/>
              </w:rPr>
              <w:t xml:space="preserve">  </w:t>
            </w:r>
            <w:proofErr w:type="gramEnd"/>
            <w:r w:rsidRPr="009D02DA">
              <w:rPr>
                <w:rFonts w:ascii="Times New Roman" w:eastAsia="Times New Roman" w:hAnsi="Times New Roman" w:cs="Times New Roman"/>
                <w:sz w:val="24"/>
                <w:szCs w:val="24"/>
              </w:rPr>
              <w:t xml:space="preserve">664 351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jeb 115,4 % no 2 mēnešu plāna.</w:t>
            </w:r>
          </w:p>
        </w:tc>
      </w:tr>
    </w:tbl>
    <w:p w:rsidR="009D02DA"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D02DA" w:rsidRPr="00AF5339"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AF5339"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Sabiedrības līdzdalība un komunikācijas aktivitātes</w:t>
            </w:r>
          </w:p>
        </w:tc>
      </w:tr>
      <w:tr w:rsidR="00894C55" w:rsidRPr="00AF5339"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EB1739">
            <w:pPr>
              <w:spacing w:after="0" w:line="240" w:lineRule="auto"/>
              <w:jc w:val="both"/>
              <w:rPr>
                <w:rFonts w:ascii="Times New Roman" w:eastAsia="Times New Roman" w:hAnsi="Times New Roman" w:cs="Times New Roman"/>
                <w:sz w:val="24"/>
                <w:szCs w:val="24"/>
                <w:lang w:eastAsia="lv-LV"/>
              </w:rPr>
            </w:pPr>
            <w:r w:rsidRPr="00AF5339">
              <w:rPr>
                <w:rFonts w:ascii="Times New Roman" w:hAnsi="Times New Roman" w:cs="Times New Roman"/>
                <w:sz w:val="24"/>
                <w:szCs w:val="24"/>
              </w:rPr>
              <w:t>Par projektu informēta sabiedrība, informāciju publicējot Iekšlietu ministrijas</w:t>
            </w:r>
            <w:r w:rsidR="00EB1739" w:rsidRPr="00AF5339">
              <w:rPr>
                <w:rFonts w:ascii="Times New Roman" w:hAnsi="Times New Roman" w:cs="Times New Roman"/>
                <w:sz w:val="24"/>
                <w:szCs w:val="24"/>
              </w:rPr>
              <w:t xml:space="preserve"> un</w:t>
            </w:r>
            <w:r w:rsidRPr="00AF5339">
              <w:rPr>
                <w:rFonts w:ascii="Times New Roman" w:hAnsi="Times New Roman" w:cs="Times New Roman"/>
                <w:sz w:val="24"/>
                <w:szCs w:val="24"/>
              </w:rPr>
              <w:t xml:space="preserve"> Pilsonības un migrācijas lietu pārvaldes</w:t>
            </w:r>
            <w:r w:rsidR="00EB1739" w:rsidRPr="00AF5339">
              <w:rPr>
                <w:rFonts w:ascii="Times New Roman" w:hAnsi="Times New Roman" w:cs="Times New Roman"/>
                <w:sz w:val="24"/>
                <w:szCs w:val="24"/>
              </w:rPr>
              <w:t xml:space="preserve"> tīmekļa vietnēs</w:t>
            </w:r>
            <w:r w:rsidRPr="00AF5339">
              <w:rPr>
                <w:rFonts w:ascii="Times New Roman" w:hAnsi="Times New Roman" w:cs="Times New Roman"/>
                <w:sz w:val="24"/>
                <w:szCs w:val="24"/>
              </w:rPr>
              <w:t>.</w:t>
            </w:r>
          </w:p>
        </w:tc>
      </w:tr>
      <w:tr w:rsidR="00894C55" w:rsidRPr="00AF5339"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EB1739">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Projekts 2017.gada 6.martā publicēts Iekšlietu ministrijas un Pilsonības un migrācijas lietu pārvaldes tīmekļa vietnēs. Sabiedrībai viedokli iespējams iesniegt līdz 2017.gada 27.martam.</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Par projektu komentāri nav saņemti.</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AF533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AF533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B1255B">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Pilsonības un migr</w:t>
            </w:r>
            <w:r w:rsidR="00B1255B" w:rsidRPr="00AF5339">
              <w:rPr>
                <w:rFonts w:ascii="Times New Roman" w:eastAsia="Times New Roman" w:hAnsi="Times New Roman" w:cs="Times New Roman"/>
                <w:sz w:val="24"/>
                <w:szCs w:val="24"/>
                <w:lang w:eastAsia="lv-LV"/>
              </w:rPr>
              <w:t>ācijas lietu pārvalde</w:t>
            </w:r>
          </w:p>
        </w:tc>
      </w:tr>
      <w:tr w:rsidR="00894C55" w:rsidRPr="00AF533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izpildes ietekme uz pārvaldes funkcijām un institucionālo struktūru.</w:t>
            </w:r>
          </w:p>
          <w:p w:rsidR="00894C55" w:rsidRPr="00AF533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94C55" w:rsidRPr="00AF5339"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720585" w:rsidRPr="00AF5339" w:rsidRDefault="00720585" w:rsidP="00894C55">
      <w:pPr>
        <w:spacing w:after="0" w:line="240" w:lineRule="auto"/>
        <w:rPr>
          <w:rFonts w:ascii="Times New Roman" w:hAnsi="Times New Roman" w:cs="Times New Roman"/>
          <w:sz w:val="28"/>
          <w:szCs w:val="28"/>
        </w:rPr>
      </w:pPr>
    </w:p>
    <w:p w:rsidR="007269A7" w:rsidRPr="00AF5339" w:rsidRDefault="007269A7"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 xml:space="preserve">Anotācijas IV un V sadaļa – projekts šīs jomas neskar. </w:t>
      </w:r>
    </w:p>
    <w:p w:rsidR="00B11C9F" w:rsidRPr="00AF5339" w:rsidRDefault="00B11C9F" w:rsidP="007269A7">
      <w:pPr>
        <w:tabs>
          <w:tab w:val="left" w:pos="6237"/>
        </w:tabs>
        <w:spacing w:after="0" w:line="240" w:lineRule="auto"/>
        <w:rPr>
          <w:rFonts w:ascii="Times New Roman" w:hAnsi="Times New Roman" w:cs="Times New Roman"/>
          <w:sz w:val="28"/>
          <w:szCs w:val="28"/>
        </w:rPr>
      </w:pPr>
    </w:p>
    <w:p w:rsidR="007269A7" w:rsidRPr="00AF5339" w:rsidRDefault="007269A7" w:rsidP="007269A7">
      <w:pPr>
        <w:tabs>
          <w:tab w:val="left" w:pos="6237"/>
        </w:tabs>
        <w:spacing w:after="0" w:line="240" w:lineRule="auto"/>
        <w:rPr>
          <w:rFonts w:ascii="Times New Roman" w:hAnsi="Times New Roman" w:cs="Times New Roman"/>
          <w:sz w:val="28"/>
          <w:szCs w:val="28"/>
        </w:rPr>
      </w:pPr>
    </w:p>
    <w:p w:rsidR="00894C55" w:rsidRPr="00AF5339" w:rsidRDefault="007269A7"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 xml:space="preserve">Iekšlietu </w:t>
      </w:r>
      <w:r w:rsidR="00894C55" w:rsidRPr="00AF5339">
        <w:rPr>
          <w:rFonts w:ascii="Times New Roman" w:hAnsi="Times New Roman" w:cs="Times New Roman"/>
          <w:sz w:val="28"/>
          <w:szCs w:val="28"/>
        </w:rPr>
        <w:t>ministrs</w:t>
      </w:r>
      <w:r w:rsidR="00894C55" w:rsidRPr="00AF5339">
        <w:rPr>
          <w:rFonts w:ascii="Times New Roman" w:hAnsi="Times New Roman" w:cs="Times New Roman"/>
          <w:sz w:val="28"/>
          <w:szCs w:val="28"/>
        </w:rPr>
        <w:tab/>
      </w:r>
      <w:r w:rsidRPr="00AF5339">
        <w:rPr>
          <w:rFonts w:ascii="Times New Roman" w:hAnsi="Times New Roman" w:cs="Times New Roman"/>
          <w:sz w:val="28"/>
          <w:szCs w:val="28"/>
        </w:rPr>
        <w:t>R</w:t>
      </w:r>
      <w:r w:rsidR="00EB1739" w:rsidRPr="00AF5339">
        <w:rPr>
          <w:rFonts w:ascii="Times New Roman" w:hAnsi="Times New Roman" w:cs="Times New Roman"/>
          <w:sz w:val="28"/>
          <w:szCs w:val="28"/>
        </w:rPr>
        <w:t xml:space="preserve">ihards </w:t>
      </w:r>
      <w:r w:rsidRPr="00AF5339">
        <w:rPr>
          <w:rFonts w:ascii="Times New Roman" w:hAnsi="Times New Roman" w:cs="Times New Roman"/>
          <w:sz w:val="28"/>
          <w:szCs w:val="28"/>
        </w:rPr>
        <w:t>Kozlovskis</w:t>
      </w:r>
    </w:p>
    <w:p w:rsidR="00894C55" w:rsidRPr="00AF5339" w:rsidRDefault="00894C55" w:rsidP="00894C55">
      <w:pPr>
        <w:spacing w:after="0" w:line="240" w:lineRule="auto"/>
        <w:ind w:firstLine="720"/>
        <w:rPr>
          <w:rFonts w:ascii="Times New Roman" w:hAnsi="Times New Roman" w:cs="Times New Roman"/>
          <w:sz w:val="28"/>
          <w:szCs w:val="28"/>
        </w:rPr>
      </w:pPr>
    </w:p>
    <w:p w:rsidR="00894C55" w:rsidRPr="00AF5339" w:rsidRDefault="00AB6B62" w:rsidP="00AB6B62">
      <w:pPr>
        <w:spacing w:after="0" w:line="240" w:lineRule="auto"/>
        <w:rPr>
          <w:rFonts w:ascii="Times New Roman" w:hAnsi="Times New Roman" w:cs="Times New Roman"/>
          <w:sz w:val="28"/>
          <w:szCs w:val="28"/>
        </w:rPr>
      </w:pPr>
      <w:r w:rsidRPr="00AF5339">
        <w:rPr>
          <w:rFonts w:ascii="Times New Roman" w:hAnsi="Times New Roman" w:cs="Times New Roman"/>
          <w:sz w:val="28"/>
          <w:szCs w:val="28"/>
        </w:rPr>
        <w:t>Vīza:</w:t>
      </w:r>
    </w:p>
    <w:p w:rsidR="00894C55" w:rsidRPr="00AF5339" w:rsidRDefault="00AB6B62"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v</w:t>
      </w:r>
      <w:r w:rsidR="00894C55" w:rsidRPr="00AF5339">
        <w:rPr>
          <w:rFonts w:ascii="Times New Roman" w:hAnsi="Times New Roman" w:cs="Times New Roman"/>
          <w:sz w:val="28"/>
          <w:szCs w:val="28"/>
        </w:rPr>
        <w:t>alsts sekretār</w:t>
      </w:r>
      <w:r w:rsidR="007269A7" w:rsidRPr="00AF5339">
        <w:rPr>
          <w:rFonts w:ascii="Times New Roman" w:hAnsi="Times New Roman" w:cs="Times New Roman"/>
          <w:sz w:val="28"/>
          <w:szCs w:val="28"/>
        </w:rPr>
        <w:t>e</w:t>
      </w:r>
      <w:r w:rsidR="00894C55" w:rsidRPr="00AF5339">
        <w:rPr>
          <w:rFonts w:ascii="Times New Roman" w:hAnsi="Times New Roman" w:cs="Times New Roman"/>
          <w:sz w:val="28"/>
          <w:szCs w:val="28"/>
        </w:rPr>
        <w:tab/>
      </w:r>
      <w:r w:rsidR="007269A7" w:rsidRPr="00AF5339">
        <w:rPr>
          <w:rFonts w:ascii="Times New Roman" w:hAnsi="Times New Roman" w:cs="Times New Roman"/>
          <w:sz w:val="28"/>
          <w:szCs w:val="28"/>
        </w:rPr>
        <w:t>I</w:t>
      </w:r>
      <w:r w:rsidR="00EB1739" w:rsidRPr="00AF5339">
        <w:rPr>
          <w:rFonts w:ascii="Times New Roman" w:hAnsi="Times New Roman" w:cs="Times New Roman"/>
          <w:sz w:val="28"/>
          <w:szCs w:val="28"/>
        </w:rPr>
        <w:t xml:space="preserve">lze </w:t>
      </w:r>
      <w:r w:rsidR="007269A7" w:rsidRPr="00AF5339">
        <w:rPr>
          <w:rFonts w:ascii="Times New Roman" w:hAnsi="Times New Roman" w:cs="Times New Roman"/>
          <w:sz w:val="28"/>
          <w:szCs w:val="28"/>
        </w:rPr>
        <w:t>Pētersone-Godmane</w:t>
      </w:r>
    </w:p>
    <w:p w:rsidR="00894C55" w:rsidRPr="00AF5339" w:rsidRDefault="00894C55" w:rsidP="00894C55">
      <w:pPr>
        <w:tabs>
          <w:tab w:val="left" w:pos="6237"/>
        </w:tabs>
        <w:spacing w:after="0" w:line="240" w:lineRule="auto"/>
        <w:ind w:firstLine="720"/>
        <w:rPr>
          <w:rFonts w:ascii="Times New Roman" w:hAnsi="Times New Roman" w:cs="Times New Roman"/>
          <w:sz w:val="28"/>
          <w:szCs w:val="28"/>
        </w:rPr>
      </w:pPr>
    </w:p>
    <w:p w:rsidR="00675144" w:rsidRPr="00AF5339" w:rsidRDefault="00675144">
      <w:pPr>
        <w:tabs>
          <w:tab w:val="left" w:pos="2592"/>
        </w:tabs>
        <w:spacing w:after="0" w:line="240" w:lineRule="auto"/>
        <w:rPr>
          <w:rFonts w:ascii="Times New Roman" w:hAnsi="Times New Roman" w:cs="Times New Roman"/>
          <w:sz w:val="20"/>
          <w:szCs w:val="20"/>
        </w:rPr>
      </w:pPr>
    </w:p>
    <w:p w:rsidR="00DC3095" w:rsidRDefault="00DC3095">
      <w:pPr>
        <w:spacing w:after="0" w:line="240" w:lineRule="auto"/>
        <w:rPr>
          <w:rFonts w:ascii="Times New Roman" w:hAnsi="Times New Roman" w:cs="Times New Roman"/>
          <w:sz w:val="20"/>
          <w:szCs w:val="20"/>
        </w:rPr>
      </w:pPr>
      <w:r>
        <w:rPr>
          <w:rFonts w:ascii="Times New Roman" w:hAnsi="Times New Roman" w:cs="Times New Roman"/>
          <w:sz w:val="20"/>
          <w:szCs w:val="20"/>
        </w:rPr>
        <w:t>06.04.2017.</w:t>
      </w:r>
    </w:p>
    <w:p w:rsidR="00675144" w:rsidRPr="00AF5339" w:rsidRDefault="0071613D">
      <w:pPr>
        <w:spacing w:after="0" w:line="240" w:lineRule="auto"/>
        <w:rPr>
          <w:rFonts w:ascii="Times New Roman" w:hAnsi="Times New Roman" w:cs="Times New Roman"/>
          <w:sz w:val="20"/>
          <w:szCs w:val="20"/>
        </w:rPr>
      </w:pPr>
      <w:proofErr w:type="spellStart"/>
      <w:r w:rsidRPr="00AF5339">
        <w:rPr>
          <w:rFonts w:ascii="Times New Roman" w:hAnsi="Times New Roman" w:cs="Times New Roman"/>
          <w:sz w:val="20"/>
          <w:szCs w:val="20"/>
        </w:rPr>
        <w:t>I.</w:t>
      </w:r>
      <w:r w:rsidR="00AD393D" w:rsidRPr="00AF5339">
        <w:rPr>
          <w:rFonts w:ascii="Times New Roman" w:hAnsi="Times New Roman" w:cs="Times New Roman"/>
          <w:sz w:val="20"/>
          <w:szCs w:val="20"/>
        </w:rPr>
        <w:t>Briede</w:t>
      </w:r>
      <w:proofErr w:type="spellEnd"/>
      <w:r w:rsidR="00AD393D" w:rsidRPr="00AF5339">
        <w:rPr>
          <w:rFonts w:ascii="Times New Roman" w:hAnsi="Times New Roman" w:cs="Times New Roman"/>
          <w:sz w:val="20"/>
          <w:szCs w:val="20"/>
        </w:rPr>
        <w:t xml:space="preserve"> 67219546</w:t>
      </w:r>
    </w:p>
    <w:p w:rsidR="00894C55" w:rsidRDefault="002F2949" w:rsidP="0071613D">
      <w:pPr>
        <w:tabs>
          <w:tab w:val="left" w:pos="6237"/>
        </w:tabs>
        <w:spacing w:after="0" w:line="240" w:lineRule="auto"/>
        <w:rPr>
          <w:rFonts w:ascii="Times New Roman" w:hAnsi="Times New Roman" w:cs="Times New Roman"/>
          <w:sz w:val="24"/>
          <w:szCs w:val="28"/>
        </w:rPr>
      </w:pPr>
      <w:hyperlink r:id="rId7" w:history="1">
        <w:r w:rsidR="00AD393D" w:rsidRPr="00AF5339">
          <w:rPr>
            <w:rStyle w:val="Hyperlink"/>
            <w:rFonts w:ascii="Times New Roman" w:hAnsi="Times New Roman" w:cs="Times New Roman"/>
            <w:color w:val="auto"/>
            <w:sz w:val="20"/>
            <w:szCs w:val="20"/>
          </w:rPr>
          <w:t>ilze.briede@pmlp.gov.lv</w:t>
        </w:r>
      </w:hyperlink>
      <w:r w:rsidR="007269A7" w:rsidRPr="00AF5339">
        <w:rPr>
          <w:rFonts w:ascii="Times New Roman" w:hAnsi="Times New Roman" w:cs="Times New Roman"/>
          <w:sz w:val="24"/>
          <w:szCs w:val="28"/>
        </w:rPr>
        <w:t xml:space="preserve"> </w:t>
      </w:r>
      <w:bookmarkStart w:id="0" w:name="_GoBack"/>
      <w:bookmarkEnd w:id="0"/>
    </w:p>
    <w:p w:rsidR="00AF5339" w:rsidRDefault="00AF5339" w:rsidP="0071613D">
      <w:pPr>
        <w:tabs>
          <w:tab w:val="left" w:pos="6237"/>
        </w:tabs>
        <w:spacing w:after="0" w:line="240" w:lineRule="auto"/>
        <w:rPr>
          <w:rFonts w:ascii="Times New Roman" w:hAnsi="Times New Roman" w:cs="Times New Roman"/>
          <w:sz w:val="24"/>
          <w:szCs w:val="28"/>
        </w:rPr>
      </w:pPr>
    </w:p>
    <w:p w:rsidR="00AF5339" w:rsidRPr="00AF5339" w:rsidRDefault="00AF5339" w:rsidP="00AF5339">
      <w:pPr>
        <w:spacing w:after="0" w:line="240" w:lineRule="auto"/>
        <w:rPr>
          <w:rFonts w:ascii="Times New Roman" w:hAnsi="Times New Roman" w:cs="Times New Roman"/>
          <w:sz w:val="20"/>
          <w:szCs w:val="20"/>
        </w:rPr>
      </w:pPr>
      <w:proofErr w:type="spellStart"/>
      <w:r w:rsidRPr="00AF5339">
        <w:rPr>
          <w:rFonts w:ascii="Times New Roman" w:hAnsi="Times New Roman" w:cs="Times New Roman"/>
          <w:sz w:val="20"/>
          <w:szCs w:val="20"/>
        </w:rPr>
        <w:t>R.Brīvniece</w:t>
      </w:r>
      <w:proofErr w:type="spellEnd"/>
      <w:r w:rsidRPr="00AF5339">
        <w:rPr>
          <w:rFonts w:ascii="Times New Roman" w:hAnsi="Times New Roman" w:cs="Times New Roman"/>
          <w:sz w:val="20"/>
          <w:szCs w:val="20"/>
        </w:rPr>
        <w:t>, 67219453</w:t>
      </w:r>
    </w:p>
    <w:p w:rsidR="00AF5339" w:rsidRPr="00AF5339" w:rsidRDefault="002F2949" w:rsidP="00AF5339">
      <w:pPr>
        <w:spacing w:after="0" w:line="240" w:lineRule="auto"/>
        <w:rPr>
          <w:rStyle w:val="Hyperlink"/>
          <w:rFonts w:ascii="Times New Roman" w:hAnsi="Times New Roman" w:cs="Times New Roman"/>
          <w:color w:val="auto"/>
          <w:sz w:val="20"/>
          <w:szCs w:val="20"/>
        </w:rPr>
      </w:pPr>
      <w:hyperlink r:id="rId8" w:history="1">
        <w:r w:rsidR="00AF5339" w:rsidRPr="00AF5339">
          <w:rPr>
            <w:rStyle w:val="Hyperlink"/>
            <w:rFonts w:ascii="Times New Roman" w:hAnsi="Times New Roman" w:cs="Times New Roman"/>
            <w:color w:val="auto"/>
            <w:sz w:val="20"/>
            <w:szCs w:val="20"/>
          </w:rPr>
          <w:t>ramona.brivniece@pmlp.gov.lv</w:t>
        </w:r>
      </w:hyperlink>
      <w:proofErr w:type="gramStart"/>
      <w:r w:rsidR="00AF5339" w:rsidRPr="00AF5339">
        <w:rPr>
          <w:rStyle w:val="Hyperlink"/>
          <w:rFonts w:ascii="Times New Roman" w:hAnsi="Times New Roman" w:cs="Times New Roman"/>
          <w:color w:val="auto"/>
          <w:sz w:val="20"/>
          <w:szCs w:val="20"/>
        </w:rPr>
        <w:t xml:space="preserve">  </w:t>
      </w:r>
      <w:proofErr w:type="gramEnd"/>
    </w:p>
    <w:sectPr w:rsidR="00AF5339" w:rsidRPr="00AF5339" w:rsidSect="00DC30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0FB09" w15:done="0"/>
  <w15:commentEx w15:paraId="4E1BA2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82" w:rsidRDefault="00F71E82" w:rsidP="00894C55">
      <w:pPr>
        <w:spacing w:after="0" w:line="240" w:lineRule="auto"/>
      </w:pPr>
      <w:r>
        <w:separator/>
      </w:r>
    </w:p>
  </w:endnote>
  <w:endnote w:type="continuationSeparator" w:id="0">
    <w:p w:rsidR="00F71E82" w:rsidRDefault="00F71E8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E8" w:rsidRPr="004C6BE8" w:rsidRDefault="004C6BE8" w:rsidP="004C6BE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37ACC">
      <w:rPr>
        <w:rFonts w:ascii="Times New Roman" w:hAnsi="Times New Roman" w:cs="Times New Roman"/>
        <w:sz w:val="20"/>
        <w:szCs w:val="20"/>
      </w:rPr>
      <w:t>0</w:t>
    </w:r>
    <w:r w:rsidR="00DC3095">
      <w:rPr>
        <w:rFonts w:ascii="Times New Roman" w:hAnsi="Times New Roman" w:cs="Times New Roman"/>
        <w:sz w:val="20"/>
        <w:szCs w:val="20"/>
      </w:rPr>
      <w:t>6</w:t>
    </w:r>
    <w:r w:rsidR="00B37ACC">
      <w:rPr>
        <w:rFonts w:ascii="Times New Roman" w:hAnsi="Times New Roman" w:cs="Times New Roman"/>
        <w:sz w:val="20"/>
        <w:szCs w:val="20"/>
      </w:rPr>
      <w:t>04</w:t>
    </w:r>
    <w:r w:rsidR="00430471">
      <w:rPr>
        <w:rFonts w:ascii="Times New Roman" w:hAnsi="Times New Roman" w:cs="Times New Roman"/>
        <w:sz w:val="20"/>
        <w:szCs w:val="20"/>
      </w:rPr>
      <w:t>17</w:t>
    </w:r>
    <w:r>
      <w:rPr>
        <w:rFonts w:ascii="Times New Roman" w:hAnsi="Times New Roman" w:cs="Times New Roman"/>
        <w:sz w:val="20"/>
        <w:szCs w:val="20"/>
      </w:rPr>
      <w:t>_1034; Ministru kabineta noteikumu projekta</w:t>
    </w:r>
    <w:r w:rsidR="00430471">
      <w:rPr>
        <w:rFonts w:ascii="Times New Roman" w:hAnsi="Times New Roman" w:cs="Times New Roman"/>
        <w:sz w:val="20"/>
        <w:szCs w:val="20"/>
      </w:rPr>
      <w:t xml:space="preserve"> </w:t>
    </w:r>
    <w:r w:rsidRPr="004C6BE8">
      <w:rPr>
        <w:rFonts w:ascii="Times New Roman" w:hAnsi="Times New Roman" w:cs="Times New Roman"/>
        <w:sz w:val="20"/>
        <w:szCs w:val="20"/>
      </w:rPr>
      <w:t>“</w:t>
    </w:r>
    <w:r>
      <w:rPr>
        <w:rFonts w:ascii="Times New Roman" w:hAnsi="Times New Roman" w:cs="Times New Roman"/>
        <w:sz w:val="20"/>
        <w:szCs w:val="20"/>
      </w:rPr>
      <w:t>Grozījumi Ministru kabineta 2013.gada 1.oktobra noteikumos Nr.1034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w:t>
    </w:r>
    <w:r w:rsidR="00AC6221">
      <w:rPr>
        <w:rFonts w:ascii="Times New Roman" w:hAnsi="Times New Roman" w:cs="Times New Roman"/>
        <w:sz w:val="20"/>
        <w:szCs w:val="20"/>
      </w:rPr>
      <w:t xml:space="preserve"> sākotnējās ietekmes novērtējuma ziņojums (anotācija)</w:t>
    </w:r>
  </w:p>
  <w:p w:rsidR="00C52CC3" w:rsidRPr="004C6BE8" w:rsidRDefault="00C52CC3" w:rsidP="004C6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A" w:rsidRPr="00C25B49" w:rsidRDefault="0079117A" w:rsidP="0079117A">
    <w:pPr>
      <w:pStyle w:val="Header"/>
      <w:jc w:val="center"/>
      <w:rPr>
        <w:rFonts w:ascii="Times New Roman" w:hAnsi="Times New Roman" w:cs="Times New Roman"/>
        <w:sz w:val="24"/>
        <w:szCs w:val="20"/>
      </w:rPr>
    </w:pPr>
  </w:p>
  <w:p w:rsidR="0079117A" w:rsidRDefault="0079117A" w:rsidP="0079117A"/>
  <w:p w:rsidR="0079117A" w:rsidRDefault="0079117A" w:rsidP="0079117A">
    <w:pPr>
      <w:pStyle w:val="Footer"/>
    </w:pPr>
  </w:p>
  <w:p w:rsidR="00AC6221" w:rsidRPr="004C6BE8" w:rsidRDefault="00AC6221" w:rsidP="00AC6221">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37ACC">
      <w:rPr>
        <w:rFonts w:ascii="Times New Roman" w:hAnsi="Times New Roman" w:cs="Times New Roman"/>
        <w:sz w:val="20"/>
        <w:szCs w:val="20"/>
      </w:rPr>
      <w:t>0</w:t>
    </w:r>
    <w:r w:rsidR="00DC3095">
      <w:rPr>
        <w:rFonts w:ascii="Times New Roman" w:hAnsi="Times New Roman" w:cs="Times New Roman"/>
        <w:sz w:val="20"/>
        <w:szCs w:val="20"/>
      </w:rPr>
      <w:t>6</w:t>
    </w:r>
    <w:r w:rsidR="00B37ACC">
      <w:rPr>
        <w:rFonts w:ascii="Times New Roman" w:hAnsi="Times New Roman" w:cs="Times New Roman"/>
        <w:sz w:val="20"/>
        <w:szCs w:val="20"/>
      </w:rPr>
      <w:t>04</w:t>
    </w:r>
    <w:r w:rsidR="00430471">
      <w:rPr>
        <w:rFonts w:ascii="Times New Roman" w:hAnsi="Times New Roman" w:cs="Times New Roman"/>
        <w:sz w:val="20"/>
        <w:szCs w:val="20"/>
      </w:rPr>
      <w:t>17</w:t>
    </w:r>
    <w:r>
      <w:rPr>
        <w:rFonts w:ascii="Times New Roman" w:hAnsi="Times New Roman" w:cs="Times New Roman"/>
        <w:sz w:val="20"/>
        <w:szCs w:val="20"/>
      </w:rPr>
      <w:t>_1034; Ministru kabineta noteikumu projekta</w:t>
    </w:r>
    <w:r w:rsidR="00430471">
      <w:rPr>
        <w:rFonts w:ascii="Times New Roman" w:hAnsi="Times New Roman" w:cs="Times New Roman"/>
        <w:sz w:val="20"/>
        <w:szCs w:val="20"/>
      </w:rPr>
      <w:t xml:space="preserve"> </w:t>
    </w:r>
    <w:r w:rsidRPr="004C6BE8">
      <w:rPr>
        <w:rFonts w:ascii="Times New Roman" w:hAnsi="Times New Roman" w:cs="Times New Roman"/>
        <w:sz w:val="20"/>
        <w:szCs w:val="20"/>
      </w:rPr>
      <w:t>“</w:t>
    </w:r>
    <w:r>
      <w:rPr>
        <w:rFonts w:ascii="Times New Roman" w:hAnsi="Times New Roman" w:cs="Times New Roman"/>
        <w:sz w:val="20"/>
        <w:szCs w:val="20"/>
      </w:rPr>
      <w:t>Grozījumi Ministru kabineta 2013.gada 1.oktobra noteikumos Nr.1034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sākotnējās ietekmes novērtējuma ziņojums (anotācija)</w:t>
    </w:r>
  </w:p>
  <w:p w:rsidR="00AC6221" w:rsidRPr="004C6BE8" w:rsidRDefault="00AC6221" w:rsidP="00AC6221">
    <w:pPr>
      <w:pStyle w:val="Footer"/>
    </w:pPr>
  </w:p>
  <w:p w:rsidR="0079117A" w:rsidRDefault="0079117A" w:rsidP="007911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82" w:rsidRDefault="00F71E82" w:rsidP="00894C55">
      <w:pPr>
        <w:spacing w:after="0" w:line="240" w:lineRule="auto"/>
      </w:pPr>
      <w:r>
        <w:separator/>
      </w:r>
    </w:p>
  </w:footnote>
  <w:footnote w:type="continuationSeparator" w:id="0">
    <w:p w:rsidR="00F71E82" w:rsidRDefault="00F71E8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2CC3" w:rsidRPr="00C25B49" w:rsidRDefault="002F29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52CC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309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5CD"/>
    <w:multiLevelType w:val="hybridMultilevel"/>
    <w:tmpl w:val="5F5E2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92190"/>
    <w:multiLevelType w:val="hybridMultilevel"/>
    <w:tmpl w:val="113EE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94C55"/>
    <w:rsid w:val="00033B27"/>
    <w:rsid w:val="00073DA7"/>
    <w:rsid w:val="00144D6F"/>
    <w:rsid w:val="00157C96"/>
    <w:rsid w:val="001D2008"/>
    <w:rsid w:val="00243426"/>
    <w:rsid w:val="002F2949"/>
    <w:rsid w:val="00305A98"/>
    <w:rsid w:val="00352902"/>
    <w:rsid w:val="00352FD7"/>
    <w:rsid w:val="003B0BF9"/>
    <w:rsid w:val="003E0791"/>
    <w:rsid w:val="003F28AC"/>
    <w:rsid w:val="00430471"/>
    <w:rsid w:val="004454FE"/>
    <w:rsid w:val="00467FF7"/>
    <w:rsid w:val="00471F27"/>
    <w:rsid w:val="004A03F7"/>
    <w:rsid w:val="004C0414"/>
    <w:rsid w:val="004C6BE8"/>
    <w:rsid w:val="004D1975"/>
    <w:rsid w:val="004E0DA5"/>
    <w:rsid w:val="004F407B"/>
    <w:rsid w:val="0050178F"/>
    <w:rsid w:val="0052088E"/>
    <w:rsid w:val="005B07A4"/>
    <w:rsid w:val="006166A7"/>
    <w:rsid w:val="00647AF2"/>
    <w:rsid w:val="00652FF6"/>
    <w:rsid w:val="00675144"/>
    <w:rsid w:val="006D6C04"/>
    <w:rsid w:val="006E1081"/>
    <w:rsid w:val="0071613D"/>
    <w:rsid w:val="00720585"/>
    <w:rsid w:val="007269A7"/>
    <w:rsid w:val="00773AF6"/>
    <w:rsid w:val="0079117A"/>
    <w:rsid w:val="00795F71"/>
    <w:rsid w:val="007E73AB"/>
    <w:rsid w:val="00816C11"/>
    <w:rsid w:val="00894C55"/>
    <w:rsid w:val="008A02C1"/>
    <w:rsid w:val="008C5A1F"/>
    <w:rsid w:val="00913C3E"/>
    <w:rsid w:val="00964D86"/>
    <w:rsid w:val="009A2654"/>
    <w:rsid w:val="009D02DA"/>
    <w:rsid w:val="009D5F0D"/>
    <w:rsid w:val="00A15CDD"/>
    <w:rsid w:val="00A6073E"/>
    <w:rsid w:val="00AB6B62"/>
    <w:rsid w:val="00AC6221"/>
    <w:rsid w:val="00AC7F19"/>
    <w:rsid w:val="00AD393D"/>
    <w:rsid w:val="00AE5567"/>
    <w:rsid w:val="00AF5339"/>
    <w:rsid w:val="00B11C9F"/>
    <w:rsid w:val="00B1255B"/>
    <w:rsid w:val="00B2165C"/>
    <w:rsid w:val="00B37ACC"/>
    <w:rsid w:val="00B500DD"/>
    <w:rsid w:val="00BA20AA"/>
    <w:rsid w:val="00BB7BEB"/>
    <w:rsid w:val="00BD4425"/>
    <w:rsid w:val="00C25B49"/>
    <w:rsid w:val="00C52CC3"/>
    <w:rsid w:val="00C75099"/>
    <w:rsid w:val="00C93F94"/>
    <w:rsid w:val="00CA0048"/>
    <w:rsid w:val="00CA338A"/>
    <w:rsid w:val="00CE5657"/>
    <w:rsid w:val="00CF592C"/>
    <w:rsid w:val="00D133F8"/>
    <w:rsid w:val="00DA6F6B"/>
    <w:rsid w:val="00DC3095"/>
    <w:rsid w:val="00DF3042"/>
    <w:rsid w:val="00E17DC1"/>
    <w:rsid w:val="00E3716B"/>
    <w:rsid w:val="00E90C01"/>
    <w:rsid w:val="00EA486E"/>
    <w:rsid w:val="00EB1739"/>
    <w:rsid w:val="00EF1F72"/>
    <w:rsid w:val="00F57B0C"/>
    <w:rsid w:val="00F71E82"/>
    <w:rsid w:val="00F9064D"/>
    <w:rsid w:val="00FE65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C6BE8"/>
    <w:pPr>
      <w:ind w:left="720"/>
      <w:contextualSpacing/>
    </w:pPr>
  </w:style>
  <w:style w:type="character" w:styleId="CommentReference">
    <w:name w:val="annotation reference"/>
    <w:basedOn w:val="DefaultParagraphFont"/>
    <w:uiPriority w:val="99"/>
    <w:semiHidden/>
    <w:unhideWhenUsed/>
    <w:rsid w:val="00EB1739"/>
    <w:rPr>
      <w:sz w:val="16"/>
      <w:szCs w:val="16"/>
    </w:rPr>
  </w:style>
  <w:style w:type="paragraph" w:styleId="CommentText">
    <w:name w:val="annotation text"/>
    <w:basedOn w:val="Normal"/>
    <w:link w:val="CommentTextChar"/>
    <w:uiPriority w:val="99"/>
    <w:semiHidden/>
    <w:unhideWhenUsed/>
    <w:rsid w:val="00EB1739"/>
    <w:pPr>
      <w:spacing w:line="240" w:lineRule="auto"/>
    </w:pPr>
    <w:rPr>
      <w:sz w:val="20"/>
      <w:szCs w:val="20"/>
    </w:rPr>
  </w:style>
  <w:style w:type="character" w:customStyle="1" w:styleId="CommentTextChar">
    <w:name w:val="Comment Text Char"/>
    <w:basedOn w:val="DefaultParagraphFont"/>
    <w:link w:val="CommentText"/>
    <w:uiPriority w:val="99"/>
    <w:semiHidden/>
    <w:rsid w:val="00EB1739"/>
    <w:rPr>
      <w:sz w:val="20"/>
      <w:szCs w:val="20"/>
    </w:rPr>
  </w:style>
  <w:style w:type="paragraph" w:styleId="CommentSubject">
    <w:name w:val="annotation subject"/>
    <w:basedOn w:val="CommentText"/>
    <w:next w:val="CommentText"/>
    <w:link w:val="CommentSubjectChar"/>
    <w:uiPriority w:val="99"/>
    <w:semiHidden/>
    <w:unhideWhenUsed/>
    <w:rsid w:val="00EB1739"/>
    <w:rPr>
      <w:b/>
      <w:bCs/>
    </w:rPr>
  </w:style>
  <w:style w:type="character" w:customStyle="1" w:styleId="CommentSubjectChar">
    <w:name w:val="Comment Subject Char"/>
    <w:basedOn w:val="CommentTextChar"/>
    <w:link w:val="CommentSubject"/>
    <w:uiPriority w:val="99"/>
    <w:semiHidden/>
    <w:rsid w:val="00EB1739"/>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02DA"/>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brivniece@pml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6740</Words>
  <Characters>3843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ilzebr</cp:lastModifiedBy>
  <cp:revision>3</cp:revision>
  <dcterms:created xsi:type="dcterms:W3CDTF">2017-04-05T11:26:00Z</dcterms:created>
  <dcterms:modified xsi:type="dcterms:W3CDTF">2017-04-06T05:16:00Z</dcterms:modified>
</cp:coreProperties>
</file>