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4101E" w14:textId="77777777" w:rsidR="004A7CF5" w:rsidRPr="00643C4B" w:rsidRDefault="004A7CF5" w:rsidP="00553CF3">
      <w:pPr>
        <w:spacing w:after="0" w:line="240" w:lineRule="auto"/>
        <w:jc w:val="center"/>
        <w:rPr>
          <w:rFonts w:ascii="Times New Roman" w:eastAsia="Calibri" w:hAnsi="Times New Roman" w:cs="Times New Roman"/>
          <w:b/>
          <w:sz w:val="28"/>
          <w:szCs w:val="28"/>
        </w:rPr>
      </w:pPr>
      <w:bookmarkStart w:id="0" w:name="OLE_LINK3"/>
      <w:bookmarkStart w:id="1" w:name="OLE_LINK4"/>
      <w:r w:rsidRPr="00643C4B">
        <w:rPr>
          <w:rFonts w:ascii="Times New Roman" w:eastAsia="Times New Roman" w:hAnsi="Times New Roman" w:cs="Times New Roman"/>
          <w:b/>
          <w:bCs/>
          <w:sz w:val="28"/>
          <w:szCs w:val="28"/>
        </w:rPr>
        <w:t>Ministru kabineta noteikumu</w:t>
      </w:r>
      <w:r w:rsidRPr="00643C4B">
        <w:rPr>
          <w:rFonts w:ascii="Times New Roman" w:eastAsia="Calibri" w:hAnsi="Times New Roman" w:cs="Times New Roman"/>
          <w:b/>
          <w:sz w:val="28"/>
          <w:szCs w:val="28"/>
        </w:rPr>
        <w:t xml:space="preserve"> projekta </w:t>
      </w:r>
    </w:p>
    <w:p w14:paraId="26383A26" w14:textId="561B98FF" w:rsidR="00553CF3" w:rsidRDefault="004A7CF5" w:rsidP="00553CF3">
      <w:pPr>
        <w:spacing w:after="120" w:line="240" w:lineRule="auto"/>
        <w:jc w:val="center"/>
        <w:rPr>
          <w:rFonts w:ascii="Times New Roman" w:eastAsia="Times New Roman" w:hAnsi="Times New Roman" w:cs="Times New Roman"/>
          <w:b/>
          <w:bCs/>
          <w:sz w:val="28"/>
          <w:szCs w:val="28"/>
          <w:lang w:eastAsia="lv-LV"/>
        </w:rPr>
      </w:pPr>
      <w:bookmarkStart w:id="2" w:name="OLE_LINK7"/>
      <w:bookmarkStart w:id="3" w:name="OLE_LINK8"/>
      <w:r w:rsidRPr="00643C4B">
        <w:rPr>
          <w:rFonts w:ascii="Times New Roman" w:eastAsia="Times New Roman" w:hAnsi="Times New Roman" w:cs="Times New Roman"/>
          <w:b/>
          <w:sz w:val="28"/>
          <w:szCs w:val="28"/>
          <w:lang w:eastAsia="lv-LV"/>
        </w:rPr>
        <w:t>„Grozījum</w:t>
      </w:r>
      <w:r w:rsidR="00EC2449">
        <w:rPr>
          <w:rFonts w:ascii="Times New Roman" w:eastAsia="Times New Roman" w:hAnsi="Times New Roman" w:cs="Times New Roman"/>
          <w:b/>
          <w:sz w:val="28"/>
          <w:szCs w:val="28"/>
          <w:lang w:eastAsia="lv-LV"/>
        </w:rPr>
        <w:t>i</w:t>
      </w:r>
      <w:r w:rsidRPr="00643C4B">
        <w:rPr>
          <w:rFonts w:ascii="Times New Roman" w:eastAsia="Times New Roman" w:hAnsi="Times New Roman" w:cs="Times New Roman"/>
          <w:b/>
          <w:sz w:val="28"/>
          <w:szCs w:val="28"/>
          <w:lang w:eastAsia="lv-LV"/>
        </w:rPr>
        <w:t xml:space="preserve"> Ministru kabineta 2016. gada </w:t>
      </w:r>
      <w:r w:rsidR="00D8772A">
        <w:rPr>
          <w:rFonts w:ascii="Times New Roman" w:eastAsia="Times New Roman" w:hAnsi="Times New Roman" w:cs="Times New Roman"/>
          <w:b/>
          <w:sz w:val="28"/>
          <w:szCs w:val="28"/>
          <w:lang w:eastAsia="lv-LV"/>
        </w:rPr>
        <w:t>12</w:t>
      </w:r>
      <w:r w:rsidRPr="00643C4B">
        <w:rPr>
          <w:rFonts w:ascii="Times New Roman" w:eastAsia="Times New Roman" w:hAnsi="Times New Roman" w:cs="Times New Roman"/>
          <w:b/>
          <w:sz w:val="28"/>
          <w:szCs w:val="28"/>
          <w:lang w:eastAsia="lv-LV"/>
        </w:rPr>
        <w:t>. janvāra noteikumos Nr. </w:t>
      </w:r>
      <w:r w:rsidR="00D8772A">
        <w:rPr>
          <w:rFonts w:ascii="Times New Roman" w:eastAsia="Times New Roman" w:hAnsi="Times New Roman" w:cs="Times New Roman"/>
          <w:b/>
          <w:sz w:val="28"/>
          <w:szCs w:val="28"/>
          <w:lang w:eastAsia="lv-LV"/>
        </w:rPr>
        <w:t>34</w:t>
      </w:r>
      <w:r w:rsidRPr="00643C4B">
        <w:rPr>
          <w:rFonts w:ascii="Times New Roman" w:eastAsia="Times New Roman" w:hAnsi="Times New Roman" w:cs="Times New Roman"/>
          <w:b/>
          <w:sz w:val="28"/>
          <w:szCs w:val="28"/>
          <w:lang w:eastAsia="lv-LV"/>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w:t>
      </w:r>
      <w:r w:rsidR="00D8772A">
        <w:rPr>
          <w:rFonts w:ascii="Times New Roman" w:eastAsia="Times New Roman" w:hAnsi="Times New Roman" w:cs="Times New Roman"/>
          <w:b/>
          <w:sz w:val="28"/>
          <w:szCs w:val="28"/>
          <w:lang w:eastAsia="lv-LV"/>
        </w:rPr>
        <w:t>1</w:t>
      </w:r>
      <w:r w:rsidRPr="00643C4B">
        <w:rPr>
          <w:rFonts w:ascii="Times New Roman" w:eastAsia="Times New Roman" w:hAnsi="Times New Roman" w:cs="Times New Roman"/>
          <w:b/>
          <w:sz w:val="28"/>
          <w:szCs w:val="28"/>
          <w:lang w:eastAsia="lv-LV"/>
        </w:rPr>
        <w:t>. pasākuma "</w:t>
      </w:r>
      <w:r w:rsidR="00D8772A">
        <w:rPr>
          <w:rFonts w:ascii="Times New Roman" w:eastAsia="Times New Roman" w:hAnsi="Times New Roman" w:cs="Times New Roman"/>
          <w:b/>
          <w:sz w:val="28"/>
          <w:szCs w:val="28"/>
          <w:lang w:eastAsia="lv-LV"/>
        </w:rPr>
        <w:t>Praktiskas ievirzes pētījumi</w:t>
      </w:r>
      <w:r w:rsidRPr="00643C4B">
        <w:rPr>
          <w:rFonts w:ascii="Times New Roman" w:eastAsia="Times New Roman" w:hAnsi="Times New Roman" w:cs="Times New Roman"/>
          <w:b/>
          <w:sz w:val="28"/>
          <w:szCs w:val="28"/>
          <w:lang w:eastAsia="lv-LV"/>
        </w:rPr>
        <w:t>”</w:t>
      </w:r>
      <w:r w:rsidR="00C47605" w:rsidRPr="00C47605">
        <w:rPr>
          <w:rFonts w:ascii="Times New Roman" w:eastAsia="Times New Roman" w:hAnsi="Times New Roman"/>
          <w:b/>
          <w:sz w:val="28"/>
          <w:szCs w:val="28"/>
          <w:lang w:eastAsia="lv-LV"/>
        </w:rPr>
        <w:t xml:space="preserve"> </w:t>
      </w:r>
      <w:r w:rsidR="00C47605" w:rsidRPr="0019419C">
        <w:rPr>
          <w:rFonts w:ascii="Times New Roman" w:eastAsia="Times New Roman" w:hAnsi="Times New Roman"/>
          <w:b/>
          <w:sz w:val="28"/>
          <w:szCs w:val="28"/>
          <w:lang w:eastAsia="lv-LV"/>
        </w:rPr>
        <w:t>īstenošanas noteikumi</w:t>
      </w:r>
      <w:r w:rsidRPr="00643C4B">
        <w:rPr>
          <w:rFonts w:ascii="Times New Roman" w:eastAsia="Times New Roman" w:hAnsi="Times New Roman" w:cs="Times New Roman"/>
          <w:b/>
          <w:sz w:val="28"/>
          <w:szCs w:val="28"/>
          <w:lang w:eastAsia="lv-LV"/>
        </w:rPr>
        <w:t>” sākotnējās ietekmes novērtējuma ziņojums</w:t>
      </w:r>
      <w:r w:rsidRPr="00643C4B">
        <w:rPr>
          <w:rFonts w:ascii="Times New Roman" w:eastAsia="Times New Roman" w:hAnsi="Times New Roman" w:cs="Times New Roman"/>
          <w:b/>
          <w:bCs/>
          <w:sz w:val="28"/>
          <w:szCs w:val="28"/>
          <w:lang w:eastAsia="lv-LV"/>
        </w:rPr>
        <w:t xml:space="preserve"> (anotācija)</w:t>
      </w:r>
      <w:bookmarkEnd w:id="0"/>
      <w:bookmarkEnd w:id="1"/>
      <w:bookmarkEnd w:id="2"/>
      <w:bookmarkEnd w:id="3"/>
    </w:p>
    <w:p w14:paraId="2540B7E3" w14:textId="77777777" w:rsidR="00865401" w:rsidRPr="00553CF3" w:rsidRDefault="00865401" w:rsidP="00553CF3">
      <w:pPr>
        <w:spacing w:after="120" w:line="240" w:lineRule="auto"/>
        <w:jc w:val="center"/>
        <w:rPr>
          <w:rFonts w:ascii="Times New Roman" w:eastAsia="Times New Roman" w:hAnsi="Times New Roman" w:cs="Times New Roman"/>
          <w:b/>
          <w:bCs/>
          <w:sz w:val="28"/>
          <w:szCs w:val="28"/>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43C4B" w:rsidRPr="00643C4B" w14:paraId="564CBDDA" w14:textId="77777777" w:rsidTr="00553CF3">
        <w:trPr>
          <w:trHeight w:val="2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B67FAC" w14:textId="77777777" w:rsidR="004A7CF5" w:rsidRPr="00643C4B" w:rsidRDefault="004A7CF5" w:rsidP="00202ED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I. Tiesību akta projekta izstrādes nepieciešamība</w:t>
            </w:r>
          </w:p>
        </w:tc>
      </w:tr>
      <w:tr w:rsidR="00643C4B" w:rsidRPr="00643C4B" w14:paraId="6F98C085" w14:textId="77777777" w:rsidTr="00202ED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91C4244" w14:textId="77777777" w:rsidR="004A7CF5" w:rsidRPr="00643C4B" w:rsidRDefault="004A7CF5" w:rsidP="00202ED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C26FE06" w14:textId="77777777" w:rsidR="004A7CF5" w:rsidRPr="00643C4B" w:rsidRDefault="004A7CF5" w:rsidP="00553CF3">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EEC056B" w14:textId="77777777" w:rsidR="004A7CF5" w:rsidRPr="00643C4B" w:rsidRDefault="004A7CF5" w:rsidP="00553CF3">
            <w:pPr>
              <w:spacing w:after="0" w:line="240" w:lineRule="auto"/>
              <w:ind w:left="104" w:right="102"/>
              <w:jc w:val="both"/>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Eiropas Savienības struktūrfondu un Kohēzijas fonda 2014.–2020. gada plānošanas perioda vadības likuma 20. panta 6. un 13. punkts.</w:t>
            </w:r>
          </w:p>
        </w:tc>
      </w:tr>
      <w:tr w:rsidR="00643C4B" w:rsidRPr="00643C4B" w14:paraId="6B9A6D35" w14:textId="77777777" w:rsidTr="00202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1EA8D3" w14:textId="77777777" w:rsidR="004A7CF5" w:rsidRPr="00643C4B" w:rsidRDefault="004A7CF5" w:rsidP="00202ED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D3F7FE3" w14:textId="77777777" w:rsidR="00D765B9" w:rsidRPr="00643C4B" w:rsidRDefault="004A7CF5" w:rsidP="00202ED3">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81A347C" w14:textId="77777777" w:rsidR="00D765B9" w:rsidRPr="00643C4B" w:rsidRDefault="00D765B9" w:rsidP="00202ED3">
            <w:pPr>
              <w:rPr>
                <w:rFonts w:ascii="Times New Roman" w:eastAsia="Times New Roman" w:hAnsi="Times New Roman" w:cs="Times New Roman"/>
                <w:sz w:val="28"/>
                <w:szCs w:val="28"/>
                <w:lang w:eastAsia="lv-LV"/>
              </w:rPr>
            </w:pPr>
          </w:p>
          <w:p w14:paraId="705C26D3" w14:textId="77777777" w:rsidR="00D765B9" w:rsidRPr="00643C4B" w:rsidRDefault="00D765B9" w:rsidP="00202ED3">
            <w:pPr>
              <w:rPr>
                <w:rFonts w:ascii="Times New Roman" w:eastAsia="Times New Roman" w:hAnsi="Times New Roman" w:cs="Times New Roman"/>
                <w:sz w:val="28"/>
                <w:szCs w:val="28"/>
                <w:lang w:eastAsia="lv-LV"/>
              </w:rPr>
            </w:pPr>
          </w:p>
          <w:p w14:paraId="1A4A6C2F" w14:textId="77777777" w:rsidR="00D765B9" w:rsidRPr="00643C4B" w:rsidRDefault="00D765B9" w:rsidP="00202ED3">
            <w:pPr>
              <w:rPr>
                <w:rFonts w:ascii="Times New Roman" w:eastAsia="Times New Roman" w:hAnsi="Times New Roman" w:cs="Times New Roman"/>
                <w:sz w:val="28"/>
                <w:szCs w:val="28"/>
                <w:lang w:eastAsia="lv-LV"/>
              </w:rPr>
            </w:pPr>
          </w:p>
          <w:p w14:paraId="3425008C" w14:textId="77777777" w:rsidR="00D765B9" w:rsidRPr="00643C4B" w:rsidRDefault="00D765B9" w:rsidP="00202ED3">
            <w:pPr>
              <w:rPr>
                <w:rFonts w:ascii="Times New Roman" w:eastAsia="Times New Roman" w:hAnsi="Times New Roman" w:cs="Times New Roman"/>
                <w:sz w:val="28"/>
                <w:szCs w:val="28"/>
                <w:lang w:eastAsia="lv-LV"/>
              </w:rPr>
            </w:pPr>
          </w:p>
          <w:p w14:paraId="0A92BA8D" w14:textId="77777777" w:rsidR="004A7CF5" w:rsidRPr="00643C4B" w:rsidRDefault="004A7CF5" w:rsidP="00202ED3">
            <w:pPr>
              <w:jc w:val="cente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3A0B75D6" w14:textId="73414FB0" w:rsidR="00F35C36" w:rsidRDefault="00F97A18" w:rsidP="00553CF3">
            <w:pPr>
              <w:spacing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2016. gada 12. janvārī </w:t>
            </w:r>
            <w:r w:rsidR="004A7CF5" w:rsidRPr="00643C4B">
              <w:rPr>
                <w:rFonts w:ascii="Times New Roman" w:eastAsia="Times New Roman" w:hAnsi="Times New Roman" w:cs="Times New Roman"/>
                <w:sz w:val="28"/>
                <w:szCs w:val="28"/>
                <w:lang w:eastAsia="lv-LV"/>
              </w:rPr>
              <w:t>Ministru kabinet</w:t>
            </w:r>
            <w:r>
              <w:rPr>
                <w:rFonts w:ascii="Times New Roman" w:eastAsia="Times New Roman" w:hAnsi="Times New Roman" w:cs="Times New Roman"/>
                <w:sz w:val="28"/>
                <w:szCs w:val="28"/>
                <w:lang w:eastAsia="lv-LV"/>
              </w:rPr>
              <w:t>s</w:t>
            </w:r>
            <w:r w:rsidR="004A7CF5" w:rsidRPr="00643C4B">
              <w:rPr>
                <w:rFonts w:ascii="Times New Roman" w:eastAsia="Times New Roman" w:hAnsi="Times New Roman" w:cs="Times New Roman"/>
                <w:sz w:val="28"/>
                <w:szCs w:val="28"/>
                <w:lang w:eastAsia="lv-LV"/>
              </w:rPr>
              <w:t xml:space="preserve"> </w:t>
            </w:r>
            <w:r w:rsidR="00BA5932">
              <w:rPr>
                <w:rFonts w:ascii="Times New Roman" w:eastAsia="Times New Roman" w:hAnsi="Times New Roman" w:cs="Times New Roman"/>
                <w:sz w:val="28"/>
                <w:szCs w:val="28"/>
                <w:lang w:eastAsia="lv-LV"/>
              </w:rPr>
              <w:t xml:space="preserve"> </w:t>
            </w:r>
            <w:r w:rsidR="004A7CF5" w:rsidRPr="00643C4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apstiprināja</w:t>
            </w:r>
            <w:r w:rsidR="004A7CF5" w:rsidRPr="00643C4B">
              <w:rPr>
                <w:rFonts w:ascii="Times New Roman" w:eastAsia="Times New Roman" w:hAnsi="Times New Roman" w:cs="Times New Roman"/>
                <w:sz w:val="28"/>
                <w:szCs w:val="28"/>
                <w:lang w:eastAsia="lv-LV"/>
              </w:rPr>
              <w:t xml:space="preserve"> noteikum</w:t>
            </w:r>
            <w:r>
              <w:rPr>
                <w:rFonts w:ascii="Times New Roman" w:eastAsia="Times New Roman" w:hAnsi="Times New Roman" w:cs="Times New Roman"/>
                <w:sz w:val="28"/>
                <w:szCs w:val="28"/>
                <w:lang w:eastAsia="lv-LV"/>
              </w:rPr>
              <w:t>us</w:t>
            </w:r>
            <w:r w:rsidR="004A7CF5" w:rsidRPr="00643C4B">
              <w:rPr>
                <w:rFonts w:ascii="Times New Roman" w:eastAsia="Times New Roman" w:hAnsi="Times New Roman" w:cs="Times New Roman"/>
                <w:sz w:val="28"/>
                <w:szCs w:val="28"/>
                <w:lang w:eastAsia="lv-LV"/>
              </w:rPr>
              <w:t xml:space="preserve"> Nr. </w:t>
            </w:r>
            <w:r w:rsidR="004432C5">
              <w:rPr>
                <w:rFonts w:ascii="Times New Roman" w:eastAsia="Times New Roman" w:hAnsi="Times New Roman" w:cs="Times New Roman"/>
                <w:sz w:val="28"/>
                <w:szCs w:val="28"/>
                <w:lang w:eastAsia="lv-LV"/>
              </w:rPr>
              <w:t>34</w:t>
            </w:r>
            <w:r w:rsidR="004A7CF5" w:rsidRPr="00643C4B">
              <w:rPr>
                <w:rFonts w:ascii="Times New Roman" w:eastAsia="Times New Roman" w:hAnsi="Times New Roman" w:cs="Times New Roman"/>
                <w:sz w:val="28"/>
                <w:szCs w:val="28"/>
                <w:lang w:eastAsia="lv-LV"/>
              </w:rPr>
              <w:t xml:space="preserve"> „Darbības programmas „Iz</w:t>
            </w:r>
            <w:r w:rsidR="003C0673">
              <w:rPr>
                <w:rFonts w:ascii="Times New Roman" w:eastAsia="Times New Roman" w:hAnsi="Times New Roman" w:cs="Times New Roman"/>
                <w:sz w:val="28"/>
                <w:szCs w:val="28"/>
                <w:lang w:eastAsia="lv-LV"/>
              </w:rPr>
              <w:t>augsme un nodarbinātība” 1.1.1. </w:t>
            </w:r>
            <w:r w:rsidR="004A7CF5" w:rsidRPr="00643C4B">
              <w:rPr>
                <w:rFonts w:ascii="Times New Roman" w:eastAsia="Times New Roman" w:hAnsi="Times New Roman" w:cs="Times New Roman"/>
                <w:sz w:val="28"/>
                <w:szCs w:val="28"/>
                <w:lang w:eastAsia="lv-LV"/>
              </w:rPr>
              <w:t>specifiskā atbalsta mērķa „Palielināt Latvijas zinātnisko institūciju pētniecisko un inovatīvo kapacitāti un spēju piesaistīt ārējo finansējumu, ieguldot cilvēkresursos un infrastruktūrā” 1.1.1.</w:t>
            </w:r>
            <w:r w:rsidR="004432C5">
              <w:rPr>
                <w:rFonts w:ascii="Times New Roman" w:eastAsia="Times New Roman" w:hAnsi="Times New Roman" w:cs="Times New Roman"/>
                <w:sz w:val="28"/>
                <w:szCs w:val="28"/>
                <w:lang w:eastAsia="lv-LV"/>
              </w:rPr>
              <w:t>1</w:t>
            </w:r>
            <w:r w:rsidR="007D62C7">
              <w:rPr>
                <w:rFonts w:ascii="Times New Roman" w:eastAsia="Times New Roman" w:hAnsi="Times New Roman" w:cs="Times New Roman"/>
                <w:sz w:val="28"/>
                <w:szCs w:val="28"/>
                <w:lang w:eastAsia="lv-LV"/>
              </w:rPr>
              <w:t>. </w:t>
            </w:r>
            <w:r w:rsidR="004A7CF5" w:rsidRPr="00643C4B">
              <w:rPr>
                <w:rFonts w:ascii="Times New Roman" w:eastAsia="Times New Roman" w:hAnsi="Times New Roman" w:cs="Times New Roman"/>
                <w:sz w:val="28"/>
                <w:szCs w:val="28"/>
                <w:lang w:eastAsia="lv-LV"/>
              </w:rPr>
              <w:t>pasākuma „</w:t>
            </w:r>
            <w:r w:rsidR="004432C5">
              <w:rPr>
                <w:rFonts w:ascii="Times New Roman" w:eastAsia="Times New Roman" w:hAnsi="Times New Roman" w:cs="Times New Roman"/>
                <w:sz w:val="28"/>
                <w:szCs w:val="28"/>
                <w:lang w:eastAsia="lv-LV"/>
              </w:rPr>
              <w:t>Praktiskas ievirzes pētījumi</w:t>
            </w:r>
            <w:r w:rsidR="004A7CF5" w:rsidRPr="00643C4B">
              <w:rPr>
                <w:rFonts w:ascii="Times New Roman" w:eastAsia="Times New Roman" w:hAnsi="Times New Roman" w:cs="Times New Roman"/>
                <w:sz w:val="28"/>
                <w:szCs w:val="28"/>
                <w:lang w:eastAsia="lv-LV"/>
              </w:rPr>
              <w:t>”</w:t>
            </w:r>
            <w:r w:rsidR="00C47605" w:rsidRPr="003224EE">
              <w:rPr>
                <w:rFonts w:ascii="Times New Roman" w:eastAsia="Times New Roman" w:hAnsi="Times New Roman"/>
                <w:sz w:val="28"/>
                <w:szCs w:val="28"/>
                <w:lang w:eastAsia="lv-LV"/>
              </w:rPr>
              <w:t xml:space="preserve"> īstenošanas noteikumi</w:t>
            </w:r>
            <w:r w:rsidR="004A7CF5" w:rsidRPr="00643C4B">
              <w:rPr>
                <w:rFonts w:ascii="Times New Roman" w:eastAsia="Times New Roman" w:hAnsi="Times New Roman" w:cs="Times New Roman"/>
                <w:sz w:val="28"/>
                <w:szCs w:val="28"/>
                <w:lang w:eastAsia="lv-LV"/>
              </w:rPr>
              <w:t>” (turpmāk – noteikumi Nr. </w:t>
            </w:r>
            <w:r w:rsidR="004432C5">
              <w:rPr>
                <w:rFonts w:ascii="Times New Roman" w:eastAsia="Times New Roman" w:hAnsi="Times New Roman" w:cs="Times New Roman"/>
                <w:sz w:val="28"/>
                <w:szCs w:val="28"/>
                <w:lang w:eastAsia="lv-LV"/>
              </w:rPr>
              <w:t>34</w:t>
            </w:r>
            <w:r w:rsidR="004A7CF5" w:rsidRPr="00643C4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kuri</w:t>
            </w:r>
            <w:r w:rsidR="004A7CF5" w:rsidRPr="00643C4B">
              <w:rPr>
                <w:rFonts w:ascii="Times New Roman" w:eastAsia="Times New Roman" w:hAnsi="Times New Roman" w:cs="Times New Roman"/>
                <w:sz w:val="28"/>
                <w:szCs w:val="28"/>
                <w:lang w:eastAsia="lv-LV"/>
              </w:rPr>
              <w:t xml:space="preserve"> nosaka kārtību, kādā tiek īstenoti 1.1.1.</w:t>
            </w:r>
            <w:r w:rsidR="004432C5">
              <w:rPr>
                <w:rFonts w:ascii="Times New Roman" w:eastAsia="Times New Roman" w:hAnsi="Times New Roman" w:cs="Times New Roman"/>
                <w:sz w:val="28"/>
                <w:szCs w:val="28"/>
                <w:lang w:eastAsia="lv-LV"/>
              </w:rPr>
              <w:t>1</w:t>
            </w:r>
            <w:r w:rsidR="004A7CF5" w:rsidRPr="00643C4B">
              <w:rPr>
                <w:rFonts w:ascii="Times New Roman" w:eastAsia="Times New Roman" w:hAnsi="Times New Roman" w:cs="Times New Roman"/>
                <w:sz w:val="28"/>
                <w:szCs w:val="28"/>
                <w:lang w:eastAsia="lv-LV"/>
              </w:rPr>
              <w:t>. pasākuma „</w:t>
            </w:r>
            <w:r w:rsidR="004432C5">
              <w:rPr>
                <w:rFonts w:ascii="Times New Roman" w:eastAsia="Times New Roman" w:hAnsi="Times New Roman" w:cs="Times New Roman"/>
                <w:sz w:val="28"/>
                <w:szCs w:val="28"/>
                <w:lang w:eastAsia="lv-LV"/>
              </w:rPr>
              <w:t>Praktiskas ievirzes pētījumi</w:t>
            </w:r>
            <w:r w:rsidR="004A7CF5" w:rsidRPr="00643C4B">
              <w:rPr>
                <w:rFonts w:ascii="Times New Roman" w:eastAsia="Times New Roman" w:hAnsi="Times New Roman" w:cs="Times New Roman"/>
                <w:sz w:val="28"/>
                <w:szCs w:val="28"/>
                <w:lang w:eastAsia="lv-LV"/>
              </w:rPr>
              <w:t>” (turpmāk – 1.1.1.</w:t>
            </w:r>
            <w:r w:rsidR="004432C5">
              <w:rPr>
                <w:rFonts w:ascii="Times New Roman" w:eastAsia="Times New Roman" w:hAnsi="Times New Roman" w:cs="Times New Roman"/>
                <w:sz w:val="28"/>
                <w:szCs w:val="28"/>
                <w:lang w:eastAsia="lv-LV"/>
              </w:rPr>
              <w:t>1</w:t>
            </w:r>
            <w:r w:rsidR="004A7CF5" w:rsidRPr="00643C4B">
              <w:rPr>
                <w:rFonts w:ascii="Times New Roman" w:eastAsia="Times New Roman" w:hAnsi="Times New Roman" w:cs="Times New Roman"/>
                <w:sz w:val="28"/>
                <w:szCs w:val="28"/>
                <w:lang w:eastAsia="lv-LV"/>
              </w:rPr>
              <w:t xml:space="preserve">. pasākums) projekti. </w:t>
            </w:r>
          </w:p>
          <w:p w14:paraId="3B9E408F" w14:textId="51F54A8F" w:rsidR="003C0673" w:rsidRDefault="00A6273F" w:rsidP="009F14CD">
            <w:pPr>
              <w:spacing w:before="120"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Laika posmā no 2016. gada 7. aprīļa līdz 30. novembrim norisinājās 1.1.1.1. pasākuma pirmās projektu iesniegumu atlases kārtas projektu iesniegumu iesniegšana un vērtēšana. </w:t>
            </w:r>
            <w:r w:rsidR="00CE546F">
              <w:rPr>
                <w:rFonts w:ascii="Times New Roman" w:eastAsia="Times New Roman" w:hAnsi="Times New Roman" w:cs="Times New Roman"/>
                <w:sz w:val="28"/>
                <w:szCs w:val="28"/>
                <w:lang w:eastAsia="lv-LV"/>
              </w:rPr>
              <w:t>Ņemot vērā</w:t>
            </w:r>
            <w:r>
              <w:rPr>
                <w:rFonts w:ascii="Times New Roman" w:eastAsia="Times New Roman" w:hAnsi="Times New Roman" w:cs="Times New Roman"/>
                <w:sz w:val="28"/>
                <w:szCs w:val="28"/>
                <w:lang w:eastAsia="lv-LV"/>
              </w:rPr>
              <w:t xml:space="preserve">, ka pirmās projektu iesniegumu atlases kārtas ietvaros </w:t>
            </w:r>
            <w:r w:rsidR="00CE546F">
              <w:rPr>
                <w:rFonts w:ascii="Times New Roman" w:eastAsia="Times New Roman" w:hAnsi="Times New Roman" w:cs="Times New Roman"/>
                <w:sz w:val="28"/>
                <w:szCs w:val="28"/>
                <w:lang w:eastAsia="lv-LV"/>
              </w:rPr>
              <w:t xml:space="preserve">lielā apjomā </w:t>
            </w:r>
            <w:r>
              <w:rPr>
                <w:rFonts w:ascii="Times New Roman" w:eastAsia="Times New Roman" w:hAnsi="Times New Roman" w:cs="Times New Roman"/>
                <w:sz w:val="28"/>
                <w:szCs w:val="28"/>
                <w:lang w:eastAsia="lv-LV"/>
              </w:rPr>
              <w:t xml:space="preserve">tika iesniegti projektu iesniegumi ar augstu zinātnisko kvalitāti un nozīmīgu sociālekonomisko ietekmi (virs kvalitātes sliekšņa, kas nepieciešams, lai kvalificētos projekta īstenošanai, tika novērtēti 40% no iesniegtajiem projektu iesniegumiem), </w:t>
            </w:r>
            <w:r w:rsidR="00963F5A">
              <w:rPr>
                <w:rFonts w:ascii="Times New Roman" w:hAnsi="Times New Roman" w:cs="Times New Roman"/>
                <w:sz w:val="28"/>
                <w:szCs w:val="28"/>
              </w:rPr>
              <w:t xml:space="preserve">1.1.1.1. pasākuma īstenošanai pirmās </w:t>
            </w:r>
            <w:r w:rsidR="00374B73">
              <w:rPr>
                <w:rFonts w:ascii="Times New Roman" w:hAnsi="Times New Roman" w:cs="Times New Roman"/>
                <w:sz w:val="28"/>
                <w:szCs w:val="28"/>
              </w:rPr>
              <w:t xml:space="preserve"> projektu iesniegumu </w:t>
            </w:r>
            <w:r w:rsidR="00963F5A">
              <w:rPr>
                <w:rFonts w:ascii="Times New Roman" w:hAnsi="Times New Roman" w:cs="Times New Roman"/>
                <w:sz w:val="28"/>
                <w:szCs w:val="28"/>
              </w:rPr>
              <w:t xml:space="preserve">atlases kārtas </w:t>
            </w:r>
            <w:r w:rsidR="00963F5A" w:rsidRPr="00281328">
              <w:rPr>
                <w:rFonts w:ascii="Times New Roman" w:hAnsi="Times New Roman" w:cs="Times New Roman"/>
                <w:sz w:val="28"/>
                <w:szCs w:val="28"/>
              </w:rPr>
              <w:t xml:space="preserve">ietvaros kopējais </w:t>
            </w:r>
            <w:r w:rsidR="00963F5A" w:rsidRPr="00281328">
              <w:rPr>
                <w:rFonts w:ascii="Times New Roman" w:hAnsi="Times New Roman" w:cs="Times New Roman"/>
                <w:sz w:val="28"/>
                <w:szCs w:val="28"/>
              </w:rPr>
              <w:lastRenderedPageBreak/>
              <w:t>pieejamais publiskais finansējums</w:t>
            </w:r>
            <w:r w:rsidR="00963F5A">
              <w:rPr>
                <w:rFonts w:ascii="Times New Roman" w:hAnsi="Times New Roman" w:cs="Times New Roman"/>
                <w:sz w:val="28"/>
                <w:szCs w:val="28"/>
              </w:rPr>
              <w:t xml:space="preserve">, saskaņā ar </w:t>
            </w:r>
            <w:r w:rsidR="00963F5A" w:rsidRPr="00281328">
              <w:rPr>
                <w:rFonts w:ascii="Times New Roman" w:hAnsi="Times New Roman" w:cs="Times New Roman"/>
                <w:sz w:val="28"/>
                <w:szCs w:val="28"/>
              </w:rPr>
              <w:t>Ministru kabineta 2016.</w:t>
            </w:r>
            <w:r w:rsidR="00963F5A">
              <w:rPr>
                <w:rFonts w:ascii="Times New Roman" w:hAnsi="Times New Roman" w:cs="Times New Roman"/>
                <w:sz w:val="28"/>
                <w:szCs w:val="28"/>
              </w:rPr>
              <w:t xml:space="preserve"> </w:t>
            </w:r>
            <w:r w:rsidR="00963F5A" w:rsidRPr="00281328">
              <w:rPr>
                <w:rFonts w:ascii="Times New Roman" w:hAnsi="Times New Roman" w:cs="Times New Roman"/>
                <w:sz w:val="28"/>
                <w:szCs w:val="28"/>
              </w:rPr>
              <w:t xml:space="preserve">gada </w:t>
            </w:r>
            <w:r w:rsidR="00963F5A">
              <w:rPr>
                <w:rFonts w:ascii="Times New Roman" w:hAnsi="Times New Roman" w:cs="Times New Roman"/>
                <w:sz w:val="28"/>
                <w:szCs w:val="28"/>
              </w:rPr>
              <w:t>8. novembra sēdes protokollēmuma</w:t>
            </w:r>
            <w:r w:rsidR="00963F5A" w:rsidRPr="00281328">
              <w:rPr>
                <w:rFonts w:ascii="Times New Roman" w:hAnsi="Times New Roman" w:cs="Times New Roman"/>
                <w:sz w:val="28"/>
                <w:szCs w:val="28"/>
              </w:rPr>
              <w:t xml:space="preserve"> “Par informatīvo ziņojumu” “Par papildu finansējuma piešķiršanu praktiskās pētniecības projektu atbalstam”</w:t>
            </w:r>
            <w:r w:rsidR="00963F5A">
              <w:rPr>
                <w:rFonts w:ascii="Times New Roman" w:hAnsi="Times New Roman" w:cs="Times New Roman"/>
                <w:sz w:val="28"/>
                <w:szCs w:val="28"/>
              </w:rPr>
              <w:t xml:space="preserve">” 2. punktu (protokols Nr. 60; 60. </w:t>
            </w:r>
            <w:bookmarkStart w:id="4" w:name="3"/>
            <w:r w:rsidR="00963F5A" w:rsidRPr="008103B9">
              <w:rPr>
                <w:rFonts w:ascii="Times New Roman" w:hAnsi="Times New Roman" w:cs="Times New Roman"/>
                <w:sz w:val="28"/>
                <w:szCs w:val="28"/>
              </w:rPr>
              <w:t>§</w:t>
            </w:r>
            <w:bookmarkEnd w:id="4"/>
            <w:r w:rsidR="00963F5A">
              <w:rPr>
                <w:rFonts w:ascii="Times New Roman" w:hAnsi="Times New Roman" w:cs="Times New Roman"/>
                <w:sz w:val="28"/>
                <w:szCs w:val="28"/>
              </w:rPr>
              <w:t>)</w:t>
            </w:r>
            <w:r w:rsidR="00963F5A" w:rsidRPr="00281328">
              <w:rPr>
                <w:rFonts w:ascii="Times New Roman" w:hAnsi="Times New Roman" w:cs="Times New Roman"/>
                <w:sz w:val="28"/>
                <w:szCs w:val="28"/>
              </w:rPr>
              <w:t xml:space="preserve"> </w:t>
            </w:r>
            <w:r w:rsidR="00963F5A">
              <w:rPr>
                <w:rFonts w:ascii="Times New Roman" w:hAnsi="Times New Roman" w:cs="Times New Roman"/>
                <w:sz w:val="28"/>
                <w:szCs w:val="28"/>
              </w:rPr>
              <w:t xml:space="preserve">tika noteikts 40 000 000 </w:t>
            </w:r>
            <w:r w:rsidR="00963F5A">
              <w:rPr>
                <w:rFonts w:ascii="Times New Roman" w:hAnsi="Times New Roman" w:cs="Times New Roman"/>
                <w:i/>
                <w:sz w:val="28"/>
                <w:szCs w:val="28"/>
              </w:rPr>
              <w:t>euro</w:t>
            </w:r>
            <w:r w:rsidR="00963F5A">
              <w:rPr>
                <w:rFonts w:ascii="Times New Roman" w:hAnsi="Times New Roman" w:cs="Times New Roman"/>
                <w:sz w:val="28"/>
                <w:szCs w:val="28"/>
              </w:rPr>
              <w:t xml:space="preserve"> apmērā. </w:t>
            </w:r>
            <w:r w:rsidR="00963F5A" w:rsidRPr="00281328">
              <w:rPr>
                <w:rFonts w:ascii="Times New Roman" w:hAnsi="Times New Roman" w:cs="Times New Roman"/>
                <w:sz w:val="28"/>
                <w:szCs w:val="28"/>
              </w:rPr>
              <w:t xml:space="preserve">  </w:t>
            </w:r>
          </w:p>
          <w:p w14:paraId="0A26D955" w14:textId="77777777" w:rsidR="001779AC" w:rsidRDefault="001779AC" w:rsidP="00553CF3">
            <w:pPr>
              <w:spacing w:before="120"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Nr. 34 11. punkts nosaka, ka 1.1.1.1. pasākuma plānotais kopējais attiecināmais publiskais finansējums ir 66 887 873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xml:space="preserve">, ko veido Eiropas Reģionālās attīstības fonda finansējums 65 035 942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xml:space="preserve"> un nacionālais publiskais valsts budžeta līdzfinansējums 1 851 931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Saskaņā ar iepriekš minēto, noteikumi Nr. 34 nosaka, ka Eiropas Reģionālās attīstības fonda finansējums no kopējā attiecināmā publiskā finansējuma ir 97 procenti, valsts budžeta līdzfinansējums – 3 procenti.</w:t>
            </w:r>
          </w:p>
          <w:p w14:paraId="6677F008" w14:textId="77777777" w:rsidR="003C0673" w:rsidRDefault="00EE04A0" w:rsidP="003C0673">
            <w:pPr>
              <w:tabs>
                <w:tab w:val="left" w:pos="4305"/>
              </w:tabs>
              <w:spacing w:before="120"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Ievērojot 2014. gada 27. augusta Eiropas Savienības fondu Koalīcijas partneru darba grupā apstiprināto un </w:t>
            </w:r>
            <w:r w:rsidR="003C0673">
              <w:rPr>
                <w:rFonts w:ascii="Times New Roman" w:eastAsia="Times New Roman" w:hAnsi="Times New Roman" w:cs="Times New Roman"/>
                <w:sz w:val="28"/>
                <w:szCs w:val="28"/>
                <w:lang w:eastAsia="lv-LV"/>
              </w:rPr>
              <w:t>Ministru kabinetā izskatīšanai virzīto Darbības programmas “Izaugsme un nodarbinātība” projektu, tai skaitā tā pielikumā pievienoto finansējuma kopsavilkumu, 1.1.1. specifiskā atbalsta mērķa “Palielināt</w:t>
            </w:r>
            <w:r w:rsidR="003C0673" w:rsidRPr="00643C4B">
              <w:rPr>
                <w:rFonts w:ascii="Times New Roman" w:eastAsia="Times New Roman" w:hAnsi="Times New Roman" w:cs="Times New Roman"/>
                <w:sz w:val="28"/>
                <w:szCs w:val="28"/>
                <w:lang w:eastAsia="lv-LV"/>
              </w:rPr>
              <w:t xml:space="preserve"> Latvijas zinātnisko institūciju pētniecisko un inovatīvo kapacitāti un spēju piesaistīt ārējo finansējumu, ieguldot cilvēkresursos un infrastruktūrā</w:t>
            </w:r>
            <w:r w:rsidR="003C0673">
              <w:rPr>
                <w:rFonts w:ascii="Times New Roman" w:eastAsia="Times New Roman" w:hAnsi="Times New Roman" w:cs="Times New Roman"/>
                <w:sz w:val="28"/>
                <w:szCs w:val="28"/>
                <w:lang w:eastAsia="lv-LV"/>
              </w:rPr>
              <w:t xml:space="preserve">” kopējais attiecināmais publiskais finansējums iedalās šādās intensitātēs: Eiropas Reģionālās attīstības fonda finansējums – 85 procenti, valsts budžeta līdzfinansējums – 15 procenti no kopējā attiecināmā publiskā finansējuma. </w:t>
            </w:r>
          </w:p>
          <w:p w14:paraId="755CFD97" w14:textId="3C788B29" w:rsidR="009755AF" w:rsidRDefault="00A6273F" w:rsidP="00A6273F">
            <w:pPr>
              <w:tabs>
                <w:tab w:val="left" w:pos="4305"/>
              </w:tabs>
              <w:spacing w:before="120"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projekts </w:t>
            </w:r>
            <w:r w:rsidRPr="00A6273F">
              <w:rPr>
                <w:rFonts w:ascii="Times New Roman" w:eastAsia="Times New Roman" w:hAnsi="Times New Roman" w:cs="Times New Roman"/>
                <w:sz w:val="28"/>
                <w:szCs w:val="28"/>
                <w:lang w:eastAsia="lv-LV"/>
              </w:rPr>
              <w:t xml:space="preserve">„Grozījumi Ministru kabineta 2016. </w:t>
            </w:r>
            <w:r w:rsidR="009755AF">
              <w:rPr>
                <w:rFonts w:ascii="Times New Roman" w:eastAsia="Times New Roman" w:hAnsi="Times New Roman" w:cs="Times New Roman"/>
                <w:sz w:val="28"/>
                <w:szCs w:val="28"/>
                <w:lang w:eastAsia="lv-LV"/>
              </w:rPr>
              <w:t>gada 12. janvāra noteikumos Nr. </w:t>
            </w:r>
            <w:r w:rsidRPr="00A6273F">
              <w:rPr>
                <w:rFonts w:ascii="Times New Roman" w:eastAsia="Times New Roman" w:hAnsi="Times New Roman" w:cs="Times New Roman"/>
                <w:sz w:val="28"/>
                <w:szCs w:val="28"/>
                <w:lang w:eastAsia="lv-LV"/>
              </w:rPr>
              <w:t xml:space="preserve">34 „Darbības programmas "Izaugsme un nodarbinātība" 1.1.1. specifiskā atbalsta mērķa </w:t>
            </w:r>
            <w:r w:rsidRPr="00A6273F">
              <w:rPr>
                <w:rFonts w:ascii="Times New Roman" w:eastAsia="Times New Roman" w:hAnsi="Times New Roman" w:cs="Times New Roman"/>
                <w:sz w:val="28"/>
                <w:szCs w:val="28"/>
                <w:lang w:eastAsia="lv-LV"/>
              </w:rPr>
              <w:lastRenderedPageBreak/>
              <w:t>"Palielināt Latvijas zinātnisko institūciju pētniecisko un inovatīvo kapacitāti un spēju piesaistīt ārējo finansējumu, ieguldot cilvēkresursos un infrastruktūrā" 1.1.1.1. pasākuma "Praktiskas ievirzes pētījumi” īstenošanas noteikumi”</w:t>
            </w:r>
            <w:r w:rsidR="009755AF">
              <w:rPr>
                <w:rFonts w:ascii="Times New Roman" w:eastAsia="Times New Roman" w:hAnsi="Times New Roman" w:cs="Times New Roman"/>
                <w:sz w:val="28"/>
                <w:szCs w:val="28"/>
                <w:lang w:eastAsia="lv-LV"/>
              </w:rPr>
              <w:t xml:space="preserve"> (turpmāk – noteikumu projekts)</w:t>
            </w:r>
            <w:r>
              <w:rPr>
                <w:rFonts w:ascii="Times New Roman" w:eastAsia="Times New Roman" w:hAnsi="Times New Roman" w:cs="Times New Roman"/>
                <w:sz w:val="28"/>
                <w:szCs w:val="28"/>
                <w:lang w:eastAsia="lv-LV"/>
              </w:rPr>
              <w:t xml:space="preserve"> izstrādāts ar mērķi pilnā apmērā nodrošināt 1.1.1.1. pasākuma īstenošanai nepieciešamo valsts budžeta līdzfinansējumu</w:t>
            </w:r>
            <w:r w:rsidR="005E4932">
              <w:rPr>
                <w:rFonts w:ascii="Times New Roman" w:eastAsia="Times New Roman" w:hAnsi="Times New Roman" w:cs="Times New Roman"/>
                <w:sz w:val="28"/>
                <w:szCs w:val="28"/>
                <w:lang w:eastAsia="lv-LV"/>
              </w:rPr>
              <w:t xml:space="preserve"> saskaņā ar sākotnēji plānoto</w:t>
            </w:r>
            <w:r w:rsidR="009755AF">
              <w:rPr>
                <w:rFonts w:ascii="Times New Roman" w:eastAsia="Times New Roman" w:hAnsi="Times New Roman" w:cs="Times New Roman"/>
                <w:sz w:val="28"/>
                <w:szCs w:val="28"/>
                <w:lang w:eastAsia="lv-LV"/>
              </w:rPr>
              <w:t>.</w:t>
            </w:r>
          </w:p>
          <w:p w14:paraId="1792427A" w14:textId="4109EB3D" w:rsidR="009755AF" w:rsidRDefault="009755AF" w:rsidP="00A6273F">
            <w:pPr>
              <w:tabs>
                <w:tab w:val="left" w:pos="4305"/>
              </w:tabs>
              <w:spacing w:before="120"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Ievērojot iepriekš minēto, noteikumu projekts paredz precizēt noteikumu Nr. 34 11. punktu, nosakot valsts budžeta līdzfinansējumu 11 476 931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xml:space="preserve"> apmērā jeb 15 procentus no 1.1.1.1. pasākuma īstenošanai paredzētā kopējā attiecināmā publiskā finansējuma, attiecīgi precizējot arī 1.1.1.1. pasākuma īstenošanai plānoto maksimālā publiskā attiecināmā finansējuma apmēru</w:t>
            </w:r>
            <w:r w:rsidR="00CE546F">
              <w:rPr>
                <w:rFonts w:ascii="Times New Roman" w:eastAsia="Times New Roman" w:hAnsi="Times New Roman" w:cs="Times New Roman"/>
                <w:sz w:val="28"/>
                <w:szCs w:val="28"/>
                <w:lang w:eastAsia="lv-LV"/>
              </w:rPr>
              <w:t xml:space="preserve"> un</w:t>
            </w:r>
            <w:r w:rsidR="00B45DD9">
              <w:rPr>
                <w:rFonts w:ascii="Times New Roman" w:eastAsia="Times New Roman" w:hAnsi="Times New Roman" w:cs="Times New Roman"/>
                <w:sz w:val="28"/>
                <w:szCs w:val="28"/>
                <w:lang w:eastAsia="lv-LV"/>
              </w:rPr>
              <w:t xml:space="preserve"> nosakot to 76 512 873 </w:t>
            </w:r>
            <w:r>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 xml:space="preserve"> apjomā. </w:t>
            </w:r>
          </w:p>
          <w:p w14:paraId="679D231D" w14:textId="7F058239" w:rsidR="009F14CD" w:rsidRDefault="00865401" w:rsidP="00167B20">
            <w:pPr>
              <w:tabs>
                <w:tab w:val="left" w:pos="4305"/>
              </w:tabs>
              <w:spacing w:before="120" w:after="0" w:line="252" w:lineRule="auto"/>
              <w:ind w:left="102" w:right="102"/>
              <w:jc w:val="both"/>
              <w:rPr>
                <w:rFonts w:ascii="Times New Roman" w:eastAsia="Times New Roman" w:hAnsi="Times New Roman" w:cs="Times New Roman"/>
                <w:sz w:val="28"/>
                <w:szCs w:val="28"/>
                <w:lang w:eastAsia="lv-LV"/>
              </w:rPr>
            </w:pPr>
            <w:r w:rsidRPr="00865401">
              <w:rPr>
                <w:rFonts w:ascii="Times New Roman" w:eastAsia="Times New Roman" w:hAnsi="Times New Roman" w:cs="Times New Roman"/>
                <w:sz w:val="28"/>
                <w:szCs w:val="28"/>
                <w:lang w:eastAsia="lv-LV"/>
              </w:rPr>
              <w:t xml:space="preserve">Lai sekmētu Eiropas Reģionālās attīstības fonda finansējuma novirzīšanu partnerības projektiem starp zinātniskajām institūcijām un uzņēmumiem, tādējādi stimulējot 1.1.1.1. pasākuma plānoto uzraudzības rādītāju sasniegšanu, turpmākajās kārtās ar saimniecisku darbību nesaistīto projektu īstenošanai plānots samazināt Eiropas Reģionālās attīstības fonda finansējuma atbalsta intensitāti, to atbilstošā apmērā aizstājot ar valsts budžeta līdzfinansējumu. Ievērojot minēto, noteikumu projektā ietverts regulējums, grozot noteikumu Nr. 34 12. un 15 punktu, kā arī papildinot tos ar </w:t>
            </w:r>
            <w:r>
              <w:rPr>
                <w:rFonts w:ascii="Times New Roman" w:eastAsia="Times New Roman" w:hAnsi="Times New Roman"/>
                <w:sz w:val="28"/>
                <w:szCs w:val="28"/>
                <w:lang w:eastAsia="lv-LV"/>
              </w:rPr>
              <w:t>12.</w:t>
            </w:r>
            <w:r>
              <w:rPr>
                <w:rFonts w:ascii="Times New Roman" w:eastAsia="Times New Roman" w:hAnsi="Times New Roman"/>
                <w:sz w:val="28"/>
                <w:szCs w:val="28"/>
                <w:vertAlign w:val="superscript"/>
                <w:lang w:eastAsia="lv-LV"/>
              </w:rPr>
              <w:t xml:space="preserve">1 </w:t>
            </w:r>
            <w:r w:rsidRPr="00865401">
              <w:rPr>
                <w:rFonts w:ascii="Times New Roman" w:eastAsia="Times New Roman" w:hAnsi="Times New Roman" w:cs="Times New Roman"/>
                <w:sz w:val="28"/>
                <w:szCs w:val="28"/>
                <w:lang w:eastAsia="lv-LV"/>
              </w:rPr>
              <w:t xml:space="preserve">punktu, nosakot, ka publiskā attiecināmā finansējuma intensitātes  ar saimniecisku darbību nesaistītu projektu īstenošanai tiek noteiktas ar </w:t>
            </w:r>
            <w:r>
              <w:rPr>
                <w:rFonts w:ascii="Times New Roman" w:eastAsia="Times New Roman" w:hAnsi="Times New Roman" w:cs="Times New Roman"/>
                <w:sz w:val="28"/>
                <w:szCs w:val="28"/>
                <w:lang w:eastAsia="lv-LV"/>
              </w:rPr>
              <w:t>Ministru kabineta</w:t>
            </w:r>
            <w:r w:rsidRPr="00865401">
              <w:rPr>
                <w:rFonts w:ascii="Times New Roman" w:eastAsia="Times New Roman" w:hAnsi="Times New Roman" w:cs="Times New Roman"/>
                <w:sz w:val="28"/>
                <w:szCs w:val="28"/>
                <w:lang w:eastAsia="lv-LV"/>
              </w:rPr>
              <w:t xml:space="preserve"> lēmumu</w:t>
            </w:r>
            <w:r>
              <w:rPr>
                <w:rFonts w:ascii="Times New Roman" w:eastAsia="Times New Roman" w:hAnsi="Times New Roman" w:cs="Times New Roman"/>
                <w:sz w:val="28"/>
                <w:szCs w:val="28"/>
                <w:lang w:eastAsia="lv-LV"/>
              </w:rPr>
              <w:t>,</w:t>
            </w:r>
            <w:r w:rsidRPr="00865401">
              <w:rPr>
                <w:rFonts w:ascii="Times New Roman" w:eastAsia="Times New Roman" w:hAnsi="Times New Roman" w:cs="Times New Roman"/>
                <w:sz w:val="28"/>
                <w:szCs w:val="28"/>
                <w:lang w:eastAsia="lv-LV"/>
              </w:rPr>
              <w:t xml:space="preserve"> izskatot </w:t>
            </w:r>
            <w:r>
              <w:rPr>
                <w:rFonts w:ascii="Times New Roman" w:eastAsia="Times New Roman" w:hAnsi="Times New Roman" w:cs="Times New Roman"/>
                <w:sz w:val="28"/>
                <w:szCs w:val="28"/>
                <w:lang w:eastAsia="lv-LV"/>
              </w:rPr>
              <w:t>Izglītības un zinātnes ministrijas</w:t>
            </w:r>
            <w:r w:rsidRPr="00865401">
              <w:rPr>
                <w:rFonts w:ascii="Times New Roman" w:eastAsia="Times New Roman" w:hAnsi="Times New Roman" w:cs="Times New Roman"/>
                <w:sz w:val="28"/>
                <w:szCs w:val="28"/>
                <w:lang w:eastAsia="lv-LV"/>
              </w:rPr>
              <w:t xml:space="preserve"> sagatavoto</w:t>
            </w:r>
            <w:r>
              <w:rPr>
                <w:rFonts w:ascii="Times New Roman" w:eastAsia="Times New Roman" w:hAnsi="Times New Roman" w:cs="Times New Roman"/>
                <w:sz w:val="28"/>
                <w:szCs w:val="28"/>
                <w:lang w:eastAsia="lv-LV"/>
              </w:rPr>
              <w:t xml:space="preserve"> informatīvo</w:t>
            </w:r>
            <w:r w:rsidRPr="00865401">
              <w:rPr>
                <w:rFonts w:ascii="Times New Roman" w:eastAsia="Times New Roman" w:hAnsi="Times New Roman" w:cs="Times New Roman"/>
                <w:sz w:val="28"/>
                <w:szCs w:val="28"/>
                <w:lang w:eastAsia="lv-LV"/>
              </w:rPr>
              <w:t xml:space="preserve"> ziņojumu ar </w:t>
            </w:r>
            <w:r w:rsidR="00322D71">
              <w:rPr>
                <w:rFonts w:ascii="Times New Roman" w:eastAsia="Times New Roman" w:hAnsi="Times New Roman" w:cs="Times New Roman"/>
                <w:sz w:val="28"/>
                <w:szCs w:val="28"/>
                <w:lang w:eastAsia="lv-LV"/>
              </w:rPr>
              <w:t xml:space="preserve">1.1.1.1. pasākuma </w:t>
            </w:r>
            <w:r w:rsidRPr="00865401">
              <w:rPr>
                <w:rFonts w:ascii="Times New Roman" w:eastAsia="Times New Roman" w:hAnsi="Times New Roman" w:cs="Times New Roman"/>
                <w:sz w:val="28"/>
                <w:szCs w:val="28"/>
                <w:lang w:eastAsia="lv-LV"/>
              </w:rPr>
              <w:t xml:space="preserve">pirmās atlases </w:t>
            </w:r>
            <w:r w:rsidR="00322D71" w:rsidRPr="00865401">
              <w:rPr>
                <w:rFonts w:ascii="Times New Roman" w:eastAsia="Times New Roman" w:hAnsi="Times New Roman" w:cs="Times New Roman"/>
                <w:sz w:val="28"/>
                <w:szCs w:val="28"/>
                <w:lang w:eastAsia="lv-LV"/>
              </w:rPr>
              <w:t xml:space="preserve"> kārtas </w:t>
            </w:r>
            <w:r w:rsidRPr="00865401">
              <w:rPr>
                <w:rFonts w:ascii="Times New Roman" w:eastAsia="Times New Roman" w:hAnsi="Times New Roman" w:cs="Times New Roman"/>
                <w:sz w:val="28"/>
                <w:szCs w:val="28"/>
                <w:lang w:eastAsia="lv-LV"/>
              </w:rPr>
              <w:t xml:space="preserve">rezultātu analīzi un priekšlikumiem </w:t>
            </w:r>
            <w:r w:rsidRPr="00865401">
              <w:rPr>
                <w:rFonts w:ascii="Times New Roman" w:eastAsia="Times New Roman" w:hAnsi="Times New Roman" w:cs="Times New Roman"/>
                <w:sz w:val="28"/>
                <w:szCs w:val="28"/>
                <w:lang w:eastAsia="lv-LV"/>
              </w:rPr>
              <w:lastRenderedPageBreak/>
              <w:t>turpmāko atlases kārtu saturiskiem un procedurāliem uzlabojumiem, t.sk. iekļaujot informāciju par priekšlikumiem, kas radušies Viedās specializācijas stratēģijas monitoringa proc</w:t>
            </w:r>
            <w:r w:rsidR="000337DA">
              <w:rPr>
                <w:rFonts w:ascii="Times New Roman" w:eastAsia="Times New Roman" w:hAnsi="Times New Roman" w:cs="Times New Roman"/>
                <w:sz w:val="28"/>
                <w:szCs w:val="28"/>
                <w:lang w:eastAsia="lv-LV"/>
              </w:rPr>
              <w:t>esā un tematiskajās diskusijās. Ministru kabineta</w:t>
            </w:r>
            <w:r w:rsidR="000337DA" w:rsidRPr="00865401">
              <w:rPr>
                <w:rFonts w:ascii="Times New Roman" w:eastAsia="Times New Roman" w:hAnsi="Times New Roman" w:cs="Times New Roman"/>
                <w:sz w:val="28"/>
                <w:szCs w:val="28"/>
                <w:lang w:eastAsia="lv-LV"/>
              </w:rPr>
              <w:t xml:space="preserve"> apstiprināto likmi </w:t>
            </w:r>
            <w:r w:rsidR="000337DA">
              <w:rPr>
                <w:rFonts w:ascii="Times New Roman" w:eastAsia="Times New Roman" w:hAnsi="Times New Roman" w:cs="Times New Roman"/>
                <w:sz w:val="28"/>
                <w:szCs w:val="28"/>
                <w:lang w:eastAsia="lv-LV"/>
              </w:rPr>
              <w:t>ietver</w:t>
            </w:r>
            <w:r w:rsidR="000337DA" w:rsidRPr="00865401">
              <w:rPr>
                <w:rFonts w:ascii="Times New Roman" w:eastAsia="Times New Roman" w:hAnsi="Times New Roman" w:cs="Times New Roman"/>
                <w:sz w:val="28"/>
                <w:szCs w:val="28"/>
                <w:lang w:eastAsia="lv-LV"/>
              </w:rPr>
              <w:t xml:space="preserve">  pasākuma atlases nolikumā, tādējādi nodrošinot elastību lēmumu pieņemšanas proc</w:t>
            </w:r>
            <w:r w:rsidR="000337DA">
              <w:rPr>
                <w:rFonts w:ascii="Times New Roman" w:eastAsia="Times New Roman" w:hAnsi="Times New Roman" w:cs="Times New Roman"/>
                <w:sz w:val="28"/>
                <w:szCs w:val="28"/>
                <w:lang w:eastAsia="lv-LV"/>
              </w:rPr>
              <w:t>esā par atbilstošajiem 1.1.1.1. </w:t>
            </w:r>
            <w:r w:rsidR="000337DA" w:rsidRPr="00865401">
              <w:rPr>
                <w:rFonts w:ascii="Times New Roman" w:eastAsia="Times New Roman" w:hAnsi="Times New Roman" w:cs="Times New Roman"/>
                <w:sz w:val="28"/>
                <w:szCs w:val="28"/>
                <w:lang w:eastAsia="lv-LV"/>
              </w:rPr>
              <w:t>pasākuma ieviešanas nosacījumiem.</w:t>
            </w:r>
            <w:r w:rsidR="000337DA">
              <w:rPr>
                <w:rFonts w:ascii="Times New Roman" w:eastAsia="Times New Roman" w:hAnsi="Times New Roman" w:cs="Times New Roman"/>
                <w:sz w:val="28"/>
                <w:szCs w:val="28"/>
                <w:lang w:eastAsia="lv-LV"/>
              </w:rPr>
              <w:t xml:space="preserve"> </w:t>
            </w:r>
            <w:r w:rsidR="00250F1A">
              <w:rPr>
                <w:rFonts w:ascii="Times New Roman" w:eastAsia="Times New Roman" w:hAnsi="Times New Roman" w:cs="Times New Roman"/>
                <w:sz w:val="28"/>
                <w:szCs w:val="28"/>
                <w:lang w:eastAsia="lv-LV"/>
              </w:rPr>
              <w:t>Minētais informatīvais ziņojums</w:t>
            </w:r>
            <w:r w:rsidR="00322D71">
              <w:rPr>
                <w:rFonts w:ascii="Times New Roman" w:eastAsia="Times New Roman" w:hAnsi="Times New Roman" w:cs="Times New Roman"/>
                <w:sz w:val="28"/>
                <w:szCs w:val="28"/>
                <w:lang w:eastAsia="lv-LV"/>
              </w:rPr>
              <w:t xml:space="preserve">, kura sagatavošanu nosaka Ministru kabineta 2016. gada 8. novembra sēdes protokollēmuma </w:t>
            </w:r>
            <w:r w:rsidR="00322D71" w:rsidRPr="00643C4B">
              <w:rPr>
                <w:rFonts w:ascii="Times New Roman" w:eastAsia="Times New Roman" w:hAnsi="Times New Roman" w:cs="Times New Roman"/>
                <w:sz w:val="28"/>
                <w:szCs w:val="28"/>
                <w:lang w:eastAsia="lv-LV"/>
              </w:rPr>
              <w:t>„</w:t>
            </w:r>
            <w:r w:rsidR="00322D71" w:rsidRPr="00250F1A">
              <w:rPr>
                <w:rFonts w:ascii="Times New Roman" w:eastAsia="Times New Roman" w:hAnsi="Times New Roman" w:cs="Times New Roman"/>
                <w:sz w:val="28"/>
                <w:szCs w:val="28"/>
                <w:lang w:eastAsia="lv-LV"/>
              </w:rPr>
              <w:t>Informatīvais ziņojums "Par papildu finansējuma piešķiršanu praktiskās</w:t>
            </w:r>
            <w:r w:rsidR="00322D71">
              <w:rPr>
                <w:rFonts w:ascii="Times New Roman" w:eastAsia="Times New Roman" w:hAnsi="Times New Roman" w:cs="Times New Roman"/>
                <w:sz w:val="28"/>
                <w:szCs w:val="28"/>
                <w:lang w:eastAsia="lv-LV"/>
              </w:rPr>
              <w:t xml:space="preserve"> pētniecības projektu atbalstam” 4. punkts (protokols Nr. 60; 60</w:t>
            </w:r>
            <w:r w:rsidR="00322D71" w:rsidRPr="00250F1A">
              <w:rPr>
                <w:rFonts w:ascii="Times New Roman" w:eastAsia="Times New Roman" w:hAnsi="Times New Roman" w:cs="Times New Roman"/>
                <w:sz w:val="28"/>
                <w:szCs w:val="28"/>
                <w:lang w:eastAsia="lv-LV"/>
              </w:rPr>
              <w:t>§</w:t>
            </w:r>
            <w:r w:rsidR="00322D71">
              <w:rPr>
                <w:rFonts w:ascii="Times New Roman" w:eastAsia="Times New Roman" w:hAnsi="Times New Roman" w:cs="Times New Roman"/>
                <w:sz w:val="28"/>
                <w:szCs w:val="28"/>
                <w:lang w:eastAsia="lv-LV"/>
              </w:rPr>
              <w:t>),</w:t>
            </w:r>
            <w:r w:rsidR="00250F1A">
              <w:rPr>
                <w:rFonts w:ascii="Times New Roman" w:eastAsia="Times New Roman" w:hAnsi="Times New Roman" w:cs="Times New Roman"/>
                <w:sz w:val="28"/>
                <w:szCs w:val="28"/>
                <w:lang w:eastAsia="lv-LV"/>
              </w:rPr>
              <w:t xml:space="preserve"> saskaņā ar Ministru kabineta 2017. gada 20. februāra sēdes protokollēmumu </w:t>
            </w:r>
            <w:r w:rsidR="00250F1A" w:rsidRPr="00643C4B">
              <w:rPr>
                <w:rFonts w:ascii="Times New Roman" w:eastAsia="Times New Roman" w:hAnsi="Times New Roman" w:cs="Times New Roman"/>
                <w:sz w:val="28"/>
                <w:szCs w:val="28"/>
                <w:lang w:eastAsia="lv-LV"/>
              </w:rPr>
              <w:t>„</w:t>
            </w:r>
            <w:r w:rsidR="00250F1A" w:rsidRPr="00250F1A">
              <w:rPr>
                <w:rFonts w:ascii="Times New Roman" w:eastAsia="Times New Roman" w:hAnsi="Times New Roman" w:cs="Times New Roman"/>
                <w:sz w:val="28"/>
                <w:szCs w:val="28"/>
                <w:lang w:eastAsia="lv-LV"/>
              </w:rPr>
              <w:t>Par Ministru kabineta 2016.gada 8.novembra sēdes protokollēmuma (prot. Nr.60 60.§) "Informatīvais ziņojums "Par papildu finansējuma piešķiršanu praktiskās pētniecības projektu atbalstam"" 4.punktā dotā uzdevuma izpildi</w:t>
            </w:r>
            <w:r w:rsidR="00250F1A">
              <w:rPr>
                <w:rFonts w:ascii="Times New Roman" w:eastAsia="Times New Roman" w:hAnsi="Times New Roman" w:cs="Times New Roman"/>
                <w:sz w:val="28"/>
                <w:szCs w:val="28"/>
                <w:lang w:eastAsia="lv-LV"/>
              </w:rPr>
              <w:t>” (protokols Nr. 9; 12</w:t>
            </w:r>
            <w:r w:rsidR="00250F1A" w:rsidRPr="00250F1A">
              <w:rPr>
                <w:rFonts w:ascii="Times New Roman" w:eastAsia="Times New Roman" w:hAnsi="Times New Roman" w:cs="Times New Roman"/>
                <w:sz w:val="28"/>
                <w:szCs w:val="28"/>
                <w:lang w:eastAsia="lv-LV"/>
              </w:rPr>
              <w:t>§</w:t>
            </w:r>
            <w:r w:rsidR="00250F1A">
              <w:rPr>
                <w:rFonts w:ascii="Times New Roman" w:eastAsia="Times New Roman" w:hAnsi="Times New Roman" w:cs="Times New Roman"/>
                <w:sz w:val="28"/>
                <w:szCs w:val="28"/>
                <w:lang w:eastAsia="lv-LV"/>
              </w:rPr>
              <w:t xml:space="preserve">) iesniedzams Ministru kabinetā izskatīšanai līdz 2017. gada 31. augustam.  </w:t>
            </w:r>
          </w:p>
          <w:p w14:paraId="654A39DB" w14:textId="126974F4" w:rsidR="00167B20" w:rsidRPr="002340C5" w:rsidRDefault="00B45DD9" w:rsidP="00310568">
            <w:pPr>
              <w:tabs>
                <w:tab w:val="left" w:pos="4305"/>
              </w:tabs>
              <w:spacing w:before="120" w:after="0" w:line="252" w:lineRule="auto"/>
              <w:ind w:left="102"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ņ</w:t>
            </w:r>
            <w:r w:rsidR="00167B20">
              <w:rPr>
                <w:rFonts w:ascii="Times New Roman" w:eastAsia="Times New Roman" w:hAnsi="Times New Roman" w:cs="Times New Roman"/>
                <w:sz w:val="28"/>
                <w:szCs w:val="28"/>
                <w:lang w:eastAsia="lv-LV"/>
              </w:rPr>
              <w:t>emot vērā, ka pašreiz ir noslēgusies 1.1.1.1. pasākuma pirmā projektu iesniegumu atlases kārta, tai skaitā norisinās sadarbības iestādes pieņemto lēmumu</w:t>
            </w:r>
            <w:r>
              <w:rPr>
                <w:rFonts w:ascii="Times New Roman" w:eastAsia="Times New Roman" w:hAnsi="Times New Roman" w:cs="Times New Roman"/>
                <w:sz w:val="28"/>
                <w:szCs w:val="28"/>
                <w:lang w:eastAsia="lv-LV"/>
              </w:rPr>
              <w:t xml:space="preserve"> par projektu iesniegumu </w:t>
            </w:r>
            <w:r w:rsidR="00310568">
              <w:rPr>
                <w:rFonts w:ascii="Times New Roman" w:eastAsia="Times New Roman" w:hAnsi="Times New Roman" w:cs="Times New Roman"/>
                <w:sz w:val="28"/>
                <w:szCs w:val="28"/>
                <w:lang w:eastAsia="lv-LV"/>
              </w:rPr>
              <w:t>noraidīšanu</w:t>
            </w:r>
            <w:r w:rsidR="00167B20">
              <w:rPr>
                <w:rFonts w:ascii="Times New Roman" w:eastAsia="Times New Roman" w:hAnsi="Times New Roman" w:cs="Times New Roman"/>
                <w:sz w:val="28"/>
                <w:szCs w:val="28"/>
                <w:lang w:eastAsia="lv-LV"/>
              </w:rPr>
              <w:t xml:space="preserve"> pārsūdzību izskatīšana</w:t>
            </w:r>
            <w:r>
              <w:rPr>
                <w:rFonts w:ascii="Times New Roman" w:eastAsia="Times New Roman" w:hAnsi="Times New Roman" w:cs="Times New Roman"/>
                <w:sz w:val="28"/>
                <w:szCs w:val="28"/>
                <w:lang w:eastAsia="lv-LV"/>
              </w:rPr>
              <w:t xml:space="preserve">, gadījumos, ja pārsūdzību ietvaros rodas situācija, kurā sadarbības iestāde pieņem pārsūdzības iesniedzējam labvēlīgu lēmumu, situācija par projekta iesnieguma īstenošanai nepieciešamo finansējumu risināma 1.1.1.1. pasākuma esošā finansējuma ietvaros.  </w:t>
            </w:r>
          </w:p>
        </w:tc>
      </w:tr>
      <w:tr w:rsidR="00643C4B" w:rsidRPr="00643C4B" w14:paraId="419C51F6" w14:textId="77777777" w:rsidTr="00202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5C849D" w14:textId="125906F9" w:rsidR="004A7CF5" w:rsidRPr="00643C4B" w:rsidRDefault="004A7CF5" w:rsidP="00202ED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E584656" w14:textId="77777777" w:rsidR="004A7CF5" w:rsidRPr="00643C4B" w:rsidRDefault="004A7CF5" w:rsidP="00202ED3">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B8F4022" w14:textId="77777777" w:rsidR="004A7CF5" w:rsidRPr="00643C4B" w:rsidRDefault="004A7CF5" w:rsidP="00553CF3">
            <w:pPr>
              <w:spacing w:after="0" w:line="240" w:lineRule="auto"/>
              <w:ind w:left="104"/>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Izglītības un zinātnes ministrija.</w:t>
            </w:r>
          </w:p>
        </w:tc>
      </w:tr>
      <w:tr w:rsidR="004A7CF5" w:rsidRPr="00643C4B" w14:paraId="7D5C045B" w14:textId="77777777" w:rsidTr="00202ED3">
        <w:tc>
          <w:tcPr>
            <w:tcW w:w="250" w:type="pct"/>
            <w:tcBorders>
              <w:top w:val="outset" w:sz="6" w:space="0" w:color="414142"/>
              <w:left w:val="outset" w:sz="6" w:space="0" w:color="414142"/>
              <w:bottom w:val="outset" w:sz="6" w:space="0" w:color="414142"/>
              <w:right w:val="outset" w:sz="6" w:space="0" w:color="414142"/>
            </w:tcBorders>
            <w:hideMark/>
          </w:tcPr>
          <w:p w14:paraId="25011CB7" w14:textId="77777777" w:rsidR="004A7CF5" w:rsidRPr="00643C4B" w:rsidRDefault="004A7CF5" w:rsidP="00202ED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6B763DC" w14:textId="77777777" w:rsidR="004A7CF5" w:rsidRPr="00643C4B" w:rsidRDefault="004A7CF5" w:rsidP="00202ED3">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47EBE6C" w14:textId="77777777" w:rsidR="004A7CF5" w:rsidRPr="00643C4B" w:rsidRDefault="004A7CF5" w:rsidP="00553CF3">
            <w:pPr>
              <w:spacing w:before="100" w:beforeAutospacing="1" w:after="100" w:afterAutospacing="1" w:line="293" w:lineRule="atLeast"/>
              <w:ind w:left="104"/>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Nav.</w:t>
            </w:r>
          </w:p>
        </w:tc>
      </w:tr>
    </w:tbl>
    <w:p w14:paraId="4E201011" w14:textId="633AB84A" w:rsidR="004A7CF5" w:rsidRDefault="004A7CF5" w:rsidP="00553CF3">
      <w:pPr>
        <w:shd w:val="clear" w:color="auto" w:fill="FFFFFF"/>
        <w:spacing w:after="0" w:line="120" w:lineRule="auto"/>
        <w:rPr>
          <w:rFonts w:ascii="Times New Roman" w:eastAsia="Times New Roman" w:hAnsi="Times New Roman" w:cs="Times New Roman"/>
          <w:sz w:val="28"/>
          <w:szCs w:val="28"/>
          <w:lang w:eastAsia="lv-LV"/>
        </w:rPr>
      </w:pPr>
    </w:p>
    <w:p w14:paraId="3EDB3F3B" w14:textId="77777777" w:rsidR="00865401" w:rsidRDefault="00865401" w:rsidP="00553CF3">
      <w:pPr>
        <w:shd w:val="clear" w:color="auto" w:fill="FFFFFF"/>
        <w:spacing w:after="0" w:line="120" w:lineRule="auto"/>
        <w:rPr>
          <w:rFonts w:ascii="Times New Roman" w:eastAsia="Times New Roman" w:hAnsi="Times New Roman" w:cs="Times New Roman"/>
          <w:sz w:val="28"/>
          <w:szCs w:val="28"/>
          <w:lang w:eastAsia="lv-LV"/>
        </w:rPr>
      </w:pPr>
    </w:p>
    <w:p w14:paraId="7C158403" w14:textId="77777777" w:rsidR="00865401" w:rsidRPr="00643C4B" w:rsidRDefault="00865401" w:rsidP="00553CF3">
      <w:pPr>
        <w:shd w:val="clear" w:color="auto" w:fill="FFFFFF"/>
        <w:spacing w:after="0" w:line="12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43C4B" w:rsidRPr="00643C4B" w14:paraId="2DCB71D9" w14:textId="77777777" w:rsidTr="004A7CF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154381"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643C4B" w:rsidRPr="00643C4B" w14:paraId="7A48F1DD" w14:textId="77777777" w:rsidTr="004A7CF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0DB5E55"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ABECE2E" w14:textId="77777777" w:rsidR="004A7CF5" w:rsidRPr="00160013" w:rsidRDefault="004A7CF5" w:rsidP="004A7CF5">
            <w:pPr>
              <w:spacing w:after="0" w:line="240" w:lineRule="auto"/>
              <w:rPr>
                <w:rFonts w:ascii="Times New Roman" w:eastAsia="Times New Roman" w:hAnsi="Times New Roman" w:cs="Times New Roman"/>
                <w:sz w:val="28"/>
                <w:szCs w:val="28"/>
                <w:lang w:eastAsia="lv-LV"/>
              </w:rPr>
            </w:pPr>
            <w:r w:rsidRPr="00160013">
              <w:rPr>
                <w:rFonts w:ascii="Times New Roman" w:eastAsia="Times New Roman" w:hAnsi="Times New Roman" w:cs="Times New Roman"/>
                <w:sz w:val="28"/>
                <w:szCs w:val="28"/>
                <w:lang w:eastAsia="lv-LV"/>
              </w:rPr>
              <w:t xml:space="preserve">Sabiedrības </w:t>
            </w:r>
            <w:proofErr w:type="spellStart"/>
            <w:r w:rsidRPr="00160013">
              <w:rPr>
                <w:rFonts w:ascii="Times New Roman" w:eastAsia="Times New Roman" w:hAnsi="Times New Roman" w:cs="Times New Roman"/>
                <w:sz w:val="28"/>
                <w:szCs w:val="28"/>
                <w:lang w:eastAsia="lv-LV"/>
              </w:rPr>
              <w:t>mērķgrupas</w:t>
            </w:r>
            <w:proofErr w:type="spellEnd"/>
            <w:r w:rsidRPr="00160013">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4F87261" w14:textId="60F56DB1" w:rsidR="004A7CF5" w:rsidRPr="00160013" w:rsidRDefault="004432C5" w:rsidP="00553CF3">
            <w:pPr>
              <w:spacing w:after="0" w:line="252" w:lineRule="auto"/>
              <w:ind w:left="104" w:right="244"/>
              <w:jc w:val="both"/>
              <w:rPr>
                <w:rFonts w:ascii="Times New Roman" w:hAnsi="Times New Roman" w:cs="Times New Roman"/>
                <w:sz w:val="28"/>
                <w:szCs w:val="28"/>
              </w:rPr>
            </w:pPr>
            <w:r w:rsidRPr="00160013">
              <w:rPr>
                <w:rFonts w:ascii="Times New Roman" w:hAnsi="Times New Roman" w:cs="Times New Roman"/>
                <w:sz w:val="28"/>
                <w:szCs w:val="28"/>
              </w:rPr>
              <w:t>1.1.1.1</w:t>
            </w:r>
            <w:r w:rsidR="004A7CF5" w:rsidRPr="00160013">
              <w:rPr>
                <w:rFonts w:ascii="Times New Roman" w:hAnsi="Times New Roman" w:cs="Times New Roman"/>
                <w:sz w:val="28"/>
                <w:szCs w:val="28"/>
              </w:rPr>
              <w:t xml:space="preserve">. pasākuma mērķa grupa ir </w:t>
            </w:r>
            <w:r w:rsidR="00452D2E">
              <w:rPr>
                <w:rFonts w:ascii="Times New Roman" w:hAnsi="Times New Roman" w:cs="Times New Roman"/>
                <w:sz w:val="28"/>
                <w:szCs w:val="28"/>
              </w:rPr>
              <w:t xml:space="preserve">zinātniskās institūcijas, </w:t>
            </w:r>
            <w:r w:rsidR="00452D2E" w:rsidRPr="00452D2E">
              <w:rPr>
                <w:rFonts w:ascii="Times New Roman" w:hAnsi="Times New Roman" w:cs="Times New Roman"/>
                <w:sz w:val="28"/>
                <w:szCs w:val="28"/>
              </w:rPr>
              <w:t>Latvijas Republikas Komer</w:t>
            </w:r>
            <w:r w:rsidR="00452D2E">
              <w:rPr>
                <w:rFonts w:ascii="Times New Roman" w:hAnsi="Times New Roman" w:cs="Times New Roman"/>
                <w:sz w:val="28"/>
                <w:szCs w:val="28"/>
              </w:rPr>
              <w:t xml:space="preserve">creģistrā reģistrēti komersanti, </w:t>
            </w:r>
            <w:r w:rsidR="00452D2E" w:rsidRPr="00452D2E">
              <w:rPr>
                <w:rFonts w:ascii="Times New Roman" w:hAnsi="Times New Roman" w:cs="Times New Roman"/>
                <w:sz w:val="28"/>
                <w:szCs w:val="28"/>
              </w:rPr>
              <w:t>zinātnē un pētniecībā nodarbinātie darbin</w:t>
            </w:r>
            <w:r w:rsidR="00452D2E">
              <w:rPr>
                <w:rFonts w:ascii="Times New Roman" w:hAnsi="Times New Roman" w:cs="Times New Roman"/>
                <w:sz w:val="28"/>
                <w:szCs w:val="28"/>
              </w:rPr>
              <w:t>ieki, maģistranti un doktoranti</w:t>
            </w:r>
            <w:r w:rsidR="004A7CF5" w:rsidRPr="00160013">
              <w:rPr>
                <w:rFonts w:ascii="Times New Roman" w:hAnsi="Times New Roman" w:cs="Times New Roman"/>
                <w:sz w:val="28"/>
                <w:szCs w:val="28"/>
              </w:rPr>
              <w:t xml:space="preserve">. </w:t>
            </w:r>
          </w:p>
        </w:tc>
      </w:tr>
      <w:tr w:rsidR="00643C4B" w:rsidRPr="00643C4B" w14:paraId="7822E4A5" w14:textId="77777777" w:rsidTr="004A7CF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B73AA96"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F642DB5"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13A6434" w14:textId="77777777" w:rsidR="004A7CF5" w:rsidRPr="00643C4B" w:rsidRDefault="004A7CF5" w:rsidP="00553CF3">
            <w:pPr>
              <w:spacing w:after="0" w:line="252" w:lineRule="auto"/>
              <w:ind w:left="104" w:right="244"/>
              <w:jc w:val="both"/>
              <w:rPr>
                <w:rFonts w:ascii="Times New Roman" w:hAnsi="Times New Roman" w:cs="Times New Roman"/>
                <w:sz w:val="28"/>
                <w:szCs w:val="28"/>
              </w:rPr>
            </w:pPr>
            <w:r w:rsidRPr="00643C4B">
              <w:rPr>
                <w:rFonts w:ascii="Times New Roman" w:hAnsi="Times New Roman" w:cs="Times New Roman"/>
                <w:sz w:val="28"/>
                <w:szCs w:val="28"/>
              </w:rPr>
              <w:t>Sabiedrības grupām un institūcijām noteikumu projekta tiesiskais regulējums nemaina tiesības un pienākumus, kā arī veicamās darbības.</w:t>
            </w:r>
          </w:p>
        </w:tc>
      </w:tr>
      <w:tr w:rsidR="00643C4B" w:rsidRPr="00643C4B" w14:paraId="3002D921" w14:textId="77777777" w:rsidTr="004A7CF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DAA9243"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3BA0C26"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370F8BA" w14:textId="77777777" w:rsidR="004A7CF5" w:rsidRPr="00643C4B" w:rsidRDefault="004A7CF5" w:rsidP="00553CF3">
            <w:pPr>
              <w:pStyle w:val="Heading3"/>
              <w:spacing w:before="0" w:beforeAutospacing="0" w:after="0" w:afterAutospacing="0" w:line="252" w:lineRule="auto"/>
              <w:ind w:left="104" w:right="244"/>
              <w:jc w:val="both"/>
              <w:rPr>
                <w:b w:val="0"/>
                <w:sz w:val="28"/>
                <w:szCs w:val="28"/>
              </w:rPr>
            </w:pPr>
            <w:r w:rsidRPr="00643C4B">
              <w:rPr>
                <w:b w:val="0"/>
                <w:sz w:val="28"/>
                <w:szCs w:val="28"/>
              </w:rPr>
              <w:t>Noteikumu projektā ietvertajam regulējumam nav ietekmes uz administratīvajām izmaksām.</w:t>
            </w:r>
            <w:r w:rsidRPr="00643C4B">
              <w:rPr>
                <w:sz w:val="28"/>
                <w:szCs w:val="28"/>
              </w:rPr>
              <w:t xml:space="preserve"> </w:t>
            </w:r>
          </w:p>
        </w:tc>
      </w:tr>
      <w:tr w:rsidR="00643C4B" w:rsidRPr="00643C4B" w14:paraId="59392B6D" w14:textId="77777777" w:rsidTr="004A7CF5">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8508D7E"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51180E"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3149F89" w14:textId="77777777" w:rsidR="004A7CF5" w:rsidRPr="00643C4B" w:rsidRDefault="004A7CF5" w:rsidP="00553CF3">
            <w:pPr>
              <w:spacing w:after="0" w:line="252" w:lineRule="auto"/>
              <w:ind w:left="104" w:right="244"/>
              <w:rPr>
                <w:rFonts w:ascii="Times New Roman" w:hAnsi="Times New Roman" w:cs="Times New Roman"/>
                <w:sz w:val="28"/>
                <w:szCs w:val="28"/>
              </w:rPr>
            </w:pPr>
            <w:r w:rsidRPr="00643C4B">
              <w:rPr>
                <w:rFonts w:ascii="Times New Roman" w:hAnsi="Times New Roman" w:cs="Times New Roman"/>
                <w:sz w:val="28"/>
                <w:szCs w:val="28"/>
              </w:rPr>
              <w:t>Nav.</w:t>
            </w:r>
          </w:p>
        </w:tc>
      </w:tr>
    </w:tbl>
    <w:p w14:paraId="35C7E3A3" w14:textId="77777777" w:rsidR="00865401" w:rsidRPr="00865401" w:rsidRDefault="00865401" w:rsidP="00553CF3">
      <w:pPr>
        <w:shd w:val="clear" w:color="auto" w:fill="FFFFFF"/>
        <w:spacing w:after="0" w:line="120" w:lineRule="auto"/>
        <w:rPr>
          <w:rFonts w:ascii="Times New Roman" w:eastAsia="Times New Roman" w:hAnsi="Times New Roman" w:cs="Times New Roman"/>
          <w:sz w:val="28"/>
          <w:szCs w:val="28"/>
          <w:lang w:eastAsia="lv-LV"/>
        </w:rPr>
      </w:pPr>
    </w:p>
    <w:tbl>
      <w:tblPr>
        <w:tblW w:w="5002"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1381"/>
        <w:gridCol w:w="1136"/>
        <w:gridCol w:w="924"/>
        <w:gridCol w:w="495"/>
        <w:gridCol w:w="1558"/>
        <w:gridCol w:w="1558"/>
        <w:gridCol w:w="1551"/>
      </w:tblGrid>
      <w:tr w:rsidR="004432C5" w:rsidRPr="00303A4F" w14:paraId="04C9B7D2" w14:textId="77777777" w:rsidTr="007F6D27">
        <w:trPr>
          <w:trHeight w:val="498"/>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A406E06" w14:textId="77777777" w:rsidR="004432C5" w:rsidRPr="004432C5" w:rsidRDefault="004432C5" w:rsidP="004432C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432C5">
              <w:rPr>
                <w:rFonts w:ascii="Times New Roman" w:eastAsia="Times New Roman" w:hAnsi="Times New Roman" w:cs="Times New Roman"/>
                <w:b/>
                <w:bCs/>
                <w:sz w:val="28"/>
                <w:szCs w:val="28"/>
                <w:lang w:eastAsia="lv-LV"/>
              </w:rPr>
              <w:br w:type="page"/>
              <w:t>III. Tiesību akta projekta ietekme uz valsts budžetu un pašvaldību budžetiem</w:t>
            </w:r>
          </w:p>
        </w:tc>
      </w:tr>
      <w:tr w:rsidR="004432C5" w:rsidRPr="00303A4F" w14:paraId="569FDCF8"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Merge w:val="restart"/>
            <w:vAlign w:val="center"/>
          </w:tcPr>
          <w:p w14:paraId="499DAC62" w14:textId="77777777" w:rsidR="004432C5" w:rsidRPr="004432C5" w:rsidRDefault="004432C5" w:rsidP="00E31A93">
            <w:pPr>
              <w:pStyle w:val="naisf"/>
              <w:spacing w:before="0" w:after="0"/>
              <w:jc w:val="center"/>
              <w:rPr>
                <w:b/>
                <w:sz w:val="28"/>
              </w:rPr>
            </w:pPr>
            <w:r w:rsidRPr="004432C5">
              <w:rPr>
                <w:b/>
                <w:sz w:val="28"/>
              </w:rPr>
              <w:t>Rādītāji</w:t>
            </w:r>
          </w:p>
          <w:p w14:paraId="40EB152D" w14:textId="77777777" w:rsidR="004432C5" w:rsidRPr="004432C5" w:rsidRDefault="004432C5" w:rsidP="00E31A93">
            <w:pPr>
              <w:rPr>
                <w:rFonts w:ascii="Times New Roman" w:hAnsi="Times New Roman" w:cs="Times New Roman"/>
                <w:sz w:val="28"/>
                <w:szCs w:val="20"/>
              </w:rPr>
            </w:pPr>
          </w:p>
          <w:p w14:paraId="15983691" w14:textId="77777777" w:rsidR="004432C5" w:rsidRPr="004432C5" w:rsidRDefault="004432C5" w:rsidP="00E31A93">
            <w:pPr>
              <w:rPr>
                <w:rFonts w:ascii="Times New Roman" w:hAnsi="Times New Roman" w:cs="Times New Roman"/>
                <w:sz w:val="28"/>
                <w:szCs w:val="20"/>
              </w:rPr>
            </w:pPr>
          </w:p>
          <w:p w14:paraId="0B721CA4" w14:textId="77777777" w:rsidR="004432C5" w:rsidRPr="004432C5" w:rsidRDefault="004432C5" w:rsidP="00E31A93">
            <w:pPr>
              <w:rPr>
                <w:rFonts w:ascii="Times New Roman" w:hAnsi="Times New Roman" w:cs="Times New Roman"/>
                <w:sz w:val="28"/>
                <w:szCs w:val="20"/>
              </w:rPr>
            </w:pPr>
          </w:p>
        </w:tc>
        <w:tc>
          <w:tcPr>
            <w:tcW w:w="1410" w:type="pct"/>
            <w:gridSpan w:val="3"/>
            <w:vMerge w:val="restart"/>
            <w:vAlign w:val="center"/>
          </w:tcPr>
          <w:p w14:paraId="33C16964" w14:textId="77777777" w:rsidR="004432C5" w:rsidRPr="004432C5" w:rsidRDefault="004432C5" w:rsidP="004432C5">
            <w:pPr>
              <w:pStyle w:val="naisf"/>
              <w:spacing w:before="0" w:after="0"/>
              <w:jc w:val="center"/>
              <w:rPr>
                <w:b/>
                <w:sz w:val="28"/>
              </w:rPr>
            </w:pPr>
            <w:r w:rsidRPr="004432C5">
              <w:rPr>
                <w:b/>
                <w:sz w:val="28"/>
              </w:rPr>
              <w:t>2017.gads</w:t>
            </w:r>
          </w:p>
        </w:tc>
        <w:tc>
          <w:tcPr>
            <w:tcW w:w="2576" w:type="pct"/>
            <w:gridSpan w:val="3"/>
            <w:vAlign w:val="center"/>
          </w:tcPr>
          <w:p w14:paraId="1DF4E271" w14:textId="77777777" w:rsidR="004432C5" w:rsidRPr="004432C5" w:rsidRDefault="004432C5" w:rsidP="00E31A93">
            <w:pPr>
              <w:pStyle w:val="naisf"/>
              <w:spacing w:before="0" w:after="0"/>
              <w:jc w:val="center"/>
              <w:rPr>
                <w:b/>
                <w:i/>
                <w:sz w:val="28"/>
              </w:rPr>
            </w:pPr>
            <w:r w:rsidRPr="004432C5">
              <w:rPr>
                <w:sz w:val="28"/>
              </w:rPr>
              <w:t>Turpmākie trīs gadi (</w:t>
            </w:r>
            <w:r w:rsidRPr="004432C5">
              <w:rPr>
                <w:i/>
                <w:sz w:val="28"/>
              </w:rPr>
              <w:t>euro</w:t>
            </w:r>
            <w:r w:rsidRPr="004432C5">
              <w:rPr>
                <w:sz w:val="28"/>
              </w:rPr>
              <w:t>)</w:t>
            </w:r>
          </w:p>
        </w:tc>
      </w:tr>
      <w:tr w:rsidR="004432C5" w:rsidRPr="00303A4F" w14:paraId="1ED62450"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Merge/>
            <w:vAlign w:val="center"/>
          </w:tcPr>
          <w:p w14:paraId="4DED00B7" w14:textId="77777777" w:rsidR="004432C5" w:rsidRPr="004432C5" w:rsidRDefault="004432C5" w:rsidP="00E31A93">
            <w:pPr>
              <w:pStyle w:val="naisf"/>
              <w:spacing w:before="0" w:after="0"/>
              <w:jc w:val="center"/>
              <w:rPr>
                <w:b/>
                <w:i/>
                <w:sz w:val="28"/>
              </w:rPr>
            </w:pPr>
          </w:p>
        </w:tc>
        <w:tc>
          <w:tcPr>
            <w:tcW w:w="1410" w:type="pct"/>
            <w:gridSpan w:val="3"/>
            <w:vMerge/>
            <w:vAlign w:val="center"/>
          </w:tcPr>
          <w:p w14:paraId="18415888" w14:textId="77777777" w:rsidR="004432C5" w:rsidRPr="004432C5" w:rsidRDefault="004432C5" w:rsidP="00E31A93">
            <w:pPr>
              <w:pStyle w:val="naisf"/>
              <w:spacing w:before="0" w:after="0"/>
              <w:jc w:val="center"/>
              <w:rPr>
                <w:b/>
                <w:i/>
                <w:sz w:val="28"/>
              </w:rPr>
            </w:pPr>
          </w:p>
        </w:tc>
        <w:tc>
          <w:tcPr>
            <w:tcW w:w="860" w:type="pct"/>
            <w:vAlign w:val="center"/>
          </w:tcPr>
          <w:p w14:paraId="1DEE0A0A" w14:textId="77777777" w:rsidR="004432C5" w:rsidRPr="004432C5" w:rsidRDefault="004432C5" w:rsidP="004432C5">
            <w:pPr>
              <w:pStyle w:val="naisf"/>
              <w:spacing w:before="0" w:after="0"/>
              <w:ind w:hanging="5"/>
              <w:jc w:val="center"/>
              <w:rPr>
                <w:b/>
                <w:i/>
                <w:sz w:val="28"/>
              </w:rPr>
            </w:pPr>
            <w:r w:rsidRPr="004432C5">
              <w:rPr>
                <w:b/>
                <w:bCs/>
                <w:sz w:val="28"/>
              </w:rPr>
              <w:t>2018.</w:t>
            </w:r>
          </w:p>
        </w:tc>
        <w:tc>
          <w:tcPr>
            <w:tcW w:w="860" w:type="pct"/>
            <w:vAlign w:val="center"/>
          </w:tcPr>
          <w:p w14:paraId="5003D0B0" w14:textId="77777777" w:rsidR="004432C5" w:rsidRPr="004432C5" w:rsidRDefault="004432C5" w:rsidP="004432C5">
            <w:pPr>
              <w:pStyle w:val="naisf"/>
              <w:spacing w:before="0" w:after="0"/>
              <w:ind w:hanging="5"/>
              <w:jc w:val="center"/>
              <w:rPr>
                <w:b/>
                <w:i/>
                <w:sz w:val="28"/>
              </w:rPr>
            </w:pPr>
            <w:r w:rsidRPr="004432C5">
              <w:rPr>
                <w:b/>
                <w:bCs/>
                <w:sz w:val="28"/>
              </w:rPr>
              <w:t>2019.</w:t>
            </w:r>
          </w:p>
        </w:tc>
        <w:tc>
          <w:tcPr>
            <w:tcW w:w="856" w:type="pct"/>
            <w:vAlign w:val="center"/>
          </w:tcPr>
          <w:p w14:paraId="3D69CC79" w14:textId="77777777" w:rsidR="004432C5" w:rsidRPr="004432C5" w:rsidRDefault="004432C5" w:rsidP="004432C5">
            <w:pPr>
              <w:pStyle w:val="naisf"/>
              <w:spacing w:before="0" w:after="0"/>
              <w:ind w:hanging="5"/>
              <w:jc w:val="center"/>
              <w:rPr>
                <w:b/>
                <w:i/>
                <w:sz w:val="28"/>
              </w:rPr>
            </w:pPr>
            <w:r w:rsidRPr="004432C5">
              <w:rPr>
                <w:b/>
                <w:bCs/>
                <w:sz w:val="28"/>
              </w:rPr>
              <w:t>2020.</w:t>
            </w:r>
          </w:p>
        </w:tc>
      </w:tr>
      <w:tr w:rsidR="004432C5" w:rsidRPr="00303A4F" w14:paraId="7C11E34C"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Merge/>
            <w:vAlign w:val="center"/>
          </w:tcPr>
          <w:p w14:paraId="183BC930" w14:textId="77777777" w:rsidR="004432C5" w:rsidRPr="004432C5" w:rsidRDefault="004432C5" w:rsidP="00E31A93">
            <w:pPr>
              <w:pStyle w:val="naisf"/>
              <w:spacing w:before="0" w:after="0"/>
              <w:jc w:val="center"/>
              <w:rPr>
                <w:b/>
                <w:i/>
                <w:sz w:val="28"/>
              </w:rPr>
            </w:pPr>
          </w:p>
        </w:tc>
        <w:tc>
          <w:tcPr>
            <w:tcW w:w="627" w:type="pct"/>
            <w:vAlign w:val="center"/>
          </w:tcPr>
          <w:p w14:paraId="48A1EBC9" w14:textId="77777777" w:rsidR="004432C5" w:rsidRPr="00553CF3" w:rsidRDefault="004432C5" w:rsidP="00E31A93">
            <w:pPr>
              <w:pStyle w:val="naisf"/>
              <w:spacing w:before="0" w:after="0"/>
              <w:rPr>
                <w:b/>
                <w:i/>
                <w:sz w:val="27"/>
                <w:szCs w:val="27"/>
              </w:rPr>
            </w:pPr>
            <w:r w:rsidRPr="00553CF3">
              <w:rPr>
                <w:sz w:val="27"/>
                <w:szCs w:val="27"/>
              </w:rPr>
              <w:t>saskaņā ar valsts budžetu kārtējam gadam</w:t>
            </w:r>
          </w:p>
        </w:tc>
        <w:tc>
          <w:tcPr>
            <w:tcW w:w="783" w:type="pct"/>
            <w:gridSpan w:val="2"/>
            <w:vAlign w:val="center"/>
          </w:tcPr>
          <w:p w14:paraId="06DF6473" w14:textId="77777777" w:rsidR="004432C5" w:rsidRPr="00553CF3" w:rsidRDefault="004432C5" w:rsidP="00E31A93">
            <w:pPr>
              <w:pStyle w:val="naisf"/>
              <w:spacing w:before="0" w:after="0"/>
              <w:rPr>
                <w:b/>
                <w:i/>
                <w:sz w:val="27"/>
                <w:szCs w:val="27"/>
              </w:rPr>
            </w:pPr>
            <w:r w:rsidRPr="00553CF3">
              <w:rPr>
                <w:sz w:val="27"/>
                <w:szCs w:val="27"/>
              </w:rPr>
              <w:t>izmaiņas kārtējā gadā, salīdzinot ar valsts budžetu kārtējam gadam</w:t>
            </w:r>
          </w:p>
        </w:tc>
        <w:tc>
          <w:tcPr>
            <w:tcW w:w="860" w:type="pct"/>
            <w:vAlign w:val="center"/>
          </w:tcPr>
          <w:p w14:paraId="431D4EDE" w14:textId="77777777" w:rsidR="004432C5" w:rsidRPr="00553CF3" w:rsidRDefault="004432C5" w:rsidP="00E31A93">
            <w:pPr>
              <w:pStyle w:val="naisf"/>
              <w:spacing w:before="0" w:after="0"/>
              <w:rPr>
                <w:b/>
                <w:i/>
                <w:sz w:val="27"/>
                <w:szCs w:val="27"/>
              </w:rPr>
            </w:pPr>
            <w:r w:rsidRPr="00553CF3">
              <w:rPr>
                <w:sz w:val="27"/>
                <w:szCs w:val="27"/>
              </w:rPr>
              <w:t>izmaiņas, salīdzinot ar kārtējo (n) gadu</w:t>
            </w:r>
          </w:p>
        </w:tc>
        <w:tc>
          <w:tcPr>
            <w:tcW w:w="860" w:type="pct"/>
            <w:vAlign w:val="center"/>
          </w:tcPr>
          <w:p w14:paraId="5667723D" w14:textId="77777777" w:rsidR="004432C5" w:rsidRPr="00553CF3" w:rsidRDefault="004432C5" w:rsidP="00E31A93">
            <w:pPr>
              <w:pStyle w:val="naisf"/>
              <w:spacing w:before="0" w:after="0"/>
              <w:rPr>
                <w:b/>
                <w:i/>
                <w:sz w:val="27"/>
                <w:szCs w:val="27"/>
              </w:rPr>
            </w:pPr>
            <w:r w:rsidRPr="00553CF3">
              <w:rPr>
                <w:sz w:val="27"/>
                <w:szCs w:val="27"/>
              </w:rPr>
              <w:t>izmaiņas, salīdzinot ar kārtējo (n) gadu</w:t>
            </w:r>
          </w:p>
        </w:tc>
        <w:tc>
          <w:tcPr>
            <w:tcW w:w="856" w:type="pct"/>
            <w:vAlign w:val="center"/>
          </w:tcPr>
          <w:p w14:paraId="599674F6" w14:textId="77777777" w:rsidR="004432C5" w:rsidRPr="00553CF3" w:rsidRDefault="004432C5" w:rsidP="00E31A93">
            <w:pPr>
              <w:pStyle w:val="naisf"/>
              <w:spacing w:before="0" w:after="0"/>
              <w:rPr>
                <w:b/>
                <w:i/>
                <w:sz w:val="27"/>
                <w:szCs w:val="27"/>
              </w:rPr>
            </w:pPr>
            <w:r w:rsidRPr="00553CF3">
              <w:rPr>
                <w:sz w:val="27"/>
                <w:szCs w:val="27"/>
              </w:rPr>
              <w:t>izmaiņas, salīdzinot ar kārtējo (n) gadu</w:t>
            </w:r>
          </w:p>
        </w:tc>
      </w:tr>
      <w:tr w:rsidR="004432C5" w:rsidRPr="004432C5" w14:paraId="5CF5FD43"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5549C3F5" w14:textId="77777777" w:rsidR="004432C5" w:rsidRPr="004432C5" w:rsidRDefault="004432C5" w:rsidP="00E31A93">
            <w:pPr>
              <w:pStyle w:val="naisf"/>
              <w:spacing w:before="0" w:after="0"/>
              <w:jc w:val="center"/>
              <w:rPr>
                <w:bCs/>
                <w:sz w:val="28"/>
              </w:rPr>
            </w:pPr>
            <w:r w:rsidRPr="004432C5">
              <w:rPr>
                <w:bCs/>
                <w:sz w:val="28"/>
              </w:rPr>
              <w:t>1</w:t>
            </w:r>
          </w:p>
        </w:tc>
        <w:tc>
          <w:tcPr>
            <w:tcW w:w="627" w:type="pct"/>
            <w:vAlign w:val="center"/>
          </w:tcPr>
          <w:p w14:paraId="09EF76D5" w14:textId="77777777" w:rsidR="004432C5" w:rsidRPr="004432C5" w:rsidRDefault="004432C5" w:rsidP="00E31A93">
            <w:pPr>
              <w:pStyle w:val="naisf"/>
              <w:spacing w:before="0" w:after="0"/>
              <w:jc w:val="center"/>
              <w:rPr>
                <w:bCs/>
                <w:sz w:val="28"/>
              </w:rPr>
            </w:pPr>
            <w:r w:rsidRPr="004432C5">
              <w:rPr>
                <w:bCs/>
                <w:sz w:val="28"/>
              </w:rPr>
              <w:t>2</w:t>
            </w:r>
          </w:p>
        </w:tc>
        <w:tc>
          <w:tcPr>
            <w:tcW w:w="783" w:type="pct"/>
            <w:gridSpan w:val="2"/>
            <w:vAlign w:val="center"/>
          </w:tcPr>
          <w:p w14:paraId="42AE8147" w14:textId="77777777" w:rsidR="004432C5" w:rsidRPr="004432C5" w:rsidRDefault="004432C5" w:rsidP="00E31A93">
            <w:pPr>
              <w:pStyle w:val="naisf"/>
              <w:spacing w:before="0" w:after="0"/>
              <w:jc w:val="center"/>
              <w:rPr>
                <w:bCs/>
                <w:sz w:val="28"/>
              </w:rPr>
            </w:pPr>
            <w:r w:rsidRPr="004432C5">
              <w:rPr>
                <w:bCs/>
                <w:sz w:val="28"/>
              </w:rPr>
              <w:t>3</w:t>
            </w:r>
          </w:p>
        </w:tc>
        <w:tc>
          <w:tcPr>
            <w:tcW w:w="860" w:type="pct"/>
            <w:vAlign w:val="center"/>
          </w:tcPr>
          <w:p w14:paraId="3BA2479A" w14:textId="77777777" w:rsidR="004432C5" w:rsidRPr="004432C5" w:rsidRDefault="004432C5" w:rsidP="00E31A93">
            <w:pPr>
              <w:pStyle w:val="naisf"/>
              <w:spacing w:before="0" w:after="0"/>
              <w:jc w:val="center"/>
              <w:rPr>
                <w:bCs/>
                <w:sz w:val="28"/>
              </w:rPr>
            </w:pPr>
            <w:r w:rsidRPr="004432C5">
              <w:rPr>
                <w:bCs/>
                <w:sz w:val="28"/>
              </w:rPr>
              <w:t>4</w:t>
            </w:r>
          </w:p>
        </w:tc>
        <w:tc>
          <w:tcPr>
            <w:tcW w:w="860" w:type="pct"/>
            <w:vAlign w:val="center"/>
          </w:tcPr>
          <w:p w14:paraId="5BA1AB5F" w14:textId="77777777" w:rsidR="004432C5" w:rsidRPr="004432C5" w:rsidRDefault="004432C5" w:rsidP="00E31A93">
            <w:pPr>
              <w:pStyle w:val="naisf"/>
              <w:spacing w:before="0" w:after="0"/>
              <w:jc w:val="center"/>
              <w:rPr>
                <w:bCs/>
                <w:sz w:val="28"/>
              </w:rPr>
            </w:pPr>
            <w:r w:rsidRPr="004432C5">
              <w:rPr>
                <w:bCs/>
                <w:sz w:val="28"/>
              </w:rPr>
              <w:t>5</w:t>
            </w:r>
          </w:p>
        </w:tc>
        <w:tc>
          <w:tcPr>
            <w:tcW w:w="856" w:type="pct"/>
            <w:vAlign w:val="center"/>
          </w:tcPr>
          <w:p w14:paraId="64383FD7" w14:textId="77777777" w:rsidR="004432C5" w:rsidRPr="004432C5" w:rsidRDefault="004432C5" w:rsidP="00E31A93">
            <w:pPr>
              <w:pStyle w:val="naisf"/>
              <w:spacing w:before="0" w:after="0"/>
              <w:jc w:val="center"/>
              <w:rPr>
                <w:bCs/>
                <w:sz w:val="28"/>
              </w:rPr>
            </w:pPr>
            <w:r w:rsidRPr="004432C5">
              <w:rPr>
                <w:bCs/>
                <w:sz w:val="28"/>
              </w:rPr>
              <w:t>6</w:t>
            </w:r>
          </w:p>
        </w:tc>
      </w:tr>
      <w:tr w:rsidR="00D37BD8" w:rsidRPr="004432C5" w14:paraId="040CC182"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9"/>
          <w:jc w:val="center"/>
        </w:trPr>
        <w:tc>
          <w:tcPr>
            <w:tcW w:w="1014" w:type="pct"/>
            <w:gridSpan w:val="2"/>
            <w:vAlign w:val="center"/>
          </w:tcPr>
          <w:p w14:paraId="6401CB3B" w14:textId="77777777" w:rsidR="00D37BD8" w:rsidRPr="00553CF3" w:rsidRDefault="00D37BD8" w:rsidP="00553CF3">
            <w:pPr>
              <w:pStyle w:val="naisf"/>
              <w:spacing w:before="0" w:after="0"/>
              <w:rPr>
                <w:i/>
                <w:sz w:val="27"/>
                <w:szCs w:val="27"/>
              </w:rPr>
            </w:pPr>
            <w:r w:rsidRPr="00553CF3">
              <w:rPr>
                <w:sz w:val="27"/>
                <w:szCs w:val="27"/>
              </w:rPr>
              <w:t>1.Budžeta ieņēmumi:</w:t>
            </w:r>
          </w:p>
        </w:tc>
        <w:tc>
          <w:tcPr>
            <w:tcW w:w="627" w:type="pct"/>
            <w:vAlign w:val="center"/>
          </w:tcPr>
          <w:p w14:paraId="33DE72BF" w14:textId="77777777" w:rsidR="00D37BD8" w:rsidRPr="004432C5" w:rsidRDefault="00D37BD8" w:rsidP="00553CF3">
            <w:pPr>
              <w:pStyle w:val="naisf"/>
              <w:spacing w:before="0" w:after="0"/>
              <w:jc w:val="center"/>
              <w:rPr>
                <w:sz w:val="28"/>
              </w:rPr>
            </w:pPr>
            <w:r>
              <w:rPr>
                <w:sz w:val="28"/>
              </w:rPr>
              <w:t>0</w:t>
            </w:r>
          </w:p>
        </w:tc>
        <w:tc>
          <w:tcPr>
            <w:tcW w:w="783" w:type="pct"/>
            <w:gridSpan w:val="2"/>
            <w:vAlign w:val="center"/>
          </w:tcPr>
          <w:p w14:paraId="77E4DAD5" w14:textId="77777777" w:rsidR="00D37BD8" w:rsidRPr="004432C5" w:rsidRDefault="00D37BD8" w:rsidP="00553CF3">
            <w:pPr>
              <w:pStyle w:val="naisf"/>
              <w:spacing w:before="0" w:after="0"/>
              <w:jc w:val="center"/>
              <w:rPr>
                <w:sz w:val="28"/>
              </w:rPr>
            </w:pPr>
            <w:r>
              <w:rPr>
                <w:sz w:val="28"/>
              </w:rPr>
              <w:t>0</w:t>
            </w:r>
          </w:p>
        </w:tc>
        <w:tc>
          <w:tcPr>
            <w:tcW w:w="860" w:type="pct"/>
            <w:vAlign w:val="center"/>
          </w:tcPr>
          <w:p w14:paraId="21AC083B" w14:textId="77777777" w:rsidR="00D37BD8" w:rsidRPr="004432C5" w:rsidRDefault="00D37BD8" w:rsidP="00553CF3">
            <w:pPr>
              <w:pStyle w:val="naisf"/>
              <w:spacing w:before="0" w:after="0"/>
              <w:jc w:val="center"/>
              <w:rPr>
                <w:sz w:val="28"/>
              </w:rPr>
            </w:pPr>
            <w:r>
              <w:rPr>
                <w:sz w:val="28"/>
              </w:rPr>
              <w:t>0</w:t>
            </w:r>
          </w:p>
        </w:tc>
        <w:tc>
          <w:tcPr>
            <w:tcW w:w="860" w:type="pct"/>
            <w:vAlign w:val="center"/>
          </w:tcPr>
          <w:p w14:paraId="5FC473CF" w14:textId="77777777" w:rsidR="00D37BD8" w:rsidRPr="004432C5" w:rsidRDefault="00D37BD8" w:rsidP="00553CF3">
            <w:pPr>
              <w:pStyle w:val="naisf"/>
              <w:spacing w:before="0" w:after="0"/>
              <w:jc w:val="center"/>
              <w:rPr>
                <w:sz w:val="28"/>
              </w:rPr>
            </w:pPr>
            <w:r>
              <w:rPr>
                <w:sz w:val="28"/>
              </w:rPr>
              <w:t>0</w:t>
            </w:r>
          </w:p>
        </w:tc>
        <w:tc>
          <w:tcPr>
            <w:tcW w:w="856" w:type="pct"/>
            <w:vAlign w:val="center"/>
          </w:tcPr>
          <w:p w14:paraId="0E9BA4C5" w14:textId="77777777" w:rsidR="00D37BD8" w:rsidRPr="004432C5" w:rsidRDefault="00D37BD8" w:rsidP="00553CF3">
            <w:pPr>
              <w:pStyle w:val="naisf"/>
              <w:spacing w:before="0" w:after="0"/>
              <w:jc w:val="center"/>
              <w:rPr>
                <w:sz w:val="28"/>
              </w:rPr>
            </w:pPr>
            <w:r>
              <w:rPr>
                <w:sz w:val="28"/>
              </w:rPr>
              <w:t>0</w:t>
            </w:r>
          </w:p>
        </w:tc>
      </w:tr>
      <w:tr w:rsidR="00D37BD8" w:rsidRPr="004432C5" w14:paraId="2683094D"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366"/>
          <w:jc w:val="center"/>
        </w:trPr>
        <w:tc>
          <w:tcPr>
            <w:tcW w:w="1014" w:type="pct"/>
            <w:gridSpan w:val="2"/>
            <w:vAlign w:val="center"/>
          </w:tcPr>
          <w:p w14:paraId="78684495" w14:textId="77777777" w:rsidR="00D37BD8" w:rsidRPr="00553CF3" w:rsidRDefault="00D37BD8"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1.1. valsts pamatbudžets, tai skaitā ieņēmumi no maksas pakalpojumiem un citi pašu ieņēmumi</w:t>
            </w:r>
          </w:p>
        </w:tc>
        <w:tc>
          <w:tcPr>
            <w:tcW w:w="627" w:type="pct"/>
            <w:vAlign w:val="center"/>
          </w:tcPr>
          <w:p w14:paraId="531BF659" w14:textId="77777777" w:rsidR="00D37BD8" w:rsidRPr="004432C5" w:rsidRDefault="00D37BD8" w:rsidP="00553CF3">
            <w:pPr>
              <w:pStyle w:val="naisf"/>
              <w:spacing w:before="0" w:after="0"/>
              <w:jc w:val="center"/>
              <w:rPr>
                <w:sz w:val="28"/>
                <w:szCs w:val="28"/>
              </w:rPr>
            </w:pPr>
            <w:r>
              <w:rPr>
                <w:sz w:val="28"/>
                <w:szCs w:val="28"/>
              </w:rPr>
              <w:t>0</w:t>
            </w:r>
          </w:p>
        </w:tc>
        <w:tc>
          <w:tcPr>
            <w:tcW w:w="783" w:type="pct"/>
            <w:gridSpan w:val="2"/>
            <w:vAlign w:val="center"/>
          </w:tcPr>
          <w:p w14:paraId="72C695A9" w14:textId="77777777" w:rsidR="00D37BD8" w:rsidRPr="004432C5" w:rsidRDefault="00D37BD8" w:rsidP="00553CF3">
            <w:pPr>
              <w:pStyle w:val="naisf"/>
              <w:spacing w:before="0" w:after="0"/>
              <w:jc w:val="center"/>
              <w:rPr>
                <w:sz w:val="28"/>
                <w:szCs w:val="28"/>
              </w:rPr>
            </w:pPr>
            <w:r>
              <w:rPr>
                <w:sz w:val="28"/>
                <w:szCs w:val="28"/>
              </w:rPr>
              <w:t>0</w:t>
            </w:r>
          </w:p>
        </w:tc>
        <w:tc>
          <w:tcPr>
            <w:tcW w:w="860" w:type="pct"/>
            <w:vAlign w:val="center"/>
          </w:tcPr>
          <w:p w14:paraId="476872B9" w14:textId="77777777" w:rsidR="00D37BD8" w:rsidRPr="004432C5" w:rsidRDefault="00D37BD8" w:rsidP="00553CF3">
            <w:pPr>
              <w:pStyle w:val="naisf"/>
              <w:spacing w:before="0" w:after="0"/>
              <w:jc w:val="center"/>
              <w:rPr>
                <w:sz w:val="28"/>
                <w:szCs w:val="28"/>
              </w:rPr>
            </w:pPr>
            <w:r>
              <w:rPr>
                <w:sz w:val="28"/>
              </w:rPr>
              <w:t>0</w:t>
            </w:r>
          </w:p>
        </w:tc>
        <w:tc>
          <w:tcPr>
            <w:tcW w:w="860" w:type="pct"/>
            <w:vAlign w:val="center"/>
          </w:tcPr>
          <w:p w14:paraId="0D0606A4" w14:textId="77777777" w:rsidR="00D37BD8" w:rsidRPr="004432C5" w:rsidRDefault="00D37BD8" w:rsidP="00553CF3">
            <w:pPr>
              <w:pStyle w:val="naisf"/>
              <w:spacing w:before="0" w:after="0"/>
              <w:jc w:val="center"/>
              <w:rPr>
                <w:sz w:val="28"/>
                <w:szCs w:val="28"/>
              </w:rPr>
            </w:pPr>
            <w:r>
              <w:rPr>
                <w:sz w:val="28"/>
              </w:rPr>
              <w:t>0</w:t>
            </w:r>
          </w:p>
        </w:tc>
        <w:tc>
          <w:tcPr>
            <w:tcW w:w="856" w:type="pct"/>
            <w:vAlign w:val="center"/>
          </w:tcPr>
          <w:p w14:paraId="3B39767A" w14:textId="77777777" w:rsidR="00D37BD8" w:rsidRPr="004432C5" w:rsidRDefault="00D37BD8" w:rsidP="00553CF3">
            <w:pPr>
              <w:pStyle w:val="naisf"/>
              <w:spacing w:before="0" w:after="0"/>
              <w:jc w:val="center"/>
              <w:rPr>
                <w:sz w:val="28"/>
                <w:szCs w:val="28"/>
              </w:rPr>
            </w:pPr>
            <w:r>
              <w:rPr>
                <w:sz w:val="28"/>
                <w:szCs w:val="28"/>
              </w:rPr>
              <w:t>0</w:t>
            </w:r>
          </w:p>
        </w:tc>
      </w:tr>
      <w:tr w:rsidR="00D37BD8" w:rsidRPr="004432C5" w14:paraId="5AB44063"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0C08A6CB" w14:textId="77777777" w:rsidR="00D37BD8" w:rsidRPr="00553CF3" w:rsidRDefault="00D37BD8"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1.2. valsts speciālais budžets</w:t>
            </w:r>
          </w:p>
        </w:tc>
        <w:tc>
          <w:tcPr>
            <w:tcW w:w="627" w:type="pct"/>
            <w:vAlign w:val="center"/>
          </w:tcPr>
          <w:p w14:paraId="42F368BA" w14:textId="77777777" w:rsidR="00D37BD8" w:rsidRPr="004432C5" w:rsidRDefault="00D37BD8" w:rsidP="00553CF3">
            <w:pPr>
              <w:pStyle w:val="naisf"/>
              <w:spacing w:before="0" w:after="0"/>
              <w:jc w:val="center"/>
              <w:rPr>
                <w:sz w:val="28"/>
                <w:szCs w:val="28"/>
              </w:rPr>
            </w:pPr>
            <w:r>
              <w:rPr>
                <w:sz w:val="28"/>
                <w:szCs w:val="28"/>
              </w:rPr>
              <w:t>0</w:t>
            </w:r>
          </w:p>
        </w:tc>
        <w:tc>
          <w:tcPr>
            <w:tcW w:w="783" w:type="pct"/>
            <w:gridSpan w:val="2"/>
            <w:vAlign w:val="center"/>
          </w:tcPr>
          <w:p w14:paraId="0F057D24" w14:textId="77777777" w:rsidR="00D37BD8" w:rsidRPr="004432C5" w:rsidRDefault="00D37BD8" w:rsidP="00553CF3">
            <w:pPr>
              <w:pStyle w:val="naisf"/>
              <w:spacing w:before="0" w:after="0"/>
              <w:jc w:val="center"/>
              <w:rPr>
                <w:sz w:val="28"/>
                <w:szCs w:val="28"/>
              </w:rPr>
            </w:pPr>
            <w:r>
              <w:rPr>
                <w:sz w:val="28"/>
                <w:szCs w:val="28"/>
              </w:rPr>
              <w:t>0</w:t>
            </w:r>
          </w:p>
        </w:tc>
        <w:tc>
          <w:tcPr>
            <w:tcW w:w="860" w:type="pct"/>
            <w:vAlign w:val="center"/>
          </w:tcPr>
          <w:p w14:paraId="609E9230" w14:textId="77777777" w:rsidR="00D37BD8" w:rsidRPr="004432C5" w:rsidRDefault="00D37BD8" w:rsidP="00553CF3">
            <w:pPr>
              <w:pStyle w:val="naisf"/>
              <w:spacing w:before="0" w:after="0"/>
              <w:jc w:val="center"/>
              <w:rPr>
                <w:sz w:val="28"/>
                <w:szCs w:val="28"/>
              </w:rPr>
            </w:pPr>
            <w:r>
              <w:rPr>
                <w:sz w:val="28"/>
              </w:rPr>
              <w:t>0</w:t>
            </w:r>
          </w:p>
        </w:tc>
        <w:tc>
          <w:tcPr>
            <w:tcW w:w="860" w:type="pct"/>
            <w:vAlign w:val="center"/>
          </w:tcPr>
          <w:p w14:paraId="3E5B198C" w14:textId="77777777" w:rsidR="00D37BD8" w:rsidRPr="004432C5" w:rsidRDefault="00D37BD8" w:rsidP="00553CF3">
            <w:pPr>
              <w:pStyle w:val="naisf"/>
              <w:spacing w:before="0" w:after="0"/>
              <w:jc w:val="center"/>
              <w:rPr>
                <w:sz w:val="28"/>
                <w:szCs w:val="28"/>
              </w:rPr>
            </w:pPr>
            <w:r>
              <w:rPr>
                <w:sz w:val="28"/>
              </w:rPr>
              <w:t>0</w:t>
            </w:r>
          </w:p>
        </w:tc>
        <w:tc>
          <w:tcPr>
            <w:tcW w:w="856" w:type="pct"/>
            <w:vAlign w:val="center"/>
          </w:tcPr>
          <w:p w14:paraId="47EFEF18" w14:textId="77777777" w:rsidR="00D37BD8" w:rsidRPr="004432C5" w:rsidRDefault="00D37BD8" w:rsidP="00553CF3">
            <w:pPr>
              <w:pStyle w:val="naisf"/>
              <w:spacing w:before="0" w:after="0"/>
              <w:jc w:val="center"/>
              <w:rPr>
                <w:sz w:val="28"/>
                <w:szCs w:val="28"/>
              </w:rPr>
            </w:pPr>
            <w:r>
              <w:rPr>
                <w:sz w:val="28"/>
                <w:szCs w:val="28"/>
              </w:rPr>
              <w:t>0</w:t>
            </w:r>
          </w:p>
        </w:tc>
      </w:tr>
      <w:tr w:rsidR="00D37BD8" w:rsidRPr="004432C5" w14:paraId="5F776771"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5016F98B" w14:textId="77777777" w:rsidR="00D37BD8" w:rsidRPr="00553CF3" w:rsidRDefault="00D37BD8"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lastRenderedPageBreak/>
              <w:t>1.3. pašvaldību budžets</w:t>
            </w:r>
          </w:p>
        </w:tc>
        <w:tc>
          <w:tcPr>
            <w:tcW w:w="627" w:type="pct"/>
            <w:vAlign w:val="center"/>
          </w:tcPr>
          <w:p w14:paraId="1C7032B3" w14:textId="77777777" w:rsidR="00D37BD8" w:rsidRPr="004432C5" w:rsidRDefault="00D37BD8" w:rsidP="00553CF3">
            <w:pPr>
              <w:pStyle w:val="naisf"/>
              <w:spacing w:before="0" w:after="0"/>
              <w:jc w:val="center"/>
              <w:rPr>
                <w:sz w:val="28"/>
                <w:szCs w:val="28"/>
              </w:rPr>
            </w:pPr>
            <w:r>
              <w:rPr>
                <w:sz w:val="28"/>
                <w:szCs w:val="28"/>
              </w:rPr>
              <w:t>0</w:t>
            </w:r>
          </w:p>
        </w:tc>
        <w:tc>
          <w:tcPr>
            <w:tcW w:w="783" w:type="pct"/>
            <w:gridSpan w:val="2"/>
            <w:vAlign w:val="center"/>
          </w:tcPr>
          <w:p w14:paraId="1755B168" w14:textId="77777777" w:rsidR="00D37BD8" w:rsidRPr="004432C5" w:rsidRDefault="00D37BD8" w:rsidP="00553CF3">
            <w:pPr>
              <w:pStyle w:val="naisf"/>
              <w:spacing w:before="0" w:after="0"/>
              <w:jc w:val="center"/>
              <w:rPr>
                <w:sz w:val="28"/>
                <w:szCs w:val="28"/>
              </w:rPr>
            </w:pPr>
            <w:r>
              <w:rPr>
                <w:sz w:val="28"/>
                <w:szCs w:val="28"/>
              </w:rPr>
              <w:t>0</w:t>
            </w:r>
          </w:p>
        </w:tc>
        <w:tc>
          <w:tcPr>
            <w:tcW w:w="860" w:type="pct"/>
            <w:vAlign w:val="center"/>
          </w:tcPr>
          <w:p w14:paraId="4D8394FC" w14:textId="77777777" w:rsidR="00D37BD8" w:rsidRPr="004432C5" w:rsidRDefault="00D37BD8" w:rsidP="00553CF3">
            <w:pPr>
              <w:pStyle w:val="naisf"/>
              <w:spacing w:before="0" w:after="0"/>
              <w:jc w:val="center"/>
              <w:rPr>
                <w:sz w:val="28"/>
                <w:szCs w:val="28"/>
              </w:rPr>
            </w:pPr>
            <w:r>
              <w:rPr>
                <w:sz w:val="28"/>
              </w:rPr>
              <w:t>0</w:t>
            </w:r>
          </w:p>
        </w:tc>
        <w:tc>
          <w:tcPr>
            <w:tcW w:w="860" w:type="pct"/>
            <w:vAlign w:val="center"/>
          </w:tcPr>
          <w:p w14:paraId="4BF755D9" w14:textId="77777777" w:rsidR="00D37BD8" w:rsidRPr="004432C5" w:rsidRDefault="00D37BD8" w:rsidP="00553CF3">
            <w:pPr>
              <w:pStyle w:val="naisf"/>
              <w:spacing w:before="0" w:after="0"/>
              <w:jc w:val="center"/>
              <w:rPr>
                <w:sz w:val="28"/>
                <w:szCs w:val="28"/>
              </w:rPr>
            </w:pPr>
            <w:r>
              <w:rPr>
                <w:sz w:val="28"/>
              </w:rPr>
              <w:t>0</w:t>
            </w:r>
          </w:p>
        </w:tc>
        <w:tc>
          <w:tcPr>
            <w:tcW w:w="856" w:type="pct"/>
            <w:vAlign w:val="center"/>
          </w:tcPr>
          <w:p w14:paraId="6AA5388D" w14:textId="77777777" w:rsidR="00D37BD8" w:rsidRPr="004432C5" w:rsidRDefault="00D37BD8" w:rsidP="00553CF3">
            <w:pPr>
              <w:pStyle w:val="naisf"/>
              <w:spacing w:before="0" w:after="0"/>
              <w:jc w:val="center"/>
              <w:rPr>
                <w:sz w:val="28"/>
                <w:szCs w:val="28"/>
              </w:rPr>
            </w:pPr>
            <w:r>
              <w:rPr>
                <w:sz w:val="28"/>
                <w:szCs w:val="28"/>
              </w:rPr>
              <w:t>0</w:t>
            </w:r>
          </w:p>
        </w:tc>
      </w:tr>
      <w:tr w:rsidR="009B0147" w:rsidRPr="004432C5" w14:paraId="4E87D70D"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02C83B50"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t>2. Budžeta izdevumi:</w:t>
            </w:r>
          </w:p>
        </w:tc>
        <w:tc>
          <w:tcPr>
            <w:tcW w:w="627" w:type="pct"/>
            <w:vAlign w:val="center"/>
          </w:tcPr>
          <w:p w14:paraId="569816B2" w14:textId="77777777" w:rsidR="009B0147" w:rsidRPr="004432C5" w:rsidRDefault="009B0147" w:rsidP="00553CF3">
            <w:pPr>
              <w:pStyle w:val="naisf"/>
              <w:spacing w:before="0" w:after="0"/>
              <w:jc w:val="center"/>
              <w:rPr>
                <w:sz w:val="28"/>
                <w:szCs w:val="28"/>
              </w:rPr>
            </w:pPr>
            <w:r>
              <w:rPr>
                <w:sz w:val="28"/>
                <w:szCs w:val="28"/>
              </w:rPr>
              <w:t>0</w:t>
            </w:r>
          </w:p>
        </w:tc>
        <w:tc>
          <w:tcPr>
            <w:tcW w:w="783" w:type="pct"/>
            <w:gridSpan w:val="2"/>
            <w:vAlign w:val="center"/>
          </w:tcPr>
          <w:p w14:paraId="23AB9212"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080F7A22" w14:textId="5DD7A496" w:rsidR="009B0147" w:rsidRPr="004432C5" w:rsidRDefault="00F406E6" w:rsidP="00553CF3">
            <w:pPr>
              <w:pStyle w:val="naisf"/>
              <w:spacing w:before="0" w:after="0"/>
              <w:jc w:val="center"/>
              <w:rPr>
                <w:sz w:val="28"/>
                <w:szCs w:val="28"/>
              </w:rPr>
            </w:pPr>
            <w:r>
              <w:rPr>
                <w:sz w:val="28"/>
                <w:szCs w:val="28"/>
              </w:rPr>
              <w:t>1</w:t>
            </w:r>
            <w:r w:rsidR="003C1C9E">
              <w:rPr>
                <w:sz w:val="28"/>
                <w:szCs w:val="28"/>
              </w:rPr>
              <w:t> 086 225</w:t>
            </w:r>
          </w:p>
        </w:tc>
        <w:tc>
          <w:tcPr>
            <w:tcW w:w="860" w:type="pct"/>
            <w:vAlign w:val="center"/>
          </w:tcPr>
          <w:p w14:paraId="54CD29AA" w14:textId="34D1EC9A" w:rsidR="009B0147" w:rsidRPr="004432C5" w:rsidRDefault="00F406E6" w:rsidP="00553CF3">
            <w:pPr>
              <w:pStyle w:val="naisf"/>
              <w:spacing w:before="0" w:after="0"/>
              <w:jc w:val="center"/>
              <w:rPr>
                <w:sz w:val="28"/>
                <w:szCs w:val="28"/>
              </w:rPr>
            </w:pPr>
            <w:r>
              <w:rPr>
                <w:sz w:val="28"/>
                <w:szCs w:val="28"/>
              </w:rPr>
              <w:t>2 </w:t>
            </w:r>
            <w:r w:rsidR="003C1C9E">
              <w:rPr>
                <w:sz w:val="28"/>
                <w:szCs w:val="28"/>
              </w:rPr>
              <w:t>883</w:t>
            </w:r>
            <w:r>
              <w:rPr>
                <w:sz w:val="28"/>
                <w:szCs w:val="28"/>
              </w:rPr>
              <w:t xml:space="preserve"> </w:t>
            </w:r>
            <w:r w:rsidR="003C1C9E">
              <w:rPr>
                <w:sz w:val="28"/>
                <w:szCs w:val="28"/>
              </w:rPr>
              <w:t>017</w:t>
            </w:r>
          </w:p>
        </w:tc>
        <w:tc>
          <w:tcPr>
            <w:tcW w:w="856" w:type="pct"/>
            <w:vAlign w:val="center"/>
          </w:tcPr>
          <w:p w14:paraId="5DC44B41" w14:textId="33145849" w:rsidR="009B0147" w:rsidRPr="004432C5" w:rsidRDefault="003C1C9E" w:rsidP="00B731AB">
            <w:pPr>
              <w:pStyle w:val="naisf"/>
              <w:spacing w:before="0" w:after="0"/>
              <w:jc w:val="center"/>
              <w:rPr>
                <w:sz w:val="28"/>
                <w:szCs w:val="28"/>
              </w:rPr>
            </w:pPr>
            <w:r>
              <w:rPr>
                <w:sz w:val="28"/>
                <w:szCs w:val="28"/>
              </w:rPr>
              <w:t>2 827 87</w:t>
            </w:r>
            <w:r w:rsidR="00B731AB">
              <w:rPr>
                <w:sz w:val="28"/>
                <w:szCs w:val="28"/>
              </w:rPr>
              <w:t>8</w:t>
            </w:r>
          </w:p>
        </w:tc>
      </w:tr>
      <w:tr w:rsidR="003C1C9E" w:rsidRPr="004432C5" w14:paraId="5CC00F4F"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4C51F0C7" w14:textId="77777777" w:rsidR="003C1C9E" w:rsidRPr="00553CF3" w:rsidRDefault="003C1C9E"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2.1. valsts pamatbudžets</w:t>
            </w:r>
          </w:p>
        </w:tc>
        <w:tc>
          <w:tcPr>
            <w:tcW w:w="627" w:type="pct"/>
            <w:shd w:val="clear" w:color="auto" w:fill="auto"/>
            <w:vAlign w:val="center"/>
          </w:tcPr>
          <w:p w14:paraId="7E8EE113" w14:textId="77777777" w:rsidR="003C1C9E" w:rsidRPr="004432C5" w:rsidRDefault="003C1C9E"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4A5D8D7D" w14:textId="77777777" w:rsidR="003C1C9E" w:rsidRPr="004432C5" w:rsidRDefault="003C1C9E" w:rsidP="00553CF3">
            <w:pPr>
              <w:pStyle w:val="naisf"/>
              <w:spacing w:before="0" w:after="0"/>
              <w:jc w:val="center"/>
              <w:rPr>
                <w:sz w:val="28"/>
                <w:szCs w:val="28"/>
              </w:rPr>
            </w:pPr>
            <w:r>
              <w:rPr>
                <w:sz w:val="28"/>
                <w:szCs w:val="28"/>
              </w:rPr>
              <w:t>0</w:t>
            </w:r>
          </w:p>
        </w:tc>
        <w:tc>
          <w:tcPr>
            <w:tcW w:w="860" w:type="pct"/>
            <w:vAlign w:val="center"/>
          </w:tcPr>
          <w:p w14:paraId="0209CA5B" w14:textId="692C26C1" w:rsidR="003C1C9E" w:rsidRPr="004432C5" w:rsidRDefault="003C1C9E" w:rsidP="00553CF3">
            <w:pPr>
              <w:pStyle w:val="naisf"/>
              <w:spacing w:before="0" w:after="0"/>
              <w:jc w:val="center"/>
              <w:rPr>
                <w:sz w:val="28"/>
                <w:szCs w:val="28"/>
              </w:rPr>
            </w:pPr>
            <w:r>
              <w:rPr>
                <w:sz w:val="28"/>
                <w:szCs w:val="28"/>
              </w:rPr>
              <w:t>1 086 225</w:t>
            </w:r>
          </w:p>
        </w:tc>
        <w:tc>
          <w:tcPr>
            <w:tcW w:w="860" w:type="pct"/>
            <w:vAlign w:val="center"/>
          </w:tcPr>
          <w:p w14:paraId="4CA4C5A5" w14:textId="746EAF2D" w:rsidR="003C1C9E" w:rsidRPr="004432C5" w:rsidRDefault="003C1C9E" w:rsidP="00553CF3">
            <w:pPr>
              <w:pStyle w:val="naisf"/>
              <w:spacing w:before="0" w:after="0"/>
              <w:jc w:val="center"/>
              <w:rPr>
                <w:sz w:val="28"/>
                <w:szCs w:val="28"/>
              </w:rPr>
            </w:pPr>
            <w:r>
              <w:rPr>
                <w:sz w:val="28"/>
                <w:szCs w:val="28"/>
              </w:rPr>
              <w:t>2 883 017</w:t>
            </w:r>
          </w:p>
        </w:tc>
        <w:tc>
          <w:tcPr>
            <w:tcW w:w="856" w:type="pct"/>
            <w:vAlign w:val="center"/>
          </w:tcPr>
          <w:p w14:paraId="683F3ACF" w14:textId="3E4DE767" w:rsidR="003C1C9E" w:rsidRPr="004432C5" w:rsidRDefault="003C1C9E" w:rsidP="00B731AB">
            <w:pPr>
              <w:pStyle w:val="naisf"/>
              <w:spacing w:before="0" w:after="0"/>
              <w:jc w:val="center"/>
              <w:rPr>
                <w:sz w:val="28"/>
                <w:szCs w:val="28"/>
              </w:rPr>
            </w:pPr>
            <w:r>
              <w:rPr>
                <w:sz w:val="28"/>
                <w:szCs w:val="28"/>
              </w:rPr>
              <w:t>2 827 87</w:t>
            </w:r>
            <w:r w:rsidR="00B731AB">
              <w:rPr>
                <w:sz w:val="28"/>
                <w:szCs w:val="28"/>
              </w:rPr>
              <w:t>8</w:t>
            </w:r>
          </w:p>
        </w:tc>
      </w:tr>
      <w:tr w:rsidR="009B0147" w:rsidRPr="004432C5" w14:paraId="3314580D"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4F182A0E"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2.2. valsts speciālais budžets</w:t>
            </w:r>
          </w:p>
        </w:tc>
        <w:tc>
          <w:tcPr>
            <w:tcW w:w="627" w:type="pct"/>
            <w:shd w:val="clear" w:color="auto" w:fill="auto"/>
            <w:vAlign w:val="center"/>
          </w:tcPr>
          <w:p w14:paraId="6D124B8D" w14:textId="77777777" w:rsidR="009B0147" w:rsidRPr="004432C5" w:rsidRDefault="009B0147"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71E952B6"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1F16FEF0" w14:textId="77777777" w:rsidR="009B0147" w:rsidRPr="004432C5" w:rsidRDefault="009B0147" w:rsidP="00553CF3">
            <w:pPr>
              <w:pStyle w:val="naisf"/>
              <w:spacing w:before="0" w:after="0"/>
              <w:jc w:val="center"/>
              <w:rPr>
                <w:sz w:val="28"/>
                <w:szCs w:val="28"/>
              </w:rPr>
            </w:pPr>
            <w:r>
              <w:rPr>
                <w:sz w:val="28"/>
              </w:rPr>
              <w:t>0</w:t>
            </w:r>
          </w:p>
        </w:tc>
        <w:tc>
          <w:tcPr>
            <w:tcW w:w="860" w:type="pct"/>
            <w:vAlign w:val="center"/>
          </w:tcPr>
          <w:p w14:paraId="503F098A" w14:textId="77777777" w:rsidR="009B0147" w:rsidRPr="004432C5" w:rsidRDefault="009B0147" w:rsidP="00553CF3">
            <w:pPr>
              <w:pStyle w:val="naisf"/>
              <w:spacing w:before="0" w:after="0"/>
              <w:jc w:val="center"/>
              <w:rPr>
                <w:sz w:val="28"/>
                <w:szCs w:val="28"/>
              </w:rPr>
            </w:pPr>
            <w:r>
              <w:rPr>
                <w:sz w:val="28"/>
              </w:rPr>
              <w:t>0</w:t>
            </w:r>
          </w:p>
        </w:tc>
        <w:tc>
          <w:tcPr>
            <w:tcW w:w="856" w:type="pct"/>
            <w:vAlign w:val="center"/>
          </w:tcPr>
          <w:p w14:paraId="1D5DD07F" w14:textId="77777777" w:rsidR="009B0147" w:rsidRPr="004432C5" w:rsidRDefault="009B0147" w:rsidP="00553CF3">
            <w:pPr>
              <w:pStyle w:val="naisf"/>
              <w:spacing w:before="0" w:after="0"/>
              <w:jc w:val="center"/>
              <w:rPr>
                <w:sz w:val="28"/>
                <w:szCs w:val="28"/>
              </w:rPr>
            </w:pPr>
            <w:r>
              <w:rPr>
                <w:sz w:val="28"/>
                <w:szCs w:val="28"/>
              </w:rPr>
              <w:t>0</w:t>
            </w:r>
          </w:p>
        </w:tc>
      </w:tr>
      <w:tr w:rsidR="009B0147" w:rsidRPr="004432C5" w14:paraId="710C6DD0"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2E82C23E"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2.3. pašvaldību budžets</w:t>
            </w:r>
          </w:p>
        </w:tc>
        <w:tc>
          <w:tcPr>
            <w:tcW w:w="627" w:type="pct"/>
            <w:shd w:val="clear" w:color="auto" w:fill="auto"/>
            <w:vAlign w:val="center"/>
          </w:tcPr>
          <w:p w14:paraId="69627DFE" w14:textId="77777777" w:rsidR="009B0147" w:rsidRPr="004432C5" w:rsidRDefault="009B0147"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02885F54"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44BDDC20" w14:textId="77777777" w:rsidR="009B0147" w:rsidRPr="004432C5" w:rsidRDefault="009B0147" w:rsidP="00553CF3">
            <w:pPr>
              <w:pStyle w:val="naisf"/>
              <w:spacing w:before="0" w:after="0"/>
              <w:jc w:val="center"/>
              <w:rPr>
                <w:sz w:val="28"/>
                <w:szCs w:val="28"/>
              </w:rPr>
            </w:pPr>
            <w:r>
              <w:rPr>
                <w:sz w:val="28"/>
              </w:rPr>
              <w:t>0</w:t>
            </w:r>
          </w:p>
        </w:tc>
        <w:tc>
          <w:tcPr>
            <w:tcW w:w="860" w:type="pct"/>
            <w:vAlign w:val="center"/>
          </w:tcPr>
          <w:p w14:paraId="42B2A3D3" w14:textId="77777777" w:rsidR="009B0147" w:rsidRPr="004432C5" w:rsidRDefault="009B0147" w:rsidP="00553CF3">
            <w:pPr>
              <w:pStyle w:val="naisf"/>
              <w:spacing w:before="0" w:after="0"/>
              <w:jc w:val="center"/>
              <w:rPr>
                <w:sz w:val="28"/>
                <w:szCs w:val="28"/>
              </w:rPr>
            </w:pPr>
            <w:r>
              <w:rPr>
                <w:sz w:val="28"/>
              </w:rPr>
              <w:t>0</w:t>
            </w:r>
          </w:p>
        </w:tc>
        <w:tc>
          <w:tcPr>
            <w:tcW w:w="856" w:type="pct"/>
            <w:vAlign w:val="center"/>
          </w:tcPr>
          <w:p w14:paraId="5A43AB38" w14:textId="77777777" w:rsidR="009B0147" w:rsidRPr="004432C5" w:rsidRDefault="009B0147" w:rsidP="00553CF3">
            <w:pPr>
              <w:pStyle w:val="naisf"/>
              <w:spacing w:before="0" w:after="0"/>
              <w:jc w:val="center"/>
              <w:rPr>
                <w:sz w:val="28"/>
                <w:szCs w:val="28"/>
              </w:rPr>
            </w:pPr>
            <w:r>
              <w:rPr>
                <w:sz w:val="28"/>
                <w:szCs w:val="28"/>
              </w:rPr>
              <w:t>0</w:t>
            </w:r>
          </w:p>
        </w:tc>
      </w:tr>
      <w:tr w:rsidR="003C1C9E" w:rsidRPr="004432C5" w14:paraId="26CD4831"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04DDC90A" w14:textId="77777777" w:rsidR="003C1C9E" w:rsidRPr="00553CF3" w:rsidRDefault="003C1C9E" w:rsidP="00553CF3">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t>3. Finansiālā ietekme:</w:t>
            </w:r>
          </w:p>
        </w:tc>
        <w:tc>
          <w:tcPr>
            <w:tcW w:w="627" w:type="pct"/>
            <w:shd w:val="clear" w:color="auto" w:fill="auto"/>
            <w:vAlign w:val="center"/>
          </w:tcPr>
          <w:p w14:paraId="4B763D81" w14:textId="77777777" w:rsidR="003C1C9E" w:rsidRPr="004432C5" w:rsidRDefault="003C1C9E"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12225289" w14:textId="77777777" w:rsidR="003C1C9E" w:rsidRPr="004432C5" w:rsidRDefault="003C1C9E" w:rsidP="00553CF3">
            <w:pPr>
              <w:pStyle w:val="naisf"/>
              <w:spacing w:before="0" w:after="0"/>
              <w:jc w:val="center"/>
              <w:rPr>
                <w:sz w:val="28"/>
                <w:szCs w:val="28"/>
              </w:rPr>
            </w:pPr>
            <w:r>
              <w:rPr>
                <w:sz w:val="28"/>
                <w:szCs w:val="28"/>
              </w:rPr>
              <w:t>0</w:t>
            </w:r>
          </w:p>
        </w:tc>
        <w:tc>
          <w:tcPr>
            <w:tcW w:w="860" w:type="pct"/>
            <w:vAlign w:val="center"/>
          </w:tcPr>
          <w:p w14:paraId="49C50EFC" w14:textId="51FED15D" w:rsidR="003C1C9E" w:rsidRPr="004432C5" w:rsidRDefault="003C1C9E" w:rsidP="00553CF3">
            <w:pPr>
              <w:pStyle w:val="naisf"/>
              <w:spacing w:before="0" w:after="0"/>
              <w:jc w:val="center"/>
              <w:rPr>
                <w:sz w:val="28"/>
                <w:szCs w:val="28"/>
              </w:rPr>
            </w:pPr>
            <w:r>
              <w:rPr>
                <w:sz w:val="28"/>
                <w:szCs w:val="28"/>
              </w:rPr>
              <w:t>- 1 086 225</w:t>
            </w:r>
          </w:p>
        </w:tc>
        <w:tc>
          <w:tcPr>
            <w:tcW w:w="860" w:type="pct"/>
            <w:vAlign w:val="center"/>
          </w:tcPr>
          <w:p w14:paraId="27DCC2BF" w14:textId="61174723" w:rsidR="003C1C9E" w:rsidRPr="004432C5" w:rsidRDefault="003C1C9E" w:rsidP="00553CF3">
            <w:pPr>
              <w:pStyle w:val="naisf"/>
              <w:spacing w:before="0" w:after="0"/>
              <w:jc w:val="center"/>
              <w:rPr>
                <w:sz w:val="28"/>
                <w:szCs w:val="28"/>
              </w:rPr>
            </w:pPr>
            <w:r>
              <w:rPr>
                <w:sz w:val="28"/>
                <w:szCs w:val="28"/>
              </w:rPr>
              <w:t>- 2 883 017</w:t>
            </w:r>
          </w:p>
        </w:tc>
        <w:tc>
          <w:tcPr>
            <w:tcW w:w="856" w:type="pct"/>
            <w:vAlign w:val="center"/>
          </w:tcPr>
          <w:p w14:paraId="5B27F420" w14:textId="0FB52315" w:rsidR="003C1C9E" w:rsidRPr="004432C5" w:rsidRDefault="003C1C9E" w:rsidP="007F6D27">
            <w:pPr>
              <w:pStyle w:val="naisf"/>
              <w:spacing w:before="0" w:after="0"/>
              <w:jc w:val="center"/>
              <w:rPr>
                <w:sz w:val="28"/>
                <w:szCs w:val="28"/>
              </w:rPr>
            </w:pPr>
            <w:r>
              <w:rPr>
                <w:sz w:val="28"/>
                <w:szCs w:val="28"/>
              </w:rPr>
              <w:t>- 2 827 87</w:t>
            </w:r>
            <w:r w:rsidR="007F6D27">
              <w:rPr>
                <w:sz w:val="28"/>
                <w:szCs w:val="28"/>
              </w:rPr>
              <w:t>8</w:t>
            </w:r>
          </w:p>
        </w:tc>
      </w:tr>
      <w:tr w:rsidR="003C1C9E" w:rsidRPr="004432C5" w14:paraId="30E8717A"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2C574E1A" w14:textId="77777777" w:rsidR="003C1C9E" w:rsidRPr="00553CF3" w:rsidRDefault="003C1C9E"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3.1. valsts pamatbudžets</w:t>
            </w:r>
          </w:p>
        </w:tc>
        <w:tc>
          <w:tcPr>
            <w:tcW w:w="627" w:type="pct"/>
            <w:shd w:val="clear" w:color="auto" w:fill="auto"/>
            <w:vAlign w:val="center"/>
          </w:tcPr>
          <w:p w14:paraId="2C5C0E2B" w14:textId="77777777" w:rsidR="003C1C9E" w:rsidRPr="004432C5" w:rsidRDefault="003C1C9E"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62984F7A" w14:textId="77777777" w:rsidR="003C1C9E" w:rsidRPr="004432C5" w:rsidRDefault="003C1C9E" w:rsidP="00553CF3">
            <w:pPr>
              <w:pStyle w:val="naisf"/>
              <w:spacing w:before="0" w:after="0"/>
              <w:jc w:val="center"/>
              <w:rPr>
                <w:sz w:val="28"/>
                <w:szCs w:val="28"/>
              </w:rPr>
            </w:pPr>
            <w:r>
              <w:rPr>
                <w:sz w:val="28"/>
                <w:szCs w:val="28"/>
              </w:rPr>
              <w:t>0</w:t>
            </w:r>
          </w:p>
        </w:tc>
        <w:tc>
          <w:tcPr>
            <w:tcW w:w="860" w:type="pct"/>
            <w:vAlign w:val="center"/>
          </w:tcPr>
          <w:p w14:paraId="082DDC95" w14:textId="77CA9035" w:rsidR="003C1C9E" w:rsidRPr="004432C5" w:rsidRDefault="003C1C9E" w:rsidP="00553CF3">
            <w:pPr>
              <w:pStyle w:val="naisf"/>
              <w:spacing w:before="0" w:after="0"/>
              <w:jc w:val="center"/>
              <w:rPr>
                <w:sz w:val="28"/>
                <w:szCs w:val="28"/>
              </w:rPr>
            </w:pPr>
            <w:r>
              <w:rPr>
                <w:sz w:val="28"/>
                <w:szCs w:val="28"/>
              </w:rPr>
              <w:t>- 1 086 225</w:t>
            </w:r>
          </w:p>
        </w:tc>
        <w:tc>
          <w:tcPr>
            <w:tcW w:w="860" w:type="pct"/>
            <w:vAlign w:val="center"/>
          </w:tcPr>
          <w:p w14:paraId="6273EAC3" w14:textId="17A73995" w:rsidR="003C1C9E" w:rsidRPr="004432C5" w:rsidRDefault="003C1C9E" w:rsidP="00553CF3">
            <w:pPr>
              <w:pStyle w:val="naisf"/>
              <w:spacing w:before="0" w:after="0"/>
              <w:jc w:val="center"/>
              <w:rPr>
                <w:sz w:val="28"/>
                <w:szCs w:val="28"/>
              </w:rPr>
            </w:pPr>
            <w:r>
              <w:rPr>
                <w:sz w:val="28"/>
                <w:szCs w:val="28"/>
              </w:rPr>
              <w:t>- 2 883 017</w:t>
            </w:r>
          </w:p>
        </w:tc>
        <w:tc>
          <w:tcPr>
            <w:tcW w:w="856" w:type="pct"/>
            <w:vAlign w:val="center"/>
          </w:tcPr>
          <w:p w14:paraId="1402223E" w14:textId="772F2C71" w:rsidR="003C1C9E" w:rsidRPr="004432C5" w:rsidRDefault="003C1C9E" w:rsidP="007F6D27">
            <w:pPr>
              <w:pStyle w:val="naisf"/>
              <w:spacing w:before="0" w:after="0"/>
              <w:jc w:val="center"/>
              <w:rPr>
                <w:sz w:val="28"/>
                <w:szCs w:val="28"/>
              </w:rPr>
            </w:pPr>
            <w:r>
              <w:rPr>
                <w:sz w:val="28"/>
                <w:szCs w:val="28"/>
              </w:rPr>
              <w:t>- 2 827 87</w:t>
            </w:r>
            <w:r w:rsidR="007F6D27">
              <w:rPr>
                <w:sz w:val="28"/>
                <w:szCs w:val="28"/>
              </w:rPr>
              <w:t>8</w:t>
            </w:r>
          </w:p>
        </w:tc>
      </w:tr>
      <w:tr w:rsidR="009B0147" w:rsidRPr="004432C5" w14:paraId="40F90F43"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60561DB3"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3.2. speciālais budžets</w:t>
            </w:r>
          </w:p>
        </w:tc>
        <w:tc>
          <w:tcPr>
            <w:tcW w:w="627" w:type="pct"/>
            <w:shd w:val="clear" w:color="auto" w:fill="auto"/>
            <w:vAlign w:val="center"/>
          </w:tcPr>
          <w:p w14:paraId="62BE47B3" w14:textId="77777777" w:rsidR="009B0147" w:rsidRPr="004432C5" w:rsidRDefault="009B0147"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38D1788B"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570A3028"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3CE64932" w14:textId="77777777" w:rsidR="009B0147" w:rsidRPr="004432C5" w:rsidRDefault="009B0147" w:rsidP="00553CF3">
            <w:pPr>
              <w:pStyle w:val="naisf"/>
              <w:spacing w:before="0" w:after="0"/>
              <w:jc w:val="center"/>
              <w:rPr>
                <w:sz w:val="28"/>
                <w:szCs w:val="28"/>
              </w:rPr>
            </w:pPr>
            <w:r>
              <w:rPr>
                <w:sz w:val="28"/>
                <w:szCs w:val="28"/>
              </w:rPr>
              <w:t>0</w:t>
            </w:r>
          </w:p>
        </w:tc>
        <w:tc>
          <w:tcPr>
            <w:tcW w:w="856" w:type="pct"/>
            <w:vAlign w:val="center"/>
          </w:tcPr>
          <w:p w14:paraId="6992D4C2" w14:textId="77777777" w:rsidR="009B0147" w:rsidRPr="004432C5" w:rsidRDefault="009B0147" w:rsidP="00553CF3">
            <w:pPr>
              <w:pStyle w:val="naisf"/>
              <w:spacing w:before="0" w:after="0"/>
              <w:jc w:val="center"/>
              <w:rPr>
                <w:sz w:val="28"/>
                <w:szCs w:val="28"/>
              </w:rPr>
            </w:pPr>
            <w:r>
              <w:rPr>
                <w:sz w:val="28"/>
                <w:szCs w:val="28"/>
              </w:rPr>
              <w:t>0</w:t>
            </w:r>
          </w:p>
        </w:tc>
      </w:tr>
      <w:tr w:rsidR="009B0147" w:rsidRPr="004432C5" w14:paraId="3D9B2C7F"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vAlign w:val="center"/>
          </w:tcPr>
          <w:p w14:paraId="2DCB4FB0"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eastAsia="Calibri" w:hAnsi="Times New Roman" w:cs="Times New Roman"/>
                <w:sz w:val="27"/>
                <w:szCs w:val="27"/>
              </w:rPr>
              <w:t>3.3. pašvaldību budžets</w:t>
            </w:r>
          </w:p>
        </w:tc>
        <w:tc>
          <w:tcPr>
            <w:tcW w:w="627" w:type="pct"/>
            <w:shd w:val="clear" w:color="auto" w:fill="auto"/>
            <w:vAlign w:val="center"/>
          </w:tcPr>
          <w:p w14:paraId="6BBCDE50" w14:textId="77777777" w:rsidR="009B0147" w:rsidRPr="004432C5" w:rsidRDefault="009B0147" w:rsidP="00553CF3">
            <w:pPr>
              <w:pStyle w:val="naisf"/>
              <w:spacing w:before="0" w:after="0"/>
              <w:jc w:val="center"/>
              <w:rPr>
                <w:sz w:val="28"/>
                <w:szCs w:val="28"/>
              </w:rPr>
            </w:pPr>
            <w:r>
              <w:rPr>
                <w:sz w:val="28"/>
                <w:szCs w:val="28"/>
              </w:rPr>
              <w:t>0</w:t>
            </w:r>
          </w:p>
        </w:tc>
        <w:tc>
          <w:tcPr>
            <w:tcW w:w="783" w:type="pct"/>
            <w:gridSpan w:val="2"/>
            <w:shd w:val="clear" w:color="auto" w:fill="auto"/>
            <w:vAlign w:val="center"/>
          </w:tcPr>
          <w:p w14:paraId="47A998ED"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505C8B4C"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0958BC3A" w14:textId="77777777" w:rsidR="009B0147" w:rsidRPr="004432C5" w:rsidRDefault="009B0147" w:rsidP="00553CF3">
            <w:pPr>
              <w:pStyle w:val="naisf"/>
              <w:spacing w:before="0" w:after="0"/>
              <w:jc w:val="center"/>
              <w:rPr>
                <w:sz w:val="28"/>
                <w:szCs w:val="28"/>
              </w:rPr>
            </w:pPr>
            <w:r>
              <w:rPr>
                <w:sz w:val="28"/>
                <w:szCs w:val="28"/>
              </w:rPr>
              <w:t>0</w:t>
            </w:r>
          </w:p>
        </w:tc>
        <w:tc>
          <w:tcPr>
            <w:tcW w:w="856" w:type="pct"/>
            <w:vAlign w:val="center"/>
          </w:tcPr>
          <w:p w14:paraId="2C39B9D7" w14:textId="77777777" w:rsidR="009B0147" w:rsidRPr="004432C5" w:rsidRDefault="009B0147" w:rsidP="00553CF3">
            <w:pPr>
              <w:pStyle w:val="naisf"/>
              <w:spacing w:before="0" w:after="0"/>
              <w:jc w:val="center"/>
              <w:rPr>
                <w:sz w:val="28"/>
                <w:szCs w:val="28"/>
              </w:rPr>
            </w:pPr>
            <w:r>
              <w:rPr>
                <w:sz w:val="28"/>
                <w:szCs w:val="28"/>
              </w:rPr>
              <w:t>0</w:t>
            </w:r>
          </w:p>
        </w:tc>
      </w:tr>
      <w:tr w:rsidR="007F6D27" w:rsidRPr="004432C5" w14:paraId="10408B9C"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996"/>
          <w:jc w:val="center"/>
        </w:trPr>
        <w:tc>
          <w:tcPr>
            <w:tcW w:w="1014" w:type="pct"/>
            <w:gridSpan w:val="2"/>
            <w:vAlign w:val="center"/>
          </w:tcPr>
          <w:p w14:paraId="0506D13E" w14:textId="77777777" w:rsidR="007F6D27" w:rsidRPr="00553CF3" w:rsidRDefault="007F6D27" w:rsidP="007F6D27">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t>4. Finanšu līdzekļi papildu izdevumu finansēšanai (kompensējošu izdevumu samazinājumu norāda ar "+" zīmi)</w:t>
            </w:r>
          </w:p>
        </w:tc>
        <w:tc>
          <w:tcPr>
            <w:tcW w:w="627" w:type="pct"/>
            <w:vAlign w:val="center"/>
          </w:tcPr>
          <w:p w14:paraId="7195E77A" w14:textId="77777777" w:rsidR="007F6D27" w:rsidRPr="004432C5" w:rsidRDefault="007F6D27" w:rsidP="007F6D27">
            <w:pPr>
              <w:pStyle w:val="naisf"/>
              <w:spacing w:before="0" w:after="0"/>
              <w:jc w:val="center"/>
              <w:rPr>
                <w:sz w:val="28"/>
                <w:szCs w:val="28"/>
              </w:rPr>
            </w:pPr>
            <w:r>
              <w:rPr>
                <w:sz w:val="28"/>
                <w:szCs w:val="28"/>
              </w:rPr>
              <w:t>0</w:t>
            </w:r>
          </w:p>
        </w:tc>
        <w:tc>
          <w:tcPr>
            <w:tcW w:w="783" w:type="pct"/>
            <w:gridSpan w:val="2"/>
            <w:vAlign w:val="center"/>
          </w:tcPr>
          <w:p w14:paraId="1EDE16C1" w14:textId="77777777" w:rsidR="007F6D27" w:rsidRPr="004432C5" w:rsidRDefault="007F6D27" w:rsidP="007F6D27">
            <w:pPr>
              <w:pStyle w:val="naisf"/>
              <w:spacing w:before="0" w:after="0"/>
              <w:jc w:val="center"/>
              <w:rPr>
                <w:sz w:val="28"/>
                <w:szCs w:val="28"/>
              </w:rPr>
            </w:pPr>
            <w:r>
              <w:rPr>
                <w:sz w:val="28"/>
                <w:szCs w:val="28"/>
              </w:rPr>
              <w:t>0</w:t>
            </w:r>
          </w:p>
        </w:tc>
        <w:tc>
          <w:tcPr>
            <w:tcW w:w="860" w:type="pct"/>
            <w:vAlign w:val="center"/>
          </w:tcPr>
          <w:p w14:paraId="491B9F16" w14:textId="10701AF4" w:rsidR="007F6D27" w:rsidRPr="004432C5" w:rsidRDefault="007F6D27" w:rsidP="007F6D27">
            <w:pPr>
              <w:pStyle w:val="naisf"/>
              <w:spacing w:before="0" w:after="0"/>
              <w:jc w:val="center"/>
              <w:rPr>
                <w:sz w:val="28"/>
                <w:szCs w:val="28"/>
              </w:rPr>
            </w:pPr>
            <w:r>
              <w:rPr>
                <w:sz w:val="28"/>
                <w:szCs w:val="28"/>
              </w:rPr>
              <w:t>1 086 225</w:t>
            </w:r>
          </w:p>
        </w:tc>
        <w:tc>
          <w:tcPr>
            <w:tcW w:w="860" w:type="pct"/>
            <w:vAlign w:val="center"/>
          </w:tcPr>
          <w:p w14:paraId="43B2F8F1" w14:textId="5EFA5AE9" w:rsidR="007F6D27" w:rsidRPr="004432C5" w:rsidRDefault="007F6D27" w:rsidP="007F6D27">
            <w:pPr>
              <w:pStyle w:val="naisf"/>
              <w:spacing w:before="0" w:after="0"/>
              <w:jc w:val="center"/>
              <w:rPr>
                <w:sz w:val="28"/>
                <w:szCs w:val="28"/>
              </w:rPr>
            </w:pPr>
            <w:r>
              <w:rPr>
                <w:sz w:val="28"/>
                <w:szCs w:val="28"/>
              </w:rPr>
              <w:t>2 883 017</w:t>
            </w:r>
          </w:p>
        </w:tc>
        <w:tc>
          <w:tcPr>
            <w:tcW w:w="856" w:type="pct"/>
            <w:vAlign w:val="center"/>
          </w:tcPr>
          <w:p w14:paraId="4405093F" w14:textId="22B3A5D4" w:rsidR="007F6D27" w:rsidRPr="004432C5" w:rsidRDefault="007F6D27" w:rsidP="007F6D27">
            <w:pPr>
              <w:pStyle w:val="naisf"/>
              <w:spacing w:before="0" w:after="0"/>
              <w:jc w:val="center"/>
              <w:rPr>
                <w:sz w:val="28"/>
                <w:szCs w:val="28"/>
              </w:rPr>
            </w:pPr>
            <w:r>
              <w:rPr>
                <w:sz w:val="28"/>
                <w:szCs w:val="28"/>
              </w:rPr>
              <w:t>2 827 878</w:t>
            </w:r>
          </w:p>
        </w:tc>
      </w:tr>
      <w:tr w:rsidR="009B0147" w:rsidRPr="004432C5" w14:paraId="25848719"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58"/>
          <w:jc w:val="center"/>
        </w:trPr>
        <w:tc>
          <w:tcPr>
            <w:tcW w:w="1014" w:type="pct"/>
            <w:gridSpan w:val="2"/>
            <w:vAlign w:val="center"/>
          </w:tcPr>
          <w:p w14:paraId="17388B5C"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t>5. Precizēta finansiālā ietekme:</w:t>
            </w:r>
          </w:p>
        </w:tc>
        <w:tc>
          <w:tcPr>
            <w:tcW w:w="627" w:type="pct"/>
            <w:vAlign w:val="center"/>
          </w:tcPr>
          <w:p w14:paraId="6F46F7ED" w14:textId="77777777" w:rsidR="009B0147" w:rsidRPr="004432C5" w:rsidRDefault="009B0147" w:rsidP="00553CF3">
            <w:pPr>
              <w:pStyle w:val="naisf"/>
              <w:spacing w:before="0" w:after="0"/>
              <w:jc w:val="center"/>
              <w:rPr>
                <w:sz w:val="28"/>
                <w:szCs w:val="28"/>
              </w:rPr>
            </w:pPr>
            <w:r>
              <w:rPr>
                <w:sz w:val="28"/>
                <w:szCs w:val="28"/>
              </w:rPr>
              <w:t>0</w:t>
            </w:r>
          </w:p>
        </w:tc>
        <w:tc>
          <w:tcPr>
            <w:tcW w:w="783" w:type="pct"/>
            <w:gridSpan w:val="2"/>
            <w:vAlign w:val="center"/>
          </w:tcPr>
          <w:p w14:paraId="10A21F16" w14:textId="77777777" w:rsidR="009B0147" w:rsidRPr="004432C5" w:rsidRDefault="009B0147" w:rsidP="00553CF3">
            <w:pPr>
              <w:pStyle w:val="naisf"/>
              <w:spacing w:before="0" w:after="0"/>
              <w:jc w:val="center"/>
              <w:rPr>
                <w:sz w:val="28"/>
                <w:szCs w:val="28"/>
              </w:rPr>
            </w:pPr>
            <w:r>
              <w:rPr>
                <w:sz w:val="28"/>
                <w:szCs w:val="28"/>
              </w:rPr>
              <w:t>0</w:t>
            </w:r>
          </w:p>
        </w:tc>
        <w:tc>
          <w:tcPr>
            <w:tcW w:w="860" w:type="pct"/>
            <w:vAlign w:val="center"/>
          </w:tcPr>
          <w:p w14:paraId="368F3655" w14:textId="77777777" w:rsidR="009B0147" w:rsidRPr="004432C5" w:rsidRDefault="009B0147" w:rsidP="00553CF3">
            <w:pPr>
              <w:spacing w:after="0"/>
              <w:jc w:val="center"/>
              <w:rPr>
                <w:rFonts w:ascii="Times New Roman" w:hAnsi="Times New Roman" w:cs="Times New Roman"/>
                <w:sz w:val="28"/>
                <w:szCs w:val="28"/>
              </w:rPr>
            </w:pPr>
            <w:r>
              <w:rPr>
                <w:sz w:val="28"/>
                <w:szCs w:val="28"/>
              </w:rPr>
              <w:t>0</w:t>
            </w:r>
          </w:p>
        </w:tc>
        <w:tc>
          <w:tcPr>
            <w:tcW w:w="860" w:type="pct"/>
            <w:vAlign w:val="center"/>
          </w:tcPr>
          <w:p w14:paraId="2F241C38" w14:textId="77777777" w:rsidR="009B0147" w:rsidRPr="004432C5" w:rsidRDefault="009B0147" w:rsidP="00553CF3">
            <w:pPr>
              <w:spacing w:after="0"/>
              <w:jc w:val="center"/>
              <w:rPr>
                <w:rFonts w:ascii="Times New Roman" w:hAnsi="Times New Roman" w:cs="Times New Roman"/>
                <w:sz w:val="28"/>
                <w:szCs w:val="28"/>
              </w:rPr>
            </w:pPr>
            <w:r>
              <w:rPr>
                <w:sz w:val="28"/>
                <w:szCs w:val="28"/>
              </w:rPr>
              <w:t>0</w:t>
            </w:r>
          </w:p>
        </w:tc>
        <w:tc>
          <w:tcPr>
            <w:tcW w:w="856" w:type="pct"/>
            <w:vAlign w:val="center"/>
          </w:tcPr>
          <w:p w14:paraId="175B52CF" w14:textId="77777777" w:rsidR="009B0147" w:rsidRPr="004432C5" w:rsidRDefault="009B0147" w:rsidP="00553CF3">
            <w:pPr>
              <w:spacing w:after="0"/>
              <w:jc w:val="center"/>
              <w:rPr>
                <w:rFonts w:ascii="Times New Roman" w:hAnsi="Times New Roman" w:cs="Times New Roman"/>
                <w:sz w:val="28"/>
                <w:szCs w:val="28"/>
              </w:rPr>
            </w:pPr>
            <w:r>
              <w:rPr>
                <w:sz w:val="28"/>
                <w:szCs w:val="28"/>
              </w:rPr>
              <w:t>0</w:t>
            </w:r>
          </w:p>
        </w:tc>
      </w:tr>
      <w:tr w:rsidR="009B0147" w:rsidRPr="004432C5" w14:paraId="59357586"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shd w:val="clear" w:color="auto" w:fill="auto"/>
          </w:tcPr>
          <w:p w14:paraId="683F90E3"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t>6. Detalizēts ieņēmumu un izdevumu aprēķins (ja nepie</w:t>
            </w:r>
            <w:r w:rsidRPr="00553CF3">
              <w:rPr>
                <w:rFonts w:ascii="Times New Roman" w:hAnsi="Times New Roman" w:cs="Times New Roman"/>
                <w:sz w:val="27"/>
                <w:szCs w:val="27"/>
              </w:rPr>
              <w:softHyphen/>
              <w:t xml:space="preserve">ciešams, detalizētu ieņēmumu un izdevumu </w:t>
            </w:r>
            <w:r w:rsidRPr="00553CF3">
              <w:rPr>
                <w:rFonts w:ascii="Times New Roman" w:hAnsi="Times New Roman" w:cs="Times New Roman"/>
                <w:sz w:val="27"/>
                <w:szCs w:val="27"/>
              </w:rPr>
              <w:lastRenderedPageBreak/>
              <w:t>aprēķinu var pie</w:t>
            </w:r>
            <w:r w:rsidRPr="00553CF3">
              <w:rPr>
                <w:rFonts w:ascii="Times New Roman" w:hAnsi="Times New Roman" w:cs="Times New Roman"/>
                <w:sz w:val="27"/>
                <w:szCs w:val="27"/>
              </w:rPr>
              <w:softHyphen/>
              <w:t>vienot anotācijas pielikumā):</w:t>
            </w:r>
          </w:p>
        </w:tc>
        <w:tc>
          <w:tcPr>
            <w:tcW w:w="3986" w:type="pct"/>
            <w:gridSpan w:val="6"/>
            <w:vMerge w:val="restart"/>
            <w:shd w:val="clear" w:color="auto" w:fill="auto"/>
            <w:vAlign w:val="center"/>
          </w:tcPr>
          <w:p w14:paraId="398A4B16" w14:textId="77777777" w:rsidR="00553CF3" w:rsidRDefault="00452D2E" w:rsidP="00553CF3">
            <w:pPr>
              <w:pStyle w:val="naisf"/>
              <w:spacing w:before="60" w:after="0"/>
              <w:ind w:right="25"/>
              <w:jc w:val="both"/>
              <w:rPr>
                <w:sz w:val="28"/>
                <w:szCs w:val="28"/>
              </w:rPr>
            </w:pPr>
            <w:r>
              <w:rPr>
                <w:sz w:val="28"/>
                <w:szCs w:val="28"/>
              </w:rPr>
              <w:lastRenderedPageBreak/>
              <w:t>Ņemot vērā,</w:t>
            </w:r>
            <w:r w:rsidR="00033C6A">
              <w:rPr>
                <w:sz w:val="28"/>
                <w:szCs w:val="28"/>
              </w:rPr>
              <w:t xml:space="preserve"> ka 2017. gadā valsts budžeta līdzfinansējums 1.1.1.1. pasākuma</w:t>
            </w:r>
            <w:r w:rsidR="00924534">
              <w:rPr>
                <w:sz w:val="28"/>
                <w:szCs w:val="28"/>
              </w:rPr>
              <w:t xml:space="preserve"> pirmās atlases kārtas </w:t>
            </w:r>
            <w:r w:rsidR="001D4312">
              <w:rPr>
                <w:sz w:val="28"/>
                <w:szCs w:val="28"/>
              </w:rPr>
              <w:t>projektu iesniegumu īstenošanai</w:t>
            </w:r>
            <w:r w:rsidR="00033C6A">
              <w:rPr>
                <w:sz w:val="28"/>
                <w:szCs w:val="28"/>
              </w:rPr>
              <w:t xml:space="preserve"> </w:t>
            </w:r>
            <w:r w:rsidR="008A54A2">
              <w:rPr>
                <w:sz w:val="28"/>
                <w:szCs w:val="28"/>
              </w:rPr>
              <w:t>tiek nodrošināts saskaņā pašreizējā noteikumos Nr. 34 ietvertā regulējuma nosacījumiem</w:t>
            </w:r>
            <w:r w:rsidR="00033C6A">
              <w:rPr>
                <w:sz w:val="28"/>
                <w:szCs w:val="28"/>
              </w:rPr>
              <w:t xml:space="preserve">, noteikumu projektam 2017. gadā nav finansiālās ietekmes uz valsts un pašvaldību budžetiem. </w:t>
            </w:r>
          </w:p>
          <w:p w14:paraId="2B086CF2" w14:textId="71C19B3F" w:rsidR="00033C6A" w:rsidRDefault="00033C6A" w:rsidP="00553CF3">
            <w:pPr>
              <w:pStyle w:val="naisf"/>
              <w:spacing w:before="120" w:after="0"/>
              <w:ind w:right="25"/>
              <w:jc w:val="both"/>
              <w:rPr>
                <w:sz w:val="28"/>
                <w:szCs w:val="28"/>
              </w:rPr>
            </w:pPr>
            <w:r>
              <w:rPr>
                <w:sz w:val="28"/>
                <w:szCs w:val="28"/>
              </w:rPr>
              <w:lastRenderedPageBreak/>
              <w:t>Savukārt sākot ar 2018. gadu</w:t>
            </w:r>
            <w:r w:rsidR="00924534">
              <w:rPr>
                <w:sz w:val="28"/>
                <w:szCs w:val="28"/>
              </w:rPr>
              <w:t>,</w:t>
            </w:r>
            <w:r>
              <w:rPr>
                <w:sz w:val="28"/>
                <w:szCs w:val="28"/>
              </w:rPr>
              <w:t xml:space="preserve"> 1.1.1.1. pasākuma īstenošanai no valsts budžeta līdzekļiem</w:t>
            </w:r>
            <w:r w:rsidR="00452D2E">
              <w:rPr>
                <w:sz w:val="28"/>
                <w:szCs w:val="28"/>
              </w:rPr>
              <w:t xml:space="preserve"> nepieciešams papildfinansējums</w:t>
            </w:r>
            <w:r>
              <w:rPr>
                <w:sz w:val="28"/>
                <w:szCs w:val="28"/>
              </w:rPr>
              <w:t xml:space="preserve"> saskaņā ar noteikumu projektā noteikto</w:t>
            </w:r>
            <w:r w:rsidR="001D4312">
              <w:rPr>
                <w:sz w:val="28"/>
                <w:szCs w:val="28"/>
              </w:rPr>
              <w:t xml:space="preserve"> – kopsummā sastādot </w:t>
            </w:r>
            <w:r w:rsidR="005F5642">
              <w:rPr>
                <w:sz w:val="28"/>
                <w:szCs w:val="28"/>
              </w:rPr>
              <w:t>6 </w:t>
            </w:r>
            <w:r w:rsidR="001F5140">
              <w:rPr>
                <w:sz w:val="28"/>
                <w:szCs w:val="28"/>
              </w:rPr>
              <w:t>797</w:t>
            </w:r>
            <w:r w:rsidR="005F5642">
              <w:rPr>
                <w:sz w:val="28"/>
                <w:szCs w:val="28"/>
              </w:rPr>
              <w:t xml:space="preserve"> </w:t>
            </w:r>
            <w:r w:rsidR="001F5140">
              <w:rPr>
                <w:sz w:val="28"/>
                <w:szCs w:val="28"/>
              </w:rPr>
              <w:t>12</w:t>
            </w:r>
            <w:r w:rsidR="00167D25">
              <w:rPr>
                <w:sz w:val="28"/>
                <w:szCs w:val="28"/>
              </w:rPr>
              <w:t>0</w:t>
            </w:r>
            <w:bookmarkStart w:id="5" w:name="_GoBack"/>
            <w:bookmarkEnd w:id="5"/>
            <w:r w:rsidR="00924534">
              <w:rPr>
                <w:sz w:val="28"/>
                <w:szCs w:val="28"/>
              </w:rPr>
              <w:t xml:space="preserve"> </w:t>
            </w:r>
            <w:r w:rsidR="00924534">
              <w:rPr>
                <w:i/>
                <w:sz w:val="28"/>
                <w:szCs w:val="28"/>
              </w:rPr>
              <w:t>euro</w:t>
            </w:r>
            <w:r w:rsidR="001F5140">
              <w:rPr>
                <w:i/>
                <w:sz w:val="28"/>
                <w:szCs w:val="28"/>
              </w:rPr>
              <w:t xml:space="preserve"> </w:t>
            </w:r>
            <w:r w:rsidR="001F5140">
              <w:rPr>
                <w:sz w:val="28"/>
                <w:szCs w:val="28"/>
              </w:rPr>
              <w:t>(laika posmā no 2018. līdz 2020. gadam)</w:t>
            </w:r>
            <w:r>
              <w:rPr>
                <w:sz w:val="28"/>
                <w:szCs w:val="28"/>
              </w:rPr>
              <w:t xml:space="preserve">. </w:t>
            </w:r>
            <w:r w:rsidR="001D4312">
              <w:rPr>
                <w:sz w:val="28"/>
                <w:szCs w:val="28"/>
              </w:rPr>
              <w:t>Veicot aprēķinus</w:t>
            </w:r>
            <w:r w:rsidR="00452D2E">
              <w:rPr>
                <w:sz w:val="28"/>
                <w:szCs w:val="28"/>
              </w:rPr>
              <w:t>,</w:t>
            </w:r>
            <w:r w:rsidR="001D4312">
              <w:rPr>
                <w:sz w:val="28"/>
                <w:szCs w:val="28"/>
              </w:rPr>
              <w:t xml:space="preserve"> indikatīvi tiek pieņemts, ka projekta iesniegumu</w:t>
            </w:r>
            <w:r w:rsidR="00506A0B">
              <w:rPr>
                <w:sz w:val="28"/>
                <w:szCs w:val="28"/>
              </w:rPr>
              <w:t xml:space="preserve"> īstenošanas laiks ir 3 gadi un</w:t>
            </w:r>
            <w:r w:rsidR="001D4312">
              <w:rPr>
                <w:sz w:val="28"/>
                <w:szCs w:val="28"/>
              </w:rPr>
              <w:t xml:space="preserve"> valsts budžeta līdzfinansējums tiek izlietots proporcionāli pa </w:t>
            </w:r>
            <w:r w:rsidR="00506A0B">
              <w:rPr>
                <w:sz w:val="28"/>
                <w:szCs w:val="28"/>
              </w:rPr>
              <w:t xml:space="preserve">projekta īstenošanas </w:t>
            </w:r>
            <w:r w:rsidR="001D4312">
              <w:rPr>
                <w:sz w:val="28"/>
                <w:szCs w:val="28"/>
              </w:rPr>
              <w:t xml:space="preserve">gadiem, proti viena trešdaļa no paredzētā finansējuma katru gadu. </w:t>
            </w:r>
            <w:r w:rsidR="00924534">
              <w:rPr>
                <w:sz w:val="28"/>
                <w:szCs w:val="28"/>
              </w:rPr>
              <w:t xml:space="preserve">Ievērojot iepriekš minētos pieņēmumus, </w:t>
            </w:r>
            <w:r>
              <w:rPr>
                <w:sz w:val="28"/>
                <w:szCs w:val="28"/>
              </w:rPr>
              <w:t>2018. gadā nepieciešamā papildfin</w:t>
            </w:r>
            <w:r w:rsidR="00924534">
              <w:rPr>
                <w:sz w:val="28"/>
                <w:szCs w:val="28"/>
              </w:rPr>
              <w:t xml:space="preserve">ansējuma apmērs ir </w:t>
            </w:r>
            <w:r w:rsidR="00F406E6">
              <w:rPr>
                <w:sz w:val="28"/>
                <w:szCs w:val="28"/>
              </w:rPr>
              <w:t>1 </w:t>
            </w:r>
            <w:r w:rsidR="001F5140">
              <w:rPr>
                <w:sz w:val="28"/>
                <w:szCs w:val="28"/>
              </w:rPr>
              <w:t>086</w:t>
            </w:r>
            <w:r w:rsidR="00F406E6">
              <w:rPr>
                <w:sz w:val="28"/>
                <w:szCs w:val="28"/>
              </w:rPr>
              <w:t xml:space="preserve"> </w:t>
            </w:r>
            <w:r w:rsidR="001F5140">
              <w:rPr>
                <w:sz w:val="28"/>
                <w:szCs w:val="28"/>
              </w:rPr>
              <w:t>225</w:t>
            </w:r>
            <w:r w:rsidR="00924534">
              <w:rPr>
                <w:sz w:val="28"/>
                <w:szCs w:val="28"/>
              </w:rPr>
              <w:t> </w:t>
            </w:r>
            <w:r>
              <w:rPr>
                <w:i/>
                <w:sz w:val="28"/>
                <w:szCs w:val="28"/>
              </w:rPr>
              <w:t>euro</w:t>
            </w:r>
            <w:r>
              <w:rPr>
                <w:sz w:val="28"/>
                <w:szCs w:val="28"/>
              </w:rPr>
              <w:t xml:space="preserve">, pieņemot, ka </w:t>
            </w:r>
            <w:r w:rsidR="001D4312">
              <w:rPr>
                <w:sz w:val="28"/>
                <w:szCs w:val="28"/>
              </w:rPr>
              <w:t>šajā gadā nepieciešamais</w:t>
            </w:r>
            <w:r w:rsidR="00452D2E">
              <w:rPr>
                <w:sz w:val="28"/>
                <w:szCs w:val="28"/>
              </w:rPr>
              <w:t xml:space="preserve"> valsts budžeta līdzfinansējums</w:t>
            </w:r>
            <w:r w:rsidR="001D4312">
              <w:rPr>
                <w:sz w:val="28"/>
                <w:szCs w:val="28"/>
              </w:rPr>
              <w:t xml:space="preserve"> </w:t>
            </w:r>
            <w:r w:rsidR="00924534">
              <w:rPr>
                <w:sz w:val="28"/>
                <w:szCs w:val="28"/>
              </w:rPr>
              <w:t>ir 143 </w:t>
            </w:r>
            <w:r w:rsidR="001F5140">
              <w:rPr>
                <w:sz w:val="28"/>
                <w:szCs w:val="28"/>
              </w:rPr>
              <w:t>599</w:t>
            </w:r>
            <w:r w:rsidR="00924534">
              <w:rPr>
                <w:sz w:val="28"/>
                <w:szCs w:val="28"/>
              </w:rPr>
              <w:t> </w:t>
            </w:r>
            <w:r w:rsidR="001D4312">
              <w:rPr>
                <w:i/>
                <w:sz w:val="28"/>
                <w:szCs w:val="28"/>
              </w:rPr>
              <w:t>euro</w:t>
            </w:r>
            <w:r w:rsidR="001D4312">
              <w:rPr>
                <w:sz w:val="28"/>
                <w:szCs w:val="28"/>
              </w:rPr>
              <w:t xml:space="preserve"> </w:t>
            </w:r>
            <w:r w:rsidR="00924534">
              <w:rPr>
                <w:sz w:val="28"/>
                <w:szCs w:val="28"/>
              </w:rPr>
              <w:t xml:space="preserve">1.1.1.1. pasākuma </w:t>
            </w:r>
            <w:r w:rsidR="001D4312">
              <w:rPr>
                <w:sz w:val="28"/>
                <w:szCs w:val="28"/>
              </w:rPr>
              <w:t xml:space="preserve">pirmās atlases kārtas </w:t>
            </w:r>
            <w:r w:rsidR="00924534">
              <w:rPr>
                <w:sz w:val="28"/>
                <w:szCs w:val="28"/>
              </w:rPr>
              <w:t xml:space="preserve">projektu iesniegumu īstenošanai </w:t>
            </w:r>
            <w:r w:rsidR="001D4312">
              <w:rPr>
                <w:sz w:val="28"/>
                <w:szCs w:val="28"/>
              </w:rPr>
              <w:t>(ierobežotā apmērā, ņemot vērā, ka 2018. gadā gandrīz pilnā apmērā tiks nodrošināts valsts budžeta līdzfinansējums no 1.1.1.1. pasākuma īstenošanai paredzētajiem valsts budžeta līdzekļiem</w:t>
            </w:r>
            <w:r w:rsidR="00506A0B">
              <w:rPr>
                <w:sz w:val="28"/>
                <w:szCs w:val="28"/>
              </w:rPr>
              <w:t>, kas noteikti pašreiz spēkā esošo noteikumu Nr. 34 11. punktā</w:t>
            </w:r>
            <w:r w:rsidR="001D4312">
              <w:rPr>
                <w:sz w:val="28"/>
                <w:szCs w:val="28"/>
              </w:rPr>
              <w:t>) un otrās atlases kārtas pirmā gada</w:t>
            </w:r>
            <w:r w:rsidR="00452D2E">
              <w:rPr>
                <w:sz w:val="28"/>
                <w:szCs w:val="28"/>
              </w:rPr>
              <w:t xml:space="preserve"> projektu iesniegumu</w:t>
            </w:r>
            <w:r w:rsidR="001D4312">
              <w:rPr>
                <w:sz w:val="28"/>
                <w:szCs w:val="28"/>
              </w:rPr>
              <w:t xml:space="preserve"> īstenošanai</w:t>
            </w:r>
            <w:r w:rsidR="00924534">
              <w:rPr>
                <w:sz w:val="28"/>
                <w:szCs w:val="28"/>
              </w:rPr>
              <w:t xml:space="preserve"> –</w:t>
            </w:r>
            <w:r w:rsidR="001D4312">
              <w:rPr>
                <w:sz w:val="28"/>
                <w:szCs w:val="28"/>
              </w:rPr>
              <w:t xml:space="preserve"> </w:t>
            </w:r>
            <w:r w:rsidR="001F5140">
              <w:rPr>
                <w:sz w:val="28"/>
                <w:szCs w:val="28"/>
              </w:rPr>
              <w:t>942 626</w:t>
            </w:r>
            <w:r w:rsidR="001D4312">
              <w:rPr>
                <w:sz w:val="28"/>
                <w:szCs w:val="28"/>
              </w:rPr>
              <w:t xml:space="preserve"> </w:t>
            </w:r>
            <w:r w:rsidR="001D4312">
              <w:rPr>
                <w:i/>
                <w:sz w:val="28"/>
                <w:szCs w:val="28"/>
              </w:rPr>
              <w:t xml:space="preserve">euro. </w:t>
            </w:r>
          </w:p>
          <w:p w14:paraId="7D483BB4" w14:textId="62C9C11E" w:rsidR="001D4312" w:rsidRDefault="001D4312" w:rsidP="00553CF3">
            <w:pPr>
              <w:pStyle w:val="naisf"/>
              <w:spacing w:before="0" w:after="0"/>
              <w:ind w:right="25"/>
              <w:jc w:val="both"/>
              <w:rPr>
                <w:i/>
                <w:sz w:val="28"/>
                <w:szCs w:val="28"/>
              </w:rPr>
            </w:pPr>
            <w:r>
              <w:rPr>
                <w:sz w:val="28"/>
                <w:szCs w:val="28"/>
              </w:rPr>
              <w:t>2019. gadā nepieciešamais valsts budžeta līdzfinansējums</w:t>
            </w:r>
            <w:r w:rsidR="00452D2E">
              <w:rPr>
                <w:sz w:val="28"/>
                <w:szCs w:val="28"/>
              </w:rPr>
              <w:t xml:space="preserve"> kopsummā</w:t>
            </w:r>
            <w:r>
              <w:rPr>
                <w:sz w:val="28"/>
                <w:szCs w:val="28"/>
              </w:rPr>
              <w:t xml:space="preserve"> sastāda</w:t>
            </w:r>
            <w:r w:rsidR="00452D2E">
              <w:rPr>
                <w:sz w:val="28"/>
                <w:szCs w:val="28"/>
              </w:rPr>
              <w:t xml:space="preserve"> </w:t>
            </w:r>
            <w:r w:rsidR="00F406E6">
              <w:rPr>
                <w:sz w:val="28"/>
                <w:szCs w:val="28"/>
              </w:rPr>
              <w:t>2 </w:t>
            </w:r>
            <w:r w:rsidR="001F5140">
              <w:rPr>
                <w:sz w:val="28"/>
                <w:szCs w:val="28"/>
              </w:rPr>
              <w:t>883</w:t>
            </w:r>
            <w:r w:rsidR="00F406E6">
              <w:rPr>
                <w:sz w:val="28"/>
                <w:szCs w:val="28"/>
              </w:rPr>
              <w:t xml:space="preserve"> </w:t>
            </w:r>
            <w:r w:rsidR="001F5140">
              <w:rPr>
                <w:sz w:val="28"/>
                <w:szCs w:val="28"/>
              </w:rPr>
              <w:t>017</w:t>
            </w:r>
            <w:r w:rsidR="00452D2E">
              <w:rPr>
                <w:sz w:val="28"/>
                <w:szCs w:val="28"/>
              </w:rPr>
              <w:t xml:space="preserve"> </w:t>
            </w:r>
            <w:r w:rsidR="00452D2E">
              <w:rPr>
                <w:i/>
                <w:sz w:val="28"/>
                <w:szCs w:val="28"/>
              </w:rPr>
              <w:t>euro</w:t>
            </w:r>
            <w:r w:rsidR="00452D2E">
              <w:rPr>
                <w:sz w:val="28"/>
                <w:szCs w:val="28"/>
              </w:rPr>
              <w:t>, kur</w:t>
            </w:r>
            <w:r>
              <w:rPr>
                <w:sz w:val="28"/>
                <w:szCs w:val="28"/>
              </w:rPr>
              <w:t xml:space="preserve"> </w:t>
            </w:r>
            <w:r w:rsidR="001F5140">
              <w:rPr>
                <w:sz w:val="28"/>
                <w:szCs w:val="28"/>
              </w:rPr>
              <w:t>997 765</w:t>
            </w:r>
            <w:r>
              <w:rPr>
                <w:sz w:val="28"/>
                <w:szCs w:val="28"/>
              </w:rPr>
              <w:t xml:space="preserve"> </w:t>
            </w:r>
            <w:r>
              <w:rPr>
                <w:i/>
                <w:sz w:val="28"/>
                <w:szCs w:val="28"/>
              </w:rPr>
              <w:t>euro</w:t>
            </w:r>
            <w:r w:rsidR="00452D2E">
              <w:rPr>
                <w:sz w:val="28"/>
                <w:szCs w:val="28"/>
              </w:rPr>
              <w:t xml:space="preserve"> 1.1.1.1. </w:t>
            </w:r>
            <w:r>
              <w:rPr>
                <w:sz w:val="28"/>
                <w:szCs w:val="28"/>
              </w:rPr>
              <w:t>pasākuma pirmās atlases kārtas ietvaros nepieciešamā valsts budžeta</w:t>
            </w:r>
            <w:r w:rsidR="00452D2E">
              <w:rPr>
                <w:sz w:val="28"/>
                <w:szCs w:val="28"/>
              </w:rPr>
              <w:t xml:space="preserve"> līdzfinansējuma nodrošināšanai</w:t>
            </w:r>
            <w:r>
              <w:rPr>
                <w:sz w:val="28"/>
                <w:szCs w:val="28"/>
              </w:rPr>
              <w:t xml:space="preserve"> </w:t>
            </w:r>
            <w:r w:rsidR="00924534">
              <w:rPr>
                <w:sz w:val="28"/>
                <w:szCs w:val="28"/>
              </w:rPr>
              <w:t xml:space="preserve">un </w:t>
            </w:r>
            <w:r w:rsidR="001F5140">
              <w:rPr>
                <w:sz w:val="28"/>
                <w:szCs w:val="28"/>
              </w:rPr>
              <w:t>1 885 252</w:t>
            </w:r>
            <w:r w:rsidR="00452D2E">
              <w:rPr>
                <w:sz w:val="28"/>
                <w:szCs w:val="28"/>
              </w:rPr>
              <w:t xml:space="preserve"> </w:t>
            </w:r>
            <w:r w:rsidR="00452D2E">
              <w:rPr>
                <w:i/>
                <w:sz w:val="28"/>
                <w:szCs w:val="28"/>
              </w:rPr>
              <w:t xml:space="preserve">euro </w:t>
            </w:r>
            <w:r>
              <w:rPr>
                <w:sz w:val="28"/>
                <w:szCs w:val="28"/>
              </w:rPr>
              <w:t>otrās</w:t>
            </w:r>
            <w:r w:rsidR="00924534">
              <w:rPr>
                <w:sz w:val="28"/>
                <w:szCs w:val="28"/>
              </w:rPr>
              <w:t xml:space="preserve"> un trešās </w:t>
            </w:r>
            <w:r>
              <w:rPr>
                <w:sz w:val="28"/>
                <w:szCs w:val="28"/>
              </w:rPr>
              <w:t xml:space="preserve"> atlases kārtas ietvaros</w:t>
            </w:r>
            <w:r w:rsidR="00452D2E">
              <w:rPr>
                <w:sz w:val="28"/>
                <w:szCs w:val="28"/>
              </w:rPr>
              <w:t xml:space="preserve"> nepieciešamā valsts budžeta līdzfinansējuma nodrošināšanai</w:t>
            </w:r>
            <w:r w:rsidR="00553CF3">
              <w:rPr>
                <w:sz w:val="28"/>
                <w:szCs w:val="28"/>
              </w:rPr>
              <w:t> </w:t>
            </w:r>
            <w:r>
              <w:rPr>
                <w:sz w:val="28"/>
                <w:szCs w:val="28"/>
              </w:rPr>
              <w:t xml:space="preserve">– </w:t>
            </w:r>
            <w:r w:rsidR="001F5140">
              <w:rPr>
                <w:sz w:val="28"/>
                <w:szCs w:val="28"/>
              </w:rPr>
              <w:t>942 626</w:t>
            </w:r>
            <w:r>
              <w:rPr>
                <w:sz w:val="28"/>
                <w:szCs w:val="28"/>
              </w:rPr>
              <w:t xml:space="preserve"> </w:t>
            </w:r>
            <w:r>
              <w:rPr>
                <w:i/>
                <w:sz w:val="28"/>
                <w:szCs w:val="28"/>
              </w:rPr>
              <w:t>euro</w:t>
            </w:r>
            <w:r w:rsidR="00924534">
              <w:rPr>
                <w:sz w:val="28"/>
                <w:szCs w:val="28"/>
              </w:rPr>
              <w:t xml:space="preserve"> katrā</w:t>
            </w:r>
            <w:r>
              <w:rPr>
                <w:i/>
                <w:sz w:val="28"/>
                <w:szCs w:val="28"/>
              </w:rPr>
              <w:t>.</w:t>
            </w:r>
          </w:p>
          <w:p w14:paraId="1D99A455" w14:textId="1FC017AC" w:rsidR="001D4312" w:rsidRDefault="001D4312" w:rsidP="007F6D27">
            <w:pPr>
              <w:pStyle w:val="naisf"/>
              <w:spacing w:before="0" w:after="0"/>
              <w:ind w:right="23"/>
              <w:jc w:val="both"/>
              <w:rPr>
                <w:i/>
                <w:sz w:val="28"/>
                <w:szCs w:val="28"/>
              </w:rPr>
            </w:pPr>
            <w:r>
              <w:rPr>
                <w:sz w:val="28"/>
                <w:szCs w:val="28"/>
              </w:rPr>
              <w:t xml:space="preserve">2020. gadā nepieciešamais valsts budžeta līdzfinansējums </w:t>
            </w:r>
            <w:r w:rsidR="00924534">
              <w:rPr>
                <w:sz w:val="28"/>
                <w:szCs w:val="28"/>
              </w:rPr>
              <w:t>ir</w:t>
            </w:r>
            <w:r>
              <w:rPr>
                <w:sz w:val="28"/>
                <w:szCs w:val="28"/>
              </w:rPr>
              <w:t xml:space="preserve"> </w:t>
            </w:r>
            <w:r w:rsidR="001F5140">
              <w:rPr>
                <w:sz w:val="28"/>
                <w:szCs w:val="28"/>
              </w:rPr>
              <w:t>2 827 87</w:t>
            </w:r>
            <w:r w:rsidR="007F6D27">
              <w:rPr>
                <w:sz w:val="28"/>
                <w:szCs w:val="28"/>
              </w:rPr>
              <w:t>8</w:t>
            </w:r>
            <w:r w:rsidR="00452D2E">
              <w:rPr>
                <w:sz w:val="28"/>
                <w:szCs w:val="28"/>
              </w:rPr>
              <w:t xml:space="preserve"> </w:t>
            </w:r>
            <w:r w:rsidR="00452D2E" w:rsidRPr="00452D2E">
              <w:rPr>
                <w:sz w:val="28"/>
                <w:szCs w:val="28"/>
              </w:rPr>
              <w:t>euro</w:t>
            </w:r>
            <w:r w:rsidR="00452D2E">
              <w:rPr>
                <w:sz w:val="28"/>
                <w:szCs w:val="28"/>
              </w:rPr>
              <w:t xml:space="preserve"> – </w:t>
            </w:r>
            <w:r w:rsidR="00F406E6">
              <w:rPr>
                <w:sz w:val="28"/>
                <w:szCs w:val="28"/>
              </w:rPr>
              <w:t xml:space="preserve"> </w:t>
            </w:r>
            <w:r w:rsidR="001F5140">
              <w:rPr>
                <w:sz w:val="28"/>
                <w:szCs w:val="28"/>
              </w:rPr>
              <w:t>942 626</w:t>
            </w:r>
            <w:r>
              <w:rPr>
                <w:sz w:val="28"/>
                <w:szCs w:val="28"/>
              </w:rPr>
              <w:t xml:space="preserve"> </w:t>
            </w:r>
            <w:r>
              <w:rPr>
                <w:i/>
                <w:sz w:val="28"/>
                <w:szCs w:val="28"/>
              </w:rPr>
              <w:t>euro</w:t>
            </w:r>
            <w:r>
              <w:rPr>
                <w:sz w:val="28"/>
                <w:szCs w:val="28"/>
              </w:rPr>
              <w:t xml:space="preserve"> katrā no 1.1.1.1. pasākuma otrās, trešās un ceturtās atlases kārtas ietvaros nepieciešamā valsts budžeta līdzfinansējuma nodrošināšanai</w:t>
            </w:r>
            <w:r>
              <w:rPr>
                <w:i/>
                <w:sz w:val="28"/>
                <w:szCs w:val="28"/>
              </w:rPr>
              <w:t>.</w:t>
            </w:r>
          </w:p>
          <w:p w14:paraId="2DBF0C2E" w14:textId="591E78F4" w:rsidR="007F6D27" w:rsidRPr="00553CF3" w:rsidRDefault="007F6D27" w:rsidP="007F6D27">
            <w:pPr>
              <w:pStyle w:val="naisf"/>
              <w:spacing w:before="0" w:after="0"/>
              <w:ind w:right="23"/>
              <w:jc w:val="both"/>
              <w:rPr>
                <w:i/>
                <w:sz w:val="28"/>
                <w:szCs w:val="28"/>
              </w:rPr>
            </w:pPr>
            <w:r>
              <w:rPr>
                <w:sz w:val="28"/>
                <w:szCs w:val="28"/>
              </w:rPr>
              <w:t xml:space="preserve">2021. gadā nepieciešamais valsts budžeta līdzfinansējums ir 1 885 252 </w:t>
            </w:r>
            <w:r w:rsidRPr="00452D2E">
              <w:rPr>
                <w:sz w:val="28"/>
                <w:szCs w:val="28"/>
              </w:rPr>
              <w:t>euro</w:t>
            </w:r>
            <w:r>
              <w:rPr>
                <w:sz w:val="28"/>
                <w:szCs w:val="28"/>
              </w:rPr>
              <w:t xml:space="preserve"> –  942 626 </w:t>
            </w:r>
            <w:r>
              <w:rPr>
                <w:i/>
                <w:sz w:val="28"/>
                <w:szCs w:val="28"/>
              </w:rPr>
              <w:t>euro</w:t>
            </w:r>
            <w:r>
              <w:rPr>
                <w:sz w:val="28"/>
                <w:szCs w:val="28"/>
              </w:rPr>
              <w:t xml:space="preserve"> katrā no 1.1.1.1. pasākuma trešās un ceturtās atlases kārtas ietvaros nepieciešamā valsts budžeta līdzfinansējuma nodrošināšanai</w:t>
            </w:r>
            <w:r>
              <w:rPr>
                <w:i/>
                <w:sz w:val="28"/>
                <w:szCs w:val="28"/>
              </w:rPr>
              <w:t>.</w:t>
            </w:r>
          </w:p>
          <w:p w14:paraId="512C508E" w14:textId="1A4A00DD" w:rsidR="007F6D27" w:rsidRPr="007F6D27" w:rsidRDefault="007F6D27" w:rsidP="007F6D27">
            <w:pPr>
              <w:pStyle w:val="naisf"/>
              <w:spacing w:before="0" w:after="0"/>
              <w:ind w:right="23"/>
              <w:jc w:val="both"/>
              <w:rPr>
                <w:i/>
                <w:sz w:val="28"/>
                <w:szCs w:val="28"/>
              </w:rPr>
            </w:pPr>
            <w:r>
              <w:rPr>
                <w:sz w:val="28"/>
                <w:szCs w:val="28"/>
              </w:rPr>
              <w:t xml:space="preserve">2022. gadā nepieciešamais valsts budžeta līdzfinansējums ir 942 628 </w:t>
            </w:r>
            <w:r>
              <w:rPr>
                <w:i/>
                <w:sz w:val="28"/>
                <w:szCs w:val="28"/>
              </w:rPr>
              <w:t>euro</w:t>
            </w:r>
            <w:r>
              <w:rPr>
                <w:sz w:val="28"/>
                <w:szCs w:val="28"/>
              </w:rPr>
              <w:t xml:space="preserve"> – 1.1.1.1. pasākuma ceturtās atlases kārtas ietvaros nepieciešamā valsts budžeta līdzfinansējuma nodrošināšanai</w:t>
            </w:r>
            <w:r>
              <w:rPr>
                <w:i/>
                <w:sz w:val="28"/>
                <w:szCs w:val="28"/>
              </w:rPr>
              <w:t>.</w:t>
            </w:r>
          </w:p>
          <w:p w14:paraId="41774B30" w14:textId="6CD64DE6" w:rsidR="001D4312" w:rsidRDefault="001D4312" w:rsidP="007F6D27">
            <w:pPr>
              <w:pStyle w:val="naisf"/>
              <w:spacing w:before="120" w:after="120"/>
              <w:ind w:right="23"/>
              <w:jc w:val="both"/>
              <w:rPr>
                <w:sz w:val="28"/>
                <w:szCs w:val="28"/>
              </w:rPr>
            </w:pPr>
            <w:r>
              <w:rPr>
                <w:sz w:val="28"/>
                <w:szCs w:val="28"/>
              </w:rPr>
              <w:t xml:space="preserve">Ievērojot, ka 1.1.1.1. pasākuma finanšu snieguma rezerve jau sākotnēji tika plānota 1.1.1.3. pasākuma </w:t>
            </w:r>
            <w:r w:rsidR="00DD4946" w:rsidRPr="00643C4B">
              <w:rPr>
                <w:sz w:val="28"/>
                <w:szCs w:val="28"/>
              </w:rPr>
              <w:t>„</w:t>
            </w:r>
            <w:r>
              <w:rPr>
                <w:sz w:val="28"/>
                <w:szCs w:val="28"/>
              </w:rPr>
              <w:t xml:space="preserve">Inovācijas granti studentiem” ietvaros, arī papildu nepieciešamā valsts budžeta </w:t>
            </w:r>
            <w:r>
              <w:rPr>
                <w:sz w:val="28"/>
                <w:szCs w:val="28"/>
              </w:rPr>
              <w:lastRenderedPageBreak/>
              <w:t xml:space="preserve">līdzfinansējuma snieguma rezerve </w:t>
            </w:r>
            <w:r w:rsidR="008A54A2">
              <w:rPr>
                <w:sz w:val="28"/>
                <w:szCs w:val="28"/>
              </w:rPr>
              <w:t>587</w:t>
            </w:r>
            <w:r>
              <w:rPr>
                <w:sz w:val="28"/>
                <w:szCs w:val="28"/>
              </w:rPr>
              <w:t> </w:t>
            </w:r>
            <w:r w:rsidR="008A54A2">
              <w:rPr>
                <w:sz w:val="28"/>
                <w:szCs w:val="28"/>
              </w:rPr>
              <w:t>079</w:t>
            </w:r>
            <w:r>
              <w:rPr>
                <w:sz w:val="28"/>
                <w:szCs w:val="28"/>
              </w:rPr>
              <w:t xml:space="preserve"> </w:t>
            </w:r>
            <w:r>
              <w:rPr>
                <w:i/>
                <w:sz w:val="28"/>
                <w:szCs w:val="28"/>
              </w:rPr>
              <w:t>euro</w:t>
            </w:r>
            <w:r>
              <w:rPr>
                <w:sz w:val="28"/>
                <w:szCs w:val="28"/>
              </w:rPr>
              <w:t xml:space="preserve"> apmērā tiek ietverta 1.1.1.3. pasākum</w:t>
            </w:r>
            <w:r w:rsidR="00905C12">
              <w:rPr>
                <w:sz w:val="28"/>
                <w:szCs w:val="28"/>
              </w:rPr>
              <w:t>ā</w:t>
            </w:r>
            <w:r>
              <w:rPr>
                <w:sz w:val="28"/>
                <w:szCs w:val="28"/>
              </w:rPr>
              <w:t xml:space="preserve"> </w:t>
            </w:r>
            <w:r w:rsidR="00250F1A" w:rsidRPr="00643C4B">
              <w:rPr>
                <w:sz w:val="28"/>
                <w:szCs w:val="28"/>
              </w:rPr>
              <w:t>„</w:t>
            </w:r>
            <w:r>
              <w:rPr>
                <w:sz w:val="28"/>
                <w:szCs w:val="28"/>
              </w:rPr>
              <w:t>Inovācijas granti studentiem”</w:t>
            </w:r>
            <w:r w:rsidR="00905C12">
              <w:rPr>
                <w:sz w:val="28"/>
                <w:szCs w:val="28"/>
              </w:rPr>
              <w:t>.</w:t>
            </w:r>
          </w:p>
          <w:p w14:paraId="188C4B67" w14:textId="48D1C419" w:rsidR="00033C6A" w:rsidRPr="004432C5" w:rsidRDefault="00033C6A" w:rsidP="00553CF3">
            <w:pPr>
              <w:pStyle w:val="naisf"/>
              <w:spacing w:before="0" w:after="0"/>
              <w:ind w:right="25"/>
              <w:jc w:val="both"/>
              <w:rPr>
                <w:sz w:val="28"/>
                <w:szCs w:val="28"/>
              </w:rPr>
            </w:pPr>
            <w:r>
              <w:rPr>
                <w:sz w:val="28"/>
                <w:szCs w:val="28"/>
              </w:rPr>
              <w:t xml:space="preserve">Nepieciešamais finansējums maksājumu veikšanai finansējuma saņēmējiem tiks pieprasīts normatīvajos aktos noteiktajā kārtībā no valsts budžeta programmas </w:t>
            </w:r>
            <w:r w:rsidRPr="007D62C7">
              <w:rPr>
                <w:sz w:val="28"/>
                <w:szCs w:val="28"/>
              </w:rPr>
              <w:t xml:space="preserve">80.00.00 </w:t>
            </w:r>
            <w:r w:rsidR="00250F1A" w:rsidRPr="00643C4B">
              <w:rPr>
                <w:sz w:val="28"/>
                <w:szCs w:val="28"/>
              </w:rPr>
              <w:t>„</w:t>
            </w:r>
            <w:r w:rsidRPr="007D62C7">
              <w:rPr>
                <w:sz w:val="28"/>
                <w:szCs w:val="28"/>
              </w:rPr>
              <w:t>Nesadalītais finansējums Eiropas Savienības politiku instrumentu un pārējās ārvalstu finanšu palīdzības līdzfinansēto projektu un pasākumu īstenošanai</w:t>
            </w:r>
            <w:r w:rsidR="00924534">
              <w:rPr>
                <w:sz w:val="28"/>
                <w:szCs w:val="28"/>
              </w:rPr>
              <w:t>”</w:t>
            </w:r>
            <w:r w:rsidR="00553CF3">
              <w:rPr>
                <w:sz w:val="28"/>
                <w:szCs w:val="28"/>
              </w:rPr>
              <w:t>.</w:t>
            </w:r>
          </w:p>
        </w:tc>
      </w:tr>
      <w:tr w:rsidR="009B0147" w:rsidRPr="004432C5" w14:paraId="148C2247"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tcPr>
          <w:p w14:paraId="72EA7DFA"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lastRenderedPageBreak/>
              <w:t>6.1. detalizēts ieņēmumu aprēķins</w:t>
            </w:r>
          </w:p>
        </w:tc>
        <w:tc>
          <w:tcPr>
            <w:tcW w:w="3986" w:type="pct"/>
            <w:gridSpan w:val="6"/>
            <w:vMerge/>
          </w:tcPr>
          <w:p w14:paraId="28EFDA08" w14:textId="77777777" w:rsidR="009B0147" w:rsidRPr="004432C5" w:rsidRDefault="009B0147" w:rsidP="009B0147">
            <w:pPr>
              <w:pStyle w:val="naisf"/>
              <w:spacing w:before="0" w:after="0"/>
              <w:ind w:left="57" w:right="113"/>
              <w:rPr>
                <w:b/>
                <w:i/>
                <w:sz w:val="28"/>
                <w:szCs w:val="28"/>
              </w:rPr>
            </w:pPr>
          </w:p>
        </w:tc>
      </w:tr>
      <w:tr w:rsidR="009B0147" w:rsidRPr="004432C5" w14:paraId="1415A048"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014" w:type="pct"/>
            <w:gridSpan w:val="2"/>
            <w:tcBorders>
              <w:bottom w:val="single" w:sz="4" w:space="0" w:color="auto"/>
            </w:tcBorders>
          </w:tcPr>
          <w:p w14:paraId="5F0BA833" w14:textId="77777777" w:rsidR="009B0147" w:rsidRPr="00553CF3" w:rsidRDefault="009B0147" w:rsidP="00553CF3">
            <w:pPr>
              <w:spacing w:after="0" w:line="240" w:lineRule="auto"/>
              <w:rPr>
                <w:rFonts w:ascii="Times New Roman" w:hAnsi="Times New Roman" w:cs="Times New Roman"/>
                <w:sz w:val="27"/>
                <w:szCs w:val="27"/>
              </w:rPr>
            </w:pPr>
            <w:r w:rsidRPr="00553CF3">
              <w:rPr>
                <w:rFonts w:ascii="Times New Roman" w:hAnsi="Times New Roman" w:cs="Times New Roman"/>
                <w:sz w:val="27"/>
                <w:szCs w:val="27"/>
              </w:rPr>
              <w:t>6.2. detalizēts izdevumu aprēķins</w:t>
            </w:r>
          </w:p>
        </w:tc>
        <w:tc>
          <w:tcPr>
            <w:tcW w:w="3986" w:type="pct"/>
            <w:gridSpan w:val="6"/>
            <w:vMerge/>
            <w:tcBorders>
              <w:bottom w:val="single" w:sz="4" w:space="0" w:color="auto"/>
            </w:tcBorders>
          </w:tcPr>
          <w:p w14:paraId="5D40A563" w14:textId="77777777" w:rsidR="009B0147" w:rsidRPr="004432C5" w:rsidRDefault="009B0147" w:rsidP="009B0147">
            <w:pPr>
              <w:pStyle w:val="naisf"/>
              <w:spacing w:before="0" w:after="0"/>
              <w:ind w:left="57" w:right="113"/>
              <w:rPr>
                <w:b/>
                <w:i/>
                <w:sz w:val="28"/>
                <w:szCs w:val="28"/>
              </w:rPr>
            </w:pPr>
          </w:p>
        </w:tc>
      </w:tr>
      <w:tr w:rsidR="009B0147" w:rsidRPr="004432C5" w14:paraId="3AEE1E34" w14:textId="77777777" w:rsidTr="007F6D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66"/>
          <w:jc w:val="center"/>
        </w:trPr>
        <w:tc>
          <w:tcPr>
            <w:tcW w:w="1014" w:type="pct"/>
            <w:gridSpan w:val="2"/>
            <w:tcBorders>
              <w:bottom w:val="single" w:sz="4" w:space="0" w:color="auto"/>
            </w:tcBorders>
          </w:tcPr>
          <w:p w14:paraId="1CB2B16A" w14:textId="77777777" w:rsidR="009B0147" w:rsidRPr="004432C5" w:rsidRDefault="009B0147" w:rsidP="00553CF3">
            <w:pPr>
              <w:spacing w:after="0"/>
              <w:rPr>
                <w:rFonts w:ascii="Times New Roman" w:hAnsi="Times New Roman" w:cs="Times New Roman"/>
                <w:sz w:val="28"/>
                <w:szCs w:val="28"/>
              </w:rPr>
            </w:pPr>
            <w:r w:rsidRPr="004432C5">
              <w:rPr>
                <w:rFonts w:ascii="Times New Roman" w:hAnsi="Times New Roman" w:cs="Times New Roman"/>
                <w:sz w:val="28"/>
                <w:szCs w:val="28"/>
              </w:rPr>
              <w:t>7. Cita informācija</w:t>
            </w:r>
          </w:p>
        </w:tc>
        <w:tc>
          <w:tcPr>
            <w:tcW w:w="3986" w:type="pct"/>
            <w:gridSpan w:val="6"/>
            <w:tcBorders>
              <w:bottom w:val="single" w:sz="4" w:space="0" w:color="auto"/>
            </w:tcBorders>
          </w:tcPr>
          <w:p w14:paraId="0E4CFF62" w14:textId="77777777" w:rsidR="009B0147" w:rsidRPr="004432C5" w:rsidRDefault="009B0147" w:rsidP="00553CF3">
            <w:pPr>
              <w:spacing w:after="0"/>
              <w:ind w:right="85"/>
              <w:jc w:val="both"/>
              <w:rPr>
                <w:rFonts w:ascii="Times New Roman" w:hAnsi="Times New Roman" w:cs="Times New Roman"/>
                <w:color w:val="000000" w:themeColor="text1"/>
                <w:sz w:val="28"/>
                <w:szCs w:val="28"/>
              </w:rPr>
            </w:pPr>
            <w:r w:rsidRPr="004432C5">
              <w:rPr>
                <w:rFonts w:ascii="Times New Roman" w:hAnsi="Times New Roman" w:cs="Times New Roman"/>
                <w:color w:val="000000" w:themeColor="text1"/>
                <w:sz w:val="28"/>
                <w:szCs w:val="28"/>
              </w:rPr>
              <w:t xml:space="preserve"> </w:t>
            </w:r>
            <w:r w:rsidRPr="00643C4B">
              <w:rPr>
                <w:rFonts w:ascii="Times New Roman" w:eastAsia="Times New Roman" w:hAnsi="Times New Roman" w:cs="Times New Roman"/>
                <w:sz w:val="28"/>
                <w:szCs w:val="28"/>
                <w:lang w:eastAsia="lv-LV"/>
              </w:rPr>
              <w:t>Nav.</w:t>
            </w:r>
          </w:p>
        </w:tc>
      </w:tr>
      <w:tr w:rsidR="009B0147" w:rsidRPr="00643C4B" w14:paraId="7E6C2D22" w14:textId="77777777" w:rsidTr="007F6D27">
        <w:tblPrEx>
          <w:jc w:val="center"/>
          <w:tblInd w:w="0" w:type="dxa"/>
        </w:tblPrEx>
        <w:trPr>
          <w:trHeight w:val="375"/>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3E835FF" w14:textId="77777777" w:rsidR="009B0147" w:rsidRPr="00643C4B" w:rsidRDefault="009B0147" w:rsidP="009B014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VII. Tiesību akta projekta izpildes nodrošināšana un tās ietekme uz institūcijām</w:t>
            </w:r>
          </w:p>
        </w:tc>
      </w:tr>
      <w:tr w:rsidR="009B0147" w:rsidRPr="00643C4B" w14:paraId="27594D3B" w14:textId="77777777" w:rsidTr="007F6D27">
        <w:tblPrEx>
          <w:jc w:val="center"/>
          <w:tblInd w:w="0" w:type="dxa"/>
        </w:tblPrEx>
        <w:trPr>
          <w:trHeight w:val="420"/>
          <w:jc w:val="center"/>
        </w:trPr>
        <w:tc>
          <w:tcPr>
            <w:tcW w:w="252" w:type="pct"/>
            <w:tcBorders>
              <w:top w:val="single" w:sz="4" w:space="0" w:color="auto"/>
              <w:left w:val="outset" w:sz="6" w:space="0" w:color="414142"/>
              <w:bottom w:val="outset" w:sz="6" w:space="0" w:color="414142"/>
              <w:right w:val="outset" w:sz="6" w:space="0" w:color="414142"/>
            </w:tcBorders>
            <w:hideMark/>
          </w:tcPr>
          <w:p w14:paraId="170C65B8" w14:textId="77777777" w:rsidR="009B0147" w:rsidRPr="00643C4B" w:rsidRDefault="009B0147" w:rsidP="009B014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899" w:type="pct"/>
            <w:gridSpan w:val="3"/>
            <w:tcBorders>
              <w:top w:val="single" w:sz="4" w:space="0" w:color="auto"/>
              <w:left w:val="outset" w:sz="6" w:space="0" w:color="414142"/>
              <w:bottom w:val="outset" w:sz="6" w:space="0" w:color="414142"/>
              <w:right w:val="outset" w:sz="6" w:space="0" w:color="414142"/>
            </w:tcBorders>
            <w:hideMark/>
          </w:tcPr>
          <w:p w14:paraId="51A6FAC4" w14:textId="77777777" w:rsidR="009B0147" w:rsidRPr="00643C4B" w:rsidRDefault="009B0147" w:rsidP="009B014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izpildē iesaistītās institūcijas</w:t>
            </w:r>
          </w:p>
        </w:tc>
        <w:tc>
          <w:tcPr>
            <w:tcW w:w="2850" w:type="pct"/>
            <w:gridSpan w:val="4"/>
            <w:tcBorders>
              <w:top w:val="single" w:sz="4" w:space="0" w:color="auto"/>
              <w:left w:val="outset" w:sz="6" w:space="0" w:color="414142"/>
              <w:bottom w:val="outset" w:sz="6" w:space="0" w:color="414142"/>
              <w:right w:val="outset" w:sz="6" w:space="0" w:color="414142"/>
            </w:tcBorders>
            <w:hideMark/>
          </w:tcPr>
          <w:p w14:paraId="0DEF1084" w14:textId="77777777" w:rsidR="009B0147" w:rsidRPr="00643C4B" w:rsidRDefault="009B0147" w:rsidP="00553CF3">
            <w:pPr>
              <w:spacing w:after="0" w:line="240" w:lineRule="auto"/>
              <w:ind w:left="180"/>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Izglītības un zinātnes ministrija.</w:t>
            </w:r>
          </w:p>
        </w:tc>
      </w:tr>
      <w:tr w:rsidR="009B0147" w:rsidRPr="00643C4B" w14:paraId="5AC5D798" w14:textId="77777777" w:rsidTr="007F6D27">
        <w:tblPrEx>
          <w:jc w:val="center"/>
          <w:tblInd w:w="0" w:type="dxa"/>
        </w:tblPrEx>
        <w:trPr>
          <w:trHeight w:val="450"/>
          <w:jc w:val="center"/>
        </w:trPr>
        <w:tc>
          <w:tcPr>
            <w:tcW w:w="252" w:type="pct"/>
            <w:tcBorders>
              <w:top w:val="outset" w:sz="6" w:space="0" w:color="414142"/>
              <w:left w:val="outset" w:sz="6" w:space="0" w:color="414142"/>
              <w:bottom w:val="outset" w:sz="6" w:space="0" w:color="414142"/>
              <w:right w:val="outset" w:sz="6" w:space="0" w:color="414142"/>
            </w:tcBorders>
            <w:hideMark/>
          </w:tcPr>
          <w:p w14:paraId="27F48988" w14:textId="77777777" w:rsidR="009B0147" w:rsidRPr="00643C4B" w:rsidRDefault="009B0147" w:rsidP="009B014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899" w:type="pct"/>
            <w:gridSpan w:val="3"/>
            <w:tcBorders>
              <w:top w:val="outset" w:sz="6" w:space="0" w:color="414142"/>
              <w:left w:val="outset" w:sz="6" w:space="0" w:color="414142"/>
              <w:bottom w:val="outset" w:sz="6" w:space="0" w:color="414142"/>
              <w:right w:val="outset" w:sz="6" w:space="0" w:color="414142"/>
            </w:tcBorders>
            <w:hideMark/>
          </w:tcPr>
          <w:p w14:paraId="6B4CE99D" w14:textId="77777777" w:rsidR="009B0147" w:rsidRPr="00643C4B" w:rsidRDefault="009B0147" w:rsidP="009B014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izpildes ietekme uz pārvaldes funkcijām un institucionālo struktūru.</w:t>
            </w:r>
          </w:p>
          <w:p w14:paraId="00AB299F" w14:textId="77777777" w:rsidR="009B0147" w:rsidRPr="00643C4B" w:rsidRDefault="009B0147" w:rsidP="009B0147">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gridSpan w:val="4"/>
            <w:tcBorders>
              <w:top w:val="outset" w:sz="6" w:space="0" w:color="414142"/>
              <w:left w:val="outset" w:sz="6" w:space="0" w:color="414142"/>
              <w:bottom w:val="outset" w:sz="6" w:space="0" w:color="414142"/>
              <w:right w:val="outset" w:sz="6" w:space="0" w:color="414142"/>
            </w:tcBorders>
            <w:hideMark/>
          </w:tcPr>
          <w:p w14:paraId="4168565C" w14:textId="77777777" w:rsidR="009B0147" w:rsidRPr="00643C4B" w:rsidRDefault="009B0147" w:rsidP="00553CF3">
            <w:pPr>
              <w:spacing w:after="0" w:line="252" w:lineRule="auto"/>
              <w:ind w:left="180" w:right="245"/>
              <w:jc w:val="both"/>
              <w:rPr>
                <w:rFonts w:ascii="Times New Roman" w:hAnsi="Times New Roman" w:cs="Times New Roman"/>
                <w:sz w:val="28"/>
                <w:szCs w:val="28"/>
              </w:rPr>
            </w:pPr>
            <w:r w:rsidRPr="00643C4B">
              <w:rPr>
                <w:rFonts w:ascii="Times New Roman" w:hAnsi="Times New Roman" w:cs="Times New Roman"/>
                <w:sz w:val="28"/>
                <w:szCs w:val="28"/>
              </w:rPr>
              <w:t>Netiek paplašinātas vai sašaurinātas esošo institūciju funkcijas, kā arī nav nepieciešams veidot jaunas institūcijas, likvidēt vai reorganizēt esošās institūcijas. Noteikumu projekta izpilde neietekmēs institūcijas cilvēkresursus.</w:t>
            </w:r>
          </w:p>
        </w:tc>
      </w:tr>
      <w:tr w:rsidR="009B0147" w:rsidRPr="00643C4B" w14:paraId="0CF573B2" w14:textId="77777777" w:rsidTr="007F6D27">
        <w:tblPrEx>
          <w:jc w:val="center"/>
          <w:tblInd w:w="0" w:type="dxa"/>
        </w:tblPrEx>
        <w:trPr>
          <w:trHeight w:val="390"/>
          <w:jc w:val="center"/>
        </w:trPr>
        <w:tc>
          <w:tcPr>
            <w:tcW w:w="252" w:type="pct"/>
            <w:tcBorders>
              <w:top w:val="outset" w:sz="6" w:space="0" w:color="414142"/>
              <w:left w:val="outset" w:sz="6" w:space="0" w:color="414142"/>
              <w:bottom w:val="outset" w:sz="6" w:space="0" w:color="414142"/>
              <w:right w:val="outset" w:sz="6" w:space="0" w:color="414142"/>
            </w:tcBorders>
            <w:hideMark/>
          </w:tcPr>
          <w:p w14:paraId="72ECD528" w14:textId="77777777" w:rsidR="009B0147" w:rsidRPr="00643C4B" w:rsidRDefault="009B0147" w:rsidP="009B014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3.</w:t>
            </w:r>
          </w:p>
        </w:tc>
        <w:tc>
          <w:tcPr>
            <w:tcW w:w="1899" w:type="pct"/>
            <w:gridSpan w:val="3"/>
            <w:tcBorders>
              <w:top w:val="outset" w:sz="6" w:space="0" w:color="414142"/>
              <w:left w:val="outset" w:sz="6" w:space="0" w:color="414142"/>
              <w:bottom w:val="outset" w:sz="6" w:space="0" w:color="414142"/>
              <w:right w:val="outset" w:sz="6" w:space="0" w:color="414142"/>
            </w:tcBorders>
            <w:hideMark/>
          </w:tcPr>
          <w:p w14:paraId="02BA51CD" w14:textId="77777777" w:rsidR="009B0147" w:rsidRPr="00643C4B" w:rsidRDefault="009B0147" w:rsidP="009B014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2850" w:type="pct"/>
            <w:gridSpan w:val="4"/>
            <w:tcBorders>
              <w:top w:val="outset" w:sz="6" w:space="0" w:color="414142"/>
              <w:left w:val="outset" w:sz="6" w:space="0" w:color="414142"/>
              <w:bottom w:val="outset" w:sz="6" w:space="0" w:color="414142"/>
              <w:right w:val="outset" w:sz="6" w:space="0" w:color="414142"/>
            </w:tcBorders>
            <w:hideMark/>
          </w:tcPr>
          <w:p w14:paraId="40E0D919" w14:textId="77777777" w:rsidR="009B0147" w:rsidRPr="00643C4B" w:rsidRDefault="009B0147" w:rsidP="00553CF3">
            <w:pPr>
              <w:spacing w:after="0" w:line="252" w:lineRule="auto"/>
              <w:ind w:left="180"/>
              <w:rPr>
                <w:rFonts w:ascii="Times New Roman" w:hAnsi="Times New Roman" w:cs="Times New Roman"/>
                <w:sz w:val="28"/>
                <w:szCs w:val="28"/>
              </w:rPr>
            </w:pPr>
            <w:r w:rsidRPr="00643C4B">
              <w:rPr>
                <w:rFonts w:ascii="Times New Roman" w:hAnsi="Times New Roman" w:cs="Times New Roman"/>
                <w:sz w:val="28"/>
                <w:szCs w:val="28"/>
              </w:rPr>
              <w:t>Nav.</w:t>
            </w:r>
          </w:p>
        </w:tc>
      </w:tr>
    </w:tbl>
    <w:p w14:paraId="3AC1DD42" w14:textId="3189961F" w:rsidR="00805665" w:rsidRPr="00643C4B" w:rsidRDefault="00805665" w:rsidP="00553CF3">
      <w:pPr>
        <w:spacing w:before="120" w:after="0" w:line="252" w:lineRule="auto"/>
        <w:rPr>
          <w:rFonts w:ascii="Times New Roman" w:hAnsi="Times New Roman" w:cs="Times New Roman"/>
          <w:sz w:val="28"/>
          <w:szCs w:val="28"/>
        </w:rPr>
      </w:pPr>
      <w:r w:rsidRPr="00643C4B">
        <w:rPr>
          <w:rFonts w:ascii="Times New Roman" w:hAnsi="Times New Roman" w:cs="Times New Roman"/>
          <w:sz w:val="28"/>
          <w:szCs w:val="28"/>
        </w:rPr>
        <w:t xml:space="preserve">Anotācijas </w:t>
      </w:r>
      <w:r w:rsidR="003C1C9E">
        <w:rPr>
          <w:rFonts w:ascii="Times New Roman" w:hAnsi="Times New Roman" w:cs="Times New Roman"/>
          <w:sz w:val="28"/>
          <w:szCs w:val="28"/>
        </w:rPr>
        <w:t xml:space="preserve">IV, </w:t>
      </w:r>
      <w:r w:rsidRPr="00643C4B">
        <w:rPr>
          <w:rFonts w:ascii="Times New Roman" w:hAnsi="Times New Roman" w:cs="Times New Roman"/>
          <w:sz w:val="28"/>
          <w:szCs w:val="28"/>
        </w:rPr>
        <w:t>V</w:t>
      </w:r>
      <w:r w:rsidR="003C1C9E">
        <w:rPr>
          <w:rFonts w:ascii="Times New Roman" w:hAnsi="Times New Roman" w:cs="Times New Roman"/>
          <w:sz w:val="28"/>
          <w:szCs w:val="28"/>
        </w:rPr>
        <w:t xml:space="preserve"> un VI</w:t>
      </w:r>
      <w:r w:rsidRPr="00643C4B">
        <w:rPr>
          <w:rFonts w:ascii="Times New Roman" w:hAnsi="Times New Roman" w:cs="Times New Roman"/>
          <w:sz w:val="28"/>
          <w:szCs w:val="28"/>
        </w:rPr>
        <w:t xml:space="preserve"> sadaļa – noteikumu projekts šīs jomas neskar. </w:t>
      </w:r>
    </w:p>
    <w:p w14:paraId="0650F9F5" w14:textId="77777777" w:rsidR="00553CF3" w:rsidRDefault="00553CF3" w:rsidP="00805665">
      <w:pPr>
        <w:spacing w:after="0" w:line="252" w:lineRule="auto"/>
        <w:ind w:firstLine="567"/>
        <w:jc w:val="both"/>
        <w:rPr>
          <w:rFonts w:ascii="Times New Roman" w:hAnsi="Times New Roman" w:cs="Times New Roman"/>
          <w:sz w:val="28"/>
          <w:szCs w:val="28"/>
        </w:rPr>
      </w:pPr>
    </w:p>
    <w:p w14:paraId="399A3010" w14:textId="77777777" w:rsidR="00553CF3" w:rsidRDefault="00553CF3" w:rsidP="00805665">
      <w:pPr>
        <w:spacing w:after="0" w:line="252" w:lineRule="auto"/>
        <w:ind w:firstLine="567"/>
        <w:jc w:val="both"/>
        <w:rPr>
          <w:rFonts w:ascii="Times New Roman" w:hAnsi="Times New Roman" w:cs="Times New Roman"/>
          <w:sz w:val="28"/>
          <w:szCs w:val="28"/>
        </w:rPr>
      </w:pPr>
    </w:p>
    <w:p w14:paraId="550874B2" w14:textId="39C410CB" w:rsidR="00805665" w:rsidRDefault="00805665" w:rsidP="00553CF3">
      <w:pPr>
        <w:spacing w:after="0" w:line="252" w:lineRule="auto"/>
        <w:ind w:firstLine="567"/>
        <w:jc w:val="both"/>
        <w:rPr>
          <w:rFonts w:ascii="Times New Roman" w:hAnsi="Times New Roman" w:cs="Times New Roman"/>
          <w:sz w:val="28"/>
          <w:szCs w:val="28"/>
        </w:rPr>
      </w:pPr>
      <w:r w:rsidRPr="00643C4B">
        <w:rPr>
          <w:rFonts w:ascii="Times New Roman" w:hAnsi="Times New Roman" w:cs="Times New Roman"/>
          <w:sz w:val="28"/>
          <w:szCs w:val="28"/>
        </w:rPr>
        <w:t xml:space="preserve">Izglītības un zinātnes ministrs                                          </w:t>
      </w:r>
      <w:r w:rsidRPr="00643C4B">
        <w:rPr>
          <w:rFonts w:ascii="Times New Roman" w:hAnsi="Times New Roman" w:cs="Times New Roman"/>
          <w:sz w:val="28"/>
          <w:szCs w:val="28"/>
        </w:rPr>
        <w:tab/>
        <w:t>K. Šadurskis</w:t>
      </w:r>
    </w:p>
    <w:p w14:paraId="769BBBAF" w14:textId="77777777" w:rsidR="00553CF3" w:rsidRDefault="00553CF3" w:rsidP="00553CF3">
      <w:pPr>
        <w:spacing w:after="0" w:line="252" w:lineRule="auto"/>
        <w:ind w:firstLine="567"/>
        <w:jc w:val="both"/>
        <w:rPr>
          <w:rFonts w:ascii="Times New Roman" w:eastAsia="Times New Roman" w:hAnsi="Times New Roman" w:cs="Times New Roman"/>
          <w:b/>
          <w:sz w:val="28"/>
          <w:szCs w:val="28"/>
          <w:lang w:eastAsia="lv-LV"/>
        </w:rPr>
      </w:pPr>
    </w:p>
    <w:p w14:paraId="6B32B738" w14:textId="77777777" w:rsidR="00553CF3" w:rsidRPr="00553CF3" w:rsidRDefault="00553CF3" w:rsidP="00553CF3">
      <w:pPr>
        <w:spacing w:after="0" w:line="252" w:lineRule="auto"/>
        <w:ind w:firstLine="567"/>
        <w:jc w:val="both"/>
        <w:rPr>
          <w:rFonts w:ascii="Times New Roman" w:eastAsia="Times New Roman" w:hAnsi="Times New Roman" w:cs="Times New Roman"/>
          <w:b/>
          <w:sz w:val="28"/>
          <w:szCs w:val="28"/>
          <w:lang w:eastAsia="lv-LV"/>
        </w:rPr>
      </w:pPr>
    </w:p>
    <w:p w14:paraId="4071B1EC" w14:textId="77777777" w:rsidR="00805665" w:rsidRPr="00643C4B" w:rsidRDefault="00805665" w:rsidP="00805665">
      <w:pPr>
        <w:pStyle w:val="naisf"/>
        <w:spacing w:before="0" w:after="0" w:line="252" w:lineRule="auto"/>
        <w:ind w:firstLine="567"/>
        <w:rPr>
          <w:sz w:val="28"/>
          <w:szCs w:val="28"/>
        </w:rPr>
      </w:pPr>
      <w:r w:rsidRPr="00643C4B">
        <w:rPr>
          <w:sz w:val="28"/>
          <w:szCs w:val="28"/>
        </w:rPr>
        <w:t xml:space="preserve">Vīza: </w:t>
      </w:r>
    </w:p>
    <w:p w14:paraId="40705C32" w14:textId="4B0035AD" w:rsidR="007201D6" w:rsidRPr="00643C4B" w:rsidRDefault="00AA1382" w:rsidP="00EC2449">
      <w:pPr>
        <w:spacing w:after="0" w:line="252" w:lineRule="auto"/>
        <w:ind w:left="567"/>
        <w:jc w:val="both"/>
        <w:rPr>
          <w:rFonts w:ascii="Times New Roman" w:hAnsi="Times New Roman"/>
          <w:sz w:val="28"/>
          <w:szCs w:val="28"/>
        </w:rPr>
      </w:pPr>
      <w:r w:rsidRPr="00AA1382">
        <w:rPr>
          <w:rFonts w:ascii="Times New Roman" w:hAnsi="Times New Roman" w:cs="Times New Roman"/>
          <w:sz w:val="28"/>
          <w:szCs w:val="28"/>
        </w:rPr>
        <w:t>Valsts sekretār</w:t>
      </w:r>
      <w:r w:rsidR="00EC2449">
        <w:rPr>
          <w:rFonts w:ascii="Times New Roman" w:hAnsi="Times New Roman" w:cs="Times New Roman"/>
          <w:sz w:val="28"/>
          <w:szCs w:val="28"/>
        </w:rPr>
        <w:t>e</w:t>
      </w:r>
      <w:r w:rsidRPr="00AA1382">
        <w:rPr>
          <w:rFonts w:ascii="Times New Roman" w:hAnsi="Times New Roman" w:cs="Times New Roman"/>
          <w:sz w:val="28"/>
          <w:szCs w:val="28"/>
        </w:rPr>
        <w:tab/>
      </w:r>
      <w:r>
        <w:rPr>
          <w:rFonts w:ascii="Times New Roman" w:hAnsi="Times New Roman"/>
          <w:sz w:val="28"/>
          <w:szCs w:val="28"/>
        </w:rPr>
        <w:tab/>
      </w:r>
      <w:r w:rsidR="007201D6" w:rsidRPr="00643C4B">
        <w:rPr>
          <w:rFonts w:ascii="Times New Roman" w:hAnsi="Times New Roman"/>
          <w:sz w:val="28"/>
          <w:szCs w:val="28"/>
        </w:rPr>
        <w:tab/>
      </w:r>
      <w:r w:rsidR="00EC2449">
        <w:rPr>
          <w:rFonts w:ascii="Times New Roman" w:hAnsi="Times New Roman"/>
          <w:sz w:val="28"/>
          <w:szCs w:val="28"/>
        </w:rPr>
        <w:tab/>
      </w:r>
      <w:r w:rsidR="00EC2449">
        <w:rPr>
          <w:rFonts w:ascii="Times New Roman" w:hAnsi="Times New Roman"/>
          <w:sz w:val="28"/>
          <w:szCs w:val="28"/>
        </w:rPr>
        <w:tab/>
      </w:r>
      <w:r w:rsidR="00EC2449">
        <w:rPr>
          <w:rFonts w:ascii="Times New Roman" w:hAnsi="Times New Roman"/>
          <w:sz w:val="28"/>
          <w:szCs w:val="28"/>
        </w:rPr>
        <w:tab/>
      </w:r>
      <w:r w:rsidR="00EC2449">
        <w:rPr>
          <w:rFonts w:ascii="Times New Roman" w:hAnsi="Times New Roman"/>
          <w:sz w:val="28"/>
          <w:szCs w:val="28"/>
        </w:rPr>
        <w:tab/>
        <w:t xml:space="preserve">L. Lejiņa </w:t>
      </w:r>
    </w:p>
    <w:p w14:paraId="318DB28C" w14:textId="77777777" w:rsidR="00805665" w:rsidRPr="00643C4B" w:rsidRDefault="00805665" w:rsidP="00805665">
      <w:pPr>
        <w:tabs>
          <w:tab w:val="left" w:pos="6426"/>
        </w:tabs>
        <w:spacing w:after="0" w:line="252" w:lineRule="auto"/>
        <w:rPr>
          <w:rFonts w:ascii="Times New Roman" w:eastAsia="Times New Roman" w:hAnsi="Times New Roman" w:cs="Times New Roman"/>
          <w:sz w:val="20"/>
          <w:szCs w:val="20"/>
          <w:lang w:eastAsia="lv-LV"/>
        </w:rPr>
      </w:pPr>
    </w:p>
    <w:p w14:paraId="24076A2C" w14:textId="77777777" w:rsidR="00805665" w:rsidRDefault="00805665" w:rsidP="00805665">
      <w:pPr>
        <w:tabs>
          <w:tab w:val="left" w:pos="6426"/>
        </w:tabs>
        <w:spacing w:after="0" w:line="252" w:lineRule="auto"/>
        <w:rPr>
          <w:rFonts w:ascii="Times New Roman" w:eastAsia="Times New Roman" w:hAnsi="Times New Roman" w:cs="Times New Roman"/>
          <w:sz w:val="20"/>
          <w:szCs w:val="20"/>
          <w:lang w:eastAsia="lv-LV"/>
        </w:rPr>
      </w:pPr>
    </w:p>
    <w:p w14:paraId="621809EF" w14:textId="77777777" w:rsidR="00EC2449" w:rsidRPr="00643C4B" w:rsidRDefault="00EC2449" w:rsidP="00805665">
      <w:pPr>
        <w:tabs>
          <w:tab w:val="left" w:pos="6426"/>
        </w:tabs>
        <w:spacing w:after="0" w:line="252" w:lineRule="auto"/>
        <w:rPr>
          <w:rFonts w:ascii="Times New Roman" w:eastAsia="Times New Roman" w:hAnsi="Times New Roman" w:cs="Times New Roman"/>
          <w:sz w:val="20"/>
          <w:szCs w:val="20"/>
          <w:lang w:eastAsia="lv-LV"/>
        </w:rPr>
      </w:pPr>
    </w:p>
    <w:p w14:paraId="2770D860" w14:textId="77777777" w:rsidR="00805665" w:rsidRPr="00643C4B" w:rsidRDefault="00917D81" w:rsidP="00805665">
      <w:pPr>
        <w:spacing w:after="0" w:line="252" w:lineRule="auto"/>
        <w:rPr>
          <w:rFonts w:ascii="Times New Roman" w:eastAsia="Times New Roman" w:hAnsi="Times New Roman" w:cs="Times New Roman"/>
          <w:sz w:val="20"/>
          <w:szCs w:val="20"/>
          <w:lang w:eastAsia="lv-LV"/>
        </w:rPr>
      </w:pPr>
      <w:r w:rsidRPr="00643C4B">
        <w:rPr>
          <w:rFonts w:ascii="Times New Roman" w:eastAsia="Times New Roman" w:hAnsi="Times New Roman" w:cs="Times New Roman"/>
          <w:sz w:val="20"/>
          <w:szCs w:val="20"/>
          <w:lang w:eastAsia="lv-LV"/>
        </w:rPr>
        <w:fldChar w:fldCharType="begin"/>
      </w:r>
      <w:r w:rsidR="00805665" w:rsidRPr="00643C4B">
        <w:rPr>
          <w:rFonts w:ascii="Times New Roman" w:eastAsia="Times New Roman" w:hAnsi="Times New Roman" w:cs="Times New Roman"/>
          <w:sz w:val="20"/>
          <w:szCs w:val="20"/>
          <w:lang w:eastAsia="lv-LV"/>
        </w:rPr>
        <w:instrText xml:space="preserve"> DATE  \@ "dd.MM.yyyy HH:mm" </w:instrText>
      </w:r>
      <w:r w:rsidRPr="00643C4B">
        <w:rPr>
          <w:rFonts w:ascii="Times New Roman" w:eastAsia="Times New Roman" w:hAnsi="Times New Roman" w:cs="Times New Roman"/>
          <w:sz w:val="20"/>
          <w:szCs w:val="20"/>
          <w:lang w:eastAsia="lv-LV"/>
        </w:rPr>
        <w:fldChar w:fldCharType="separate"/>
      </w:r>
      <w:r w:rsidR="00167D25">
        <w:rPr>
          <w:rFonts w:ascii="Times New Roman" w:eastAsia="Times New Roman" w:hAnsi="Times New Roman" w:cs="Times New Roman"/>
          <w:noProof/>
          <w:sz w:val="20"/>
          <w:szCs w:val="20"/>
          <w:lang w:eastAsia="lv-LV"/>
        </w:rPr>
        <w:t>30.03.2017 11:41</w:t>
      </w:r>
      <w:r w:rsidRPr="00643C4B">
        <w:rPr>
          <w:rFonts w:ascii="Times New Roman" w:eastAsia="Times New Roman" w:hAnsi="Times New Roman" w:cs="Times New Roman"/>
          <w:sz w:val="20"/>
          <w:szCs w:val="20"/>
          <w:lang w:eastAsia="lv-LV"/>
        </w:rPr>
        <w:fldChar w:fldCharType="end"/>
      </w:r>
    </w:p>
    <w:p w14:paraId="2F29B58A" w14:textId="427E0774" w:rsidR="00805665" w:rsidRDefault="000341AA" w:rsidP="00805665">
      <w:pPr>
        <w:spacing w:after="0" w:line="252" w:lineRule="auto"/>
        <w:rPr>
          <w:rFonts w:ascii="Times New Roman" w:hAnsi="Times New Roman" w:cs="Times New Roman"/>
          <w:noProof/>
          <w:sz w:val="20"/>
          <w:szCs w:val="20"/>
        </w:rPr>
      </w:pPr>
      <w:fldSimple w:instr=" NUMWORDS   \* MERGEFORMAT ">
        <w:r w:rsidR="00DD4946" w:rsidRPr="00DD4946">
          <w:rPr>
            <w:rFonts w:ascii="Times New Roman" w:hAnsi="Times New Roman" w:cs="Times New Roman"/>
            <w:noProof/>
            <w:sz w:val="20"/>
            <w:szCs w:val="20"/>
          </w:rPr>
          <w:t>1639</w:t>
        </w:r>
      </w:fldSimple>
    </w:p>
    <w:p w14:paraId="6E2640BA" w14:textId="77777777" w:rsidR="00E055A0" w:rsidRDefault="00964F42" w:rsidP="00964F42">
      <w:pPr>
        <w:spacing w:after="0" w:line="252" w:lineRule="auto"/>
        <w:rPr>
          <w:rFonts w:ascii="Times New Roman" w:hAnsi="Times New Roman"/>
          <w:sz w:val="20"/>
          <w:szCs w:val="20"/>
        </w:rPr>
      </w:pPr>
      <w:proofErr w:type="spellStart"/>
      <w:r>
        <w:rPr>
          <w:rFonts w:ascii="Times New Roman" w:hAnsi="Times New Roman"/>
          <w:sz w:val="20"/>
          <w:szCs w:val="20"/>
        </w:rPr>
        <w:t>I.Griķe</w:t>
      </w:r>
      <w:proofErr w:type="spellEnd"/>
      <w:r w:rsidR="00E055A0">
        <w:rPr>
          <w:rFonts w:ascii="Times New Roman" w:hAnsi="Times New Roman"/>
          <w:sz w:val="20"/>
          <w:szCs w:val="20"/>
        </w:rPr>
        <w:t>, 67047861</w:t>
      </w:r>
    </w:p>
    <w:p w14:paraId="4C8E185B" w14:textId="77777777" w:rsidR="00964F42" w:rsidRDefault="00EF3C31" w:rsidP="00964F42">
      <w:pPr>
        <w:spacing w:after="0" w:line="252" w:lineRule="auto"/>
        <w:rPr>
          <w:rFonts w:ascii="Times New Roman" w:hAnsi="Times New Roman"/>
          <w:sz w:val="20"/>
          <w:szCs w:val="20"/>
        </w:rPr>
      </w:pPr>
      <w:hyperlink r:id="rId8" w:history="1">
        <w:r w:rsidR="00964F42" w:rsidRPr="00575330">
          <w:rPr>
            <w:rStyle w:val="Hyperlink"/>
            <w:rFonts w:ascii="Times New Roman" w:hAnsi="Times New Roman"/>
            <w:sz w:val="20"/>
            <w:szCs w:val="20"/>
          </w:rPr>
          <w:t>Ieva.Grike@izm.gov.lv</w:t>
        </w:r>
      </w:hyperlink>
    </w:p>
    <w:p w14:paraId="02492D69" w14:textId="77777777" w:rsidR="00964F42" w:rsidRPr="00643C4B" w:rsidRDefault="00964F42" w:rsidP="00805665">
      <w:pPr>
        <w:spacing w:after="0" w:line="252" w:lineRule="auto"/>
        <w:rPr>
          <w:rFonts w:ascii="Times New Roman" w:hAnsi="Times New Roman" w:cs="Times New Roman"/>
          <w:noProof/>
          <w:sz w:val="20"/>
          <w:szCs w:val="20"/>
        </w:rPr>
      </w:pPr>
    </w:p>
    <w:p w14:paraId="4C5FBA29" w14:textId="77777777" w:rsidR="004A7CF5" w:rsidRPr="00643C4B" w:rsidRDefault="004A7CF5">
      <w:pPr>
        <w:rPr>
          <w:rFonts w:ascii="Times New Roman" w:hAnsi="Times New Roman" w:cs="Times New Roman"/>
          <w:sz w:val="28"/>
          <w:szCs w:val="28"/>
        </w:rPr>
      </w:pPr>
    </w:p>
    <w:sectPr w:rsidR="004A7CF5" w:rsidRPr="00643C4B" w:rsidSect="00A1581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55CE" w14:textId="77777777" w:rsidR="00EF3C31" w:rsidRDefault="00EF3C31" w:rsidP="00A15810">
      <w:pPr>
        <w:spacing w:after="0" w:line="240" w:lineRule="auto"/>
      </w:pPr>
      <w:r>
        <w:separator/>
      </w:r>
    </w:p>
  </w:endnote>
  <w:endnote w:type="continuationSeparator" w:id="0">
    <w:p w14:paraId="27BD7EEB" w14:textId="77777777" w:rsidR="00EF3C31" w:rsidRDefault="00EF3C31" w:rsidP="00A1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4FDB" w14:textId="0A517CED" w:rsidR="007360C9" w:rsidRPr="00374B73" w:rsidRDefault="00374B73" w:rsidP="00374B73">
    <w:pPr>
      <w:spacing w:after="0" w:line="252" w:lineRule="auto"/>
      <w:contextualSpacing/>
      <w:jc w:val="both"/>
      <w:rPr>
        <w:rFonts w:ascii="Times New Roman" w:hAnsi="Times New Roman" w:cs="Times New Roman"/>
        <w:sz w:val="20"/>
        <w:szCs w:val="20"/>
      </w:rPr>
    </w:pPr>
    <w:r w:rsidRPr="00A15810">
      <w:rPr>
        <w:rFonts w:ascii="Times New Roman" w:hAnsi="Times New Roman" w:cs="Times New Roman"/>
        <w:sz w:val="20"/>
        <w:szCs w:val="20"/>
      </w:rPr>
      <w:t>IZMAnot_</w:t>
    </w:r>
    <w:r w:rsidR="005B66BC">
      <w:rPr>
        <w:rFonts w:ascii="Times New Roman" w:hAnsi="Times New Roman" w:cs="Times New Roman"/>
        <w:sz w:val="20"/>
        <w:szCs w:val="20"/>
      </w:rPr>
      <w:t>30</w:t>
    </w:r>
    <w:r>
      <w:rPr>
        <w:rFonts w:ascii="Times New Roman" w:hAnsi="Times New Roman" w:cs="Times New Roman"/>
        <w:sz w:val="20"/>
        <w:szCs w:val="20"/>
      </w:rPr>
      <w:t>032017_groz_MKN34</w:t>
    </w:r>
    <w:r w:rsidRPr="00D74803">
      <w:rPr>
        <w:rFonts w:ascii="Times New Roman" w:hAnsi="Times New Roman" w:cs="Times New Roman"/>
        <w:sz w:val="20"/>
        <w:szCs w:val="20"/>
      </w:rPr>
      <w:t xml:space="preserve">; </w:t>
    </w:r>
    <w:r>
      <w:rPr>
        <w:rFonts w:ascii="Times New Roman" w:hAnsi="Times New Roman" w:cs="Times New Roman"/>
        <w:sz w:val="20"/>
        <w:szCs w:val="20"/>
      </w:rPr>
      <w:t>Ministru kabineta n</w:t>
    </w:r>
    <w:r w:rsidRPr="00691AC2">
      <w:rPr>
        <w:rFonts w:ascii="Times New Roman" w:hAnsi="Times New Roman" w:cs="Times New Roman"/>
        <w:sz w:val="20"/>
        <w:szCs w:val="20"/>
      </w:rPr>
      <w:t>oteikumu projekta „Grozījum</w:t>
    </w:r>
    <w:r>
      <w:rPr>
        <w:rFonts w:ascii="Times New Roman" w:hAnsi="Times New Roman" w:cs="Times New Roman"/>
        <w:sz w:val="20"/>
        <w:szCs w:val="20"/>
      </w:rPr>
      <w:t>i</w:t>
    </w:r>
    <w:r w:rsidRPr="00691AC2">
      <w:rPr>
        <w:rFonts w:ascii="Times New Roman" w:hAnsi="Times New Roman" w:cs="Times New Roman"/>
        <w:sz w:val="20"/>
        <w:szCs w:val="20"/>
      </w:rPr>
      <w:t xml:space="preserve"> Ministru kabineta 2016.</w:t>
    </w:r>
    <w:r>
      <w:rPr>
        <w:rFonts w:ascii="Times New Roman" w:hAnsi="Times New Roman" w:cs="Times New Roman"/>
        <w:sz w:val="20"/>
        <w:szCs w:val="20"/>
      </w:rPr>
      <w:t> </w:t>
    </w:r>
    <w:r w:rsidRPr="00691AC2">
      <w:rPr>
        <w:rFonts w:ascii="Times New Roman" w:hAnsi="Times New Roman" w:cs="Times New Roman"/>
        <w:sz w:val="20"/>
        <w:szCs w:val="20"/>
      </w:rPr>
      <w:t>gada 1</w:t>
    </w:r>
    <w:r>
      <w:rPr>
        <w:rFonts w:ascii="Times New Roman" w:hAnsi="Times New Roman" w:cs="Times New Roman"/>
        <w:sz w:val="20"/>
        <w:szCs w:val="20"/>
      </w:rPr>
      <w:t>2</w:t>
    </w:r>
    <w:r w:rsidRPr="00691AC2">
      <w:rPr>
        <w:rFonts w:ascii="Times New Roman" w:hAnsi="Times New Roman" w:cs="Times New Roman"/>
        <w:sz w:val="20"/>
        <w:szCs w:val="20"/>
      </w:rPr>
      <w:t>.</w:t>
    </w:r>
    <w:r>
      <w:rPr>
        <w:rFonts w:ascii="Times New Roman" w:hAnsi="Times New Roman" w:cs="Times New Roman"/>
        <w:sz w:val="20"/>
        <w:szCs w:val="20"/>
      </w:rPr>
      <w:t> </w:t>
    </w:r>
    <w:r w:rsidRPr="00691AC2">
      <w:rPr>
        <w:rFonts w:ascii="Times New Roman" w:hAnsi="Times New Roman" w:cs="Times New Roman"/>
        <w:sz w:val="20"/>
        <w:szCs w:val="20"/>
      </w:rPr>
      <w:t>janvāra noteikumos Nr.</w:t>
    </w:r>
    <w:r>
      <w:rPr>
        <w:rFonts w:ascii="Times New Roman" w:hAnsi="Times New Roman" w:cs="Times New Roman"/>
        <w:sz w:val="20"/>
        <w:szCs w:val="20"/>
      </w:rPr>
      <w:t> 34 „Darbības programmas “</w:t>
    </w:r>
    <w:r w:rsidRPr="00691AC2">
      <w:rPr>
        <w:rFonts w:ascii="Times New Roman" w:hAnsi="Times New Roman" w:cs="Times New Roman"/>
        <w:sz w:val="20"/>
        <w:szCs w:val="20"/>
      </w:rPr>
      <w:t>Izaugsme un nodarbinātība</w:t>
    </w:r>
    <w:r>
      <w:rPr>
        <w:rFonts w:ascii="Times New Roman" w:hAnsi="Times New Roman" w:cs="Times New Roman"/>
        <w:sz w:val="20"/>
        <w:szCs w:val="20"/>
      </w:rPr>
      <w:t>”</w:t>
    </w:r>
    <w:r w:rsidRPr="00691AC2">
      <w:rPr>
        <w:rFonts w:ascii="Times New Roman" w:hAnsi="Times New Roman" w:cs="Times New Roman"/>
        <w:sz w:val="20"/>
        <w:szCs w:val="20"/>
      </w:rPr>
      <w:t xml:space="preserve"> 1.</w:t>
    </w:r>
    <w:r>
      <w:rPr>
        <w:rFonts w:ascii="Times New Roman" w:hAnsi="Times New Roman" w:cs="Times New Roman"/>
        <w:sz w:val="20"/>
        <w:szCs w:val="20"/>
      </w:rPr>
      <w:t>1.1. specifiskā atbalsta mērķa “</w:t>
    </w:r>
    <w:r w:rsidRPr="00691AC2">
      <w:rPr>
        <w:rFonts w:ascii="Times New Roman" w:hAnsi="Times New Roman" w:cs="Times New Roman"/>
        <w:sz w:val="20"/>
        <w:szCs w:val="20"/>
      </w:rPr>
      <w:t>Palielināt Latvijas zinātnisko institūciju pētniecisko un inovatīvo kapacitāti un spēju piesaistīt ārējo finansējumu, ieguldot cilvēkresursos un infrastruktūrā</w:t>
    </w:r>
    <w:r>
      <w:rPr>
        <w:rFonts w:ascii="Times New Roman" w:hAnsi="Times New Roman" w:cs="Times New Roman"/>
        <w:sz w:val="20"/>
        <w:szCs w:val="20"/>
      </w:rPr>
      <w:t>”</w:t>
    </w:r>
    <w:r w:rsidRPr="00691AC2">
      <w:rPr>
        <w:rFonts w:ascii="Times New Roman" w:hAnsi="Times New Roman" w:cs="Times New Roman"/>
        <w:sz w:val="20"/>
        <w:szCs w:val="20"/>
      </w:rPr>
      <w:t xml:space="preserve"> 1.1.1.</w:t>
    </w:r>
    <w:r>
      <w:rPr>
        <w:rFonts w:ascii="Times New Roman" w:hAnsi="Times New Roman" w:cs="Times New Roman"/>
        <w:sz w:val="20"/>
        <w:szCs w:val="20"/>
      </w:rPr>
      <w:t>1</w:t>
    </w:r>
    <w:r w:rsidRPr="00691AC2">
      <w:rPr>
        <w:rFonts w:ascii="Times New Roman" w:hAnsi="Times New Roman" w:cs="Times New Roman"/>
        <w:sz w:val="20"/>
        <w:szCs w:val="20"/>
      </w:rPr>
      <w:t xml:space="preserve">. pasākuma </w:t>
    </w:r>
    <w:r>
      <w:rPr>
        <w:rFonts w:ascii="Times New Roman" w:hAnsi="Times New Roman" w:cs="Times New Roman"/>
        <w:sz w:val="20"/>
        <w:szCs w:val="20"/>
      </w:rPr>
      <w:t>“Praktiskas ievirzes pētījumi”</w:t>
    </w:r>
    <w:r w:rsidRPr="00691AC2">
      <w:rPr>
        <w:rFonts w:ascii="Times New Roman" w:hAnsi="Times New Roman" w:cs="Times New Roman"/>
        <w:sz w:val="20"/>
        <w:szCs w:val="20"/>
      </w:rPr>
      <w:t xml:space="preserve"> īstenošanas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6F07" w14:textId="13AFEF11" w:rsidR="007360C9" w:rsidRPr="00D07EF5" w:rsidRDefault="007360C9" w:rsidP="00D07EF5">
    <w:pPr>
      <w:spacing w:after="0" w:line="252" w:lineRule="auto"/>
      <w:contextualSpacing/>
      <w:jc w:val="both"/>
      <w:rPr>
        <w:rFonts w:ascii="Times New Roman" w:hAnsi="Times New Roman" w:cs="Times New Roman"/>
        <w:sz w:val="20"/>
        <w:szCs w:val="20"/>
      </w:rPr>
    </w:pPr>
    <w:r w:rsidRPr="00A15810">
      <w:rPr>
        <w:rFonts w:ascii="Times New Roman" w:hAnsi="Times New Roman" w:cs="Times New Roman"/>
        <w:sz w:val="20"/>
        <w:szCs w:val="20"/>
      </w:rPr>
      <w:t>IZMAnot_</w:t>
    </w:r>
    <w:r w:rsidR="005B66BC">
      <w:rPr>
        <w:rFonts w:ascii="Times New Roman" w:hAnsi="Times New Roman" w:cs="Times New Roman"/>
        <w:sz w:val="20"/>
        <w:szCs w:val="20"/>
      </w:rPr>
      <w:t>30</w:t>
    </w:r>
    <w:r>
      <w:rPr>
        <w:rFonts w:ascii="Times New Roman" w:hAnsi="Times New Roman" w:cs="Times New Roman"/>
        <w:sz w:val="20"/>
        <w:szCs w:val="20"/>
      </w:rPr>
      <w:t>032017_groz_MKN34</w:t>
    </w:r>
    <w:r w:rsidRPr="00D74803">
      <w:rPr>
        <w:rFonts w:ascii="Times New Roman" w:hAnsi="Times New Roman" w:cs="Times New Roman"/>
        <w:sz w:val="20"/>
        <w:szCs w:val="20"/>
      </w:rPr>
      <w:t xml:space="preserve">; </w:t>
    </w:r>
    <w:r>
      <w:rPr>
        <w:rFonts w:ascii="Times New Roman" w:hAnsi="Times New Roman" w:cs="Times New Roman"/>
        <w:sz w:val="20"/>
        <w:szCs w:val="20"/>
      </w:rPr>
      <w:t>Ministru kabineta n</w:t>
    </w:r>
    <w:r w:rsidRPr="00691AC2">
      <w:rPr>
        <w:rFonts w:ascii="Times New Roman" w:hAnsi="Times New Roman" w:cs="Times New Roman"/>
        <w:sz w:val="20"/>
        <w:szCs w:val="20"/>
      </w:rPr>
      <w:t>oteikumu projekta „Grozījum</w:t>
    </w:r>
    <w:r w:rsidR="003C0673">
      <w:rPr>
        <w:rFonts w:ascii="Times New Roman" w:hAnsi="Times New Roman" w:cs="Times New Roman"/>
        <w:sz w:val="20"/>
        <w:szCs w:val="20"/>
      </w:rPr>
      <w:t>i</w:t>
    </w:r>
    <w:r w:rsidRPr="00691AC2">
      <w:rPr>
        <w:rFonts w:ascii="Times New Roman" w:hAnsi="Times New Roman" w:cs="Times New Roman"/>
        <w:sz w:val="20"/>
        <w:szCs w:val="20"/>
      </w:rPr>
      <w:t xml:space="preserve"> Ministru kabineta 2016.</w:t>
    </w:r>
    <w:r>
      <w:rPr>
        <w:rFonts w:ascii="Times New Roman" w:hAnsi="Times New Roman" w:cs="Times New Roman"/>
        <w:sz w:val="20"/>
        <w:szCs w:val="20"/>
      </w:rPr>
      <w:t> </w:t>
    </w:r>
    <w:r w:rsidRPr="00691AC2">
      <w:rPr>
        <w:rFonts w:ascii="Times New Roman" w:hAnsi="Times New Roman" w:cs="Times New Roman"/>
        <w:sz w:val="20"/>
        <w:szCs w:val="20"/>
      </w:rPr>
      <w:t>gada 1</w:t>
    </w:r>
    <w:r w:rsidR="00374B73">
      <w:rPr>
        <w:rFonts w:ascii="Times New Roman" w:hAnsi="Times New Roman" w:cs="Times New Roman"/>
        <w:sz w:val="20"/>
        <w:szCs w:val="20"/>
      </w:rPr>
      <w:t>2</w:t>
    </w:r>
    <w:r w:rsidRPr="00691AC2">
      <w:rPr>
        <w:rFonts w:ascii="Times New Roman" w:hAnsi="Times New Roman" w:cs="Times New Roman"/>
        <w:sz w:val="20"/>
        <w:szCs w:val="20"/>
      </w:rPr>
      <w:t>.</w:t>
    </w:r>
    <w:r>
      <w:rPr>
        <w:rFonts w:ascii="Times New Roman" w:hAnsi="Times New Roman" w:cs="Times New Roman"/>
        <w:sz w:val="20"/>
        <w:szCs w:val="20"/>
      </w:rPr>
      <w:t> </w:t>
    </w:r>
    <w:r w:rsidRPr="00691AC2">
      <w:rPr>
        <w:rFonts w:ascii="Times New Roman" w:hAnsi="Times New Roman" w:cs="Times New Roman"/>
        <w:sz w:val="20"/>
        <w:szCs w:val="20"/>
      </w:rPr>
      <w:t>janvāra noteikumos Nr.</w:t>
    </w:r>
    <w:r>
      <w:rPr>
        <w:rFonts w:ascii="Times New Roman" w:hAnsi="Times New Roman" w:cs="Times New Roman"/>
        <w:sz w:val="20"/>
        <w:szCs w:val="20"/>
      </w:rPr>
      <w:t> </w:t>
    </w:r>
    <w:r w:rsidR="00374B73">
      <w:rPr>
        <w:rFonts w:ascii="Times New Roman" w:hAnsi="Times New Roman" w:cs="Times New Roman"/>
        <w:sz w:val="20"/>
        <w:szCs w:val="20"/>
      </w:rPr>
      <w:t>34</w:t>
    </w:r>
    <w:r>
      <w:rPr>
        <w:rFonts w:ascii="Times New Roman" w:hAnsi="Times New Roman" w:cs="Times New Roman"/>
        <w:sz w:val="20"/>
        <w:szCs w:val="20"/>
      </w:rPr>
      <w:t xml:space="preserve"> „Darbības programmas “</w:t>
    </w:r>
    <w:r w:rsidRPr="00691AC2">
      <w:rPr>
        <w:rFonts w:ascii="Times New Roman" w:hAnsi="Times New Roman" w:cs="Times New Roman"/>
        <w:sz w:val="20"/>
        <w:szCs w:val="20"/>
      </w:rPr>
      <w:t>Izaugsme un nodarbinātība</w:t>
    </w:r>
    <w:r>
      <w:rPr>
        <w:rFonts w:ascii="Times New Roman" w:hAnsi="Times New Roman" w:cs="Times New Roman"/>
        <w:sz w:val="20"/>
        <w:szCs w:val="20"/>
      </w:rPr>
      <w:t>”</w:t>
    </w:r>
    <w:r w:rsidRPr="00691AC2">
      <w:rPr>
        <w:rFonts w:ascii="Times New Roman" w:hAnsi="Times New Roman" w:cs="Times New Roman"/>
        <w:sz w:val="20"/>
        <w:szCs w:val="20"/>
      </w:rPr>
      <w:t xml:space="preserve"> 1.</w:t>
    </w:r>
    <w:r>
      <w:rPr>
        <w:rFonts w:ascii="Times New Roman" w:hAnsi="Times New Roman" w:cs="Times New Roman"/>
        <w:sz w:val="20"/>
        <w:szCs w:val="20"/>
      </w:rPr>
      <w:t>1.1. specifiskā atbalsta mērķa “</w:t>
    </w:r>
    <w:r w:rsidRPr="00691AC2">
      <w:rPr>
        <w:rFonts w:ascii="Times New Roman" w:hAnsi="Times New Roman" w:cs="Times New Roman"/>
        <w:sz w:val="20"/>
        <w:szCs w:val="20"/>
      </w:rPr>
      <w:t>Palielināt Latvijas zinātnisko institūciju pētniecisko un inovatīvo kapacitāti un spēju piesaistīt ārējo finansējumu, ieguldot cilvēkresursos un infrastruktūrā</w:t>
    </w:r>
    <w:r>
      <w:rPr>
        <w:rFonts w:ascii="Times New Roman" w:hAnsi="Times New Roman" w:cs="Times New Roman"/>
        <w:sz w:val="20"/>
        <w:szCs w:val="20"/>
      </w:rPr>
      <w:t>”</w:t>
    </w:r>
    <w:r w:rsidRPr="00691AC2">
      <w:rPr>
        <w:rFonts w:ascii="Times New Roman" w:hAnsi="Times New Roman" w:cs="Times New Roman"/>
        <w:sz w:val="20"/>
        <w:szCs w:val="20"/>
      </w:rPr>
      <w:t xml:space="preserve"> 1.1.1.</w:t>
    </w:r>
    <w:r>
      <w:rPr>
        <w:rFonts w:ascii="Times New Roman" w:hAnsi="Times New Roman" w:cs="Times New Roman"/>
        <w:sz w:val="20"/>
        <w:szCs w:val="20"/>
      </w:rPr>
      <w:t>1</w:t>
    </w:r>
    <w:r w:rsidRPr="00691AC2">
      <w:rPr>
        <w:rFonts w:ascii="Times New Roman" w:hAnsi="Times New Roman" w:cs="Times New Roman"/>
        <w:sz w:val="20"/>
        <w:szCs w:val="20"/>
      </w:rPr>
      <w:t xml:space="preserve">. pasākuma </w:t>
    </w:r>
    <w:r>
      <w:rPr>
        <w:rFonts w:ascii="Times New Roman" w:hAnsi="Times New Roman" w:cs="Times New Roman"/>
        <w:sz w:val="20"/>
        <w:szCs w:val="20"/>
      </w:rPr>
      <w:t>“Praktiskas ievirzes pētījumi”</w:t>
    </w:r>
    <w:r w:rsidRPr="00691AC2">
      <w:rPr>
        <w:rFonts w:ascii="Times New Roman" w:hAnsi="Times New Roman" w:cs="Times New Roman"/>
        <w:sz w:val="20"/>
        <w:szCs w:val="20"/>
      </w:rPr>
      <w:t xml:space="preserve">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530D" w14:textId="77777777" w:rsidR="00EF3C31" w:rsidRDefault="00EF3C31" w:rsidP="00A15810">
      <w:pPr>
        <w:spacing w:after="0" w:line="240" w:lineRule="auto"/>
      </w:pPr>
      <w:r>
        <w:separator/>
      </w:r>
    </w:p>
  </w:footnote>
  <w:footnote w:type="continuationSeparator" w:id="0">
    <w:p w14:paraId="6605DED0" w14:textId="77777777" w:rsidR="00EF3C31" w:rsidRDefault="00EF3C31" w:rsidP="00A1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59244"/>
      <w:docPartObj>
        <w:docPartGallery w:val="Page Numbers (Top of Page)"/>
        <w:docPartUnique/>
      </w:docPartObj>
    </w:sdtPr>
    <w:sdtEndPr>
      <w:rPr>
        <w:rFonts w:ascii="Times New Roman" w:hAnsi="Times New Roman" w:cs="Times New Roman"/>
        <w:noProof/>
      </w:rPr>
    </w:sdtEndPr>
    <w:sdtContent>
      <w:p w14:paraId="5FCE2812" w14:textId="77777777" w:rsidR="007360C9" w:rsidRPr="00A15810" w:rsidRDefault="00917D81">
        <w:pPr>
          <w:pStyle w:val="Header"/>
          <w:jc w:val="center"/>
          <w:rPr>
            <w:rFonts w:ascii="Times New Roman" w:hAnsi="Times New Roman" w:cs="Times New Roman"/>
          </w:rPr>
        </w:pPr>
        <w:r w:rsidRPr="00A15810">
          <w:rPr>
            <w:rFonts w:ascii="Times New Roman" w:hAnsi="Times New Roman" w:cs="Times New Roman"/>
          </w:rPr>
          <w:fldChar w:fldCharType="begin"/>
        </w:r>
        <w:r w:rsidR="007360C9" w:rsidRPr="00A15810">
          <w:rPr>
            <w:rFonts w:ascii="Times New Roman" w:hAnsi="Times New Roman" w:cs="Times New Roman"/>
          </w:rPr>
          <w:instrText xml:space="preserve"> PAGE   \* MERGEFORMAT </w:instrText>
        </w:r>
        <w:r w:rsidRPr="00A15810">
          <w:rPr>
            <w:rFonts w:ascii="Times New Roman" w:hAnsi="Times New Roman" w:cs="Times New Roman"/>
          </w:rPr>
          <w:fldChar w:fldCharType="separate"/>
        </w:r>
        <w:r w:rsidR="00167D25">
          <w:rPr>
            <w:rFonts w:ascii="Times New Roman" w:hAnsi="Times New Roman" w:cs="Times New Roman"/>
            <w:noProof/>
          </w:rPr>
          <w:t>8</w:t>
        </w:r>
        <w:r w:rsidRPr="00A15810">
          <w:rPr>
            <w:rFonts w:ascii="Times New Roman" w:hAnsi="Times New Roman" w:cs="Times New Roman"/>
            <w:noProof/>
          </w:rPr>
          <w:fldChar w:fldCharType="end"/>
        </w:r>
      </w:p>
    </w:sdtContent>
  </w:sdt>
  <w:p w14:paraId="02E411E9" w14:textId="77777777" w:rsidR="007360C9" w:rsidRDefault="00736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7BA7"/>
    <w:multiLevelType w:val="hybridMultilevel"/>
    <w:tmpl w:val="F2403D74"/>
    <w:lvl w:ilvl="0" w:tplc="04260003">
      <w:start w:val="1"/>
      <w:numFmt w:val="bullet"/>
      <w:lvlText w:val="o"/>
      <w:lvlJc w:val="left"/>
      <w:pPr>
        <w:ind w:left="1080" w:hanging="360"/>
      </w:pPr>
      <w:rPr>
        <w:rFonts w:ascii="Courier New" w:hAnsi="Courier New" w:cs="Courier New" w:hint="default"/>
      </w:rPr>
    </w:lvl>
    <w:lvl w:ilvl="1" w:tplc="CDA4A210">
      <w:start w:val="5"/>
      <w:numFmt w:val="bullet"/>
      <w:lvlText w:val="-"/>
      <w:lvlJc w:val="left"/>
      <w:pPr>
        <w:ind w:left="1800" w:hanging="360"/>
      </w:pPr>
      <w:rPr>
        <w:rFonts w:ascii="Times New Roman" w:eastAsia="Times New Roman" w:hAnsi="Times New Roman" w:cs="Times New Roman" w:hint="default"/>
        <w:sz w:val="28"/>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0EF56AF"/>
    <w:multiLevelType w:val="hybridMultilevel"/>
    <w:tmpl w:val="8B90A9F0"/>
    <w:lvl w:ilvl="0" w:tplc="04260001">
      <w:start w:val="1"/>
      <w:numFmt w:val="bullet"/>
      <w:lvlText w:val=""/>
      <w:lvlJc w:val="left"/>
      <w:pPr>
        <w:ind w:left="720" w:hanging="360"/>
      </w:pPr>
      <w:rPr>
        <w:rFonts w:ascii="Symbol" w:hAnsi="Symbol" w:hint="default"/>
      </w:rPr>
    </w:lvl>
    <w:lvl w:ilvl="1" w:tplc="CDA4A210">
      <w:start w:val="5"/>
      <w:numFmt w:val="bullet"/>
      <w:lvlText w:val="-"/>
      <w:lvlJc w:val="left"/>
      <w:pPr>
        <w:ind w:left="1440" w:hanging="360"/>
      </w:pPr>
      <w:rPr>
        <w:rFonts w:ascii="Times New Roman" w:eastAsia="Times New Roman" w:hAnsi="Times New Roman" w:cs="Times New Roman" w:hint="default"/>
        <w:sz w:val="28"/>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7468AB"/>
    <w:multiLevelType w:val="hybridMultilevel"/>
    <w:tmpl w:val="5F584150"/>
    <w:lvl w:ilvl="0" w:tplc="04260005">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47264DCF"/>
    <w:multiLevelType w:val="multilevel"/>
    <w:tmpl w:val="D14CEB62"/>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4" w15:restartNumberingAfterBreak="0">
    <w:nsid w:val="5F4B007B"/>
    <w:multiLevelType w:val="multilevel"/>
    <w:tmpl w:val="E230CAB4"/>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F5"/>
    <w:rsid w:val="000015FE"/>
    <w:rsid w:val="0001258C"/>
    <w:rsid w:val="0002550A"/>
    <w:rsid w:val="000337DA"/>
    <w:rsid w:val="00033C6A"/>
    <w:rsid w:val="000341AA"/>
    <w:rsid w:val="000428E7"/>
    <w:rsid w:val="0005562A"/>
    <w:rsid w:val="00057296"/>
    <w:rsid w:val="0006172C"/>
    <w:rsid w:val="000625F3"/>
    <w:rsid w:val="00065812"/>
    <w:rsid w:val="00076F15"/>
    <w:rsid w:val="00093F43"/>
    <w:rsid w:val="000C2C81"/>
    <w:rsid w:val="000D1CD6"/>
    <w:rsid w:val="00124928"/>
    <w:rsid w:val="00126B0C"/>
    <w:rsid w:val="00137CBE"/>
    <w:rsid w:val="001472C0"/>
    <w:rsid w:val="00154206"/>
    <w:rsid w:val="00160013"/>
    <w:rsid w:val="00167B20"/>
    <w:rsid w:val="00167D25"/>
    <w:rsid w:val="001779AC"/>
    <w:rsid w:val="00177FF3"/>
    <w:rsid w:val="001854D2"/>
    <w:rsid w:val="00196B48"/>
    <w:rsid w:val="001A2F02"/>
    <w:rsid w:val="001B082F"/>
    <w:rsid w:val="001B3609"/>
    <w:rsid w:val="001B5FE0"/>
    <w:rsid w:val="001D4312"/>
    <w:rsid w:val="001E7064"/>
    <w:rsid w:val="001F5140"/>
    <w:rsid w:val="00202ED3"/>
    <w:rsid w:val="002308E5"/>
    <w:rsid w:val="00230F15"/>
    <w:rsid w:val="00231E35"/>
    <w:rsid w:val="002340C5"/>
    <w:rsid w:val="0023452B"/>
    <w:rsid w:val="00250F1A"/>
    <w:rsid w:val="00256510"/>
    <w:rsid w:val="00281328"/>
    <w:rsid w:val="002929BA"/>
    <w:rsid w:val="002937EA"/>
    <w:rsid w:val="002A7118"/>
    <w:rsid w:val="002B48BA"/>
    <w:rsid w:val="002C6A3E"/>
    <w:rsid w:val="002D7E7B"/>
    <w:rsid w:val="002E3702"/>
    <w:rsid w:val="00310568"/>
    <w:rsid w:val="00314494"/>
    <w:rsid w:val="0031520B"/>
    <w:rsid w:val="0032163E"/>
    <w:rsid w:val="00322B8E"/>
    <w:rsid w:val="00322D71"/>
    <w:rsid w:val="003232A4"/>
    <w:rsid w:val="00324EB3"/>
    <w:rsid w:val="003250AE"/>
    <w:rsid w:val="00344F2E"/>
    <w:rsid w:val="0036490E"/>
    <w:rsid w:val="00365D21"/>
    <w:rsid w:val="00374B73"/>
    <w:rsid w:val="0037501A"/>
    <w:rsid w:val="00377BFA"/>
    <w:rsid w:val="00383D44"/>
    <w:rsid w:val="003A6C13"/>
    <w:rsid w:val="003C0673"/>
    <w:rsid w:val="003C1C9E"/>
    <w:rsid w:val="003C582C"/>
    <w:rsid w:val="003C6A47"/>
    <w:rsid w:val="003D43F2"/>
    <w:rsid w:val="003D6360"/>
    <w:rsid w:val="003E31D2"/>
    <w:rsid w:val="003E387A"/>
    <w:rsid w:val="003F0598"/>
    <w:rsid w:val="003F1D91"/>
    <w:rsid w:val="00405546"/>
    <w:rsid w:val="004056F4"/>
    <w:rsid w:val="00421D90"/>
    <w:rsid w:val="0042662D"/>
    <w:rsid w:val="00433389"/>
    <w:rsid w:val="004432C5"/>
    <w:rsid w:val="00452D2E"/>
    <w:rsid w:val="004678E0"/>
    <w:rsid w:val="00471E91"/>
    <w:rsid w:val="0049233E"/>
    <w:rsid w:val="004A7CF5"/>
    <w:rsid w:val="004D3485"/>
    <w:rsid w:val="004F25DA"/>
    <w:rsid w:val="00506A0B"/>
    <w:rsid w:val="00510D88"/>
    <w:rsid w:val="0051613E"/>
    <w:rsid w:val="005355E0"/>
    <w:rsid w:val="0054373C"/>
    <w:rsid w:val="00543E17"/>
    <w:rsid w:val="00553CF3"/>
    <w:rsid w:val="00554DC2"/>
    <w:rsid w:val="00555443"/>
    <w:rsid w:val="00556505"/>
    <w:rsid w:val="00560F47"/>
    <w:rsid w:val="00567BD9"/>
    <w:rsid w:val="005745F3"/>
    <w:rsid w:val="005844BF"/>
    <w:rsid w:val="005A0A0E"/>
    <w:rsid w:val="005B3711"/>
    <w:rsid w:val="005B66BC"/>
    <w:rsid w:val="005C3A49"/>
    <w:rsid w:val="005D2534"/>
    <w:rsid w:val="005E4932"/>
    <w:rsid w:val="005F5642"/>
    <w:rsid w:val="00612865"/>
    <w:rsid w:val="006163F9"/>
    <w:rsid w:val="006269BE"/>
    <w:rsid w:val="00643C4B"/>
    <w:rsid w:val="00690BE1"/>
    <w:rsid w:val="006A12DC"/>
    <w:rsid w:val="006A52B4"/>
    <w:rsid w:val="006A5418"/>
    <w:rsid w:val="006D0369"/>
    <w:rsid w:val="006D4BBD"/>
    <w:rsid w:val="007201D6"/>
    <w:rsid w:val="007250DB"/>
    <w:rsid w:val="007360C9"/>
    <w:rsid w:val="00765DCE"/>
    <w:rsid w:val="00785E7F"/>
    <w:rsid w:val="00786741"/>
    <w:rsid w:val="00793DEF"/>
    <w:rsid w:val="00794A13"/>
    <w:rsid w:val="007A0F20"/>
    <w:rsid w:val="007A38CD"/>
    <w:rsid w:val="007D3F11"/>
    <w:rsid w:val="007D5BE6"/>
    <w:rsid w:val="007D62C7"/>
    <w:rsid w:val="007D7FF1"/>
    <w:rsid w:val="007F6D27"/>
    <w:rsid w:val="00805665"/>
    <w:rsid w:val="008103B9"/>
    <w:rsid w:val="0081084D"/>
    <w:rsid w:val="00840A41"/>
    <w:rsid w:val="00844856"/>
    <w:rsid w:val="008457D4"/>
    <w:rsid w:val="00865401"/>
    <w:rsid w:val="00884508"/>
    <w:rsid w:val="00892187"/>
    <w:rsid w:val="008A54A2"/>
    <w:rsid w:val="008B4F5F"/>
    <w:rsid w:val="008B7AEA"/>
    <w:rsid w:val="008E497F"/>
    <w:rsid w:val="008F24F1"/>
    <w:rsid w:val="00905C12"/>
    <w:rsid w:val="00917D81"/>
    <w:rsid w:val="00924534"/>
    <w:rsid w:val="009257FA"/>
    <w:rsid w:val="00926B08"/>
    <w:rsid w:val="009306CF"/>
    <w:rsid w:val="00941D3B"/>
    <w:rsid w:val="0094308F"/>
    <w:rsid w:val="00944351"/>
    <w:rsid w:val="00963F5A"/>
    <w:rsid w:val="00964F42"/>
    <w:rsid w:val="00965798"/>
    <w:rsid w:val="00971B14"/>
    <w:rsid w:val="009755AF"/>
    <w:rsid w:val="00985C51"/>
    <w:rsid w:val="0099043C"/>
    <w:rsid w:val="009B0147"/>
    <w:rsid w:val="009C189B"/>
    <w:rsid w:val="009D182E"/>
    <w:rsid w:val="009E2A5C"/>
    <w:rsid w:val="009F14CD"/>
    <w:rsid w:val="009F2A83"/>
    <w:rsid w:val="009F73BC"/>
    <w:rsid w:val="00A15810"/>
    <w:rsid w:val="00A22ADF"/>
    <w:rsid w:val="00A262A5"/>
    <w:rsid w:val="00A35D68"/>
    <w:rsid w:val="00A54490"/>
    <w:rsid w:val="00A60F1C"/>
    <w:rsid w:val="00A6273F"/>
    <w:rsid w:val="00A740E1"/>
    <w:rsid w:val="00A7564B"/>
    <w:rsid w:val="00A80CA2"/>
    <w:rsid w:val="00A9552C"/>
    <w:rsid w:val="00AA1382"/>
    <w:rsid w:val="00AA22A9"/>
    <w:rsid w:val="00AB0E34"/>
    <w:rsid w:val="00AB56EA"/>
    <w:rsid w:val="00AD041C"/>
    <w:rsid w:val="00AE1535"/>
    <w:rsid w:val="00AE7455"/>
    <w:rsid w:val="00B23BC8"/>
    <w:rsid w:val="00B250A5"/>
    <w:rsid w:val="00B267AB"/>
    <w:rsid w:val="00B4012C"/>
    <w:rsid w:val="00B45DD9"/>
    <w:rsid w:val="00B60A47"/>
    <w:rsid w:val="00B71B59"/>
    <w:rsid w:val="00B731AB"/>
    <w:rsid w:val="00B73606"/>
    <w:rsid w:val="00B7463C"/>
    <w:rsid w:val="00B75DAB"/>
    <w:rsid w:val="00B80688"/>
    <w:rsid w:val="00B80C20"/>
    <w:rsid w:val="00B92549"/>
    <w:rsid w:val="00B9360A"/>
    <w:rsid w:val="00B949E2"/>
    <w:rsid w:val="00BA5932"/>
    <w:rsid w:val="00BA6279"/>
    <w:rsid w:val="00BB6E4B"/>
    <w:rsid w:val="00BC0998"/>
    <w:rsid w:val="00BD22D8"/>
    <w:rsid w:val="00BD37A5"/>
    <w:rsid w:val="00BD4D4E"/>
    <w:rsid w:val="00C13E0B"/>
    <w:rsid w:val="00C42F6E"/>
    <w:rsid w:val="00C47605"/>
    <w:rsid w:val="00C61CE3"/>
    <w:rsid w:val="00C63F36"/>
    <w:rsid w:val="00C7336F"/>
    <w:rsid w:val="00C87F9F"/>
    <w:rsid w:val="00C9404E"/>
    <w:rsid w:val="00CB14F7"/>
    <w:rsid w:val="00CC5760"/>
    <w:rsid w:val="00CD09AA"/>
    <w:rsid w:val="00CD1930"/>
    <w:rsid w:val="00CD74BF"/>
    <w:rsid w:val="00CE0A96"/>
    <w:rsid w:val="00CE546F"/>
    <w:rsid w:val="00D07EF5"/>
    <w:rsid w:val="00D15013"/>
    <w:rsid w:val="00D2441B"/>
    <w:rsid w:val="00D24C4F"/>
    <w:rsid w:val="00D36F87"/>
    <w:rsid w:val="00D37BD8"/>
    <w:rsid w:val="00D46515"/>
    <w:rsid w:val="00D537F8"/>
    <w:rsid w:val="00D765B9"/>
    <w:rsid w:val="00D77658"/>
    <w:rsid w:val="00D85B91"/>
    <w:rsid w:val="00D8772A"/>
    <w:rsid w:val="00D90EC7"/>
    <w:rsid w:val="00D972B2"/>
    <w:rsid w:val="00DB5A5D"/>
    <w:rsid w:val="00DC13FF"/>
    <w:rsid w:val="00DD4946"/>
    <w:rsid w:val="00DD57D3"/>
    <w:rsid w:val="00DE08CD"/>
    <w:rsid w:val="00DF6FCA"/>
    <w:rsid w:val="00E055A0"/>
    <w:rsid w:val="00E21428"/>
    <w:rsid w:val="00E218D6"/>
    <w:rsid w:val="00E31A93"/>
    <w:rsid w:val="00E370C5"/>
    <w:rsid w:val="00E838B8"/>
    <w:rsid w:val="00E85DCD"/>
    <w:rsid w:val="00EC2449"/>
    <w:rsid w:val="00EE04A0"/>
    <w:rsid w:val="00EE2599"/>
    <w:rsid w:val="00EF3C31"/>
    <w:rsid w:val="00EF79B3"/>
    <w:rsid w:val="00F009D5"/>
    <w:rsid w:val="00F02980"/>
    <w:rsid w:val="00F049AD"/>
    <w:rsid w:val="00F1139C"/>
    <w:rsid w:val="00F35C36"/>
    <w:rsid w:val="00F406E6"/>
    <w:rsid w:val="00F4079A"/>
    <w:rsid w:val="00F534DC"/>
    <w:rsid w:val="00F54DB5"/>
    <w:rsid w:val="00F64F35"/>
    <w:rsid w:val="00F7017D"/>
    <w:rsid w:val="00F702A2"/>
    <w:rsid w:val="00F904C5"/>
    <w:rsid w:val="00F93FEB"/>
    <w:rsid w:val="00F95DF0"/>
    <w:rsid w:val="00F97A18"/>
    <w:rsid w:val="00FA3D24"/>
    <w:rsid w:val="00FB7975"/>
    <w:rsid w:val="00FC6D7F"/>
    <w:rsid w:val="00FF2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D70D"/>
  <w15:docId w15:val="{768B8936-7C00-4029-909B-B206930C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B59"/>
  </w:style>
  <w:style w:type="paragraph" w:styleId="Heading3">
    <w:name w:val="heading 3"/>
    <w:basedOn w:val="Normal"/>
    <w:link w:val="Heading3Char"/>
    <w:uiPriority w:val="9"/>
    <w:qFormat/>
    <w:rsid w:val="004A7CF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A7C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A7CF5"/>
  </w:style>
  <w:style w:type="character" w:styleId="Hyperlink">
    <w:name w:val="Hyperlink"/>
    <w:basedOn w:val="DefaultParagraphFont"/>
    <w:unhideWhenUsed/>
    <w:rsid w:val="004A7CF5"/>
    <w:rPr>
      <w:color w:val="0000FF"/>
      <w:u w:val="single"/>
    </w:rPr>
  </w:style>
  <w:style w:type="paragraph" w:customStyle="1" w:styleId="tvhtml">
    <w:name w:val="tv_html"/>
    <w:basedOn w:val="Normal"/>
    <w:rsid w:val="004A7C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Akapit z listą BS"/>
    <w:basedOn w:val="Normal"/>
    <w:link w:val="ListParagraphChar"/>
    <w:uiPriority w:val="34"/>
    <w:qFormat/>
    <w:rsid w:val="004A7CF5"/>
    <w:pPr>
      <w:spacing w:after="120" w:line="240" w:lineRule="auto"/>
      <w:ind w:left="720"/>
      <w:contextualSpacing/>
    </w:pPr>
  </w:style>
  <w:style w:type="character" w:customStyle="1" w:styleId="ListParagraphChar">
    <w:name w:val="List Paragraph Char"/>
    <w:aliases w:val="H&amp;P List Paragraph Char,2 Char,Strip Char,Colorful List - Accent 12 Char,Akapit z listą BS Char"/>
    <w:link w:val="ListParagraph"/>
    <w:uiPriority w:val="34"/>
    <w:qFormat/>
    <w:locked/>
    <w:rsid w:val="004A7CF5"/>
  </w:style>
  <w:style w:type="character" w:customStyle="1" w:styleId="Heading3Char">
    <w:name w:val="Heading 3 Char"/>
    <w:basedOn w:val="DefaultParagraphFont"/>
    <w:link w:val="Heading3"/>
    <w:uiPriority w:val="9"/>
    <w:rsid w:val="004A7CF5"/>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158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810"/>
  </w:style>
  <w:style w:type="paragraph" w:styleId="Footer">
    <w:name w:val="footer"/>
    <w:basedOn w:val="Normal"/>
    <w:link w:val="FooterChar"/>
    <w:uiPriority w:val="99"/>
    <w:unhideWhenUsed/>
    <w:rsid w:val="00A158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810"/>
  </w:style>
  <w:style w:type="paragraph" w:customStyle="1" w:styleId="naisf">
    <w:name w:val="naisf"/>
    <w:basedOn w:val="Normal"/>
    <w:rsid w:val="00805665"/>
    <w:pPr>
      <w:spacing w:before="100" w:after="100" w:line="240" w:lineRule="auto"/>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8F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F1"/>
    <w:rPr>
      <w:rFonts w:ascii="Segoe UI" w:hAnsi="Segoe UI" w:cs="Segoe UI"/>
      <w:sz w:val="18"/>
      <w:szCs w:val="18"/>
    </w:rPr>
  </w:style>
  <w:style w:type="character" w:styleId="CommentReference">
    <w:name w:val="annotation reference"/>
    <w:basedOn w:val="DefaultParagraphFont"/>
    <w:uiPriority w:val="99"/>
    <w:semiHidden/>
    <w:unhideWhenUsed/>
    <w:rsid w:val="00D90EC7"/>
    <w:rPr>
      <w:sz w:val="16"/>
      <w:szCs w:val="16"/>
    </w:rPr>
  </w:style>
  <w:style w:type="paragraph" w:styleId="CommentText">
    <w:name w:val="annotation text"/>
    <w:basedOn w:val="Normal"/>
    <w:link w:val="CommentTextChar"/>
    <w:uiPriority w:val="99"/>
    <w:semiHidden/>
    <w:unhideWhenUsed/>
    <w:rsid w:val="00D90EC7"/>
    <w:pPr>
      <w:spacing w:line="240" w:lineRule="auto"/>
    </w:pPr>
    <w:rPr>
      <w:sz w:val="20"/>
      <w:szCs w:val="20"/>
    </w:rPr>
  </w:style>
  <w:style w:type="character" w:customStyle="1" w:styleId="CommentTextChar">
    <w:name w:val="Comment Text Char"/>
    <w:basedOn w:val="DefaultParagraphFont"/>
    <w:link w:val="CommentText"/>
    <w:uiPriority w:val="99"/>
    <w:semiHidden/>
    <w:rsid w:val="00D90EC7"/>
    <w:rPr>
      <w:sz w:val="20"/>
      <w:szCs w:val="20"/>
    </w:rPr>
  </w:style>
  <w:style w:type="paragraph" w:styleId="CommentSubject">
    <w:name w:val="annotation subject"/>
    <w:basedOn w:val="CommentText"/>
    <w:next w:val="CommentText"/>
    <w:link w:val="CommentSubjectChar"/>
    <w:uiPriority w:val="99"/>
    <w:semiHidden/>
    <w:unhideWhenUsed/>
    <w:rsid w:val="00D90EC7"/>
    <w:rPr>
      <w:b/>
      <w:bCs/>
    </w:rPr>
  </w:style>
  <w:style w:type="character" w:customStyle="1" w:styleId="CommentSubjectChar">
    <w:name w:val="Comment Subject Char"/>
    <w:basedOn w:val="CommentTextChar"/>
    <w:link w:val="CommentSubject"/>
    <w:uiPriority w:val="99"/>
    <w:semiHidden/>
    <w:rsid w:val="00D90EC7"/>
    <w:rPr>
      <w:b/>
      <w:bCs/>
      <w:sz w:val="20"/>
      <w:szCs w:val="20"/>
    </w:rPr>
  </w:style>
  <w:style w:type="paragraph" w:styleId="Revision">
    <w:name w:val="Revision"/>
    <w:hidden/>
    <w:uiPriority w:val="99"/>
    <w:semiHidden/>
    <w:rsid w:val="00555443"/>
    <w:pPr>
      <w:spacing w:after="0" w:line="240" w:lineRule="auto"/>
    </w:pPr>
  </w:style>
  <w:style w:type="paragraph" w:customStyle="1" w:styleId="naisnod">
    <w:name w:val="naisnod"/>
    <w:basedOn w:val="Normal"/>
    <w:rsid w:val="004432C5"/>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4432C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4432C5"/>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4432C5"/>
    <w:rPr>
      <w:vertAlign w:val="superscript"/>
    </w:rPr>
  </w:style>
  <w:style w:type="paragraph" w:customStyle="1" w:styleId="CharCharCharChar">
    <w:name w:val="Char Char Char Char"/>
    <w:aliases w:val="Char2"/>
    <w:basedOn w:val="Normal"/>
    <w:next w:val="Normal"/>
    <w:link w:val="FootnoteReference"/>
    <w:uiPriority w:val="99"/>
    <w:rsid w:val="004432C5"/>
    <w:pPr>
      <w:spacing w:line="240" w:lineRule="exact"/>
      <w:jc w:val="both"/>
      <w:textAlignment w:val="baseline"/>
    </w:pPr>
    <w:rPr>
      <w:vertAlign w:val="superscript"/>
    </w:rPr>
  </w:style>
  <w:style w:type="character" w:styleId="Strong">
    <w:name w:val="Strong"/>
    <w:uiPriority w:val="22"/>
    <w:qFormat/>
    <w:rsid w:val="00C63F36"/>
    <w:rPr>
      <w:b/>
      <w:bCs/>
    </w:rPr>
  </w:style>
  <w:style w:type="paragraph" w:customStyle="1" w:styleId="tv2132">
    <w:name w:val="tv2132"/>
    <w:basedOn w:val="Normal"/>
    <w:rsid w:val="00C63F36"/>
    <w:pPr>
      <w:spacing w:after="0" w:line="360" w:lineRule="auto"/>
      <w:ind w:firstLine="250"/>
    </w:pPr>
    <w:rPr>
      <w:rFonts w:ascii="Times New Roman" w:eastAsia="Times New Roman" w:hAnsi="Times New Roman" w:cs="Times New Roman"/>
      <w:color w:val="414142"/>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5866">
      <w:bodyDiv w:val="1"/>
      <w:marLeft w:val="0"/>
      <w:marRight w:val="0"/>
      <w:marTop w:val="0"/>
      <w:marBottom w:val="0"/>
      <w:divBdr>
        <w:top w:val="none" w:sz="0" w:space="0" w:color="auto"/>
        <w:left w:val="none" w:sz="0" w:space="0" w:color="auto"/>
        <w:bottom w:val="none" w:sz="0" w:space="0" w:color="auto"/>
        <w:right w:val="none" w:sz="0" w:space="0" w:color="auto"/>
      </w:divBdr>
      <w:divsChild>
        <w:div w:id="1511329904">
          <w:marLeft w:val="0"/>
          <w:marRight w:val="0"/>
          <w:marTop w:val="400"/>
          <w:marBottom w:val="0"/>
          <w:divBdr>
            <w:top w:val="none" w:sz="0" w:space="0" w:color="auto"/>
            <w:left w:val="none" w:sz="0" w:space="0" w:color="auto"/>
            <w:bottom w:val="none" w:sz="0" w:space="0" w:color="auto"/>
            <w:right w:val="none" w:sz="0" w:space="0" w:color="auto"/>
          </w:divBdr>
        </w:div>
        <w:div w:id="1845633136">
          <w:marLeft w:val="0"/>
          <w:marRight w:val="0"/>
          <w:marTop w:val="240"/>
          <w:marBottom w:val="0"/>
          <w:divBdr>
            <w:top w:val="none" w:sz="0" w:space="0" w:color="auto"/>
            <w:left w:val="none" w:sz="0" w:space="0" w:color="auto"/>
            <w:bottom w:val="none" w:sz="0" w:space="0" w:color="auto"/>
            <w:right w:val="none" w:sz="0" w:space="0" w:color="auto"/>
          </w:divBdr>
        </w:div>
      </w:divsChild>
    </w:div>
    <w:div w:id="418256682">
      <w:bodyDiv w:val="1"/>
      <w:marLeft w:val="0"/>
      <w:marRight w:val="0"/>
      <w:marTop w:val="0"/>
      <w:marBottom w:val="0"/>
      <w:divBdr>
        <w:top w:val="none" w:sz="0" w:space="0" w:color="auto"/>
        <w:left w:val="none" w:sz="0" w:space="0" w:color="auto"/>
        <w:bottom w:val="none" w:sz="0" w:space="0" w:color="auto"/>
        <w:right w:val="none" w:sz="0" w:space="0" w:color="auto"/>
      </w:divBdr>
      <w:divsChild>
        <w:div w:id="2023585070">
          <w:marLeft w:val="0"/>
          <w:marRight w:val="0"/>
          <w:marTop w:val="0"/>
          <w:marBottom w:val="0"/>
          <w:divBdr>
            <w:top w:val="none" w:sz="0" w:space="0" w:color="auto"/>
            <w:left w:val="none" w:sz="0" w:space="0" w:color="auto"/>
            <w:bottom w:val="none" w:sz="0" w:space="0" w:color="auto"/>
            <w:right w:val="none" w:sz="0" w:space="0" w:color="auto"/>
          </w:divBdr>
          <w:divsChild>
            <w:div w:id="1398480878">
              <w:marLeft w:val="0"/>
              <w:marRight w:val="0"/>
              <w:marTop w:val="0"/>
              <w:marBottom w:val="0"/>
              <w:divBdr>
                <w:top w:val="none" w:sz="0" w:space="0" w:color="auto"/>
                <w:left w:val="none" w:sz="0" w:space="0" w:color="auto"/>
                <w:bottom w:val="none" w:sz="0" w:space="0" w:color="auto"/>
                <w:right w:val="none" w:sz="0" w:space="0" w:color="auto"/>
              </w:divBdr>
              <w:divsChild>
                <w:div w:id="922445997">
                  <w:marLeft w:val="0"/>
                  <w:marRight w:val="0"/>
                  <w:marTop w:val="0"/>
                  <w:marBottom w:val="0"/>
                  <w:divBdr>
                    <w:top w:val="none" w:sz="0" w:space="0" w:color="auto"/>
                    <w:left w:val="none" w:sz="0" w:space="0" w:color="auto"/>
                    <w:bottom w:val="none" w:sz="0" w:space="0" w:color="auto"/>
                    <w:right w:val="none" w:sz="0" w:space="0" w:color="auto"/>
                  </w:divBdr>
                  <w:divsChild>
                    <w:div w:id="102699004">
                      <w:marLeft w:val="0"/>
                      <w:marRight w:val="0"/>
                      <w:marTop w:val="0"/>
                      <w:marBottom w:val="0"/>
                      <w:divBdr>
                        <w:top w:val="none" w:sz="0" w:space="0" w:color="auto"/>
                        <w:left w:val="none" w:sz="0" w:space="0" w:color="auto"/>
                        <w:bottom w:val="none" w:sz="0" w:space="0" w:color="auto"/>
                        <w:right w:val="none" w:sz="0" w:space="0" w:color="auto"/>
                      </w:divBdr>
                      <w:divsChild>
                        <w:div w:id="1286237368">
                          <w:marLeft w:val="0"/>
                          <w:marRight w:val="0"/>
                          <w:marTop w:val="0"/>
                          <w:marBottom w:val="0"/>
                          <w:divBdr>
                            <w:top w:val="none" w:sz="0" w:space="0" w:color="auto"/>
                            <w:left w:val="none" w:sz="0" w:space="0" w:color="auto"/>
                            <w:bottom w:val="none" w:sz="0" w:space="0" w:color="auto"/>
                            <w:right w:val="none" w:sz="0" w:space="0" w:color="auto"/>
                          </w:divBdr>
                          <w:divsChild>
                            <w:div w:id="8639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k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DBDF-9E84-4C45-B9E5-E38C8491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1665</Words>
  <Characters>11456</Characters>
  <Application>Microsoft Office Word</Application>
  <DocSecurity>0</DocSecurity>
  <Lines>347</Lines>
  <Paragraphs>179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Griķe</dc:creator>
  <cp:lastModifiedBy>Ieva Griķe</cp:lastModifiedBy>
  <cp:revision>30</cp:revision>
  <cp:lastPrinted>2017-03-30T08:41:00Z</cp:lastPrinted>
  <dcterms:created xsi:type="dcterms:W3CDTF">2017-03-10T08:39:00Z</dcterms:created>
  <dcterms:modified xsi:type="dcterms:W3CDTF">2017-03-30T08:43:00Z</dcterms:modified>
</cp:coreProperties>
</file>