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0B5" w:rsidRDefault="000810B5" w:rsidP="00382217">
      <w:pPr>
        <w:pStyle w:val="naisc"/>
        <w:spacing w:before="0" w:after="0"/>
        <w:rPr>
          <w:b/>
        </w:rPr>
      </w:pPr>
      <w:bookmarkStart w:id="0" w:name="_GoBack"/>
      <w:bookmarkEnd w:id="0"/>
    </w:p>
    <w:p w:rsidR="00F02ADC" w:rsidRDefault="00F02ADC" w:rsidP="00382217">
      <w:pPr>
        <w:pStyle w:val="naisc"/>
        <w:spacing w:before="0" w:after="0"/>
        <w:rPr>
          <w:b/>
        </w:rPr>
      </w:pPr>
      <w:r w:rsidRPr="00370491">
        <w:rPr>
          <w:b/>
        </w:rPr>
        <w:t xml:space="preserve">Ministru kabineta rīkojuma projekta </w:t>
      </w:r>
      <w:r w:rsidR="00370491" w:rsidRPr="00370491">
        <w:rPr>
          <w:b/>
          <w:bCs/>
          <w:lang w:eastAsia="en-US"/>
        </w:rPr>
        <w:t xml:space="preserve">“Grozījums </w:t>
      </w:r>
      <w:r w:rsidR="00370491">
        <w:rPr>
          <w:b/>
          <w:bCs/>
          <w:lang w:eastAsia="en-US"/>
        </w:rPr>
        <w:t xml:space="preserve">Ministru kabineta 2013.gada </w:t>
      </w:r>
      <w:r w:rsidR="00370491" w:rsidRPr="00370491">
        <w:rPr>
          <w:b/>
          <w:bCs/>
          <w:lang w:eastAsia="en-US"/>
        </w:rPr>
        <w:t>28.decembra rīkojumā Nr.685 “Par Zinātnes, tehnol</w:t>
      </w:r>
      <w:r w:rsidR="00370491">
        <w:rPr>
          <w:b/>
          <w:bCs/>
          <w:lang w:eastAsia="en-US"/>
        </w:rPr>
        <w:t xml:space="preserve">oģijas attīstības un inovācijas </w:t>
      </w:r>
      <w:r w:rsidR="00370491" w:rsidRPr="00370491">
        <w:rPr>
          <w:b/>
          <w:bCs/>
          <w:lang w:eastAsia="en-US"/>
        </w:rPr>
        <w:t xml:space="preserve">pamatnostādnēm 2014.-2020.gadam”” </w:t>
      </w:r>
      <w:r w:rsidRPr="00370491">
        <w:rPr>
          <w:b/>
        </w:rPr>
        <w:t>sākotnējā</w:t>
      </w:r>
      <w:r w:rsidR="00370491">
        <w:rPr>
          <w:b/>
        </w:rPr>
        <w:t xml:space="preserve">s ietekmes novērtējuma ziņojums </w:t>
      </w:r>
      <w:r w:rsidRPr="00370491">
        <w:rPr>
          <w:b/>
        </w:rPr>
        <w:t>(anotācija)</w:t>
      </w:r>
    </w:p>
    <w:p w:rsidR="00F02ADC" w:rsidRPr="002E66A7" w:rsidRDefault="00F02ADC" w:rsidP="00382217">
      <w:pPr>
        <w:pStyle w:val="naisc"/>
        <w:spacing w:before="0" w:after="0"/>
        <w:jc w:val="left"/>
        <w:rPr>
          <w:bCs/>
          <w:caps/>
        </w:rPr>
      </w:pPr>
    </w:p>
    <w:tbl>
      <w:tblPr>
        <w:tblW w:w="4960" w:type="pct"/>
        <w:tblCellSpacing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30" w:type="dxa"/>
          <w:left w:w="30" w:type="dxa"/>
          <w:bottom w:w="30" w:type="dxa"/>
          <w:right w:w="30" w:type="dxa"/>
        </w:tblCellMar>
        <w:tblLook w:val="00A0" w:firstRow="1" w:lastRow="0" w:firstColumn="1" w:lastColumn="0" w:noHBand="0" w:noVBand="0"/>
      </w:tblPr>
      <w:tblGrid>
        <w:gridCol w:w="323"/>
        <w:gridCol w:w="1689"/>
        <w:gridCol w:w="6977"/>
      </w:tblGrid>
      <w:tr w:rsidR="00CE62FF" w:rsidRPr="00B54631" w:rsidTr="00370491">
        <w:trPr>
          <w:tblCellSpacing w:w="15" w:type="dxa"/>
        </w:trPr>
        <w:tc>
          <w:tcPr>
            <w:tcW w:w="4967" w:type="pct"/>
            <w:gridSpan w:val="3"/>
            <w:vAlign w:val="center"/>
          </w:tcPr>
          <w:p w:rsidR="00CE62FF" w:rsidRPr="00B54631" w:rsidRDefault="00CE62FF" w:rsidP="00382217">
            <w:pPr>
              <w:spacing w:before="100" w:beforeAutospacing="1" w:after="100" w:afterAutospacing="1" w:line="240" w:lineRule="auto"/>
              <w:jc w:val="center"/>
              <w:rPr>
                <w:b/>
                <w:bCs/>
                <w:sz w:val="24"/>
                <w:szCs w:val="24"/>
                <w:lang w:eastAsia="lv-LV"/>
              </w:rPr>
            </w:pPr>
            <w:r w:rsidRPr="00B54631">
              <w:rPr>
                <w:b/>
                <w:bCs/>
                <w:sz w:val="24"/>
                <w:szCs w:val="24"/>
                <w:lang w:eastAsia="lv-LV"/>
              </w:rPr>
              <w:t>I. Tiesību akta projekta izstrādes nepieciešamība</w:t>
            </w:r>
          </w:p>
        </w:tc>
      </w:tr>
      <w:tr w:rsidR="00CE62FF" w:rsidRPr="00B54631" w:rsidTr="00370491">
        <w:trPr>
          <w:tblCellSpacing w:w="15" w:type="dxa"/>
        </w:trPr>
        <w:tc>
          <w:tcPr>
            <w:tcW w:w="156" w:type="pct"/>
          </w:tcPr>
          <w:p w:rsidR="00CE62FF" w:rsidRPr="00B54631" w:rsidRDefault="00CE62FF" w:rsidP="00382217">
            <w:pPr>
              <w:spacing w:before="100" w:beforeAutospacing="1" w:after="100" w:afterAutospacing="1" w:line="240" w:lineRule="auto"/>
              <w:rPr>
                <w:sz w:val="24"/>
                <w:szCs w:val="24"/>
                <w:lang w:eastAsia="lv-LV"/>
              </w:rPr>
            </w:pPr>
            <w:r w:rsidRPr="00B54631">
              <w:rPr>
                <w:sz w:val="24"/>
                <w:szCs w:val="24"/>
                <w:lang w:eastAsia="lv-LV"/>
              </w:rPr>
              <w:t>1.</w:t>
            </w:r>
          </w:p>
        </w:tc>
        <w:tc>
          <w:tcPr>
            <w:tcW w:w="929" w:type="pct"/>
          </w:tcPr>
          <w:p w:rsidR="00CE62FF" w:rsidRPr="00B54631" w:rsidRDefault="00CE62FF" w:rsidP="00382217">
            <w:pPr>
              <w:spacing w:before="100" w:beforeAutospacing="1" w:after="100" w:afterAutospacing="1" w:line="240" w:lineRule="auto"/>
              <w:rPr>
                <w:sz w:val="24"/>
                <w:szCs w:val="24"/>
                <w:lang w:eastAsia="lv-LV"/>
              </w:rPr>
            </w:pPr>
            <w:r w:rsidRPr="00B54631">
              <w:rPr>
                <w:sz w:val="24"/>
                <w:szCs w:val="24"/>
                <w:lang w:eastAsia="lv-LV"/>
              </w:rPr>
              <w:t>Pamatojums</w:t>
            </w:r>
          </w:p>
        </w:tc>
        <w:tc>
          <w:tcPr>
            <w:tcW w:w="3849" w:type="pct"/>
          </w:tcPr>
          <w:p w:rsidR="000E3D08" w:rsidRPr="00B42B98" w:rsidRDefault="00370491" w:rsidP="00382217">
            <w:pPr>
              <w:pStyle w:val="naiskr"/>
              <w:tabs>
                <w:tab w:val="left" w:pos="366"/>
              </w:tabs>
              <w:spacing w:after="60"/>
              <w:ind w:right="113"/>
              <w:jc w:val="both"/>
              <w:rPr>
                <w:bCs/>
              </w:rPr>
            </w:pPr>
            <w:r w:rsidRPr="00370491">
              <w:rPr>
                <w:bCs/>
              </w:rPr>
              <w:t>Ministru kabineta 2013.gada 28.decembra rīkojuma Nr.685 “Par Zinātnes, tehnoloģijas attīstības un inovācijas pamatnostādnēm 2014.</w:t>
            </w:r>
            <w:r w:rsidR="00E95A12">
              <w:rPr>
                <w:bCs/>
              </w:rPr>
              <w:t xml:space="preserve">-2020.gadam” </w:t>
            </w:r>
            <w:r w:rsidRPr="00370491">
              <w:rPr>
                <w:bCs/>
              </w:rPr>
              <w:t>4.1.apakšpunktā Izglītības un zinātnes ministrijai dots uzdevums sagatavot un līdz 2016.gada 1.decembrim noteiktā kārtībā iesniegt Ministru kabinetā informatīvo ziņojumu – Zinātnes, tehnoloģijas attīstības un inovācijas pamatnostādņu 2014.-2020.gadam īstenošanas starpposma novērtējumu.</w:t>
            </w:r>
          </w:p>
        </w:tc>
      </w:tr>
      <w:tr w:rsidR="00CE62FF" w:rsidRPr="00B54631" w:rsidTr="00370491">
        <w:trPr>
          <w:tblCellSpacing w:w="15" w:type="dxa"/>
        </w:trPr>
        <w:tc>
          <w:tcPr>
            <w:tcW w:w="156" w:type="pct"/>
          </w:tcPr>
          <w:p w:rsidR="00CE62FF" w:rsidRPr="00B54631" w:rsidRDefault="00CE62FF" w:rsidP="00382217">
            <w:pPr>
              <w:spacing w:before="100" w:beforeAutospacing="1" w:after="100" w:afterAutospacing="1" w:line="240" w:lineRule="auto"/>
              <w:rPr>
                <w:sz w:val="24"/>
                <w:szCs w:val="24"/>
                <w:lang w:eastAsia="lv-LV"/>
              </w:rPr>
            </w:pPr>
            <w:r w:rsidRPr="00B54631">
              <w:rPr>
                <w:sz w:val="24"/>
                <w:szCs w:val="24"/>
                <w:lang w:eastAsia="lv-LV"/>
              </w:rPr>
              <w:t>2.</w:t>
            </w:r>
          </w:p>
        </w:tc>
        <w:tc>
          <w:tcPr>
            <w:tcW w:w="929" w:type="pct"/>
          </w:tcPr>
          <w:p w:rsidR="00CE62FF" w:rsidRPr="00B54631" w:rsidRDefault="00CE62FF" w:rsidP="00382217">
            <w:pPr>
              <w:spacing w:before="100" w:beforeAutospacing="1" w:after="100" w:afterAutospacing="1" w:line="240" w:lineRule="auto"/>
              <w:rPr>
                <w:sz w:val="24"/>
                <w:szCs w:val="24"/>
                <w:lang w:eastAsia="lv-LV"/>
              </w:rPr>
            </w:pPr>
            <w:r w:rsidRPr="00B54631">
              <w:rPr>
                <w:sz w:val="24"/>
                <w:szCs w:val="24"/>
                <w:lang w:eastAsia="lv-LV"/>
              </w:rPr>
              <w:t>Pašreizējā situācija un problēmas, kuru risināšanai tiesību akta projekts izstrādāts, tiesiskā regulējuma mērķis un būtība</w:t>
            </w:r>
          </w:p>
        </w:tc>
        <w:tc>
          <w:tcPr>
            <w:tcW w:w="3849" w:type="pct"/>
          </w:tcPr>
          <w:p w:rsidR="00435114" w:rsidRDefault="00013147" w:rsidP="00382217">
            <w:pPr>
              <w:spacing w:line="240" w:lineRule="auto"/>
              <w:jc w:val="both"/>
              <w:rPr>
                <w:sz w:val="24"/>
                <w:szCs w:val="24"/>
              </w:rPr>
            </w:pPr>
            <w:r w:rsidRPr="00AE788C">
              <w:rPr>
                <w:bCs/>
                <w:sz w:val="24"/>
                <w:szCs w:val="24"/>
              </w:rPr>
              <w:t>Zinātnes, tehnoloģijas attīst</w:t>
            </w:r>
            <w:r w:rsidR="006B6875" w:rsidRPr="00AE788C">
              <w:rPr>
                <w:bCs/>
                <w:sz w:val="24"/>
                <w:szCs w:val="24"/>
              </w:rPr>
              <w:t>ības un inovācijas pamatnostādnes</w:t>
            </w:r>
            <w:r w:rsidRPr="00AE788C">
              <w:rPr>
                <w:bCs/>
                <w:sz w:val="24"/>
                <w:szCs w:val="24"/>
              </w:rPr>
              <w:t xml:space="preserve"> </w:t>
            </w:r>
            <w:r w:rsidR="000810B5">
              <w:rPr>
                <w:bCs/>
                <w:sz w:val="24"/>
                <w:szCs w:val="24"/>
              </w:rPr>
              <w:t xml:space="preserve">        </w:t>
            </w:r>
            <w:r w:rsidRPr="00AE788C">
              <w:rPr>
                <w:bCs/>
                <w:sz w:val="24"/>
                <w:szCs w:val="24"/>
              </w:rPr>
              <w:t>2014.-2020.gadam</w:t>
            </w:r>
            <w:r w:rsidR="006E1CAD" w:rsidRPr="00AE788C">
              <w:rPr>
                <w:bCs/>
                <w:sz w:val="24"/>
                <w:szCs w:val="24"/>
              </w:rPr>
              <w:t xml:space="preserve"> (turpmāk – pamatnostādnes) </w:t>
            </w:r>
            <w:r w:rsidR="00AE788C">
              <w:rPr>
                <w:bCs/>
                <w:sz w:val="24"/>
                <w:szCs w:val="24"/>
              </w:rPr>
              <w:t>ir balstītas uz</w:t>
            </w:r>
            <w:r w:rsidR="006E1CAD" w:rsidRPr="00AE788C">
              <w:rPr>
                <w:bCs/>
                <w:sz w:val="24"/>
                <w:szCs w:val="24"/>
              </w:rPr>
              <w:t xml:space="preserve"> V</w:t>
            </w:r>
            <w:r w:rsidRPr="00AE788C">
              <w:rPr>
                <w:sz w:val="24"/>
                <w:szCs w:val="24"/>
              </w:rPr>
              <w:t>iedās specializācijas stratēģij</w:t>
            </w:r>
            <w:r w:rsidR="006E1CAD" w:rsidRPr="00AE788C">
              <w:rPr>
                <w:sz w:val="24"/>
                <w:szCs w:val="24"/>
              </w:rPr>
              <w:t>u,</w:t>
            </w:r>
            <w:r w:rsidRPr="00AE788C">
              <w:rPr>
                <w:sz w:val="24"/>
                <w:szCs w:val="24"/>
              </w:rPr>
              <w:t xml:space="preserve"> kas paredz ekonomikas restrukturizāciju un mērķtiecīgu pētniecības un inovāciju resursu fokusēšanu zināšanu specializācijas jomās, kur</w:t>
            </w:r>
            <w:r w:rsidR="00AE788C">
              <w:rPr>
                <w:sz w:val="24"/>
                <w:szCs w:val="24"/>
              </w:rPr>
              <w:t>ās</w:t>
            </w:r>
            <w:r w:rsidRPr="00AE788C">
              <w:rPr>
                <w:sz w:val="24"/>
                <w:szCs w:val="24"/>
              </w:rPr>
              <w:t xml:space="preserve"> valsti</w:t>
            </w:r>
            <w:r w:rsidR="006E1CAD" w:rsidRPr="00AE788C">
              <w:rPr>
                <w:sz w:val="24"/>
                <w:szCs w:val="24"/>
              </w:rPr>
              <w:t>j ir salīdzinošās priekšrocības.  Pamatnostādnes nosaka</w:t>
            </w:r>
            <w:r w:rsidR="006B6875" w:rsidRPr="00AE788C">
              <w:rPr>
                <w:sz w:val="24"/>
                <w:szCs w:val="24"/>
              </w:rPr>
              <w:t>, ka</w:t>
            </w:r>
            <w:r w:rsidR="00EC1718" w:rsidRPr="00AE788C">
              <w:rPr>
                <w:sz w:val="24"/>
                <w:szCs w:val="24"/>
              </w:rPr>
              <w:t xml:space="preserve"> </w:t>
            </w:r>
            <w:r w:rsidR="006B6875" w:rsidRPr="00AE788C">
              <w:rPr>
                <w:sz w:val="24"/>
                <w:szCs w:val="24"/>
              </w:rPr>
              <w:t xml:space="preserve"> Latvijas Vi</w:t>
            </w:r>
            <w:r w:rsidR="00EC1718" w:rsidRPr="00AE788C">
              <w:rPr>
                <w:sz w:val="24"/>
                <w:szCs w:val="24"/>
              </w:rPr>
              <w:t xml:space="preserve">edās specializācijas stratēģija ir kompleksa stratēģija, kas ietver un paredz sabalansētu un papildinošu atbalsta instrumentu kopumu, kas ir vērsti uz ekonomikas transformāciju </w:t>
            </w:r>
            <w:r w:rsidR="006B6875" w:rsidRPr="00AE788C">
              <w:rPr>
                <w:sz w:val="24"/>
                <w:szCs w:val="24"/>
              </w:rPr>
              <w:t>virzīb</w:t>
            </w:r>
            <w:r w:rsidR="00EC1718" w:rsidRPr="00AE788C">
              <w:rPr>
                <w:sz w:val="24"/>
                <w:szCs w:val="24"/>
              </w:rPr>
              <w:t>ai</w:t>
            </w:r>
            <w:r w:rsidR="006B6875" w:rsidRPr="00AE788C">
              <w:rPr>
                <w:sz w:val="24"/>
                <w:szCs w:val="24"/>
              </w:rPr>
              <w:t xml:space="preserve"> uz</w:t>
            </w:r>
            <w:r w:rsidR="008B0C8A">
              <w:rPr>
                <w:sz w:val="24"/>
                <w:szCs w:val="24"/>
              </w:rPr>
              <w:t xml:space="preserve"> </w:t>
            </w:r>
            <w:r w:rsidR="00C5111F">
              <w:rPr>
                <w:sz w:val="24"/>
                <w:szCs w:val="24"/>
              </w:rPr>
              <w:t xml:space="preserve">augstas pievienotās vērtības </w:t>
            </w:r>
            <w:r w:rsidR="00AE788C" w:rsidRPr="00AE788C">
              <w:rPr>
                <w:sz w:val="24"/>
                <w:szCs w:val="24"/>
              </w:rPr>
              <w:t>tehnoloģisko un netehnoloģisko inovāciju</w:t>
            </w:r>
            <w:r w:rsidR="008B0C8A">
              <w:rPr>
                <w:sz w:val="24"/>
                <w:szCs w:val="24"/>
              </w:rPr>
              <w:t xml:space="preserve"> attīstību</w:t>
            </w:r>
            <w:r w:rsidR="00C5111F">
              <w:rPr>
                <w:sz w:val="24"/>
                <w:szCs w:val="24"/>
              </w:rPr>
              <w:t xml:space="preserve"> zināšanu ietilpīgas nozarēs</w:t>
            </w:r>
            <w:r w:rsidR="00AE788C" w:rsidRPr="00AE788C">
              <w:rPr>
                <w:sz w:val="24"/>
                <w:szCs w:val="24"/>
              </w:rPr>
              <w:t xml:space="preserve">, kā arī </w:t>
            </w:r>
            <w:proofErr w:type="spellStart"/>
            <w:r w:rsidR="00AE788C" w:rsidRPr="00AE788C">
              <w:rPr>
                <w:sz w:val="24"/>
                <w:szCs w:val="24"/>
              </w:rPr>
              <w:t>uzņēmējspējas</w:t>
            </w:r>
            <w:proofErr w:type="spellEnd"/>
            <w:r w:rsidR="00AE788C" w:rsidRPr="00AE788C">
              <w:rPr>
                <w:sz w:val="24"/>
                <w:szCs w:val="24"/>
              </w:rPr>
              <w:t xml:space="preserve"> un radošuma attīstību visās ekonomikas jomās un sociālajā sfērā.  Šādas stratēģijas izvēle ir saistīta ar identificētajiem strukturālajiem izaicinājumiem </w:t>
            </w:r>
            <w:r w:rsidR="00AE788C">
              <w:rPr>
                <w:sz w:val="24"/>
                <w:szCs w:val="24"/>
              </w:rPr>
              <w:t xml:space="preserve">un </w:t>
            </w:r>
            <w:proofErr w:type="spellStart"/>
            <w:r w:rsidR="00FF7482">
              <w:rPr>
                <w:sz w:val="24"/>
                <w:szCs w:val="24"/>
              </w:rPr>
              <w:t>rīcībpolitiku</w:t>
            </w:r>
            <w:proofErr w:type="spellEnd"/>
            <w:r w:rsidR="00FF7482">
              <w:rPr>
                <w:sz w:val="24"/>
                <w:szCs w:val="24"/>
              </w:rPr>
              <w:t xml:space="preserve"> to novēršanai.</w:t>
            </w:r>
            <w:r w:rsidR="00435114">
              <w:rPr>
                <w:sz w:val="24"/>
                <w:szCs w:val="24"/>
              </w:rPr>
              <w:t xml:space="preserve">  </w:t>
            </w:r>
          </w:p>
          <w:p w:rsidR="00435114" w:rsidRDefault="00013147" w:rsidP="00382217">
            <w:pPr>
              <w:spacing w:line="240" w:lineRule="auto"/>
              <w:jc w:val="both"/>
              <w:rPr>
                <w:sz w:val="24"/>
                <w:szCs w:val="24"/>
              </w:rPr>
            </w:pPr>
            <w:r w:rsidRPr="00AE788C">
              <w:rPr>
                <w:sz w:val="24"/>
                <w:szCs w:val="24"/>
              </w:rPr>
              <w:t xml:space="preserve">Izglītības un zinātnes ministrijas </w:t>
            </w:r>
            <w:r w:rsidR="00796263" w:rsidRPr="00AE788C">
              <w:rPr>
                <w:sz w:val="24"/>
                <w:szCs w:val="24"/>
              </w:rPr>
              <w:t>informatīv</w:t>
            </w:r>
            <w:r w:rsidRPr="00AE788C">
              <w:rPr>
                <w:sz w:val="24"/>
                <w:szCs w:val="24"/>
              </w:rPr>
              <w:t>ais ziņojums</w:t>
            </w:r>
            <w:r w:rsidR="00796263" w:rsidRPr="00AE788C">
              <w:rPr>
                <w:sz w:val="24"/>
                <w:szCs w:val="24"/>
              </w:rPr>
              <w:t xml:space="preserve"> "Viedās specializācijas stratēģijas monitoringa sistēma"</w:t>
            </w:r>
            <w:r w:rsidRPr="00AE788C">
              <w:rPr>
                <w:sz w:val="24"/>
                <w:szCs w:val="24"/>
              </w:rPr>
              <w:t xml:space="preserve"> (Ministru kabineta 2015.gada 15.septembra</w:t>
            </w:r>
            <w:r w:rsidRPr="00013147">
              <w:rPr>
                <w:sz w:val="24"/>
                <w:szCs w:val="24"/>
              </w:rPr>
              <w:t xml:space="preserve"> sēdes protokols Nr.47, </w:t>
            </w:r>
            <w:r w:rsidRPr="00013147">
              <w:rPr>
                <w:bCs/>
                <w:sz w:val="24"/>
                <w:szCs w:val="24"/>
              </w:rPr>
              <w:t xml:space="preserve">35.§) </w:t>
            </w:r>
            <w:r>
              <w:rPr>
                <w:bCs/>
                <w:sz w:val="24"/>
                <w:szCs w:val="24"/>
              </w:rPr>
              <w:t>paredz</w:t>
            </w:r>
            <w:r w:rsidR="00EF15B6" w:rsidRPr="00013147">
              <w:rPr>
                <w:sz w:val="24"/>
                <w:szCs w:val="24"/>
              </w:rPr>
              <w:t xml:space="preserve">, ka </w:t>
            </w:r>
            <w:r w:rsidR="0010712E">
              <w:rPr>
                <w:sz w:val="24"/>
                <w:szCs w:val="24"/>
              </w:rPr>
              <w:t xml:space="preserve">Izglītības un zinātnes </w:t>
            </w:r>
            <w:r w:rsidR="00EF15B6" w:rsidRPr="00013147">
              <w:rPr>
                <w:sz w:val="24"/>
                <w:szCs w:val="24"/>
              </w:rPr>
              <w:t>m</w:t>
            </w:r>
            <w:r w:rsidR="0086449E" w:rsidRPr="00013147">
              <w:rPr>
                <w:sz w:val="24"/>
                <w:szCs w:val="24"/>
              </w:rPr>
              <w:t xml:space="preserve">inistrija </w:t>
            </w:r>
            <w:r w:rsidR="00D75C39">
              <w:rPr>
                <w:sz w:val="24"/>
                <w:szCs w:val="24"/>
              </w:rPr>
              <w:t>sadarbībā ar Ekonomikas ministriju</w:t>
            </w:r>
            <w:r w:rsidR="00C61DCA">
              <w:rPr>
                <w:sz w:val="24"/>
                <w:szCs w:val="24"/>
              </w:rPr>
              <w:t xml:space="preserve"> </w:t>
            </w:r>
            <w:r w:rsidR="002250D0">
              <w:rPr>
                <w:sz w:val="24"/>
                <w:szCs w:val="24"/>
              </w:rPr>
              <w:t>laika periodā no 2017.gada līdz 2023.gadam</w:t>
            </w:r>
            <w:r w:rsidR="00262CE3">
              <w:rPr>
                <w:sz w:val="24"/>
                <w:szCs w:val="24"/>
              </w:rPr>
              <w:t xml:space="preserve"> ik pēc 2 gadiem</w:t>
            </w:r>
            <w:r w:rsidR="00C61DCA">
              <w:rPr>
                <w:sz w:val="24"/>
                <w:szCs w:val="24"/>
              </w:rPr>
              <w:t xml:space="preserve"> </w:t>
            </w:r>
            <w:r w:rsidR="002250D0">
              <w:rPr>
                <w:sz w:val="24"/>
                <w:szCs w:val="24"/>
              </w:rPr>
              <w:t>sagatavo</w:t>
            </w:r>
            <w:r w:rsidR="00D75C39">
              <w:rPr>
                <w:sz w:val="24"/>
                <w:szCs w:val="24"/>
              </w:rPr>
              <w:t xml:space="preserve"> V</w:t>
            </w:r>
            <w:r w:rsidR="00796263" w:rsidRPr="00013147">
              <w:rPr>
                <w:sz w:val="24"/>
                <w:szCs w:val="24"/>
              </w:rPr>
              <w:t>iedās specializācijas stratēģijas monitoringa progresa zi</w:t>
            </w:r>
            <w:r w:rsidR="00EF15B6" w:rsidRPr="00013147">
              <w:rPr>
                <w:sz w:val="24"/>
                <w:szCs w:val="24"/>
              </w:rPr>
              <w:t xml:space="preserve">ņojumu, kas ietver rādītāju izpildes progresa </w:t>
            </w:r>
            <w:proofErr w:type="spellStart"/>
            <w:r w:rsidR="00EF15B6" w:rsidRPr="00013147">
              <w:rPr>
                <w:sz w:val="24"/>
                <w:szCs w:val="24"/>
              </w:rPr>
              <w:t>izvērtējumu</w:t>
            </w:r>
            <w:proofErr w:type="spellEnd"/>
            <w:r w:rsidR="00EF15B6" w:rsidRPr="00013147">
              <w:rPr>
                <w:sz w:val="24"/>
                <w:szCs w:val="24"/>
              </w:rPr>
              <w:t xml:space="preserve">, īstenoto pētniecības, attīstības un inovācijas politikas ietekmes novērtējuma rezultātu pārskatu un analītisku </w:t>
            </w:r>
            <w:r w:rsidR="00435114">
              <w:rPr>
                <w:sz w:val="24"/>
                <w:szCs w:val="24"/>
              </w:rPr>
              <w:t>informāciju</w:t>
            </w:r>
            <w:r w:rsidR="00EF15B6" w:rsidRPr="00013147">
              <w:rPr>
                <w:sz w:val="24"/>
                <w:szCs w:val="24"/>
              </w:rPr>
              <w:t xml:space="preserve"> </w:t>
            </w:r>
            <w:r w:rsidR="00D75C39">
              <w:rPr>
                <w:sz w:val="24"/>
                <w:szCs w:val="24"/>
              </w:rPr>
              <w:t>par V</w:t>
            </w:r>
            <w:r w:rsidR="00EF15B6" w:rsidRPr="00013147">
              <w:rPr>
                <w:sz w:val="24"/>
                <w:szCs w:val="24"/>
              </w:rPr>
              <w:t xml:space="preserve">iedās specializācijas stratēģijas </w:t>
            </w:r>
            <w:r w:rsidR="00435114">
              <w:rPr>
                <w:sz w:val="24"/>
                <w:szCs w:val="24"/>
              </w:rPr>
              <w:t xml:space="preserve">specializācijas </w:t>
            </w:r>
            <w:r w:rsidR="00EF15B6" w:rsidRPr="00013147">
              <w:rPr>
                <w:sz w:val="24"/>
                <w:szCs w:val="24"/>
              </w:rPr>
              <w:t>jomu attīstību, tai skaitā</w:t>
            </w:r>
            <w:r w:rsidR="00180E26">
              <w:rPr>
                <w:sz w:val="24"/>
                <w:szCs w:val="24"/>
              </w:rPr>
              <w:t xml:space="preserve"> sniedzot</w:t>
            </w:r>
            <w:r w:rsidR="00EF15B6" w:rsidRPr="00013147">
              <w:rPr>
                <w:sz w:val="24"/>
                <w:szCs w:val="24"/>
              </w:rPr>
              <w:t xml:space="preserve"> priekšlikumus nepieciešamajām </w:t>
            </w:r>
            <w:proofErr w:type="spellStart"/>
            <w:r w:rsidR="00EF15B6" w:rsidRPr="00013147">
              <w:rPr>
                <w:sz w:val="24"/>
                <w:szCs w:val="24"/>
              </w:rPr>
              <w:t>rīcībpolitikas</w:t>
            </w:r>
            <w:proofErr w:type="spellEnd"/>
            <w:r w:rsidR="00EF15B6" w:rsidRPr="00013147">
              <w:rPr>
                <w:sz w:val="24"/>
                <w:szCs w:val="24"/>
              </w:rPr>
              <w:t xml:space="preserve"> izmaiņām.</w:t>
            </w:r>
            <w:r w:rsidR="00796263" w:rsidRPr="00013147">
              <w:rPr>
                <w:sz w:val="24"/>
                <w:szCs w:val="24"/>
              </w:rPr>
              <w:t xml:space="preserve"> </w:t>
            </w:r>
            <w:r w:rsidR="00D75C39">
              <w:rPr>
                <w:sz w:val="24"/>
                <w:szCs w:val="24"/>
              </w:rPr>
              <w:t>Pirmais</w:t>
            </w:r>
            <w:r w:rsidR="00796263" w:rsidRPr="00013147">
              <w:rPr>
                <w:sz w:val="24"/>
                <w:szCs w:val="24"/>
              </w:rPr>
              <w:t xml:space="preserve"> </w:t>
            </w:r>
            <w:r w:rsidR="00D75C39">
              <w:rPr>
                <w:sz w:val="24"/>
                <w:szCs w:val="24"/>
              </w:rPr>
              <w:t xml:space="preserve">progresa ziņojums ir jāsagatavo un </w:t>
            </w:r>
            <w:r w:rsidR="00C61DCA">
              <w:rPr>
                <w:sz w:val="24"/>
                <w:szCs w:val="24"/>
              </w:rPr>
              <w:t>jāiesniedz</w:t>
            </w:r>
            <w:r w:rsidR="00796263" w:rsidRPr="00013147">
              <w:rPr>
                <w:sz w:val="24"/>
                <w:szCs w:val="24"/>
              </w:rPr>
              <w:t xml:space="preserve"> </w:t>
            </w:r>
            <w:r w:rsidR="00796263" w:rsidRPr="00C83B91">
              <w:rPr>
                <w:sz w:val="24"/>
                <w:szCs w:val="24"/>
              </w:rPr>
              <w:t xml:space="preserve">Latvijas Pētniecības un </w:t>
            </w:r>
            <w:r w:rsidR="00435114">
              <w:rPr>
                <w:sz w:val="24"/>
                <w:szCs w:val="24"/>
              </w:rPr>
              <w:t xml:space="preserve">inovācijas </w:t>
            </w:r>
            <w:r w:rsidR="00796263" w:rsidRPr="00C83B91">
              <w:rPr>
                <w:sz w:val="24"/>
                <w:szCs w:val="24"/>
              </w:rPr>
              <w:t>stratēģisk</w:t>
            </w:r>
            <w:r w:rsidR="00435114">
              <w:rPr>
                <w:sz w:val="24"/>
                <w:szCs w:val="24"/>
              </w:rPr>
              <w:t>ajā</w:t>
            </w:r>
            <w:r w:rsidR="00796263" w:rsidRPr="00C83B91">
              <w:rPr>
                <w:sz w:val="24"/>
                <w:szCs w:val="24"/>
              </w:rPr>
              <w:t xml:space="preserve"> padom</w:t>
            </w:r>
            <w:r w:rsidR="00435114">
              <w:rPr>
                <w:sz w:val="24"/>
                <w:szCs w:val="24"/>
              </w:rPr>
              <w:t>ē</w:t>
            </w:r>
            <w:r w:rsidR="00796263" w:rsidRPr="00C83B91">
              <w:rPr>
                <w:sz w:val="24"/>
                <w:szCs w:val="24"/>
              </w:rPr>
              <w:t xml:space="preserve"> līdz 2017.gada 1.jūnijam.</w:t>
            </w:r>
            <w:r w:rsidR="00796263">
              <w:rPr>
                <w:sz w:val="24"/>
                <w:szCs w:val="24"/>
              </w:rPr>
              <w:t xml:space="preserve"> </w:t>
            </w:r>
            <w:r w:rsidR="00FF7482">
              <w:rPr>
                <w:sz w:val="24"/>
                <w:szCs w:val="24"/>
              </w:rPr>
              <w:t xml:space="preserve">     </w:t>
            </w:r>
          </w:p>
          <w:p w:rsidR="00EF15B6" w:rsidRDefault="00C61DCA" w:rsidP="00382217">
            <w:pPr>
              <w:spacing w:line="240" w:lineRule="auto"/>
              <w:jc w:val="both"/>
              <w:rPr>
                <w:sz w:val="24"/>
                <w:szCs w:val="24"/>
              </w:rPr>
            </w:pPr>
            <w:r>
              <w:rPr>
                <w:sz w:val="24"/>
                <w:szCs w:val="24"/>
              </w:rPr>
              <w:t xml:space="preserve">Pamatnostādņu starpposma novērtējums, kas ietver </w:t>
            </w:r>
            <w:r w:rsidR="00180E26">
              <w:rPr>
                <w:sz w:val="24"/>
                <w:szCs w:val="24"/>
              </w:rPr>
              <w:t>zinātnes politikas</w:t>
            </w:r>
            <w:r w:rsidR="00435114">
              <w:rPr>
                <w:sz w:val="24"/>
                <w:szCs w:val="24"/>
              </w:rPr>
              <w:t xml:space="preserve"> </w:t>
            </w:r>
            <w:r>
              <w:rPr>
                <w:sz w:val="24"/>
                <w:szCs w:val="24"/>
              </w:rPr>
              <w:t xml:space="preserve">rīcības virzienu </w:t>
            </w:r>
            <w:r w:rsidRPr="00C83B91">
              <w:rPr>
                <w:sz w:val="24"/>
                <w:szCs w:val="24"/>
              </w:rPr>
              <w:t>īstenošanas</w:t>
            </w:r>
            <w:r>
              <w:rPr>
                <w:sz w:val="24"/>
                <w:szCs w:val="24"/>
              </w:rPr>
              <w:t xml:space="preserve"> efektivitātes </w:t>
            </w:r>
            <w:r w:rsidRPr="00C83B91">
              <w:rPr>
                <w:sz w:val="24"/>
                <w:szCs w:val="24"/>
              </w:rPr>
              <w:t>un sasniegto rezultātu</w:t>
            </w:r>
            <w:r w:rsidR="00DA3DAB">
              <w:rPr>
                <w:sz w:val="24"/>
                <w:szCs w:val="24"/>
              </w:rPr>
              <w:t xml:space="preserve"> analīzi</w:t>
            </w:r>
            <w:r w:rsidR="0044034E">
              <w:rPr>
                <w:sz w:val="24"/>
                <w:szCs w:val="24"/>
              </w:rPr>
              <w:t>,</w:t>
            </w:r>
            <w:r>
              <w:rPr>
                <w:sz w:val="24"/>
                <w:szCs w:val="24"/>
              </w:rPr>
              <w:t xml:space="preserve"> </w:t>
            </w:r>
            <w:r w:rsidR="00180E26">
              <w:rPr>
                <w:sz w:val="24"/>
                <w:szCs w:val="24"/>
              </w:rPr>
              <w:t>ir saistīts ar</w:t>
            </w:r>
            <w:r>
              <w:rPr>
                <w:sz w:val="24"/>
                <w:szCs w:val="24"/>
              </w:rPr>
              <w:t xml:space="preserve"> V</w:t>
            </w:r>
            <w:r w:rsidR="0010712E">
              <w:rPr>
                <w:sz w:val="24"/>
                <w:szCs w:val="24"/>
              </w:rPr>
              <w:t xml:space="preserve">iedās specializācijas stratēģijas monitoringa progresa </w:t>
            </w:r>
            <w:proofErr w:type="spellStart"/>
            <w:r>
              <w:rPr>
                <w:sz w:val="24"/>
                <w:szCs w:val="24"/>
              </w:rPr>
              <w:t>izvērtējum</w:t>
            </w:r>
            <w:r w:rsidR="00180E26">
              <w:rPr>
                <w:sz w:val="24"/>
                <w:szCs w:val="24"/>
              </w:rPr>
              <w:t>u</w:t>
            </w:r>
            <w:proofErr w:type="spellEnd"/>
            <w:r>
              <w:rPr>
                <w:sz w:val="24"/>
                <w:szCs w:val="24"/>
              </w:rPr>
              <w:t>.</w:t>
            </w:r>
            <w:r w:rsidR="0010712E">
              <w:rPr>
                <w:sz w:val="24"/>
                <w:szCs w:val="24"/>
              </w:rPr>
              <w:t xml:space="preserve"> </w:t>
            </w:r>
            <w:r w:rsidR="000810B5">
              <w:rPr>
                <w:sz w:val="24"/>
                <w:szCs w:val="24"/>
              </w:rPr>
              <w:t>Tādējādi</w:t>
            </w:r>
            <w:r w:rsidR="00EC1718">
              <w:rPr>
                <w:sz w:val="24"/>
                <w:szCs w:val="24"/>
              </w:rPr>
              <w:t xml:space="preserve"> pamatnostādņu starpposma novērtējums tiks sagatavots </w:t>
            </w:r>
            <w:r w:rsidR="00305FDE">
              <w:rPr>
                <w:sz w:val="24"/>
                <w:szCs w:val="24"/>
              </w:rPr>
              <w:t xml:space="preserve">vienlaicīgi ar </w:t>
            </w:r>
            <w:r w:rsidR="00EC1718">
              <w:rPr>
                <w:sz w:val="24"/>
                <w:szCs w:val="24"/>
              </w:rPr>
              <w:t>V</w:t>
            </w:r>
            <w:r w:rsidR="00305FDE">
              <w:rPr>
                <w:sz w:val="24"/>
                <w:szCs w:val="24"/>
              </w:rPr>
              <w:t>iedās speciali</w:t>
            </w:r>
            <w:r w:rsidR="00EC1718">
              <w:rPr>
                <w:sz w:val="24"/>
                <w:szCs w:val="24"/>
              </w:rPr>
              <w:t>z</w:t>
            </w:r>
            <w:r w:rsidR="00305FDE">
              <w:rPr>
                <w:sz w:val="24"/>
                <w:szCs w:val="24"/>
              </w:rPr>
              <w:t xml:space="preserve">ācijas monitoringa </w:t>
            </w:r>
            <w:r w:rsidR="00EC05BE">
              <w:rPr>
                <w:sz w:val="24"/>
                <w:szCs w:val="24"/>
              </w:rPr>
              <w:t xml:space="preserve">progresa </w:t>
            </w:r>
            <w:r w:rsidR="00305FDE">
              <w:rPr>
                <w:sz w:val="24"/>
                <w:szCs w:val="24"/>
              </w:rPr>
              <w:t>ziņojumu.</w:t>
            </w:r>
            <w:r w:rsidR="003D49B6">
              <w:rPr>
                <w:sz w:val="24"/>
                <w:szCs w:val="24"/>
              </w:rPr>
              <w:t xml:space="preserve"> </w:t>
            </w:r>
          </w:p>
          <w:p w:rsidR="001A2E2E" w:rsidRPr="009B08F7" w:rsidRDefault="00370491" w:rsidP="00382217">
            <w:pPr>
              <w:spacing w:after="0" w:line="240" w:lineRule="auto"/>
              <w:jc w:val="both"/>
              <w:rPr>
                <w:sz w:val="24"/>
                <w:szCs w:val="24"/>
                <w:lang w:eastAsia="lv-LV"/>
              </w:rPr>
            </w:pPr>
            <w:r w:rsidRPr="00C83B91">
              <w:rPr>
                <w:sz w:val="24"/>
                <w:szCs w:val="24"/>
              </w:rPr>
              <w:lastRenderedPageBreak/>
              <w:t xml:space="preserve">Ņemot vērā minēto, izstrādātais </w:t>
            </w:r>
            <w:r w:rsidR="003C4B31" w:rsidRPr="00C83B91">
              <w:rPr>
                <w:sz w:val="24"/>
                <w:szCs w:val="24"/>
              </w:rPr>
              <w:t>Ministru kabineta</w:t>
            </w:r>
            <w:r w:rsidR="003C4B31">
              <w:rPr>
                <w:sz w:val="24"/>
                <w:szCs w:val="24"/>
              </w:rPr>
              <w:t xml:space="preserve"> </w:t>
            </w:r>
            <w:r w:rsidR="003C4B31" w:rsidRPr="003C4B31">
              <w:rPr>
                <w:sz w:val="24"/>
                <w:szCs w:val="24"/>
              </w:rPr>
              <w:t xml:space="preserve">rīkojuma </w:t>
            </w:r>
            <w:r w:rsidRPr="003C4B31">
              <w:rPr>
                <w:sz w:val="24"/>
                <w:szCs w:val="24"/>
              </w:rPr>
              <w:t>projekts</w:t>
            </w:r>
            <w:r w:rsidR="00B922C7" w:rsidRPr="009B08F7">
              <w:rPr>
                <w:sz w:val="24"/>
                <w:szCs w:val="24"/>
              </w:rPr>
              <w:t xml:space="preserve"> </w:t>
            </w:r>
            <w:r w:rsidRPr="009B08F7">
              <w:rPr>
                <w:sz w:val="24"/>
                <w:szCs w:val="24"/>
              </w:rPr>
              <w:t xml:space="preserve">paredz izdarīt grozījumu </w:t>
            </w:r>
            <w:r w:rsidRPr="009B08F7">
              <w:rPr>
                <w:bCs/>
                <w:sz w:val="24"/>
                <w:szCs w:val="24"/>
              </w:rPr>
              <w:t xml:space="preserve">rīkojuma 4.1.apakšpunktā, pagarinot Izglītības un zinātnes ministrijai </w:t>
            </w:r>
            <w:r w:rsidRPr="009B08F7">
              <w:rPr>
                <w:sz w:val="24"/>
                <w:szCs w:val="24"/>
              </w:rPr>
              <w:t>dotā uzdevuma izpildes termiņu līdz 2017.gada 1.</w:t>
            </w:r>
            <w:r w:rsidR="00F011F9">
              <w:rPr>
                <w:sz w:val="24"/>
                <w:szCs w:val="24"/>
              </w:rPr>
              <w:t>jūnijam.</w:t>
            </w:r>
          </w:p>
        </w:tc>
      </w:tr>
      <w:tr w:rsidR="00CE62FF" w:rsidRPr="00B54631" w:rsidTr="00370491">
        <w:trPr>
          <w:tblCellSpacing w:w="15" w:type="dxa"/>
        </w:trPr>
        <w:tc>
          <w:tcPr>
            <w:tcW w:w="156" w:type="pct"/>
          </w:tcPr>
          <w:p w:rsidR="00CE62FF" w:rsidRPr="00B54631" w:rsidRDefault="00CE62FF" w:rsidP="00382217">
            <w:pPr>
              <w:spacing w:before="100" w:beforeAutospacing="1" w:after="100" w:afterAutospacing="1" w:line="240" w:lineRule="auto"/>
              <w:rPr>
                <w:sz w:val="24"/>
                <w:szCs w:val="24"/>
                <w:lang w:eastAsia="lv-LV"/>
              </w:rPr>
            </w:pPr>
            <w:r w:rsidRPr="00B54631">
              <w:rPr>
                <w:sz w:val="24"/>
                <w:szCs w:val="24"/>
                <w:lang w:eastAsia="lv-LV"/>
              </w:rPr>
              <w:lastRenderedPageBreak/>
              <w:t>3.</w:t>
            </w:r>
          </w:p>
        </w:tc>
        <w:tc>
          <w:tcPr>
            <w:tcW w:w="929" w:type="pct"/>
          </w:tcPr>
          <w:p w:rsidR="00CE62FF" w:rsidRPr="00B54631" w:rsidRDefault="00CE62FF" w:rsidP="00382217">
            <w:pPr>
              <w:spacing w:before="100" w:beforeAutospacing="1" w:after="100" w:afterAutospacing="1" w:line="240" w:lineRule="auto"/>
              <w:rPr>
                <w:sz w:val="24"/>
                <w:szCs w:val="24"/>
                <w:lang w:eastAsia="lv-LV"/>
              </w:rPr>
            </w:pPr>
            <w:r w:rsidRPr="00B54631">
              <w:rPr>
                <w:sz w:val="24"/>
                <w:szCs w:val="24"/>
                <w:lang w:eastAsia="lv-LV"/>
              </w:rPr>
              <w:t>Projekta izstrādē iesaistītās institūcijas</w:t>
            </w:r>
          </w:p>
        </w:tc>
        <w:tc>
          <w:tcPr>
            <w:tcW w:w="3849" w:type="pct"/>
          </w:tcPr>
          <w:p w:rsidR="00CE62FF" w:rsidRPr="00B54631" w:rsidRDefault="006E64FA" w:rsidP="00382217">
            <w:pPr>
              <w:spacing w:before="100" w:beforeAutospacing="1" w:after="100" w:afterAutospacing="1" w:line="240" w:lineRule="auto"/>
              <w:jc w:val="both"/>
              <w:rPr>
                <w:sz w:val="24"/>
                <w:szCs w:val="24"/>
                <w:lang w:eastAsia="lv-LV"/>
              </w:rPr>
            </w:pPr>
            <w:r>
              <w:rPr>
                <w:sz w:val="24"/>
                <w:szCs w:val="24"/>
                <w:lang w:eastAsia="lv-LV"/>
              </w:rPr>
              <w:t>Izglītības un zinātnes ministrija</w:t>
            </w:r>
            <w:r w:rsidR="00CE62FF" w:rsidRPr="00B54631">
              <w:rPr>
                <w:sz w:val="24"/>
                <w:szCs w:val="24"/>
                <w:lang w:eastAsia="lv-LV"/>
              </w:rPr>
              <w:t>.</w:t>
            </w:r>
          </w:p>
        </w:tc>
      </w:tr>
      <w:tr w:rsidR="00CE62FF" w:rsidRPr="00B54631" w:rsidTr="00370491">
        <w:trPr>
          <w:tblCellSpacing w:w="15" w:type="dxa"/>
        </w:trPr>
        <w:tc>
          <w:tcPr>
            <w:tcW w:w="156" w:type="pct"/>
          </w:tcPr>
          <w:p w:rsidR="00CE62FF" w:rsidRPr="00B54631" w:rsidRDefault="00CE62FF" w:rsidP="00382217">
            <w:pPr>
              <w:spacing w:before="100" w:beforeAutospacing="1" w:after="100" w:afterAutospacing="1" w:line="240" w:lineRule="auto"/>
              <w:rPr>
                <w:sz w:val="24"/>
                <w:szCs w:val="24"/>
                <w:lang w:eastAsia="lv-LV"/>
              </w:rPr>
            </w:pPr>
            <w:r w:rsidRPr="00B54631">
              <w:rPr>
                <w:sz w:val="24"/>
                <w:szCs w:val="24"/>
                <w:lang w:eastAsia="lv-LV"/>
              </w:rPr>
              <w:t>4.</w:t>
            </w:r>
          </w:p>
        </w:tc>
        <w:tc>
          <w:tcPr>
            <w:tcW w:w="929" w:type="pct"/>
          </w:tcPr>
          <w:p w:rsidR="00CE62FF" w:rsidRPr="00B54631" w:rsidRDefault="00CE62FF" w:rsidP="00382217">
            <w:pPr>
              <w:spacing w:before="100" w:beforeAutospacing="1" w:after="100" w:afterAutospacing="1" w:line="240" w:lineRule="auto"/>
              <w:rPr>
                <w:sz w:val="24"/>
                <w:szCs w:val="24"/>
                <w:lang w:eastAsia="lv-LV"/>
              </w:rPr>
            </w:pPr>
            <w:r w:rsidRPr="00B54631">
              <w:rPr>
                <w:sz w:val="24"/>
                <w:szCs w:val="24"/>
                <w:lang w:eastAsia="lv-LV"/>
              </w:rPr>
              <w:t>Cita informācija</w:t>
            </w:r>
          </w:p>
        </w:tc>
        <w:tc>
          <w:tcPr>
            <w:tcW w:w="3849" w:type="pct"/>
          </w:tcPr>
          <w:p w:rsidR="00CE62FF" w:rsidRPr="00B54631" w:rsidRDefault="00CE62FF" w:rsidP="00382217">
            <w:pPr>
              <w:spacing w:before="100" w:beforeAutospacing="1" w:after="100" w:afterAutospacing="1" w:line="240" w:lineRule="auto"/>
              <w:ind w:firstLine="720"/>
              <w:jc w:val="both"/>
              <w:rPr>
                <w:sz w:val="24"/>
                <w:szCs w:val="24"/>
                <w:lang w:eastAsia="lv-LV"/>
              </w:rPr>
            </w:pPr>
            <w:r w:rsidRPr="00B54631">
              <w:rPr>
                <w:bCs/>
                <w:sz w:val="24"/>
                <w:szCs w:val="24"/>
              </w:rPr>
              <w:t>Nav</w:t>
            </w:r>
            <w:r w:rsidR="00A54E47" w:rsidRPr="00B54631">
              <w:rPr>
                <w:bCs/>
                <w:sz w:val="24"/>
                <w:szCs w:val="24"/>
              </w:rPr>
              <w:t>.</w:t>
            </w:r>
          </w:p>
        </w:tc>
      </w:tr>
    </w:tbl>
    <w:p w:rsidR="00CE62FF" w:rsidRPr="00B54631" w:rsidRDefault="00CE62FF" w:rsidP="00382217">
      <w:pPr>
        <w:spacing w:after="0" w:line="240" w:lineRule="auto"/>
        <w:rPr>
          <w:sz w:val="24"/>
          <w:szCs w:val="24"/>
          <w:lang w:eastAsia="lv-LV"/>
        </w:rPr>
      </w:pPr>
      <w:r w:rsidRPr="00B54631">
        <w:rPr>
          <w:sz w:val="24"/>
          <w:szCs w:val="24"/>
          <w:lang w:eastAsia="lv-LV"/>
        </w:rPr>
        <w:t> </w:t>
      </w:r>
    </w:p>
    <w:tbl>
      <w:tblPr>
        <w:tblW w:w="4919" w:type="pct"/>
        <w:tblCellSpacing w:w="15" w:type="dxa"/>
        <w:tblInd w:w="7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524"/>
        <w:gridCol w:w="2208"/>
        <w:gridCol w:w="6176"/>
      </w:tblGrid>
      <w:tr w:rsidR="00CE62FF" w:rsidRPr="00B54631" w:rsidTr="005412D0">
        <w:trPr>
          <w:tblCellSpacing w:w="15" w:type="dxa"/>
        </w:trPr>
        <w:tc>
          <w:tcPr>
            <w:tcW w:w="4966" w:type="pct"/>
            <w:gridSpan w:val="3"/>
            <w:tcBorders>
              <w:top w:val="outset" w:sz="6" w:space="0" w:color="000000"/>
              <w:bottom w:val="outset" w:sz="6" w:space="0" w:color="000000"/>
            </w:tcBorders>
          </w:tcPr>
          <w:p w:rsidR="00CE62FF" w:rsidRPr="00B54631" w:rsidRDefault="00CE62FF" w:rsidP="00382217">
            <w:pPr>
              <w:spacing w:before="100" w:beforeAutospacing="1" w:after="100" w:afterAutospacing="1" w:line="240" w:lineRule="auto"/>
              <w:jc w:val="center"/>
              <w:rPr>
                <w:b/>
                <w:bCs/>
                <w:sz w:val="24"/>
                <w:szCs w:val="24"/>
                <w:lang w:eastAsia="lv-LV"/>
              </w:rPr>
            </w:pPr>
            <w:r w:rsidRPr="00B54631">
              <w:rPr>
                <w:b/>
                <w:bCs/>
                <w:sz w:val="24"/>
                <w:szCs w:val="24"/>
                <w:lang w:eastAsia="lv-LV"/>
              </w:rPr>
              <w:t>VII. Tiesību akta projekta izpildes nodrošināšana un tās ietekme uz institūcijām</w:t>
            </w:r>
          </w:p>
        </w:tc>
      </w:tr>
      <w:tr w:rsidR="00CE62FF" w:rsidRPr="00B54631" w:rsidTr="005412D0">
        <w:trPr>
          <w:tblCellSpacing w:w="15" w:type="dxa"/>
        </w:trPr>
        <w:tc>
          <w:tcPr>
            <w:tcW w:w="271" w:type="pct"/>
            <w:tcBorders>
              <w:top w:val="outset" w:sz="6" w:space="0" w:color="000000"/>
              <w:bottom w:val="outset" w:sz="6" w:space="0" w:color="000000"/>
              <w:right w:val="outset" w:sz="6" w:space="0" w:color="000000"/>
            </w:tcBorders>
          </w:tcPr>
          <w:p w:rsidR="00CE62FF" w:rsidRPr="00B54631" w:rsidRDefault="00CE62FF" w:rsidP="00382217">
            <w:pPr>
              <w:spacing w:before="100" w:beforeAutospacing="1" w:after="100" w:afterAutospacing="1" w:line="240" w:lineRule="auto"/>
              <w:rPr>
                <w:sz w:val="24"/>
                <w:szCs w:val="24"/>
                <w:lang w:eastAsia="lv-LV"/>
              </w:rPr>
            </w:pPr>
            <w:r w:rsidRPr="00B54631">
              <w:rPr>
                <w:sz w:val="24"/>
                <w:szCs w:val="24"/>
                <w:lang w:eastAsia="lv-LV"/>
              </w:rPr>
              <w:t>1.</w:t>
            </w:r>
          </w:p>
        </w:tc>
        <w:tc>
          <w:tcPr>
            <w:tcW w:w="1231" w:type="pct"/>
            <w:tcBorders>
              <w:top w:val="outset" w:sz="6" w:space="0" w:color="000000"/>
              <w:left w:val="outset" w:sz="6" w:space="0" w:color="000000"/>
              <w:bottom w:val="outset" w:sz="6" w:space="0" w:color="000000"/>
              <w:right w:val="outset" w:sz="6" w:space="0" w:color="000000"/>
            </w:tcBorders>
          </w:tcPr>
          <w:p w:rsidR="00CE62FF" w:rsidRPr="00B54631" w:rsidRDefault="00CE62FF" w:rsidP="00382217">
            <w:pPr>
              <w:spacing w:before="100" w:beforeAutospacing="1" w:after="100" w:afterAutospacing="1" w:line="240" w:lineRule="auto"/>
              <w:rPr>
                <w:sz w:val="24"/>
                <w:szCs w:val="24"/>
                <w:lang w:eastAsia="lv-LV"/>
              </w:rPr>
            </w:pPr>
            <w:r w:rsidRPr="00B54631">
              <w:rPr>
                <w:sz w:val="24"/>
                <w:szCs w:val="24"/>
                <w:lang w:eastAsia="lv-LV"/>
              </w:rPr>
              <w:t>Projekta izpildē iesaistītās institūcijas</w:t>
            </w:r>
          </w:p>
        </w:tc>
        <w:tc>
          <w:tcPr>
            <w:tcW w:w="3431" w:type="pct"/>
            <w:tcBorders>
              <w:top w:val="outset" w:sz="6" w:space="0" w:color="000000"/>
              <w:left w:val="outset" w:sz="6" w:space="0" w:color="000000"/>
              <w:bottom w:val="outset" w:sz="6" w:space="0" w:color="000000"/>
            </w:tcBorders>
          </w:tcPr>
          <w:p w:rsidR="00CE62FF" w:rsidRPr="00B54631" w:rsidRDefault="00E95A12" w:rsidP="00382217">
            <w:pPr>
              <w:spacing w:before="100" w:beforeAutospacing="1" w:after="100" w:afterAutospacing="1" w:line="240" w:lineRule="auto"/>
              <w:jc w:val="both"/>
              <w:rPr>
                <w:sz w:val="24"/>
                <w:szCs w:val="24"/>
                <w:lang w:eastAsia="lv-LV"/>
              </w:rPr>
            </w:pPr>
            <w:r>
              <w:rPr>
                <w:sz w:val="24"/>
                <w:szCs w:val="24"/>
                <w:lang w:eastAsia="lv-LV"/>
              </w:rPr>
              <w:t xml:space="preserve">Par </w:t>
            </w:r>
            <w:r w:rsidR="00CE62FF" w:rsidRPr="00B54631">
              <w:rPr>
                <w:sz w:val="24"/>
                <w:szCs w:val="24"/>
                <w:lang w:eastAsia="lv-LV"/>
              </w:rPr>
              <w:t xml:space="preserve">projekta izpildi atbildīgā ir </w:t>
            </w:r>
            <w:r w:rsidR="006E64FA">
              <w:rPr>
                <w:sz w:val="24"/>
                <w:szCs w:val="24"/>
                <w:lang w:eastAsia="lv-LV"/>
              </w:rPr>
              <w:t>Izglītības un zinātnes ministrija.</w:t>
            </w:r>
          </w:p>
        </w:tc>
      </w:tr>
      <w:tr w:rsidR="00CE62FF" w:rsidRPr="00B54631" w:rsidTr="005412D0">
        <w:trPr>
          <w:tblCellSpacing w:w="15" w:type="dxa"/>
        </w:trPr>
        <w:tc>
          <w:tcPr>
            <w:tcW w:w="271" w:type="pct"/>
            <w:tcBorders>
              <w:top w:val="outset" w:sz="6" w:space="0" w:color="000000"/>
              <w:bottom w:val="outset" w:sz="6" w:space="0" w:color="000000"/>
              <w:right w:val="outset" w:sz="6" w:space="0" w:color="000000"/>
            </w:tcBorders>
          </w:tcPr>
          <w:p w:rsidR="00CE62FF" w:rsidRPr="00B54631" w:rsidRDefault="00CE62FF" w:rsidP="00382217">
            <w:pPr>
              <w:spacing w:before="100" w:beforeAutospacing="1" w:after="100" w:afterAutospacing="1" w:line="240" w:lineRule="auto"/>
              <w:rPr>
                <w:sz w:val="24"/>
                <w:szCs w:val="24"/>
                <w:lang w:eastAsia="lv-LV"/>
              </w:rPr>
            </w:pPr>
            <w:r w:rsidRPr="00B54631">
              <w:rPr>
                <w:sz w:val="24"/>
                <w:szCs w:val="24"/>
                <w:lang w:eastAsia="lv-LV"/>
              </w:rPr>
              <w:t>2.</w:t>
            </w:r>
          </w:p>
        </w:tc>
        <w:tc>
          <w:tcPr>
            <w:tcW w:w="1231" w:type="pct"/>
            <w:tcBorders>
              <w:top w:val="outset" w:sz="6" w:space="0" w:color="000000"/>
              <w:left w:val="outset" w:sz="6" w:space="0" w:color="000000"/>
              <w:bottom w:val="outset" w:sz="6" w:space="0" w:color="000000"/>
              <w:right w:val="outset" w:sz="6" w:space="0" w:color="000000"/>
            </w:tcBorders>
          </w:tcPr>
          <w:p w:rsidR="00CE62FF" w:rsidRPr="00B54631" w:rsidRDefault="00CE62FF" w:rsidP="00382217">
            <w:pPr>
              <w:spacing w:after="0" w:line="240" w:lineRule="auto"/>
              <w:rPr>
                <w:sz w:val="24"/>
                <w:szCs w:val="24"/>
                <w:lang w:eastAsia="lv-LV"/>
              </w:rPr>
            </w:pPr>
            <w:r w:rsidRPr="00B54631">
              <w:rPr>
                <w:sz w:val="24"/>
                <w:szCs w:val="24"/>
                <w:lang w:eastAsia="lv-LV"/>
              </w:rPr>
              <w:t xml:space="preserve">Projekta izpildes ietekme uz pārvaldes funkcijām un institucionālo struktūru. </w:t>
            </w:r>
          </w:p>
          <w:p w:rsidR="00CE62FF" w:rsidRPr="00B54631" w:rsidRDefault="00CE62FF" w:rsidP="00382217">
            <w:pPr>
              <w:spacing w:before="100" w:beforeAutospacing="1" w:after="100" w:afterAutospacing="1" w:line="240" w:lineRule="auto"/>
              <w:rPr>
                <w:sz w:val="24"/>
                <w:szCs w:val="24"/>
                <w:lang w:eastAsia="lv-LV"/>
              </w:rPr>
            </w:pPr>
            <w:r w:rsidRPr="00B54631">
              <w:rPr>
                <w:sz w:val="24"/>
                <w:szCs w:val="24"/>
                <w:lang w:eastAsia="lv-LV"/>
              </w:rPr>
              <w:t>Jaunu institūciju izveide, esošu institūciju likvidācija vai reorganizācija, to ietekme uz institūcijas cilvēkresursiem</w:t>
            </w:r>
          </w:p>
        </w:tc>
        <w:tc>
          <w:tcPr>
            <w:tcW w:w="3431" w:type="pct"/>
            <w:tcBorders>
              <w:top w:val="outset" w:sz="6" w:space="0" w:color="000000"/>
              <w:left w:val="outset" w:sz="6" w:space="0" w:color="000000"/>
              <w:bottom w:val="outset" w:sz="6" w:space="0" w:color="000000"/>
            </w:tcBorders>
            <w:vAlign w:val="center"/>
          </w:tcPr>
          <w:p w:rsidR="00CE62FF" w:rsidRPr="00B54631" w:rsidRDefault="00F00BC9" w:rsidP="00382217">
            <w:pPr>
              <w:spacing w:before="100" w:beforeAutospacing="1" w:after="100" w:afterAutospacing="1" w:line="240" w:lineRule="auto"/>
              <w:rPr>
                <w:sz w:val="24"/>
                <w:szCs w:val="24"/>
                <w:lang w:eastAsia="lv-LV"/>
              </w:rPr>
            </w:pPr>
            <w:r>
              <w:rPr>
                <w:sz w:val="24"/>
                <w:szCs w:val="24"/>
                <w:lang w:eastAsia="lv-LV"/>
              </w:rPr>
              <w:t>Projekts šo jomu neskar.</w:t>
            </w:r>
          </w:p>
        </w:tc>
      </w:tr>
      <w:tr w:rsidR="00CE62FF" w:rsidRPr="00B54631" w:rsidTr="005412D0">
        <w:trPr>
          <w:tblCellSpacing w:w="15" w:type="dxa"/>
        </w:trPr>
        <w:tc>
          <w:tcPr>
            <w:tcW w:w="271" w:type="pct"/>
            <w:tcBorders>
              <w:top w:val="outset" w:sz="6" w:space="0" w:color="000000"/>
              <w:bottom w:val="outset" w:sz="6" w:space="0" w:color="000000"/>
              <w:right w:val="outset" w:sz="6" w:space="0" w:color="000000"/>
            </w:tcBorders>
          </w:tcPr>
          <w:p w:rsidR="00CE62FF" w:rsidRPr="00B54631" w:rsidRDefault="00CE62FF" w:rsidP="00382217">
            <w:pPr>
              <w:spacing w:after="0" w:line="240" w:lineRule="auto"/>
              <w:rPr>
                <w:sz w:val="24"/>
                <w:szCs w:val="24"/>
                <w:lang w:eastAsia="lv-LV"/>
              </w:rPr>
            </w:pPr>
            <w:r w:rsidRPr="00B54631">
              <w:rPr>
                <w:sz w:val="24"/>
                <w:szCs w:val="24"/>
                <w:lang w:eastAsia="lv-LV"/>
              </w:rPr>
              <w:t>3.</w:t>
            </w:r>
          </w:p>
        </w:tc>
        <w:tc>
          <w:tcPr>
            <w:tcW w:w="1231" w:type="pct"/>
            <w:tcBorders>
              <w:top w:val="outset" w:sz="6" w:space="0" w:color="000000"/>
              <w:left w:val="outset" w:sz="6" w:space="0" w:color="000000"/>
              <w:bottom w:val="outset" w:sz="6" w:space="0" w:color="000000"/>
              <w:right w:val="outset" w:sz="6" w:space="0" w:color="000000"/>
            </w:tcBorders>
          </w:tcPr>
          <w:p w:rsidR="00CE62FF" w:rsidRPr="00B54631" w:rsidRDefault="00CE62FF" w:rsidP="00382217">
            <w:pPr>
              <w:spacing w:after="0" w:line="240" w:lineRule="auto"/>
              <w:rPr>
                <w:sz w:val="24"/>
                <w:szCs w:val="24"/>
                <w:lang w:eastAsia="lv-LV"/>
              </w:rPr>
            </w:pPr>
            <w:r w:rsidRPr="00B54631">
              <w:rPr>
                <w:sz w:val="24"/>
                <w:szCs w:val="24"/>
                <w:lang w:eastAsia="lv-LV"/>
              </w:rPr>
              <w:t>Cita informācija</w:t>
            </w:r>
          </w:p>
        </w:tc>
        <w:tc>
          <w:tcPr>
            <w:tcW w:w="3431" w:type="pct"/>
            <w:tcBorders>
              <w:top w:val="outset" w:sz="6" w:space="0" w:color="000000"/>
              <w:left w:val="outset" w:sz="6" w:space="0" w:color="000000"/>
              <w:bottom w:val="outset" w:sz="6" w:space="0" w:color="000000"/>
            </w:tcBorders>
          </w:tcPr>
          <w:p w:rsidR="00CE62FF" w:rsidRPr="00B54631" w:rsidRDefault="00CE62FF" w:rsidP="00382217">
            <w:pPr>
              <w:spacing w:after="0" w:line="240" w:lineRule="auto"/>
              <w:ind w:firstLine="720"/>
              <w:jc w:val="both"/>
              <w:rPr>
                <w:sz w:val="24"/>
                <w:szCs w:val="24"/>
                <w:lang w:eastAsia="lv-LV"/>
              </w:rPr>
            </w:pPr>
            <w:r w:rsidRPr="00B54631">
              <w:rPr>
                <w:sz w:val="24"/>
                <w:szCs w:val="24"/>
                <w:lang w:eastAsia="lv-LV"/>
              </w:rPr>
              <w:t>Nav</w:t>
            </w:r>
            <w:r w:rsidR="00815A67" w:rsidRPr="00B54631">
              <w:rPr>
                <w:sz w:val="24"/>
                <w:szCs w:val="24"/>
                <w:lang w:eastAsia="lv-LV"/>
              </w:rPr>
              <w:t>.</w:t>
            </w:r>
          </w:p>
        </w:tc>
      </w:tr>
    </w:tbl>
    <w:p w:rsidR="00281B5D" w:rsidRDefault="00281B5D" w:rsidP="00382217">
      <w:pPr>
        <w:spacing w:after="0" w:line="240" w:lineRule="auto"/>
        <w:rPr>
          <w:sz w:val="24"/>
          <w:szCs w:val="24"/>
          <w:lang w:eastAsia="lv-LV"/>
        </w:rPr>
      </w:pPr>
    </w:p>
    <w:p w:rsidR="00370491" w:rsidRPr="00370491" w:rsidRDefault="00370491" w:rsidP="00382217">
      <w:pPr>
        <w:tabs>
          <w:tab w:val="left" w:pos="2552"/>
        </w:tabs>
        <w:spacing w:after="0" w:line="240" w:lineRule="auto"/>
        <w:rPr>
          <w:bCs/>
          <w:i/>
          <w:sz w:val="24"/>
          <w:szCs w:val="24"/>
          <w:lang w:eastAsia="lv-LV"/>
        </w:rPr>
      </w:pPr>
      <w:r w:rsidRPr="00370491">
        <w:rPr>
          <w:bCs/>
          <w:i/>
          <w:sz w:val="24"/>
          <w:szCs w:val="24"/>
          <w:lang w:eastAsia="lv-LV"/>
        </w:rPr>
        <w:t>Anotācijas II, III, IV, V un VI sadaļa – projekts šīs jomas neskar.</w:t>
      </w:r>
    </w:p>
    <w:p w:rsidR="00C26C2E" w:rsidRDefault="00C26C2E" w:rsidP="00382217">
      <w:pPr>
        <w:tabs>
          <w:tab w:val="left" w:pos="2552"/>
        </w:tabs>
        <w:spacing w:after="0" w:line="240" w:lineRule="auto"/>
        <w:rPr>
          <w:bCs/>
          <w:sz w:val="24"/>
          <w:szCs w:val="24"/>
          <w:lang w:eastAsia="lv-LV"/>
        </w:rPr>
      </w:pPr>
    </w:p>
    <w:p w:rsidR="00C26C2E" w:rsidRDefault="00C26C2E" w:rsidP="00382217">
      <w:pPr>
        <w:tabs>
          <w:tab w:val="left" w:pos="2552"/>
        </w:tabs>
        <w:spacing w:after="0" w:line="240" w:lineRule="auto"/>
        <w:rPr>
          <w:bCs/>
          <w:sz w:val="24"/>
          <w:szCs w:val="24"/>
          <w:lang w:eastAsia="lv-LV"/>
        </w:rPr>
      </w:pPr>
    </w:p>
    <w:p w:rsidR="00281B5D" w:rsidRDefault="006E64FA" w:rsidP="00382217">
      <w:pPr>
        <w:spacing w:after="0" w:line="240" w:lineRule="auto"/>
        <w:rPr>
          <w:sz w:val="24"/>
          <w:szCs w:val="24"/>
          <w:lang w:eastAsia="lv-LV"/>
        </w:rPr>
      </w:pPr>
      <w:r>
        <w:rPr>
          <w:sz w:val="24"/>
          <w:szCs w:val="24"/>
          <w:lang w:eastAsia="lv-LV"/>
        </w:rPr>
        <w:t>Izglīt</w:t>
      </w:r>
      <w:r w:rsidR="00E95A12">
        <w:rPr>
          <w:sz w:val="24"/>
          <w:szCs w:val="24"/>
          <w:lang w:eastAsia="lv-LV"/>
        </w:rPr>
        <w:t>ības un zinātnes ministrs</w:t>
      </w:r>
      <w:r w:rsidR="00E95A12">
        <w:rPr>
          <w:sz w:val="24"/>
          <w:szCs w:val="24"/>
          <w:lang w:eastAsia="lv-LV"/>
        </w:rPr>
        <w:tab/>
      </w:r>
      <w:r w:rsidR="00E95A12">
        <w:rPr>
          <w:sz w:val="24"/>
          <w:szCs w:val="24"/>
          <w:lang w:eastAsia="lv-LV"/>
        </w:rPr>
        <w:tab/>
      </w:r>
      <w:r w:rsidR="00E95A12">
        <w:rPr>
          <w:sz w:val="24"/>
          <w:szCs w:val="24"/>
          <w:lang w:eastAsia="lv-LV"/>
        </w:rPr>
        <w:tab/>
      </w:r>
      <w:r w:rsidR="00E95A12">
        <w:rPr>
          <w:sz w:val="24"/>
          <w:szCs w:val="24"/>
          <w:lang w:eastAsia="lv-LV"/>
        </w:rPr>
        <w:tab/>
      </w:r>
      <w:r w:rsidR="00E95A12">
        <w:rPr>
          <w:sz w:val="24"/>
          <w:szCs w:val="24"/>
          <w:lang w:eastAsia="lv-LV"/>
        </w:rPr>
        <w:tab/>
      </w:r>
      <w:r w:rsidR="00E95A12">
        <w:rPr>
          <w:sz w:val="24"/>
          <w:szCs w:val="24"/>
          <w:lang w:eastAsia="lv-LV"/>
        </w:rPr>
        <w:tab/>
        <w:t>Kārlis Šadurskis</w:t>
      </w:r>
    </w:p>
    <w:p w:rsidR="00F26ED4" w:rsidRDefault="00F26ED4" w:rsidP="00382217">
      <w:pPr>
        <w:spacing w:after="0" w:line="240" w:lineRule="auto"/>
        <w:rPr>
          <w:sz w:val="24"/>
          <w:szCs w:val="24"/>
          <w:lang w:eastAsia="lv-LV"/>
        </w:rPr>
      </w:pPr>
    </w:p>
    <w:p w:rsidR="00F26ED4" w:rsidRDefault="00F26ED4" w:rsidP="00382217">
      <w:pPr>
        <w:spacing w:after="0" w:line="240" w:lineRule="auto"/>
        <w:rPr>
          <w:sz w:val="24"/>
          <w:szCs w:val="24"/>
          <w:lang w:eastAsia="lv-LV"/>
        </w:rPr>
      </w:pPr>
    </w:p>
    <w:p w:rsidR="00382217" w:rsidRPr="00382217" w:rsidRDefault="00382217" w:rsidP="00382217">
      <w:pPr>
        <w:pStyle w:val="BodyTextIndent"/>
        <w:spacing w:line="240" w:lineRule="auto"/>
        <w:ind w:left="0"/>
        <w:rPr>
          <w:sz w:val="24"/>
          <w:szCs w:val="24"/>
        </w:rPr>
      </w:pPr>
      <w:r w:rsidRPr="00382217">
        <w:rPr>
          <w:sz w:val="24"/>
          <w:szCs w:val="24"/>
        </w:rPr>
        <w:t>Vizē:</w:t>
      </w:r>
    </w:p>
    <w:p w:rsidR="00382217" w:rsidRPr="00382217" w:rsidRDefault="00382217" w:rsidP="00382217">
      <w:pPr>
        <w:spacing w:line="240" w:lineRule="auto"/>
        <w:rPr>
          <w:sz w:val="24"/>
          <w:szCs w:val="24"/>
        </w:rPr>
      </w:pPr>
      <w:r w:rsidRPr="00382217">
        <w:rPr>
          <w:sz w:val="24"/>
          <w:szCs w:val="24"/>
        </w:rPr>
        <w:t>Valsts sekretāra vietnieks –</w:t>
      </w:r>
      <w:r w:rsidR="00FE4F72">
        <w:rPr>
          <w:sz w:val="24"/>
          <w:szCs w:val="24"/>
        </w:rPr>
        <w:br/>
        <w:t>Sporta departamenta direktors,</w:t>
      </w:r>
      <w:r w:rsidR="00FE4F72">
        <w:rPr>
          <w:sz w:val="24"/>
          <w:szCs w:val="24"/>
        </w:rPr>
        <w:br/>
      </w:r>
      <w:r w:rsidRPr="00382217">
        <w:rPr>
          <w:sz w:val="24"/>
          <w:szCs w:val="24"/>
        </w:rPr>
        <w:t xml:space="preserve">valsts sekretāra pienākumu izpildītājs                              </w:t>
      </w:r>
      <w:r>
        <w:rPr>
          <w:sz w:val="24"/>
          <w:szCs w:val="24"/>
        </w:rPr>
        <w:tab/>
      </w:r>
      <w:r>
        <w:rPr>
          <w:sz w:val="24"/>
          <w:szCs w:val="24"/>
        </w:rPr>
        <w:tab/>
      </w:r>
      <w:r w:rsidRPr="00382217">
        <w:rPr>
          <w:sz w:val="24"/>
          <w:szCs w:val="24"/>
        </w:rPr>
        <w:t>E</w:t>
      </w:r>
      <w:r w:rsidR="006357A0">
        <w:rPr>
          <w:sz w:val="24"/>
          <w:szCs w:val="24"/>
        </w:rPr>
        <w:t xml:space="preserve">dgars </w:t>
      </w:r>
      <w:r w:rsidRPr="00382217">
        <w:rPr>
          <w:sz w:val="24"/>
          <w:szCs w:val="24"/>
        </w:rPr>
        <w:t xml:space="preserve">Severs          </w:t>
      </w:r>
    </w:p>
    <w:p w:rsidR="00C26C2E" w:rsidRDefault="00C26C2E" w:rsidP="00382217">
      <w:pPr>
        <w:spacing w:after="0" w:line="240" w:lineRule="auto"/>
        <w:rPr>
          <w:sz w:val="24"/>
          <w:szCs w:val="24"/>
          <w:lang w:eastAsia="lv-LV"/>
        </w:rPr>
      </w:pPr>
    </w:p>
    <w:p w:rsidR="003654DF" w:rsidRPr="002E66A7" w:rsidRDefault="003654DF" w:rsidP="00382217">
      <w:pPr>
        <w:spacing w:after="0" w:line="240" w:lineRule="auto"/>
        <w:rPr>
          <w:sz w:val="24"/>
          <w:szCs w:val="24"/>
          <w:lang w:eastAsia="lv-LV"/>
        </w:rPr>
      </w:pPr>
    </w:p>
    <w:p w:rsidR="00281B5D" w:rsidRPr="001D56D1" w:rsidRDefault="000F3D3F" w:rsidP="00382217">
      <w:pPr>
        <w:spacing w:after="0" w:line="240" w:lineRule="auto"/>
        <w:rPr>
          <w:sz w:val="20"/>
          <w:szCs w:val="20"/>
          <w:lang w:eastAsia="lv-LV"/>
        </w:rPr>
      </w:pPr>
      <w:r>
        <w:rPr>
          <w:sz w:val="20"/>
          <w:szCs w:val="20"/>
          <w:lang w:eastAsia="lv-LV"/>
        </w:rPr>
        <w:t>10</w:t>
      </w:r>
      <w:r w:rsidR="00E95A12" w:rsidRPr="001D56D1">
        <w:rPr>
          <w:sz w:val="20"/>
          <w:szCs w:val="20"/>
          <w:lang w:eastAsia="lv-LV"/>
        </w:rPr>
        <w:t>.</w:t>
      </w:r>
      <w:r w:rsidR="0086449E">
        <w:rPr>
          <w:sz w:val="20"/>
          <w:szCs w:val="20"/>
          <w:lang w:eastAsia="lv-LV"/>
        </w:rPr>
        <w:t>02</w:t>
      </w:r>
      <w:r w:rsidR="00E95A12" w:rsidRPr="001D56D1">
        <w:rPr>
          <w:sz w:val="20"/>
          <w:szCs w:val="20"/>
          <w:lang w:eastAsia="lv-LV"/>
        </w:rPr>
        <w:t>.201</w:t>
      </w:r>
      <w:r w:rsidR="0086449E">
        <w:rPr>
          <w:sz w:val="20"/>
          <w:szCs w:val="20"/>
          <w:lang w:eastAsia="lv-LV"/>
        </w:rPr>
        <w:t>7</w:t>
      </w:r>
      <w:r w:rsidR="00E95A12" w:rsidRPr="001D56D1">
        <w:rPr>
          <w:sz w:val="20"/>
          <w:szCs w:val="20"/>
          <w:lang w:eastAsia="lv-LV"/>
        </w:rPr>
        <w:t>.</w:t>
      </w:r>
    </w:p>
    <w:p w:rsidR="00281B5D" w:rsidRPr="006E6260" w:rsidRDefault="00244F18" w:rsidP="00382217">
      <w:pPr>
        <w:spacing w:after="0" w:line="240" w:lineRule="auto"/>
        <w:rPr>
          <w:sz w:val="20"/>
          <w:szCs w:val="20"/>
          <w:lang w:eastAsia="lv-LV"/>
        </w:rPr>
      </w:pPr>
      <w:r>
        <w:rPr>
          <w:sz w:val="20"/>
          <w:szCs w:val="20"/>
          <w:lang w:eastAsia="lv-LV"/>
        </w:rPr>
        <w:t>451</w:t>
      </w:r>
    </w:p>
    <w:p w:rsidR="00281B5D" w:rsidRPr="006E6260" w:rsidRDefault="00E95A12" w:rsidP="00382217">
      <w:pPr>
        <w:spacing w:after="0" w:line="240" w:lineRule="auto"/>
        <w:rPr>
          <w:sz w:val="20"/>
          <w:szCs w:val="20"/>
          <w:lang w:eastAsia="lv-LV"/>
        </w:rPr>
      </w:pPr>
      <w:proofErr w:type="spellStart"/>
      <w:r>
        <w:rPr>
          <w:sz w:val="20"/>
          <w:szCs w:val="20"/>
          <w:lang w:eastAsia="lv-LV"/>
        </w:rPr>
        <w:t>L.Treimane</w:t>
      </w:r>
      <w:proofErr w:type="spellEnd"/>
      <w:r>
        <w:rPr>
          <w:sz w:val="20"/>
          <w:szCs w:val="20"/>
          <w:lang w:eastAsia="lv-LV"/>
        </w:rPr>
        <w:t>, 67047966</w:t>
      </w:r>
    </w:p>
    <w:p w:rsidR="00CE12F9" w:rsidRPr="00A65458" w:rsidRDefault="00E95A12" w:rsidP="00382217">
      <w:pPr>
        <w:spacing w:after="0" w:line="240" w:lineRule="auto"/>
        <w:rPr>
          <w:sz w:val="20"/>
          <w:szCs w:val="20"/>
          <w:lang w:eastAsia="lv-LV"/>
        </w:rPr>
      </w:pPr>
      <w:r>
        <w:rPr>
          <w:sz w:val="20"/>
          <w:szCs w:val="20"/>
        </w:rPr>
        <w:t>Laura.Treimane</w:t>
      </w:r>
      <w:r w:rsidR="00C26C2E">
        <w:rPr>
          <w:sz w:val="20"/>
          <w:szCs w:val="20"/>
        </w:rPr>
        <w:t>@izm.gov.lv</w:t>
      </w:r>
    </w:p>
    <w:sectPr w:rsidR="00CE12F9" w:rsidRPr="00A65458" w:rsidSect="00A65458">
      <w:headerReference w:type="even" r:id="rId8"/>
      <w:headerReference w:type="default" r:id="rId9"/>
      <w:footerReference w:type="default" r:id="rId10"/>
      <w:footerReference w:type="first" r:id="rId11"/>
      <w:pgSz w:w="11906" w:h="16838"/>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C18" w:rsidRDefault="00FC2C18" w:rsidP="00F02ADC">
      <w:pPr>
        <w:spacing w:after="0" w:line="240" w:lineRule="auto"/>
      </w:pPr>
      <w:r>
        <w:separator/>
      </w:r>
    </w:p>
  </w:endnote>
  <w:endnote w:type="continuationSeparator" w:id="0">
    <w:p w:rsidR="00FC2C18" w:rsidRDefault="00FC2C18" w:rsidP="00F02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4AB" w:rsidRPr="00E95A12" w:rsidRDefault="00E95A12" w:rsidP="00E95A12">
    <w:pPr>
      <w:pStyle w:val="Footer"/>
      <w:jc w:val="both"/>
      <w:rPr>
        <w:sz w:val="20"/>
        <w:szCs w:val="20"/>
      </w:rPr>
    </w:pPr>
    <w:r w:rsidRPr="00E95A12">
      <w:rPr>
        <w:sz w:val="20"/>
        <w:szCs w:val="20"/>
      </w:rPr>
      <w:t>IZManot_</w:t>
    </w:r>
    <w:r w:rsidR="000F3D3F">
      <w:rPr>
        <w:sz w:val="20"/>
        <w:szCs w:val="20"/>
      </w:rPr>
      <w:t>10</w:t>
    </w:r>
    <w:r w:rsidR="00A3060D">
      <w:rPr>
        <w:sz w:val="20"/>
        <w:szCs w:val="20"/>
      </w:rPr>
      <w:t>022017</w:t>
    </w:r>
    <w:r w:rsidRPr="00E95A12">
      <w:rPr>
        <w:sz w:val="20"/>
        <w:szCs w:val="20"/>
      </w:rPr>
      <w:t xml:space="preserve">_pamatnostadnes; Ministru kabineta rīkojuma projekta </w:t>
    </w:r>
    <w:r w:rsidRPr="00E95A12">
      <w:rPr>
        <w:bCs/>
        <w:sz w:val="20"/>
        <w:szCs w:val="20"/>
      </w:rPr>
      <w:t xml:space="preserve">“Grozījums Ministru kabineta 2013.gada 28.decembra rīkojumā Nr.685 “Par Zinātnes, tehnoloģijas attīstības un inovācijas pamatnostādnēm 2014.-2020.gadam”” </w:t>
    </w:r>
    <w:r w:rsidRPr="00E95A12">
      <w:rPr>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4AB" w:rsidRPr="00706417" w:rsidRDefault="006E64FA" w:rsidP="006E64FA">
    <w:pPr>
      <w:pStyle w:val="Footer"/>
      <w:jc w:val="both"/>
      <w:rPr>
        <w:sz w:val="20"/>
        <w:szCs w:val="20"/>
      </w:rPr>
    </w:pPr>
    <w:r>
      <w:rPr>
        <w:sz w:val="20"/>
        <w:szCs w:val="20"/>
      </w:rPr>
      <w:t>IZMa</w:t>
    </w:r>
    <w:r w:rsidR="007B54AB">
      <w:rPr>
        <w:sz w:val="20"/>
        <w:szCs w:val="20"/>
      </w:rPr>
      <w:t>not_</w:t>
    </w:r>
    <w:r w:rsidR="000F3D3F">
      <w:rPr>
        <w:sz w:val="20"/>
        <w:szCs w:val="20"/>
      </w:rPr>
      <w:t>10</w:t>
    </w:r>
    <w:r w:rsidR="00A3060D">
      <w:rPr>
        <w:sz w:val="20"/>
        <w:szCs w:val="20"/>
      </w:rPr>
      <w:t>022017</w:t>
    </w:r>
    <w:r w:rsidR="00E95A12">
      <w:rPr>
        <w:sz w:val="20"/>
        <w:szCs w:val="20"/>
      </w:rPr>
      <w:t>_pamatnostadnes</w:t>
    </w:r>
    <w:r w:rsidR="007B54AB" w:rsidRPr="00706417">
      <w:rPr>
        <w:sz w:val="20"/>
        <w:szCs w:val="20"/>
      </w:rPr>
      <w:t xml:space="preserve">; </w:t>
    </w:r>
    <w:r w:rsidRPr="006E64FA">
      <w:rPr>
        <w:sz w:val="20"/>
        <w:szCs w:val="20"/>
      </w:rPr>
      <w:t xml:space="preserve">Ministru kabineta rīkojuma projekta </w:t>
    </w:r>
    <w:r w:rsidRPr="006E64FA">
      <w:rPr>
        <w:bCs/>
        <w:sz w:val="20"/>
        <w:szCs w:val="20"/>
      </w:rPr>
      <w:t>“</w:t>
    </w:r>
    <w:r w:rsidR="00E95A12">
      <w:rPr>
        <w:bCs/>
        <w:sz w:val="20"/>
        <w:szCs w:val="20"/>
      </w:rPr>
      <w:t xml:space="preserve">Grozījums </w:t>
    </w:r>
    <w:r w:rsidR="00E95A12" w:rsidRPr="00E95A12">
      <w:rPr>
        <w:bCs/>
        <w:sz w:val="20"/>
        <w:szCs w:val="20"/>
      </w:rPr>
      <w:t>Ministru kabineta 2013.gada 28.decembra rī</w:t>
    </w:r>
    <w:r w:rsidR="00E95A12">
      <w:rPr>
        <w:bCs/>
        <w:sz w:val="20"/>
        <w:szCs w:val="20"/>
      </w:rPr>
      <w:t>kojumā</w:t>
    </w:r>
    <w:r w:rsidR="00E95A12" w:rsidRPr="00E95A12">
      <w:rPr>
        <w:bCs/>
        <w:sz w:val="20"/>
        <w:szCs w:val="20"/>
      </w:rPr>
      <w:t xml:space="preserve"> Nr.685 “Par Zinātnes, tehnoloģijas attīstības un inovācijas pamatnostādnēm 2014.-2020.gadam”</w:t>
    </w:r>
    <w:r w:rsidRPr="006E64FA">
      <w:rPr>
        <w:bCs/>
        <w:sz w:val="20"/>
        <w:szCs w:val="20"/>
      </w:rPr>
      <w:t xml:space="preserve">” </w:t>
    </w:r>
    <w:r w:rsidRPr="006E64FA">
      <w:rPr>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C18" w:rsidRDefault="00FC2C18" w:rsidP="00F02ADC">
      <w:pPr>
        <w:spacing w:after="0" w:line="240" w:lineRule="auto"/>
      </w:pPr>
      <w:r>
        <w:separator/>
      </w:r>
    </w:p>
  </w:footnote>
  <w:footnote w:type="continuationSeparator" w:id="0">
    <w:p w:rsidR="00FC2C18" w:rsidRDefault="00FC2C18" w:rsidP="00F02A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4AB" w:rsidRDefault="007B54AB" w:rsidP="007B54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54AB" w:rsidRDefault="007B54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4AB" w:rsidRPr="00E95A12" w:rsidRDefault="007B54AB" w:rsidP="007B54AB">
    <w:pPr>
      <w:pStyle w:val="Header"/>
      <w:framePr w:wrap="around" w:vAnchor="text" w:hAnchor="margin" w:xAlign="center" w:y="1"/>
      <w:rPr>
        <w:rStyle w:val="PageNumber"/>
        <w:sz w:val="24"/>
        <w:szCs w:val="24"/>
      </w:rPr>
    </w:pPr>
    <w:r w:rsidRPr="00E95A12">
      <w:rPr>
        <w:rStyle w:val="PageNumber"/>
        <w:sz w:val="24"/>
        <w:szCs w:val="24"/>
      </w:rPr>
      <w:fldChar w:fldCharType="begin"/>
    </w:r>
    <w:r w:rsidRPr="00E95A12">
      <w:rPr>
        <w:rStyle w:val="PageNumber"/>
        <w:sz w:val="24"/>
        <w:szCs w:val="24"/>
      </w:rPr>
      <w:instrText xml:space="preserve">PAGE  </w:instrText>
    </w:r>
    <w:r w:rsidRPr="00E95A12">
      <w:rPr>
        <w:rStyle w:val="PageNumber"/>
        <w:sz w:val="24"/>
        <w:szCs w:val="24"/>
      </w:rPr>
      <w:fldChar w:fldCharType="separate"/>
    </w:r>
    <w:r w:rsidR="004A67D8">
      <w:rPr>
        <w:rStyle w:val="PageNumber"/>
        <w:noProof/>
        <w:sz w:val="24"/>
        <w:szCs w:val="24"/>
      </w:rPr>
      <w:t>2</w:t>
    </w:r>
    <w:r w:rsidRPr="00E95A12">
      <w:rPr>
        <w:rStyle w:val="PageNumber"/>
        <w:sz w:val="24"/>
        <w:szCs w:val="24"/>
      </w:rPr>
      <w:fldChar w:fldCharType="end"/>
    </w:r>
  </w:p>
  <w:p w:rsidR="007B54AB" w:rsidRDefault="007B54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466D2"/>
    <w:multiLevelType w:val="hybridMultilevel"/>
    <w:tmpl w:val="DA72D494"/>
    <w:lvl w:ilvl="0" w:tplc="64E2BE1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CA46B10"/>
    <w:multiLevelType w:val="hybridMultilevel"/>
    <w:tmpl w:val="983E13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D871541"/>
    <w:multiLevelType w:val="hybridMultilevel"/>
    <w:tmpl w:val="AD4A7D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3BE2338"/>
    <w:multiLevelType w:val="hybridMultilevel"/>
    <w:tmpl w:val="64F8EA80"/>
    <w:lvl w:ilvl="0" w:tplc="4F0CFA78">
      <w:start w:val="1"/>
      <w:numFmt w:val="bullet"/>
      <w:lvlText w:val="-"/>
      <w:lvlJc w:val="left"/>
      <w:pPr>
        <w:ind w:left="1023" w:hanging="360"/>
      </w:pPr>
      <w:rPr>
        <w:rFonts w:ascii="Times New Roman" w:eastAsia="Times New Roman" w:hAnsi="Times New Roman" w:cs="Times New Roman" w:hint="default"/>
      </w:rPr>
    </w:lvl>
    <w:lvl w:ilvl="1" w:tplc="04260003" w:tentative="1">
      <w:start w:val="1"/>
      <w:numFmt w:val="bullet"/>
      <w:lvlText w:val="o"/>
      <w:lvlJc w:val="left"/>
      <w:pPr>
        <w:ind w:left="1743" w:hanging="360"/>
      </w:pPr>
      <w:rPr>
        <w:rFonts w:ascii="Courier New" w:hAnsi="Courier New" w:cs="Courier New" w:hint="default"/>
      </w:rPr>
    </w:lvl>
    <w:lvl w:ilvl="2" w:tplc="04260005" w:tentative="1">
      <w:start w:val="1"/>
      <w:numFmt w:val="bullet"/>
      <w:lvlText w:val=""/>
      <w:lvlJc w:val="left"/>
      <w:pPr>
        <w:ind w:left="2463" w:hanging="360"/>
      </w:pPr>
      <w:rPr>
        <w:rFonts w:ascii="Wingdings" w:hAnsi="Wingdings" w:hint="default"/>
      </w:rPr>
    </w:lvl>
    <w:lvl w:ilvl="3" w:tplc="04260001" w:tentative="1">
      <w:start w:val="1"/>
      <w:numFmt w:val="bullet"/>
      <w:lvlText w:val=""/>
      <w:lvlJc w:val="left"/>
      <w:pPr>
        <w:ind w:left="3183" w:hanging="360"/>
      </w:pPr>
      <w:rPr>
        <w:rFonts w:ascii="Symbol" w:hAnsi="Symbol" w:hint="default"/>
      </w:rPr>
    </w:lvl>
    <w:lvl w:ilvl="4" w:tplc="04260003" w:tentative="1">
      <w:start w:val="1"/>
      <w:numFmt w:val="bullet"/>
      <w:lvlText w:val="o"/>
      <w:lvlJc w:val="left"/>
      <w:pPr>
        <w:ind w:left="3903" w:hanging="360"/>
      </w:pPr>
      <w:rPr>
        <w:rFonts w:ascii="Courier New" w:hAnsi="Courier New" w:cs="Courier New" w:hint="default"/>
      </w:rPr>
    </w:lvl>
    <w:lvl w:ilvl="5" w:tplc="04260005" w:tentative="1">
      <w:start w:val="1"/>
      <w:numFmt w:val="bullet"/>
      <w:lvlText w:val=""/>
      <w:lvlJc w:val="left"/>
      <w:pPr>
        <w:ind w:left="4623" w:hanging="360"/>
      </w:pPr>
      <w:rPr>
        <w:rFonts w:ascii="Wingdings" w:hAnsi="Wingdings" w:hint="default"/>
      </w:rPr>
    </w:lvl>
    <w:lvl w:ilvl="6" w:tplc="04260001" w:tentative="1">
      <w:start w:val="1"/>
      <w:numFmt w:val="bullet"/>
      <w:lvlText w:val=""/>
      <w:lvlJc w:val="left"/>
      <w:pPr>
        <w:ind w:left="5343" w:hanging="360"/>
      </w:pPr>
      <w:rPr>
        <w:rFonts w:ascii="Symbol" w:hAnsi="Symbol" w:hint="default"/>
      </w:rPr>
    </w:lvl>
    <w:lvl w:ilvl="7" w:tplc="04260003" w:tentative="1">
      <w:start w:val="1"/>
      <w:numFmt w:val="bullet"/>
      <w:lvlText w:val="o"/>
      <w:lvlJc w:val="left"/>
      <w:pPr>
        <w:ind w:left="6063" w:hanging="360"/>
      </w:pPr>
      <w:rPr>
        <w:rFonts w:ascii="Courier New" w:hAnsi="Courier New" w:cs="Courier New" w:hint="default"/>
      </w:rPr>
    </w:lvl>
    <w:lvl w:ilvl="8" w:tplc="04260005" w:tentative="1">
      <w:start w:val="1"/>
      <w:numFmt w:val="bullet"/>
      <w:lvlText w:val=""/>
      <w:lvlJc w:val="left"/>
      <w:pPr>
        <w:ind w:left="6783" w:hanging="360"/>
      </w:pPr>
      <w:rPr>
        <w:rFonts w:ascii="Wingdings" w:hAnsi="Wingdings" w:hint="default"/>
      </w:rPr>
    </w:lvl>
  </w:abstractNum>
  <w:abstractNum w:abstractNumId="4" w15:restartNumberingAfterBreak="0">
    <w:nsid w:val="479A1421"/>
    <w:multiLevelType w:val="hybridMultilevel"/>
    <w:tmpl w:val="156E5CDA"/>
    <w:lvl w:ilvl="0" w:tplc="B574AD72">
      <w:start w:val="1"/>
      <w:numFmt w:val="decimal"/>
      <w:lvlText w:val="%1)"/>
      <w:lvlJc w:val="left"/>
      <w:pPr>
        <w:ind w:left="833" w:hanging="360"/>
      </w:pPr>
      <w:rPr>
        <w:rFonts w:ascii="Times New Roman" w:eastAsia="Times New Roman" w:hAnsi="Times New Roman" w:cs="Times New Roman"/>
        <w:sz w:val="24"/>
        <w:szCs w:val="24"/>
      </w:rPr>
    </w:lvl>
    <w:lvl w:ilvl="1" w:tplc="04260003" w:tentative="1">
      <w:start w:val="1"/>
      <w:numFmt w:val="bullet"/>
      <w:lvlText w:val="o"/>
      <w:lvlJc w:val="left"/>
      <w:pPr>
        <w:ind w:left="1553" w:hanging="360"/>
      </w:pPr>
      <w:rPr>
        <w:rFonts w:ascii="Courier New" w:hAnsi="Courier New" w:hint="default"/>
      </w:rPr>
    </w:lvl>
    <w:lvl w:ilvl="2" w:tplc="04260005" w:tentative="1">
      <w:start w:val="1"/>
      <w:numFmt w:val="bullet"/>
      <w:lvlText w:val=""/>
      <w:lvlJc w:val="left"/>
      <w:pPr>
        <w:ind w:left="2273" w:hanging="360"/>
      </w:pPr>
      <w:rPr>
        <w:rFonts w:ascii="Wingdings" w:hAnsi="Wingdings" w:hint="default"/>
      </w:rPr>
    </w:lvl>
    <w:lvl w:ilvl="3" w:tplc="04260001" w:tentative="1">
      <w:start w:val="1"/>
      <w:numFmt w:val="bullet"/>
      <w:lvlText w:val=""/>
      <w:lvlJc w:val="left"/>
      <w:pPr>
        <w:ind w:left="2993" w:hanging="360"/>
      </w:pPr>
      <w:rPr>
        <w:rFonts w:ascii="Symbol" w:hAnsi="Symbol" w:hint="default"/>
      </w:rPr>
    </w:lvl>
    <w:lvl w:ilvl="4" w:tplc="04260003" w:tentative="1">
      <w:start w:val="1"/>
      <w:numFmt w:val="bullet"/>
      <w:lvlText w:val="o"/>
      <w:lvlJc w:val="left"/>
      <w:pPr>
        <w:ind w:left="3713" w:hanging="360"/>
      </w:pPr>
      <w:rPr>
        <w:rFonts w:ascii="Courier New" w:hAnsi="Courier New" w:hint="default"/>
      </w:rPr>
    </w:lvl>
    <w:lvl w:ilvl="5" w:tplc="04260005" w:tentative="1">
      <w:start w:val="1"/>
      <w:numFmt w:val="bullet"/>
      <w:lvlText w:val=""/>
      <w:lvlJc w:val="left"/>
      <w:pPr>
        <w:ind w:left="4433" w:hanging="360"/>
      </w:pPr>
      <w:rPr>
        <w:rFonts w:ascii="Wingdings" w:hAnsi="Wingdings" w:hint="default"/>
      </w:rPr>
    </w:lvl>
    <w:lvl w:ilvl="6" w:tplc="04260001" w:tentative="1">
      <w:start w:val="1"/>
      <w:numFmt w:val="bullet"/>
      <w:lvlText w:val=""/>
      <w:lvlJc w:val="left"/>
      <w:pPr>
        <w:ind w:left="5153" w:hanging="360"/>
      </w:pPr>
      <w:rPr>
        <w:rFonts w:ascii="Symbol" w:hAnsi="Symbol" w:hint="default"/>
      </w:rPr>
    </w:lvl>
    <w:lvl w:ilvl="7" w:tplc="04260003" w:tentative="1">
      <w:start w:val="1"/>
      <w:numFmt w:val="bullet"/>
      <w:lvlText w:val="o"/>
      <w:lvlJc w:val="left"/>
      <w:pPr>
        <w:ind w:left="5873" w:hanging="360"/>
      </w:pPr>
      <w:rPr>
        <w:rFonts w:ascii="Courier New" w:hAnsi="Courier New" w:hint="default"/>
      </w:rPr>
    </w:lvl>
    <w:lvl w:ilvl="8" w:tplc="04260005" w:tentative="1">
      <w:start w:val="1"/>
      <w:numFmt w:val="bullet"/>
      <w:lvlText w:val=""/>
      <w:lvlJc w:val="left"/>
      <w:pPr>
        <w:ind w:left="6593" w:hanging="360"/>
      </w:pPr>
      <w:rPr>
        <w:rFonts w:ascii="Wingdings" w:hAnsi="Wingdings" w:hint="default"/>
      </w:rPr>
    </w:lvl>
  </w:abstractNum>
  <w:abstractNum w:abstractNumId="5" w15:restartNumberingAfterBreak="0">
    <w:nsid w:val="4D835DC2"/>
    <w:multiLevelType w:val="hybridMultilevel"/>
    <w:tmpl w:val="479E032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5CFB55EB"/>
    <w:multiLevelType w:val="hybridMultilevel"/>
    <w:tmpl w:val="1108D6FA"/>
    <w:lvl w:ilvl="0" w:tplc="6930DC82">
      <w:start w:val="1"/>
      <w:numFmt w:val="decimal"/>
      <w:lvlText w:val="%1."/>
      <w:lvlJc w:val="left"/>
      <w:pPr>
        <w:ind w:left="1042" w:hanging="360"/>
      </w:pPr>
      <w:rPr>
        <w:rFonts w:hint="default"/>
      </w:rPr>
    </w:lvl>
    <w:lvl w:ilvl="1" w:tplc="04260019" w:tentative="1">
      <w:start w:val="1"/>
      <w:numFmt w:val="lowerLetter"/>
      <w:lvlText w:val="%2."/>
      <w:lvlJc w:val="left"/>
      <w:pPr>
        <w:ind w:left="1762" w:hanging="360"/>
      </w:pPr>
    </w:lvl>
    <w:lvl w:ilvl="2" w:tplc="0426001B" w:tentative="1">
      <w:start w:val="1"/>
      <w:numFmt w:val="lowerRoman"/>
      <w:lvlText w:val="%3."/>
      <w:lvlJc w:val="right"/>
      <w:pPr>
        <w:ind w:left="2482" w:hanging="180"/>
      </w:pPr>
    </w:lvl>
    <w:lvl w:ilvl="3" w:tplc="0426000F" w:tentative="1">
      <w:start w:val="1"/>
      <w:numFmt w:val="decimal"/>
      <w:lvlText w:val="%4."/>
      <w:lvlJc w:val="left"/>
      <w:pPr>
        <w:ind w:left="3202" w:hanging="360"/>
      </w:pPr>
    </w:lvl>
    <w:lvl w:ilvl="4" w:tplc="04260019" w:tentative="1">
      <w:start w:val="1"/>
      <w:numFmt w:val="lowerLetter"/>
      <w:lvlText w:val="%5."/>
      <w:lvlJc w:val="left"/>
      <w:pPr>
        <w:ind w:left="3922" w:hanging="360"/>
      </w:pPr>
    </w:lvl>
    <w:lvl w:ilvl="5" w:tplc="0426001B" w:tentative="1">
      <w:start w:val="1"/>
      <w:numFmt w:val="lowerRoman"/>
      <w:lvlText w:val="%6."/>
      <w:lvlJc w:val="right"/>
      <w:pPr>
        <w:ind w:left="4642" w:hanging="180"/>
      </w:pPr>
    </w:lvl>
    <w:lvl w:ilvl="6" w:tplc="0426000F" w:tentative="1">
      <w:start w:val="1"/>
      <w:numFmt w:val="decimal"/>
      <w:lvlText w:val="%7."/>
      <w:lvlJc w:val="left"/>
      <w:pPr>
        <w:ind w:left="5362" w:hanging="360"/>
      </w:pPr>
    </w:lvl>
    <w:lvl w:ilvl="7" w:tplc="04260019" w:tentative="1">
      <w:start w:val="1"/>
      <w:numFmt w:val="lowerLetter"/>
      <w:lvlText w:val="%8."/>
      <w:lvlJc w:val="left"/>
      <w:pPr>
        <w:ind w:left="6082" w:hanging="360"/>
      </w:pPr>
    </w:lvl>
    <w:lvl w:ilvl="8" w:tplc="0426001B" w:tentative="1">
      <w:start w:val="1"/>
      <w:numFmt w:val="lowerRoman"/>
      <w:lvlText w:val="%9."/>
      <w:lvlJc w:val="right"/>
      <w:pPr>
        <w:ind w:left="6802" w:hanging="180"/>
      </w:pPr>
    </w:lvl>
  </w:abstractNum>
  <w:abstractNum w:abstractNumId="7" w15:restartNumberingAfterBreak="0">
    <w:nsid w:val="74511FEA"/>
    <w:multiLevelType w:val="multilevel"/>
    <w:tmpl w:val="50982E2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3."/>
      <w:lvlJc w:val="left"/>
      <w:pPr>
        <w:ind w:left="1224" w:hanging="504"/>
      </w:pPr>
      <w:rPr>
        <w:rFonts w:ascii="Times New Roman" w:eastAsia="Times New Roman" w:hAnsi="Times New Roman"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77AE275F"/>
    <w:multiLevelType w:val="hybridMultilevel"/>
    <w:tmpl w:val="052A6154"/>
    <w:lvl w:ilvl="0" w:tplc="FE42DE12">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D69712F"/>
    <w:multiLevelType w:val="hybridMultilevel"/>
    <w:tmpl w:val="9F8E8D10"/>
    <w:lvl w:ilvl="0" w:tplc="7F24E6D8">
      <w:start w:val="1"/>
      <w:numFmt w:val="decimal"/>
      <w:lvlText w:val="%1)"/>
      <w:lvlJc w:val="left"/>
      <w:pPr>
        <w:ind w:left="456" w:hanging="360"/>
      </w:pPr>
      <w:rPr>
        <w:rFonts w:hint="default"/>
      </w:rPr>
    </w:lvl>
    <w:lvl w:ilvl="1" w:tplc="04260019" w:tentative="1">
      <w:start w:val="1"/>
      <w:numFmt w:val="lowerLetter"/>
      <w:lvlText w:val="%2."/>
      <w:lvlJc w:val="left"/>
      <w:pPr>
        <w:ind w:left="1176" w:hanging="360"/>
      </w:pPr>
    </w:lvl>
    <w:lvl w:ilvl="2" w:tplc="0426001B" w:tentative="1">
      <w:start w:val="1"/>
      <w:numFmt w:val="lowerRoman"/>
      <w:lvlText w:val="%3."/>
      <w:lvlJc w:val="right"/>
      <w:pPr>
        <w:ind w:left="1896" w:hanging="180"/>
      </w:pPr>
    </w:lvl>
    <w:lvl w:ilvl="3" w:tplc="0426000F" w:tentative="1">
      <w:start w:val="1"/>
      <w:numFmt w:val="decimal"/>
      <w:lvlText w:val="%4."/>
      <w:lvlJc w:val="left"/>
      <w:pPr>
        <w:ind w:left="2616" w:hanging="360"/>
      </w:pPr>
    </w:lvl>
    <w:lvl w:ilvl="4" w:tplc="04260019" w:tentative="1">
      <w:start w:val="1"/>
      <w:numFmt w:val="lowerLetter"/>
      <w:lvlText w:val="%5."/>
      <w:lvlJc w:val="left"/>
      <w:pPr>
        <w:ind w:left="3336" w:hanging="360"/>
      </w:pPr>
    </w:lvl>
    <w:lvl w:ilvl="5" w:tplc="0426001B" w:tentative="1">
      <w:start w:val="1"/>
      <w:numFmt w:val="lowerRoman"/>
      <w:lvlText w:val="%6."/>
      <w:lvlJc w:val="right"/>
      <w:pPr>
        <w:ind w:left="4056" w:hanging="180"/>
      </w:pPr>
    </w:lvl>
    <w:lvl w:ilvl="6" w:tplc="0426000F" w:tentative="1">
      <w:start w:val="1"/>
      <w:numFmt w:val="decimal"/>
      <w:lvlText w:val="%7."/>
      <w:lvlJc w:val="left"/>
      <w:pPr>
        <w:ind w:left="4776" w:hanging="360"/>
      </w:pPr>
    </w:lvl>
    <w:lvl w:ilvl="7" w:tplc="04260019" w:tentative="1">
      <w:start w:val="1"/>
      <w:numFmt w:val="lowerLetter"/>
      <w:lvlText w:val="%8."/>
      <w:lvlJc w:val="left"/>
      <w:pPr>
        <w:ind w:left="5496" w:hanging="360"/>
      </w:pPr>
    </w:lvl>
    <w:lvl w:ilvl="8" w:tplc="0426001B" w:tentative="1">
      <w:start w:val="1"/>
      <w:numFmt w:val="lowerRoman"/>
      <w:lvlText w:val="%9."/>
      <w:lvlJc w:val="right"/>
      <w:pPr>
        <w:ind w:left="6216" w:hanging="180"/>
      </w:pPr>
    </w:lvl>
  </w:abstractNum>
  <w:num w:numId="1">
    <w:abstractNumId w:val="2"/>
  </w:num>
  <w:num w:numId="2">
    <w:abstractNumId w:val="1"/>
  </w:num>
  <w:num w:numId="3">
    <w:abstractNumId w:val="6"/>
  </w:num>
  <w:num w:numId="4">
    <w:abstractNumId w:val="3"/>
  </w:num>
  <w:num w:numId="5">
    <w:abstractNumId w:val="4"/>
  </w:num>
  <w:num w:numId="6">
    <w:abstractNumId w:val="7"/>
  </w:num>
  <w:num w:numId="7">
    <w:abstractNumId w:val="9"/>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B5D"/>
    <w:rsid w:val="00013147"/>
    <w:rsid w:val="000226F5"/>
    <w:rsid w:val="00037710"/>
    <w:rsid w:val="00042FC6"/>
    <w:rsid w:val="000445A0"/>
    <w:rsid w:val="00045A3F"/>
    <w:rsid w:val="00065E77"/>
    <w:rsid w:val="000810B5"/>
    <w:rsid w:val="00081811"/>
    <w:rsid w:val="000860F5"/>
    <w:rsid w:val="00086AF4"/>
    <w:rsid w:val="00090C04"/>
    <w:rsid w:val="000942F1"/>
    <w:rsid w:val="000A7DA4"/>
    <w:rsid w:val="000C42A4"/>
    <w:rsid w:val="000D73CF"/>
    <w:rsid w:val="000E3D08"/>
    <w:rsid w:val="000F18C0"/>
    <w:rsid w:val="000F3D3F"/>
    <w:rsid w:val="0010712E"/>
    <w:rsid w:val="00123E5E"/>
    <w:rsid w:val="00126CB4"/>
    <w:rsid w:val="00131064"/>
    <w:rsid w:val="00163A32"/>
    <w:rsid w:val="001731ED"/>
    <w:rsid w:val="00176580"/>
    <w:rsid w:val="00180E26"/>
    <w:rsid w:val="001846E0"/>
    <w:rsid w:val="00184759"/>
    <w:rsid w:val="00187F06"/>
    <w:rsid w:val="001A1014"/>
    <w:rsid w:val="001A1531"/>
    <w:rsid w:val="001A2E2E"/>
    <w:rsid w:val="001A6645"/>
    <w:rsid w:val="001B113F"/>
    <w:rsid w:val="001B79C6"/>
    <w:rsid w:val="001D3BF7"/>
    <w:rsid w:val="001D56D1"/>
    <w:rsid w:val="001E3F53"/>
    <w:rsid w:val="001E6508"/>
    <w:rsid w:val="00200DE8"/>
    <w:rsid w:val="00207A93"/>
    <w:rsid w:val="00210E04"/>
    <w:rsid w:val="0021168F"/>
    <w:rsid w:val="002212AD"/>
    <w:rsid w:val="002250D0"/>
    <w:rsid w:val="00226BA5"/>
    <w:rsid w:val="00232565"/>
    <w:rsid w:val="0024025A"/>
    <w:rsid w:val="00244167"/>
    <w:rsid w:val="00244F18"/>
    <w:rsid w:val="00262CDB"/>
    <w:rsid w:val="00262CE3"/>
    <w:rsid w:val="00281B5D"/>
    <w:rsid w:val="00293250"/>
    <w:rsid w:val="00295C5E"/>
    <w:rsid w:val="002C2063"/>
    <w:rsid w:val="002C29B4"/>
    <w:rsid w:val="002D5027"/>
    <w:rsid w:val="002E26C0"/>
    <w:rsid w:val="002E66A7"/>
    <w:rsid w:val="002E79B5"/>
    <w:rsid w:val="002F4EE7"/>
    <w:rsid w:val="00300F61"/>
    <w:rsid w:val="00301A9C"/>
    <w:rsid w:val="00305FDE"/>
    <w:rsid w:val="003077B7"/>
    <w:rsid w:val="0031174A"/>
    <w:rsid w:val="00312E33"/>
    <w:rsid w:val="00334849"/>
    <w:rsid w:val="00344E67"/>
    <w:rsid w:val="00354D07"/>
    <w:rsid w:val="00356E21"/>
    <w:rsid w:val="00356F4D"/>
    <w:rsid w:val="00363B82"/>
    <w:rsid w:val="00364499"/>
    <w:rsid w:val="003654DF"/>
    <w:rsid w:val="00370491"/>
    <w:rsid w:val="003713DC"/>
    <w:rsid w:val="003740F3"/>
    <w:rsid w:val="00382217"/>
    <w:rsid w:val="00385395"/>
    <w:rsid w:val="0038783B"/>
    <w:rsid w:val="003B30EA"/>
    <w:rsid w:val="003C4B31"/>
    <w:rsid w:val="003D49B6"/>
    <w:rsid w:val="003E00BE"/>
    <w:rsid w:val="003E1CC1"/>
    <w:rsid w:val="003E2ED5"/>
    <w:rsid w:val="003F69CB"/>
    <w:rsid w:val="0040314B"/>
    <w:rsid w:val="00415CC0"/>
    <w:rsid w:val="00422354"/>
    <w:rsid w:val="00424C93"/>
    <w:rsid w:val="00426DCA"/>
    <w:rsid w:val="00435114"/>
    <w:rsid w:val="00435F9F"/>
    <w:rsid w:val="0044034E"/>
    <w:rsid w:val="00447F09"/>
    <w:rsid w:val="00450608"/>
    <w:rsid w:val="00450C64"/>
    <w:rsid w:val="00460160"/>
    <w:rsid w:val="00490AC3"/>
    <w:rsid w:val="00496D2A"/>
    <w:rsid w:val="00496EA8"/>
    <w:rsid w:val="004A0F64"/>
    <w:rsid w:val="004A1173"/>
    <w:rsid w:val="004A67D8"/>
    <w:rsid w:val="004B3A10"/>
    <w:rsid w:val="004B53A7"/>
    <w:rsid w:val="004D3221"/>
    <w:rsid w:val="004D7287"/>
    <w:rsid w:val="004E0E24"/>
    <w:rsid w:val="004E3946"/>
    <w:rsid w:val="004F008B"/>
    <w:rsid w:val="004F38FA"/>
    <w:rsid w:val="005001A3"/>
    <w:rsid w:val="0050682C"/>
    <w:rsid w:val="00506B1C"/>
    <w:rsid w:val="00517EB8"/>
    <w:rsid w:val="00532475"/>
    <w:rsid w:val="00537C2D"/>
    <w:rsid w:val="005412D0"/>
    <w:rsid w:val="00546C8E"/>
    <w:rsid w:val="0055241A"/>
    <w:rsid w:val="00554071"/>
    <w:rsid w:val="00561E0B"/>
    <w:rsid w:val="00563120"/>
    <w:rsid w:val="005811BA"/>
    <w:rsid w:val="00583C67"/>
    <w:rsid w:val="0059552B"/>
    <w:rsid w:val="00596552"/>
    <w:rsid w:val="005A2246"/>
    <w:rsid w:val="005B21D4"/>
    <w:rsid w:val="005D0EFA"/>
    <w:rsid w:val="005D581F"/>
    <w:rsid w:val="005D7E04"/>
    <w:rsid w:val="005E056B"/>
    <w:rsid w:val="005E135B"/>
    <w:rsid w:val="005F40EC"/>
    <w:rsid w:val="00610D68"/>
    <w:rsid w:val="006129AE"/>
    <w:rsid w:val="006226BB"/>
    <w:rsid w:val="00631147"/>
    <w:rsid w:val="006357A0"/>
    <w:rsid w:val="00636564"/>
    <w:rsid w:val="00642144"/>
    <w:rsid w:val="00643258"/>
    <w:rsid w:val="00645EEA"/>
    <w:rsid w:val="00646C67"/>
    <w:rsid w:val="00651EC3"/>
    <w:rsid w:val="00652274"/>
    <w:rsid w:val="006725B5"/>
    <w:rsid w:val="00685FE4"/>
    <w:rsid w:val="006A46C8"/>
    <w:rsid w:val="006B19B8"/>
    <w:rsid w:val="006B1D4D"/>
    <w:rsid w:val="006B5828"/>
    <w:rsid w:val="006B6875"/>
    <w:rsid w:val="006C7751"/>
    <w:rsid w:val="006D2EB4"/>
    <w:rsid w:val="006D6F51"/>
    <w:rsid w:val="006E1CAD"/>
    <w:rsid w:val="006E6260"/>
    <w:rsid w:val="006E64FA"/>
    <w:rsid w:val="006F47D7"/>
    <w:rsid w:val="006F7D7A"/>
    <w:rsid w:val="00702A80"/>
    <w:rsid w:val="00704DCB"/>
    <w:rsid w:val="00706FA6"/>
    <w:rsid w:val="007135FE"/>
    <w:rsid w:val="00714873"/>
    <w:rsid w:val="007161FE"/>
    <w:rsid w:val="007162C2"/>
    <w:rsid w:val="0071779B"/>
    <w:rsid w:val="00721338"/>
    <w:rsid w:val="00721BE3"/>
    <w:rsid w:val="00726CB2"/>
    <w:rsid w:val="00742AA3"/>
    <w:rsid w:val="0077392A"/>
    <w:rsid w:val="00792405"/>
    <w:rsid w:val="0079465A"/>
    <w:rsid w:val="00796263"/>
    <w:rsid w:val="007A3FC5"/>
    <w:rsid w:val="007A4DD2"/>
    <w:rsid w:val="007A4FD3"/>
    <w:rsid w:val="007A7421"/>
    <w:rsid w:val="007B1A21"/>
    <w:rsid w:val="007B36F9"/>
    <w:rsid w:val="007B54AB"/>
    <w:rsid w:val="007B574A"/>
    <w:rsid w:val="007B6901"/>
    <w:rsid w:val="007C459D"/>
    <w:rsid w:val="007C47AE"/>
    <w:rsid w:val="007C4C43"/>
    <w:rsid w:val="007F3308"/>
    <w:rsid w:val="007F49FC"/>
    <w:rsid w:val="00805DA3"/>
    <w:rsid w:val="00815A67"/>
    <w:rsid w:val="008224DE"/>
    <w:rsid w:val="00831510"/>
    <w:rsid w:val="00834507"/>
    <w:rsid w:val="00840F78"/>
    <w:rsid w:val="00843631"/>
    <w:rsid w:val="0085224F"/>
    <w:rsid w:val="0086449E"/>
    <w:rsid w:val="00866F7D"/>
    <w:rsid w:val="00876377"/>
    <w:rsid w:val="008A2988"/>
    <w:rsid w:val="008A383F"/>
    <w:rsid w:val="008A4E08"/>
    <w:rsid w:val="008B0C8A"/>
    <w:rsid w:val="008B694E"/>
    <w:rsid w:val="008C10A9"/>
    <w:rsid w:val="008C4B9D"/>
    <w:rsid w:val="008C606E"/>
    <w:rsid w:val="008C77E2"/>
    <w:rsid w:val="008D091E"/>
    <w:rsid w:val="008D1651"/>
    <w:rsid w:val="008E404A"/>
    <w:rsid w:val="008F7474"/>
    <w:rsid w:val="00901E6A"/>
    <w:rsid w:val="00904499"/>
    <w:rsid w:val="0091711B"/>
    <w:rsid w:val="00923E86"/>
    <w:rsid w:val="00957AD5"/>
    <w:rsid w:val="0096224E"/>
    <w:rsid w:val="00967956"/>
    <w:rsid w:val="00991A89"/>
    <w:rsid w:val="009B08F7"/>
    <w:rsid w:val="009C41CD"/>
    <w:rsid w:val="009E2156"/>
    <w:rsid w:val="009E30E1"/>
    <w:rsid w:val="009E58E7"/>
    <w:rsid w:val="009F031D"/>
    <w:rsid w:val="009F1DF4"/>
    <w:rsid w:val="00A000A7"/>
    <w:rsid w:val="00A1121A"/>
    <w:rsid w:val="00A278E7"/>
    <w:rsid w:val="00A3060D"/>
    <w:rsid w:val="00A3656D"/>
    <w:rsid w:val="00A45ED7"/>
    <w:rsid w:val="00A51606"/>
    <w:rsid w:val="00A54E47"/>
    <w:rsid w:val="00A65458"/>
    <w:rsid w:val="00A83285"/>
    <w:rsid w:val="00A862D9"/>
    <w:rsid w:val="00A96E2B"/>
    <w:rsid w:val="00AB737D"/>
    <w:rsid w:val="00AC20FC"/>
    <w:rsid w:val="00AE5557"/>
    <w:rsid w:val="00AE6FAB"/>
    <w:rsid w:val="00AE788C"/>
    <w:rsid w:val="00AF120E"/>
    <w:rsid w:val="00B01849"/>
    <w:rsid w:val="00B201C2"/>
    <w:rsid w:val="00B36A4E"/>
    <w:rsid w:val="00B37F2B"/>
    <w:rsid w:val="00B42B98"/>
    <w:rsid w:val="00B43DA9"/>
    <w:rsid w:val="00B44BF0"/>
    <w:rsid w:val="00B54631"/>
    <w:rsid w:val="00B57491"/>
    <w:rsid w:val="00B66964"/>
    <w:rsid w:val="00B823F4"/>
    <w:rsid w:val="00B85A98"/>
    <w:rsid w:val="00B922C7"/>
    <w:rsid w:val="00BC37C6"/>
    <w:rsid w:val="00BC63F5"/>
    <w:rsid w:val="00BD193B"/>
    <w:rsid w:val="00BD37E8"/>
    <w:rsid w:val="00BE2F72"/>
    <w:rsid w:val="00BE6CBA"/>
    <w:rsid w:val="00C13915"/>
    <w:rsid w:val="00C14571"/>
    <w:rsid w:val="00C15DE0"/>
    <w:rsid w:val="00C24B24"/>
    <w:rsid w:val="00C25073"/>
    <w:rsid w:val="00C26C2E"/>
    <w:rsid w:val="00C2716F"/>
    <w:rsid w:val="00C3372D"/>
    <w:rsid w:val="00C3503F"/>
    <w:rsid w:val="00C41B69"/>
    <w:rsid w:val="00C5111F"/>
    <w:rsid w:val="00C55CD3"/>
    <w:rsid w:val="00C57598"/>
    <w:rsid w:val="00C61DCA"/>
    <w:rsid w:val="00C671FB"/>
    <w:rsid w:val="00C83B91"/>
    <w:rsid w:val="00C86793"/>
    <w:rsid w:val="00CD51D0"/>
    <w:rsid w:val="00CE12F9"/>
    <w:rsid w:val="00CE62FF"/>
    <w:rsid w:val="00CF60A6"/>
    <w:rsid w:val="00D02118"/>
    <w:rsid w:val="00D04AF7"/>
    <w:rsid w:val="00D12E0E"/>
    <w:rsid w:val="00D21D14"/>
    <w:rsid w:val="00D344C7"/>
    <w:rsid w:val="00D362BA"/>
    <w:rsid w:val="00D37EA8"/>
    <w:rsid w:val="00D50D46"/>
    <w:rsid w:val="00D51E6B"/>
    <w:rsid w:val="00D544E3"/>
    <w:rsid w:val="00D560DD"/>
    <w:rsid w:val="00D65441"/>
    <w:rsid w:val="00D75C39"/>
    <w:rsid w:val="00D75E19"/>
    <w:rsid w:val="00D8269A"/>
    <w:rsid w:val="00D82BEF"/>
    <w:rsid w:val="00D8322A"/>
    <w:rsid w:val="00D86357"/>
    <w:rsid w:val="00DA3DAB"/>
    <w:rsid w:val="00DA7184"/>
    <w:rsid w:val="00DB1696"/>
    <w:rsid w:val="00DB5299"/>
    <w:rsid w:val="00DB63BA"/>
    <w:rsid w:val="00DD3315"/>
    <w:rsid w:val="00DD5756"/>
    <w:rsid w:val="00DF1C16"/>
    <w:rsid w:val="00E0217F"/>
    <w:rsid w:val="00E046C2"/>
    <w:rsid w:val="00E37C3B"/>
    <w:rsid w:val="00E512B1"/>
    <w:rsid w:val="00E5268D"/>
    <w:rsid w:val="00E55CF6"/>
    <w:rsid w:val="00E91F1C"/>
    <w:rsid w:val="00E95A12"/>
    <w:rsid w:val="00E97226"/>
    <w:rsid w:val="00EA4B5C"/>
    <w:rsid w:val="00EA592F"/>
    <w:rsid w:val="00EB0367"/>
    <w:rsid w:val="00EB2638"/>
    <w:rsid w:val="00EB52ED"/>
    <w:rsid w:val="00EC05BE"/>
    <w:rsid w:val="00EC1718"/>
    <w:rsid w:val="00EC3345"/>
    <w:rsid w:val="00ED0212"/>
    <w:rsid w:val="00EF15B6"/>
    <w:rsid w:val="00EF7086"/>
    <w:rsid w:val="00EF73F6"/>
    <w:rsid w:val="00F00BC9"/>
    <w:rsid w:val="00F011F9"/>
    <w:rsid w:val="00F02ADC"/>
    <w:rsid w:val="00F0691E"/>
    <w:rsid w:val="00F21CE6"/>
    <w:rsid w:val="00F21DA2"/>
    <w:rsid w:val="00F26ED4"/>
    <w:rsid w:val="00F30AF5"/>
    <w:rsid w:val="00F44324"/>
    <w:rsid w:val="00F47799"/>
    <w:rsid w:val="00F55185"/>
    <w:rsid w:val="00F71FAE"/>
    <w:rsid w:val="00F84689"/>
    <w:rsid w:val="00FC2C18"/>
    <w:rsid w:val="00FC3EA0"/>
    <w:rsid w:val="00FE0C91"/>
    <w:rsid w:val="00FE4F72"/>
    <w:rsid w:val="00FE6514"/>
    <w:rsid w:val="00FF7482"/>
    <w:rsid w:val="00FF7C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8F25FF-1DB7-436A-9336-694FDE046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B5D"/>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281B5D"/>
    <w:pPr>
      <w:spacing w:before="100" w:after="100" w:line="240" w:lineRule="auto"/>
      <w:jc w:val="center"/>
    </w:pPr>
    <w:rPr>
      <w:sz w:val="24"/>
      <w:szCs w:val="24"/>
      <w:lang w:eastAsia="lv-LV"/>
    </w:rPr>
  </w:style>
  <w:style w:type="paragraph" w:styleId="BodyText">
    <w:name w:val="Body Text"/>
    <w:basedOn w:val="Normal"/>
    <w:link w:val="BodyTextChar"/>
    <w:uiPriority w:val="99"/>
    <w:rsid w:val="00281B5D"/>
    <w:pPr>
      <w:spacing w:after="120" w:line="240" w:lineRule="auto"/>
    </w:pPr>
    <w:rPr>
      <w:sz w:val="24"/>
      <w:szCs w:val="24"/>
      <w:lang w:eastAsia="lv-LV"/>
    </w:rPr>
  </w:style>
  <w:style w:type="character" w:customStyle="1" w:styleId="BodyTextChar">
    <w:name w:val="Body Text Char"/>
    <w:basedOn w:val="DefaultParagraphFont"/>
    <w:link w:val="BodyText"/>
    <w:uiPriority w:val="99"/>
    <w:rsid w:val="00281B5D"/>
    <w:rPr>
      <w:rFonts w:ascii="Times New Roman" w:eastAsia="Times New Roman" w:hAnsi="Times New Roman" w:cs="Times New Roman"/>
      <w:sz w:val="24"/>
      <w:szCs w:val="24"/>
      <w:lang w:eastAsia="lv-LV"/>
    </w:rPr>
  </w:style>
  <w:style w:type="character" w:styleId="Hyperlink">
    <w:name w:val="Hyperlink"/>
    <w:rsid w:val="00281B5D"/>
    <w:rPr>
      <w:color w:val="0000FF"/>
      <w:u w:val="single"/>
    </w:rPr>
  </w:style>
  <w:style w:type="paragraph" w:styleId="Header">
    <w:name w:val="header"/>
    <w:basedOn w:val="Normal"/>
    <w:link w:val="HeaderChar"/>
    <w:rsid w:val="00281B5D"/>
    <w:pPr>
      <w:tabs>
        <w:tab w:val="center" w:pos="4153"/>
        <w:tab w:val="right" w:pos="8306"/>
      </w:tabs>
    </w:pPr>
  </w:style>
  <w:style w:type="character" w:customStyle="1" w:styleId="HeaderChar">
    <w:name w:val="Header Char"/>
    <w:basedOn w:val="DefaultParagraphFont"/>
    <w:link w:val="Header"/>
    <w:rsid w:val="00281B5D"/>
    <w:rPr>
      <w:rFonts w:ascii="Times New Roman" w:eastAsia="Times New Roman" w:hAnsi="Times New Roman" w:cs="Times New Roman"/>
      <w:sz w:val="28"/>
    </w:rPr>
  </w:style>
  <w:style w:type="character" w:styleId="PageNumber">
    <w:name w:val="page number"/>
    <w:basedOn w:val="DefaultParagraphFont"/>
    <w:rsid w:val="00281B5D"/>
  </w:style>
  <w:style w:type="paragraph" w:styleId="Footer">
    <w:name w:val="footer"/>
    <w:basedOn w:val="Normal"/>
    <w:link w:val="FooterChar"/>
    <w:rsid w:val="00281B5D"/>
    <w:pPr>
      <w:tabs>
        <w:tab w:val="center" w:pos="4153"/>
        <w:tab w:val="right" w:pos="8306"/>
      </w:tabs>
    </w:pPr>
  </w:style>
  <w:style w:type="character" w:customStyle="1" w:styleId="FooterChar">
    <w:name w:val="Footer Char"/>
    <w:basedOn w:val="DefaultParagraphFont"/>
    <w:link w:val="Footer"/>
    <w:rsid w:val="00281B5D"/>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D544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4E3"/>
    <w:rPr>
      <w:rFonts w:ascii="Tahoma" w:eastAsia="Times New Roman" w:hAnsi="Tahoma" w:cs="Tahoma"/>
      <w:sz w:val="16"/>
      <w:szCs w:val="16"/>
    </w:rPr>
  </w:style>
  <w:style w:type="paragraph" w:styleId="ListParagraph">
    <w:name w:val="List Paragraph"/>
    <w:aliases w:val="2"/>
    <w:basedOn w:val="Normal"/>
    <w:link w:val="ListParagraphChar"/>
    <w:uiPriority w:val="34"/>
    <w:qFormat/>
    <w:rsid w:val="008D1651"/>
    <w:pPr>
      <w:ind w:left="720"/>
      <w:contextualSpacing/>
    </w:pPr>
  </w:style>
  <w:style w:type="paragraph" w:styleId="BodyTextIndent3">
    <w:name w:val="Body Text Indent 3"/>
    <w:basedOn w:val="Normal"/>
    <w:link w:val="BodyTextIndent3Char"/>
    <w:semiHidden/>
    <w:unhideWhenUsed/>
    <w:rsid w:val="005001A3"/>
    <w:pPr>
      <w:spacing w:after="120"/>
      <w:ind w:left="283"/>
    </w:pPr>
    <w:rPr>
      <w:sz w:val="16"/>
      <w:szCs w:val="16"/>
    </w:rPr>
  </w:style>
  <w:style w:type="character" w:customStyle="1" w:styleId="BodyTextIndent3Char">
    <w:name w:val="Body Text Indent 3 Char"/>
    <w:basedOn w:val="DefaultParagraphFont"/>
    <w:link w:val="BodyTextIndent3"/>
    <w:semiHidden/>
    <w:rsid w:val="005001A3"/>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semiHidden/>
    <w:unhideWhenUsed/>
    <w:rsid w:val="0096224E"/>
    <w:pPr>
      <w:spacing w:after="120" w:line="480" w:lineRule="auto"/>
      <w:ind w:left="283"/>
    </w:pPr>
  </w:style>
  <w:style w:type="character" w:customStyle="1" w:styleId="BodyTextIndent2Char">
    <w:name w:val="Body Text Indent 2 Char"/>
    <w:basedOn w:val="DefaultParagraphFont"/>
    <w:link w:val="BodyTextIndent2"/>
    <w:uiPriority w:val="99"/>
    <w:semiHidden/>
    <w:rsid w:val="0096224E"/>
    <w:rPr>
      <w:rFonts w:ascii="Times New Roman" w:eastAsia="Times New Roman" w:hAnsi="Times New Roman" w:cs="Times New Roman"/>
      <w:sz w:val="28"/>
    </w:rPr>
  </w:style>
  <w:style w:type="paragraph" w:customStyle="1" w:styleId="naiskr">
    <w:name w:val="naiskr"/>
    <w:basedOn w:val="Normal"/>
    <w:uiPriority w:val="99"/>
    <w:rsid w:val="00B42B98"/>
    <w:pPr>
      <w:spacing w:before="100" w:beforeAutospacing="1" w:after="100" w:afterAutospacing="1" w:line="240" w:lineRule="auto"/>
    </w:pPr>
    <w:rPr>
      <w:sz w:val="24"/>
      <w:szCs w:val="24"/>
      <w:lang w:eastAsia="lv-LV"/>
    </w:rPr>
  </w:style>
  <w:style w:type="paragraph" w:customStyle="1" w:styleId="naisf">
    <w:name w:val="naisf"/>
    <w:basedOn w:val="Normal"/>
    <w:rsid w:val="007135FE"/>
    <w:pPr>
      <w:spacing w:after="0" w:line="240" w:lineRule="auto"/>
    </w:pPr>
    <w:rPr>
      <w:sz w:val="24"/>
      <w:szCs w:val="24"/>
      <w:lang w:eastAsia="lv-LV"/>
    </w:rPr>
  </w:style>
  <w:style w:type="paragraph" w:styleId="CommentText">
    <w:name w:val="annotation text"/>
    <w:basedOn w:val="Normal"/>
    <w:link w:val="CommentTextChar"/>
    <w:uiPriority w:val="99"/>
    <w:semiHidden/>
    <w:rsid w:val="00126CB4"/>
    <w:pPr>
      <w:spacing w:after="0" w:line="240" w:lineRule="auto"/>
    </w:pPr>
    <w:rPr>
      <w:sz w:val="20"/>
      <w:szCs w:val="20"/>
      <w:lang w:eastAsia="lv-LV"/>
    </w:rPr>
  </w:style>
  <w:style w:type="character" w:customStyle="1" w:styleId="CommentTextChar">
    <w:name w:val="Comment Text Char"/>
    <w:basedOn w:val="DefaultParagraphFont"/>
    <w:link w:val="CommentText"/>
    <w:uiPriority w:val="99"/>
    <w:semiHidden/>
    <w:rsid w:val="00126CB4"/>
    <w:rPr>
      <w:rFonts w:ascii="Times New Roman" w:eastAsia="Times New Roman" w:hAnsi="Times New Roman" w:cs="Times New Roman"/>
      <w:sz w:val="20"/>
      <w:szCs w:val="20"/>
      <w:lang w:eastAsia="lv-LV"/>
    </w:rPr>
  </w:style>
  <w:style w:type="character" w:styleId="CommentReference">
    <w:name w:val="annotation reference"/>
    <w:basedOn w:val="DefaultParagraphFont"/>
    <w:uiPriority w:val="99"/>
    <w:semiHidden/>
    <w:unhideWhenUsed/>
    <w:rsid w:val="00370491"/>
    <w:rPr>
      <w:sz w:val="16"/>
      <w:szCs w:val="16"/>
    </w:rPr>
  </w:style>
  <w:style w:type="paragraph" w:styleId="CommentSubject">
    <w:name w:val="annotation subject"/>
    <w:basedOn w:val="CommentText"/>
    <w:next w:val="CommentText"/>
    <w:link w:val="CommentSubjectChar"/>
    <w:uiPriority w:val="99"/>
    <w:semiHidden/>
    <w:unhideWhenUsed/>
    <w:rsid w:val="00370491"/>
    <w:pPr>
      <w:spacing w:after="200"/>
    </w:pPr>
    <w:rPr>
      <w:b/>
      <w:bCs/>
      <w:lang w:eastAsia="en-US"/>
    </w:rPr>
  </w:style>
  <w:style w:type="character" w:customStyle="1" w:styleId="CommentSubjectChar">
    <w:name w:val="Comment Subject Char"/>
    <w:basedOn w:val="CommentTextChar"/>
    <w:link w:val="CommentSubject"/>
    <w:uiPriority w:val="99"/>
    <w:semiHidden/>
    <w:rsid w:val="00370491"/>
    <w:rPr>
      <w:rFonts w:ascii="Times New Roman" w:eastAsia="Times New Roman" w:hAnsi="Times New Roman" w:cs="Times New Roman"/>
      <w:b/>
      <w:bCs/>
      <w:sz w:val="20"/>
      <w:szCs w:val="20"/>
      <w:lang w:eastAsia="lv-LV"/>
    </w:rPr>
  </w:style>
  <w:style w:type="character" w:customStyle="1" w:styleId="ListParagraphChar">
    <w:name w:val="List Paragraph Char"/>
    <w:aliases w:val="2 Char"/>
    <w:link w:val="ListParagraph"/>
    <w:uiPriority w:val="34"/>
    <w:locked/>
    <w:rsid w:val="009B08F7"/>
    <w:rPr>
      <w:rFonts w:ascii="Times New Roman" w:eastAsia="Times New Roman" w:hAnsi="Times New Roman" w:cs="Times New Roman"/>
      <w:sz w:val="28"/>
    </w:rPr>
  </w:style>
  <w:style w:type="paragraph" w:styleId="BodyTextIndent">
    <w:name w:val="Body Text Indent"/>
    <w:basedOn w:val="Normal"/>
    <w:link w:val="BodyTextIndentChar"/>
    <w:uiPriority w:val="99"/>
    <w:semiHidden/>
    <w:unhideWhenUsed/>
    <w:rsid w:val="00382217"/>
    <w:pPr>
      <w:spacing w:after="120"/>
      <w:ind w:left="283"/>
    </w:pPr>
  </w:style>
  <w:style w:type="character" w:customStyle="1" w:styleId="BodyTextIndentChar">
    <w:name w:val="Body Text Indent Char"/>
    <w:basedOn w:val="DefaultParagraphFont"/>
    <w:link w:val="BodyTextIndent"/>
    <w:uiPriority w:val="99"/>
    <w:semiHidden/>
    <w:rsid w:val="00382217"/>
    <w:rPr>
      <w:rFonts w:ascii="Times New Roman" w:eastAsia="Times New Roman"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681295">
      <w:bodyDiv w:val="1"/>
      <w:marLeft w:val="0"/>
      <w:marRight w:val="0"/>
      <w:marTop w:val="0"/>
      <w:marBottom w:val="0"/>
      <w:divBdr>
        <w:top w:val="none" w:sz="0" w:space="0" w:color="auto"/>
        <w:left w:val="none" w:sz="0" w:space="0" w:color="auto"/>
        <w:bottom w:val="none" w:sz="0" w:space="0" w:color="auto"/>
        <w:right w:val="none" w:sz="0" w:space="0" w:color="auto"/>
      </w:divBdr>
    </w:div>
    <w:div w:id="1183667392">
      <w:bodyDiv w:val="1"/>
      <w:marLeft w:val="0"/>
      <w:marRight w:val="0"/>
      <w:marTop w:val="0"/>
      <w:marBottom w:val="0"/>
      <w:divBdr>
        <w:top w:val="none" w:sz="0" w:space="0" w:color="auto"/>
        <w:left w:val="none" w:sz="0" w:space="0" w:color="auto"/>
        <w:bottom w:val="none" w:sz="0" w:space="0" w:color="auto"/>
        <w:right w:val="none" w:sz="0" w:space="0" w:color="auto"/>
      </w:divBdr>
      <w:divsChild>
        <w:div w:id="1367943830">
          <w:marLeft w:val="0"/>
          <w:marRight w:val="0"/>
          <w:marTop w:val="0"/>
          <w:marBottom w:val="0"/>
          <w:divBdr>
            <w:top w:val="none" w:sz="0" w:space="0" w:color="auto"/>
            <w:left w:val="none" w:sz="0" w:space="0" w:color="auto"/>
            <w:bottom w:val="none" w:sz="0" w:space="0" w:color="auto"/>
            <w:right w:val="none" w:sz="0" w:space="0" w:color="auto"/>
          </w:divBdr>
          <w:divsChild>
            <w:div w:id="119496669">
              <w:marLeft w:val="0"/>
              <w:marRight w:val="0"/>
              <w:marTop w:val="100"/>
              <w:marBottom w:val="100"/>
              <w:divBdr>
                <w:top w:val="none" w:sz="0" w:space="0" w:color="auto"/>
                <w:left w:val="none" w:sz="0" w:space="0" w:color="auto"/>
                <w:bottom w:val="none" w:sz="0" w:space="0" w:color="auto"/>
                <w:right w:val="none" w:sz="0" w:space="0" w:color="auto"/>
              </w:divBdr>
              <w:divsChild>
                <w:div w:id="371737228">
                  <w:marLeft w:val="0"/>
                  <w:marRight w:val="0"/>
                  <w:marTop w:val="0"/>
                  <w:marBottom w:val="0"/>
                  <w:divBdr>
                    <w:top w:val="none" w:sz="0" w:space="0" w:color="auto"/>
                    <w:left w:val="none" w:sz="0" w:space="0" w:color="auto"/>
                    <w:bottom w:val="none" w:sz="0" w:space="0" w:color="auto"/>
                    <w:right w:val="none" w:sz="0" w:space="0" w:color="auto"/>
                  </w:divBdr>
                  <w:divsChild>
                    <w:div w:id="349338873">
                      <w:marLeft w:val="0"/>
                      <w:marRight w:val="0"/>
                      <w:marTop w:val="0"/>
                      <w:marBottom w:val="0"/>
                      <w:divBdr>
                        <w:top w:val="none" w:sz="0" w:space="0" w:color="auto"/>
                        <w:left w:val="none" w:sz="0" w:space="0" w:color="auto"/>
                        <w:bottom w:val="none" w:sz="0" w:space="0" w:color="auto"/>
                        <w:right w:val="none" w:sz="0" w:space="0" w:color="auto"/>
                      </w:divBdr>
                      <w:divsChild>
                        <w:div w:id="205083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498267">
      <w:bodyDiv w:val="1"/>
      <w:marLeft w:val="0"/>
      <w:marRight w:val="0"/>
      <w:marTop w:val="0"/>
      <w:marBottom w:val="0"/>
      <w:divBdr>
        <w:top w:val="none" w:sz="0" w:space="0" w:color="auto"/>
        <w:left w:val="none" w:sz="0" w:space="0" w:color="auto"/>
        <w:bottom w:val="none" w:sz="0" w:space="0" w:color="auto"/>
        <w:right w:val="none" w:sz="0" w:space="0" w:color="auto"/>
      </w:divBdr>
    </w:div>
    <w:div w:id="1193494095">
      <w:bodyDiv w:val="1"/>
      <w:marLeft w:val="0"/>
      <w:marRight w:val="0"/>
      <w:marTop w:val="0"/>
      <w:marBottom w:val="0"/>
      <w:divBdr>
        <w:top w:val="none" w:sz="0" w:space="0" w:color="auto"/>
        <w:left w:val="none" w:sz="0" w:space="0" w:color="auto"/>
        <w:bottom w:val="none" w:sz="0" w:space="0" w:color="auto"/>
        <w:right w:val="none" w:sz="0" w:space="0" w:color="auto"/>
      </w:divBdr>
    </w:div>
    <w:div w:id="1798990333">
      <w:bodyDiv w:val="1"/>
      <w:marLeft w:val="0"/>
      <w:marRight w:val="0"/>
      <w:marTop w:val="0"/>
      <w:marBottom w:val="0"/>
      <w:divBdr>
        <w:top w:val="none" w:sz="0" w:space="0" w:color="auto"/>
        <w:left w:val="none" w:sz="0" w:space="0" w:color="auto"/>
        <w:bottom w:val="none" w:sz="0" w:space="0" w:color="auto"/>
        <w:right w:val="none" w:sz="0" w:space="0" w:color="auto"/>
      </w:divBdr>
    </w:div>
    <w:div w:id="188587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B6E37-782B-4A61-8646-37BF02B51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2617</Words>
  <Characters>1493</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Ministru kabineta rīkojuma projekta „Grozījums Ministru kabineta 2012.gada 24.augusta rīkojumā Nr.411 „Par finansējuma piešķiršanu Finanšu ministrijai Valsts ieņēmuma dienesta administratīvās ēkas Talejas ielā 1, Rīgā, telpu nomas maksas, aprīkojuma iegād</vt:lpstr>
    </vt:vector>
  </TitlesOfParts>
  <Company/>
  <LinksUpToDate>false</LinksUpToDate>
  <CharactersWithSpaces>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„Grozījums Ministru kabineta 2012.gada 24.augusta rīkojumā Nr.411 „Par finansējuma piešķiršanu Finanšu ministrijai Valsts ieņēmuma dienesta administratīvās ēkas Talejas ielā 1, Rīgā, telpu nomas maksas, aprīkojuma iegādes, pārcelšanās un uzturēšanas izdevumu segšanai”” sākotnējās ietekmes novērtējuma ziņojums (anotācija)</dc:title>
  <dc:subject>Anotācija</dc:subject>
  <dc:creator>Lita Kokorēviča</dc:creator>
  <cp:keywords>Lita.Kokorevica@vni.lv; tālr.:67024955</cp:keywords>
  <dc:description>67024955, Lita.Kokorevica@vni.lv</dc:description>
  <cp:lastModifiedBy>Laura Treimane</cp:lastModifiedBy>
  <cp:revision>2</cp:revision>
  <cp:lastPrinted>2017-02-10T10:33:00Z</cp:lastPrinted>
  <dcterms:created xsi:type="dcterms:W3CDTF">2017-02-10T10:58:00Z</dcterms:created>
  <dcterms:modified xsi:type="dcterms:W3CDTF">2017-02-10T10:58:00Z</dcterms:modified>
</cp:coreProperties>
</file>