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63" w:rsidRPr="00D46EFC" w:rsidRDefault="00211E63" w:rsidP="00211E63">
      <w:pPr>
        <w:tabs>
          <w:tab w:val="left" w:pos="1515"/>
        </w:tabs>
        <w:spacing w:after="0" w:line="240" w:lineRule="auto"/>
        <w:jc w:val="right"/>
        <w:rPr>
          <w:rFonts w:ascii="Times New Roman" w:hAnsi="Times New Roman"/>
          <w:sz w:val="24"/>
          <w:szCs w:val="24"/>
        </w:rPr>
      </w:pPr>
    </w:p>
    <w:p w:rsidR="00211E63" w:rsidRDefault="00211E63" w:rsidP="00211E63">
      <w:pPr>
        <w:tabs>
          <w:tab w:val="left" w:pos="1515"/>
        </w:tabs>
        <w:spacing w:after="0" w:line="240" w:lineRule="auto"/>
        <w:jc w:val="right"/>
        <w:rPr>
          <w:rFonts w:ascii="Times New Roman" w:hAnsi="Times New Roman"/>
          <w:sz w:val="24"/>
          <w:szCs w:val="24"/>
        </w:rPr>
      </w:pPr>
      <w:r w:rsidRPr="00D46EFC">
        <w:rPr>
          <w:rFonts w:ascii="Times New Roman" w:hAnsi="Times New Roman"/>
          <w:sz w:val="24"/>
          <w:szCs w:val="24"/>
        </w:rPr>
        <w:t>Saeimas Ilgtspējīgas attīstības komisijai</w:t>
      </w:r>
    </w:p>
    <w:p w:rsidR="00211E63" w:rsidRDefault="00211E63" w:rsidP="00211E63">
      <w:pPr>
        <w:tabs>
          <w:tab w:val="left" w:pos="1515"/>
        </w:tabs>
        <w:spacing w:after="0" w:line="240" w:lineRule="auto"/>
        <w:jc w:val="right"/>
        <w:rPr>
          <w:rFonts w:ascii="Times New Roman" w:hAnsi="Times New Roman"/>
          <w:sz w:val="24"/>
          <w:szCs w:val="24"/>
        </w:rPr>
      </w:pPr>
    </w:p>
    <w:p w:rsidR="00211E63" w:rsidRPr="00D46EFC" w:rsidRDefault="00211E63" w:rsidP="00211E63">
      <w:pPr>
        <w:tabs>
          <w:tab w:val="left" w:pos="1515"/>
        </w:tabs>
        <w:spacing w:after="0" w:line="240" w:lineRule="auto"/>
        <w:rPr>
          <w:rFonts w:ascii="Times New Roman" w:hAnsi="Times New Roman"/>
          <w:sz w:val="24"/>
          <w:szCs w:val="24"/>
          <w:lang w:eastAsia="lv-LV"/>
        </w:rPr>
      </w:pPr>
      <w:r>
        <w:rPr>
          <w:rFonts w:ascii="Times New Roman" w:hAnsi="Times New Roman"/>
          <w:sz w:val="24"/>
          <w:szCs w:val="24"/>
        </w:rPr>
        <w:t>Par uzdevumu izpildes gaitu</w:t>
      </w:r>
    </w:p>
    <w:p w:rsidR="00211E63" w:rsidRPr="00D46EFC" w:rsidRDefault="00211E63" w:rsidP="00211E63">
      <w:pPr>
        <w:spacing w:after="0" w:line="240" w:lineRule="auto"/>
        <w:ind w:firstLine="426"/>
        <w:jc w:val="both"/>
        <w:rPr>
          <w:rFonts w:ascii="Times New Roman" w:hAnsi="Times New Roman"/>
          <w:sz w:val="24"/>
          <w:szCs w:val="24"/>
          <w:lang w:eastAsia="lv-LV"/>
        </w:rPr>
      </w:pPr>
    </w:p>
    <w:p w:rsidR="00211E63" w:rsidRPr="00D46EFC" w:rsidRDefault="00211E63" w:rsidP="00211E63">
      <w:pPr>
        <w:spacing w:after="0" w:line="240" w:lineRule="auto"/>
        <w:ind w:firstLine="567"/>
        <w:jc w:val="both"/>
        <w:rPr>
          <w:rFonts w:ascii="Times New Roman" w:hAnsi="Times New Roman"/>
          <w:color w:val="000000"/>
          <w:sz w:val="24"/>
          <w:szCs w:val="24"/>
          <w:lang w:eastAsia="lv-LV"/>
        </w:rPr>
      </w:pPr>
      <w:r w:rsidRPr="00D46EFC">
        <w:rPr>
          <w:rFonts w:ascii="Times New Roman" w:hAnsi="Times New Roman"/>
          <w:sz w:val="24"/>
          <w:szCs w:val="24"/>
          <w:lang w:eastAsia="lv-LV"/>
        </w:rPr>
        <w:t>Ministru kabinets</w:t>
      </w:r>
      <w:r w:rsidRPr="00D46EFC">
        <w:rPr>
          <w:rFonts w:ascii="Times New Roman" w:hAnsi="Times New Roman"/>
          <w:sz w:val="24"/>
          <w:szCs w:val="24"/>
        </w:rPr>
        <w:t xml:space="preserve"> ir sagatavojis un sniedz </w:t>
      </w:r>
      <w:r w:rsidRPr="00D46EFC">
        <w:rPr>
          <w:rFonts w:ascii="Times New Roman" w:hAnsi="Times New Roman"/>
          <w:sz w:val="24"/>
          <w:szCs w:val="24"/>
          <w:lang w:eastAsia="lv-LV"/>
        </w:rPr>
        <w:t>informāciju</w:t>
      </w:r>
      <w:r w:rsidRPr="00D46EFC">
        <w:rPr>
          <w:rFonts w:ascii="Times New Roman" w:hAnsi="Times New Roman"/>
          <w:sz w:val="24"/>
          <w:szCs w:val="24"/>
        </w:rPr>
        <w:t xml:space="preserve"> par Saeimas</w:t>
      </w:r>
      <w:r w:rsidRPr="00D46EFC">
        <w:rPr>
          <w:rFonts w:ascii="Times New Roman" w:hAnsi="Times New Roman"/>
          <w:color w:val="000000"/>
          <w:sz w:val="24"/>
          <w:szCs w:val="24"/>
          <w:lang w:eastAsia="lv-LV"/>
        </w:rPr>
        <w:t xml:space="preserve"> 2015.gada 17.decembra </w:t>
      </w:r>
      <w:r>
        <w:rPr>
          <w:rFonts w:ascii="Times New Roman" w:hAnsi="Times New Roman"/>
          <w:color w:val="000000"/>
          <w:sz w:val="24"/>
          <w:szCs w:val="24"/>
          <w:lang w:eastAsia="lv-LV"/>
        </w:rPr>
        <w:t>lēmuma</w:t>
      </w:r>
      <w:r w:rsidRPr="00D46EFC">
        <w:rPr>
          <w:rFonts w:ascii="Times New Roman" w:hAnsi="Times New Roman"/>
          <w:color w:val="000000"/>
          <w:sz w:val="24"/>
          <w:szCs w:val="24"/>
          <w:lang w:eastAsia="lv-LV"/>
        </w:rPr>
        <w:t xml:space="preserve"> "</w:t>
      </w:r>
      <w:r w:rsidRPr="00D46EFC">
        <w:rPr>
          <w:rFonts w:ascii="Times New Roman" w:hAnsi="Times New Roman"/>
          <w:i/>
          <w:color w:val="000000"/>
          <w:sz w:val="24"/>
          <w:szCs w:val="24"/>
          <w:lang w:eastAsia="lv-LV"/>
        </w:rPr>
        <w:t>Par uzdevumiem, kas veicami, lai nodrošinātu kvalitatīvu vispārējās izglītības iestāžu tīklu un risinātu ar izglītojamo telpisko mobilitāti (izglītības iestādes fizisku pieejamību) saistītās problēmas</w:t>
      </w:r>
      <w:r w:rsidRPr="00D46EFC">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uzdevumu</w:t>
      </w:r>
      <w:r w:rsidRPr="00D46EFC">
        <w:rPr>
          <w:rFonts w:ascii="Times New Roman" w:hAnsi="Times New Roman"/>
          <w:color w:val="000000"/>
          <w:sz w:val="24"/>
          <w:szCs w:val="24"/>
          <w:lang w:eastAsia="lv-LV"/>
        </w:rPr>
        <w:t xml:space="preserve"> izpildi.</w:t>
      </w:r>
    </w:p>
    <w:p w:rsidR="00211E63" w:rsidRPr="00D46EFC" w:rsidRDefault="00211E63" w:rsidP="00211E63">
      <w:pPr>
        <w:spacing w:after="0" w:line="240" w:lineRule="auto"/>
        <w:ind w:firstLine="426"/>
        <w:jc w:val="both"/>
        <w:rPr>
          <w:rFonts w:ascii="Times New Roman" w:hAnsi="Times New Roman"/>
          <w:color w:val="000000"/>
          <w:sz w:val="24"/>
          <w:szCs w:val="24"/>
          <w:lang w:eastAsia="lv-LV"/>
        </w:rPr>
      </w:pPr>
    </w:p>
    <w:p w:rsidR="00211E63" w:rsidRPr="00D46EFC" w:rsidRDefault="00211E63" w:rsidP="00211E63">
      <w:pPr>
        <w:spacing w:after="0" w:line="240" w:lineRule="auto"/>
        <w:ind w:firstLine="567"/>
        <w:jc w:val="both"/>
        <w:rPr>
          <w:rFonts w:ascii="Times New Roman" w:hAnsi="Times New Roman"/>
          <w:color w:val="000000"/>
          <w:sz w:val="24"/>
          <w:szCs w:val="24"/>
          <w:lang w:eastAsia="lv-LV"/>
        </w:rPr>
      </w:pPr>
      <w:r w:rsidRPr="00D46EFC">
        <w:rPr>
          <w:rFonts w:ascii="Times New Roman" w:hAnsi="Times New Roman"/>
          <w:color w:val="000000"/>
          <w:sz w:val="24"/>
          <w:szCs w:val="24"/>
          <w:lang w:eastAsia="lv-LV"/>
        </w:rPr>
        <w:t xml:space="preserve">Izglītība ir viens no valsts ilgtspējīgas konkurētspējas pamatiem. Dažādu organizāciju veiktie pētījumi apliecina, ka vidējā termiņā un ilgtermiņā attīstīto valstu ekonomika saskarsies ar profesionāli un augsti kvalificēta darbaspēka nepietiekamību. Latvijā saskaņā ar Ekonomikas ministrijas prognozēm šī </w:t>
      </w:r>
      <w:bookmarkStart w:id="0" w:name="_GoBack"/>
      <w:bookmarkEnd w:id="0"/>
      <w:r w:rsidRPr="00D46EFC">
        <w:rPr>
          <w:rFonts w:ascii="Times New Roman" w:hAnsi="Times New Roman"/>
          <w:color w:val="000000"/>
          <w:sz w:val="24"/>
          <w:szCs w:val="24"/>
          <w:lang w:eastAsia="lv-LV"/>
        </w:rPr>
        <w:t>problēma var radīt nopietnus šķēršļus tautsaimniecības pārstrukturizācijai un iedzīvotāju labklājības pieaugumam. Izglītība ir viena no jomām, kurā mērķtiecīgi plānotas un īstenotas pārmai</w:t>
      </w:r>
      <w:r>
        <w:rPr>
          <w:rFonts w:ascii="Times New Roman" w:hAnsi="Times New Roman"/>
          <w:color w:val="000000"/>
          <w:sz w:val="24"/>
          <w:szCs w:val="24"/>
          <w:lang w:eastAsia="lv-LV"/>
        </w:rPr>
        <w:t>ņas var</w:t>
      </w:r>
      <w:r w:rsidRPr="00D46EFC">
        <w:rPr>
          <w:rFonts w:ascii="Times New Roman" w:hAnsi="Times New Roman"/>
          <w:color w:val="000000"/>
          <w:sz w:val="24"/>
          <w:szCs w:val="24"/>
          <w:lang w:eastAsia="lv-LV"/>
        </w:rPr>
        <w:t xml:space="preserve"> stiprināt Latvijas cilvēkresursu kapitālu, t.sk. nodrošināt izglītības sasaisti ar darba tirgu. </w:t>
      </w:r>
    </w:p>
    <w:p w:rsidR="00211E63" w:rsidRPr="00D46EFC" w:rsidRDefault="00211E63" w:rsidP="00211E63">
      <w:pPr>
        <w:pStyle w:val="teksts"/>
        <w:ind w:firstLine="567"/>
        <w:rPr>
          <w:rFonts w:ascii="Times New Roman" w:hAnsi="Times New Roman" w:cs="Times New Roman"/>
          <w:b/>
          <w:bCs/>
          <w:sz w:val="24"/>
          <w:szCs w:val="24"/>
        </w:rPr>
      </w:pPr>
      <w:r w:rsidRPr="00D46EFC">
        <w:rPr>
          <w:rFonts w:ascii="Times New Roman" w:hAnsi="Times New Roman" w:cs="Times New Roman"/>
          <w:sz w:val="24"/>
          <w:szCs w:val="24"/>
        </w:rPr>
        <w:t xml:space="preserve">Ieguldījumi izglītībā un mūžizglītībā ir būtisks priekšnoteikums tautsaimniecības attīstībai un valsts konkurētspējas veicināšanai, ka arī augstāka labklājības līmeņa sasniegšanai. Izglītības un zinātnes ministrijas (turpmāk – ministrija) rīcību nosaka 2014.gada 22.maijā Saeimas apstiprinātais vidējā termiņa plānošanas dokuments </w:t>
      </w:r>
      <w:r w:rsidRPr="00D46EFC">
        <w:rPr>
          <w:rFonts w:ascii="Times New Roman" w:hAnsi="Times New Roman" w:cs="Times New Roman"/>
          <w:bCs/>
          <w:i/>
          <w:sz w:val="24"/>
          <w:szCs w:val="24"/>
        </w:rPr>
        <w:t>Izglītības attīstības pamatnostādnes 2014.-2020.gadam</w:t>
      </w:r>
      <w:r w:rsidRPr="00D46EFC">
        <w:rPr>
          <w:rFonts w:ascii="Times New Roman" w:hAnsi="Times New Roman" w:cs="Times New Roman"/>
          <w:sz w:val="24"/>
          <w:szCs w:val="24"/>
        </w:rPr>
        <w:t xml:space="preserve">, kas nosaka izglītības attīstības politikas pamatprincipus, mērķus un rīcības virzienus, īstenojot izglītības politikas </w:t>
      </w:r>
      <w:proofErr w:type="spellStart"/>
      <w:r w:rsidRPr="00D46EFC">
        <w:rPr>
          <w:rFonts w:ascii="Times New Roman" w:hAnsi="Times New Roman" w:cs="Times New Roman"/>
          <w:sz w:val="24"/>
          <w:szCs w:val="24"/>
        </w:rPr>
        <w:t>virsmērķi</w:t>
      </w:r>
      <w:proofErr w:type="spellEnd"/>
      <w:r w:rsidRPr="00D46EFC">
        <w:rPr>
          <w:rFonts w:ascii="Times New Roman" w:hAnsi="Times New Roman" w:cs="Times New Roman"/>
          <w:sz w:val="24"/>
          <w:szCs w:val="24"/>
        </w:rPr>
        <w:t xml:space="preserve"> - </w:t>
      </w:r>
      <w:r w:rsidRPr="00D46EFC">
        <w:rPr>
          <w:rFonts w:ascii="Times New Roman" w:hAnsi="Times New Roman" w:cs="Times New Roman"/>
          <w:bCs/>
          <w:sz w:val="24"/>
          <w:szCs w:val="24"/>
        </w:rPr>
        <w:t>kvalitatīva un iekļaujoša izglītība personības attīstībai, cilvēku labklājībai un ilgtspējīgai valsts izaugsmei.</w:t>
      </w:r>
    </w:p>
    <w:p w:rsidR="00211E63" w:rsidRDefault="00211E63" w:rsidP="00211E63">
      <w:pPr>
        <w:spacing w:after="0" w:line="240" w:lineRule="auto"/>
        <w:ind w:firstLine="567"/>
        <w:jc w:val="both"/>
        <w:rPr>
          <w:rFonts w:ascii="Times New Roman" w:hAnsi="Times New Roman"/>
          <w:sz w:val="24"/>
          <w:szCs w:val="24"/>
        </w:rPr>
      </w:pPr>
      <w:r w:rsidRPr="00D46EFC">
        <w:rPr>
          <w:rFonts w:ascii="Times New Roman" w:hAnsi="Times New Roman"/>
          <w:color w:val="000000"/>
          <w:sz w:val="24"/>
          <w:szCs w:val="24"/>
          <w:lang w:eastAsia="lv-LV"/>
        </w:rPr>
        <w:t xml:space="preserve">Izglītības politikā pārmaiņas saistītas ar izglītības satura un tā apguves pieejas atjaunotni, paaugstinot izglītības kvalitāti, efektīvas pārvaldības un finansēšanas sistēmas izveidi, līdztekus kompleksi risinot arī skolu tīkla sakārtošanas un skolu pieejamības, kā arī modernas mācību vides izveides un nodrošināšanas jautājumus. </w:t>
      </w:r>
      <w:r w:rsidRPr="00D46EFC">
        <w:rPr>
          <w:rFonts w:ascii="Times New Roman" w:hAnsi="Times New Roman"/>
          <w:sz w:val="24"/>
          <w:szCs w:val="24"/>
        </w:rPr>
        <w:t>Risinājumi prasa aktīvu nozaru ministriju, citu valsts un pašvaldību institūciju, kā arī sociālo un sadarbības partneru iesaisti un sadarbību, līdz ar to procesa virzība ir laikietilpīga.</w:t>
      </w:r>
    </w:p>
    <w:p w:rsidR="00191B02" w:rsidRPr="00D46EFC" w:rsidRDefault="00191B02" w:rsidP="00211E63">
      <w:pPr>
        <w:spacing w:after="0" w:line="240" w:lineRule="auto"/>
        <w:ind w:firstLine="567"/>
        <w:jc w:val="both"/>
        <w:rPr>
          <w:rFonts w:ascii="Times New Roman" w:hAnsi="Times New Roman"/>
          <w:sz w:val="24"/>
          <w:szCs w:val="24"/>
        </w:rPr>
      </w:pPr>
      <w:r>
        <w:rPr>
          <w:rFonts w:ascii="Times New Roman" w:hAnsi="Times New Roman"/>
          <w:sz w:val="24"/>
          <w:szCs w:val="24"/>
        </w:rPr>
        <w:t>Izglītības kvalitātes paaugstināšanai ministrija īsteno kompleksu pasākumu kopumu, kas ietver (1) ģimnāziju stiprināšanu, internātskolu un speciālās izglītības iestāžu attīstības jautājumus, (2) vispārējās izglītības iestāžu tīkla kartējumu un padziļinātu situācijas analīzi, (3) mērķtiecīgus ieguldījumus izglītības iestāžu infrastruktūras modernizēšanā, (4) pedagogu atalgojuma jautājuma risināšanu, (5) kompetenču pieejā balstīta vispārējās izglītības satura aprobāciju un ieviešanu un pasākumus izglītojamo individuālo kompetenču un talantu attīstībai, iekļaujošas izglītības īstenošanai un karjeras atbalstam, kā arī (6) izglītības kvalitātes monitoringa sistēmas izveidi.</w:t>
      </w:r>
    </w:p>
    <w:p w:rsidR="00211E63" w:rsidRPr="00D46EFC" w:rsidRDefault="00211E63" w:rsidP="00211E63">
      <w:pPr>
        <w:tabs>
          <w:tab w:val="left" w:pos="993"/>
        </w:tabs>
        <w:spacing w:after="0" w:line="240" w:lineRule="auto"/>
        <w:jc w:val="both"/>
        <w:rPr>
          <w:rFonts w:ascii="Times New Roman" w:hAnsi="Times New Roman"/>
          <w:b/>
          <w:sz w:val="24"/>
          <w:szCs w:val="24"/>
        </w:rPr>
      </w:pPr>
    </w:p>
    <w:p w:rsidR="00211E63" w:rsidRPr="00D46EFC" w:rsidRDefault="00211E63" w:rsidP="00211E63">
      <w:pPr>
        <w:spacing w:after="0" w:line="240" w:lineRule="auto"/>
        <w:jc w:val="both"/>
        <w:rPr>
          <w:rFonts w:ascii="Times New Roman" w:hAnsi="Times New Roman"/>
          <w:b/>
          <w:sz w:val="24"/>
          <w:szCs w:val="24"/>
        </w:rPr>
      </w:pPr>
      <w:r w:rsidRPr="00D46EFC">
        <w:rPr>
          <w:rFonts w:ascii="Times New Roman" w:hAnsi="Times New Roman"/>
          <w:b/>
          <w:sz w:val="24"/>
          <w:szCs w:val="24"/>
        </w:rPr>
        <w:t>Izglītības iestāžu tīkla veidošanas process</w:t>
      </w:r>
    </w:p>
    <w:p w:rsidR="00211E63" w:rsidRPr="00D46EFC" w:rsidRDefault="00211E63" w:rsidP="00211E63">
      <w:pPr>
        <w:pStyle w:val="ListParagraph"/>
        <w:widowControl/>
        <w:numPr>
          <w:ilvl w:val="0"/>
          <w:numId w:val="4"/>
        </w:numPr>
        <w:spacing w:after="0" w:line="240" w:lineRule="auto"/>
        <w:jc w:val="both"/>
        <w:rPr>
          <w:rFonts w:ascii="Times New Roman" w:hAnsi="Times New Roman"/>
          <w:color w:val="414142"/>
          <w:sz w:val="24"/>
          <w:szCs w:val="24"/>
        </w:rPr>
      </w:pPr>
      <w:r w:rsidRPr="00D46EFC">
        <w:rPr>
          <w:rFonts w:ascii="Times New Roman" w:hAnsi="Times New Roman"/>
          <w:sz w:val="24"/>
          <w:szCs w:val="24"/>
        </w:rPr>
        <w:t>valsts ģimnāziju attīstības iespējas</w:t>
      </w:r>
      <w:r w:rsidRPr="00D46EFC">
        <w:rPr>
          <w:rStyle w:val="FootnoteReference"/>
          <w:rFonts w:ascii="Times New Roman" w:hAnsi="Times New Roman"/>
          <w:sz w:val="24"/>
          <w:szCs w:val="24"/>
        </w:rPr>
        <w:footnoteReference w:id="1"/>
      </w:r>
      <w:r w:rsidRPr="00D46EFC">
        <w:rPr>
          <w:rFonts w:ascii="Times New Roman" w:hAnsi="Times New Roman"/>
          <w:sz w:val="24"/>
          <w:szCs w:val="24"/>
        </w:rPr>
        <w:t xml:space="preserve">, stiprinot: </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color w:val="414142"/>
          <w:sz w:val="24"/>
          <w:szCs w:val="24"/>
        </w:rPr>
      </w:pPr>
      <w:r w:rsidRPr="00D46EFC">
        <w:rPr>
          <w:rFonts w:ascii="Times New Roman" w:hAnsi="Times New Roman"/>
          <w:sz w:val="24"/>
          <w:szCs w:val="24"/>
        </w:rPr>
        <w:t xml:space="preserve">pienākumus un sasniedzamos rezultātus skolēnu izcilības veicināšanai, t.sk. paaugstinot prasības par valsts ģimnāziju </w:t>
      </w:r>
      <w:r w:rsidRPr="00D46EFC">
        <w:rPr>
          <w:rFonts w:ascii="Times New Roman" w:eastAsia="Times New Roman" w:hAnsi="Times New Roman"/>
          <w:sz w:val="24"/>
          <w:szCs w:val="24"/>
          <w:lang w:eastAsia="lv-LV"/>
        </w:rPr>
        <w:t>izglītojamo mācību sasniegumu vidējo procentuālo novērtējumu centralizētajos eksāmenos (no 10 uz 12 procentiem, nosakot minēto novērtējumu tikai obligātajos centralizētajos eksāmenos);</w:t>
      </w:r>
    </w:p>
    <w:p w:rsidR="00211E63" w:rsidRPr="00D46EFC" w:rsidRDefault="00211E63" w:rsidP="00211E63">
      <w:pPr>
        <w:pStyle w:val="ListParagraph"/>
        <w:widowControl/>
        <w:numPr>
          <w:ilvl w:val="0"/>
          <w:numId w:val="2"/>
        </w:numPr>
        <w:spacing w:after="0" w:line="240" w:lineRule="auto"/>
        <w:ind w:left="993" w:hanging="283"/>
        <w:contextualSpacing w:val="0"/>
        <w:jc w:val="both"/>
        <w:rPr>
          <w:rFonts w:ascii="Times New Roman" w:eastAsia="Times New Roman" w:hAnsi="Times New Roman"/>
          <w:sz w:val="24"/>
          <w:szCs w:val="24"/>
          <w:lang w:eastAsia="lv-LV"/>
        </w:rPr>
      </w:pPr>
      <w:r w:rsidRPr="00D46EFC">
        <w:rPr>
          <w:rFonts w:ascii="Times New Roman" w:eastAsia="Times New Roman" w:hAnsi="Times New Roman"/>
          <w:sz w:val="24"/>
          <w:szCs w:val="24"/>
          <w:lang w:eastAsia="lv-LV"/>
        </w:rPr>
        <w:t>metodisko funkciju, organizējot un nodrošinot vispārējās izglītības iestāžu pedagogu profesionālās kompetences pilnveidi reģionālā vai valsts mērogā, t.sk. palielinot valsts finansiālo atbalstu;</w:t>
      </w:r>
    </w:p>
    <w:p w:rsidR="00211E63" w:rsidRPr="00D46EFC" w:rsidRDefault="00211E63" w:rsidP="00211E63">
      <w:pPr>
        <w:pStyle w:val="ListParagraph"/>
        <w:numPr>
          <w:ilvl w:val="0"/>
          <w:numId w:val="2"/>
        </w:numPr>
        <w:spacing w:after="0" w:line="240" w:lineRule="auto"/>
        <w:ind w:left="993" w:hanging="283"/>
        <w:contextualSpacing w:val="0"/>
        <w:jc w:val="both"/>
        <w:rPr>
          <w:rFonts w:ascii="Times New Roman" w:eastAsia="Times New Roman" w:hAnsi="Times New Roman"/>
          <w:sz w:val="24"/>
          <w:szCs w:val="24"/>
          <w:lang w:eastAsia="lv-LV"/>
        </w:rPr>
      </w:pPr>
      <w:r w:rsidRPr="00D46EFC">
        <w:rPr>
          <w:rFonts w:ascii="Times New Roman" w:eastAsia="Times New Roman" w:hAnsi="Times New Roman"/>
          <w:sz w:val="24"/>
          <w:szCs w:val="24"/>
          <w:lang w:eastAsia="lv-LV"/>
        </w:rPr>
        <w:t>darbību izglītības kvalitātes paaugstināšanā, izpildot (atbilst) ne mazāk kā trīs no turpmāk minētajiem kritērijiem, piemēram:</w:t>
      </w:r>
    </w:p>
    <w:p w:rsidR="00211E63" w:rsidRPr="00D46EFC" w:rsidRDefault="00211E63" w:rsidP="00211E63">
      <w:pPr>
        <w:pStyle w:val="ListParagraph"/>
        <w:numPr>
          <w:ilvl w:val="1"/>
          <w:numId w:val="3"/>
        </w:numPr>
        <w:spacing w:after="0" w:line="240" w:lineRule="auto"/>
        <w:ind w:left="1418"/>
        <w:contextualSpacing w:val="0"/>
        <w:jc w:val="both"/>
        <w:rPr>
          <w:rFonts w:ascii="Times New Roman" w:eastAsia="Times New Roman" w:hAnsi="Times New Roman"/>
          <w:sz w:val="24"/>
          <w:szCs w:val="24"/>
          <w:lang w:eastAsia="lv-LV"/>
        </w:rPr>
      </w:pPr>
      <w:r w:rsidRPr="00D46EFC">
        <w:rPr>
          <w:rFonts w:ascii="Times New Roman" w:eastAsia="Times New Roman" w:hAnsi="Times New Roman"/>
          <w:sz w:val="24"/>
          <w:szCs w:val="24"/>
          <w:lang w:eastAsia="lv-LV"/>
        </w:rPr>
        <w:t xml:space="preserve">vismaz 5% no izglītības iestādes pedagogiem ir augstākā (trešā) pedagogu </w:t>
      </w:r>
      <w:r w:rsidRPr="00D46EFC">
        <w:rPr>
          <w:rFonts w:ascii="Times New Roman" w:eastAsia="Times New Roman" w:hAnsi="Times New Roman"/>
          <w:sz w:val="24"/>
          <w:szCs w:val="24"/>
          <w:lang w:eastAsia="lv-LV"/>
        </w:rPr>
        <w:lastRenderedPageBreak/>
        <w:t>darbības novērtēšanas kvalitātes pakāpe;</w:t>
      </w:r>
    </w:p>
    <w:p w:rsidR="00211E63" w:rsidRPr="00D46EFC" w:rsidRDefault="00211E63" w:rsidP="00211E63">
      <w:pPr>
        <w:pStyle w:val="ListParagraph"/>
        <w:numPr>
          <w:ilvl w:val="1"/>
          <w:numId w:val="3"/>
        </w:numPr>
        <w:spacing w:after="0" w:line="240" w:lineRule="auto"/>
        <w:ind w:left="1418"/>
        <w:contextualSpacing w:val="0"/>
        <w:jc w:val="both"/>
        <w:rPr>
          <w:rFonts w:ascii="Times New Roman" w:eastAsia="Times New Roman" w:hAnsi="Times New Roman"/>
          <w:sz w:val="24"/>
          <w:szCs w:val="24"/>
          <w:lang w:eastAsia="lv-LV"/>
        </w:rPr>
      </w:pPr>
      <w:r w:rsidRPr="00D46EFC">
        <w:rPr>
          <w:rFonts w:ascii="Times New Roman" w:eastAsia="Times New Roman" w:hAnsi="Times New Roman"/>
          <w:sz w:val="24"/>
          <w:szCs w:val="24"/>
          <w:lang w:eastAsia="lv-LV"/>
        </w:rPr>
        <w:t>atbilstoši valsts augstāko izglītības iestāžu pieprasījumam nodrošina</w:t>
      </w:r>
      <w:r w:rsidRPr="00D46EFC">
        <w:rPr>
          <w:rFonts w:ascii="Times New Roman" w:eastAsia="Times New Roman" w:hAnsi="Times New Roman"/>
          <w:color w:val="FF0000"/>
          <w:sz w:val="24"/>
          <w:szCs w:val="24"/>
          <w:lang w:eastAsia="lv-LV"/>
        </w:rPr>
        <w:t xml:space="preserve"> </w:t>
      </w:r>
      <w:r w:rsidRPr="00D46EFC">
        <w:rPr>
          <w:rFonts w:ascii="Times New Roman" w:eastAsia="Times New Roman" w:hAnsi="Times New Roman"/>
          <w:sz w:val="24"/>
          <w:szCs w:val="24"/>
          <w:lang w:eastAsia="lv-LV"/>
        </w:rPr>
        <w:t xml:space="preserve">prakses vietas pedagoģijas studiju programmu un izglītības vadības </w:t>
      </w:r>
      <w:r>
        <w:rPr>
          <w:rFonts w:ascii="Times New Roman" w:eastAsia="Times New Roman" w:hAnsi="Times New Roman"/>
          <w:sz w:val="24"/>
          <w:szCs w:val="24"/>
          <w:lang w:eastAsia="lv-LV"/>
        </w:rPr>
        <w:t xml:space="preserve">studiju </w:t>
      </w:r>
      <w:r w:rsidRPr="00D46EFC">
        <w:rPr>
          <w:rFonts w:ascii="Times New Roman" w:eastAsia="Times New Roman" w:hAnsi="Times New Roman"/>
          <w:sz w:val="24"/>
          <w:szCs w:val="24"/>
          <w:lang w:eastAsia="lv-LV"/>
        </w:rPr>
        <w:t>programmu studentiem;</w:t>
      </w:r>
    </w:p>
    <w:p w:rsidR="00211E63" w:rsidRPr="00D46EFC" w:rsidRDefault="00211E63" w:rsidP="00211E63">
      <w:pPr>
        <w:pStyle w:val="ListParagraph"/>
        <w:numPr>
          <w:ilvl w:val="1"/>
          <w:numId w:val="3"/>
        </w:numPr>
        <w:spacing w:after="0" w:line="240" w:lineRule="auto"/>
        <w:ind w:left="1418"/>
        <w:contextualSpacing w:val="0"/>
        <w:jc w:val="both"/>
        <w:rPr>
          <w:rFonts w:ascii="Times New Roman" w:eastAsia="Times New Roman" w:hAnsi="Times New Roman"/>
          <w:sz w:val="24"/>
          <w:szCs w:val="24"/>
          <w:lang w:eastAsia="lv-LV"/>
        </w:rPr>
      </w:pPr>
      <w:r w:rsidRPr="00D46EFC">
        <w:rPr>
          <w:rFonts w:ascii="Times New Roman" w:eastAsia="Times New Roman" w:hAnsi="Times New Roman"/>
          <w:sz w:val="24"/>
          <w:szCs w:val="24"/>
          <w:lang w:eastAsia="lv-LV"/>
        </w:rPr>
        <w:t>ne mazāk kā 70%</w:t>
      </w:r>
      <w:r w:rsidRPr="00D46EFC">
        <w:rPr>
          <w:rFonts w:ascii="Times New Roman" w:eastAsia="Times New Roman" w:hAnsi="Times New Roman"/>
          <w:color w:val="FF0000"/>
          <w:sz w:val="24"/>
          <w:szCs w:val="24"/>
          <w:lang w:eastAsia="lv-LV"/>
        </w:rPr>
        <w:t xml:space="preserve"> </w:t>
      </w:r>
      <w:r w:rsidRPr="00D46EFC">
        <w:rPr>
          <w:rFonts w:ascii="Times New Roman" w:eastAsia="Times New Roman" w:hAnsi="Times New Roman"/>
          <w:sz w:val="24"/>
          <w:szCs w:val="24"/>
          <w:lang w:eastAsia="lv-LV"/>
        </w:rPr>
        <w:t>no izglītības iestādes pedagogiem ir maģistra grāds vai maģistra grādam atbilstīga</w:t>
      </w:r>
      <w:r w:rsidRPr="00D46EFC">
        <w:rPr>
          <w:rFonts w:ascii="Times New Roman" w:eastAsia="Times New Roman" w:hAnsi="Times New Roman"/>
          <w:color w:val="FF0000"/>
          <w:sz w:val="24"/>
          <w:szCs w:val="24"/>
          <w:lang w:eastAsia="lv-LV"/>
        </w:rPr>
        <w:t xml:space="preserve"> </w:t>
      </w:r>
      <w:r w:rsidRPr="00D46EFC">
        <w:rPr>
          <w:rFonts w:ascii="Times New Roman" w:eastAsia="Times New Roman" w:hAnsi="Times New Roman"/>
          <w:sz w:val="24"/>
          <w:szCs w:val="24"/>
          <w:lang w:eastAsia="lv-LV"/>
        </w:rPr>
        <w:t>piecgadīga augstākā izglītība vai zinātniskais grāds (viņa profesionālajai darbībai atbilstīgā</w:t>
      </w:r>
      <w:r w:rsidRPr="00D46EFC">
        <w:rPr>
          <w:rFonts w:ascii="Times New Roman" w:eastAsia="Times New Roman" w:hAnsi="Times New Roman"/>
          <w:color w:val="FF0000"/>
          <w:sz w:val="24"/>
          <w:szCs w:val="24"/>
          <w:lang w:eastAsia="lv-LV"/>
        </w:rPr>
        <w:t xml:space="preserve"> </w:t>
      </w:r>
      <w:r w:rsidRPr="00D46EFC">
        <w:rPr>
          <w:rFonts w:ascii="Times New Roman" w:eastAsia="Times New Roman" w:hAnsi="Times New Roman"/>
          <w:sz w:val="24"/>
          <w:szCs w:val="24"/>
          <w:lang w:eastAsia="lv-LV"/>
        </w:rPr>
        <w:t>mācību priekšmetā vai attiecīgajā mācību priekšmeta jomā vai zinātnes nozarē);</w:t>
      </w:r>
    </w:p>
    <w:p w:rsidR="00211E63" w:rsidRPr="00D46EFC" w:rsidRDefault="00211E63" w:rsidP="00211E63">
      <w:pPr>
        <w:pStyle w:val="ListParagraph"/>
        <w:numPr>
          <w:ilvl w:val="1"/>
          <w:numId w:val="3"/>
        </w:numPr>
        <w:spacing w:after="0" w:line="240" w:lineRule="auto"/>
        <w:ind w:left="1418"/>
        <w:contextualSpacing w:val="0"/>
        <w:jc w:val="both"/>
        <w:rPr>
          <w:rFonts w:ascii="Times New Roman" w:eastAsia="Times New Roman" w:hAnsi="Times New Roman"/>
          <w:sz w:val="24"/>
          <w:szCs w:val="24"/>
          <w:lang w:eastAsia="lv-LV"/>
        </w:rPr>
      </w:pPr>
      <w:r w:rsidRPr="00D46EFC">
        <w:rPr>
          <w:rFonts w:ascii="Times New Roman" w:eastAsia="Times New Roman" w:hAnsi="Times New Roman"/>
          <w:sz w:val="24"/>
          <w:szCs w:val="24"/>
          <w:lang w:eastAsia="lv-LV"/>
        </w:rPr>
        <w:t xml:space="preserve">izglītības iestāde piedalās valsts vai starptautiska līmeņa izglītības pētījumos. </w:t>
      </w:r>
    </w:p>
    <w:p w:rsidR="00211E63" w:rsidRPr="00D46EFC" w:rsidRDefault="00211E63" w:rsidP="00211E63">
      <w:pPr>
        <w:spacing w:after="0" w:line="240" w:lineRule="auto"/>
        <w:jc w:val="both"/>
        <w:rPr>
          <w:rFonts w:ascii="Times New Roman" w:eastAsia="Times New Roman" w:hAnsi="Times New Roman"/>
          <w:sz w:val="24"/>
          <w:szCs w:val="24"/>
          <w:lang w:eastAsia="lv-LV"/>
        </w:rPr>
      </w:pPr>
    </w:p>
    <w:p w:rsidR="00211E63" w:rsidRPr="00D46EFC" w:rsidRDefault="00211E63" w:rsidP="00211E63">
      <w:pPr>
        <w:spacing w:after="0" w:line="240" w:lineRule="auto"/>
        <w:jc w:val="both"/>
        <w:rPr>
          <w:rFonts w:ascii="Times New Roman" w:eastAsia="Times New Roman" w:hAnsi="Times New Roman"/>
          <w:sz w:val="24"/>
          <w:szCs w:val="24"/>
          <w:lang w:eastAsia="lv-LV"/>
        </w:rPr>
      </w:pPr>
      <w:r w:rsidRPr="00D46EFC">
        <w:rPr>
          <w:rFonts w:ascii="Times New Roman" w:eastAsia="Times New Roman" w:hAnsi="Times New Roman"/>
          <w:sz w:val="24"/>
          <w:szCs w:val="24"/>
          <w:lang w:eastAsia="lv-LV"/>
        </w:rPr>
        <w:t>Darba grupas uzdevumu izpilde plānota 2017.gada oktobrī.</w:t>
      </w:r>
    </w:p>
    <w:p w:rsidR="00211E63" w:rsidRPr="00D46EFC" w:rsidRDefault="00211E63" w:rsidP="00211E63">
      <w:pPr>
        <w:spacing w:after="0" w:line="240" w:lineRule="auto"/>
        <w:jc w:val="both"/>
        <w:rPr>
          <w:rFonts w:ascii="Times New Roman" w:eastAsia="Times New Roman" w:hAnsi="Times New Roman"/>
          <w:sz w:val="24"/>
          <w:szCs w:val="24"/>
          <w:lang w:eastAsia="lv-LV"/>
        </w:rPr>
      </w:pPr>
    </w:p>
    <w:p w:rsidR="00211E63" w:rsidRPr="00D46EFC" w:rsidRDefault="00211E63" w:rsidP="00211E63">
      <w:pPr>
        <w:pStyle w:val="ListParagraph"/>
        <w:widowControl/>
        <w:numPr>
          <w:ilvl w:val="0"/>
          <w:numId w:val="4"/>
        </w:numPr>
        <w:spacing w:after="0" w:line="240" w:lineRule="auto"/>
        <w:jc w:val="both"/>
        <w:rPr>
          <w:rFonts w:ascii="Times New Roman" w:hAnsi="Times New Roman"/>
          <w:sz w:val="24"/>
          <w:szCs w:val="24"/>
        </w:rPr>
      </w:pPr>
      <w:r w:rsidRPr="00D46EFC">
        <w:rPr>
          <w:rFonts w:ascii="Times New Roman" w:hAnsi="Times New Roman"/>
          <w:sz w:val="24"/>
          <w:szCs w:val="24"/>
        </w:rPr>
        <w:t>internātskolu attīstības iespējas, t.sk. finansējuma aspekts</w:t>
      </w:r>
      <w:r w:rsidRPr="00D46EFC">
        <w:rPr>
          <w:rStyle w:val="FootnoteReference"/>
          <w:rFonts w:ascii="Times New Roman" w:hAnsi="Times New Roman"/>
          <w:sz w:val="24"/>
          <w:szCs w:val="24"/>
        </w:rPr>
        <w:footnoteReference w:id="2"/>
      </w:r>
      <w:r w:rsidRPr="00D46EFC">
        <w:rPr>
          <w:rFonts w:ascii="Times New Roman" w:hAnsi="Times New Roman"/>
          <w:sz w:val="24"/>
          <w:szCs w:val="24"/>
        </w:rPr>
        <w:t>. Ministrija ir sagatavojusi informatīvā ziņojuma projektu “</w:t>
      </w:r>
      <w:r w:rsidRPr="00D46EFC">
        <w:rPr>
          <w:rFonts w:ascii="Times New Roman" w:hAnsi="Times New Roman"/>
          <w:i/>
          <w:sz w:val="24"/>
          <w:szCs w:val="24"/>
        </w:rPr>
        <w:t>Par pašvaldību padotībā esošo internātskolu finansēšanas priekšlikumiem, sākot no 2018.gada 1.janvāra</w:t>
      </w:r>
      <w:r w:rsidRPr="00D46EFC">
        <w:rPr>
          <w:rFonts w:ascii="Times New Roman" w:hAnsi="Times New Roman"/>
          <w:sz w:val="24"/>
          <w:szCs w:val="24"/>
        </w:rPr>
        <w:t>”;</w:t>
      </w:r>
    </w:p>
    <w:p w:rsidR="00211E63" w:rsidRPr="00D46EFC" w:rsidRDefault="00211E63" w:rsidP="00211E63">
      <w:pPr>
        <w:pStyle w:val="ListParagraph"/>
        <w:widowControl/>
        <w:tabs>
          <w:tab w:val="left" w:pos="993"/>
        </w:tabs>
        <w:spacing w:after="0" w:line="240" w:lineRule="auto"/>
        <w:ind w:left="567"/>
        <w:contextualSpacing w:val="0"/>
        <w:jc w:val="both"/>
        <w:rPr>
          <w:rFonts w:ascii="Times New Roman" w:hAnsi="Times New Roman"/>
          <w:sz w:val="24"/>
          <w:szCs w:val="24"/>
        </w:rPr>
      </w:pPr>
    </w:p>
    <w:p w:rsidR="00211E63" w:rsidRPr="00D46EFC" w:rsidRDefault="00211E63" w:rsidP="00211E63">
      <w:pPr>
        <w:pStyle w:val="ListParagraph"/>
        <w:widowControl/>
        <w:numPr>
          <w:ilvl w:val="0"/>
          <w:numId w:val="4"/>
        </w:numPr>
        <w:tabs>
          <w:tab w:val="left" w:pos="993"/>
        </w:tabs>
        <w:spacing w:after="0" w:line="240" w:lineRule="auto"/>
        <w:jc w:val="both"/>
        <w:rPr>
          <w:rFonts w:ascii="Times New Roman" w:hAnsi="Times New Roman"/>
          <w:sz w:val="24"/>
          <w:szCs w:val="24"/>
        </w:rPr>
      </w:pPr>
      <w:r w:rsidRPr="00D46EFC">
        <w:rPr>
          <w:rFonts w:ascii="Times New Roman" w:hAnsi="Times New Roman"/>
          <w:sz w:val="24"/>
          <w:szCs w:val="24"/>
        </w:rPr>
        <w:t>speciālo izglītības iestāžu attīstības perspektīvas</w:t>
      </w:r>
      <w:r w:rsidRPr="00D46EFC">
        <w:rPr>
          <w:rStyle w:val="FootnoteReference"/>
          <w:rFonts w:ascii="Times New Roman" w:hAnsi="Times New Roman"/>
          <w:sz w:val="24"/>
          <w:szCs w:val="24"/>
        </w:rPr>
        <w:footnoteReference w:id="3"/>
      </w:r>
      <w:r w:rsidRPr="00D46EFC">
        <w:rPr>
          <w:rFonts w:ascii="Times New Roman" w:hAnsi="Times New Roman"/>
          <w:sz w:val="24"/>
          <w:szCs w:val="24"/>
        </w:rPr>
        <w:t>, kur galarezultāts (finansēšanas un izglītības programmu pieejamības modelis) jāizpilda līdz 2018.gada 30.oktobrim.</w:t>
      </w:r>
    </w:p>
    <w:p w:rsidR="00211E63" w:rsidRPr="00D46EFC" w:rsidRDefault="00211E63" w:rsidP="00211E63">
      <w:pPr>
        <w:widowControl/>
        <w:overflowPunct w:val="0"/>
        <w:spacing w:after="0" w:line="240" w:lineRule="auto"/>
        <w:jc w:val="both"/>
        <w:textAlignment w:val="baseline"/>
        <w:rPr>
          <w:rFonts w:ascii="Times New Roman" w:hAnsi="Times New Roman"/>
          <w:sz w:val="24"/>
          <w:szCs w:val="24"/>
        </w:rPr>
      </w:pPr>
    </w:p>
    <w:p w:rsidR="00211E63" w:rsidRPr="00D46EFC" w:rsidRDefault="00211E63" w:rsidP="00211E63">
      <w:pPr>
        <w:spacing w:after="0" w:line="240" w:lineRule="auto"/>
        <w:jc w:val="both"/>
        <w:rPr>
          <w:rFonts w:ascii="Times New Roman" w:hAnsi="Times New Roman"/>
          <w:b/>
          <w:color w:val="000000"/>
          <w:sz w:val="24"/>
          <w:szCs w:val="24"/>
          <w:lang w:eastAsia="lv-LV"/>
        </w:rPr>
      </w:pPr>
      <w:r w:rsidRPr="00D46EFC">
        <w:rPr>
          <w:rFonts w:ascii="Times New Roman" w:hAnsi="Times New Roman"/>
          <w:b/>
          <w:color w:val="000000"/>
          <w:sz w:val="24"/>
          <w:szCs w:val="24"/>
          <w:lang w:eastAsia="lv-LV"/>
        </w:rPr>
        <w:t>Optimālā vispārējās izglītības iestāžu tīkla modeļa izveide</w:t>
      </w:r>
    </w:p>
    <w:p w:rsidR="00211E63" w:rsidRPr="00D46EFC" w:rsidRDefault="00211E63" w:rsidP="00211E63">
      <w:pPr>
        <w:spacing w:after="0" w:line="240" w:lineRule="auto"/>
        <w:ind w:firstLine="567"/>
        <w:jc w:val="both"/>
        <w:rPr>
          <w:rFonts w:ascii="Times New Roman" w:hAnsi="Times New Roman"/>
          <w:sz w:val="24"/>
          <w:szCs w:val="24"/>
        </w:rPr>
      </w:pPr>
      <w:r w:rsidRPr="00D46EFC">
        <w:rPr>
          <w:rFonts w:ascii="Times New Roman" w:hAnsi="Times New Roman"/>
          <w:sz w:val="24"/>
          <w:szCs w:val="24"/>
        </w:rPr>
        <w:t>Ministrija turpina darbu pie optimāla vispārējās izglītības iestāžu tīkla modeļa izveides, ņemot vērā skolēnu skaitu, demogrāfijas un migrācijas tendences un prognozes pašvaldībā, izglītības iestāžu pieejamību</w:t>
      </w:r>
      <w:r>
        <w:rPr>
          <w:rFonts w:ascii="Times New Roman" w:hAnsi="Times New Roman"/>
          <w:sz w:val="24"/>
          <w:szCs w:val="24"/>
        </w:rPr>
        <w:t>, pašvaldību sociālekonomisko</w:t>
      </w:r>
      <w:r w:rsidRPr="00D46EFC">
        <w:rPr>
          <w:rFonts w:ascii="Times New Roman" w:hAnsi="Times New Roman"/>
          <w:sz w:val="24"/>
          <w:szCs w:val="24"/>
        </w:rPr>
        <w:t xml:space="preserve"> situāciju, kā arī izglītības iestāžu kvalitātes rādītājus (kvalitatīvie un kvantitatīvie kritēriji). </w:t>
      </w:r>
    </w:p>
    <w:p w:rsidR="00211E63" w:rsidRPr="00D46EFC" w:rsidRDefault="00211E63" w:rsidP="00211E63">
      <w:pPr>
        <w:spacing w:after="0" w:line="240" w:lineRule="auto"/>
        <w:ind w:firstLine="567"/>
        <w:jc w:val="both"/>
        <w:rPr>
          <w:rFonts w:ascii="Times New Roman" w:eastAsia="Times New Roman" w:hAnsi="Times New Roman"/>
          <w:sz w:val="24"/>
          <w:szCs w:val="24"/>
          <w:lang w:eastAsia="lv-LV"/>
        </w:rPr>
      </w:pPr>
      <w:r w:rsidRPr="00D46EFC">
        <w:rPr>
          <w:rFonts w:ascii="Times New Roman" w:hAnsi="Times New Roman"/>
          <w:sz w:val="24"/>
          <w:szCs w:val="24"/>
        </w:rPr>
        <w:t>Ar ministrijas pasūtītā pētījuma</w:t>
      </w:r>
      <w:r w:rsidRPr="00D46EFC">
        <w:rPr>
          <w:rStyle w:val="FootnoteReference"/>
          <w:rFonts w:ascii="Times New Roman" w:hAnsi="Times New Roman"/>
          <w:sz w:val="24"/>
          <w:szCs w:val="24"/>
        </w:rPr>
        <w:footnoteReference w:id="4"/>
      </w:r>
      <w:r w:rsidRPr="00D46EFC">
        <w:rPr>
          <w:rFonts w:ascii="Times New Roman" w:hAnsi="Times New Roman"/>
          <w:sz w:val="24"/>
          <w:szCs w:val="24"/>
        </w:rPr>
        <w:t xml:space="preserve"> palīdzību ir plānots izveidot vispārējās izglītības iestāžu tīkla ģeotelpiskās plānošanas platformu. Pētījuma veikšanā tiek izmantotas informācijas ieguves un analīzes metodes: sekundāro datu (agrāk veikto pētījumu dati, statistikas datu apkopojumi, dokumenti, institūciju sniegtie dati un novērtējumi par situāciju) analīze; primāro datu ieguve un to analīze, izmantojot gan kvalitatīvās, gan kvantitatīvās datu ieguves metodes; nozares ekspertu un pētījuma rezultātu izmantošanā iesaistīto institūciju pārstāvju diskusijas un padziļinātās vai daļēji strukturētās intervijas; datu ģeotelpiskās analīzes metodes; kartogrāfiskās attēlošanas metodes (kvalitatīvā fona metode, areālu metode, </w:t>
      </w:r>
      <w:proofErr w:type="spellStart"/>
      <w:r w:rsidRPr="00D46EFC">
        <w:rPr>
          <w:rFonts w:ascii="Times New Roman" w:hAnsi="Times New Roman"/>
          <w:sz w:val="24"/>
          <w:szCs w:val="24"/>
        </w:rPr>
        <w:t>izolīniju</w:t>
      </w:r>
      <w:proofErr w:type="spellEnd"/>
      <w:r w:rsidRPr="00D46EFC">
        <w:rPr>
          <w:rFonts w:ascii="Times New Roman" w:hAnsi="Times New Roman"/>
          <w:sz w:val="24"/>
          <w:szCs w:val="24"/>
        </w:rPr>
        <w:t xml:space="preserve"> metode u.c.). Pētījuma izpilde noteikta trīs posmos: 1) 2017.gada 31.m</w:t>
      </w:r>
      <w:r>
        <w:rPr>
          <w:rFonts w:ascii="Times New Roman" w:hAnsi="Times New Roman"/>
          <w:sz w:val="24"/>
          <w:szCs w:val="24"/>
        </w:rPr>
        <w:t>arts; 2) līdz 2017.gada 1.jūnijam</w:t>
      </w:r>
      <w:r w:rsidRPr="00D46EFC">
        <w:rPr>
          <w:rFonts w:ascii="Times New Roman" w:hAnsi="Times New Roman"/>
          <w:sz w:val="24"/>
          <w:szCs w:val="24"/>
        </w:rPr>
        <w:t xml:space="preserve">; 3) 2017.gada 1.oktobris. </w:t>
      </w:r>
      <w:r w:rsidRPr="00D46EFC">
        <w:rPr>
          <w:rFonts w:ascii="Times New Roman" w:eastAsia="Times New Roman" w:hAnsi="Times New Roman"/>
          <w:sz w:val="24"/>
          <w:szCs w:val="24"/>
          <w:lang w:eastAsia="lv-LV"/>
        </w:rPr>
        <w:t>Uz 2017.gada 31.martu ir iesniegts starpziņojums, kurā ietverts</w:t>
      </w:r>
      <w:r>
        <w:rPr>
          <w:rFonts w:ascii="Times New Roman" w:eastAsia="Times New Roman" w:hAnsi="Times New Roman"/>
          <w:sz w:val="24"/>
          <w:szCs w:val="24"/>
          <w:lang w:eastAsia="lv-LV"/>
        </w:rPr>
        <w:t>:</w:t>
      </w:r>
    </w:p>
    <w:p w:rsidR="00211E63" w:rsidRPr="00D46EFC" w:rsidRDefault="00211E63" w:rsidP="00211E63">
      <w:pPr>
        <w:pStyle w:val="ListParagraph"/>
        <w:numPr>
          <w:ilvl w:val="0"/>
          <w:numId w:val="1"/>
        </w:numPr>
        <w:spacing w:after="0" w:line="240" w:lineRule="auto"/>
        <w:contextualSpacing w:val="0"/>
        <w:jc w:val="both"/>
        <w:rPr>
          <w:rFonts w:ascii="Times New Roman" w:hAnsi="Times New Roman"/>
          <w:sz w:val="24"/>
          <w:szCs w:val="24"/>
        </w:rPr>
      </w:pPr>
      <w:r w:rsidRPr="00D46EFC">
        <w:rPr>
          <w:rFonts w:ascii="Times New Roman" w:hAnsi="Times New Roman"/>
          <w:sz w:val="24"/>
          <w:szCs w:val="24"/>
        </w:rPr>
        <w:t>skolu tīkla ģeotelpiskās plānošanas platforma (Iekļautā informācija; Funkcionalitāte un lietotāja rīki);</w:t>
      </w:r>
    </w:p>
    <w:p w:rsidR="00211E63" w:rsidRPr="00D46EFC" w:rsidRDefault="00211E63" w:rsidP="00211E63">
      <w:pPr>
        <w:pStyle w:val="ListParagraph"/>
        <w:numPr>
          <w:ilvl w:val="0"/>
          <w:numId w:val="1"/>
        </w:numPr>
        <w:spacing w:after="0" w:line="240" w:lineRule="auto"/>
        <w:contextualSpacing w:val="0"/>
        <w:jc w:val="both"/>
        <w:rPr>
          <w:rFonts w:ascii="Times New Roman" w:hAnsi="Times New Roman"/>
          <w:sz w:val="24"/>
          <w:szCs w:val="24"/>
        </w:rPr>
      </w:pPr>
      <w:r w:rsidRPr="00D46EFC">
        <w:rPr>
          <w:rFonts w:ascii="Times New Roman" w:hAnsi="Times New Roman"/>
          <w:sz w:val="24"/>
          <w:szCs w:val="24"/>
        </w:rPr>
        <w:t xml:space="preserve">demogrāfiskais konteksts (Iedzīvotāju skaita prognozēšanā izmantotā pieeja; Pašreizējā situācija; Prognozes 2030. gadam; Skolēnu skaita prognozes; Prognozes pa vecuma grupām testa pašvaldībās (ar augošu iedzīvotāju skaitu, ar mērenu un strauju </w:t>
      </w:r>
      <w:proofErr w:type="spellStart"/>
      <w:r w:rsidRPr="00D46EFC">
        <w:rPr>
          <w:rFonts w:ascii="Times New Roman" w:hAnsi="Times New Roman"/>
          <w:sz w:val="24"/>
          <w:szCs w:val="24"/>
        </w:rPr>
        <w:t>depopulāciju</w:t>
      </w:r>
      <w:proofErr w:type="spellEnd"/>
      <w:r w:rsidRPr="00D46EFC">
        <w:rPr>
          <w:rFonts w:ascii="Times New Roman" w:hAnsi="Times New Roman"/>
          <w:sz w:val="24"/>
          <w:szCs w:val="24"/>
        </w:rPr>
        <w:t xml:space="preserve">); </w:t>
      </w:r>
    </w:p>
    <w:p w:rsidR="00211E63" w:rsidRPr="00D46EFC" w:rsidRDefault="00211E63" w:rsidP="00211E63">
      <w:pPr>
        <w:pStyle w:val="ListParagraph"/>
        <w:numPr>
          <w:ilvl w:val="0"/>
          <w:numId w:val="1"/>
        </w:numPr>
        <w:spacing w:after="0" w:line="240" w:lineRule="auto"/>
        <w:contextualSpacing w:val="0"/>
        <w:jc w:val="both"/>
        <w:rPr>
          <w:rFonts w:ascii="Times New Roman" w:hAnsi="Times New Roman"/>
          <w:sz w:val="24"/>
          <w:szCs w:val="24"/>
        </w:rPr>
      </w:pPr>
      <w:r w:rsidRPr="00D46EFC">
        <w:rPr>
          <w:rFonts w:ascii="Times New Roman" w:hAnsi="Times New Roman"/>
          <w:sz w:val="24"/>
          <w:szCs w:val="24"/>
        </w:rPr>
        <w:t xml:space="preserve">tautsaimniecības konteksts (Zemā produktivitāte; Kvalificētā darbaspēka augošais deficīts; Investīcijas un Rīgas faktors; Reģionu attīstības izaicinājumi); </w:t>
      </w:r>
    </w:p>
    <w:p w:rsidR="00211E63" w:rsidRPr="00D46EFC" w:rsidRDefault="00211E63" w:rsidP="00211E63">
      <w:pPr>
        <w:pStyle w:val="ListParagraph"/>
        <w:numPr>
          <w:ilvl w:val="0"/>
          <w:numId w:val="1"/>
        </w:numPr>
        <w:spacing w:after="0" w:line="240" w:lineRule="auto"/>
        <w:contextualSpacing w:val="0"/>
        <w:jc w:val="both"/>
        <w:rPr>
          <w:rFonts w:ascii="Times New Roman" w:hAnsi="Times New Roman"/>
          <w:sz w:val="24"/>
          <w:szCs w:val="24"/>
        </w:rPr>
      </w:pPr>
      <w:r w:rsidRPr="00D46EFC">
        <w:rPr>
          <w:rFonts w:ascii="Times New Roman" w:hAnsi="Times New Roman"/>
          <w:sz w:val="24"/>
          <w:szCs w:val="24"/>
        </w:rPr>
        <w:t xml:space="preserve">izglītības tīkla reformas apslēptais potenciāls. Bauskas novada piemērs (Vispārīga informācija par novadu; Izglītības tīkla efektivitātes </w:t>
      </w:r>
      <w:proofErr w:type="spellStart"/>
      <w:r w:rsidRPr="00D46EFC">
        <w:rPr>
          <w:rFonts w:ascii="Times New Roman" w:hAnsi="Times New Roman"/>
          <w:sz w:val="24"/>
          <w:szCs w:val="24"/>
        </w:rPr>
        <w:t>izvērtējums</w:t>
      </w:r>
      <w:proofErr w:type="spellEnd"/>
      <w:r w:rsidRPr="00D46EFC">
        <w:rPr>
          <w:rFonts w:ascii="Times New Roman" w:hAnsi="Times New Roman"/>
          <w:sz w:val="24"/>
          <w:szCs w:val="24"/>
        </w:rPr>
        <w:t>);</w:t>
      </w:r>
    </w:p>
    <w:p w:rsidR="00211E63" w:rsidRPr="00D46EFC" w:rsidRDefault="00211E63" w:rsidP="00211E63">
      <w:pPr>
        <w:pStyle w:val="ListParagraph"/>
        <w:numPr>
          <w:ilvl w:val="0"/>
          <w:numId w:val="1"/>
        </w:numPr>
        <w:spacing w:after="0" w:line="240" w:lineRule="auto"/>
        <w:contextualSpacing w:val="0"/>
        <w:jc w:val="both"/>
        <w:rPr>
          <w:rFonts w:ascii="Times New Roman" w:hAnsi="Times New Roman"/>
          <w:sz w:val="24"/>
          <w:szCs w:val="24"/>
        </w:rPr>
      </w:pPr>
      <w:r w:rsidRPr="00D46EFC">
        <w:rPr>
          <w:rFonts w:ascii="Times New Roman" w:hAnsi="Times New Roman"/>
          <w:sz w:val="24"/>
          <w:szCs w:val="24"/>
        </w:rPr>
        <w:t>priekšlikumi vispārizglītojošo skolu tīkla optimizācijai</w:t>
      </w:r>
      <w:r>
        <w:rPr>
          <w:rFonts w:ascii="Times New Roman" w:hAnsi="Times New Roman"/>
          <w:sz w:val="24"/>
          <w:szCs w:val="24"/>
        </w:rPr>
        <w:t xml:space="preserve"> (</w:t>
      </w:r>
      <w:r w:rsidRPr="00D46EFC">
        <w:rPr>
          <w:rFonts w:ascii="Times New Roman" w:hAnsi="Times New Roman"/>
          <w:sz w:val="24"/>
          <w:szCs w:val="24"/>
        </w:rPr>
        <w:t>Sagaidāmais ieguvums no skolu tīkla reformas</w:t>
      </w:r>
      <w:r>
        <w:rPr>
          <w:rFonts w:ascii="Times New Roman" w:hAnsi="Times New Roman"/>
          <w:sz w:val="24"/>
          <w:szCs w:val="24"/>
        </w:rPr>
        <w:t xml:space="preserve">; </w:t>
      </w:r>
      <w:r w:rsidRPr="00D46EFC">
        <w:rPr>
          <w:rFonts w:ascii="Times New Roman" w:hAnsi="Times New Roman"/>
          <w:sz w:val="24"/>
          <w:szCs w:val="24"/>
        </w:rPr>
        <w:t>Galvenie izaicinājumi, īstenojot reformas, t.i., situācijā, ja netiks sakārtots skolu tīkls);</w:t>
      </w:r>
    </w:p>
    <w:p w:rsidR="00211E63" w:rsidRPr="00D46EFC" w:rsidRDefault="00211E63" w:rsidP="00211E63">
      <w:pPr>
        <w:pStyle w:val="ListParagraph"/>
        <w:numPr>
          <w:ilvl w:val="0"/>
          <w:numId w:val="1"/>
        </w:numPr>
        <w:spacing w:after="0" w:line="240" w:lineRule="auto"/>
        <w:contextualSpacing w:val="0"/>
        <w:jc w:val="both"/>
        <w:rPr>
          <w:rFonts w:ascii="Times New Roman" w:hAnsi="Times New Roman"/>
          <w:sz w:val="24"/>
          <w:szCs w:val="24"/>
        </w:rPr>
      </w:pPr>
      <w:r w:rsidRPr="00D46EFC">
        <w:rPr>
          <w:rFonts w:ascii="Times New Roman" w:hAnsi="Times New Roman"/>
          <w:sz w:val="24"/>
          <w:szCs w:val="24"/>
        </w:rPr>
        <w:t>skolu audzēkņu skaita ietekme uz atsevišķām izglītības</w:t>
      </w:r>
      <w:r>
        <w:rPr>
          <w:rFonts w:ascii="Times New Roman" w:hAnsi="Times New Roman"/>
          <w:sz w:val="24"/>
          <w:szCs w:val="24"/>
        </w:rPr>
        <w:t xml:space="preserve"> iestāžu</w:t>
      </w:r>
      <w:r w:rsidRPr="00D46EFC">
        <w:rPr>
          <w:rFonts w:ascii="Times New Roman" w:hAnsi="Times New Roman"/>
          <w:sz w:val="24"/>
          <w:szCs w:val="24"/>
        </w:rPr>
        <w:t xml:space="preserve"> tīkla uzturēšanas izmaksām (Kabinetu aprīkojums; Skolēnu pārvadājumi);</w:t>
      </w:r>
    </w:p>
    <w:p w:rsidR="00211E63" w:rsidRPr="00D46EFC" w:rsidRDefault="00211E63" w:rsidP="00211E63">
      <w:pPr>
        <w:pStyle w:val="ListParagraph"/>
        <w:numPr>
          <w:ilvl w:val="0"/>
          <w:numId w:val="1"/>
        </w:numPr>
        <w:spacing w:after="0" w:line="240" w:lineRule="auto"/>
        <w:contextualSpacing w:val="0"/>
        <w:jc w:val="both"/>
        <w:rPr>
          <w:rFonts w:ascii="Times New Roman" w:hAnsi="Times New Roman"/>
          <w:sz w:val="24"/>
          <w:szCs w:val="24"/>
        </w:rPr>
      </w:pPr>
      <w:r w:rsidRPr="00D46EFC">
        <w:rPr>
          <w:rFonts w:ascii="Times New Roman" w:hAnsi="Times New Roman"/>
          <w:sz w:val="24"/>
          <w:szCs w:val="24"/>
        </w:rPr>
        <w:lastRenderedPageBreak/>
        <w:t xml:space="preserve">vispārējās izglītības kvalitātes indikatori Eiropā un vērtēšanas sistēmas Latvijā (Eiropas Komisijas ieteiktie izglītības kvalitātes indikatori; OECD PISA novērtējums; Skolu akreditācijas indikatori un </w:t>
      </w:r>
      <w:proofErr w:type="spellStart"/>
      <w:r w:rsidRPr="00D46EFC">
        <w:rPr>
          <w:rFonts w:ascii="Times New Roman" w:hAnsi="Times New Roman"/>
          <w:sz w:val="24"/>
          <w:szCs w:val="24"/>
        </w:rPr>
        <w:t>pašvērtēšana</w:t>
      </w:r>
      <w:proofErr w:type="spellEnd"/>
      <w:r w:rsidRPr="00D46EFC">
        <w:rPr>
          <w:rFonts w:ascii="Times New Roman" w:hAnsi="Times New Roman"/>
          <w:sz w:val="24"/>
          <w:szCs w:val="24"/>
        </w:rPr>
        <w:t xml:space="preserve">; Neatkarīgo fondu skolu reitingi); </w:t>
      </w:r>
    </w:p>
    <w:p w:rsidR="00211E63" w:rsidRPr="00D46EFC" w:rsidRDefault="00211E63" w:rsidP="00211E63">
      <w:pPr>
        <w:pStyle w:val="ListParagraph"/>
        <w:numPr>
          <w:ilvl w:val="0"/>
          <w:numId w:val="1"/>
        </w:numPr>
        <w:spacing w:after="0" w:line="240" w:lineRule="auto"/>
        <w:contextualSpacing w:val="0"/>
        <w:jc w:val="both"/>
        <w:rPr>
          <w:rFonts w:ascii="Times New Roman" w:hAnsi="Times New Roman"/>
          <w:sz w:val="24"/>
          <w:szCs w:val="24"/>
        </w:rPr>
      </w:pPr>
      <w:r w:rsidRPr="00D46EFC">
        <w:rPr>
          <w:rFonts w:ascii="Times New Roman" w:hAnsi="Times New Roman"/>
          <w:sz w:val="24"/>
          <w:szCs w:val="24"/>
        </w:rPr>
        <w:t xml:space="preserve">skolu tīkla analīzē izmantotie indikatori (Pedagogu kvalitātes pakāpes un otrgadnieku īpatsvars; Skolēnu skaits uz 1 skolotāju; Skolotāju vidējā alga; Vidusskolas un pamatskolas eksāmenus nokārtojušo īpatsvars; Vidusskolas obligāto centralizēto eksāmenu indekss; Dabaszinātņu eksāmenu indekss; Pamatskolas eksāmenu indekss); </w:t>
      </w:r>
    </w:p>
    <w:p w:rsidR="00211E63" w:rsidRDefault="00211E63" w:rsidP="00211E63">
      <w:pPr>
        <w:pStyle w:val="ListParagraph"/>
        <w:numPr>
          <w:ilvl w:val="0"/>
          <w:numId w:val="1"/>
        </w:numPr>
        <w:spacing w:after="0" w:line="240" w:lineRule="auto"/>
        <w:contextualSpacing w:val="0"/>
        <w:jc w:val="both"/>
        <w:rPr>
          <w:rFonts w:ascii="Times New Roman" w:hAnsi="Times New Roman"/>
          <w:sz w:val="24"/>
          <w:szCs w:val="24"/>
        </w:rPr>
      </w:pPr>
      <w:r w:rsidRPr="00D46EFC">
        <w:rPr>
          <w:rFonts w:ascii="Times New Roman" w:hAnsi="Times New Roman"/>
          <w:sz w:val="24"/>
          <w:szCs w:val="24"/>
        </w:rPr>
        <w:t xml:space="preserve">vispārizglītojošo skolu un skolēnu izvietojums – aktuālā situācija; </w:t>
      </w:r>
    </w:p>
    <w:p w:rsidR="00211E63" w:rsidRPr="00450E8E" w:rsidRDefault="00211E63" w:rsidP="00211E63">
      <w:pPr>
        <w:pStyle w:val="ListParagraph"/>
        <w:numPr>
          <w:ilvl w:val="0"/>
          <w:numId w:val="1"/>
        </w:numPr>
        <w:spacing w:after="0" w:line="240" w:lineRule="auto"/>
        <w:contextualSpacing w:val="0"/>
        <w:jc w:val="both"/>
        <w:rPr>
          <w:rFonts w:ascii="Times New Roman" w:hAnsi="Times New Roman"/>
          <w:sz w:val="24"/>
          <w:szCs w:val="24"/>
        </w:rPr>
      </w:pPr>
      <w:r w:rsidRPr="00450E8E">
        <w:rPr>
          <w:rFonts w:ascii="Times New Roman" w:hAnsi="Times New Roman"/>
          <w:sz w:val="24"/>
          <w:szCs w:val="24"/>
        </w:rPr>
        <w:t xml:space="preserve">skolu tīkla modeļa izstrādes kritēriju apraksts, ietverot ārvalstu pieredzi, atbilstīgi skolu tipam un izglītības pakāpei (kritēriji – pamatā skolēnu skaits un izglītības iestādes pieejamība jeb attālums un potenciālais laiks starp/no/līdz izglītības iestādi/iestādei – nosakāmi, pamatojoties uz: </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 xml:space="preserve">izglītības iestāžu tipu un izglītības pakāpi (vidusskola (10.-12.klase), pamatskola (7.-9.klase), sākumskola (1.-6.klase)); </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reģionālo iedalījumu (pēc iedzīvotāju skaita): 1) li</w:t>
      </w:r>
      <w:r>
        <w:rPr>
          <w:rFonts w:ascii="Times New Roman" w:hAnsi="Times New Roman"/>
          <w:sz w:val="24"/>
          <w:szCs w:val="24"/>
        </w:rPr>
        <w:t xml:space="preserve">elās pilsētas ar vairāk nekā 50 </w:t>
      </w:r>
      <w:r w:rsidRPr="00D46EFC">
        <w:rPr>
          <w:rFonts w:ascii="Times New Roman" w:hAnsi="Times New Roman"/>
          <w:sz w:val="24"/>
          <w:szCs w:val="24"/>
        </w:rPr>
        <w:t>000 iedzīvotājiem (Rīga, Daugavpils, Liepāja, Jelgava), 2) citas republikas pilsētas</w:t>
      </w:r>
      <w:r>
        <w:rPr>
          <w:rFonts w:ascii="Times New Roman" w:hAnsi="Times New Roman"/>
          <w:sz w:val="24"/>
          <w:szCs w:val="24"/>
        </w:rPr>
        <w:t xml:space="preserve"> (</w:t>
      </w:r>
      <w:r w:rsidRPr="00D46EFC">
        <w:rPr>
          <w:rFonts w:ascii="Times New Roman" w:hAnsi="Times New Roman"/>
          <w:sz w:val="24"/>
          <w:szCs w:val="24"/>
        </w:rPr>
        <w:t xml:space="preserve">21 reģionālais centrs, Pierīga), 3) pārējā Latvijas teritorija, izņemot attālas vietas (piem., pierobeža), 4) attālās vietas (bez līdzvērtīga izglītības iestāžu piedāvājuma 25 km rādiusā); </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 xml:space="preserve">sākumskolām papildus nosakot divus attīstības variantus: kā struktūrvienība kādai citai izglītības iestādei, ja nav līdzvērtīga piedāvājuma tuvāko 15 km rādiusā un gadījumus, kad tā ir patstāvīga izglītības iestāde. </w:t>
      </w:r>
    </w:p>
    <w:p w:rsidR="00211E63" w:rsidRPr="00D46EFC" w:rsidRDefault="00211E63" w:rsidP="00211E63">
      <w:pPr>
        <w:spacing w:after="0" w:line="240" w:lineRule="auto"/>
        <w:jc w:val="both"/>
        <w:rPr>
          <w:rFonts w:ascii="Times New Roman" w:hAnsi="Times New Roman"/>
          <w:sz w:val="24"/>
          <w:szCs w:val="24"/>
        </w:rPr>
      </w:pPr>
    </w:p>
    <w:p w:rsidR="00211E63" w:rsidRPr="00D46EFC" w:rsidRDefault="00211E63" w:rsidP="00211E63">
      <w:pPr>
        <w:spacing w:after="0" w:line="240" w:lineRule="auto"/>
        <w:ind w:firstLine="567"/>
        <w:jc w:val="both"/>
        <w:rPr>
          <w:rFonts w:ascii="Times New Roman" w:hAnsi="Times New Roman"/>
          <w:sz w:val="24"/>
          <w:szCs w:val="24"/>
        </w:rPr>
      </w:pPr>
      <w:r w:rsidRPr="00D46EFC">
        <w:rPr>
          <w:rFonts w:ascii="Times New Roman" w:hAnsi="Times New Roman"/>
          <w:sz w:val="24"/>
          <w:szCs w:val="24"/>
        </w:rPr>
        <w:t>K</w:t>
      </w:r>
      <w:r>
        <w:rPr>
          <w:rFonts w:ascii="Times New Roman" w:hAnsi="Times New Roman"/>
          <w:sz w:val="24"/>
          <w:szCs w:val="24"/>
        </w:rPr>
        <w:t>ritēriju</w:t>
      </w:r>
      <w:r w:rsidRPr="00D46EFC">
        <w:rPr>
          <w:rFonts w:ascii="Times New Roman" w:hAnsi="Times New Roman"/>
          <w:sz w:val="24"/>
          <w:szCs w:val="24"/>
        </w:rPr>
        <w:t xml:space="preserve"> skaitliskās izteiksmes tiks noteiktas pētījuma otrajā posmā (uz 01.06.2017.), tie tiks izmantoti optimālā skolu tīkla modeļa izstrādē pētījuma trešajā posmā. Jāatzīmē, ka aprakstītie kritēriji izstrādāti kopdarbā ar pieredzējušiem izglītības jomas ekspertiem, t.sk. valsts ģimnāziju un vispārējās vidējās izglītības un pamatizglītības iestāžu direktoriem, izglītības pārvalžu vadītājiem. To atlasē ņemta vērā arī izglītības jomā veiksmīgākā ārvalstu pieredze un ekspertu konsultācijas, t.sk. Latvijas kaimiņvalstu. Skolu tīkla modelis ar konkrētām rekomendācijām reģionālā griezumā, kā arī skolēnu mobilitātes problēmu analīze ar priekšlikumiem to risinājumam, tiks izstrādāts un aprakstīts pētījuma otrajā un trešajā posmā, līdz ar to iespējami precizējumi atziņām, kas ietvertas pētījuma pirmā posma starpziņojumā.</w:t>
      </w:r>
    </w:p>
    <w:p w:rsidR="00211E63" w:rsidRPr="00D46EFC" w:rsidRDefault="00211E63" w:rsidP="00211E63">
      <w:pPr>
        <w:tabs>
          <w:tab w:val="left" w:pos="993"/>
        </w:tabs>
        <w:spacing w:after="0" w:line="240" w:lineRule="auto"/>
        <w:jc w:val="both"/>
        <w:rPr>
          <w:rFonts w:ascii="Times New Roman" w:hAnsi="Times New Roman"/>
          <w:sz w:val="24"/>
          <w:szCs w:val="24"/>
        </w:rPr>
      </w:pPr>
    </w:p>
    <w:p w:rsidR="00211E63" w:rsidRPr="00D46EFC" w:rsidRDefault="00211E63" w:rsidP="00211E63">
      <w:pPr>
        <w:tabs>
          <w:tab w:val="left" w:pos="567"/>
        </w:tabs>
        <w:spacing w:after="0" w:line="240" w:lineRule="auto"/>
        <w:jc w:val="both"/>
        <w:rPr>
          <w:rFonts w:ascii="Times New Roman" w:hAnsi="Times New Roman"/>
          <w:b/>
          <w:sz w:val="24"/>
          <w:szCs w:val="24"/>
        </w:rPr>
      </w:pPr>
      <w:r w:rsidRPr="00D46EFC">
        <w:rPr>
          <w:rFonts w:ascii="Times New Roman" w:hAnsi="Times New Roman"/>
          <w:b/>
          <w:sz w:val="24"/>
          <w:szCs w:val="24"/>
        </w:rPr>
        <w:t>Pedagogu atalgojuma paaugstināšanas iespējas</w:t>
      </w:r>
    </w:p>
    <w:p w:rsidR="00211E63" w:rsidRPr="00D46EFC" w:rsidRDefault="00211E63" w:rsidP="00211E63">
      <w:pPr>
        <w:widowControl/>
        <w:spacing w:after="0" w:line="240" w:lineRule="auto"/>
        <w:ind w:firstLine="567"/>
        <w:jc w:val="both"/>
        <w:rPr>
          <w:rFonts w:ascii="Times New Roman" w:hAnsi="Times New Roman"/>
          <w:sz w:val="24"/>
          <w:szCs w:val="24"/>
        </w:rPr>
      </w:pPr>
      <w:r w:rsidRPr="00D46EFC">
        <w:rPr>
          <w:rFonts w:ascii="Times New Roman" w:hAnsi="Times New Roman"/>
          <w:sz w:val="24"/>
          <w:szCs w:val="24"/>
        </w:rPr>
        <w:t xml:space="preserve">Pedagogu darba samaksas jaunā modeļa ieviešanas rezultātā līdz 680 </w:t>
      </w:r>
      <w:proofErr w:type="spellStart"/>
      <w:r w:rsidRPr="00D46EFC">
        <w:rPr>
          <w:rFonts w:ascii="Times New Roman" w:hAnsi="Times New Roman"/>
          <w:sz w:val="24"/>
          <w:szCs w:val="24"/>
        </w:rPr>
        <w:t>euro</w:t>
      </w:r>
      <w:proofErr w:type="spellEnd"/>
      <w:r w:rsidRPr="00D46EFC">
        <w:rPr>
          <w:rFonts w:ascii="Times New Roman" w:hAnsi="Times New Roman"/>
          <w:sz w:val="24"/>
          <w:szCs w:val="24"/>
        </w:rPr>
        <w:t xml:space="preserve"> ir paaugstināta zemākā mēneša darba algas likme pedagogiem. Šim mērķim 2017.gadā ir novirzīts finansējums 47,2 milj. </w:t>
      </w:r>
      <w:proofErr w:type="spellStart"/>
      <w:r w:rsidRPr="00D46EFC">
        <w:rPr>
          <w:rFonts w:ascii="Times New Roman" w:hAnsi="Times New Roman"/>
          <w:sz w:val="24"/>
          <w:szCs w:val="24"/>
        </w:rPr>
        <w:t>euro</w:t>
      </w:r>
      <w:proofErr w:type="spellEnd"/>
      <w:r w:rsidRPr="00D46EFC">
        <w:rPr>
          <w:rFonts w:ascii="Times New Roman" w:hAnsi="Times New Roman"/>
          <w:sz w:val="24"/>
          <w:szCs w:val="24"/>
        </w:rPr>
        <w:t xml:space="preserve"> apmērā.</w:t>
      </w:r>
    </w:p>
    <w:p w:rsidR="00211E63" w:rsidRPr="00D46EFC" w:rsidRDefault="00211E63" w:rsidP="00211E63">
      <w:pPr>
        <w:pStyle w:val="ListParagraph"/>
        <w:spacing w:after="0" w:line="240" w:lineRule="auto"/>
        <w:ind w:left="0" w:firstLine="567"/>
        <w:contextualSpacing w:val="0"/>
        <w:jc w:val="both"/>
        <w:rPr>
          <w:rFonts w:ascii="Times New Roman" w:hAnsi="Times New Roman"/>
          <w:sz w:val="24"/>
          <w:szCs w:val="24"/>
        </w:rPr>
      </w:pPr>
      <w:r w:rsidRPr="00D46EFC">
        <w:rPr>
          <w:rFonts w:ascii="Times New Roman" w:hAnsi="Times New Roman"/>
          <w:sz w:val="24"/>
          <w:szCs w:val="24"/>
        </w:rPr>
        <w:t>Ir izstrādāti grozījum</w:t>
      </w:r>
      <w:r>
        <w:rPr>
          <w:rFonts w:ascii="Times New Roman" w:hAnsi="Times New Roman"/>
          <w:sz w:val="24"/>
          <w:szCs w:val="24"/>
        </w:rPr>
        <w:t>i Ministru kabineta</w:t>
      </w:r>
      <w:r w:rsidRPr="00D46EFC">
        <w:rPr>
          <w:rFonts w:ascii="Times New Roman" w:hAnsi="Times New Roman"/>
          <w:sz w:val="24"/>
          <w:szCs w:val="24"/>
        </w:rPr>
        <w:t xml:space="preserve"> </w:t>
      </w:r>
      <w:r w:rsidRPr="00D46EFC">
        <w:rPr>
          <w:rFonts w:ascii="Times New Roman" w:hAnsi="Times New Roman"/>
          <w:sz w:val="24"/>
          <w:szCs w:val="24"/>
          <w:lang w:eastAsia="lv-LV"/>
        </w:rPr>
        <w:t xml:space="preserve">noteikumos Nr.447 </w:t>
      </w:r>
      <w:r w:rsidRPr="00D46EFC">
        <w:rPr>
          <w:rFonts w:ascii="Times New Roman" w:hAnsi="Times New Roman"/>
          <w:sz w:val="24"/>
          <w:szCs w:val="24"/>
        </w:rPr>
        <w:t>“</w:t>
      </w:r>
      <w:r w:rsidRPr="00D46EFC">
        <w:rPr>
          <w:rFonts w:ascii="Times New Roman" w:hAnsi="Times New Roman"/>
          <w:i/>
          <w:sz w:val="24"/>
          <w:szCs w:val="24"/>
        </w:rPr>
        <w:t>Par valsts budžeta mērķdotāciju pedagogu darba samaksai pašvaldību vispārējās izglītības iestādēs un valsts augstskolu vispārējās vidējās izglītības iestādēs</w:t>
      </w:r>
      <w:r w:rsidRPr="00D46EFC">
        <w:rPr>
          <w:rFonts w:ascii="Times New Roman" w:hAnsi="Times New Roman"/>
          <w:sz w:val="24"/>
          <w:szCs w:val="24"/>
        </w:rPr>
        <w:t>”, stiprinot jau 2016.gadā iekļautās prasības un normas izglītības iestāžu tīkla sakārtošanas veicināšanai un valsts politikas plānošanas dokumentos norādīto mērķu sasniegšanai:</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normatīvajos aktos iekļauti atšķirīgi koeficienti atbilstoši skolēnu skaitam. Ja pašvaldību izglītības iestādēs skolēnu skaits 7.-9.klasēs un 10.-12.klasēs atbilda ministrijas noteiktajam posma piepildījumam, aprēķinot mērķdotāciju pašvaldībai skolēnu skaitam 7.-9.klasē un 10.-12.klasē, tika piemērots paaugstināts koeficients nekā gadījumā, ja noteiktais piepildījums netika ievērots. Šobrīd plānots paaugstināt šo prasību klašu piepildījumu, tādējādi efektīvāk tiktu izmantots jau 2017.gadam ministrijas budžetā piešķirtais finansējums, nodrošinot gan pedagogam augstāku minimālo algas likmi, gan paplašinot atbalsta pasākumus skolēnam;</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 xml:space="preserve">lai veicinātu skolēnu skaita ziņā skaitliski mazo sākumskolu (1-6.klases) pieejamību pēc iespējas tuvāk bērna mājām, ministrija 2016./2017.mācību gadā aprēķināja papildus izmaksu koeficientu 1,25 skolēnu skaitam 1.-6.klasēs, ja skolēnu skaits </w:t>
      </w:r>
      <w:r w:rsidRPr="00D46EFC">
        <w:rPr>
          <w:rFonts w:ascii="Times New Roman" w:hAnsi="Times New Roman"/>
          <w:sz w:val="24"/>
          <w:szCs w:val="24"/>
        </w:rPr>
        <w:lastRenderedPageBreak/>
        <w:t xml:space="preserve">novadu un reģionālās nozīmes centru novadu izglītības iestādēs ir 70 skolēni un mazāk (142 izglītības iestādes). Pārejas noteikumos šāda norma noteikta vienu mācību gadu, ļaujot pašvaldībām reorganizēt mazās pamatskolas par sākumskolām. Savukārt 2017./2018. un 2018./2019.mācību gadā plānots, ka paaugstinātu koeficientu aprēķinās reorganizētām izglītības iestādēm; </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lai pašvaldības neuzturētu “mazās” izglītības iestādes uz skolēnu skaita ziņā lielo izglīt</w:t>
      </w:r>
      <w:r>
        <w:rPr>
          <w:rFonts w:ascii="Times New Roman" w:hAnsi="Times New Roman"/>
          <w:sz w:val="24"/>
          <w:szCs w:val="24"/>
        </w:rPr>
        <w:t>ības iestāžu rēķina, pašvaldībām</w:t>
      </w:r>
      <w:r w:rsidRPr="00D46EFC">
        <w:rPr>
          <w:rFonts w:ascii="Times New Roman" w:hAnsi="Times New Roman"/>
          <w:sz w:val="24"/>
          <w:szCs w:val="24"/>
        </w:rPr>
        <w:t>, sadalot mērķdotāciju izglītības iestādēm pedagogu darba samaksai, bija tiesības pārdalīt finansējumu starp izglītības iestādēm 2016./2017.mācību gadā ne vairāk kā 10% apmērā no aprēķinātā finansējuma, bet būs 2017./2018.mācību gadā – ne vairāk kā 6% apmērā;</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lai sniegtu atbalstu izglītības iestādēm, kuras dibinātas un darbojas saskaņā ar starptautiskiem līgumiem, sākot no 2017./2018.gadā plānots,</w:t>
      </w:r>
      <w:r>
        <w:rPr>
          <w:rFonts w:ascii="Times New Roman" w:hAnsi="Times New Roman"/>
          <w:sz w:val="24"/>
          <w:szCs w:val="24"/>
        </w:rPr>
        <w:t xml:space="preserve"> ka</w:t>
      </w:r>
      <w:r w:rsidRPr="00D46EFC">
        <w:rPr>
          <w:rFonts w:ascii="Times New Roman" w:hAnsi="Times New Roman"/>
          <w:sz w:val="24"/>
          <w:szCs w:val="24"/>
        </w:rPr>
        <w:t xml:space="preserve"> aprēķinot mērķdotāciju pašvaldībās, netiek piemērotas normas par klašu piepildījumu. </w:t>
      </w:r>
    </w:p>
    <w:p w:rsidR="00211E63" w:rsidRPr="00D46EFC" w:rsidRDefault="00211E63" w:rsidP="00211E63">
      <w:pPr>
        <w:tabs>
          <w:tab w:val="left" w:pos="993"/>
        </w:tabs>
        <w:spacing w:after="0" w:line="240" w:lineRule="auto"/>
        <w:jc w:val="both"/>
        <w:rPr>
          <w:rFonts w:ascii="Times New Roman" w:hAnsi="Times New Roman"/>
          <w:sz w:val="24"/>
          <w:szCs w:val="24"/>
        </w:rPr>
      </w:pPr>
    </w:p>
    <w:p w:rsidR="00211E63" w:rsidRPr="00D46EFC" w:rsidRDefault="00211E63" w:rsidP="00211E63">
      <w:pPr>
        <w:widowControl/>
        <w:spacing w:after="0" w:line="240" w:lineRule="auto"/>
        <w:ind w:firstLine="567"/>
        <w:jc w:val="both"/>
        <w:rPr>
          <w:rFonts w:ascii="Times New Roman" w:hAnsi="Times New Roman"/>
          <w:sz w:val="24"/>
          <w:szCs w:val="24"/>
        </w:rPr>
      </w:pPr>
      <w:r w:rsidRPr="00D46EFC">
        <w:rPr>
          <w:rFonts w:ascii="Times New Roman" w:hAnsi="Times New Roman"/>
          <w:sz w:val="24"/>
          <w:szCs w:val="24"/>
        </w:rPr>
        <w:t>Papildus tam ir izstrādāts Ministru kabineta rīkojuma projekts “</w:t>
      </w:r>
      <w:r w:rsidRPr="00D46EFC">
        <w:rPr>
          <w:rFonts w:ascii="Times New Roman" w:hAnsi="Times New Roman"/>
          <w:i/>
          <w:sz w:val="24"/>
          <w:szCs w:val="24"/>
        </w:rPr>
        <w:t>Par pedagogu darba samaksas pieauguma grafiku laika periodam no 2018.gada 1.septembra līdz 2022.gada 31.decembrim</w:t>
      </w:r>
      <w:r w:rsidRPr="00D46EFC">
        <w:rPr>
          <w:rFonts w:ascii="Times New Roman" w:hAnsi="Times New Roman"/>
          <w:sz w:val="24"/>
          <w:szCs w:val="24"/>
        </w:rPr>
        <w:t>”</w:t>
      </w:r>
      <w:r w:rsidRPr="00D46EFC">
        <w:rPr>
          <w:rStyle w:val="FootnoteReference"/>
          <w:rFonts w:ascii="Times New Roman" w:hAnsi="Times New Roman"/>
          <w:sz w:val="24"/>
          <w:szCs w:val="24"/>
        </w:rPr>
        <w:footnoteReference w:id="5"/>
      </w:r>
      <w:r w:rsidRPr="00D46EFC">
        <w:rPr>
          <w:rFonts w:ascii="Times New Roman" w:hAnsi="Times New Roman"/>
          <w:sz w:val="24"/>
          <w:szCs w:val="24"/>
        </w:rPr>
        <w:t xml:space="preserve">, kura mērķis ir noteikt pedagogu darba samaksas pieauguma turpmāko grafiku. </w:t>
      </w:r>
      <w:r>
        <w:rPr>
          <w:rFonts w:ascii="Times New Roman" w:hAnsi="Times New Roman"/>
          <w:sz w:val="24"/>
          <w:szCs w:val="24"/>
        </w:rPr>
        <w:t>Sasaisti</w:t>
      </w:r>
      <w:r w:rsidRPr="00D46EFC">
        <w:rPr>
          <w:rFonts w:ascii="Times New Roman" w:hAnsi="Times New Roman"/>
          <w:sz w:val="24"/>
          <w:szCs w:val="24"/>
        </w:rPr>
        <w:t xml:space="preserve"> ar izglītības </w:t>
      </w:r>
      <w:r>
        <w:rPr>
          <w:rFonts w:ascii="Times New Roman" w:hAnsi="Times New Roman"/>
          <w:sz w:val="24"/>
          <w:szCs w:val="24"/>
        </w:rPr>
        <w:t xml:space="preserve">iestāžu </w:t>
      </w:r>
      <w:r w:rsidRPr="00D46EFC">
        <w:rPr>
          <w:rFonts w:ascii="Times New Roman" w:hAnsi="Times New Roman"/>
          <w:sz w:val="24"/>
          <w:szCs w:val="24"/>
        </w:rPr>
        <w:t xml:space="preserve">tīkla sakārtošanu, </w:t>
      </w:r>
      <w:r>
        <w:rPr>
          <w:rFonts w:ascii="Times New Roman" w:hAnsi="Times New Roman"/>
          <w:sz w:val="24"/>
          <w:szCs w:val="24"/>
        </w:rPr>
        <w:t>tātad finanšu resursu pieejamību</w:t>
      </w:r>
      <w:r w:rsidRPr="00D46EFC">
        <w:rPr>
          <w:rFonts w:ascii="Times New Roman" w:hAnsi="Times New Roman"/>
          <w:sz w:val="24"/>
          <w:szCs w:val="24"/>
        </w:rPr>
        <w:t xml:space="preserve">, ietekmē pašvaldības </w:t>
      </w:r>
      <w:r>
        <w:rPr>
          <w:rFonts w:ascii="Times New Roman" w:hAnsi="Times New Roman"/>
          <w:sz w:val="24"/>
          <w:szCs w:val="24"/>
        </w:rPr>
        <w:t>kā izglītības iestāžu dibinātāja</w:t>
      </w:r>
      <w:r w:rsidRPr="00D46EFC">
        <w:rPr>
          <w:rFonts w:ascii="Times New Roman" w:hAnsi="Times New Roman"/>
          <w:sz w:val="24"/>
          <w:szCs w:val="24"/>
        </w:rPr>
        <w:t xml:space="preserve"> lēmumu par izmaiņām izglītības iestāžu tīklā (saskaņā ar Izglītības likuma 23.panta piekto daļu: lēmumu pieņemšana sešus mēnešus līdz tā izpildei) )</w:t>
      </w:r>
      <w:r>
        <w:rPr>
          <w:rFonts w:ascii="Times New Roman" w:hAnsi="Times New Roman"/>
          <w:sz w:val="24"/>
          <w:szCs w:val="24"/>
        </w:rPr>
        <w:t xml:space="preserve"> pieņemšanas process</w:t>
      </w:r>
      <w:r w:rsidRPr="00D46EFC">
        <w:rPr>
          <w:rFonts w:ascii="Times New Roman" w:hAnsi="Times New Roman"/>
          <w:sz w:val="24"/>
          <w:szCs w:val="24"/>
        </w:rPr>
        <w:t>. Ministrija izglītības iestāžu tīkla efektivitātes paaugstināšanas rezultātā iegūtos finanšu resursus plānotu racionāli izlietot pedagogu darba samaksas pieauguma grafika īstenošanai:</w:t>
      </w:r>
    </w:p>
    <w:p w:rsidR="00211E63" w:rsidRPr="00D46EFC" w:rsidRDefault="00211E63" w:rsidP="00211E63">
      <w:pPr>
        <w:pStyle w:val="ListParagraph"/>
        <w:widowControl/>
        <w:numPr>
          <w:ilvl w:val="0"/>
          <w:numId w:val="2"/>
        </w:numPr>
        <w:tabs>
          <w:tab w:val="left" w:pos="993"/>
        </w:tabs>
        <w:spacing w:after="0" w:line="240" w:lineRule="auto"/>
        <w:jc w:val="both"/>
        <w:rPr>
          <w:rFonts w:ascii="Times New Roman" w:hAnsi="Times New Roman"/>
          <w:sz w:val="24"/>
          <w:szCs w:val="24"/>
        </w:rPr>
      </w:pPr>
      <w:r w:rsidRPr="00D46EFC">
        <w:rPr>
          <w:rFonts w:ascii="Times New Roman" w:hAnsi="Times New Roman"/>
          <w:sz w:val="24"/>
          <w:szCs w:val="24"/>
        </w:rPr>
        <w:t xml:space="preserve">izglītojamo skaitam samazinoties, mērķdotācija paliek izglītības sistēmā, </w:t>
      </w:r>
      <w:proofErr w:type="spellStart"/>
      <w:r w:rsidRPr="00D46EFC">
        <w:rPr>
          <w:rFonts w:ascii="Times New Roman" w:hAnsi="Times New Roman"/>
          <w:sz w:val="24"/>
          <w:szCs w:val="24"/>
        </w:rPr>
        <w:t>resoriski</w:t>
      </w:r>
      <w:proofErr w:type="spellEnd"/>
      <w:r w:rsidRPr="00D46EFC">
        <w:rPr>
          <w:rFonts w:ascii="Times New Roman" w:hAnsi="Times New Roman"/>
          <w:sz w:val="24"/>
          <w:szCs w:val="24"/>
        </w:rPr>
        <w:t xml:space="preserve"> to saglabājot izglītības sistēmas attīstības prioritāšu īstenošanai, un primāri to novirzot pedagogu darba samaksas paaugstināšanas grafika īstenošanai;</w:t>
      </w:r>
    </w:p>
    <w:p w:rsidR="00211E63" w:rsidRPr="00D46EFC" w:rsidRDefault="00211E63" w:rsidP="00211E63">
      <w:pPr>
        <w:pStyle w:val="ListParagraph"/>
        <w:widowControl/>
        <w:numPr>
          <w:ilvl w:val="0"/>
          <w:numId w:val="2"/>
        </w:numPr>
        <w:tabs>
          <w:tab w:val="left" w:pos="993"/>
        </w:tabs>
        <w:spacing w:after="0" w:line="240" w:lineRule="auto"/>
        <w:jc w:val="both"/>
        <w:rPr>
          <w:rFonts w:ascii="Times New Roman" w:hAnsi="Times New Roman"/>
          <w:sz w:val="24"/>
          <w:szCs w:val="24"/>
        </w:rPr>
      </w:pPr>
      <w:r w:rsidRPr="00D46EFC">
        <w:rPr>
          <w:rFonts w:ascii="Times New Roman" w:hAnsi="Times New Roman"/>
          <w:sz w:val="24"/>
          <w:szCs w:val="24"/>
        </w:rPr>
        <w:t xml:space="preserve">pašvaldībās veicot izglītības iestāžu tīkla pilnveides pasākumus, mērķdotācija paliek izglītības sistēmā, </w:t>
      </w:r>
      <w:proofErr w:type="spellStart"/>
      <w:r w:rsidRPr="00D46EFC">
        <w:rPr>
          <w:rFonts w:ascii="Times New Roman" w:hAnsi="Times New Roman"/>
          <w:sz w:val="24"/>
          <w:szCs w:val="24"/>
        </w:rPr>
        <w:t>resoriski</w:t>
      </w:r>
      <w:proofErr w:type="spellEnd"/>
      <w:r w:rsidRPr="00D46EFC">
        <w:rPr>
          <w:rFonts w:ascii="Times New Roman" w:hAnsi="Times New Roman"/>
          <w:sz w:val="24"/>
          <w:szCs w:val="24"/>
        </w:rPr>
        <w:t xml:space="preserve"> to saglabājot izglītības sistēmas attīstības prioritāšu īstenošanai un primāri to novirzot pedagogu darba samaksas palielinājuma grafika īstenošanai.</w:t>
      </w:r>
    </w:p>
    <w:p w:rsidR="00211E63" w:rsidRPr="00D46EFC" w:rsidRDefault="00211E63" w:rsidP="00211E63">
      <w:pPr>
        <w:tabs>
          <w:tab w:val="left" w:pos="993"/>
        </w:tabs>
        <w:spacing w:after="0" w:line="240" w:lineRule="auto"/>
        <w:jc w:val="both"/>
        <w:rPr>
          <w:rFonts w:ascii="Times New Roman" w:hAnsi="Times New Roman"/>
          <w:sz w:val="24"/>
          <w:szCs w:val="24"/>
        </w:rPr>
      </w:pPr>
    </w:p>
    <w:p w:rsidR="00211E63" w:rsidRPr="00D46EFC" w:rsidRDefault="00211E63" w:rsidP="00211E63">
      <w:pPr>
        <w:tabs>
          <w:tab w:val="left" w:pos="993"/>
        </w:tabs>
        <w:spacing w:after="0" w:line="240" w:lineRule="auto"/>
        <w:jc w:val="both"/>
        <w:rPr>
          <w:rFonts w:ascii="Times New Roman" w:hAnsi="Times New Roman"/>
          <w:b/>
          <w:sz w:val="24"/>
          <w:szCs w:val="24"/>
        </w:rPr>
      </w:pPr>
      <w:r w:rsidRPr="00D46EFC">
        <w:rPr>
          <w:rFonts w:ascii="Times New Roman" w:eastAsiaTheme="minorHAnsi" w:hAnsi="Times New Roman"/>
          <w:b/>
          <w:sz w:val="24"/>
          <w:szCs w:val="24"/>
        </w:rPr>
        <w:t>Kompetenču pieejā balstīta vispārējās izglītības satura aprobācija un ieviešana</w:t>
      </w:r>
    </w:p>
    <w:p w:rsidR="00211E63" w:rsidRPr="00D46EFC" w:rsidRDefault="00211E63" w:rsidP="00211E63">
      <w:pPr>
        <w:spacing w:after="0" w:line="240" w:lineRule="auto"/>
        <w:ind w:firstLine="567"/>
        <w:jc w:val="both"/>
        <w:rPr>
          <w:rFonts w:ascii="Times New Roman" w:eastAsiaTheme="minorHAnsi" w:hAnsi="Times New Roman"/>
          <w:sz w:val="24"/>
          <w:szCs w:val="24"/>
        </w:rPr>
      </w:pPr>
      <w:r w:rsidRPr="00D46EFC">
        <w:rPr>
          <w:rFonts w:ascii="Times New Roman" w:hAnsi="Times New Roman"/>
          <w:sz w:val="24"/>
          <w:szCs w:val="24"/>
        </w:rPr>
        <w:t>Lai uzlabotu Latvijas skolēnu mācību sasniegumus, līdztekus izglīt</w:t>
      </w:r>
      <w:r>
        <w:rPr>
          <w:rFonts w:ascii="Times New Roman" w:hAnsi="Times New Roman"/>
          <w:sz w:val="24"/>
          <w:szCs w:val="24"/>
        </w:rPr>
        <w:t>ības pieejamības nodrošināšanai</w:t>
      </w:r>
      <w:r w:rsidRPr="00D46EFC">
        <w:rPr>
          <w:rFonts w:ascii="Times New Roman" w:hAnsi="Times New Roman"/>
          <w:sz w:val="24"/>
          <w:szCs w:val="24"/>
        </w:rPr>
        <w:t xml:space="preserve"> notiek darbs pie pakāpeniskās pārejas uz kompetenču pieejā balstītu vispārējās izglītības saturu un atbalsta sistēmas izveides izglītojamo individuālo spēju attīstībai</w:t>
      </w:r>
      <w:r w:rsidRPr="00D46EFC">
        <w:rPr>
          <w:rFonts w:ascii="Times New Roman" w:eastAsiaTheme="minorHAnsi" w:hAnsi="Times New Roman"/>
          <w:sz w:val="24"/>
          <w:szCs w:val="24"/>
        </w:rPr>
        <w:t xml:space="preserve"> (</w:t>
      </w:r>
      <w:r w:rsidRPr="00C20F2E">
        <w:rPr>
          <w:rFonts w:ascii="Times New Roman" w:eastAsiaTheme="minorHAnsi" w:hAnsi="Times New Roman"/>
          <w:i/>
          <w:sz w:val="24"/>
          <w:szCs w:val="24"/>
        </w:rPr>
        <w:t>specifiskajam atbalsta mērķim (turpmāk – SAM)</w:t>
      </w:r>
      <w:r w:rsidRPr="00D46EFC">
        <w:rPr>
          <w:rFonts w:ascii="Times New Roman" w:eastAsiaTheme="minorHAnsi" w:hAnsi="Times New Roman"/>
          <w:i/>
          <w:sz w:val="24"/>
          <w:szCs w:val="24"/>
        </w:rPr>
        <w:t xml:space="preserve"> 8.3.1.</w:t>
      </w:r>
      <w:r w:rsidRPr="000F6208">
        <w:rPr>
          <w:rFonts w:ascii="Times New Roman" w:eastAsiaTheme="minorHAnsi" w:hAnsi="Times New Roman"/>
          <w:i/>
          <w:sz w:val="24"/>
          <w:szCs w:val="24"/>
        </w:rPr>
        <w:t xml:space="preserve"> </w:t>
      </w:r>
      <w:r>
        <w:rPr>
          <w:rFonts w:ascii="Times New Roman" w:eastAsiaTheme="minorHAnsi" w:hAnsi="Times New Roman"/>
          <w:i/>
          <w:sz w:val="24"/>
          <w:szCs w:val="24"/>
        </w:rPr>
        <w:t>“</w:t>
      </w:r>
      <w:r w:rsidRPr="000F6208">
        <w:rPr>
          <w:rFonts w:ascii="Times New Roman" w:eastAsiaTheme="minorHAnsi" w:hAnsi="Times New Roman"/>
          <w:i/>
          <w:sz w:val="24"/>
          <w:szCs w:val="24"/>
        </w:rPr>
        <w:t>Attīstīt kompetenču pieejā balstītu vispārējās izglītības saturu</w:t>
      </w:r>
      <w:r w:rsidRPr="00D46EFC">
        <w:rPr>
          <w:rFonts w:ascii="Times New Roman" w:eastAsiaTheme="minorHAnsi" w:hAnsi="Times New Roman"/>
          <w:i/>
          <w:sz w:val="24"/>
          <w:szCs w:val="24"/>
        </w:rPr>
        <w:t xml:space="preserve"> kopējais pieejamais finansējums</w:t>
      </w:r>
      <w:r>
        <w:rPr>
          <w:rFonts w:ascii="Times New Roman" w:eastAsiaTheme="minorHAnsi" w:hAnsi="Times New Roman"/>
          <w:i/>
          <w:sz w:val="24"/>
          <w:szCs w:val="24"/>
        </w:rPr>
        <w:t>”</w:t>
      </w:r>
      <w:r w:rsidRPr="00D46EFC">
        <w:rPr>
          <w:rFonts w:ascii="Times New Roman" w:eastAsiaTheme="minorHAnsi" w:hAnsi="Times New Roman"/>
          <w:i/>
          <w:sz w:val="24"/>
          <w:szCs w:val="24"/>
        </w:rPr>
        <w:t xml:space="preserve"> – 11,9 milj. </w:t>
      </w:r>
      <w:proofErr w:type="spellStart"/>
      <w:r w:rsidRPr="00D46EFC">
        <w:rPr>
          <w:rFonts w:ascii="Times New Roman" w:eastAsiaTheme="minorHAnsi" w:hAnsi="Times New Roman"/>
          <w:i/>
          <w:sz w:val="24"/>
          <w:szCs w:val="24"/>
        </w:rPr>
        <w:t>euro</w:t>
      </w:r>
      <w:proofErr w:type="spellEnd"/>
      <w:r w:rsidRPr="00D46EFC">
        <w:rPr>
          <w:rFonts w:ascii="Times New Roman" w:eastAsiaTheme="minorHAnsi" w:hAnsi="Times New Roman"/>
          <w:sz w:val="24"/>
          <w:szCs w:val="24"/>
        </w:rPr>
        <w:t>). No 2017.gada:</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100 izglītības iestādes piedalās mācību satura aprobācijā, uzsākot mācības pedagogu un vadības komandām;</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sadarbībā ar Latvijas Universitāti notiek sagatavošanās pasākumi, lai sāktu mācības visu pirmsskolu un skolu vadības komandām;</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šobrīd ekspertu darba grupās notiek darbs pie mācību satura pārskatīšanas un pilnveides (apmēram 200 ekspertu veido uzdevumu piemērus, lai precizētu sasniedzamos rezultātus skolēniem), izglītības standartu un pirmskolas izglītības vadlīniju projekti tiks nodoti publiskai apspriešanai šā gada rudenī;</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Pr>
          <w:rFonts w:ascii="Times New Roman" w:hAnsi="Times New Roman"/>
          <w:sz w:val="24"/>
          <w:szCs w:val="24"/>
        </w:rPr>
        <w:t>Valsts izglītības</w:t>
      </w:r>
      <w:r w:rsidRPr="00D46EFC">
        <w:rPr>
          <w:rFonts w:ascii="Times New Roman" w:hAnsi="Times New Roman"/>
          <w:sz w:val="24"/>
          <w:szCs w:val="24"/>
        </w:rPr>
        <w:t xml:space="preserve"> satura centrs plāno un organizē seminārus metodisko apvienību vadīt</w:t>
      </w:r>
      <w:r>
        <w:rPr>
          <w:rFonts w:ascii="Times New Roman" w:hAnsi="Times New Roman"/>
          <w:sz w:val="24"/>
          <w:szCs w:val="24"/>
        </w:rPr>
        <w:t>ājiem visās mācību satura jomās;</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 xml:space="preserve">kompetenču pieejas mācību saturam ieviešana plānota pakāpeniski un pēctecīgi - pa mācību gadiem: 1) 2018./2019. mācību gads - pirmsskolā, 1. un 4. klasē; 2) 2019/2020 - 2., 5., 7. un 10. klasē; 3) 2020/2021 - 3., 6., 8. un 11. klasē; 4) 2021/2022 </w:t>
      </w:r>
      <w:r w:rsidRPr="00D46EFC">
        <w:rPr>
          <w:rFonts w:ascii="Times New Roman" w:hAnsi="Times New Roman"/>
          <w:sz w:val="24"/>
          <w:szCs w:val="24"/>
        </w:rPr>
        <w:lastRenderedPageBreak/>
        <w:t xml:space="preserve">- 9. un 12. klasē. (Īstenojot kompetenču pieeju, saglabāsies mācību priekšmetu sistēma, nostiprinot sadarbību pedagogu starpā skolas līmenī mācību darba plānošanā un īstenošanā.) </w:t>
      </w:r>
    </w:p>
    <w:p w:rsidR="00211E63" w:rsidRPr="00D46EFC" w:rsidRDefault="00211E63" w:rsidP="00211E63">
      <w:pPr>
        <w:widowControl/>
        <w:tabs>
          <w:tab w:val="left" w:pos="1134"/>
        </w:tabs>
        <w:spacing w:after="0" w:line="240" w:lineRule="auto"/>
        <w:ind w:firstLine="567"/>
        <w:jc w:val="both"/>
        <w:rPr>
          <w:rFonts w:ascii="Times New Roman" w:eastAsiaTheme="minorHAnsi" w:hAnsi="Times New Roman"/>
          <w:sz w:val="24"/>
          <w:szCs w:val="24"/>
        </w:rPr>
      </w:pPr>
    </w:p>
    <w:p w:rsidR="00211E63" w:rsidRPr="00D46EFC" w:rsidRDefault="00211E63" w:rsidP="00211E63">
      <w:pPr>
        <w:widowControl/>
        <w:tabs>
          <w:tab w:val="left" w:pos="1134"/>
        </w:tabs>
        <w:spacing w:after="0" w:line="240" w:lineRule="auto"/>
        <w:ind w:firstLine="567"/>
        <w:jc w:val="both"/>
        <w:rPr>
          <w:rFonts w:ascii="Times New Roman" w:eastAsiaTheme="minorHAnsi" w:hAnsi="Times New Roman"/>
          <w:sz w:val="24"/>
          <w:szCs w:val="24"/>
        </w:rPr>
      </w:pPr>
      <w:r w:rsidRPr="00D46EFC">
        <w:rPr>
          <w:rFonts w:ascii="Times New Roman" w:eastAsiaTheme="minorHAnsi" w:hAnsi="Times New Roman"/>
          <w:sz w:val="24"/>
          <w:szCs w:val="24"/>
        </w:rPr>
        <w:t xml:space="preserve">Nodrošinot efektīvas pārmaiņas izglītības saturā un tā apguves pieejā, panākamais rezultāts būs paaugstināta izglītības kvalitāte, skolēnu individuālie mācību sasniegumi un personiskā attīstība. </w:t>
      </w:r>
    </w:p>
    <w:p w:rsidR="00211E63" w:rsidRPr="00D46EFC" w:rsidRDefault="00211E63" w:rsidP="00211E63">
      <w:pPr>
        <w:widowControl/>
        <w:tabs>
          <w:tab w:val="left" w:pos="851"/>
          <w:tab w:val="left" w:pos="1134"/>
        </w:tabs>
        <w:spacing w:after="0" w:line="240" w:lineRule="auto"/>
        <w:jc w:val="both"/>
        <w:rPr>
          <w:rFonts w:ascii="Times New Roman" w:eastAsiaTheme="minorHAnsi" w:hAnsi="Times New Roman"/>
          <w:sz w:val="24"/>
          <w:szCs w:val="24"/>
        </w:rPr>
      </w:pPr>
    </w:p>
    <w:p w:rsidR="00211E63" w:rsidRPr="00D46EFC" w:rsidRDefault="00211E63" w:rsidP="00211E63">
      <w:pPr>
        <w:widowControl/>
        <w:tabs>
          <w:tab w:val="left" w:pos="567"/>
          <w:tab w:val="left" w:pos="851"/>
        </w:tabs>
        <w:spacing w:after="0" w:line="240" w:lineRule="auto"/>
        <w:jc w:val="both"/>
        <w:rPr>
          <w:rFonts w:ascii="Times New Roman" w:eastAsiaTheme="minorHAnsi" w:hAnsi="Times New Roman"/>
          <w:b/>
          <w:sz w:val="24"/>
          <w:szCs w:val="24"/>
        </w:rPr>
      </w:pPr>
      <w:r w:rsidRPr="00D46EFC">
        <w:rPr>
          <w:rFonts w:ascii="Times New Roman" w:eastAsiaTheme="minorHAnsi" w:hAnsi="Times New Roman"/>
          <w:b/>
          <w:sz w:val="24"/>
          <w:szCs w:val="24"/>
        </w:rPr>
        <w:t>Izglītības infrastruktūras attīstība</w:t>
      </w:r>
    </w:p>
    <w:p w:rsidR="00211E63" w:rsidRPr="00D46EFC" w:rsidRDefault="00211E63" w:rsidP="00211E63">
      <w:pPr>
        <w:widowControl/>
        <w:spacing w:after="0" w:line="240" w:lineRule="auto"/>
        <w:ind w:firstLine="426"/>
        <w:jc w:val="both"/>
        <w:rPr>
          <w:rFonts w:ascii="Times New Roman" w:eastAsiaTheme="minorHAnsi" w:hAnsi="Times New Roman"/>
          <w:sz w:val="24"/>
          <w:szCs w:val="24"/>
        </w:rPr>
      </w:pPr>
      <w:r w:rsidRPr="00D46EFC">
        <w:rPr>
          <w:rFonts w:ascii="Times New Roman" w:eastAsiaTheme="minorHAnsi" w:hAnsi="Times New Roman"/>
          <w:sz w:val="24"/>
          <w:szCs w:val="24"/>
        </w:rPr>
        <w:t xml:space="preserve">Satura reformu sekmīgai ieviešanai ir nepieciešama moderna 21.gadsimta prasībām un iespējām izglītībā </w:t>
      </w:r>
      <w:r>
        <w:rPr>
          <w:rFonts w:ascii="Times New Roman" w:eastAsiaTheme="minorHAnsi" w:hAnsi="Times New Roman"/>
          <w:sz w:val="24"/>
          <w:szCs w:val="24"/>
        </w:rPr>
        <w:t xml:space="preserve">atbilstoša </w:t>
      </w:r>
      <w:r w:rsidRPr="00D46EFC">
        <w:rPr>
          <w:rFonts w:ascii="Times New Roman" w:eastAsiaTheme="minorHAnsi" w:hAnsi="Times New Roman"/>
          <w:sz w:val="24"/>
          <w:szCs w:val="24"/>
        </w:rPr>
        <w:t>mācību vide. Tādēļ fondu ieguldījums pašvaldību īstenotajā aktivitātē (</w:t>
      </w:r>
      <w:r w:rsidRPr="00D46EFC">
        <w:rPr>
          <w:rFonts w:ascii="Times New Roman" w:eastAsiaTheme="minorHAnsi" w:hAnsi="Times New Roman"/>
          <w:i/>
          <w:sz w:val="24"/>
          <w:szCs w:val="24"/>
        </w:rPr>
        <w:t>SAM 8.1.2.</w:t>
      </w:r>
      <w:r>
        <w:rPr>
          <w:rFonts w:ascii="Times New Roman" w:eastAsiaTheme="minorHAnsi" w:hAnsi="Times New Roman"/>
          <w:i/>
          <w:sz w:val="24"/>
          <w:szCs w:val="24"/>
        </w:rPr>
        <w:t>”Uzlabot vispārējās izglītības iestāžu mācību vidi”</w:t>
      </w:r>
      <w:r w:rsidRPr="00D46EFC">
        <w:rPr>
          <w:rFonts w:ascii="Times New Roman" w:eastAsiaTheme="minorHAnsi" w:hAnsi="Times New Roman"/>
          <w:i/>
          <w:sz w:val="24"/>
          <w:szCs w:val="24"/>
        </w:rPr>
        <w:t xml:space="preserve">; kopējais pieejamais finansējums – 142,5 milj. </w:t>
      </w:r>
      <w:proofErr w:type="spellStart"/>
      <w:r w:rsidRPr="00D46EFC">
        <w:rPr>
          <w:rFonts w:ascii="Times New Roman" w:eastAsiaTheme="minorHAnsi" w:hAnsi="Times New Roman"/>
          <w:i/>
          <w:sz w:val="24"/>
          <w:szCs w:val="24"/>
        </w:rPr>
        <w:t>euro</w:t>
      </w:r>
      <w:proofErr w:type="spellEnd"/>
      <w:r w:rsidRPr="00D46EFC">
        <w:rPr>
          <w:rFonts w:ascii="Times New Roman" w:eastAsiaTheme="minorHAnsi" w:hAnsi="Times New Roman"/>
          <w:sz w:val="24"/>
          <w:szCs w:val="24"/>
        </w:rPr>
        <w:t>)</w:t>
      </w:r>
      <w:r>
        <w:rPr>
          <w:rFonts w:ascii="Times New Roman" w:eastAsiaTheme="minorHAnsi" w:hAnsi="Times New Roman"/>
          <w:sz w:val="24"/>
          <w:szCs w:val="24"/>
        </w:rPr>
        <w:t>,</w:t>
      </w:r>
      <w:r w:rsidRPr="00D46EFC">
        <w:rPr>
          <w:rFonts w:ascii="Times New Roman" w:eastAsiaTheme="minorHAnsi" w:hAnsi="Times New Roman"/>
          <w:sz w:val="24"/>
          <w:szCs w:val="24"/>
        </w:rPr>
        <w:t xml:space="preserve"> ar mērķi uzlabot vispārējās izglītības iestāžu mācību </w:t>
      </w:r>
      <w:r>
        <w:rPr>
          <w:rFonts w:ascii="Times New Roman" w:eastAsiaTheme="minorHAnsi" w:hAnsi="Times New Roman"/>
          <w:sz w:val="24"/>
          <w:szCs w:val="24"/>
        </w:rPr>
        <w:t xml:space="preserve">vidi, </w:t>
      </w:r>
      <w:r w:rsidRPr="00D46EFC">
        <w:rPr>
          <w:rFonts w:ascii="Times New Roman" w:eastAsiaTheme="minorHAnsi" w:hAnsi="Times New Roman"/>
          <w:sz w:val="24"/>
          <w:szCs w:val="24"/>
        </w:rPr>
        <w:t>plānots kā mērķtiecīgs atbalsts izglītības infrastruktūras attīstībai:</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ergonomiskas mācību vides izveide;</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informācijas un komunikāciju tehnoloģiju risinājumu ieviešana un aprīkojuma iegāde;</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jaunu dabaszinātņu (fizika, ķīmija, bioloģija) un matemātikas kabinetu iekārtošana pamatizglītības programmas īstenošanai (7.–9. klase) un jaunu dabaszinātņu (fizika, ķīmija, bioloģija) un matemātikas kabinetu iekārtošana vispārējās vidējās izglītības programmas īstenošanai (10.–12. klase), ja, palielinoties izglītojamo skaitam, ir pamatota minēto kabinetu nepietiekamība, tai skaitā jaunas izglītības iestādes ēkas vai ēkas piebūves būvniecības vai vispārējās izglītības iestādes reorganizācijas gadījumā, vai ja vispārējās vidējās izglītības iestāde izveidota reorganizācijas rezultātā;</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izglītības iestādes sporta infrastruktūras būvniecība (valsts ģimnāzijām, ģimnāzijām, vidusskolām, pamatskolām);</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izglītības iestādes dienesta viesnīcas, internāta būvniecība (valsts ģimnāzijām, ģimnāzijām, vidusskolām);</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eastAsiaTheme="minorHAnsi" w:hAnsi="Times New Roman"/>
          <w:sz w:val="24"/>
          <w:szCs w:val="24"/>
        </w:rPr>
      </w:pPr>
      <w:r w:rsidRPr="00D46EFC">
        <w:rPr>
          <w:rFonts w:ascii="Times New Roman" w:hAnsi="Times New Roman"/>
          <w:sz w:val="24"/>
          <w:szCs w:val="24"/>
        </w:rPr>
        <w:t xml:space="preserve">reģionālā metodiskā centra attīstība (valsts ģimnāzijām) </w:t>
      </w:r>
      <w:r w:rsidRPr="00D46EFC">
        <w:rPr>
          <w:rFonts w:ascii="Times New Roman" w:eastAsiaTheme="minorHAnsi" w:hAnsi="Times New Roman"/>
          <w:sz w:val="24"/>
          <w:szCs w:val="24"/>
        </w:rPr>
        <w:t>būtiski sekmēs plānoto kompetenču pieejā balstītā vispārējās izglītības satura rezultatīvu ieviešanu.</w:t>
      </w:r>
    </w:p>
    <w:p w:rsidR="00211E63" w:rsidRPr="00D46EFC" w:rsidRDefault="00211E63" w:rsidP="00211E63">
      <w:pPr>
        <w:widowControl/>
        <w:spacing w:after="0" w:line="240" w:lineRule="auto"/>
        <w:ind w:firstLine="426"/>
        <w:jc w:val="both"/>
        <w:rPr>
          <w:rFonts w:ascii="Times New Roman" w:eastAsiaTheme="minorHAnsi" w:hAnsi="Times New Roman"/>
          <w:sz w:val="24"/>
          <w:szCs w:val="24"/>
        </w:rPr>
      </w:pPr>
    </w:p>
    <w:p w:rsidR="00211E63" w:rsidRPr="00D46EFC" w:rsidRDefault="00211E63" w:rsidP="00211E63">
      <w:pPr>
        <w:widowControl/>
        <w:spacing w:after="0" w:line="240" w:lineRule="auto"/>
        <w:ind w:firstLine="426"/>
        <w:jc w:val="both"/>
        <w:rPr>
          <w:rFonts w:ascii="Times New Roman" w:eastAsiaTheme="minorHAnsi" w:hAnsi="Times New Roman"/>
          <w:sz w:val="24"/>
          <w:szCs w:val="24"/>
        </w:rPr>
      </w:pPr>
      <w:r w:rsidRPr="00D46EFC">
        <w:rPr>
          <w:rFonts w:ascii="Times New Roman" w:eastAsiaTheme="minorHAnsi" w:hAnsi="Times New Roman"/>
          <w:sz w:val="24"/>
          <w:szCs w:val="24"/>
        </w:rPr>
        <w:t>Rezultātā plānots, ka līdz 2023.gadam būs modernizētas vismaz 100-115 vispārējās izglītības iestādes, līdz ar to vismaz 20-25% izglītojamo būs pieejama pilnībā modernizēta infrastruktūra vispārējās izglītības apguvei.</w:t>
      </w:r>
    </w:p>
    <w:p w:rsidR="00211E63" w:rsidRPr="00D46EFC" w:rsidRDefault="00211E63" w:rsidP="00211E63">
      <w:pPr>
        <w:widowControl/>
        <w:spacing w:after="0" w:line="240" w:lineRule="auto"/>
        <w:jc w:val="both"/>
        <w:rPr>
          <w:rFonts w:ascii="Times New Roman" w:eastAsiaTheme="minorHAnsi" w:hAnsi="Times New Roman"/>
          <w:sz w:val="24"/>
          <w:szCs w:val="24"/>
        </w:rPr>
      </w:pPr>
    </w:p>
    <w:p w:rsidR="00211E63" w:rsidRPr="00D46EFC" w:rsidRDefault="00211E63" w:rsidP="00211E63">
      <w:pPr>
        <w:widowControl/>
        <w:spacing w:after="0" w:line="240" w:lineRule="auto"/>
        <w:jc w:val="both"/>
        <w:rPr>
          <w:rFonts w:ascii="Times New Roman" w:eastAsiaTheme="minorHAnsi" w:hAnsi="Times New Roman"/>
          <w:b/>
          <w:sz w:val="24"/>
          <w:szCs w:val="24"/>
        </w:rPr>
      </w:pPr>
      <w:r w:rsidRPr="00D46EFC">
        <w:rPr>
          <w:rFonts w:ascii="Times New Roman" w:eastAsiaTheme="minorHAnsi" w:hAnsi="Times New Roman"/>
          <w:b/>
          <w:sz w:val="24"/>
          <w:szCs w:val="24"/>
        </w:rPr>
        <w:t>Talantu attīstība</w:t>
      </w:r>
    </w:p>
    <w:p w:rsidR="00211E63" w:rsidRPr="00D46EFC" w:rsidRDefault="00211E63" w:rsidP="00211E63">
      <w:pPr>
        <w:widowControl/>
        <w:spacing w:after="0" w:line="240" w:lineRule="auto"/>
        <w:ind w:firstLine="426"/>
        <w:jc w:val="both"/>
        <w:rPr>
          <w:rFonts w:ascii="Times New Roman" w:eastAsiaTheme="minorHAnsi" w:hAnsi="Times New Roman"/>
          <w:sz w:val="24"/>
          <w:szCs w:val="24"/>
        </w:rPr>
      </w:pPr>
      <w:r w:rsidRPr="00D46EFC">
        <w:rPr>
          <w:rFonts w:ascii="Times New Roman" w:eastAsiaTheme="minorHAnsi" w:hAnsi="Times New Roman"/>
          <w:sz w:val="24"/>
          <w:szCs w:val="24"/>
        </w:rPr>
        <w:t xml:space="preserve">Lai sekmētu izglītības kvalitātes paaugstināšanos, izglītības pārmaiņu laikā svarīgi ir motivēt ne tikai pedagogus, bet arī skolēnus un audzēkņus attīstīt savas kompetences un spējas, t.sk talantus. Kā pierāda vairāki starptautiskie pētījumi, Latvija ilgstoši nav varējusi </w:t>
      </w:r>
      <w:r>
        <w:rPr>
          <w:rFonts w:ascii="Times New Roman" w:eastAsiaTheme="minorHAnsi" w:hAnsi="Times New Roman"/>
          <w:sz w:val="24"/>
          <w:szCs w:val="24"/>
        </w:rPr>
        <w:t>uzrādīt izaugsmi šajā aspektā, t</w:t>
      </w:r>
      <w:r w:rsidRPr="00D46EFC">
        <w:rPr>
          <w:rFonts w:ascii="Times New Roman" w:eastAsiaTheme="minorHAnsi" w:hAnsi="Times New Roman"/>
          <w:sz w:val="24"/>
          <w:szCs w:val="24"/>
        </w:rPr>
        <w:t>ādēļ fondu atbalsts nacionāla un starptautiska mēroga pasākumu īstenošanai izglītojamo talantu attīstībai un atbalsts izglītojamo individuālo kompetenču attīstībai (</w:t>
      </w:r>
      <w:r w:rsidRPr="00D46EFC">
        <w:rPr>
          <w:rFonts w:ascii="Times New Roman" w:eastAsiaTheme="minorHAnsi" w:hAnsi="Times New Roman"/>
          <w:i/>
          <w:sz w:val="24"/>
          <w:szCs w:val="24"/>
        </w:rPr>
        <w:t>SAM 8.3.2.</w:t>
      </w:r>
      <w:r w:rsidRPr="000F6208">
        <w:rPr>
          <w:rFonts w:ascii="Times New Roman" w:eastAsiaTheme="minorHAnsi" w:hAnsi="Times New Roman"/>
          <w:i/>
          <w:sz w:val="24"/>
          <w:szCs w:val="24"/>
        </w:rPr>
        <w:t xml:space="preserve"> </w:t>
      </w:r>
      <w:r>
        <w:rPr>
          <w:rFonts w:ascii="Times New Roman" w:eastAsiaTheme="minorHAnsi" w:hAnsi="Times New Roman"/>
          <w:i/>
          <w:sz w:val="24"/>
          <w:szCs w:val="24"/>
        </w:rPr>
        <w:t>“</w:t>
      </w:r>
      <w:r w:rsidRPr="000F6208">
        <w:rPr>
          <w:rFonts w:ascii="Times New Roman" w:eastAsiaTheme="minorHAnsi" w:hAnsi="Times New Roman"/>
          <w:i/>
          <w:sz w:val="24"/>
          <w:szCs w:val="24"/>
        </w:rPr>
        <w:t>Palielināt atbalstu vispārējās izglītības iestādēm izglītojamo individuālo kompetenču attīstībai</w:t>
      </w:r>
      <w:r>
        <w:rPr>
          <w:rFonts w:ascii="Times New Roman" w:eastAsiaTheme="minorHAnsi" w:hAnsi="Times New Roman"/>
          <w:i/>
          <w:sz w:val="24"/>
          <w:szCs w:val="24"/>
        </w:rPr>
        <w:t>”</w:t>
      </w:r>
      <w:r w:rsidRPr="00D46EFC">
        <w:rPr>
          <w:rFonts w:ascii="Times New Roman" w:eastAsiaTheme="minorHAnsi" w:hAnsi="Times New Roman"/>
          <w:i/>
          <w:sz w:val="24"/>
          <w:szCs w:val="24"/>
        </w:rPr>
        <w:t xml:space="preserve"> divas aktivitātes; pieejamais fondu finansējums – 2,8 milj. </w:t>
      </w:r>
      <w:proofErr w:type="spellStart"/>
      <w:r w:rsidRPr="00D46EFC">
        <w:rPr>
          <w:rFonts w:ascii="Times New Roman" w:eastAsiaTheme="minorHAnsi" w:hAnsi="Times New Roman"/>
          <w:i/>
          <w:sz w:val="24"/>
          <w:szCs w:val="24"/>
        </w:rPr>
        <w:t>euro</w:t>
      </w:r>
      <w:proofErr w:type="spellEnd"/>
      <w:r>
        <w:rPr>
          <w:rFonts w:ascii="Times New Roman" w:eastAsiaTheme="minorHAnsi" w:hAnsi="Times New Roman"/>
          <w:i/>
          <w:sz w:val="24"/>
          <w:szCs w:val="24"/>
        </w:rPr>
        <w:t xml:space="preserve"> </w:t>
      </w:r>
      <w:r w:rsidRPr="00D46EFC">
        <w:rPr>
          <w:rFonts w:ascii="Times New Roman" w:eastAsiaTheme="minorHAnsi" w:hAnsi="Times New Roman"/>
          <w:i/>
          <w:sz w:val="24"/>
          <w:szCs w:val="24"/>
        </w:rPr>
        <w:t xml:space="preserve">un 29,2 milj. </w:t>
      </w:r>
      <w:proofErr w:type="spellStart"/>
      <w:r w:rsidRPr="00D46EFC">
        <w:rPr>
          <w:rFonts w:ascii="Times New Roman" w:eastAsiaTheme="minorHAnsi" w:hAnsi="Times New Roman"/>
          <w:i/>
          <w:sz w:val="24"/>
          <w:szCs w:val="24"/>
        </w:rPr>
        <w:t>euro</w:t>
      </w:r>
      <w:proofErr w:type="spellEnd"/>
      <w:r w:rsidRPr="00D46EFC">
        <w:rPr>
          <w:rFonts w:ascii="Times New Roman" w:eastAsiaTheme="minorHAnsi" w:hAnsi="Times New Roman"/>
          <w:sz w:val="24"/>
          <w:szCs w:val="24"/>
        </w:rPr>
        <w:t>) dos iespēju:</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 xml:space="preserve">nacionāla un starptautiska mēroga pasākumu īstenošanai izglītojamo talantu attīstībai (atbalsts izglītojamo zinātniski pētnieciskajai darbībai, piemēram, zinātniskās konferences, vasaras nometnes, dalības starptautiskajās zinātnes izstādēs, konkursos, jauno zinātnieku skolās; atbalsts dalībai valsts līmeņa un starptautisku mācību priekšmetu olimpiādēs, atbalsts novadu, republikas pilsētu vai novadu apvienību olimpiāžu norisei tiešsaistes režīmā; metodiskais atbalsts pedagogiem darbā ar </w:t>
      </w:r>
      <w:r w:rsidRPr="00D46EFC">
        <w:rPr>
          <w:rFonts w:ascii="Times New Roman" w:hAnsi="Times New Roman"/>
          <w:sz w:val="24"/>
          <w:szCs w:val="24"/>
        </w:rPr>
        <w:lastRenderedPageBreak/>
        <w:t>talantīgiem izglītojamiem (metodikas izstrāde, pedagogu profesionālās kompetences pilnveide);</w:t>
      </w:r>
    </w:p>
    <w:p w:rsidR="00211E63" w:rsidRPr="00D46EFC" w:rsidRDefault="00211E63" w:rsidP="00211E63">
      <w:pPr>
        <w:pStyle w:val="ListParagraph"/>
        <w:widowControl/>
        <w:numPr>
          <w:ilvl w:val="0"/>
          <w:numId w:val="2"/>
        </w:numPr>
        <w:tabs>
          <w:tab w:val="left" w:pos="993"/>
        </w:tabs>
        <w:spacing w:after="0" w:line="240" w:lineRule="auto"/>
        <w:ind w:left="993" w:hanging="283"/>
        <w:contextualSpacing w:val="0"/>
        <w:jc w:val="both"/>
        <w:rPr>
          <w:rFonts w:ascii="Times New Roman" w:hAnsi="Times New Roman"/>
          <w:sz w:val="24"/>
          <w:szCs w:val="24"/>
        </w:rPr>
      </w:pPr>
      <w:r w:rsidRPr="00D46EFC">
        <w:rPr>
          <w:rFonts w:ascii="Times New Roman" w:hAnsi="Times New Roman"/>
          <w:sz w:val="24"/>
          <w:szCs w:val="24"/>
        </w:rPr>
        <w:t xml:space="preserve">nodrošināt izglītojamajiem izglītības pakalpojuma daudzveidību, uzlabojot viņu kompetences un mācību sasniegumus (izglītojamo individuālo kompetenču attīstības atbalsta pasākumu sistēmas izveide: 1) ieteikumu izstrāde pašvaldībām un pašvaldību darbinieku tālākizglītība ieteikumu piemērošanā; (2) pašvaldību izstrādāto plānu ieviešanas kvalitātes uzraudzība un metodoloģiskais atbalsts; (3) informācijas uzkrāšanas risinājumu nodrošināšana projektā īstenoto pasākumu un izstrādāto materiālu, tai skaitā interešu izglītības programmu datu krātuves izveidei, tiešsaistes resursa nodrošināšanai izglītojamo uzskaitei, tiešsaistes resursa pielāgošanai pedagogu profesionālās kompetences pilnveides nodrošināšanai; (4) pedagogu profesionālās kompetences pilnveides īstenošana, tostarp </w:t>
      </w:r>
      <w:proofErr w:type="spellStart"/>
      <w:r w:rsidRPr="00D46EFC">
        <w:rPr>
          <w:rFonts w:ascii="Times New Roman" w:hAnsi="Times New Roman"/>
          <w:sz w:val="24"/>
          <w:szCs w:val="24"/>
        </w:rPr>
        <w:t>autorrisinājumu</w:t>
      </w:r>
      <w:proofErr w:type="spellEnd"/>
      <w:r w:rsidRPr="00D46EFC">
        <w:rPr>
          <w:rFonts w:ascii="Times New Roman" w:hAnsi="Times New Roman"/>
          <w:sz w:val="24"/>
          <w:szCs w:val="24"/>
        </w:rPr>
        <w:t xml:space="preserve"> ieviešanai un iekļaujošas izglītības īstenošanai, efektīvu rīku izmantošanai izglītojamo kompetenču attīstīšanai, interešu izglītības īstenošanai, pedagogiem nepieciešamajām mūžizglītības kompetencēm; izglītojamo individuālo kompetenču attīstības atbalsta pasākumu plānu ieviešana vispārējās izglītības iestādēs, nodrošinot pedagoģisko un atbalsta personālu (pedagogus, pedagogu palīgus, speciālos pedagogus, psihologus, </w:t>
      </w:r>
      <w:proofErr w:type="spellStart"/>
      <w:r w:rsidRPr="00D46EFC">
        <w:rPr>
          <w:rFonts w:ascii="Times New Roman" w:hAnsi="Times New Roman"/>
          <w:sz w:val="24"/>
          <w:szCs w:val="24"/>
        </w:rPr>
        <w:t>surdotulkus</w:t>
      </w:r>
      <w:proofErr w:type="spellEnd"/>
      <w:r w:rsidRPr="00D46EFC">
        <w:rPr>
          <w:rFonts w:ascii="Times New Roman" w:hAnsi="Times New Roman"/>
          <w:sz w:val="24"/>
          <w:szCs w:val="24"/>
        </w:rPr>
        <w:t xml:space="preserve">, asistentus, logopēdus) un ieviešot jaunas mācību formas: (1) individuālas pieejas attīstību mācību satura apguvei; (2) individuālas pieejas attīstību </w:t>
      </w:r>
      <w:proofErr w:type="spellStart"/>
      <w:r w:rsidRPr="00D46EFC">
        <w:rPr>
          <w:rFonts w:ascii="Times New Roman" w:hAnsi="Times New Roman"/>
          <w:sz w:val="24"/>
          <w:szCs w:val="24"/>
        </w:rPr>
        <w:t>ārpusstundu</w:t>
      </w:r>
      <w:proofErr w:type="spellEnd"/>
      <w:r w:rsidRPr="00D46EFC">
        <w:rPr>
          <w:rFonts w:ascii="Times New Roman" w:hAnsi="Times New Roman"/>
          <w:sz w:val="24"/>
          <w:szCs w:val="24"/>
        </w:rPr>
        <w:t xml:space="preserve"> pasākumu veidā).</w:t>
      </w:r>
    </w:p>
    <w:p w:rsidR="00211E63" w:rsidRPr="00D46EFC" w:rsidRDefault="00211E63" w:rsidP="00211E63">
      <w:pPr>
        <w:widowControl/>
        <w:tabs>
          <w:tab w:val="left" w:pos="993"/>
        </w:tabs>
        <w:spacing w:after="0" w:line="240" w:lineRule="auto"/>
        <w:jc w:val="both"/>
        <w:rPr>
          <w:rFonts w:ascii="Times New Roman" w:hAnsi="Times New Roman"/>
          <w:sz w:val="24"/>
          <w:szCs w:val="24"/>
        </w:rPr>
      </w:pPr>
    </w:p>
    <w:p w:rsidR="00211E63" w:rsidRPr="00D46EFC" w:rsidRDefault="00211E63" w:rsidP="00211E63">
      <w:pPr>
        <w:widowControl/>
        <w:tabs>
          <w:tab w:val="left" w:pos="567"/>
        </w:tabs>
        <w:spacing w:after="0" w:line="240" w:lineRule="auto"/>
        <w:jc w:val="both"/>
        <w:rPr>
          <w:rFonts w:ascii="Times New Roman" w:hAnsi="Times New Roman"/>
          <w:b/>
          <w:sz w:val="24"/>
          <w:szCs w:val="24"/>
        </w:rPr>
      </w:pPr>
      <w:r w:rsidRPr="00D46EFC">
        <w:rPr>
          <w:rFonts w:ascii="Times New Roman" w:eastAsiaTheme="minorHAnsi" w:hAnsi="Times New Roman"/>
          <w:b/>
          <w:sz w:val="24"/>
          <w:szCs w:val="24"/>
        </w:rPr>
        <w:t>Priekšlaicīgu mācību pārtraukušo skaita samazināšana un karjeras atbalsts</w:t>
      </w:r>
    </w:p>
    <w:p w:rsidR="00211E63" w:rsidRPr="00D46EFC" w:rsidRDefault="00211E63" w:rsidP="00211E63">
      <w:pPr>
        <w:widowControl/>
        <w:spacing w:after="0" w:line="240" w:lineRule="auto"/>
        <w:ind w:firstLine="567"/>
        <w:jc w:val="both"/>
        <w:rPr>
          <w:rFonts w:ascii="Times New Roman" w:eastAsiaTheme="minorHAnsi" w:hAnsi="Times New Roman"/>
          <w:sz w:val="24"/>
          <w:szCs w:val="24"/>
          <w:lang w:eastAsia="en-GB"/>
        </w:rPr>
      </w:pPr>
      <w:r w:rsidRPr="00D46EFC">
        <w:rPr>
          <w:rFonts w:ascii="Times New Roman" w:eastAsiaTheme="minorHAnsi" w:hAnsi="Times New Roman"/>
          <w:caps/>
          <w:sz w:val="24"/>
          <w:szCs w:val="24"/>
        </w:rPr>
        <w:t>A</w:t>
      </w:r>
      <w:r w:rsidRPr="00D46EFC">
        <w:rPr>
          <w:rFonts w:ascii="Times New Roman" w:eastAsiaTheme="minorHAnsi" w:hAnsi="Times New Roman"/>
          <w:sz w:val="24"/>
          <w:szCs w:val="24"/>
        </w:rPr>
        <w:t>tbalsts priekšlaicīgu mācību pārtraukušo, īstenojot preventīvus un intervences pasākumus, personu skaita samazināšanai</w:t>
      </w:r>
      <w:r w:rsidRPr="00D46EFC">
        <w:rPr>
          <w:rFonts w:ascii="Times New Roman" w:eastAsiaTheme="minorHAnsi" w:hAnsi="Times New Roman"/>
          <w:b/>
          <w:sz w:val="24"/>
          <w:szCs w:val="24"/>
        </w:rPr>
        <w:t xml:space="preserve"> </w:t>
      </w:r>
      <w:r w:rsidRPr="00D46EFC">
        <w:rPr>
          <w:rFonts w:ascii="Times New Roman" w:eastAsiaTheme="minorHAnsi" w:hAnsi="Times New Roman"/>
          <w:sz w:val="24"/>
          <w:szCs w:val="24"/>
        </w:rPr>
        <w:t>(</w:t>
      </w:r>
      <w:r w:rsidRPr="00D46EFC">
        <w:rPr>
          <w:rFonts w:ascii="Times New Roman" w:eastAsiaTheme="minorHAnsi" w:hAnsi="Times New Roman"/>
          <w:i/>
          <w:sz w:val="24"/>
          <w:szCs w:val="24"/>
        </w:rPr>
        <w:t>SAM 8.3.4.</w:t>
      </w:r>
      <w:r>
        <w:rPr>
          <w:rFonts w:ascii="Times New Roman" w:eastAsiaTheme="minorHAnsi" w:hAnsi="Times New Roman"/>
          <w:i/>
          <w:sz w:val="24"/>
          <w:szCs w:val="24"/>
        </w:rPr>
        <w:t xml:space="preserve"> “</w:t>
      </w:r>
      <w:r w:rsidRPr="000F6208">
        <w:rPr>
          <w:rFonts w:ascii="Times New Roman" w:eastAsiaTheme="minorHAnsi" w:hAnsi="Times New Roman"/>
          <w:i/>
          <w:sz w:val="24"/>
          <w:szCs w:val="24"/>
        </w:rPr>
        <w:t>Samazināt priekšlaicīgu mācību pārtraukšanu, īstenojot preventīvus un intervences pasākumus”</w:t>
      </w:r>
      <w:r w:rsidRPr="00D46EFC">
        <w:rPr>
          <w:rFonts w:ascii="Times New Roman" w:eastAsiaTheme="minorHAnsi" w:hAnsi="Times New Roman"/>
          <w:i/>
          <w:sz w:val="24"/>
          <w:szCs w:val="24"/>
        </w:rPr>
        <w:t xml:space="preserve"> kopējais pieejamais finansējums – 33,8 milj.</w:t>
      </w:r>
      <w:r w:rsidRPr="00D46EFC">
        <w:rPr>
          <w:rFonts w:ascii="Times New Roman" w:eastAsiaTheme="minorHAnsi" w:hAnsi="Times New Roman"/>
          <w:sz w:val="24"/>
          <w:szCs w:val="24"/>
        </w:rPr>
        <w:t xml:space="preserve"> </w:t>
      </w:r>
      <w:proofErr w:type="spellStart"/>
      <w:r w:rsidRPr="00D46EFC">
        <w:rPr>
          <w:rFonts w:ascii="Times New Roman" w:eastAsiaTheme="minorHAnsi" w:hAnsi="Times New Roman"/>
          <w:i/>
          <w:sz w:val="24"/>
          <w:szCs w:val="24"/>
        </w:rPr>
        <w:t>euro</w:t>
      </w:r>
      <w:proofErr w:type="spellEnd"/>
      <w:r w:rsidRPr="00D46EFC">
        <w:rPr>
          <w:rFonts w:ascii="Times New Roman" w:eastAsiaTheme="minorHAnsi" w:hAnsi="Times New Roman"/>
          <w:sz w:val="24"/>
          <w:szCs w:val="24"/>
        </w:rPr>
        <w:t>)</w:t>
      </w:r>
      <w:r w:rsidRPr="00D46EFC">
        <w:rPr>
          <w:rFonts w:ascii="Times New Roman" w:eastAsiaTheme="minorHAnsi" w:hAnsi="Times New Roman"/>
          <w:b/>
          <w:sz w:val="24"/>
          <w:szCs w:val="24"/>
        </w:rPr>
        <w:t xml:space="preserve"> </w:t>
      </w:r>
      <w:r w:rsidRPr="00D46EFC">
        <w:rPr>
          <w:rFonts w:ascii="Times New Roman" w:eastAsiaTheme="minorHAnsi" w:hAnsi="Times New Roman"/>
          <w:sz w:val="24"/>
          <w:szCs w:val="24"/>
        </w:rPr>
        <w:t>pozitīvi motivēs skolēnus izvērtēt gan savas spējas, gan pārvērtēt vēlmi turpināt mācīties. Šīs fondu aktivitātes īstenošana skatāma ciešā sasaistē ar prasmi veidot savu dzīves un darba karjeru, tādēļ mērķis u</w:t>
      </w:r>
      <w:r w:rsidRPr="00D46EFC">
        <w:rPr>
          <w:rFonts w:ascii="Times New Roman" w:eastAsiaTheme="minorHAnsi" w:hAnsi="Times New Roman"/>
          <w:bCs/>
          <w:sz w:val="24"/>
          <w:szCs w:val="24"/>
        </w:rPr>
        <w:t xml:space="preserve">zlabot pieeju karjeras atbalstam izglītojamajiem vispārējās un profesionālās izglītības iestādēs </w:t>
      </w:r>
      <w:r w:rsidRPr="00D46EFC">
        <w:rPr>
          <w:rFonts w:ascii="Times New Roman" w:eastAsiaTheme="minorHAnsi" w:hAnsi="Times New Roman"/>
          <w:sz w:val="24"/>
          <w:szCs w:val="24"/>
        </w:rPr>
        <w:t>(</w:t>
      </w:r>
      <w:r w:rsidRPr="00D46EFC">
        <w:rPr>
          <w:rFonts w:ascii="Times New Roman" w:eastAsiaTheme="minorHAnsi" w:hAnsi="Times New Roman"/>
          <w:i/>
          <w:sz w:val="24"/>
          <w:szCs w:val="24"/>
        </w:rPr>
        <w:t>SAM 8.3.5.</w:t>
      </w:r>
      <w:r>
        <w:rPr>
          <w:rFonts w:ascii="Times New Roman" w:eastAsiaTheme="minorHAnsi" w:hAnsi="Times New Roman"/>
          <w:i/>
          <w:sz w:val="24"/>
          <w:szCs w:val="24"/>
        </w:rPr>
        <w:t xml:space="preserve"> “</w:t>
      </w:r>
      <w:r w:rsidRPr="005C3B4D">
        <w:rPr>
          <w:rFonts w:ascii="Times New Roman" w:eastAsiaTheme="minorHAnsi" w:hAnsi="Times New Roman"/>
          <w:i/>
          <w:sz w:val="24"/>
          <w:szCs w:val="24"/>
        </w:rPr>
        <w:t>Uzlabot pieeju karjeras atbalstam izglītojamajiem vispārējās un profesionālās izglītības iestādēs</w:t>
      </w:r>
      <w:r>
        <w:rPr>
          <w:rFonts w:ascii="Times New Roman" w:eastAsiaTheme="minorHAnsi" w:hAnsi="Times New Roman"/>
          <w:i/>
          <w:sz w:val="24"/>
          <w:szCs w:val="24"/>
        </w:rPr>
        <w:t>”</w:t>
      </w:r>
      <w:r w:rsidRPr="00D46EFC">
        <w:rPr>
          <w:rFonts w:ascii="Times New Roman" w:eastAsiaTheme="minorHAnsi" w:hAnsi="Times New Roman"/>
          <w:i/>
          <w:sz w:val="24"/>
          <w:szCs w:val="24"/>
        </w:rPr>
        <w:t xml:space="preserve"> kopējais pieejamais finansējums – 19,6 milj.</w:t>
      </w:r>
      <w:r w:rsidRPr="00D46EFC">
        <w:rPr>
          <w:rFonts w:ascii="Times New Roman" w:eastAsiaTheme="minorHAnsi" w:hAnsi="Times New Roman"/>
          <w:b/>
          <w:sz w:val="24"/>
          <w:szCs w:val="24"/>
        </w:rPr>
        <w:t xml:space="preserve"> </w:t>
      </w:r>
      <w:proofErr w:type="spellStart"/>
      <w:r w:rsidRPr="00D46EFC">
        <w:rPr>
          <w:rFonts w:ascii="Times New Roman" w:eastAsiaTheme="minorHAnsi" w:hAnsi="Times New Roman"/>
          <w:i/>
          <w:sz w:val="24"/>
          <w:szCs w:val="24"/>
        </w:rPr>
        <w:t>euro</w:t>
      </w:r>
      <w:proofErr w:type="spellEnd"/>
      <w:r w:rsidRPr="00D46EFC">
        <w:rPr>
          <w:rFonts w:ascii="Times New Roman" w:eastAsiaTheme="minorHAnsi" w:hAnsi="Times New Roman"/>
          <w:sz w:val="24"/>
          <w:szCs w:val="24"/>
        </w:rPr>
        <w:t>) noteikti iesaistīs valsts u</w:t>
      </w:r>
      <w:r>
        <w:rPr>
          <w:rFonts w:ascii="Times New Roman" w:eastAsiaTheme="minorHAnsi" w:hAnsi="Times New Roman"/>
          <w:sz w:val="24"/>
          <w:szCs w:val="24"/>
        </w:rPr>
        <w:t>n pašvaldību dibināto vispārējo (tai skaitā speciālo) un profesionālo izglītības iestāžu</w:t>
      </w:r>
      <w:r w:rsidRPr="00D46EFC">
        <w:rPr>
          <w:rFonts w:ascii="Times New Roman" w:eastAsiaTheme="minorHAnsi" w:hAnsi="Times New Roman"/>
          <w:sz w:val="24"/>
          <w:szCs w:val="24"/>
        </w:rPr>
        <w:t xml:space="preserve"> skolēnus un audzēkņus </w:t>
      </w:r>
      <w:r w:rsidRPr="00D46EFC">
        <w:rPr>
          <w:rFonts w:ascii="Times New Roman" w:eastAsiaTheme="minorHAnsi" w:hAnsi="Times New Roman"/>
          <w:sz w:val="24"/>
          <w:szCs w:val="24"/>
          <w:lang w:eastAsia="en-GB"/>
        </w:rPr>
        <w:t>karjeras atbalsta pasākumos visos Latvijas novados un republikas pilsētās.</w:t>
      </w:r>
    </w:p>
    <w:p w:rsidR="00211E63" w:rsidRPr="00D46EFC" w:rsidRDefault="00211E63" w:rsidP="00211E63">
      <w:pPr>
        <w:widowControl/>
        <w:spacing w:after="0" w:line="240" w:lineRule="auto"/>
        <w:ind w:firstLine="426"/>
        <w:jc w:val="both"/>
        <w:rPr>
          <w:rFonts w:ascii="Times New Roman" w:eastAsiaTheme="minorHAnsi" w:hAnsi="Times New Roman"/>
          <w:sz w:val="24"/>
          <w:szCs w:val="24"/>
          <w:lang w:eastAsia="en-GB"/>
        </w:rPr>
      </w:pPr>
    </w:p>
    <w:p w:rsidR="00211E63" w:rsidRPr="00D46EFC" w:rsidRDefault="00211E63" w:rsidP="00211E63">
      <w:pPr>
        <w:widowControl/>
        <w:spacing w:after="0" w:line="240" w:lineRule="auto"/>
        <w:jc w:val="both"/>
        <w:rPr>
          <w:rFonts w:ascii="Times New Roman" w:eastAsiaTheme="minorHAnsi" w:hAnsi="Times New Roman"/>
          <w:b/>
          <w:sz w:val="24"/>
          <w:szCs w:val="24"/>
        </w:rPr>
      </w:pPr>
      <w:r w:rsidRPr="00D46EFC">
        <w:rPr>
          <w:rFonts w:ascii="Times New Roman" w:eastAsiaTheme="minorHAnsi" w:hAnsi="Times New Roman"/>
          <w:b/>
          <w:sz w:val="24"/>
          <w:szCs w:val="24"/>
        </w:rPr>
        <w:t>Izglītības kvalitātes monitoringa sistēmas izveide</w:t>
      </w:r>
    </w:p>
    <w:p w:rsidR="00211E63" w:rsidRPr="00D46EFC" w:rsidRDefault="00211E63" w:rsidP="00211E63">
      <w:pPr>
        <w:widowControl/>
        <w:spacing w:after="0" w:line="240" w:lineRule="auto"/>
        <w:ind w:firstLine="567"/>
        <w:jc w:val="both"/>
        <w:rPr>
          <w:rFonts w:ascii="Times New Roman" w:eastAsiaTheme="minorHAnsi" w:hAnsi="Times New Roman"/>
          <w:sz w:val="24"/>
          <w:szCs w:val="24"/>
        </w:rPr>
      </w:pPr>
      <w:r w:rsidRPr="00D46EFC">
        <w:rPr>
          <w:rFonts w:ascii="Times New Roman" w:eastAsiaTheme="minorHAnsi" w:hAnsi="Times New Roman"/>
          <w:sz w:val="24"/>
          <w:szCs w:val="24"/>
        </w:rPr>
        <w:t xml:space="preserve">Vienlaikus 2016.gadā ir uzsākta ieviešanas nosacījumu izstrāde pasākumam “Izglītības kvalitātes monitoringa sistēmas izveide”, paredzot pētījumus par izglītības monitoringa indikatoriem un metodoloģiju, kā arī vienotas rādītāju sistēmas izstrādei izglītojamo mācību sasniegumu novērtēšanai </w:t>
      </w:r>
      <w:r w:rsidRPr="005C3B4D">
        <w:rPr>
          <w:rFonts w:ascii="Times New Roman" w:eastAsiaTheme="minorHAnsi" w:hAnsi="Times New Roman"/>
          <w:i/>
          <w:sz w:val="24"/>
          <w:szCs w:val="24"/>
        </w:rPr>
        <w:t>(</w:t>
      </w:r>
      <w:r w:rsidRPr="00D46EFC">
        <w:rPr>
          <w:rFonts w:ascii="Times New Roman" w:eastAsiaTheme="minorHAnsi" w:hAnsi="Times New Roman"/>
          <w:i/>
          <w:sz w:val="24"/>
          <w:szCs w:val="24"/>
        </w:rPr>
        <w:t>SAM 8.3.6.</w:t>
      </w:r>
      <w:r w:rsidRPr="005C3B4D">
        <w:rPr>
          <w:rFonts w:ascii="Times New Roman" w:eastAsiaTheme="minorHAnsi" w:hAnsi="Times New Roman"/>
          <w:i/>
          <w:sz w:val="24"/>
          <w:szCs w:val="24"/>
        </w:rPr>
        <w:t xml:space="preserve"> </w:t>
      </w:r>
      <w:r>
        <w:rPr>
          <w:rFonts w:ascii="Times New Roman" w:eastAsiaTheme="minorHAnsi" w:hAnsi="Times New Roman"/>
          <w:i/>
          <w:sz w:val="24"/>
          <w:szCs w:val="24"/>
        </w:rPr>
        <w:t>“</w:t>
      </w:r>
      <w:r w:rsidRPr="005C3B4D">
        <w:rPr>
          <w:rFonts w:ascii="Times New Roman" w:eastAsiaTheme="minorHAnsi" w:hAnsi="Times New Roman"/>
          <w:i/>
          <w:sz w:val="24"/>
          <w:szCs w:val="24"/>
        </w:rPr>
        <w:t>Ieviest izglītības kvalitātes monitoringa sistēmu</w:t>
      </w:r>
      <w:r>
        <w:rPr>
          <w:rFonts w:ascii="Times New Roman" w:eastAsiaTheme="minorHAnsi" w:hAnsi="Times New Roman"/>
          <w:i/>
          <w:sz w:val="24"/>
          <w:szCs w:val="24"/>
        </w:rPr>
        <w:t>”</w:t>
      </w:r>
      <w:r w:rsidRPr="00D46EFC">
        <w:rPr>
          <w:rFonts w:ascii="Times New Roman" w:eastAsiaTheme="minorHAnsi" w:hAnsi="Times New Roman"/>
          <w:i/>
          <w:sz w:val="24"/>
          <w:szCs w:val="24"/>
        </w:rPr>
        <w:t xml:space="preserve"> kopējais pieejamais finansējums – 4,8 milj.</w:t>
      </w:r>
      <w:r w:rsidRPr="00D46EFC">
        <w:rPr>
          <w:rFonts w:ascii="Times New Roman" w:eastAsiaTheme="minorHAnsi" w:hAnsi="Times New Roman"/>
          <w:b/>
          <w:sz w:val="24"/>
          <w:szCs w:val="24"/>
        </w:rPr>
        <w:t xml:space="preserve"> </w:t>
      </w:r>
      <w:proofErr w:type="spellStart"/>
      <w:r w:rsidRPr="00D46EFC">
        <w:rPr>
          <w:rFonts w:ascii="Times New Roman" w:eastAsiaTheme="minorHAnsi" w:hAnsi="Times New Roman"/>
          <w:i/>
          <w:sz w:val="24"/>
          <w:szCs w:val="24"/>
        </w:rPr>
        <w:t>euro</w:t>
      </w:r>
      <w:proofErr w:type="spellEnd"/>
      <w:r w:rsidRPr="00D46EFC">
        <w:rPr>
          <w:rFonts w:ascii="Times New Roman" w:eastAsiaTheme="minorHAnsi" w:hAnsi="Times New Roman"/>
          <w:sz w:val="24"/>
          <w:szCs w:val="24"/>
        </w:rPr>
        <w:t xml:space="preserve">). Pētījumi nepieciešami, lai atbalstītu uz pierādījumiem balstītas izglītības politikas plānošanu un ieviešanu. </w:t>
      </w:r>
    </w:p>
    <w:p w:rsidR="00211E63" w:rsidRPr="00D46EFC" w:rsidRDefault="00211E63" w:rsidP="00211E63">
      <w:pPr>
        <w:widowControl/>
        <w:spacing w:after="0" w:line="240" w:lineRule="auto"/>
        <w:jc w:val="both"/>
        <w:rPr>
          <w:rFonts w:ascii="Times New Roman" w:eastAsiaTheme="minorHAnsi" w:hAnsi="Times New Roman"/>
          <w:sz w:val="24"/>
          <w:szCs w:val="24"/>
        </w:rPr>
      </w:pPr>
    </w:p>
    <w:p w:rsidR="00211E63" w:rsidRPr="00D46EFC" w:rsidRDefault="00211E63" w:rsidP="00211E63">
      <w:pPr>
        <w:widowControl/>
        <w:spacing w:after="0" w:line="240" w:lineRule="auto"/>
        <w:ind w:firstLine="567"/>
        <w:jc w:val="both"/>
        <w:rPr>
          <w:rFonts w:ascii="Times New Roman" w:eastAsiaTheme="minorHAnsi" w:hAnsi="Times New Roman"/>
          <w:sz w:val="24"/>
          <w:szCs w:val="24"/>
        </w:rPr>
      </w:pPr>
      <w:r w:rsidRPr="00D46EFC">
        <w:rPr>
          <w:rFonts w:ascii="Times New Roman" w:eastAsiaTheme="minorHAnsi" w:hAnsi="Times New Roman"/>
          <w:sz w:val="24"/>
          <w:szCs w:val="24"/>
        </w:rPr>
        <w:t>Ministrija, plānojot un virzot pārmaiņas izglītības politikā, saredz iespējas izmantot visus pieejamos resursus un instrumentāriju. Nozaru ministriju un sociālā partnerība, vienota politiskā izpratne ir zināms garants mērķa sasniegšanā.</w:t>
      </w:r>
    </w:p>
    <w:p w:rsidR="00211E63" w:rsidRDefault="00211E63" w:rsidP="00211E63">
      <w:pPr>
        <w:widowControl/>
        <w:spacing w:after="0" w:line="240" w:lineRule="auto"/>
        <w:jc w:val="both"/>
        <w:rPr>
          <w:rFonts w:ascii="Times New Roman" w:eastAsiaTheme="minorHAnsi" w:hAnsi="Times New Roman"/>
          <w:sz w:val="24"/>
          <w:szCs w:val="24"/>
        </w:rPr>
      </w:pPr>
    </w:p>
    <w:p w:rsidR="00211E63" w:rsidRPr="00D46EFC" w:rsidRDefault="00211E63" w:rsidP="00211E63">
      <w:pPr>
        <w:widowControl/>
        <w:spacing w:after="0" w:line="240" w:lineRule="auto"/>
        <w:jc w:val="both"/>
        <w:rPr>
          <w:rFonts w:ascii="Times New Roman" w:eastAsiaTheme="minorHAnsi" w:hAnsi="Times New Roman"/>
          <w:sz w:val="24"/>
          <w:szCs w:val="24"/>
        </w:rPr>
      </w:pPr>
    </w:p>
    <w:p w:rsidR="00211E63" w:rsidRPr="00D46EFC" w:rsidRDefault="00211E63" w:rsidP="00211E63">
      <w:pPr>
        <w:widowControl/>
        <w:spacing w:after="0" w:line="240" w:lineRule="auto"/>
        <w:jc w:val="both"/>
        <w:rPr>
          <w:rFonts w:ascii="Times New Roman" w:eastAsiaTheme="minorHAnsi" w:hAnsi="Times New Roman"/>
          <w:sz w:val="24"/>
          <w:szCs w:val="24"/>
        </w:rPr>
      </w:pPr>
    </w:p>
    <w:p w:rsidR="00211E63" w:rsidRPr="00D46EFC" w:rsidRDefault="00211E63" w:rsidP="00DB501A">
      <w:pPr>
        <w:widowControl/>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Ministru prezidents</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Pr="00D46EFC">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M.Kučinskis</w:t>
      </w:r>
      <w:proofErr w:type="spellEnd"/>
    </w:p>
    <w:p w:rsidR="00211E63" w:rsidRPr="00D46EFC" w:rsidRDefault="00211E63" w:rsidP="00211E63">
      <w:pPr>
        <w:widowControl/>
        <w:spacing w:after="0" w:line="240" w:lineRule="auto"/>
        <w:jc w:val="both"/>
        <w:rPr>
          <w:rFonts w:ascii="Times New Roman" w:eastAsiaTheme="minorHAnsi" w:hAnsi="Times New Roman"/>
          <w:sz w:val="24"/>
          <w:szCs w:val="24"/>
        </w:rPr>
      </w:pPr>
    </w:p>
    <w:p w:rsidR="00211E63" w:rsidRPr="00D46EFC" w:rsidRDefault="00211E63" w:rsidP="00211E63">
      <w:pPr>
        <w:widowControl/>
        <w:spacing w:after="0" w:line="240" w:lineRule="auto"/>
        <w:jc w:val="both"/>
        <w:rPr>
          <w:rFonts w:ascii="Times New Roman" w:eastAsiaTheme="minorHAnsi" w:hAnsi="Times New Roman"/>
          <w:sz w:val="24"/>
          <w:szCs w:val="24"/>
        </w:rPr>
      </w:pPr>
    </w:p>
    <w:sectPr w:rsidR="00211E63" w:rsidRPr="00D46EFC" w:rsidSect="00DB501A">
      <w:headerReference w:type="default" r:id="rId7"/>
      <w:pgSz w:w="11906" w:h="16838"/>
      <w:pgMar w:top="1134"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673" w:rsidRDefault="00887673" w:rsidP="00211E63">
      <w:pPr>
        <w:spacing w:after="0" w:line="240" w:lineRule="auto"/>
      </w:pPr>
      <w:r>
        <w:separator/>
      </w:r>
    </w:p>
  </w:endnote>
  <w:endnote w:type="continuationSeparator" w:id="0">
    <w:p w:rsidR="00887673" w:rsidRDefault="00887673" w:rsidP="0021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673" w:rsidRDefault="00887673" w:rsidP="00211E63">
      <w:pPr>
        <w:spacing w:after="0" w:line="240" w:lineRule="auto"/>
      </w:pPr>
      <w:r>
        <w:separator/>
      </w:r>
    </w:p>
  </w:footnote>
  <w:footnote w:type="continuationSeparator" w:id="0">
    <w:p w:rsidR="00887673" w:rsidRDefault="00887673" w:rsidP="00211E63">
      <w:pPr>
        <w:spacing w:after="0" w:line="240" w:lineRule="auto"/>
      </w:pPr>
      <w:r>
        <w:continuationSeparator/>
      </w:r>
    </w:p>
  </w:footnote>
  <w:footnote w:id="1">
    <w:p w:rsidR="00211E63" w:rsidRPr="00A65089" w:rsidRDefault="00211E63" w:rsidP="00211E63">
      <w:pPr>
        <w:pStyle w:val="FootnoteText"/>
        <w:rPr>
          <w:rFonts w:ascii="Times New Roman" w:hAnsi="Times New Roman" w:cs="Times New Roman"/>
          <w:sz w:val="18"/>
          <w:szCs w:val="18"/>
        </w:rPr>
      </w:pPr>
      <w:r w:rsidRPr="00A65089">
        <w:rPr>
          <w:rStyle w:val="FootnoteReference"/>
          <w:rFonts w:ascii="Times New Roman" w:hAnsi="Times New Roman" w:cs="Times New Roman"/>
          <w:sz w:val="18"/>
          <w:szCs w:val="18"/>
        </w:rPr>
        <w:footnoteRef/>
      </w:r>
      <w:r w:rsidRPr="00A65089">
        <w:rPr>
          <w:rFonts w:ascii="Times New Roman" w:hAnsi="Times New Roman" w:cs="Times New Roman"/>
          <w:sz w:val="18"/>
          <w:szCs w:val="18"/>
        </w:rPr>
        <w:t xml:space="preserve"> ministrijas 23.12.2016. rīkojums Nr. 461 par darba grupas izveidi</w:t>
      </w:r>
    </w:p>
  </w:footnote>
  <w:footnote w:id="2">
    <w:p w:rsidR="00211E63" w:rsidRPr="00A10125" w:rsidRDefault="00211E63" w:rsidP="00211E63">
      <w:pPr>
        <w:pStyle w:val="FootnoteText"/>
        <w:rPr>
          <w:rFonts w:ascii="Times New Roman" w:hAnsi="Times New Roman" w:cs="Times New Roman"/>
          <w:sz w:val="18"/>
          <w:szCs w:val="18"/>
        </w:rPr>
      </w:pPr>
      <w:r>
        <w:rPr>
          <w:rStyle w:val="FootnoteReference"/>
        </w:rPr>
        <w:footnoteRef/>
      </w:r>
      <w:r>
        <w:t xml:space="preserve"> </w:t>
      </w:r>
      <w:r w:rsidRPr="00A10125">
        <w:rPr>
          <w:rFonts w:ascii="Times New Roman" w:hAnsi="Times New Roman" w:cs="Times New Roman"/>
          <w:sz w:val="18"/>
          <w:szCs w:val="18"/>
        </w:rPr>
        <w:t>ministrijas 19.09.2016. rīkojums Nr. 278 par darba grupas izveidi</w:t>
      </w:r>
    </w:p>
  </w:footnote>
  <w:footnote w:id="3">
    <w:p w:rsidR="00211E63" w:rsidRPr="00A10125" w:rsidRDefault="00211E63" w:rsidP="00211E63">
      <w:pPr>
        <w:pStyle w:val="FootnoteText"/>
        <w:rPr>
          <w:rFonts w:ascii="Times New Roman" w:hAnsi="Times New Roman" w:cs="Times New Roman"/>
          <w:sz w:val="18"/>
          <w:szCs w:val="18"/>
        </w:rPr>
      </w:pPr>
      <w:r w:rsidRPr="00A10125">
        <w:rPr>
          <w:rStyle w:val="FootnoteReference"/>
          <w:rFonts w:ascii="Times New Roman" w:hAnsi="Times New Roman" w:cs="Times New Roman"/>
          <w:sz w:val="18"/>
          <w:szCs w:val="18"/>
        </w:rPr>
        <w:footnoteRef/>
      </w:r>
      <w:r w:rsidRPr="00A10125">
        <w:rPr>
          <w:rFonts w:ascii="Times New Roman" w:hAnsi="Times New Roman" w:cs="Times New Roman"/>
          <w:sz w:val="18"/>
          <w:szCs w:val="18"/>
        </w:rPr>
        <w:t xml:space="preserve"> ministrijas 20.04.2016. rīkojums Nr.149 par </w:t>
      </w:r>
      <w:proofErr w:type="spellStart"/>
      <w:r w:rsidRPr="00A10125">
        <w:rPr>
          <w:rFonts w:ascii="Times New Roman" w:hAnsi="Times New Roman" w:cs="Times New Roman"/>
          <w:sz w:val="18"/>
          <w:szCs w:val="18"/>
        </w:rPr>
        <w:t>starpministriju</w:t>
      </w:r>
      <w:proofErr w:type="spellEnd"/>
      <w:r w:rsidRPr="00A10125">
        <w:rPr>
          <w:rFonts w:ascii="Times New Roman" w:hAnsi="Times New Roman" w:cs="Times New Roman"/>
          <w:sz w:val="18"/>
          <w:szCs w:val="18"/>
        </w:rPr>
        <w:t xml:space="preserve"> darba grupas izveidi</w:t>
      </w:r>
    </w:p>
  </w:footnote>
  <w:footnote w:id="4">
    <w:p w:rsidR="00211E63" w:rsidRPr="00A10125" w:rsidRDefault="00211E63" w:rsidP="00211E63">
      <w:pPr>
        <w:pStyle w:val="FootnoteText"/>
        <w:rPr>
          <w:rFonts w:ascii="Times New Roman" w:hAnsi="Times New Roman" w:cs="Times New Roman"/>
          <w:sz w:val="18"/>
          <w:szCs w:val="18"/>
        </w:rPr>
      </w:pPr>
      <w:r w:rsidRPr="00A10125">
        <w:rPr>
          <w:rStyle w:val="FootnoteReference"/>
          <w:rFonts w:ascii="Times New Roman" w:hAnsi="Times New Roman" w:cs="Times New Roman"/>
          <w:sz w:val="18"/>
          <w:szCs w:val="18"/>
        </w:rPr>
        <w:footnoteRef/>
      </w:r>
      <w:r w:rsidRPr="00A10125">
        <w:rPr>
          <w:rFonts w:ascii="Times New Roman" w:hAnsi="Times New Roman" w:cs="Times New Roman"/>
          <w:sz w:val="18"/>
          <w:szCs w:val="18"/>
        </w:rPr>
        <w:t xml:space="preserve"> Ministrija ir noslēgusi līgumu “Par </w:t>
      </w:r>
      <w:r>
        <w:rPr>
          <w:rFonts w:ascii="Times New Roman" w:hAnsi="Times New Roman" w:cs="Times New Roman"/>
          <w:sz w:val="18"/>
          <w:szCs w:val="18"/>
        </w:rPr>
        <w:t>pētījuma veikšanu” (16.02.2017.</w:t>
      </w:r>
      <w:r w:rsidRPr="00A10125">
        <w:rPr>
          <w:rFonts w:ascii="Times New Roman" w:hAnsi="Times New Roman" w:cs="Times New Roman"/>
          <w:sz w:val="18"/>
          <w:szCs w:val="18"/>
        </w:rPr>
        <w:t xml:space="preserve"> Līgums Nr.01-26.1/15)</w:t>
      </w:r>
    </w:p>
  </w:footnote>
  <w:footnote w:id="5">
    <w:p w:rsidR="00211E63" w:rsidRPr="00A10125" w:rsidRDefault="00211E63" w:rsidP="00211E63">
      <w:pPr>
        <w:pStyle w:val="FootnoteText"/>
        <w:rPr>
          <w:rFonts w:ascii="Times New Roman" w:hAnsi="Times New Roman" w:cs="Times New Roman"/>
          <w:sz w:val="18"/>
          <w:szCs w:val="18"/>
        </w:rPr>
      </w:pPr>
      <w:r w:rsidRPr="00A10125">
        <w:rPr>
          <w:rStyle w:val="FootnoteReference"/>
          <w:rFonts w:ascii="Times New Roman" w:hAnsi="Times New Roman" w:cs="Times New Roman"/>
          <w:sz w:val="18"/>
          <w:szCs w:val="18"/>
        </w:rPr>
        <w:footnoteRef/>
      </w:r>
      <w:r w:rsidRPr="00A10125">
        <w:rPr>
          <w:rFonts w:ascii="Times New Roman" w:hAnsi="Times New Roman" w:cs="Times New Roman"/>
          <w:sz w:val="18"/>
          <w:szCs w:val="18"/>
        </w:rPr>
        <w:t xml:space="preserve"> ministrijas 04.11.2016.gada rīkojums Nr.348 “Par darba grupas izveidi pedagogu darba samaksas pieauguma grafika un pedagogu sociālā atbalsta sistēmas īstenošanas mehānisma un grafika izstrādei”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6012"/>
      <w:docPartObj>
        <w:docPartGallery w:val="Page Numbers (Top of Page)"/>
        <w:docPartUnique/>
      </w:docPartObj>
    </w:sdtPr>
    <w:sdtEndPr>
      <w:rPr>
        <w:noProof/>
      </w:rPr>
    </w:sdtEndPr>
    <w:sdtContent>
      <w:p w:rsidR="00211E63" w:rsidRDefault="00211E63">
        <w:pPr>
          <w:pStyle w:val="Header"/>
          <w:jc w:val="center"/>
        </w:pPr>
        <w:r w:rsidRPr="00211E63">
          <w:rPr>
            <w:rFonts w:ascii="Times New Roman" w:hAnsi="Times New Roman"/>
            <w:sz w:val="24"/>
          </w:rPr>
          <w:fldChar w:fldCharType="begin"/>
        </w:r>
        <w:r w:rsidRPr="00211E63">
          <w:rPr>
            <w:rFonts w:ascii="Times New Roman" w:hAnsi="Times New Roman"/>
            <w:sz w:val="24"/>
          </w:rPr>
          <w:instrText xml:space="preserve"> PAGE   \* MERGEFORMAT </w:instrText>
        </w:r>
        <w:r w:rsidRPr="00211E63">
          <w:rPr>
            <w:rFonts w:ascii="Times New Roman" w:hAnsi="Times New Roman"/>
            <w:sz w:val="24"/>
          </w:rPr>
          <w:fldChar w:fldCharType="separate"/>
        </w:r>
        <w:r w:rsidR="00C671F7">
          <w:rPr>
            <w:rFonts w:ascii="Times New Roman" w:hAnsi="Times New Roman"/>
            <w:noProof/>
            <w:sz w:val="24"/>
          </w:rPr>
          <w:t>6</w:t>
        </w:r>
        <w:r w:rsidRPr="00211E63">
          <w:rPr>
            <w:rFonts w:ascii="Times New Roman" w:hAnsi="Times New Roman"/>
            <w:noProof/>
            <w:sz w:val="24"/>
          </w:rPr>
          <w:fldChar w:fldCharType="end"/>
        </w:r>
      </w:p>
    </w:sdtContent>
  </w:sdt>
  <w:p w:rsidR="00211E63" w:rsidRDefault="00211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34718"/>
    <w:multiLevelType w:val="hybridMultilevel"/>
    <w:tmpl w:val="60AE60F6"/>
    <w:lvl w:ilvl="0" w:tplc="1D9C310E">
      <w:start w:val="1"/>
      <w:numFmt w:val="bullet"/>
      <w:lvlText w:val=""/>
      <w:lvlJc w:val="left"/>
      <w:pPr>
        <w:ind w:left="1713" w:hanging="360"/>
      </w:pPr>
      <w:rPr>
        <w:rFonts w:ascii="Symbol" w:hAnsi="Symbol" w:hint="default"/>
      </w:rPr>
    </w:lvl>
    <w:lvl w:ilvl="1" w:tplc="1D9C310E">
      <w:start w:val="1"/>
      <w:numFmt w:val="bullet"/>
      <w:lvlText w:val=""/>
      <w:lvlJc w:val="left"/>
      <w:pPr>
        <w:ind w:left="2433" w:hanging="360"/>
      </w:pPr>
      <w:rPr>
        <w:rFonts w:ascii="Symbol" w:hAnsi="Symbol"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 w15:restartNumberingAfterBreak="0">
    <w:nsid w:val="25E20568"/>
    <w:multiLevelType w:val="hybridMultilevel"/>
    <w:tmpl w:val="CB70FE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417CA5"/>
    <w:multiLevelType w:val="hybridMultilevel"/>
    <w:tmpl w:val="E474F582"/>
    <w:lvl w:ilvl="0" w:tplc="1EFC00B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9B4361C"/>
    <w:multiLevelType w:val="hybridMultilevel"/>
    <w:tmpl w:val="2DCC5226"/>
    <w:lvl w:ilvl="0" w:tplc="04260001">
      <w:start w:val="1"/>
      <w:numFmt w:val="bullet"/>
      <w:lvlText w:val=""/>
      <w:lvlJc w:val="left"/>
      <w:pPr>
        <w:ind w:left="720" w:hanging="360"/>
      </w:pPr>
      <w:rPr>
        <w:rFonts w:ascii="Symbol" w:hAnsi="Symbol" w:hint="default"/>
      </w:rPr>
    </w:lvl>
    <w:lvl w:ilvl="1" w:tplc="F168C008">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63"/>
    <w:rsid w:val="001457B1"/>
    <w:rsid w:val="00191B02"/>
    <w:rsid w:val="00211E63"/>
    <w:rsid w:val="0081288F"/>
    <w:rsid w:val="00887673"/>
    <w:rsid w:val="00AB0BB7"/>
    <w:rsid w:val="00B20267"/>
    <w:rsid w:val="00C671F7"/>
    <w:rsid w:val="00DB501A"/>
    <w:rsid w:val="00EE19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A3B7C-1F4D-4CA8-A46E-451EA36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63"/>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E63"/>
    <w:pPr>
      <w:ind w:left="720"/>
      <w:contextualSpacing/>
    </w:pPr>
  </w:style>
  <w:style w:type="paragraph" w:styleId="FootnoteText">
    <w:name w:val="footnote text"/>
    <w:basedOn w:val="Normal"/>
    <w:link w:val="FootnoteTextChar"/>
    <w:uiPriority w:val="99"/>
    <w:unhideWhenUsed/>
    <w:rsid w:val="00211E63"/>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11E63"/>
    <w:rPr>
      <w:sz w:val="20"/>
      <w:szCs w:val="20"/>
    </w:rPr>
  </w:style>
  <w:style w:type="character" w:styleId="FootnoteReference">
    <w:name w:val="footnote reference"/>
    <w:basedOn w:val="DefaultParagraphFont"/>
    <w:uiPriority w:val="99"/>
    <w:unhideWhenUsed/>
    <w:rsid w:val="00211E63"/>
    <w:rPr>
      <w:vertAlign w:val="superscript"/>
    </w:rPr>
  </w:style>
  <w:style w:type="character" w:customStyle="1" w:styleId="tekstsChar">
    <w:name w:val="teksts Char"/>
    <w:basedOn w:val="DefaultParagraphFont"/>
    <w:link w:val="teksts"/>
    <w:locked/>
    <w:rsid w:val="00211E63"/>
    <w:rPr>
      <w:color w:val="000000"/>
    </w:rPr>
  </w:style>
  <w:style w:type="paragraph" w:customStyle="1" w:styleId="teksts">
    <w:name w:val="teksts"/>
    <w:basedOn w:val="Normal"/>
    <w:link w:val="tekstsChar"/>
    <w:rsid w:val="00211E63"/>
    <w:pPr>
      <w:widowControl/>
      <w:spacing w:after="0" w:line="240" w:lineRule="auto"/>
      <w:ind w:firstLine="720"/>
      <w:jc w:val="both"/>
    </w:pPr>
    <w:rPr>
      <w:rFonts w:asciiTheme="minorHAnsi" w:eastAsiaTheme="minorHAnsi" w:hAnsiTheme="minorHAnsi" w:cstheme="minorBidi"/>
      <w:color w:val="000000"/>
    </w:rPr>
  </w:style>
  <w:style w:type="paragraph" w:styleId="Header">
    <w:name w:val="header"/>
    <w:basedOn w:val="Normal"/>
    <w:link w:val="HeaderChar"/>
    <w:uiPriority w:val="99"/>
    <w:unhideWhenUsed/>
    <w:rsid w:val="00211E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1E63"/>
    <w:rPr>
      <w:rFonts w:ascii="Calibri" w:eastAsia="Calibri" w:hAnsi="Calibri" w:cs="Times New Roman"/>
    </w:rPr>
  </w:style>
  <w:style w:type="paragraph" w:styleId="Footer">
    <w:name w:val="footer"/>
    <w:basedOn w:val="Normal"/>
    <w:link w:val="FooterChar"/>
    <w:uiPriority w:val="99"/>
    <w:unhideWhenUsed/>
    <w:rsid w:val="00211E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1E63"/>
    <w:rPr>
      <w:rFonts w:ascii="Calibri" w:eastAsia="Calibri" w:hAnsi="Calibri" w:cs="Times New Roman"/>
    </w:rPr>
  </w:style>
  <w:style w:type="paragraph" w:styleId="BalloonText">
    <w:name w:val="Balloon Text"/>
    <w:basedOn w:val="Normal"/>
    <w:link w:val="BalloonTextChar"/>
    <w:uiPriority w:val="99"/>
    <w:semiHidden/>
    <w:unhideWhenUsed/>
    <w:rsid w:val="00191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B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13617</Words>
  <Characters>7763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Zemberga</dc:creator>
  <cp:keywords/>
  <dc:description/>
  <cp:lastModifiedBy>Lelde Zemberga</cp:lastModifiedBy>
  <cp:revision>3</cp:revision>
  <cp:lastPrinted>2017-04-04T11:52:00Z</cp:lastPrinted>
  <dcterms:created xsi:type="dcterms:W3CDTF">2017-04-04T12:24:00Z</dcterms:created>
  <dcterms:modified xsi:type="dcterms:W3CDTF">2017-04-04T12:30:00Z</dcterms:modified>
</cp:coreProperties>
</file>