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F6" w:rsidRPr="00DE0915" w:rsidRDefault="00A7073B" w:rsidP="00DE0915">
      <w:pPr>
        <w:jc w:val="center"/>
        <w:rPr>
          <w:b/>
          <w:bCs/>
          <w:color w:val="000000"/>
          <w:szCs w:val="28"/>
          <w:lang w:eastAsia="lv-LV"/>
        </w:rPr>
      </w:pPr>
      <w:r>
        <w:rPr>
          <w:b/>
          <w:bCs/>
          <w:color w:val="000000"/>
          <w:szCs w:val="28"/>
          <w:lang w:eastAsia="lv-LV"/>
        </w:rPr>
        <w:t>Ministru kabineta noteikumu projekta</w:t>
      </w:r>
      <w:r w:rsidR="009A22F6" w:rsidRPr="00DE0915">
        <w:rPr>
          <w:b/>
          <w:bCs/>
          <w:color w:val="000000"/>
          <w:szCs w:val="28"/>
          <w:lang w:eastAsia="lv-LV"/>
        </w:rPr>
        <w:t xml:space="preserve"> „</w:t>
      </w:r>
      <w:r w:rsidRPr="00A7073B">
        <w:rPr>
          <w:b/>
          <w:bCs/>
          <w:color w:val="000000"/>
          <w:szCs w:val="28"/>
          <w:lang w:eastAsia="lv-LV"/>
        </w:rPr>
        <w:t>Gr</w:t>
      </w:r>
      <w:r>
        <w:rPr>
          <w:b/>
          <w:bCs/>
          <w:color w:val="000000"/>
          <w:szCs w:val="28"/>
          <w:lang w:eastAsia="lv-LV"/>
        </w:rPr>
        <w:t>ozījum</w:t>
      </w:r>
      <w:r w:rsidR="007E1D98">
        <w:rPr>
          <w:b/>
          <w:bCs/>
          <w:color w:val="000000"/>
          <w:szCs w:val="28"/>
          <w:lang w:eastAsia="lv-LV"/>
        </w:rPr>
        <w:t>i</w:t>
      </w:r>
      <w:r>
        <w:rPr>
          <w:b/>
          <w:bCs/>
          <w:color w:val="000000"/>
          <w:szCs w:val="28"/>
          <w:lang w:eastAsia="lv-LV"/>
        </w:rPr>
        <w:t xml:space="preserve"> </w:t>
      </w:r>
      <w:r w:rsidR="00CD08D7">
        <w:rPr>
          <w:b/>
          <w:bCs/>
          <w:color w:val="000000"/>
          <w:szCs w:val="28"/>
          <w:lang w:eastAsia="lv-LV"/>
        </w:rPr>
        <w:t>Ministru kabineta 2010. </w:t>
      </w:r>
      <w:r w:rsidR="00CD08D7" w:rsidRPr="00CD08D7">
        <w:rPr>
          <w:b/>
          <w:bCs/>
          <w:color w:val="000000"/>
          <w:szCs w:val="28"/>
          <w:lang w:eastAsia="lv-LV"/>
        </w:rPr>
        <w:t xml:space="preserve">gada 28. decembra noteikumos Nr. 1228 „Noteikumi par </w:t>
      </w:r>
      <w:proofErr w:type="spellStart"/>
      <w:r w:rsidR="00CD08D7" w:rsidRPr="00CD08D7">
        <w:rPr>
          <w:b/>
          <w:bCs/>
          <w:color w:val="000000"/>
          <w:szCs w:val="28"/>
          <w:lang w:eastAsia="lv-LV"/>
        </w:rPr>
        <w:t>lielgabarīta</w:t>
      </w:r>
      <w:proofErr w:type="spellEnd"/>
      <w:r w:rsidR="00CD08D7" w:rsidRPr="00CD08D7">
        <w:rPr>
          <w:b/>
          <w:bCs/>
          <w:color w:val="000000"/>
          <w:szCs w:val="28"/>
          <w:lang w:eastAsia="lv-LV"/>
        </w:rPr>
        <w:t xml:space="preserve"> un smagsvara pārvadājumu atļaujas izsniegšanas valsts nodevas apmēru, samaksas kārtību un atbrīvojumiem”</w:t>
      </w:r>
      <w:r w:rsidR="009A22F6" w:rsidRPr="00DE0915">
        <w:rPr>
          <w:b/>
          <w:bCs/>
          <w:color w:val="000000"/>
          <w:szCs w:val="28"/>
          <w:lang w:eastAsia="lv-LV"/>
        </w:rPr>
        <w:t>” sākotnējās ietekmes novērtējuma ziņojums (anotācija)</w:t>
      </w: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6"/>
        <w:gridCol w:w="3496"/>
        <w:gridCol w:w="5637"/>
      </w:tblGrid>
      <w:tr w:rsidR="009A22F6" w:rsidRPr="00B2758C" w:rsidTr="007D7602">
        <w:trPr>
          <w:trHeight w:val="40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w:t>
            </w:r>
            <w:r w:rsidR="009F7AA2">
              <w:rPr>
                <w:b/>
                <w:bCs/>
                <w:color w:val="000000"/>
                <w:szCs w:val="28"/>
                <w:lang w:eastAsia="lv-LV"/>
              </w:rPr>
              <w:t>.</w:t>
            </w:r>
            <w:r w:rsidR="009A22F6" w:rsidRPr="008B42C6">
              <w:rPr>
                <w:b/>
                <w:bCs/>
                <w:color w:val="000000"/>
                <w:szCs w:val="28"/>
                <w:lang w:eastAsia="lv-LV"/>
              </w:rPr>
              <w:t xml:space="preserve"> Tiesību akta projekta izstrādes nepieciešamība</w:t>
            </w:r>
          </w:p>
        </w:tc>
      </w:tr>
      <w:tr w:rsidR="009A22F6" w:rsidRPr="00B2758C" w:rsidTr="006F1B14">
        <w:trPr>
          <w:trHeight w:val="40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1.</w:t>
            </w:r>
          </w:p>
        </w:tc>
        <w:tc>
          <w:tcPr>
            <w:tcW w:w="182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Pamatojums</w:t>
            </w:r>
          </w:p>
        </w:tc>
        <w:tc>
          <w:tcPr>
            <w:tcW w:w="2937" w:type="pct"/>
            <w:tcBorders>
              <w:top w:val="outset" w:sz="6" w:space="0" w:color="414142"/>
              <w:left w:val="outset" w:sz="6" w:space="0" w:color="414142"/>
              <w:bottom w:val="outset" w:sz="6" w:space="0" w:color="414142"/>
            </w:tcBorders>
          </w:tcPr>
          <w:p w:rsidR="00DE1F89" w:rsidRPr="008B42C6" w:rsidRDefault="00A7073B" w:rsidP="007E1D98">
            <w:pPr>
              <w:ind w:firstLine="682"/>
              <w:jc w:val="both"/>
              <w:rPr>
                <w:color w:val="000000"/>
                <w:szCs w:val="28"/>
                <w:lang w:eastAsia="lv-LV"/>
              </w:rPr>
            </w:pPr>
            <w:r w:rsidRPr="00A7073B">
              <w:rPr>
                <w:color w:val="000000"/>
                <w:szCs w:val="28"/>
                <w:lang w:eastAsia="lv-LV"/>
              </w:rPr>
              <w:t>Ministru kabineta noteikumu projekt</w:t>
            </w:r>
            <w:r>
              <w:rPr>
                <w:color w:val="000000"/>
                <w:szCs w:val="28"/>
                <w:lang w:eastAsia="lv-LV"/>
              </w:rPr>
              <w:t>s</w:t>
            </w:r>
            <w:r w:rsidRPr="00A7073B">
              <w:rPr>
                <w:color w:val="000000"/>
                <w:szCs w:val="28"/>
                <w:lang w:eastAsia="lv-LV"/>
              </w:rPr>
              <w:t xml:space="preserve"> „</w:t>
            </w:r>
            <w:r w:rsidR="00CD08D7" w:rsidRPr="00CD08D7">
              <w:rPr>
                <w:color w:val="000000"/>
                <w:szCs w:val="28"/>
                <w:lang w:eastAsia="lv-LV"/>
              </w:rPr>
              <w:t>Gr</w:t>
            </w:r>
            <w:r w:rsidR="00CD08D7">
              <w:rPr>
                <w:color w:val="000000"/>
                <w:szCs w:val="28"/>
                <w:lang w:eastAsia="lv-LV"/>
              </w:rPr>
              <w:t>ozījum</w:t>
            </w:r>
            <w:r w:rsidR="007E1D98">
              <w:rPr>
                <w:color w:val="000000"/>
                <w:szCs w:val="28"/>
                <w:lang w:eastAsia="lv-LV"/>
              </w:rPr>
              <w:t>i</w:t>
            </w:r>
            <w:r w:rsidR="00CD08D7">
              <w:rPr>
                <w:color w:val="000000"/>
                <w:szCs w:val="28"/>
                <w:lang w:eastAsia="lv-LV"/>
              </w:rPr>
              <w:t xml:space="preserve"> Ministru kabineta 2010. gada 28. </w:t>
            </w:r>
            <w:r w:rsidR="00CD08D7" w:rsidRPr="00CD08D7">
              <w:rPr>
                <w:color w:val="000000"/>
                <w:szCs w:val="28"/>
                <w:lang w:eastAsia="lv-LV"/>
              </w:rPr>
              <w:t>decembra noteikumos Nr.</w:t>
            </w:r>
            <w:r w:rsidR="00CD08D7">
              <w:rPr>
                <w:color w:val="000000"/>
                <w:szCs w:val="28"/>
                <w:lang w:eastAsia="lv-LV"/>
              </w:rPr>
              <w:t> </w:t>
            </w:r>
            <w:r w:rsidR="00CD08D7" w:rsidRPr="00CD08D7">
              <w:rPr>
                <w:color w:val="000000"/>
                <w:szCs w:val="28"/>
                <w:lang w:eastAsia="lv-LV"/>
              </w:rPr>
              <w:t xml:space="preserve">1228 „Noteikumi par </w:t>
            </w:r>
            <w:proofErr w:type="spellStart"/>
            <w:r w:rsidR="00CD08D7" w:rsidRPr="00CD08D7">
              <w:rPr>
                <w:color w:val="000000"/>
                <w:szCs w:val="28"/>
                <w:lang w:eastAsia="lv-LV"/>
              </w:rPr>
              <w:t>lielgabarīta</w:t>
            </w:r>
            <w:proofErr w:type="spellEnd"/>
            <w:r w:rsidR="00CD08D7" w:rsidRPr="00CD08D7">
              <w:rPr>
                <w:color w:val="000000"/>
                <w:szCs w:val="28"/>
                <w:lang w:eastAsia="lv-LV"/>
              </w:rPr>
              <w:t xml:space="preserve"> un smagsvara pārvadājumu atļaujas izsniegšanas valsts nodevas apmēru, samaksas kārtību un atbrīvojumiem”</w:t>
            </w:r>
            <w:r w:rsidRPr="00A7073B">
              <w:rPr>
                <w:color w:val="000000"/>
                <w:szCs w:val="28"/>
                <w:lang w:eastAsia="lv-LV"/>
              </w:rPr>
              <w:t xml:space="preserve">” </w:t>
            </w:r>
            <w:r w:rsidR="00843472">
              <w:rPr>
                <w:color w:val="000000"/>
                <w:szCs w:val="28"/>
                <w:lang w:eastAsia="lv-LV"/>
              </w:rPr>
              <w:t xml:space="preserve">(turpmāk – projekts) </w:t>
            </w:r>
            <w:r w:rsidR="009E5FCB">
              <w:rPr>
                <w:color w:val="000000"/>
                <w:szCs w:val="28"/>
                <w:lang w:eastAsia="lv-LV"/>
              </w:rPr>
              <w:t>izstrādāts</w:t>
            </w:r>
            <w:r w:rsidR="0027520D">
              <w:rPr>
                <w:color w:val="000000"/>
                <w:szCs w:val="28"/>
                <w:lang w:eastAsia="lv-LV"/>
              </w:rPr>
              <w:t xml:space="preserve"> pēc Satiksmes ministrijas iniciatīvas, ņemot vērā, ka </w:t>
            </w:r>
            <w:r w:rsidR="00CD08D7">
              <w:rPr>
                <w:color w:val="000000"/>
                <w:szCs w:val="28"/>
                <w:lang w:eastAsia="lv-LV"/>
              </w:rPr>
              <w:t>Mini</w:t>
            </w:r>
            <w:r w:rsidR="0027520D">
              <w:rPr>
                <w:color w:val="000000"/>
                <w:szCs w:val="28"/>
                <w:lang w:eastAsia="lv-LV"/>
              </w:rPr>
              <w:t>stru kabineta noteikumu projekta</w:t>
            </w:r>
            <w:r w:rsidR="00CD08D7">
              <w:rPr>
                <w:color w:val="000000"/>
                <w:szCs w:val="28"/>
                <w:lang w:eastAsia="lv-LV"/>
              </w:rPr>
              <w:t xml:space="preserve"> “</w:t>
            </w:r>
            <w:r w:rsidR="00CD08D7" w:rsidRPr="00CD08D7">
              <w:rPr>
                <w:color w:val="000000"/>
                <w:szCs w:val="28"/>
                <w:lang w:eastAsia="lv-LV"/>
              </w:rPr>
              <w:t>Grozījums Ministru kabineta 2010.</w:t>
            </w:r>
            <w:r w:rsidR="00CD08D7">
              <w:rPr>
                <w:color w:val="000000"/>
                <w:szCs w:val="28"/>
                <w:lang w:eastAsia="lv-LV"/>
              </w:rPr>
              <w:t> </w:t>
            </w:r>
            <w:r w:rsidR="00CD08D7" w:rsidRPr="00CD08D7">
              <w:rPr>
                <w:color w:val="000000"/>
                <w:szCs w:val="28"/>
                <w:lang w:eastAsia="lv-LV"/>
              </w:rPr>
              <w:t xml:space="preserve">gada 6. aprīļa noteikumos Nr. 343 „Noteikumi par </w:t>
            </w:r>
            <w:proofErr w:type="spellStart"/>
            <w:r w:rsidR="00CD08D7" w:rsidRPr="00CD08D7">
              <w:rPr>
                <w:color w:val="000000"/>
                <w:szCs w:val="28"/>
                <w:lang w:eastAsia="lv-LV"/>
              </w:rPr>
              <w:t>lielgabarīta</w:t>
            </w:r>
            <w:proofErr w:type="spellEnd"/>
            <w:r w:rsidR="00CD08D7" w:rsidRPr="00CD08D7">
              <w:rPr>
                <w:color w:val="000000"/>
                <w:szCs w:val="28"/>
                <w:lang w:eastAsia="lv-LV"/>
              </w:rPr>
              <w:t xml:space="preserve"> un smagsvara pārvadājumiem”</w:t>
            </w:r>
            <w:r w:rsidR="00CD08D7">
              <w:rPr>
                <w:color w:val="000000"/>
                <w:szCs w:val="28"/>
                <w:lang w:eastAsia="lv-LV"/>
              </w:rPr>
              <w:t>”</w:t>
            </w:r>
            <w:r w:rsidR="009E5FCB">
              <w:rPr>
                <w:color w:val="000000"/>
                <w:szCs w:val="28"/>
                <w:lang w:eastAsia="lv-LV"/>
              </w:rPr>
              <w:t xml:space="preserve"> </w:t>
            </w:r>
            <w:r w:rsidR="00CD08D7">
              <w:rPr>
                <w:color w:val="000000"/>
                <w:szCs w:val="28"/>
                <w:lang w:eastAsia="lv-LV"/>
              </w:rPr>
              <w:t>(</w:t>
            </w:r>
            <w:r w:rsidR="0027520D">
              <w:rPr>
                <w:color w:val="000000"/>
                <w:szCs w:val="28"/>
                <w:lang w:eastAsia="lv-LV"/>
              </w:rPr>
              <w:t>izstrādāts atbilstoši</w:t>
            </w:r>
            <w:r>
              <w:rPr>
                <w:color w:val="000000"/>
                <w:szCs w:val="28"/>
                <w:lang w:eastAsia="lv-LV"/>
              </w:rPr>
              <w:t xml:space="preserve"> Ministru kabineta 2016. gada 9</w:t>
            </w:r>
            <w:r w:rsidRPr="009E5FCB">
              <w:rPr>
                <w:color w:val="000000"/>
                <w:szCs w:val="28"/>
                <w:lang w:eastAsia="lv-LV"/>
              </w:rPr>
              <w:t>.</w:t>
            </w:r>
            <w:r>
              <w:rPr>
                <w:color w:val="000000"/>
                <w:szCs w:val="28"/>
                <w:lang w:eastAsia="lv-LV"/>
              </w:rPr>
              <w:t> augusta</w:t>
            </w:r>
            <w:r w:rsidRPr="009E5FCB">
              <w:rPr>
                <w:color w:val="000000"/>
                <w:szCs w:val="28"/>
                <w:lang w:eastAsia="lv-LV"/>
              </w:rPr>
              <w:t xml:space="preserve"> sēdes </w:t>
            </w:r>
            <w:proofErr w:type="spellStart"/>
            <w:r w:rsidRPr="009E5FCB">
              <w:rPr>
                <w:color w:val="000000"/>
                <w:szCs w:val="28"/>
                <w:lang w:eastAsia="lv-LV"/>
              </w:rPr>
              <w:t>protoko</w:t>
            </w:r>
            <w:r w:rsidR="00F439E3">
              <w:rPr>
                <w:color w:val="000000"/>
                <w:szCs w:val="28"/>
                <w:lang w:eastAsia="lv-LV"/>
              </w:rPr>
              <w:t>llēmuma</w:t>
            </w:r>
            <w:proofErr w:type="spellEnd"/>
            <w:r>
              <w:rPr>
                <w:color w:val="000000"/>
                <w:szCs w:val="28"/>
                <w:lang w:eastAsia="lv-LV"/>
              </w:rPr>
              <w:t xml:space="preserve"> (prot. Nr. 39 47.§) 3.3. apakšpunktam</w:t>
            </w:r>
            <w:r w:rsidR="00CD08D7">
              <w:rPr>
                <w:color w:val="000000"/>
                <w:szCs w:val="28"/>
                <w:lang w:eastAsia="lv-LV"/>
              </w:rPr>
              <w:t xml:space="preserve">) par </w:t>
            </w:r>
            <w:proofErr w:type="spellStart"/>
            <w:r w:rsidR="00CD08D7">
              <w:rPr>
                <w:color w:val="000000"/>
                <w:szCs w:val="28"/>
                <w:lang w:eastAsia="lv-LV"/>
              </w:rPr>
              <w:t>lielgabarīta</w:t>
            </w:r>
            <w:proofErr w:type="spellEnd"/>
            <w:r w:rsidR="00CD08D7">
              <w:rPr>
                <w:color w:val="000000"/>
                <w:szCs w:val="28"/>
                <w:lang w:eastAsia="lv-LV"/>
              </w:rPr>
              <w:t xml:space="preserve"> un smagsvara atļaujas termiņa sasaistīšanu un autoceļu lietošanas nodevas samaksu</w:t>
            </w:r>
            <w:r w:rsidR="0027520D">
              <w:rPr>
                <w:color w:val="000000"/>
                <w:szCs w:val="28"/>
                <w:lang w:eastAsia="lv-LV"/>
              </w:rPr>
              <w:t xml:space="preserve"> saskaņošanas gaitā tika konstatēts, ka nepieciešams </w:t>
            </w:r>
            <w:r w:rsidR="0027520D">
              <w:rPr>
                <w:szCs w:val="28"/>
              </w:rPr>
              <w:t xml:space="preserve">valsts nodevu diferencēt atkarībā no termiņa, uz kuru izdota </w:t>
            </w:r>
            <w:proofErr w:type="spellStart"/>
            <w:r w:rsidR="0027520D">
              <w:rPr>
                <w:szCs w:val="28"/>
              </w:rPr>
              <w:t>lielgabarīta</w:t>
            </w:r>
            <w:proofErr w:type="spellEnd"/>
            <w:r w:rsidR="0027520D">
              <w:rPr>
                <w:szCs w:val="28"/>
              </w:rPr>
              <w:t xml:space="preserve"> un smagsvara pārvadājumu atļauja</w:t>
            </w:r>
            <w:r w:rsidR="00CD08D7">
              <w:rPr>
                <w:color w:val="000000"/>
                <w:szCs w:val="28"/>
                <w:lang w:eastAsia="lv-LV"/>
              </w:rPr>
              <w:t xml:space="preserve">. </w:t>
            </w:r>
          </w:p>
        </w:tc>
      </w:tr>
      <w:tr w:rsidR="009A22F6" w:rsidRPr="00B2758C" w:rsidTr="006F1B14">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2.</w:t>
            </w:r>
          </w:p>
        </w:tc>
        <w:tc>
          <w:tcPr>
            <w:tcW w:w="182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Pašreizējā situācija un problēmas, kuru risināšanai tiesību akta projekts izstrādāts, tiesiskā regulējuma mērķis un būtība</w:t>
            </w:r>
          </w:p>
        </w:tc>
        <w:tc>
          <w:tcPr>
            <w:tcW w:w="2937" w:type="pct"/>
            <w:tcBorders>
              <w:top w:val="outset" w:sz="6" w:space="0" w:color="414142"/>
              <w:left w:val="outset" w:sz="6" w:space="0" w:color="414142"/>
              <w:bottom w:val="outset" w:sz="6" w:space="0" w:color="414142"/>
            </w:tcBorders>
          </w:tcPr>
          <w:p w:rsidR="00CD08D7" w:rsidRDefault="007E1D98" w:rsidP="00A7073B">
            <w:pPr>
              <w:ind w:firstLine="709"/>
              <w:jc w:val="both"/>
              <w:rPr>
                <w:color w:val="000000"/>
                <w:szCs w:val="28"/>
                <w:lang w:eastAsia="lv-LV"/>
              </w:rPr>
            </w:pPr>
            <w:r>
              <w:rPr>
                <w:color w:val="000000"/>
                <w:szCs w:val="28"/>
                <w:lang w:eastAsia="lv-LV"/>
              </w:rPr>
              <w:t xml:space="preserve">1. </w:t>
            </w:r>
            <w:r w:rsidR="00CD08D7">
              <w:rPr>
                <w:color w:val="000000"/>
                <w:szCs w:val="28"/>
                <w:lang w:eastAsia="lv-LV"/>
              </w:rPr>
              <w:t>Ministru kabineta 2010. gada 28. decembra noteikumu</w:t>
            </w:r>
            <w:r w:rsidR="00CD08D7" w:rsidRPr="00CD08D7">
              <w:rPr>
                <w:color w:val="000000"/>
                <w:szCs w:val="28"/>
                <w:lang w:eastAsia="lv-LV"/>
              </w:rPr>
              <w:t xml:space="preserve"> Nr.</w:t>
            </w:r>
            <w:r w:rsidR="00CD08D7">
              <w:rPr>
                <w:color w:val="000000"/>
                <w:szCs w:val="28"/>
                <w:lang w:eastAsia="lv-LV"/>
              </w:rPr>
              <w:t> </w:t>
            </w:r>
            <w:r w:rsidR="00CD08D7" w:rsidRPr="00CD08D7">
              <w:rPr>
                <w:color w:val="000000"/>
                <w:szCs w:val="28"/>
                <w:lang w:eastAsia="lv-LV"/>
              </w:rPr>
              <w:t xml:space="preserve">1228 „Noteikumi par </w:t>
            </w:r>
            <w:proofErr w:type="spellStart"/>
            <w:r w:rsidR="00CD08D7" w:rsidRPr="00CD08D7">
              <w:rPr>
                <w:color w:val="000000"/>
                <w:szCs w:val="28"/>
                <w:lang w:eastAsia="lv-LV"/>
              </w:rPr>
              <w:t>lielgabarīta</w:t>
            </w:r>
            <w:proofErr w:type="spellEnd"/>
            <w:r w:rsidR="00CD08D7" w:rsidRPr="00CD08D7">
              <w:rPr>
                <w:color w:val="000000"/>
                <w:szCs w:val="28"/>
                <w:lang w:eastAsia="lv-LV"/>
              </w:rPr>
              <w:t xml:space="preserve"> un smagsvara pārvadājumu atļaujas izsniegšanas valsts nodevas apmēru, samaksas kārtību un atbrīvojumiem”</w:t>
            </w:r>
            <w:r w:rsidR="00CD08D7">
              <w:rPr>
                <w:color w:val="000000"/>
                <w:szCs w:val="28"/>
                <w:lang w:eastAsia="lv-LV"/>
              </w:rPr>
              <w:t xml:space="preserve"> (turpmāk – Noteikumi Nr. 1228) pielikuma 3.punktā noteikts, ka v</w:t>
            </w:r>
            <w:r w:rsidR="00CD08D7" w:rsidRPr="00CD08D7">
              <w:rPr>
                <w:color w:val="000000"/>
                <w:szCs w:val="28"/>
                <w:lang w:eastAsia="lv-LV"/>
              </w:rPr>
              <w:t xml:space="preserve">alsts nodevas apmērs, ja normatīvajos aktos noteiktajā kārtībā tiek izsniegta </w:t>
            </w:r>
            <w:proofErr w:type="spellStart"/>
            <w:r w:rsidR="00CD08D7" w:rsidRPr="00CD08D7">
              <w:rPr>
                <w:color w:val="000000"/>
                <w:szCs w:val="28"/>
                <w:lang w:eastAsia="lv-LV"/>
              </w:rPr>
              <w:t>lielgabarīta</w:t>
            </w:r>
            <w:proofErr w:type="spellEnd"/>
            <w:r w:rsidR="00CD08D7" w:rsidRPr="00CD08D7">
              <w:rPr>
                <w:color w:val="000000"/>
                <w:szCs w:val="28"/>
                <w:lang w:eastAsia="lv-LV"/>
              </w:rPr>
              <w:t xml:space="preserve"> un smagsvara pārvadājumu atļauja</w:t>
            </w:r>
            <w:r w:rsidR="00CD08D7">
              <w:rPr>
                <w:color w:val="000000"/>
                <w:szCs w:val="28"/>
                <w:lang w:eastAsia="lv-LV"/>
              </w:rPr>
              <w:t xml:space="preserve"> uz noteiktu laiku, ir vienāds neatkarīgi no tā, vai atļauja tiek izsniegta, piemēram, uz trīs mēnešiem vai </w:t>
            </w:r>
            <w:r w:rsidR="00802847">
              <w:rPr>
                <w:color w:val="000000"/>
                <w:szCs w:val="28"/>
                <w:lang w:eastAsia="lv-LV"/>
              </w:rPr>
              <w:t>12 mēnešiem</w:t>
            </w:r>
            <w:r w:rsidR="00CD08D7">
              <w:rPr>
                <w:color w:val="000000"/>
                <w:szCs w:val="28"/>
                <w:lang w:eastAsia="lv-LV"/>
              </w:rPr>
              <w:t xml:space="preserve">. Līdz ar to pašlaik </w:t>
            </w:r>
            <w:proofErr w:type="spellStart"/>
            <w:r w:rsidR="00CD08D7">
              <w:rPr>
                <w:color w:val="000000"/>
                <w:szCs w:val="28"/>
                <w:lang w:eastAsia="lv-LV"/>
              </w:rPr>
              <w:t>lielgabarīta</w:t>
            </w:r>
            <w:proofErr w:type="spellEnd"/>
            <w:r w:rsidR="00CD08D7">
              <w:rPr>
                <w:color w:val="000000"/>
                <w:szCs w:val="28"/>
                <w:lang w:eastAsia="lv-LV"/>
              </w:rPr>
              <w:t xml:space="preserve"> un smagsvara pārvadājumu atļaujas, kas tiek izsniegtas uz noteiktu laiku, parasti tiek izsniegtas uz maksimālo termiņu – 12 mēnešiem.</w:t>
            </w:r>
          </w:p>
          <w:p w:rsidR="00CD08D7" w:rsidRDefault="00CD08D7" w:rsidP="00A7073B">
            <w:pPr>
              <w:ind w:firstLine="709"/>
              <w:jc w:val="both"/>
              <w:rPr>
                <w:szCs w:val="28"/>
                <w:lang w:eastAsia="lv-LV"/>
              </w:rPr>
            </w:pPr>
            <w:r>
              <w:rPr>
                <w:color w:val="000000"/>
                <w:szCs w:val="28"/>
                <w:lang w:eastAsia="lv-LV"/>
              </w:rPr>
              <w:lastRenderedPageBreak/>
              <w:t xml:space="preserve">Ar grozījumu </w:t>
            </w:r>
            <w:r w:rsidRPr="00CD08D7">
              <w:rPr>
                <w:color w:val="000000"/>
                <w:szCs w:val="28"/>
                <w:lang w:eastAsia="lv-LV"/>
              </w:rPr>
              <w:t>Ministru kabineta 2010.</w:t>
            </w:r>
            <w:r>
              <w:rPr>
                <w:color w:val="000000"/>
                <w:szCs w:val="28"/>
                <w:lang w:eastAsia="lv-LV"/>
              </w:rPr>
              <w:t> </w:t>
            </w:r>
            <w:r w:rsidRPr="00CD08D7">
              <w:rPr>
                <w:color w:val="000000"/>
                <w:szCs w:val="28"/>
                <w:lang w:eastAsia="lv-LV"/>
              </w:rPr>
              <w:t xml:space="preserve">gada 6. aprīļa noteikumos Nr. 343 „Noteikumi par </w:t>
            </w:r>
            <w:proofErr w:type="spellStart"/>
            <w:r w:rsidRPr="00CD08D7">
              <w:rPr>
                <w:color w:val="000000"/>
                <w:szCs w:val="28"/>
                <w:lang w:eastAsia="lv-LV"/>
              </w:rPr>
              <w:t>lielgabarīta</w:t>
            </w:r>
            <w:proofErr w:type="spellEnd"/>
            <w:r w:rsidRPr="00CD08D7">
              <w:rPr>
                <w:color w:val="000000"/>
                <w:szCs w:val="28"/>
                <w:lang w:eastAsia="lv-LV"/>
              </w:rPr>
              <w:t xml:space="preserve"> un smagsvara pārvadājumiem”</w:t>
            </w:r>
            <w:r>
              <w:rPr>
                <w:color w:val="000000"/>
                <w:szCs w:val="28"/>
                <w:lang w:eastAsia="lv-LV"/>
              </w:rPr>
              <w:t xml:space="preserve"> (turpmāk – Noteikumi Nr. 343) plānots noteikt, ka tad, j</w:t>
            </w:r>
            <w:r w:rsidRPr="00CD08D7">
              <w:rPr>
                <w:color w:val="000000"/>
                <w:szCs w:val="28"/>
                <w:lang w:eastAsia="lv-LV"/>
              </w:rPr>
              <w:t xml:space="preserve">a </w:t>
            </w:r>
            <w:r>
              <w:rPr>
                <w:color w:val="000000"/>
                <w:szCs w:val="28"/>
                <w:lang w:eastAsia="lv-LV"/>
              </w:rPr>
              <w:t>N</w:t>
            </w:r>
            <w:r w:rsidRPr="00CD08D7">
              <w:rPr>
                <w:color w:val="000000"/>
                <w:szCs w:val="28"/>
                <w:lang w:eastAsia="lv-LV"/>
              </w:rPr>
              <w:t xml:space="preserve">oteikumu </w:t>
            </w:r>
            <w:r>
              <w:rPr>
                <w:color w:val="000000"/>
                <w:szCs w:val="28"/>
                <w:lang w:eastAsia="lv-LV"/>
              </w:rPr>
              <w:t xml:space="preserve">Nr. 343 </w:t>
            </w:r>
            <w:r w:rsidRPr="00CD08D7">
              <w:rPr>
                <w:color w:val="000000"/>
                <w:szCs w:val="28"/>
                <w:lang w:eastAsia="lv-LV"/>
              </w:rPr>
              <w:t xml:space="preserve">9., 36. un 40.punktā minēto atļauju </w:t>
            </w:r>
            <w:proofErr w:type="spellStart"/>
            <w:r w:rsidRPr="00CD08D7">
              <w:rPr>
                <w:color w:val="000000"/>
                <w:szCs w:val="28"/>
                <w:lang w:eastAsia="lv-LV"/>
              </w:rPr>
              <w:t>lielgabarīta</w:t>
            </w:r>
            <w:proofErr w:type="spellEnd"/>
            <w:r w:rsidRPr="00CD08D7">
              <w:rPr>
                <w:color w:val="000000"/>
                <w:szCs w:val="28"/>
                <w:lang w:eastAsia="lv-LV"/>
              </w:rPr>
              <w:t xml:space="preserve"> un smagsvara kravu pārvadāšanai </w:t>
            </w:r>
            <w:r w:rsidR="005E7093">
              <w:rPr>
                <w:color w:val="000000"/>
                <w:szCs w:val="28"/>
                <w:lang w:eastAsia="lv-LV"/>
              </w:rPr>
              <w:t>(</w:t>
            </w:r>
            <w:r w:rsidR="005E7093">
              <w:rPr>
                <w:szCs w:val="28"/>
                <w:lang w:eastAsia="lv-LV"/>
              </w:rPr>
              <w:t>j</w:t>
            </w:r>
            <w:r w:rsidR="005E7093" w:rsidRPr="0078679D">
              <w:rPr>
                <w:szCs w:val="28"/>
                <w:lang w:eastAsia="lv-LV"/>
              </w:rPr>
              <w:t>a transportlīdzeklim saskaņā ar veicamo darbu specifiku nepieciešams pārvadājumu veikt bieži un atkārtoti</w:t>
            </w:r>
            <w:r w:rsidR="005E7093">
              <w:rPr>
                <w:szCs w:val="28"/>
                <w:lang w:eastAsia="lv-LV"/>
              </w:rPr>
              <w:t>;</w:t>
            </w:r>
            <w:r w:rsidR="005E7093">
              <w:rPr>
                <w:color w:val="000000"/>
                <w:szCs w:val="28"/>
                <w:lang w:eastAsia="lv-LV"/>
              </w:rPr>
              <w:t xml:space="preserve"> </w:t>
            </w:r>
            <w:r w:rsidR="005E7093" w:rsidRPr="00A7073B">
              <w:rPr>
                <w:szCs w:val="28"/>
                <w:lang w:eastAsia="lv-LV"/>
              </w:rPr>
              <w:t xml:space="preserve">dalāmu kokmateriālu un lauksaimniecības produkcijas </w:t>
            </w:r>
            <w:proofErr w:type="spellStart"/>
            <w:r w:rsidR="005E7093" w:rsidRPr="00A7073B">
              <w:rPr>
                <w:szCs w:val="28"/>
                <w:lang w:eastAsia="lv-LV"/>
              </w:rPr>
              <w:t>lielgabarīta</w:t>
            </w:r>
            <w:proofErr w:type="spellEnd"/>
            <w:r w:rsidR="005E7093" w:rsidRPr="00A7073B">
              <w:rPr>
                <w:szCs w:val="28"/>
                <w:lang w:eastAsia="lv-LV"/>
              </w:rPr>
              <w:t xml:space="preserve"> un smagsvara kravu pārvadāšanai ar specializētajiem </w:t>
            </w:r>
            <w:proofErr w:type="spellStart"/>
            <w:r w:rsidR="005E7093" w:rsidRPr="00A7073B">
              <w:rPr>
                <w:szCs w:val="28"/>
                <w:lang w:eastAsia="lv-LV"/>
              </w:rPr>
              <w:t>lielgabarīta</w:t>
            </w:r>
            <w:proofErr w:type="spellEnd"/>
            <w:r w:rsidR="005E7093" w:rsidRPr="00A7073B">
              <w:rPr>
                <w:szCs w:val="28"/>
                <w:lang w:eastAsia="lv-LV"/>
              </w:rPr>
              <w:t xml:space="preserve"> un smagsvara transportlīdzekļiem</w:t>
            </w:r>
            <w:r w:rsidR="005E7093">
              <w:rPr>
                <w:szCs w:val="28"/>
                <w:lang w:eastAsia="lv-LV"/>
              </w:rPr>
              <w:t xml:space="preserve">; </w:t>
            </w:r>
            <w:r w:rsidR="005E7093" w:rsidRPr="0078679D">
              <w:rPr>
                <w:szCs w:val="28"/>
                <w:lang w:eastAsia="lv-LV"/>
              </w:rPr>
              <w:t xml:space="preserve">dolomīta akmens un cementa </w:t>
            </w:r>
            <w:proofErr w:type="spellStart"/>
            <w:r w:rsidR="005E7093" w:rsidRPr="0078679D">
              <w:rPr>
                <w:szCs w:val="28"/>
                <w:lang w:eastAsia="lv-LV"/>
              </w:rPr>
              <w:t>lielgabarīta</w:t>
            </w:r>
            <w:proofErr w:type="spellEnd"/>
            <w:r w:rsidR="005E7093" w:rsidRPr="0078679D">
              <w:rPr>
                <w:szCs w:val="28"/>
                <w:lang w:eastAsia="lv-LV"/>
              </w:rPr>
              <w:t xml:space="preserve"> un smagsvara kravu pārvadāšanai ar </w:t>
            </w:r>
            <w:proofErr w:type="spellStart"/>
            <w:r w:rsidR="005E7093" w:rsidRPr="0078679D">
              <w:rPr>
                <w:szCs w:val="28"/>
                <w:lang w:eastAsia="lv-LV"/>
              </w:rPr>
              <w:t>lielgabarīta</w:t>
            </w:r>
            <w:proofErr w:type="spellEnd"/>
            <w:r w:rsidR="005E7093" w:rsidRPr="0078679D">
              <w:rPr>
                <w:szCs w:val="28"/>
                <w:lang w:eastAsia="lv-LV"/>
              </w:rPr>
              <w:t xml:space="preserve"> un smagsvara transportlīdzekļiem</w:t>
            </w:r>
            <w:r w:rsidR="005E7093">
              <w:rPr>
                <w:szCs w:val="28"/>
                <w:lang w:eastAsia="lv-LV"/>
              </w:rPr>
              <w:t xml:space="preserve">) </w:t>
            </w:r>
            <w:r w:rsidRPr="00CD08D7">
              <w:rPr>
                <w:color w:val="000000"/>
                <w:szCs w:val="28"/>
                <w:lang w:eastAsia="lv-LV"/>
              </w:rPr>
              <w:t>izsniedz, lai pārvietotos pa valsts autoceļiem, par kuru lietošanu maksājama autoceļu lietošanas nodeva, atļauju izsniedz uz noteiktu laiku līdz 12 mēnešiem, bet ne ilgāk kā par termiņu, līdz kuram par konkrēto transportlīdzekli ir samaksāta autoceļu lietošanas nodeva.</w:t>
            </w:r>
            <w:r w:rsidR="005E7093">
              <w:rPr>
                <w:color w:val="000000"/>
                <w:szCs w:val="28"/>
                <w:lang w:eastAsia="lv-LV"/>
              </w:rPr>
              <w:t xml:space="preserve"> </w:t>
            </w:r>
          </w:p>
          <w:p w:rsidR="00CD08D7" w:rsidRPr="00E65C8B" w:rsidRDefault="00802847" w:rsidP="00A7073B">
            <w:pPr>
              <w:ind w:firstLine="709"/>
              <w:jc w:val="both"/>
              <w:rPr>
                <w:szCs w:val="28"/>
                <w:lang w:eastAsia="lv-LV"/>
              </w:rPr>
            </w:pPr>
            <w:r>
              <w:rPr>
                <w:szCs w:val="28"/>
              </w:rPr>
              <w:t>N</w:t>
            </w:r>
            <w:r w:rsidR="005E7093">
              <w:rPr>
                <w:szCs w:val="28"/>
              </w:rPr>
              <w:t xml:space="preserve">epieciešams valsts nodevu diferencēt atkarībā no termiņa, uz kuru izdota </w:t>
            </w:r>
            <w:proofErr w:type="spellStart"/>
            <w:r w:rsidR="005E7093">
              <w:rPr>
                <w:szCs w:val="28"/>
              </w:rPr>
              <w:t>lielgabarīta</w:t>
            </w:r>
            <w:proofErr w:type="spellEnd"/>
            <w:r w:rsidR="005E7093">
              <w:rPr>
                <w:szCs w:val="28"/>
              </w:rPr>
              <w:t xml:space="preserve"> un smagsvara pārvadājumu atļauja, tādējādi neparedzot papildu finansiālu slogu pārvadātājiem, kas vēlēsies samaksāt autoceļu lietošanas nodevu uz īsāku termiņu nekā </w:t>
            </w:r>
            <w:r w:rsidR="00EB1FC5">
              <w:rPr>
                <w:szCs w:val="28"/>
              </w:rPr>
              <w:t>12 mēneši</w:t>
            </w:r>
            <w:r w:rsidR="005E7093">
              <w:rPr>
                <w:szCs w:val="28"/>
              </w:rPr>
              <w:t xml:space="preserve">, līdz ar to </w:t>
            </w:r>
            <w:proofErr w:type="spellStart"/>
            <w:r w:rsidR="005E7093">
              <w:rPr>
                <w:szCs w:val="28"/>
              </w:rPr>
              <w:t>lielgabarīta</w:t>
            </w:r>
            <w:proofErr w:type="spellEnd"/>
            <w:r w:rsidR="005E7093">
              <w:rPr>
                <w:szCs w:val="28"/>
              </w:rPr>
              <w:t xml:space="preserve"> un smagsvara atļauju saņemot biežāk.</w:t>
            </w:r>
            <w:r w:rsidR="00AB61E9">
              <w:rPr>
                <w:szCs w:val="28"/>
              </w:rPr>
              <w:t xml:space="preserve"> Pamatojoties uz iepriekš minēto, valsts nodeva ir proporcionāli samazināta atkarībā no tā, vai </w:t>
            </w:r>
            <w:proofErr w:type="spellStart"/>
            <w:r w:rsidR="00AB61E9">
              <w:rPr>
                <w:szCs w:val="28"/>
              </w:rPr>
              <w:t>lielgabarīta</w:t>
            </w:r>
            <w:proofErr w:type="spellEnd"/>
            <w:r w:rsidR="00AB61E9">
              <w:rPr>
                <w:szCs w:val="28"/>
              </w:rPr>
              <w:t xml:space="preserve"> un smagsvara pārvadājumu atļauju izsniedz </w:t>
            </w:r>
            <w:r w:rsidR="002C295B" w:rsidRPr="00E65C8B">
              <w:rPr>
                <w:szCs w:val="28"/>
              </w:rPr>
              <w:t>līdz</w:t>
            </w:r>
            <w:r w:rsidR="00AB61E9" w:rsidRPr="00E65C8B">
              <w:rPr>
                <w:szCs w:val="28"/>
              </w:rPr>
              <w:t xml:space="preserve"> </w:t>
            </w:r>
            <w:r w:rsidR="002C295B" w:rsidRPr="00E65C8B">
              <w:rPr>
                <w:szCs w:val="28"/>
              </w:rPr>
              <w:t>vienam</w:t>
            </w:r>
            <w:r w:rsidR="007036F1" w:rsidRPr="00E65C8B">
              <w:rPr>
                <w:szCs w:val="28"/>
              </w:rPr>
              <w:t xml:space="preserve">, </w:t>
            </w:r>
            <w:r w:rsidRPr="00E65C8B">
              <w:rPr>
                <w:szCs w:val="28"/>
              </w:rPr>
              <w:t>trīs, sešiem</w:t>
            </w:r>
            <w:r w:rsidR="00AB61E9" w:rsidRPr="00E65C8B">
              <w:rPr>
                <w:szCs w:val="28"/>
              </w:rPr>
              <w:t xml:space="preserve"> vai 12 mēnešiem. Ņemot vērā, ka ir runa par regulāriem pārvadājumiem, nav paredzēts samazināts nodevas apmērs par </w:t>
            </w:r>
            <w:r w:rsidR="00B20144" w:rsidRPr="00E65C8B">
              <w:rPr>
                <w:szCs w:val="28"/>
              </w:rPr>
              <w:t xml:space="preserve">īsāku </w:t>
            </w:r>
            <w:r w:rsidR="00AB61E9" w:rsidRPr="00E65C8B">
              <w:rPr>
                <w:szCs w:val="28"/>
              </w:rPr>
              <w:t xml:space="preserve">termiņu </w:t>
            </w:r>
            <w:r w:rsidR="00B20144" w:rsidRPr="00E65C8B">
              <w:rPr>
                <w:szCs w:val="28"/>
              </w:rPr>
              <w:t>kā</w:t>
            </w:r>
            <w:r w:rsidR="00AB61E9" w:rsidRPr="00E65C8B">
              <w:rPr>
                <w:szCs w:val="28"/>
              </w:rPr>
              <w:t xml:space="preserve"> </w:t>
            </w:r>
            <w:r w:rsidR="007036F1" w:rsidRPr="00E65C8B">
              <w:rPr>
                <w:szCs w:val="28"/>
              </w:rPr>
              <w:t>viens mēnesis</w:t>
            </w:r>
            <w:r w:rsidR="00AB61E9" w:rsidRPr="00E65C8B">
              <w:rPr>
                <w:szCs w:val="28"/>
              </w:rPr>
              <w:t>, jo atļaujas pieprasīšana, piemēram, katru nedēļu, radītu pārmērīgu administratīvu slogu.</w:t>
            </w:r>
          </w:p>
          <w:p w:rsidR="005A0B95" w:rsidRDefault="005E7093" w:rsidP="007036F1">
            <w:pPr>
              <w:ind w:firstLine="709"/>
              <w:jc w:val="both"/>
              <w:rPr>
                <w:bCs/>
                <w:szCs w:val="28"/>
                <w:lang w:eastAsia="lv-LV"/>
              </w:rPr>
            </w:pPr>
            <w:r>
              <w:rPr>
                <w:bCs/>
                <w:szCs w:val="28"/>
                <w:lang w:eastAsia="lv-LV"/>
              </w:rPr>
              <w:t xml:space="preserve">Vienlaikus ar projektu tiek svītrots Noteikumu Nr. 1228 pielikuma 3.2.apakšpunkts, jo Noteikumos Nr. 343 nav paredzēta iespēja </w:t>
            </w:r>
            <w:proofErr w:type="spellStart"/>
            <w:r>
              <w:rPr>
                <w:bCs/>
                <w:szCs w:val="28"/>
                <w:lang w:eastAsia="lv-LV"/>
              </w:rPr>
              <w:t>lielgabarīta</w:t>
            </w:r>
            <w:proofErr w:type="spellEnd"/>
            <w:r>
              <w:rPr>
                <w:bCs/>
                <w:szCs w:val="28"/>
                <w:lang w:eastAsia="lv-LV"/>
              </w:rPr>
              <w:t xml:space="preserve"> un smagsvara pārvadājumu atļauju saņemt uz noteiktu termiņu līdz 36 mēnešiem.</w:t>
            </w:r>
          </w:p>
          <w:p w:rsidR="007E1D98" w:rsidRPr="005A0B95" w:rsidRDefault="007E1D98" w:rsidP="004F16B4">
            <w:pPr>
              <w:ind w:firstLine="720"/>
              <w:jc w:val="both"/>
              <w:rPr>
                <w:bCs/>
                <w:szCs w:val="28"/>
                <w:lang w:eastAsia="lv-LV"/>
              </w:rPr>
            </w:pPr>
            <w:r>
              <w:rPr>
                <w:szCs w:val="28"/>
              </w:rPr>
              <w:lastRenderedPageBreak/>
              <w:t xml:space="preserve">2. </w:t>
            </w:r>
            <w:r w:rsidRPr="00554E77">
              <w:rPr>
                <w:szCs w:val="28"/>
              </w:rPr>
              <w:t xml:space="preserve">Šobrīd tiek mainītas vairākas kredītiestāžu iekšējās sistēmas un pakalpojumi, un turpmāk </w:t>
            </w:r>
            <w:r w:rsidRPr="00554E77">
              <w:rPr>
                <w:bCs/>
                <w:szCs w:val="28"/>
                <w:lang w:eastAsia="lv-LV"/>
              </w:rPr>
              <w:t>nodevas iemaksu veikšanas iespējas valsts pamatbudžeta ieņēmumos skaidrā naudā ir ierobežotas.</w:t>
            </w:r>
            <w:r w:rsidRPr="00554E77" w:rsidDel="00A31BAC">
              <w:rPr>
                <w:szCs w:val="28"/>
              </w:rPr>
              <w:t xml:space="preserve"> </w:t>
            </w:r>
            <w:r>
              <w:rPr>
                <w:szCs w:val="28"/>
              </w:rPr>
              <w:t xml:space="preserve">Līdz ar to </w:t>
            </w:r>
            <w:r>
              <w:rPr>
                <w:bCs/>
                <w:szCs w:val="28"/>
                <w:lang w:eastAsia="lv-LV"/>
              </w:rPr>
              <w:t>i</w:t>
            </w:r>
            <w:r w:rsidRPr="00554E77">
              <w:rPr>
                <w:bCs/>
                <w:szCs w:val="28"/>
                <w:lang w:eastAsia="lv-LV"/>
              </w:rPr>
              <w:t xml:space="preserve">r nepieciešams svītrot </w:t>
            </w:r>
            <w:r w:rsidRPr="00861391">
              <w:rPr>
                <w:bCs/>
                <w:szCs w:val="28"/>
                <w:lang w:eastAsia="lv-LV"/>
              </w:rPr>
              <w:t>3.2. un</w:t>
            </w:r>
            <w:r w:rsidRPr="00861391">
              <w:rPr>
                <w:szCs w:val="28"/>
              </w:rPr>
              <w:t xml:space="preserve"> 6.1.apakšpunktu, turpmāk</w:t>
            </w:r>
            <w:r>
              <w:rPr>
                <w:szCs w:val="28"/>
              </w:rPr>
              <w:t xml:space="preserve"> paredzot iespēju nodevu samaksāt tikai, izmantojot </w:t>
            </w:r>
            <w:r w:rsidRPr="007E1D98">
              <w:rPr>
                <w:szCs w:val="28"/>
              </w:rPr>
              <w:t>bezskaidras naudas norēķinus (ar pārskaitījumu)</w:t>
            </w:r>
            <w:r>
              <w:rPr>
                <w:szCs w:val="28"/>
              </w:rPr>
              <w:t xml:space="preserve"> vai maksājumu karti. </w:t>
            </w:r>
          </w:p>
        </w:tc>
      </w:tr>
      <w:tr w:rsidR="009A22F6" w:rsidRPr="00B2758C" w:rsidTr="006F1B14">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lastRenderedPageBreak/>
              <w:t>3.</w:t>
            </w:r>
          </w:p>
        </w:tc>
        <w:tc>
          <w:tcPr>
            <w:tcW w:w="182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izstrādē iesaistītās institūcijas</w:t>
            </w:r>
          </w:p>
        </w:tc>
        <w:tc>
          <w:tcPr>
            <w:tcW w:w="2937" w:type="pct"/>
            <w:tcBorders>
              <w:top w:val="outset" w:sz="6" w:space="0" w:color="414142"/>
              <w:left w:val="outset" w:sz="6" w:space="0" w:color="414142"/>
              <w:bottom w:val="outset" w:sz="6" w:space="0" w:color="414142"/>
            </w:tcBorders>
          </w:tcPr>
          <w:p w:rsidR="009A22F6" w:rsidRPr="008B42C6" w:rsidRDefault="009A22F6" w:rsidP="004F16B4">
            <w:pPr>
              <w:jc w:val="both"/>
              <w:rPr>
                <w:color w:val="000000"/>
                <w:szCs w:val="28"/>
                <w:lang w:eastAsia="lv-LV"/>
              </w:rPr>
            </w:pPr>
            <w:r w:rsidRPr="008B42C6">
              <w:rPr>
                <w:color w:val="000000"/>
                <w:szCs w:val="28"/>
                <w:lang w:eastAsia="lv-LV"/>
              </w:rPr>
              <w:t xml:space="preserve">Satiksmes ministrija, </w:t>
            </w:r>
            <w:r w:rsidR="004F16B4">
              <w:rPr>
                <w:color w:val="000000"/>
                <w:szCs w:val="28"/>
                <w:lang w:eastAsia="lv-LV"/>
              </w:rPr>
              <w:t>VAS</w:t>
            </w:r>
            <w:r w:rsidRPr="008B42C6">
              <w:rPr>
                <w:color w:val="000000"/>
                <w:szCs w:val="28"/>
                <w:lang w:eastAsia="lv-LV"/>
              </w:rPr>
              <w:t xml:space="preserve"> „Latvijas Valsts ceļi”</w:t>
            </w:r>
          </w:p>
        </w:tc>
      </w:tr>
      <w:tr w:rsidR="009A22F6" w:rsidRPr="00B2758C" w:rsidTr="006F1B14">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4.</w:t>
            </w:r>
          </w:p>
        </w:tc>
        <w:tc>
          <w:tcPr>
            <w:tcW w:w="182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2937"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9A22F6" w:rsidRPr="00A02AC1"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6"/>
        <w:gridCol w:w="3212"/>
        <w:gridCol w:w="5921"/>
      </w:tblGrid>
      <w:tr w:rsidR="009A22F6" w:rsidRPr="00B2758C" w:rsidTr="007D7602">
        <w:trPr>
          <w:trHeight w:val="55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II</w:t>
            </w:r>
            <w:r w:rsidR="009F7AA2">
              <w:rPr>
                <w:b/>
                <w:bCs/>
                <w:color w:val="000000"/>
                <w:szCs w:val="28"/>
                <w:lang w:eastAsia="lv-LV"/>
              </w:rPr>
              <w:t>.</w:t>
            </w:r>
            <w:r w:rsidR="009A22F6" w:rsidRPr="008B42C6">
              <w:rPr>
                <w:b/>
                <w:bCs/>
                <w:color w:val="000000"/>
                <w:szCs w:val="28"/>
                <w:lang w:eastAsia="lv-LV"/>
              </w:rPr>
              <w:t xml:space="preserve"> Tiesību akta projekta ietekme uz sabiedrību, tautsaimniecības attīstību un administratīvo slogu</w:t>
            </w:r>
          </w:p>
        </w:tc>
      </w:tr>
      <w:tr w:rsidR="009A22F6" w:rsidRPr="00B2758C" w:rsidTr="006F1B14">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673"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Sabiedrības </w:t>
            </w:r>
            <w:proofErr w:type="spellStart"/>
            <w:r w:rsidRPr="008B42C6">
              <w:rPr>
                <w:color w:val="000000"/>
                <w:szCs w:val="28"/>
                <w:lang w:eastAsia="lv-LV"/>
              </w:rPr>
              <w:t>mērķgrupas</w:t>
            </w:r>
            <w:proofErr w:type="spellEnd"/>
            <w:r w:rsidRPr="008B42C6">
              <w:rPr>
                <w:color w:val="000000"/>
                <w:szCs w:val="28"/>
                <w:lang w:eastAsia="lv-LV"/>
              </w:rPr>
              <w:t>, kuras tiesiskais regulējums ietekmē vai varētu ietekmēt</w:t>
            </w:r>
          </w:p>
        </w:tc>
        <w:tc>
          <w:tcPr>
            <w:tcW w:w="3084" w:type="pct"/>
            <w:tcBorders>
              <w:top w:val="outset" w:sz="6" w:space="0" w:color="414142"/>
              <w:left w:val="outset" w:sz="6" w:space="0" w:color="414142"/>
              <w:bottom w:val="outset" w:sz="6" w:space="0" w:color="414142"/>
            </w:tcBorders>
          </w:tcPr>
          <w:p w:rsidR="00792493" w:rsidRDefault="00792493" w:rsidP="009B40CD">
            <w:pPr>
              <w:ind w:firstLine="722"/>
              <w:jc w:val="both"/>
              <w:rPr>
                <w:color w:val="000000"/>
                <w:szCs w:val="28"/>
                <w:lang w:eastAsia="lv-LV"/>
              </w:rPr>
            </w:pPr>
            <w:r>
              <w:rPr>
                <w:color w:val="000000"/>
                <w:szCs w:val="28"/>
                <w:lang w:eastAsia="lv-LV"/>
              </w:rPr>
              <w:t xml:space="preserve">1. </w:t>
            </w:r>
            <w:proofErr w:type="spellStart"/>
            <w:r>
              <w:rPr>
                <w:color w:val="000000"/>
                <w:szCs w:val="28"/>
                <w:lang w:eastAsia="lv-LV"/>
              </w:rPr>
              <w:t>Lielgabarīta</w:t>
            </w:r>
            <w:proofErr w:type="spellEnd"/>
            <w:r>
              <w:rPr>
                <w:color w:val="000000"/>
                <w:szCs w:val="28"/>
                <w:lang w:eastAsia="lv-LV"/>
              </w:rPr>
              <w:t xml:space="preserve"> un smagsvara kravu p</w:t>
            </w:r>
            <w:r w:rsidR="004D4890">
              <w:rPr>
                <w:color w:val="000000"/>
                <w:szCs w:val="28"/>
                <w:lang w:eastAsia="lv-LV"/>
              </w:rPr>
              <w:t>ārvadā</w:t>
            </w:r>
            <w:r>
              <w:rPr>
                <w:color w:val="000000"/>
                <w:szCs w:val="28"/>
                <w:lang w:eastAsia="lv-LV"/>
              </w:rPr>
              <w:t xml:space="preserve">tāji, kuriem </w:t>
            </w:r>
            <w:r w:rsidRPr="00792493">
              <w:rPr>
                <w:color w:val="000000"/>
                <w:szCs w:val="28"/>
                <w:lang w:eastAsia="lv-LV"/>
              </w:rPr>
              <w:t>saskaņā ar veicamo darbu specifiku nepieciešams pārvadājumu veikt bieži un atkārtoti</w:t>
            </w:r>
            <w:r>
              <w:rPr>
                <w:color w:val="000000"/>
                <w:szCs w:val="28"/>
                <w:lang w:eastAsia="lv-LV"/>
              </w:rPr>
              <w:t>.</w:t>
            </w:r>
          </w:p>
          <w:p w:rsidR="009A22F6" w:rsidRDefault="00792493" w:rsidP="009B40CD">
            <w:pPr>
              <w:ind w:firstLine="722"/>
              <w:jc w:val="both"/>
              <w:rPr>
                <w:color w:val="000000"/>
                <w:szCs w:val="28"/>
                <w:lang w:eastAsia="lv-LV"/>
              </w:rPr>
            </w:pPr>
            <w:r>
              <w:rPr>
                <w:color w:val="000000"/>
                <w:szCs w:val="28"/>
                <w:lang w:eastAsia="lv-LV"/>
              </w:rPr>
              <w:t>2</w:t>
            </w:r>
            <w:r w:rsidR="00843472">
              <w:rPr>
                <w:color w:val="000000"/>
                <w:szCs w:val="28"/>
                <w:lang w:eastAsia="lv-LV"/>
              </w:rPr>
              <w:t xml:space="preserve">. </w:t>
            </w:r>
            <w:r w:rsidR="009B40CD">
              <w:rPr>
                <w:color w:val="000000"/>
                <w:szCs w:val="28"/>
                <w:lang w:eastAsia="lv-LV"/>
              </w:rPr>
              <w:t>Dalāmu</w:t>
            </w:r>
            <w:r w:rsidR="009B40CD" w:rsidRPr="009B40CD">
              <w:rPr>
                <w:color w:val="000000"/>
                <w:szCs w:val="28"/>
                <w:lang w:eastAsia="lv-LV"/>
              </w:rPr>
              <w:t xml:space="preserve"> kokmateriālu </w:t>
            </w:r>
            <w:r w:rsidR="009B40CD">
              <w:rPr>
                <w:color w:val="000000"/>
                <w:szCs w:val="28"/>
                <w:lang w:eastAsia="lv-LV"/>
              </w:rPr>
              <w:t>(</w:t>
            </w:r>
            <w:r w:rsidR="009B40CD" w:rsidRPr="009B40CD">
              <w:rPr>
                <w:color w:val="000000"/>
                <w:szCs w:val="28"/>
                <w:lang w:eastAsia="lv-LV"/>
              </w:rPr>
              <w:t>apaļkok</w:t>
            </w:r>
            <w:r w:rsidR="009B40CD">
              <w:rPr>
                <w:color w:val="000000"/>
                <w:szCs w:val="28"/>
                <w:lang w:eastAsia="lv-LV"/>
              </w:rPr>
              <w:t>u</w:t>
            </w:r>
            <w:r w:rsidR="009B40CD" w:rsidRPr="009B40CD">
              <w:rPr>
                <w:color w:val="000000"/>
                <w:szCs w:val="28"/>
                <w:lang w:eastAsia="lv-LV"/>
              </w:rPr>
              <w:t>, šķelda</w:t>
            </w:r>
            <w:r w:rsidR="009B40CD">
              <w:rPr>
                <w:color w:val="000000"/>
                <w:szCs w:val="28"/>
                <w:lang w:eastAsia="lv-LV"/>
              </w:rPr>
              <w:t xml:space="preserve">s, koksnes </w:t>
            </w:r>
            <w:proofErr w:type="spellStart"/>
            <w:r w:rsidR="009B40CD">
              <w:rPr>
                <w:color w:val="000000"/>
                <w:szCs w:val="28"/>
                <w:lang w:eastAsia="lv-LV"/>
              </w:rPr>
              <w:t>gabalatlieku</w:t>
            </w:r>
            <w:proofErr w:type="spellEnd"/>
            <w:r w:rsidR="009B40CD">
              <w:rPr>
                <w:color w:val="000000"/>
                <w:szCs w:val="28"/>
                <w:lang w:eastAsia="lv-LV"/>
              </w:rPr>
              <w:t xml:space="preserve">, mizu un skaidu) </w:t>
            </w:r>
            <w:proofErr w:type="spellStart"/>
            <w:r w:rsidR="001A1F82">
              <w:rPr>
                <w:color w:val="000000"/>
                <w:szCs w:val="28"/>
                <w:lang w:eastAsia="lv-LV"/>
              </w:rPr>
              <w:t>l</w:t>
            </w:r>
            <w:r w:rsidR="009B40CD" w:rsidRPr="009B40CD">
              <w:rPr>
                <w:color w:val="000000"/>
                <w:szCs w:val="28"/>
                <w:lang w:eastAsia="lv-LV"/>
              </w:rPr>
              <w:t>ielgabarīta</w:t>
            </w:r>
            <w:proofErr w:type="spellEnd"/>
            <w:r w:rsidR="009B40CD" w:rsidRPr="009B40CD">
              <w:rPr>
                <w:color w:val="000000"/>
                <w:szCs w:val="28"/>
                <w:lang w:eastAsia="lv-LV"/>
              </w:rPr>
              <w:t xml:space="preserve"> un smagsvara</w:t>
            </w:r>
            <w:r w:rsidR="009B40CD">
              <w:rPr>
                <w:color w:val="000000"/>
                <w:szCs w:val="28"/>
                <w:lang w:eastAsia="lv-LV"/>
              </w:rPr>
              <w:t xml:space="preserve"> kravu pārvadātāji.</w:t>
            </w:r>
          </w:p>
          <w:p w:rsidR="00843472" w:rsidRDefault="00792493" w:rsidP="009B40CD">
            <w:pPr>
              <w:ind w:firstLine="722"/>
              <w:jc w:val="both"/>
              <w:rPr>
                <w:color w:val="000000"/>
                <w:szCs w:val="28"/>
                <w:lang w:eastAsia="lv-LV"/>
              </w:rPr>
            </w:pPr>
            <w:r>
              <w:rPr>
                <w:color w:val="000000"/>
                <w:szCs w:val="28"/>
                <w:lang w:eastAsia="lv-LV"/>
              </w:rPr>
              <w:t>3</w:t>
            </w:r>
            <w:r w:rsidR="00843472">
              <w:rPr>
                <w:color w:val="000000"/>
                <w:szCs w:val="28"/>
                <w:lang w:eastAsia="lv-LV"/>
              </w:rPr>
              <w:t xml:space="preserve">. </w:t>
            </w:r>
            <w:r w:rsidR="009B40CD">
              <w:rPr>
                <w:color w:val="000000"/>
                <w:szCs w:val="28"/>
                <w:lang w:eastAsia="lv-LV"/>
              </w:rPr>
              <w:t>Dalāmu</w:t>
            </w:r>
            <w:r w:rsidR="009B40CD" w:rsidRPr="009B40CD">
              <w:rPr>
                <w:color w:val="000000"/>
                <w:szCs w:val="28"/>
                <w:lang w:eastAsia="lv-LV"/>
              </w:rPr>
              <w:t xml:space="preserve"> lauksaimniecības produkcijas</w:t>
            </w:r>
            <w:r w:rsidR="009B40CD">
              <w:rPr>
                <w:color w:val="000000"/>
                <w:szCs w:val="28"/>
                <w:lang w:eastAsia="lv-LV"/>
              </w:rPr>
              <w:t xml:space="preserve"> (graudu, rapša, kartupeļu un </w:t>
            </w:r>
            <w:proofErr w:type="spellStart"/>
            <w:r w:rsidR="009B40CD">
              <w:rPr>
                <w:color w:val="000000"/>
                <w:szCs w:val="28"/>
                <w:lang w:eastAsia="lv-LV"/>
              </w:rPr>
              <w:t>svaigpiena</w:t>
            </w:r>
            <w:proofErr w:type="spellEnd"/>
            <w:r w:rsidR="009B40CD">
              <w:rPr>
                <w:color w:val="000000"/>
                <w:szCs w:val="28"/>
                <w:lang w:eastAsia="lv-LV"/>
              </w:rPr>
              <w:t>)</w:t>
            </w:r>
            <w:r w:rsidR="009B40CD" w:rsidRPr="009B40CD">
              <w:rPr>
                <w:color w:val="000000"/>
                <w:szCs w:val="28"/>
                <w:lang w:eastAsia="lv-LV"/>
              </w:rPr>
              <w:t xml:space="preserve"> </w:t>
            </w:r>
            <w:proofErr w:type="spellStart"/>
            <w:r w:rsidR="009B40CD">
              <w:rPr>
                <w:color w:val="000000"/>
                <w:szCs w:val="28"/>
                <w:lang w:eastAsia="lv-LV"/>
              </w:rPr>
              <w:t>lielgabarīta</w:t>
            </w:r>
            <w:proofErr w:type="spellEnd"/>
            <w:r w:rsidR="009B40CD">
              <w:rPr>
                <w:color w:val="000000"/>
                <w:szCs w:val="28"/>
                <w:lang w:eastAsia="lv-LV"/>
              </w:rPr>
              <w:t xml:space="preserve"> un smagsvara kravu pārvadātāji.</w:t>
            </w:r>
          </w:p>
          <w:p w:rsidR="00792493" w:rsidRDefault="00792493" w:rsidP="009B40CD">
            <w:pPr>
              <w:ind w:firstLine="722"/>
              <w:jc w:val="both"/>
              <w:rPr>
                <w:color w:val="000000"/>
                <w:szCs w:val="28"/>
                <w:lang w:eastAsia="lv-LV"/>
              </w:rPr>
            </w:pPr>
            <w:r>
              <w:rPr>
                <w:color w:val="000000"/>
                <w:szCs w:val="28"/>
                <w:lang w:eastAsia="lv-LV"/>
              </w:rPr>
              <w:t>4. Dalāmu</w:t>
            </w:r>
            <w:r w:rsidRPr="00792493">
              <w:rPr>
                <w:color w:val="000000"/>
                <w:szCs w:val="28"/>
                <w:lang w:eastAsia="lv-LV"/>
              </w:rPr>
              <w:t xml:space="preserve"> dolomīta akmens un cementa </w:t>
            </w:r>
            <w:proofErr w:type="spellStart"/>
            <w:r>
              <w:rPr>
                <w:color w:val="000000"/>
                <w:szCs w:val="28"/>
                <w:lang w:eastAsia="lv-LV"/>
              </w:rPr>
              <w:t>lielgabarīta</w:t>
            </w:r>
            <w:proofErr w:type="spellEnd"/>
            <w:r>
              <w:rPr>
                <w:color w:val="000000"/>
                <w:szCs w:val="28"/>
                <w:lang w:eastAsia="lv-LV"/>
              </w:rPr>
              <w:t xml:space="preserve"> un smagsvara kravu pārvadātāji.</w:t>
            </w:r>
          </w:p>
          <w:p w:rsidR="009B40CD" w:rsidRPr="008B42C6" w:rsidRDefault="00792493" w:rsidP="009B40CD">
            <w:pPr>
              <w:ind w:firstLine="722"/>
              <w:jc w:val="both"/>
              <w:rPr>
                <w:color w:val="000000"/>
                <w:szCs w:val="28"/>
                <w:lang w:eastAsia="lv-LV"/>
              </w:rPr>
            </w:pPr>
            <w:r>
              <w:rPr>
                <w:color w:val="000000"/>
                <w:szCs w:val="28"/>
                <w:lang w:eastAsia="lv-LV"/>
              </w:rPr>
              <w:t>5</w:t>
            </w:r>
            <w:r w:rsidR="009B40CD">
              <w:rPr>
                <w:color w:val="000000"/>
                <w:szCs w:val="28"/>
                <w:lang w:eastAsia="lv-LV"/>
              </w:rPr>
              <w:t>. VAS “Latvijas Valsts ceļi”.</w:t>
            </w:r>
          </w:p>
        </w:tc>
      </w:tr>
      <w:tr w:rsidR="009A22F6" w:rsidRPr="00B2758C" w:rsidTr="006F1B14">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673"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Tiesiskā regulējuma ietekme uz tautsaimniecību un administratīvo slogu</w:t>
            </w:r>
          </w:p>
        </w:tc>
        <w:tc>
          <w:tcPr>
            <w:tcW w:w="3084" w:type="pct"/>
            <w:tcBorders>
              <w:top w:val="outset" w:sz="6" w:space="0" w:color="414142"/>
              <w:left w:val="outset" w:sz="6" w:space="0" w:color="414142"/>
              <w:bottom w:val="outset" w:sz="6" w:space="0" w:color="414142"/>
            </w:tcBorders>
          </w:tcPr>
          <w:p w:rsidR="00CB397E" w:rsidRPr="008B42C6" w:rsidRDefault="005E7093" w:rsidP="00EC5B81">
            <w:pPr>
              <w:jc w:val="both"/>
              <w:rPr>
                <w:color w:val="000000"/>
                <w:szCs w:val="28"/>
                <w:lang w:eastAsia="lv-LV"/>
              </w:rPr>
            </w:pPr>
            <w:r>
              <w:rPr>
                <w:color w:val="000000"/>
                <w:szCs w:val="28"/>
                <w:lang w:eastAsia="lv-LV"/>
              </w:rPr>
              <w:t xml:space="preserve">Projektam būs pozitīva ietekme uz sabiedrību, jo pārvadātāji varēs izvēlēties sev izdevīgāko variantu </w:t>
            </w:r>
            <w:r w:rsidR="00992184">
              <w:rPr>
                <w:color w:val="000000"/>
                <w:szCs w:val="28"/>
                <w:lang w:eastAsia="lv-LV"/>
              </w:rPr>
              <w:t>–</w:t>
            </w:r>
            <w:r>
              <w:rPr>
                <w:color w:val="000000"/>
                <w:szCs w:val="28"/>
                <w:lang w:eastAsia="lv-LV"/>
              </w:rPr>
              <w:t xml:space="preserve"> </w:t>
            </w:r>
            <w:r w:rsidR="00992184">
              <w:rPr>
                <w:color w:val="000000"/>
                <w:szCs w:val="28"/>
                <w:lang w:eastAsia="lv-LV"/>
              </w:rPr>
              <w:t xml:space="preserve">saņemt </w:t>
            </w:r>
            <w:proofErr w:type="spellStart"/>
            <w:r w:rsidR="00992184">
              <w:rPr>
                <w:color w:val="000000"/>
                <w:szCs w:val="28"/>
                <w:lang w:eastAsia="lv-LV"/>
              </w:rPr>
              <w:t>lielgabarīta</w:t>
            </w:r>
            <w:proofErr w:type="spellEnd"/>
            <w:r w:rsidR="00992184">
              <w:rPr>
                <w:color w:val="000000"/>
                <w:szCs w:val="28"/>
                <w:lang w:eastAsia="lv-LV"/>
              </w:rPr>
              <w:t xml:space="preserve"> un smagsvara pārvadājumu atļauju vienreiz gadā, vienlaicīgi samaksājot autoceļu lietošanas nodevu uz gadu, vai maksāt autoceļu lietošanas nodevu vairākas reizes gadā, attiecīgi vairākas reizes gadā arī saņemot </w:t>
            </w:r>
            <w:proofErr w:type="spellStart"/>
            <w:r w:rsidR="00992184">
              <w:rPr>
                <w:color w:val="000000"/>
                <w:szCs w:val="28"/>
                <w:lang w:eastAsia="lv-LV"/>
              </w:rPr>
              <w:t>lielgabarīta</w:t>
            </w:r>
            <w:proofErr w:type="spellEnd"/>
            <w:r w:rsidR="00992184">
              <w:rPr>
                <w:color w:val="000000"/>
                <w:szCs w:val="28"/>
                <w:lang w:eastAsia="lv-LV"/>
              </w:rPr>
              <w:t xml:space="preserve"> un smagsvara pārvadājumu atļauju uz īsāku termiņu, vienlaicīgi nepalielinoties gadā samaksājamās valsts nodevas </w:t>
            </w:r>
            <w:r w:rsidR="008A5008">
              <w:rPr>
                <w:color w:val="000000"/>
                <w:szCs w:val="28"/>
                <w:lang w:eastAsia="lv-LV"/>
              </w:rPr>
              <w:t>apmēram</w:t>
            </w:r>
            <w:r w:rsidR="00992184">
              <w:rPr>
                <w:color w:val="000000"/>
                <w:szCs w:val="28"/>
                <w:lang w:eastAsia="lv-LV"/>
              </w:rPr>
              <w:t>.</w:t>
            </w:r>
          </w:p>
        </w:tc>
      </w:tr>
      <w:tr w:rsidR="009A22F6" w:rsidRPr="00B2758C" w:rsidTr="006F1B14">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673"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Administratīvo izmaksu monetārs novērtējums</w:t>
            </w:r>
          </w:p>
        </w:tc>
        <w:tc>
          <w:tcPr>
            <w:tcW w:w="3084" w:type="pct"/>
            <w:tcBorders>
              <w:top w:val="outset" w:sz="6" w:space="0" w:color="414142"/>
              <w:left w:val="outset" w:sz="6" w:space="0" w:color="414142"/>
              <w:bottom w:val="outset" w:sz="6" w:space="0" w:color="414142"/>
            </w:tcBorders>
          </w:tcPr>
          <w:p w:rsidR="004805E3" w:rsidRPr="008B42C6" w:rsidRDefault="00992184" w:rsidP="008A5008">
            <w:pPr>
              <w:contextualSpacing/>
              <w:jc w:val="both"/>
              <w:rPr>
                <w:color w:val="000000"/>
                <w:szCs w:val="28"/>
                <w:lang w:eastAsia="lv-LV"/>
              </w:rPr>
            </w:pPr>
            <w:r>
              <w:rPr>
                <w:szCs w:val="28"/>
              </w:rPr>
              <w:t xml:space="preserve">Administratīvo izmaksu </w:t>
            </w:r>
            <w:r w:rsidR="008A5008">
              <w:rPr>
                <w:szCs w:val="28"/>
              </w:rPr>
              <w:t>izmaiņas</w:t>
            </w:r>
            <w:r>
              <w:rPr>
                <w:szCs w:val="28"/>
              </w:rPr>
              <w:t xml:space="preserve"> nav iespējams aprēķināt, jo nav zināms, cik pārvadātāji izmantos </w:t>
            </w:r>
            <w:r>
              <w:rPr>
                <w:szCs w:val="28"/>
              </w:rPr>
              <w:lastRenderedPageBreak/>
              <w:t xml:space="preserve">iespēju </w:t>
            </w:r>
            <w:proofErr w:type="spellStart"/>
            <w:r>
              <w:rPr>
                <w:szCs w:val="28"/>
              </w:rPr>
              <w:t>lielgabarīta</w:t>
            </w:r>
            <w:proofErr w:type="spellEnd"/>
            <w:r>
              <w:rPr>
                <w:szCs w:val="28"/>
              </w:rPr>
              <w:t xml:space="preserve"> un smagsvara pārvadājumu atļauju saņemt biežāk nekā reizi gadā.</w:t>
            </w:r>
          </w:p>
        </w:tc>
      </w:tr>
      <w:tr w:rsidR="009A22F6" w:rsidRPr="00B2758C" w:rsidTr="006F1B14">
        <w:trPr>
          <w:trHeight w:val="34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lastRenderedPageBreak/>
              <w:t>4.</w:t>
            </w:r>
          </w:p>
        </w:tc>
        <w:tc>
          <w:tcPr>
            <w:tcW w:w="1673"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084"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157"/>
        <w:gridCol w:w="992"/>
        <w:gridCol w:w="1180"/>
        <w:gridCol w:w="1623"/>
        <w:gridCol w:w="1700"/>
        <w:gridCol w:w="1734"/>
      </w:tblGrid>
      <w:tr w:rsidR="007D7602" w:rsidRPr="004D2D0B" w:rsidTr="00531E22">
        <w:tc>
          <w:tcPr>
            <w:tcW w:w="9386" w:type="dxa"/>
            <w:gridSpan w:val="6"/>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jc w:val="center"/>
              <w:rPr>
                <w:b/>
                <w:bCs/>
                <w:color w:val="000000"/>
              </w:rPr>
            </w:pPr>
            <w:r w:rsidRPr="004D2D0B">
              <w:rPr>
                <w:b/>
                <w:bCs/>
                <w:color w:val="000000"/>
              </w:rPr>
              <w:t>III. Tiesību akta projekta ietekme uz valsts budžetu un pašvaldību budžetiem</w:t>
            </w:r>
          </w:p>
        </w:tc>
      </w:tr>
      <w:tr w:rsidR="007D7602" w:rsidRPr="004D2D0B" w:rsidTr="00F30BAF">
        <w:tc>
          <w:tcPr>
            <w:tcW w:w="2157" w:type="dxa"/>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Rādītāji</w:t>
            </w:r>
          </w:p>
        </w:tc>
        <w:tc>
          <w:tcPr>
            <w:tcW w:w="217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992184">
            <w:pPr>
              <w:rPr>
                <w:b/>
                <w:bCs/>
                <w:color w:val="000000"/>
              </w:rPr>
            </w:pPr>
            <w:r w:rsidRPr="004D2D0B">
              <w:rPr>
                <w:b/>
                <w:bCs/>
                <w:color w:val="000000"/>
              </w:rPr>
              <w:t>201</w:t>
            </w:r>
            <w:r w:rsidR="00992184">
              <w:rPr>
                <w:b/>
                <w:bCs/>
                <w:color w:val="000000"/>
              </w:rPr>
              <w:t>7</w:t>
            </w:r>
            <w:r w:rsidRPr="004D2D0B">
              <w:rPr>
                <w:b/>
                <w:bCs/>
                <w:color w:val="000000"/>
              </w:rPr>
              <w:t>. gads</w:t>
            </w:r>
          </w:p>
        </w:tc>
        <w:tc>
          <w:tcPr>
            <w:tcW w:w="5057" w:type="dxa"/>
            <w:gridSpan w:val="3"/>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Turpmākie trīs gadi (</w:t>
            </w:r>
            <w:proofErr w:type="spellStart"/>
            <w:r w:rsidRPr="005A0B95">
              <w:rPr>
                <w:i/>
                <w:color w:val="000000"/>
              </w:rPr>
              <w:t>euro</w:t>
            </w:r>
            <w:proofErr w:type="spellEnd"/>
            <w:r w:rsidRPr="004D2D0B">
              <w:rPr>
                <w:color w:val="000000"/>
              </w:rPr>
              <w:t>)</w:t>
            </w:r>
          </w:p>
        </w:tc>
      </w:tr>
      <w:tr w:rsidR="007D7602" w:rsidRPr="004D2D0B" w:rsidTr="00F30BAF">
        <w:tc>
          <w:tcPr>
            <w:tcW w:w="2157"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2172" w:type="dxa"/>
            <w:gridSpan w:val="2"/>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992184">
            <w:pPr>
              <w:rPr>
                <w:b/>
                <w:bCs/>
                <w:color w:val="000000"/>
              </w:rPr>
            </w:pPr>
            <w:r w:rsidRPr="004D2D0B">
              <w:rPr>
                <w:b/>
                <w:bCs/>
                <w:color w:val="000000"/>
              </w:rPr>
              <w:t>201</w:t>
            </w:r>
            <w:r w:rsidR="00992184">
              <w:rPr>
                <w:b/>
                <w:bCs/>
                <w:color w:val="000000"/>
              </w:rPr>
              <w:t>8</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992184">
            <w:pPr>
              <w:rPr>
                <w:b/>
                <w:bCs/>
                <w:color w:val="000000"/>
              </w:rPr>
            </w:pPr>
            <w:r>
              <w:rPr>
                <w:b/>
                <w:bCs/>
                <w:color w:val="000000"/>
              </w:rPr>
              <w:t>201</w:t>
            </w:r>
            <w:r w:rsidR="00992184">
              <w:rPr>
                <w:b/>
                <w:bCs/>
                <w:color w:val="000000"/>
              </w:rPr>
              <w:t>9</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992184">
            <w:pPr>
              <w:rPr>
                <w:b/>
                <w:bCs/>
                <w:color w:val="000000"/>
              </w:rPr>
            </w:pPr>
            <w:r w:rsidRPr="004D2D0B">
              <w:rPr>
                <w:b/>
                <w:bCs/>
                <w:color w:val="000000"/>
              </w:rPr>
              <w:t>20</w:t>
            </w:r>
            <w:r w:rsidR="00992184">
              <w:rPr>
                <w:b/>
                <w:bCs/>
                <w:color w:val="000000"/>
              </w:rPr>
              <w:t>20</w:t>
            </w:r>
          </w:p>
        </w:tc>
      </w:tr>
      <w:tr w:rsidR="007D7602" w:rsidRPr="004D2D0B" w:rsidTr="00AE01B2">
        <w:tc>
          <w:tcPr>
            <w:tcW w:w="2157"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Saskaņā ar valsts budžetu kārtējam gadam</w:t>
            </w:r>
          </w:p>
        </w:tc>
        <w:tc>
          <w:tcPr>
            <w:tcW w:w="118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7A44D7">
            <w:pPr>
              <w:rPr>
                <w:color w:val="000000"/>
              </w:rPr>
            </w:pPr>
            <w:r w:rsidRPr="004D2D0B">
              <w:rPr>
                <w:color w:val="000000"/>
              </w:rPr>
              <w:t>Izmaiņas, salīdzinot ar 201</w:t>
            </w:r>
            <w:r w:rsidR="007A44D7">
              <w:rPr>
                <w:color w:val="000000"/>
              </w:rPr>
              <w:t>7</w:t>
            </w:r>
            <w:r w:rsidRPr="004D2D0B">
              <w:rPr>
                <w:color w:val="000000"/>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7A44D7">
            <w:pPr>
              <w:rPr>
                <w:color w:val="000000"/>
              </w:rPr>
            </w:pPr>
            <w:r w:rsidRPr="004D2D0B">
              <w:rPr>
                <w:color w:val="000000"/>
              </w:rPr>
              <w:t>Izmaiņas, salīdzinot ar 201</w:t>
            </w:r>
            <w:r w:rsidR="007A44D7">
              <w:rPr>
                <w:color w:val="000000"/>
              </w:rPr>
              <w:t>7</w:t>
            </w:r>
            <w:r w:rsidRPr="004D2D0B">
              <w:rPr>
                <w:color w:val="000000"/>
              </w:rPr>
              <w:t xml:space="preserve"> gadu</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7A44D7">
            <w:pPr>
              <w:rPr>
                <w:color w:val="000000"/>
              </w:rPr>
            </w:pPr>
            <w:r w:rsidRPr="004D2D0B">
              <w:rPr>
                <w:color w:val="000000"/>
              </w:rPr>
              <w:t>Izmaiņas, salīdzinot ar 201</w:t>
            </w:r>
            <w:r w:rsidR="007A44D7">
              <w:rPr>
                <w:color w:val="000000"/>
              </w:rPr>
              <w:t>7</w:t>
            </w:r>
            <w:r w:rsidRPr="004D2D0B">
              <w:rPr>
                <w:color w:val="000000"/>
              </w:rPr>
              <w:t xml:space="preserve"> gadu</w:t>
            </w:r>
          </w:p>
        </w:tc>
      </w:tr>
      <w:tr w:rsidR="007D7602" w:rsidRPr="004D2D0B" w:rsidTr="00AE01B2">
        <w:tc>
          <w:tcPr>
            <w:tcW w:w="215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2</w:t>
            </w:r>
          </w:p>
        </w:tc>
        <w:tc>
          <w:tcPr>
            <w:tcW w:w="118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5</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6</w:t>
            </w: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 Budžeta ieņēmumi:</w:t>
            </w:r>
          </w:p>
        </w:tc>
        <w:tc>
          <w:tcPr>
            <w:tcW w:w="7229" w:type="dxa"/>
            <w:gridSpan w:val="5"/>
            <w:vMerge w:val="restart"/>
            <w:tcBorders>
              <w:top w:val="outset" w:sz="6" w:space="0" w:color="000000"/>
              <w:left w:val="outset" w:sz="6" w:space="0" w:color="000000"/>
              <w:right w:val="outset" w:sz="6" w:space="0" w:color="000000"/>
            </w:tcBorders>
          </w:tcPr>
          <w:p w:rsidR="001A1F82" w:rsidRDefault="001A1F82" w:rsidP="00531E22">
            <w:r>
              <w:t>Projekts šo jomu neskar.</w:t>
            </w:r>
          </w:p>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1.1. valsts pamatbudžets, tai sk</w:t>
            </w:r>
            <w:r>
              <w:rPr>
                <w:color w:val="000000"/>
              </w:rPr>
              <w:t>aitā ieņēmumi no maksas pakalpo</w:t>
            </w:r>
            <w:r w:rsidRPr="004D2D0B">
              <w:rPr>
                <w:color w:val="000000"/>
              </w:rPr>
              <w:t>jumiem un citi pašu ieņēmumi</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1.2. valsts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 Budžeta izdevumi:</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2.1. valsts pamatbudžets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2.2. valsts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 Finansiālā ietekme:</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lastRenderedPageBreak/>
              <w:t>3.1. valsts pamatbudžets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3.2.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rPr>
          <w:trHeight w:val="739"/>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4</w:t>
            </w:r>
            <w:r>
              <w:rPr>
                <w:color w:val="000000"/>
              </w:rPr>
              <w:t>. Finanšu līdzekļi papildu izde</w:t>
            </w:r>
            <w:r w:rsidRPr="004D2D0B">
              <w:rPr>
                <w:color w:val="000000"/>
              </w:rPr>
              <w:t>vumu finansēšanai (kompensējošu izdevumu samazinājumu norāda ar "+" zīmi)</w:t>
            </w:r>
          </w:p>
        </w:tc>
        <w:tc>
          <w:tcPr>
            <w:tcW w:w="7229" w:type="dxa"/>
            <w:gridSpan w:val="5"/>
            <w:vMerge/>
            <w:tcBorders>
              <w:left w:val="outset" w:sz="6" w:space="0" w:color="000000"/>
              <w:right w:val="outset" w:sz="6" w:space="0" w:color="000000"/>
            </w:tcBorders>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 Precizēta finansiālā ietekme:</w:t>
            </w:r>
          </w:p>
        </w:tc>
        <w:tc>
          <w:tcPr>
            <w:tcW w:w="7229" w:type="dxa"/>
            <w:gridSpan w:val="5"/>
            <w:vMerge/>
            <w:tcBorders>
              <w:left w:val="outset" w:sz="6" w:space="0" w:color="000000"/>
              <w:right w:val="outset" w:sz="6" w:space="0" w:color="000000"/>
            </w:tcBorders>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5.1. valsts pamatbudžets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5.2. speciālais 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5.3. pašvaldību 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rPr>
          <w:trHeight w:val="2231"/>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w:t>
            </w:r>
            <w:r>
              <w:rPr>
                <w:color w:val="000000"/>
              </w:rPr>
              <w:t>. Detalizēts ieņēmumu un izdevu</w:t>
            </w:r>
            <w:r w:rsidRPr="004D2D0B">
              <w:rPr>
                <w:color w:val="000000"/>
              </w:rPr>
              <w:t>mu aprēķins (ja nepieciešams, detalizētu ieņēmumu un izdevumu aprēķinu var pievienot anotācijas pielikumā):</w:t>
            </w:r>
          </w:p>
        </w:tc>
        <w:tc>
          <w:tcPr>
            <w:tcW w:w="7229" w:type="dxa"/>
            <w:gridSpan w:val="5"/>
            <w:vMerge/>
            <w:tcBorders>
              <w:left w:val="outset" w:sz="6" w:space="0" w:color="000000"/>
              <w:right w:val="outset" w:sz="6" w:space="0" w:color="000000"/>
            </w:tcBorders>
            <w:vAlign w:val="center"/>
          </w:tcPr>
          <w:p w:rsidR="001A1F82" w:rsidRPr="004D2D0B" w:rsidRDefault="001A1F82" w:rsidP="00531E22">
            <w:pPr>
              <w:jc w:val="both"/>
              <w:rPr>
                <w:color w:val="000000"/>
              </w:rPr>
            </w:pPr>
          </w:p>
        </w:tc>
      </w:tr>
      <w:tr w:rsidR="001A1F82" w:rsidRPr="004D2D0B" w:rsidTr="00F30BAF">
        <w:trPr>
          <w:trHeight w:val="169"/>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6.1. detalizēts ieņēmumu aprēķins</w:t>
            </w:r>
          </w:p>
        </w:tc>
        <w:tc>
          <w:tcPr>
            <w:tcW w:w="7229" w:type="dxa"/>
            <w:gridSpan w:val="5"/>
            <w:vMerge/>
            <w:tcBorders>
              <w:left w:val="outset" w:sz="6" w:space="0" w:color="000000"/>
              <w:right w:val="outset" w:sz="6" w:space="0" w:color="000000"/>
            </w:tcBorders>
            <w:vAlign w:val="center"/>
            <w:hideMark/>
          </w:tcPr>
          <w:p w:rsidR="001A1F82" w:rsidRPr="004D2D0B" w:rsidRDefault="001A1F82" w:rsidP="00531E22">
            <w:pPr>
              <w:jc w:val="both"/>
              <w:rPr>
                <w:color w:val="000000"/>
              </w:rPr>
            </w:pPr>
          </w:p>
        </w:tc>
      </w:tr>
      <w:tr w:rsidR="001A1F82" w:rsidRPr="004D2D0B" w:rsidTr="00F30BAF">
        <w:trPr>
          <w:trHeight w:val="25"/>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6.2. detalizēts izdevumu aprēķins</w:t>
            </w:r>
          </w:p>
        </w:tc>
        <w:tc>
          <w:tcPr>
            <w:tcW w:w="7229" w:type="dxa"/>
            <w:gridSpan w:val="5"/>
            <w:vMerge/>
            <w:tcBorders>
              <w:left w:val="outset" w:sz="6" w:space="0" w:color="000000"/>
              <w:bottom w:val="outset" w:sz="6" w:space="0" w:color="000000"/>
              <w:right w:val="outset" w:sz="6" w:space="0" w:color="000000"/>
            </w:tcBorders>
            <w:vAlign w:val="center"/>
          </w:tcPr>
          <w:p w:rsidR="001A1F82" w:rsidRPr="004D2D0B" w:rsidRDefault="001A1F82" w:rsidP="00531E22">
            <w:pPr>
              <w:jc w:val="both"/>
              <w:rPr>
                <w:color w:val="000000"/>
              </w:rPr>
            </w:pPr>
          </w:p>
        </w:tc>
      </w:tr>
      <w:tr w:rsidR="007D760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lastRenderedPageBreak/>
              <w:t>7. Cita informācija</w:t>
            </w:r>
          </w:p>
        </w:tc>
        <w:tc>
          <w:tcPr>
            <w:tcW w:w="7229" w:type="dxa"/>
            <w:gridSpan w:val="5"/>
            <w:tcBorders>
              <w:top w:val="outset" w:sz="6" w:space="0" w:color="000000"/>
              <w:left w:val="outset" w:sz="6" w:space="0" w:color="000000"/>
              <w:bottom w:val="outset" w:sz="6" w:space="0" w:color="000000"/>
              <w:right w:val="outset" w:sz="6" w:space="0" w:color="000000"/>
            </w:tcBorders>
          </w:tcPr>
          <w:p w:rsidR="005E7CE1" w:rsidRPr="00CB62F3" w:rsidRDefault="007A44D7" w:rsidP="00EC5B81">
            <w:pPr>
              <w:jc w:val="both"/>
              <w:rPr>
                <w:color w:val="000000"/>
              </w:rPr>
            </w:pPr>
            <w:r>
              <w:rPr>
                <w:color w:val="000000"/>
              </w:rPr>
              <w:t xml:space="preserve">Projektam nav aprēķināma finansiāla ietekme, jo pārsvarā pārvadātāji, uz kuriem attiecas projekts, </w:t>
            </w:r>
            <w:proofErr w:type="spellStart"/>
            <w:r>
              <w:rPr>
                <w:color w:val="000000"/>
              </w:rPr>
              <w:t>lielgabarīta</w:t>
            </w:r>
            <w:proofErr w:type="spellEnd"/>
            <w:r>
              <w:rPr>
                <w:color w:val="000000"/>
              </w:rPr>
              <w:t xml:space="preserve"> un smagsvara pārvadājumu atļauju saņem uz visu gadu, līdz ar to plānots, ka kopumā varētu mainīties tikai tas, ka </w:t>
            </w:r>
            <w:proofErr w:type="spellStart"/>
            <w:r>
              <w:rPr>
                <w:color w:val="000000"/>
              </w:rPr>
              <w:t>lielgabarīta</w:t>
            </w:r>
            <w:proofErr w:type="spellEnd"/>
            <w:r>
              <w:rPr>
                <w:color w:val="000000"/>
              </w:rPr>
              <w:t xml:space="preserve"> un smagsvara pārvadājumu atļauja tiks pieprasīta vairākas reizes gadā, nevis par visu gadu uzreiz.</w:t>
            </w:r>
          </w:p>
        </w:tc>
      </w:tr>
    </w:tbl>
    <w:p w:rsidR="00843472" w:rsidRDefault="00843472" w:rsidP="002F0047">
      <w:pPr>
        <w:shd w:val="clear" w:color="auto" w:fill="FFFFFF"/>
        <w:ind w:firstLine="301"/>
        <w:rPr>
          <w:color w:val="000000"/>
          <w:sz w:val="24"/>
          <w:szCs w:val="24"/>
          <w:lang w:eastAsia="lv-LV"/>
        </w:rPr>
      </w:pPr>
    </w:p>
    <w:p w:rsidR="005E7CE1" w:rsidRDefault="005E7CE1"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7"/>
        <w:gridCol w:w="3068"/>
        <w:gridCol w:w="5803"/>
      </w:tblGrid>
      <w:tr w:rsidR="005E7CE1" w:rsidRPr="00B2758C" w:rsidTr="00406E9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7CE1" w:rsidRPr="008B42C6" w:rsidRDefault="005E7CE1" w:rsidP="00406E92">
            <w:pPr>
              <w:spacing w:before="100" w:beforeAutospacing="1" w:after="100" w:afterAutospacing="1" w:line="285" w:lineRule="atLeast"/>
              <w:jc w:val="center"/>
              <w:rPr>
                <w:rFonts w:eastAsia="Times New Roman"/>
                <w:b/>
                <w:bCs/>
                <w:color w:val="000000" w:themeColor="text1"/>
                <w:szCs w:val="28"/>
                <w:lang w:eastAsia="lv-LV"/>
              </w:rPr>
            </w:pPr>
            <w:r w:rsidRPr="0023329A">
              <w:rPr>
                <w:rFonts w:eastAsia="Times New Roman"/>
                <w:b/>
                <w:bCs/>
                <w:color w:val="000000" w:themeColor="text1"/>
                <w:szCs w:val="28"/>
                <w:lang w:eastAsia="lv-LV"/>
              </w:rPr>
              <w:t>IV. Tiesību akta projekta ietekme uz spēkā esošo tiesību normu sistēmu</w:t>
            </w:r>
          </w:p>
        </w:tc>
      </w:tr>
      <w:tr w:rsidR="005E7CE1" w:rsidRPr="00B2758C" w:rsidTr="006F1B14">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1.</w:t>
            </w:r>
          </w:p>
        </w:tc>
        <w:tc>
          <w:tcPr>
            <w:tcW w:w="1643"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Nepieciešamie saistītie tiesību aktu projekti</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A05462" w:rsidP="00EC5B81">
            <w:pPr>
              <w:jc w:val="both"/>
              <w:rPr>
                <w:szCs w:val="28"/>
              </w:rPr>
            </w:pPr>
            <w:r>
              <w:rPr>
                <w:szCs w:val="28"/>
              </w:rPr>
              <w:t>Ir izstrādāts Ministru kabineta noteikumu projekts “</w:t>
            </w:r>
            <w:r w:rsidR="007A44D7" w:rsidRPr="007A44D7">
              <w:rPr>
                <w:szCs w:val="28"/>
              </w:rPr>
              <w:t>Grozījums Ministru kabineta 2010. gada 6.</w:t>
            </w:r>
            <w:r w:rsidR="00EB1FC5">
              <w:rPr>
                <w:szCs w:val="28"/>
              </w:rPr>
              <w:t> </w:t>
            </w:r>
            <w:r w:rsidR="007A44D7" w:rsidRPr="007A44D7">
              <w:rPr>
                <w:szCs w:val="28"/>
              </w:rPr>
              <w:t xml:space="preserve">aprīļa noteikumos Nr. 343 „Noteikumi par </w:t>
            </w:r>
            <w:proofErr w:type="spellStart"/>
            <w:r w:rsidR="007A44D7" w:rsidRPr="007A44D7">
              <w:rPr>
                <w:szCs w:val="28"/>
              </w:rPr>
              <w:t>lielgabarīta</w:t>
            </w:r>
            <w:proofErr w:type="spellEnd"/>
            <w:r w:rsidR="007A44D7" w:rsidRPr="007A44D7">
              <w:rPr>
                <w:szCs w:val="28"/>
              </w:rPr>
              <w:t xml:space="preserve"> un smagsvara pārvadājumiem”</w:t>
            </w:r>
            <w:r>
              <w:rPr>
                <w:szCs w:val="28"/>
              </w:rPr>
              <w:t>”, saskaņā ar kuru</w:t>
            </w:r>
            <w:r w:rsidR="00AD2A39">
              <w:rPr>
                <w:szCs w:val="28"/>
              </w:rPr>
              <w:t xml:space="preserve"> paredzēts noteikt, ka </w:t>
            </w:r>
            <w:r w:rsidR="00AD2A39" w:rsidRPr="00AD2A39">
              <w:rPr>
                <w:szCs w:val="28"/>
              </w:rPr>
              <w:t>tad, ja Noteikumu Nr.</w:t>
            </w:r>
            <w:r w:rsidR="00EB1FC5">
              <w:rPr>
                <w:szCs w:val="28"/>
              </w:rPr>
              <w:t> </w:t>
            </w:r>
            <w:r w:rsidR="00AD2A39" w:rsidRPr="00AD2A39">
              <w:rPr>
                <w:szCs w:val="28"/>
              </w:rPr>
              <w:t xml:space="preserve">343 9., 36. un 40.punktā minēto atļauju </w:t>
            </w:r>
            <w:proofErr w:type="spellStart"/>
            <w:r w:rsidR="00AD2A39" w:rsidRPr="00AD2A39">
              <w:rPr>
                <w:szCs w:val="28"/>
              </w:rPr>
              <w:t>lielgabarīta</w:t>
            </w:r>
            <w:proofErr w:type="spellEnd"/>
            <w:r w:rsidR="00AD2A39" w:rsidRPr="00AD2A39">
              <w:rPr>
                <w:szCs w:val="28"/>
              </w:rPr>
              <w:t xml:space="preserve"> un smagsvara kravu pārvadāšanai (ja transportlīdzeklim saskaņā ar veicamo darbu specifiku nepieciešams pārvadājumu veikt bieži un atkārtoti; dalāmu kokmateriālu un lauksaimniecības produkcijas </w:t>
            </w:r>
            <w:proofErr w:type="spellStart"/>
            <w:r w:rsidR="00AD2A39" w:rsidRPr="00AD2A39">
              <w:rPr>
                <w:szCs w:val="28"/>
              </w:rPr>
              <w:t>lielgabarīta</w:t>
            </w:r>
            <w:proofErr w:type="spellEnd"/>
            <w:r w:rsidR="00AD2A39" w:rsidRPr="00AD2A39">
              <w:rPr>
                <w:szCs w:val="28"/>
              </w:rPr>
              <w:t xml:space="preserve"> un smagsvara kravu pārvadāšanai ar specializētajiem </w:t>
            </w:r>
            <w:proofErr w:type="spellStart"/>
            <w:r w:rsidR="00AD2A39" w:rsidRPr="00AD2A39">
              <w:rPr>
                <w:szCs w:val="28"/>
              </w:rPr>
              <w:t>lielgabarīta</w:t>
            </w:r>
            <w:proofErr w:type="spellEnd"/>
            <w:r w:rsidR="00AD2A39" w:rsidRPr="00AD2A39">
              <w:rPr>
                <w:szCs w:val="28"/>
              </w:rPr>
              <w:t xml:space="preserve"> un smagsvara transportlīdzekļiem; dolomīta akmens un cementa </w:t>
            </w:r>
            <w:proofErr w:type="spellStart"/>
            <w:r w:rsidR="00AD2A39" w:rsidRPr="00AD2A39">
              <w:rPr>
                <w:szCs w:val="28"/>
              </w:rPr>
              <w:t>lielgabarīta</w:t>
            </w:r>
            <w:proofErr w:type="spellEnd"/>
            <w:r w:rsidR="00AD2A39" w:rsidRPr="00AD2A39">
              <w:rPr>
                <w:szCs w:val="28"/>
              </w:rPr>
              <w:t xml:space="preserve"> un smagsvara kravu pārvadāšanai ar </w:t>
            </w:r>
            <w:proofErr w:type="spellStart"/>
            <w:r w:rsidR="00AD2A39" w:rsidRPr="00AD2A39">
              <w:rPr>
                <w:szCs w:val="28"/>
              </w:rPr>
              <w:t>lielgabarīta</w:t>
            </w:r>
            <w:proofErr w:type="spellEnd"/>
            <w:r w:rsidR="00AD2A39" w:rsidRPr="00AD2A39">
              <w:rPr>
                <w:szCs w:val="28"/>
              </w:rPr>
              <w:t xml:space="preserve"> un smagsvara transportlīdzekļiem) izsniedz, lai pārvietotos pa valsts autoceļiem, par kuru lietošanu maksājama autoceļu lietošanas nodeva, atļauju izsniedz uz noteiktu </w:t>
            </w:r>
            <w:r w:rsidR="00EB1FC5">
              <w:rPr>
                <w:szCs w:val="28"/>
              </w:rPr>
              <w:t>termiņu</w:t>
            </w:r>
            <w:r w:rsidR="00AD2A39" w:rsidRPr="00AD2A39">
              <w:rPr>
                <w:szCs w:val="28"/>
              </w:rPr>
              <w:t xml:space="preserve"> līdz 12 mēnešiem, bet ne ilgāk kā par termiņu, līdz kuram par konkrēto transportlīdzekli ir samaksāta autoceļu lietošanas nodeva.</w:t>
            </w:r>
          </w:p>
        </w:tc>
      </w:tr>
      <w:tr w:rsidR="005E7CE1" w:rsidRPr="00B2758C" w:rsidTr="006F1B14">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2.</w:t>
            </w:r>
          </w:p>
        </w:tc>
        <w:tc>
          <w:tcPr>
            <w:tcW w:w="1643"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Atbildīgā institūcija</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Pr>
                <w:szCs w:val="28"/>
              </w:rPr>
              <w:t>Satiksmes ministrija</w:t>
            </w:r>
          </w:p>
        </w:tc>
      </w:tr>
      <w:tr w:rsidR="005E7CE1" w:rsidRPr="00B2758C" w:rsidTr="006F1B1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3.</w:t>
            </w:r>
          </w:p>
        </w:tc>
        <w:tc>
          <w:tcPr>
            <w:tcW w:w="1643"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Cita informācija</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spacing w:before="100" w:beforeAutospacing="1" w:after="100" w:afterAutospacing="1" w:line="360" w:lineRule="auto"/>
              <w:ind w:firstLine="300"/>
              <w:rPr>
                <w:szCs w:val="28"/>
              </w:rPr>
            </w:pPr>
            <w:r>
              <w:rPr>
                <w:szCs w:val="28"/>
              </w:rPr>
              <w:t>Nav.</w:t>
            </w:r>
          </w:p>
        </w:tc>
      </w:tr>
    </w:tbl>
    <w:p w:rsidR="00D44D84" w:rsidRDefault="00D44D84" w:rsidP="002F0047">
      <w:pPr>
        <w:shd w:val="clear" w:color="auto" w:fill="FFFFFF"/>
        <w:ind w:firstLine="301"/>
        <w:rPr>
          <w:color w:val="000000"/>
          <w:sz w:val="24"/>
          <w:szCs w:val="24"/>
          <w:lang w:eastAsia="lv-LV"/>
        </w:rPr>
      </w:pPr>
    </w:p>
    <w:p w:rsidR="00843472" w:rsidRPr="00B2758C"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7"/>
        <w:gridCol w:w="2786"/>
        <w:gridCol w:w="6085"/>
      </w:tblGrid>
      <w:tr w:rsidR="00F80C03" w:rsidRPr="00B2758C" w:rsidTr="0063060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0C03" w:rsidRPr="008B42C6" w:rsidRDefault="00F80C03" w:rsidP="00630602">
            <w:pPr>
              <w:spacing w:before="100" w:beforeAutospacing="1" w:after="100" w:afterAutospacing="1" w:line="285" w:lineRule="atLeast"/>
              <w:jc w:val="center"/>
              <w:rPr>
                <w:rFonts w:eastAsia="Times New Roman"/>
                <w:b/>
                <w:bCs/>
                <w:color w:val="000000" w:themeColor="text1"/>
                <w:szCs w:val="28"/>
                <w:lang w:eastAsia="lv-LV"/>
              </w:rPr>
            </w:pPr>
            <w:r w:rsidRPr="008B42C6">
              <w:rPr>
                <w:rFonts w:eastAsia="Times New Roman"/>
                <w:b/>
                <w:bCs/>
                <w:color w:val="000000" w:themeColor="text1"/>
                <w:szCs w:val="28"/>
                <w:lang w:eastAsia="lv-LV"/>
              </w:rPr>
              <w:t>VI</w:t>
            </w:r>
            <w:r w:rsidR="009F7AA2">
              <w:rPr>
                <w:rFonts w:eastAsia="Times New Roman"/>
                <w:b/>
                <w:bCs/>
                <w:color w:val="000000" w:themeColor="text1"/>
                <w:szCs w:val="28"/>
                <w:lang w:eastAsia="lv-LV"/>
              </w:rPr>
              <w:t>.</w:t>
            </w:r>
            <w:r w:rsidRPr="008B42C6">
              <w:rPr>
                <w:rFonts w:eastAsia="Times New Roman"/>
                <w:b/>
                <w:bCs/>
                <w:color w:val="000000" w:themeColor="text1"/>
                <w:szCs w:val="28"/>
                <w:lang w:eastAsia="lv-LV"/>
              </w:rPr>
              <w:t xml:space="preserve"> Sabiedrības līdzdalība un komunikācijas aktivitātes</w:t>
            </w:r>
          </w:p>
        </w:tc>
      </w:tr>
      <w:tr w:rsidR="00F80C03" w:rsidRPr="00B2758C" w:rsidTr="006F1B14">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1.</w:t>
            </w:r>
          </w:p>
        </w:tc>
        <w:tc>
          <w:tcPr>
            <w:tcW w:w="1492"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Plānotās sabiedrības līdzdalības un komunikācijas aktivitātes saistībā ar projektu</w:t>
            </w:r>
          </w:p>
        </w:tc>
        <w:tc>
          <w:tcPr>
            <w:tcW w:w="3258"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Default="009F7AA2" w:rsidP="008A5008">
            <w:pPr>
              <w:ind w:firstLine="674"/>
              <w:jc w:val="both"/>
              <w:rPr>
                <w:szCs w:val="28"/>
              </w:rPr>
            </w:pPr>
            <w:r w:rsidRPr="005E7CE1">
              <w:rPr>
                <w:szCs w:val="28"/>
              </w:rPr>
              <w:t>Paziņojums par līdzdalības iespējām tiesību akta izstrādes procesā ievietots Satiksmes ministrijas tīmekļa vietnē</w:t>
            </w:r>
            <w:r w:rsidR="00802847">
              <w:rPr>
                <w:szCs w:val="28"/>
              </w:rPr>
              <w:t xml:space="preserve"> </w:t>
            </w:r>
            <w:r w:rsidR="002465F5" w:rsidRPr="00312342">
              <w:rPr>
                <w:szCs w:val="28"/>
              </w:rPr>
              <w:t>201</w:t>
            </w:r>
            <w:r w:rsidR="00312342">
              <w:rPr>
                <w:szCs w:val="28"/>
              </w:rPr>
              <w:t>7</w:t>
            </w:r>
            <w:r w:rsidR="002465F5" w:rsidRPr="00312342">
              <w:rPr>
                <w:szCs w:val="28"/>
              </w:rPr>
              <w:t xml:space="preserve">.gada </w:t>
            </w:r>
            <w:r w:rsidR="00312342">
              <w:rPr>
                <w:szCs w:val="28"/>
              </w:rPr>
              <w:t>4.janvārī</w:t>
            </w:r>
            <w:r w:rsidR="002465F5">
              <w:rPr>
                <w:szCs w:val="28"/>
              </w:rPr>
              <w:t>.</w:t>
            </w:r>
          </w:p>
          <w:p w:rsidR="008A5008" w:rsidRPr="00D44D84" w:rsidRDefault="008A5008" w:rsidP="00E65C8B">
            <w:pPr>
              <w:ind w:firstLine="674"/>
              <w:jc w:val="both"/>
              <w:rPr>
                <w:rFonts w:eastAsia="Times New Roman"/>
                <w:color w:val="000000" w:themeColor="text1"/>
                <w:szCs w:val="28"/>
                <w:highlight w:val="yellow"/>
                <w:lang w:eastAsia="lv-LV"/>
              </w:rPr>
            </w:pPr>
            <w:r>
              <w:rPr>
                <w:szCs w:val="28"/>
              </w:rPr>
              <w:t xml:space="preserve">Projekts nosūtīts </w:t>
            </w:r>
            <w:r w:rsidRPr="008A5008">
              <w:rPr>
                <w:szCs w:val="28"/>
              </w:rPr>
              <w:t>Autopārvadātāju asociācijai “Latvijas auto”</w:t>
            </w:r>
            <w:r>
              <w:rPr>
                <w:szCs w:val="28"/>
              </w:rPr>
              <w:t>, b</w:t>
            </w:r>
            <w:r w:rsidRPr="008A5008">
              <w:rPr>
                <w:szCs w:val="28"/>
              </w:rPr>
              <w:t>iedrībai “Zemnieku saeima”</w:t>
            </w:r>
            <w:r>
              <w:rPr>
                <w:szCs w:val="28"/>
              </w:rPr>
              <w:t xml:space="preserve">, </w:t>
            </w:r>
            <w:r w:rsidRPr="008A5008">
              <w:rPr>
                <w:szCs w:val="28"/>
              </w:rPr>
              <w:lastRenderedPageBreak/>
              <w:t>Latvijas Kokrūpniecības federācijai</w:t>
            </w:r>
            <w:r>
              <w:rPr>
                <w:szCs w:val="28"/>
              </w:rPr>
              <w:t xml:space="preserve">, </w:t>
            </w:r>
            <w:r w:rsidRPr="008A5008">
              <w:rPr>
                <w:szCs w:val="28"/>
              </w:rPr>
              <w:t>Latvijas Darba devēju konfederācijai</w:t>
            </w:r>
            <w:r>
              <w:rPr>
                <w:szCs w:val="28"/>
              </w:rPr>
              <w:t xml:space="preserve">, </w:t>
            </w:r>
            <w:r w:rsidRPr="008A5008">
              <w:rPr>
                <w:szCs w:val="28"/>
              </w:rPr>
              <w:t>Latvijas Tirdzniecības un rūpniecības kamerai</w:t>
            </w:r>
            <w:r>
              <w:rPr>
                <w:szCs w:val="28"/>
              </w:rPr>
              <w:t xml:space="preserve">, </w:t>
            </w:r>
            <w:r w:rsidRPr="008A5008">
              <w:rPr>
                <w:szCs w:val="28"/>
              </w:rPr>
              <w:t>SIA “</w:t>
            </w:r>
            <w:proofErr w:type="spellStart"/>
            <w:r w:rsidRPr="008A5008">
              <w:rPr>
                <w:szCs w:val="28"/>
              </w:rPr>
              <w:t>Cemex</w:t>
            </w:r>
            <w:proofErr w:type="spellEnd"/>
            <w:r w:rsidRPr="008A5008">
              <w:rPr>
                <w:szCs w:val="28"/>
              </w:rPr>
              <w:t>”</w:t>
            </w:r>
            <w:r>
              <w:rPr>
                <w:szCs w:val="28"/>
              </w:rPr>
              <w:t>,</w:t>
            </w:r>
            <w:r>
              <w:t xml:space="preserve"> </w:t>
            </w:r>
            <w:r w:rsidRPr="008A5008">
              <w:rPr>
                <w:szCs w:val="28"/>
              </w:rPr>
              <w:t>SIA “Pļaviņu DM”</w:t>
            </w:r>
            <w:r>
              <w:rPr>
                <w:szCs w:val="28"/>
              </w:rPr>
              <w:t xml:space="preserve">. </w:t>
            </w:r>
          </w:p>
        </w:tc>
      </w:tr>
      <w:tr w:rsidR="00F80C03" w:rsidRPr="00B2758C" w:rsidTr="006F1B14">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lastRenderedPageBreak/>
              <w:t>2.</w:t>
            </w:r>
          </w:p>
        </w:tc>
        <w:tc>
          <w:tcPr>
            <w:tcW w:w="1492"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 projekta izstrādē</w:t>
            </w:r>
          </w:p>
        </w:tc>
        <w:tc>
          <w:tcPr>
            <w:tcW w:w="3258"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016366" w:rsidRDefault="00AD2A39" w:rsidP="00AD2A39">
            <w:pPr>
              <w:ind w:hanging="34"/>
              <w:jc w:val="both"/>
              <w:rPr>
                <w:rFonts w:eastAsia="Times New Roman"/>
                <w:color w:val="000000" w:themeColor="text1"/>
                <w:szCs w:val="28"/>
                <w:lang w:eastAsia="lv-LV"/>
              </w:rPr>
            </w:pPr>
            <w:r w:rsidRPr="00AD2A39">
              <w:rPr>
                <w:szCs w:val="28"/>
              </w:rPr>
              <w:t>Atbilstoši Ministru kabineta 2009.gada 25.augusta noteikumiem Nr.970 „Sabiedrības līdzdalības kārtība attīstīb</w:t>
            </w:r>
            <w:r>
              <w:rPr>
                <w:szCs w:val="28"/>
              </w:rPr>
              <w:t xml:space="preserve">as plānošanas procesā” par </w:t>
            </w:r>
            <w:r w:rsidRPr="00AD2A39">
              <w:rPr>
                <w:szCs w:val="28"/>
              </w:rPr>
              <w:t xml:space="preserve">projekta izstrādi tika informēti sabiedrības pārstāvji, ievietojot Paziņojumu par līdzdalības iespējām tiesību akta izstrādes procesā Satiksmes ministrijas </w:t>
            </w:r>
            <w:r>
              <w:rPr>
                <w:szCs w:val="28"/>
              </w:rPr>
              <w:t>tīmekļa vietnē</w:t>
            </w:r>
            <w:r w:rsidRPr="00AD2A39">
              <w:rPr>
                <w:szCs w:val="28"/>
              </w:rPr>
              <w:t>.</w:t>
            </w:r>
          </w:p>
        </w:tc>
      </w:tr>
      <w:tr w:rsidR="00F80C03" w:rsidRPr="00B2758C" w:rsidTr="006F1B1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3.</w:t>
            </w:r>
          </w:p>
        </w:tc>
        <w:tc>
          <w:tcPr>
            <w:tcW w:w="1492"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līdzdalības rezultāti</w:t>
            </w:r>
          </w:p>
        </w:tc>
        <w:tc>
          <w:tcPr>
            <w:tcW w:w="3258" w:type="pct"/>
            <w:tcBorders>
              <w:top w:val="outset" w:sz="6" w:space="0" w:color="414142"/>
              <w:left w:val="outset" w:sz="6" w:space="0" w:color="414142"/>
              <w:bottom w:val="outset" w:sz="6" w:space="0" w:color="414142"/>
              <w:right w:val="outset" w:sz="6" w:space="0" w:color="414142"/>
            </w:tcBorders>
            <w:shd w:val="clear" w:color="auto" w:fill="FFFFFF"/>
            <w:hideMark/>
          </w:tcPr>
          <w:p w:rsidR="0081787B" w:rsidRPr="00E65C8B" w:rsidRDefault="00C521AA" w:rsidP="00C521AA">
            <w:pPr>
              <w:ind w:firstLine="674"/>
              <w:jc w:val="both"/>
              <w:rPr>
                <w:szCs w:val="28"/>
              </w:rPr>
            </w:pPr>
            <w:r w:rsidRPr="00E65C8B">
              <w:rPr>
                <w:szCs w:val="28"/>
              </w:rPr>
              <w:t>S</w:t>
            </w:r>
            <w:r w:rsidR="00D84B71" w:rsidRPr="00E65C8B">
              <w:rPr>
                <w:szCs w:val="28"/>
              </w:rPr>
              <w:t>aņemta SIA “</w:t>
            </w:r>
            <w:proofErr w:type="spellStart"/>
            <w:r w:rsidR="00D84B71" w:rsidRPr="00E65C8B">
              <w:rPr>
                <w:szCs w:val="28"/>
              </w:rPr>
              <w:t>Cemex</w:t>
            </w:r>
            <w:proofErr w:type="spellEnd"/>
            <w:r w:rsidR="00D84B71" w:rsidRPr="00E65C8B">
              <w:rPr>
                <w:szCs w:val="28"/>
              </w:rPr>
              <w:t xml:space="preserve">” </w:t>
            </w:r>
            <w:r w:rsidR="004F5618" w:rsidRPr="00E65C8B">
              <w:rPr>
                <w:szCs w:val="28"/>
              </w:rPr>
              <w:t xml:space="preserve">2017. gada 16. janvāra </w:t>
            </w:r>
            <w:r w:rsidR="00D84B71" w:rsidRPr="00E65C8B">
              <w:rPr>
                <w:szCs w:val="28"/>
              </w:rPr>
              <w:t>vēstule</w:t>
            </w:r>
            <w:r w:rsidR="004F5618" w:rsidRPr="00E65C8B">
              <w:rPr>
                <w:szCs w:val="28"/>
              </w:rPr>
              <w:t xml:space="preserve"> Nr. 07/01/2017</w:t>
            </w:r>
            <w:r w:rsidR="00D84B71" w:rsidRPr="00E65C8B">
              <w:rPr>
                <w:szCs w:val="28"/>
              </w:rPr>
              <w:t>, kurā informēts, ka daļa no SIA “</w:t>
            </w:r>
            <w:proofErr w:type="spellStart"/>
            <w:r w:rsidR="00D84B71" w:rsidRPr="00E65C8B">
              <w:rPr>
                <w:szCs w:val="28"/>
              </w:rPr>
              <w:t>Cemex</w:t>
            </w:r>
            <w:proofErr w:type="spellEnd"/>
            <w:r w:rsidR="00D84B71" w:rsidRPr="00E65C8B">
              <w:rPr>
                <w:szCs w:val="28"/>
              </w:rPr>
              <w:t>” un citu pārvadātāju autoparka netiek izmantota visu gadu, līdz ar to grozījumi Noteikumos Nr.343 uzliks pienākumu maksāt autoceļu lietošanas nodevu par lielāku periodu, nekā tiks veikts pārvadājums.</w:t>
            </w:r>
          </w:p>
          <w:p w:rsidR="00D84B71" w:rsidRPr="000461D9" w:rsidRDefault="005B1E7C" w:rsidP="00C521AA">
            <w:pPr>
              <w:ind w:firstLine="674"/>
              <w:jc w:val="both"/>
              <w:rPr>
                <w:szCs w:val="28"/>
              </w:rPr>
            </w:pPr>
            <w:r>
              <w:rPr>
                <w:szCs w:val="28"/>
              </w:rPr>
              <w:t>Pamatojoties uz iepriekš minēto,</w:t>
            </w:r>
            <w:r w:rsidR="00D84B71" w:rsidRPr="00E65C8B">
              <w:rPr>
                <w:szCs w:val="28"/>
              </w:rPr>
              <w:t xml:space="preserve"> projektā ir paredzēts valsts nodevas apmērs par </w:t>
            </w:r>
            <w:proofErr w:type="spellStart"/>
            <w:r w:rsidR="00D84B71" w:rsidRPr="00E65C8B">
              <w:rPr>
                <w:szCs w:val="28"/>
              </w:rPr>
              <w:t>lielgabarīta</w:t>
            </w:r>
            <w:proofErr w:type="spellEnd"/>
            <w:r w:rsidR="00D84B71" w:rsidRPr="00E65C8B">
              <w:rPr>
                <w:szCs w:val="28"/>
              </w:rPr>
              <w:t xml:space="preserve"> un smagsvara pārvadājumu atļaujas izsniegšanu uz termiņu līdz vienam mēnesim. Tādējādi pārvadātājiem, kuri pārvadājumus veic sezonāli vai kuri izvēlas maksāt autoceļu lietošanas nodevu reizi mēnesī, būs iespēja </w:t>
            </w:r>
            <w:proofErr w:type="spellStart"/>
            <w:r w:rsidR="00D84B71" w:rsidRPr="00E65C8B">
              <w:rPr>
                <w:szCs w:val="28"/>
              </w:rPr>
              <w:t>lielgabarīta</w:t>
            </w:r>
            <w:proofErr w:type="spellEnd"/>
            <w:r w:rsidR="00D84B71" w:rsidRPr="00E65C8B">
              <w:rPr>
                <w:szCs w:val="28"/>
              </w:rPr>
              <w:t xml:space="preserve"> un smagsvara pārvadājumu atļauju iegūt uz termiņu līdz vienam mēnesim, vienlaikus maksājot valsts nodevu, kas ir proporcionāli samazināta atkarībā no atļaujas derīguma termiņa.</w:t>
            </w:r>
          </w:p>
        </w:tc>
      </w:tr>
      <w:tr w:rsidR="00F80C03" w:rsidRPr="00B2758C" w:rsidTr="006F1B1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4.</w:t>
            </w:r>
          </w:p>
        </w:tc>
        <w:tc>
          <w:tcPr>
            <w:tcW w:w="1492"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spacing w:before="100" w:beforeAutospacing="1" w:after="100" w:afterAutospacing="1" w:line="285" w:lineRule="atLeast"/>
              <w:rPr>
                <w:rFonts w:eastAsia="Times New Roman"/>
                <w:color w:val="000000" w:themeColor="text1"/>
                <w:szCs w:val="28"/>
                <w:lang w:eastAsia="lv-LV"/>
              </w:rPr>
            </w:pPr>
            <w:r w:rsidRPr="008B42C6">
              <w:rPr>
                <w:rFonts w:eastAsia="Times New Roman"/>
                <w:color w:val="000000" w:themeColor="text1"/>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F80C03" w:rsidRPr="00A02AC1"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7"/>
        <w:gridCol w:w="3210"/>
        <w:gridCol w:w="5661"/>
      </w:tblGrid>
      <w:tr w:rsidR="009A22F6" w:rsidRPr="00B2758C" w:rsidTr="00DE0915">
        <w:trPr>
          <w:trHeight w:val="375"/>
          <w:jc w:val="center"/>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VII</w:t>
            </w:r>
            <w:r w:rsidR="009F7AA2">
              <w:rPr>
                <w:b/>
                <w:bCs/>
                <w:color w:val="000000"/>
                <w:szCs w:val="28"/>
                <w:lang w:eastAsia="lv-LV"/>
              </w:rPr>
              <w:t>.</w:t>
            </w:r>
            <w:r w:rsidR="009A22F6" w:rsidRPr="008B42C6">
              <w:rPr>
                <w:b/>
                <w:bCs/>
                <w:color w:val="000000"/>
                <w:szCs w:val="28"/>
                <w:lang w:eastAsia="lv-LV"/>
              </w:rPr>
              <w:t xml:space="preserve"> Tiesību akta projekta izpildes nodrošināšana un tās ietekme uz institūcijām</w:t>
            </w:r>
          </w:p>
        </w:tc>
      </w:tr>
      <w:tr w:rsidR="009A22F6" w:rsidRPr="00B2758C" w:rsidTr="006C6053">
        <w:trPr>
          <w:trHeight w:val="42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719"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izpildē iesaistītās institūcijas</w:t>
            </w:r>
          </w:p>
        </w:tc>
        <w:tc>
          <w:tcPr>
            <w:tcW w:w="3031" w:type="pct"/>
            <w:tcBorders>
              <w:top w:val="outset" w:sz="6" w:space="0" w:color="414142"/>
              <w:left w:val="outset" w:sz="6" w:space="0" w:color="414142"/>
              <w:bottom w:val="outset" w:sz="6" w:space="0" w:color="414142"/>
            </w:tcBorders>
          </w:tcPr>
          <w:p w:rsidR="009A22F6" w:rsidRPr="008B42C6" w:rsidRDefault="001A1F82" w:rsidP="00433EB1">
            <w:pPr>
              <w:jc w:val="both"/>
              <w:rPr>
                <w:color w:val="000000"/>
                <w:szCs w:val="28"/>
                <w:lang w:eastAsia="lv-LV"/>
              </w:rPr>
            </w:pPr>
            <w:r>
              <w:rPr>
                <w:color w:val="000000"/>
                <w:szCs w:val="28"/>
                <w:lang w:eastAsia="lv-LV"/>
              </w:rPr>
              <w:t>VAS “Latvijas Valsts ceļi”.</w:t>
            </w:r>
          </w:p>
        </w:tc>
      </w:tr>
      <w:tr w:rsidR="009A22F6" w:rsidRPr="00B2758C" w:rsidTr="006C6053">
        <w:trPr>
          <w:trHeight w:val="45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719"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izpildes ietekme uz pārvaldes funkcijām un institucionālo struktūru.</w:t>
            </w:r>
          </w:p>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 xml:space="preserve">Jaunu institūciju izveide, esošu institūciju likvidācija </w:t>
            </w:r>
            <w:r w:rsidRPr="008B42C6">
              <w:rPr>
                <w:color w:val="000000"/>
                <w:szCs w:val="28"/>
                <w:lang w:eastAsia="lv-LV"/>
              </w:rPr>
              <w:lastRenderedPageBreak/>
              <w:t>vai reorganizācija, to ietekme uz institūcijas cilvēkresursiem</w:t>
            </w:r>
          </w:p>
        </w:tc>
        <w:tc>
          <w:tcPr>
            <w:tcW w:w="3031" w:type="pct"/>
            <w:tcBorders>
              <w:top w:val="outset" w:sz="6" w:space="0" w:color="414142"/>
              <w:left w:val="outset" w:sz="6" w:space="0" w:color="414142"/>
              <w:bottom w:val="outset" w:sz="6" w:space="0" w:color="414142"/>
            </w:tcBorders>
          </w:tcPr>
          <w:p w:rsidR="009A22F6" w:rsidRPr="008B42C6" w:rsidRDefault="005C6031" w:rsidP="00865AC3">
            <w:pPr>
              <w:jc w:val="both"/>
              <w:rPr>
                <w:color w:val="000000"/>
                <w:szCs w:val="28"/>
                <w:lang w:eastAsia="lv-LV"/>
              </w:rPr>
            </w:pPr>
            <w:r w:rsidRPr="005C6031">
              <w:rPr>
                <w:color w:val="000000"/>
                <w:szCs w:val="28"/>
                <w:lang w:eastAsia="lv-LV"/>
              </w:rPr>
              <w:lastRenderedPageBreak/>
              <w:t>Projekta īstenošana tiks veikta esošo cilvēkresursu ietvaros. Saistībā ar projekta izpildi nebūs nepieciešams veidot jaunas institūcijas vai likvidēt vai reorganizēt esošās.</w:t>
            </w:r>
          </w:p>
        </w:tc>
      </w:tr>
      <w:tr w:rsidR="009A22F6" w:rsidRPr="00B2758C" w:rsidTr="006C6053">
        <w:trPr>
          <w:trHeight w:val="39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719"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031"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6D5CE3" w:rsidRDefault="009A22F6">
      <w:pPr>
        <w:rPr>
          <w:color w:val="000000"/>
          <w:szCs w:val="28"/>
        </w:rPr>
      </w:pPr>
    </w:p>
    <w:p w:rsidR="006D5CE3" w:rsidRPr="006D5CE3" w:rsidRDefault="006D5CE3">
      <w:pPr>
        <w:rPr>
          <w:color w:val="000000"/>
          <w:szCs w:val="28"/>
        </w:rPr>
      </w:pPr>
      <w:r w:rsidRPr="006D5CE3">
        <w:rPr>
          <w:color w:val="000000"/>
          <w:szCs w:val="28"/>
        </w:rPr>
        <w:t xml:space="preserve">Anotācijas </w:t>
      </w:r>
      <w:r>
        <w:rPr>
          <w:color w:val="000000"/>
          <w:szCs w:val="28"/>
        </w:rPr>
        <w:t>V sadaļa – projekts šo jomu</w:t>
      </w:r>
      <w:r w:rsidRPr="006D5CE3">
        <w:rPr>
          <w:color w:val="000000"/>
          <w:szCs w:val="28"/>
        </w:rPr>
        <w:t xml:space="preserve"> neskar.</w:t>
      </w:r>
    </w:p>
    <w:p w:rsidR="009A22F6" w:rsidRDefault="009A22F6" w:rsidP="005D0E57">
      <w:pPr>
        <w:rPr>
          <w:color w:val="000000"/>
          <w:szCs w:val="28"/>
        </w:rPr>
      </w:pPr>
    </w:p>
    <w:p w:rsidR="00AD2A39" w:rsidRPr="006D5CE3" w:rsidRDefault="00AD2A39" w:rsidP="005D0E57">
      <w:pPr>
        <w:rPr>
          <w:color w:val="000000"/>
          <w:szCs w:val="28"/>
        </w:rPr>
      </w:pPr>
    </w:p>
    <w:p w:rsidR="00865AC3" w:rsidRPr="00865AC3" w:rsidRDefault="00865AC3" w:rsidP="00865AC3">
      <w:pPr>
        <w:rPr>
          <w:rFonts w:eastAsia="Times New Roman"/>
          <w:szCs w:val="28"/>
          <w:lang w:eastAsia="lv-LV"/>
        </w:rPr>
      </w:pPr>
      <w:r w:rsidRPr="00865AC3">
        <w:rPr>
          <w:rFonts w:eastAsia="Times New Roman"/>
          <w:szCs w:val="28"/>
          <w:lang w:eastAsia="lv-LV"/>
        </w:rPr>
        <w:t>Satiksmes ministrs</w:t>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003672CA">
        <w:rPr>
          <w:rFonts w:eastAsia="Times New Roman"/>
          <w:szCs w:val="28"/>
          <w:lang w:eastAsia="lv-LV"/>
        </w:rPr>
        <w:tab/>
      </w:r>
      <w:r w:rsidR="003672CA">
        <w:rPr>
          <w:rFonts w:eastAsia="Times New Roman"/>
          <w:szCs w:val="28"/>
          <w:lang w:eastAsia="lv-LV"/>
        </w:rPr>
        <w:tab/>
      </w:r>
      <w:r w:rsidRPr="00865AC3">
        <w:rPr>
          <w:rFonts w:eastAsia="Times New Roman"/>
          <w:szCs w:val="28"/>
          <w:lang w:eastAsia="lv-LV"/>
        </w:rPr>
        <w:tab/>
        <w:t xml:space="preserve">   </w:t>
      </w:r>
      <w:r w:rsidR="00F57796">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U. Augulis</w:t>
      </w:r>
    </w:p>
    <w:p w:rsidR="009A22F6" w:rsidRDefault="009A22F6" w:rsidP="005D0E57">
      <w:pPr>
        <w:jc w:val="both"/>
        <w:rPr>
          <w:szCs w:val="28"/>
          <w:lang w:eastAsia="lv-LV"/>
        </w:rPr>
      </w:pPr>
    </w:p>
    <w:p w:rsidR="009A22F6" w:rsidRDefault="009A22F6" w:rsidP="005D0E57">
      <w:pPr>
        <w:jc w:val="both"/>
        <w:rPr>
          <w:szCs w:val="28"/>
          <w:lang w:eastAsia="lv-LV"/>
        </w:rPr>
      </w:pPr>
    </w:p>
    <w:p w:rsidR="00596364" w:rsidRPr="00596364" w:rsidRDefault="005A0B95" w:rsidP="00596364">
      <w:pPr>
        <w:jc w:val="both"/>
        <w:rPr>
          <w:rFonts w:eastAsia="Times New Roman"/>
          <w:szCs w:val="28"/>
          <w:lang w:eastAsia="lv-LV"/>
        </w:rPr>
      </w:pPr>
      <w:r>
        <w:rPr>
          <w:rFonts w:eastAsia="Times New Roman"/>
          <w:szCs w:val="28"/>
          <w:lang w:eastAsia="lv-LV"/>
        </w:rPr>
        <w:t>Vīza: valsts sekretārs</w:t>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F57796">
        <w:rPr>
          <w:rFonts w:eastAsia="Times New Roman"/>
          <w:szCs w:val="28"/>
          <w:lang w:eastAsia="lv-LV"/>
        </w:rPr>
        <w:t xml:space="preserve">      </w:t>
      </w:r>
      <w:r w:rsidR="00596364" w:rsidRPr="00596364">
        <w:rPr>
          <w:rFonts w:eastAsia="Times New Roman"/>
          <w:szCs w:val="28"/>
          <w:lang w:eastAsia="lv-LV"/>
        </w:rPr>
        <w:t xml:space="preserve">            </w:t>
      </w:r>
      <w:r>
        <w:rPr>
          <w:rFonts w:eastAsia="Times New Roman"/>
          <w:szCs w:val="28"/>
          <w:lang w:eastAsia="lv-LV"/>
        </w:rPr>
        <w:t xml:space="preserve">         </w:t>
      </w:r>
      <w:r w:rsidR="00596364" w:rsidRPr="00596364">
        <w:rPr>
          <w:rFonts w:eastAsia="Times New Roman"/>
          <w:szCs w:val="28"/>
          <w:lang w:eastAsia="lv-LV"/>
        </w:rPr>
        <w:t xml:space="preserve">     </w:t>
      </w:r>
      <w:r>
        <w:rPr>
          <w:rFonts w:eastAsia="Times New Roman"/>
          <w:szCs w:val="28"/>
          <w:lang w:eastAsia="lv-LV"/>
        </w:rPr>
        <w:t>K. Ozoliņš</w:t>
      </w:r>
    </w:p>
    <w:p w:rsidR="003B3316" w:rsidRDefault="003B3316" w:rsidP="005D0E57">
      <w:pPr>
        <w:jc w:val="both"/>
        <w:rPr>
          <w:szCs w:val="28"/>
          <w:lang w:eastAsia="lv-LV"/>
        </w:rPr>
      </w:pPr>
    </w:p>
    <w:p w:rsidR="00DE1F89" w:rsidRDefault="00DE1F89" w:rsidP="005D0E57">
      <w:pPr>
        <w:jc w:val="both"/>
        <w:rPr>
          <w:szCs w:val="28"/>
          <w:lang w:eastAsia="lv-LV"/>
        </w:rPr>
      </w:pPr>
    </w:p>
    <w:p w:rsidR="009A22F6" w:rsidRDefault="00AC1F20" w:rsidP="005D0E57">
      <w:pPr>
        <w:jc w:val="both"/>
        <w:rPr>
          <w:sz w:val="20"/>
          <w:szCs w:val="20"/>
          <w:lang w:eastAsia="lv-LV"/>
        </w:rPr>
      </w:pPr>
      <w:r>
        <w:rPr>
          <w:sz w:val="20"/>
          <w:szCs w:val="20"/>
          <w:lang w:eastAsia="lv-LV"/>
        </w:rPr>
        <w:t>2</w:t>
      </w:r>
      <w:r w:rsidR="004F16B4">
        <w:rPr>
          <w:sz w:val="20"/>
          <w:szCs w:val="20"/>
          <w:lang w:eastAsia="lv-LV"/>
        </w:rPr>
        <w:t>8</w:t>
      </w:r>
      <w:r w:rsidR="006C6053">
        <w:rPr>
          <w:sz w:val="20"/>
          <w:szCs w:val="20"/>
          <w:lang w:eastAsia="lv-LV"/>
        </w:rPr>
        <w:t>.02</w:t>
      </w:r>
      <w:r w:rsidR="00312342">
        <w:rPr>
          <w:sz w:val="20"/>
          <w:szCs w:val="20"/>
          <w:lang w:eastAsia="lv-LV"/>
        </w:rPr>
        <w:t>.2017</w:t>
      </w:r>
      <w:r w:rsidR="00131DEA">
        <w:rPr>
          <w:sz w:val="20"/>
          <w:szCs w:val="20"/>
          <w:lang w:eastAsia="lv-LV"/>
        </w:rPr>
        <w:t xml:space="preserve">. </w:t>
      </w:r>
      <w:r w:rsidR="004F16B4">
        <w:rPr>
          <w:sz w:val="20"/>
          <w:szCs w:val="20"/>
          <w:lang w:eastAsia="lv-LV"/>
        </w:rPr>
        <w:t>1</w:t>
      </w:r>
      <w:r w:rsidR="00E419B3">
        <w:rPr>
          <w:sz w:val="20"/>
          <w:szCs w:val="20"/>
          <w:lang w:eastAsia="lv-LV"/>
        </w:rPr>
        <w:t>4</w:t>
      </w:r>
      <w:r w:rsidR="00C37861">
        <w:rPr>
          <w:sz w:val="20"/>
          <w:szCs w:val="20"/>
          <w:lang w:eastAsia="lv-LV"/>
        </w:rPr>
        <w:t>:</w:t>
      </w:r>
      <w:r w:rsidR="00E419B3">
        <w:rPr>
          <w:sz w:val="20"/>
          <w:szCs w:val="20"/>
          <w:lang w:eastAsia="lv-LV"/>
        </w:rPr>
        <w:t>11</w:t>
      </w:r>
      <w:bookmarkStart w:id="0" w:name="_GoBack"/>
      <w:bookmarkEnd w:id="0"/>
    </w:p>
    <w:p w:rsidR="009A22F6" w:rsidRPr="008B42C6" w:rsidRDefault="005B1E7C" w:rsidP="005D0E57">
      <w:pPr>
        <w:jc w:val="both"/>
        <w:rPr>
          <w:sz w:val="20"/>
          <w:szCs w:val="20"/>
        </w:rPr>
      </w:pPr>
      <w:r>
        <w:rPr>
          <w:sz w:val="20"/>
          <w:szCs w:val="20"/>
        </w:rPr>
        <w:t>1</w:t>
      </w:r>
      <w:r w:rsidR="006C6053">
        <w:rPr>
          <w:sz w:val="20"/>
          <w:szCs w:val="20"/>
        </w:rPr>
        <w:t>4</w:t>
      </w:r>
      <w:r w:rsidR="004F16B4">
        <w:rPr>
          <w:sz w:val="20"/>
          <w:szCs w:val="20"/>
        </w:rPr>
        <w:t>09</w:t>
      </w:r>
    </w:p>
    <w:p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w:t>
      </w:r>
      <w:r w:rsidR="00071C92">
        <w:rPr>
          <w:rFonts w:eastAsia="Times New Roman"/>
          <w:sz w:val="20"/>
          <w:szCs w:val="20"/>
          <w:lang w:eastAsia="lv-LV"/>
        </w:rPr>
        <w:t>pe</w:t>
      </w:r>
      <w:r w:rsidRPr="00C154DE">
        <w:rPr>
          <w:rFonts w:eastAsia="Times New Roman"/>
          <w:sz w:val="20"/>
          <w:szCs w:val="20"/>
          <w:lang w:eastAsia="lv-LV"/>
        </w:rPr>
        <w:t>, 67028253</w:t>
      </w:r>
    </w:p>
    <w:p w:rsidR="00CB1428" w:rsidRDefault="00E419B3" w:rsidP="0042367F">
      <w:pPr>
        <w:rPr>
          <w:rStyle w:val="Hyperlink"/>
          <w:rFonts w:eastAsia="Times New Roman"/>
          <w:sz w:val="20"/>
          <w:szCs w:val="20"/>
          <w:lang w:eastAsia="lv-LV"/>
        </w:rPr>
      </w:pPr>
      <w:hyperlink r:id="rId8" w:history="1">
        <w:r w:rsidR="00071C92" w:rsidRPr="00C22268">
          <w:rPr>
            <w:rStyle w:val="Hyperlink"/>
            <w:rFonts w:eastAsia="Times New Roman"/>
            <w:sz w:val="20"/>
            <w:szCs w:val="20"/>
            <w:lang w:eastAsia="lv-LV"/>
          </w:rPr>
          <w:t>dace.supe@sam.gov.lv</w:t>
        </w:r>
      </w:hyperlink>
    </w:p>
    <w:p w:rsidR="006C6053" w:rsidRPr="006C6053" w:rsidRDefault="006C6053" w:rsidP="0042367F">
      <w:pPr>
        <w:rPr>
          <w:rStyle w:val="Hyperlink"/>
          <w:rFonts w:eastAsia="Times New Roman"/>
          <w:color w:val="auto"/>
          <w:sz w:val="20"/>
          <w:szCs w:val="20"/>
          <w:u w:val="none"/>
        </w:rPr>
      </w:pPr>
      <w:proofErr w:type="spellStart"/>
      <w:r w:rsidRPr="006C6053">
        <w:rPr>
          <w:rStyle w:val="Hyperlink"/>
          <w:rFonts w:eastAsia="Times New Roman"/>
          <w:color w:val="auto"/>
          <w:sz w:val="20"/>
          <w:szCs w:val="20"/>
          <w:u w:val="none"/>
        </w:rPr>
        <w:t>K.Marinska</w:t>
      </w:r>
      <w:proofErr w:type="spellEnd"/>
      <w:r w:rsidRPr="006C6053">
        <w:rPr>
          <w:rStyle w:val="Hyperlink"/>
          <w:rFonts w:eastAsia="Times New Roman"/>
          <w:color w:val="auto"/>
          <w:sz w:val="20"/>
          <w:szCs w:val="20"/>
          <w:u w:val="none"/>
        </w:rPr>
        <w:t>, 67028066</w:t>
      </w:r>
    </w:p>
    <w:p w:rsidR="006C6053" w:rsidRPr="006C6053" w:rsidRDefault="006C6053" w:rsidP="0042367F">
      <w:pPr>
        <w:rPr>
          <w:rFonts w:ascii="Arial" w:hAnsi="Arial" w:cs="Arial"/>
          <w:b/>
          <w:bCs/>
          <w:color w:val="414142"/>
          <w:sz w:val="20"/>
          <w:szCs w:val="20"/>
          <w:lang w:eastAsia="lv-LV"/>
        </w:rPr>
      </w:pPr>
      <w:r>
        <w:rPr>
          <w:rStyle w:val="Hyperlink"/>
          <w:rFonts w:eastAsia="Times New Roman"/>
          <w:sz w:val="20"/>
          <w:szCs w:val="20"/>
        </w:rPr>
        <w:t>Karina.marinska@sam.gov.lv</w:t>
      </w:r>
    </w:p>
    <w:sectPr w:rsidR="006C6053" w:rsidRPr="006C6053" w:rsidSect="000461D9">
      <w:headerReference w:type="default" r:id="rId9"/>
      <w:footerReference w:type="default" r:id="rId10"/>
      <w:footerReference w:type="first" r:id="rId11"/>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03" w:rsidRDefault="007C6203" w:rsidP="001D3D27">
      <w:r>
        <w:separator/>
      </w:r>
    </w:p>
  </w:endnote>
  <w:endnote w:type="continuationSeparator" w:id="0">
    <w:p w:rsidR="007C6203" w:rsidRDefault="007C6203"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3B" w:rsidRPr="00CD08D7" w:rsidRDefault="00CD08D7" w:rsidP="00CD08D7">
    <w:pPr>
      <w:jc w:val="both"/>
    </w:pPr>
    <w:r>
      <w:rPr>
        <w:bCs/>
        <w:color w:val="000000"/>
        <w:sz w:val="20"/>
        <w:szCs w:val="20"/>
        <w:lang w:eastAsia="lv-LV"/>
      </w:rPr>
      <w:t>SAMAnot_</w:t>
    </w:r>
    <w:r w:rsidR="00AC1F20">
      <w:rPr>
        <w:bCs/>
        <w:color w:val="000000"/>
        <w:sz w:val="20"/>
        <w:szCs w:val="20"/>
        <w:lang w:eastAsia="lv-LV"/>
      </w:rPr>
      <w:t>2</w:t>
    </w:r>
    <w:r w:rsidR="00F66EB3">
      <w:rPr>
        <w:bCs/>
        <w:color w:val="000000"/>
        <w:sz w:val="20"/>
        <w:szCs w:val="20"/>
        <w:lang w:eastAsia="lv-LV"/>
      </w:rPr>
      <w:t>8</w:t>
    </w:r>
    <w:r w:rsidR="00CB615F">
      <w:rPr>
        <w:bCs/>
        <w:color w:val="000000"/>
        <w:sz w:val="20"/>
        <w:szCs w:val="20"/>
        <w:lang w:eastAsia="lv-LV"/>
      </w:rPr>
      <w:t>02</w:t>
    </w:r>
    <w:r w:rsidR="00312342">
      <w:rPr>
        <w:bCs/>
        <w:color w:val="000000"/>
        <w:sz w:val="20"/>
        <w:szCs w:val="20"/>
        <w:lang w:eastAsia="lv-LV"/>
      </w:rPr>
      <w:t>17</w:t>
    </w:r>
    <w:r>
      <w:rPr>
        <w:bCs/>
        <w:color w:val="000000"/>
        <w:sz w:val="20"/>
        <w:szCs w:val="20"/>
        <w:lang w:eastAsia="lv-LV"/>
      </w:rPr>
      <w:t xml:space="preserve">_groz_nodeva; </w:t>
    </w:r>
    <w:r w:rsidRPr="00CD08D7">
      <w:rPr>
        <w:bCs/>
        <w:color w:val="000000"/>
        <w:sz w:val="20"/>
        <w:szCs w:val="20"/>
        <w:lang w:eastAsia="lv-LV"/>
      </w:rPr>
      <w:t>Ministru kabineta noteikumu projekta „Grozījum</w:t>
    </w:r>
    <w:r w:rsidR="007E1D98">
      <w:rPr>
        <w:bCs/>
        <w:color w:val="000000"/>
        <w:sz w:val="20"/>
        <w:szCs w:val="20"/>
        <w:lang w:eastAsia="lv-LV"/>
      </w:rPr>
      <w:t>i</w:t>
    </w:r>
    <w:r w:rsidRPr="00CD08D7">
      <w:rPr>
        <w:bCs/>
        <w:color w:val="000000"/>
        <w:sz w:val="20"/>
        <w:szCs w:val="20"/>
        <w:lang w:eastAsia="lv-LV"/>
      </w:rPr>
      <w:t xml:space="preserve"> Ministru kabineta 2010. gada 28. decembra noteikumos Nr. 1228 „Noteikumi par </w:t>
    </w:r>
    <w:proofErr w:type="spellStart"/>
    <w:r w:rsidRPr="00CD08D7">
      <w:rPr>
        <w:bCs/>
        <w:color w:val="000000"/>
        <w:sz w:val="20"/>
        <w:szCs w:val="20"/>
        <w:lang w:eastAsia="lv-LV"/>
      </w:rPr>
      <w:t>lielgabarīta</w:t>
    </w:r>
    <w:proofErr w:type="spellEnd"/>
    <w:r w:rsidRPr="00CD08D7">
      <w:rPr>
        <w:bCs/>
        <w:color w:val="000000"/>
        <w:sz w:val="20"/>
        <w:szCs w:val="20"/>
        <w:lang w:eastAsia="lv-LV"/>
      </w:rPr>
      <w:t xml:space="preserve"> un smagsvara pārvadājumu atļaujas izsniegšanas valsts nodevas apmēru, samaksas kārtību un atbrīvojumiem””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AC1F20">
      <w:rPr>
        <w:bCs/>
        <w:color w:val="000000"/>
        <w:sz w:val="20"/>
        <w:szCs w:val="20"/>
        <w:lang w:eastAsia="lv-LV"/>
      </w:rPr>
      <w:t>2</w:t>
    </w:r>
    <w:r w:rsidR="00F66EB3">
      <w:rPr>
        <w:bCs/>
        <w:color w:val="000000"/>
        <w:sz w:val="20"/>
        <w:szCs w:val="20"/>
        <w:lang w:eastAsia="lv-LV"/>
      </w:rPr>
      <w:t>8</w:t>
    </w:r>
    <w:r w:rsidR="00312342">
      <w:rPr>
        <w:bCs/>
        <w:color w:val="000000"/>
        <w:sz w:val="20"/>
        <w:szCs w:val="20"/>
        <w:lang w:eastAsia="lv-LV"/>
      </w:rPr>
      <w:t>0</w:t>
    </w:r>
    <w:r w:rsidR="00EF58C5">
      <w:rPr>
        <w:bCs/>
        <w:color w:val="000000"/>
        <w:sz w:val="20"/>
        <w:szCs w:val="20"/>
        <w:lang w:eastAsia="lv-LV"/>
      </w:rPr>
      <w:t>2</w:t>
    </w:r>
    <w:r w:rsidR="00312342">
      <w:rPr>
        <w:bCs/>
        <w:color w:val="000000"/>
        <w:sz w:val="20"/>
        <w:szCs w:val="20"/>
        <w:lang w:eastAsia="lv-LV"/>
      </w:rPr>
      <w:t>17</w:t>
    </w:r>
    <w:r>
      <w:rPr>
        <w:bCs/>
        <w:color w:val="000000"/>
        <w:sz w:val="20"/>
        <w:szCs w:val="20"/>
        <w:lang w:eastAsia="lv-LV"/>
      </w:rPr>
      <w:t>_</w:t>
    </w:r>
    <w:r w:rsidR="00A7073B">
      <w:rPr>
        <w:bCs/>
        <w:color w:val="000000"/>
        <w:sz w:val="20"/>
        <w:szCs w:val="20"/>
        <w:lang w:eastAsia="lv-LV"/>
      </w:rPr>
      <w:t>groz_</w:t>
    </w:r>
    <w:r w:rsidR="00CD08D7">
      <w:rPr>
        <w:bCs/>
        <w:color w:val="000000"/>
        <w:sz w:val="20"/>
        <w:szCs w:val="20"/>
        <w:lang w:eastAsia="lv-LV"/>
      </w:rPr>
      <w:t>nodeva</w:t>
    </w:r>
    <w:r>
      <w:rPr>
        <w:bCs/>
        <w:color w:val="000000"/>
        <w:sz w:val="20"/>
        <w:szCs w:val="20"/>
        <w:lang w:eastAsia="lv-LV"/>
      </w:rPr>
      <w:t xml:space="preserve">; </w:t>
    </w:r>
    <w:r w:rsidR="00CD08D7" w:rsidRPr="00CD08D7">
      <w:rPr>
        <w:bCs/>
        <w:color w:val="000000"/>
        <w:sz w:val="20"/>
        <w:szCs w:val="20"/>
        <w:lang w:eastAsia="lv-LV"/>
      </w:rPr>
      <w:t>Ministru kabineta noteikumu projekta „Grozījum</w:t>
    </w:r>
    <w:r w:rsidR="007E1D98">
      <w:rPr>
        <w:bCs/>
        <w:color w:val="000000"/>
        <w:sz w:val="20"/>
        <w:szCs w:val="20"/>
        <w:lang w:eastAsia="lv-LV"/>
      </w:rPr>
      <w:t>i</w:t>
    </w:r>
    <w:r w:rsidR="00CD08D7" w:rsidRPr="00CD08D7">
      <w:rPr>
        <w:bCs/>
        <w:color w:val="000000"/>
        <w:sz w:val="20"/>
        <w:szCs w:val="20"/>
        <w:lang w:eastAsia="lv-LV"/>
      </w:rPr>
      <w:t xml:space="preserve"> Ministru kabineta 2010. gada 28. decembra noteikumos Nr. 1228 „Noteikumi par </w:t>
    </w:r>
    <w:proofErr w:type="spellStart"/>
    <w:r w:rsidR="00CD08D7" w:rsidRPr="00CD08D7">
      <w:rPr>
        <w:bCs/>
        <w:color w:val="000000"/>
        <w:sz w:val="20"/>
        <w:szCs w:val="20"/>
        <w:lang w:eastAsia="lv-LV"/>
      </w:rPr>
      <w:t>lielgabarīta</w:t>
    </w:r>
    <w:proofErr w:type="spellEnd"/>
    <w:r w:rsidR="00CD08D7" w:rsidRPr="00CD08D7">
      <w:rPr>
        <w:bCs/>
        <w:color w:val="000000"/>
        <w:sz w:val="20"/>
        <w:szCs w:val="20"/>
        <w:lang w:eastAsia="lv-LV"/>
      </w:rPr>
      <w:t xml:space="preserve"> un smagsvara pārvadājumu atļaujas izsniegšanas valsts nodevas apmēru, samaksas kārtību un atbrīvojumiem””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03" w:rsidRDefault="007C6203" w:rsidP="001D3D27">
      <w:r>
        <w:separator/>
      </w:r>
    </w:p>
  </w:footnote>
  <w:footnote w:type="continuationSeparator" w:id="0">
    <w:p w:rsidR="007C6203" w:rsidRDefault="007C6203" w:rsidP="001D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F6" w:rsidRPr="00EF4070" w:rsidRDefault="009A22F6">
    <w:pPr>
      <w:pStyle w:val="Header"/>
      <w:jc w:val="center"/>
      <w:rPr>
        <w:szCs w:val="28"/>
      </w:rPr>
    </w:pPr>
    <w:r w:rsidRPr="00EF4070">
      <w:rPr>
        <w:szCs w:val="28"/>
      </w:rPr>
      <w:fldChar w:fldCharType="begin"/>
    </w:r>
    <w:r w:rsidRPr="00EF4070">
      <w:rPr>
        <w:szCs w:val="28"/>
      </w:rPr>
      <w:instrText xml:space="preserve"> PAGE   \* MERGEFORMAT </w:instrText>
    </w:r>
    <w:r w:rsidRPr="00EF4070">
      <w:rPr>
        <w:szCs w:val="28"/>
      </w:rPr>
      <w:fldChar w:fldCharType="separate"/>
    </w:r>
    <w:r w:rsidR="00E419B3">
      <w:rPr>
        <w:noProof/>
        <w:szCs w:val="28"/>
      </w:rPr>
      <w:t>8</w:t>
    </w:r>
    <w:r w:rsidRPr="00EF4070">
      <w:rPr>
        <w:szCs w:val="28"/>
      </w:rPr>
      <w:fldChar w:fldCharType="end"/>
    </w:r>
  </w:p>
  <w:p w:rsidR="009A22F6" w:rsidRDefault="009A2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15"/>
    <w:rsid w:val="000048CD"/>
    <w:rsid w:val="00016366"/>
    <w:rsid w:val="00042814"/>
    <w:rsid w:val="000461D9"/>
    <w:rsid w:val="0006555C"/>
    <w:rsid w:val="00071C92"/>
    <w:rsid w:val="000D5D90"/>
    <w:rsid w:val="000D66F9"/>
    <w:rsid w:val="000E400D"/>
    <w:rsid w:val="00100FFE"/>
    <w:rsid w:val="00102E7F"/>
    <w:rsid w:val="00131DEA"/>
    <w:rsid w:val="00142568"/>
    <w:rsid w:val="0014481A"/>
    <w:rsid w:val="00150CB2"/>
    <w:rsid w:val="00155F97"/>
    <w:rsid w:val="001828D8"/>
    <w:rsid w:val="001A1F82"/>
    <w:rsid w:val="001B23D5"/>
    <w:rsid w:val="001D39CC"/>
    <w:rsid w:val="001D3D27"/>
    <w:rsid w:val="0020290E"/>
    <w:rsid w:val="00206892"/>
    <w:rsid w:val="00222671"/>
    <w:rsid w:val="002465F5"/>
    <w:rsid w:val="0027520D"/>
    <w:rsid w:val="0028728B"/>
    <w:rsid w:val="00297869"/>
    <w:rsid w:val="002B6C4F"/>
    <w:rsid w:val="002C295B"/>
    <w:rsid w:val="002E147A"/>
    <w:rsid w:val="002E3B59"/>
    <w:rsid w:val="002F0047"/>
    <w:rsid w:val="002F5AD1"/>
    <w:rsid w:val="00300F55"/>
    <w:rsid w:val="00312342"/>
    <w:rsid w:val="00313A44"/>
    <w:rsid w:val="00334ED2"/>
    <w:rsid w:val="003575EA"/>
    <w:rsid w:val="00365382"/>
    <w:rsid w:val="003672CA"/>
    <w:rsid w:val="003765B3"/>
    <w:rsid w:val="00394104"/>
    <w:rsid w:val="003A3293"/>
    <w:rsid w:val="003B1E79"/>
    <w:rsid w:val="003B3316"/>
    <w:rsid w:val="003D4770"/>
    <w:rsid w:val="003D5628"/>
    <w:rsid w:val="00410CEB"/>
    <w:rsid w:val="0042116E"/>
    <w:rsid w:val="0042367F"/>
    <w:rsid w:val="0043050F"/>
    <w:rsid w:val="00430951"/>
    <w:rsid w:val="004314EA"/>
    <w:rsid w:val="00433EB1"/>
    <w:rsid w:val="00470FBE"/>
    <w:rsid w:val="00473E17"/>
    <w:rsid w:val="004805E3"/>
    <w:rsid w:val="00481D38"/>
    <w:rsid w:val="004825A4"/>
    <w:rsid w:val="004B3F43"/>
    <w:rsid w:val="004B6EB5"/>
    <w:rsid w:val="004C1EFA"/>
    <w:rsid w:val="004C45D6"/>
    <w:rsid w:val="004D4890"/>
    <w:rsid w:val="004E5D68"/>
    <w:rsid w:val="004F0B81"/>
    <w:rsid w:val="004F16B4"/>
    <w:rsid w:val="004F5618"/>
    <w:rsid w:val="004F5F50"/>
    <w:rsid w:val="00501BC3"/>
    <w:rsid w:val="00505DFA"/>
    <w:rsid w:val="005066FD"/>
    <w:rsid w:val="00506FB8"/>
    <w:rsid w:val="0051192F"/>
    <w:rsid w:val="00523878"/>
    <w:rsid w:val="005268F5"/>
    <w:rsid w:val="00531160"/>
    <w:rsid w:val="0053566A"/>
    <w:rsid w:val="00551133"/>
    <w:rsid w:val="00554E77"/>
    <w:rsid w:val="00555183"/>
    <w:rsid w:val="005709B4"/>
    <w:rsid w:val="00571517"/>
    <w:rsid w:val="00580136"/>
    <w:rsid w:val="00590918"/>
    <w:rsid w:val="00591647"/>
    <w:rsid w:val="00596364"/>
    <w:rsid w:val="00596DAA"/>
    <w:rsid w:val="005A0B95"/>
    <w:rsid w:val="005B1E7C"/>
    <w:rsid w:val="005C2C9A"/>
    <w:rsid w:val="005C6031"/>
    <w:rsid w:val="005D098E"/>
    <w:rsid w:val="005D0E57"/>
    <w:rsid w:val="005E6B12"/>
    <w:rsid w:val="005E7093"/>
    <w:rsid w:val="005E7CE1"/>
    <w:rsid w:val="005F04CE"/>
    <w:rsid w:val="006134A0"/>
    <w:rsid w:val="00647107"/>
    <w:rsid w:val="00651C37"/>
    <w:rsid w:val="00653160"/>
    <w:rsid w:val="00665C9F"/>
    <w:rsid w:val="00666170"/>
    <w:rsid w:val="00693E35"/>
    <w:rsid w:val="006A73DE"/>
    <w:rsid w:val="006C6053"/>
    <w:rsid w:val="006D0E4F"/>
    <w:rsid w:val="006D5CE3"/>
    <w:rsid w:val="006D783E"/>
    <w:rsid w:val="006F1B14"/>
    <w:rsid w:val="00701820"/>
    <w:rsid w:val="007036F1"/>
    <w:rsid w:val="00703B94"/>
    <w:rsid w:val="00715510"/>
    <w:rsid w:val="0071685A"/>
    <w:rsid w:val="00723BA5"/>
    <w:rsid w:val="0072711C"/>
    <w:rsid w:val="0075212F"/>
    <w:rsid w:val="007653E2"/>
    <w:rsid w:val="00781925"/>
    <w:rsid w:val="0078679D"/>
    <w:rsid w:val="00792493"/>
    <w:rsid w:val="007959C7"/>
    <w:rsid w:val="007A44D7"/>
    <w:rsid w:val="007B7359"/>
    <w:rsid w:val="007C6203"/>
    <w:rsid w:val="007D1291"/>
    <w:rsid w:val="007D7602"/>
    <w:rsid w:val="007E1D98"/>
    <w:rsid w:val="00802847"/>
    <w:rsid w:val="008052A7"/>
    <w:rsid w:val="00806E6B"/>
    <w:rsid w:val="00806FA2"/>
    <w:rsid w:val="0081787B"/>
    <w:rsid w:val="00832F6A"/>
    <w:rsid w:val="00840154"/>
    <w:rsid w:val="00843472"/>
    <w:rsid w:val="008556E5"/>
    <w:rsid w:val="00861391"/>
    <w:rsid w:val="00861D6F"/>
    <w:rsid w:val="00862315"/>
    <w:rsid w:val="00864B46"/>
    <w:rsid w:val="00865AC3"/>
    <w:rsid w:val="00884C71"/>
    <w:rsid w:val="0088592A"/>
    <w:rsid w:val="0089513C"/>
    <w:rsid w:val="0089557A"/>
    <w:rsid w:val="008A5008"/>
    <w:rsid w:val="008B42C6"/>
    <w:rsid w:val="008C0C71"/>
    <w:rsid w:val="008C2078"/>
    <w:rsid w:val="008D245E"/>
    <w:rsid w:val="008D6B97"/>
    <w:rsid w:val="008E30A3"/>
    <w:rsid w:val="009202AB"/>
    <w:rsid w:val="009253FF"/>
    <w:rsid w:val="00930554"/>
    <w:rsid w:val="00932321"/>
    <w:rsid w:val="00932D40"/>
    <w:rsid w:val="00941FC9"/>
    <w:rsid w:val="00975194"/>
    <w:rsid w:val="00992184"/>
    <w:rsid w:val="009944EB"/>
    <w:rsid w:val="009A22F6"/>
    <w:rsid w:val="009A3795"/>
    <w:rsid w:val="009B2337"/>
    <w:rsid w:val="009B40CD"/>
    <w:rsid w:val="009E2387"/>
    <w:rsid w:val="009E29B9"/>
    <w:rsid w:val="009E5FCB"/>
    <w:rsid w:val="009F7AA2"/>
    <w:rsid w:val="00A02AC1"/>
    <w:rsid w:val="00A02E3E"/>
    <w:rsid w:val="00A05462"/>
    <w:rsid w:val="00A33ED8"/>
    <w:rsid w:val="00A50B39"/>
    <w:rsid w:val="00A531AF"/>
    <w:rsid w:val="00A6208A"/>
    <w:rsid w:val="00A7073B"/>
    <w:rsid w:val="00AB61E9"/>
    <w:rsid w:val="00AC1F20"/>
    <w:rsid w:val="00AD2A39"/>
    <w:rsid w:val="00AE01B2"/>
    <w:rsid w:val="00AE6171"/>
    <w:rsid w:val="00AF400C"/>
    <w:rsid w:val="00AF4D19"/>
    <w:rsid w:val="00B0512D"/>
    <w:rsid w:val="00B051C2"/>
    <w:rsid w:val="00B12AC9"/>
    <w:rsid w:val="00B16644"/>
    <w:rsid w:val="00B20144"/>
    <w:rsid w:val="00B2758C"/>
    <w:rsid w:val="00B326FB"/>
    <w:rsid w:val="00B36977"/>
    <w:rsid w:val="00B422FF"/>
    <w:rsid w:val="00B55DED"/>
    <w:rsid w:val="00B617DF"/>
    <w:rsid w:val="00B66E42"/>
    <w:rsid w:val="00B76496"/>
    <w:rsid w:val="00B87C25"/>
    <w:rsid w:val="00B96F3F"/>
    <w:rsid w:val="00BA1968"/>
    <w:rsid w:val="00BC4E93"/>
    <w:rsid w:val="00BD36B3"/>
    <w:rsid w:val="00BD5A81"/>
    <w:rsid w:val="00C135FC"/>
    <w:rsid w:val="00C24D0D"/>
    <w:rsid w:val="00C3621D"/>
    <w:rsid w:val="00C37861"/>
    <w:rsid w:val="00C42D0A"/>
    <w:rsid w:val="00C521AA"/>
    <w:rsid w:val="00C569F7"/>
    <w:rsid w:val="00C60BCD"/>
    <w:rsid w:val="00C63EB8"/>
    <w:rsid w:val="00C820B0"/>
    <w:rsid w:val="00C8670F"/>
    <w:rsid w:val="00CB1428"/>
    <w:rsid w:val="00CB397E"/>
    <w:rsid w:val="00CB615F"/>
    <w:rsid w:val="00CB62F3"/>
    <w:rsid w:val="00CC0417"/>
    <w:rsid w:val="00CC58F3"/>
    <w:rsid w:val="00CD08D7"/>
    <w:rsid w:val="00CD3E55"/>
    <w:rsid w:val="00CE22A7"/>
    <w:rsid w:val="00D01D3C"/>
    <w:rsid w:val="00D10AFF"/>
    <w:rsid w:val="00D17EE4"/>
    <w:rsid w:val="00D44D84"/>
    <w:rsid w:val="00D6111F"/>
    <w:rsid w:val="00D62F5F"/>
    <w:rsid w:val="00D76E6F"/>
    <w:rsid w:val="00D80E46"/>
    <w:rsid w:val="00D84B71"/>
    <w:rsid w:val="00DA76F6"/>
    <w:rsid w:val="00DC10C0"/>
    <w:rsid w:val="00DC76D2"/>
    <w:rsid w:val="00DD3E70"/>
    <w:rsid w:val="00DE0571"/>
    <w:rsid w:val="00DE0915"/>
    <w:rsid w:val="00DE186B"/>
    <w:rsid w:val="00DE1F89"/>
    <w:rsid w:val="00E07C15"/>
    <w:rsid w:val="00E133BF"/>
    <w:rsid w:val="00E26F8F"/>
    <w:rsid w:val="00E40CD8"/>
    <w:rsid w:val="00E419B3"/>
    <w:rsid w:val="00E43E19"/>
    <w:rsid w:val="00E50217"/>
    <w:rsid w:val="00E51EA8"/>
    <w:rsid w:val="00E53951"/>
    <w:rsid w:val="00E61C6E"/>
    <w:rsid w:val="00E632DC"/>
    <w:rsid w:val="00E65C8B"/>
    <w:rsid w:val="00E71DF6"/>
    <w:rsid w:val="00E77331"/>
    <w:rsid w:val="00E832C1"/>
    <w:rsid w:val="00E87CB8"/>
    <w:rsid w:val="00E91F17"/>
    <w:rsid w:val="00E97B46"/>
    <w:rsid w:val="00EA6226"/>
    <w:rsid w:val="00EB1FC5"/>
    <w:rsid w:val="00EC5B81"/>
    <w:rsid w:val="00EC677A"/>
    <w:rsid w:val="00EC7979"/>
    <w:rsid w:val="00ED52B8"/>
    <w:rsid w:val="00EF0B38"/>
    <w:rsid w:val="00EF4070"/>
    <w:rsid w:val="00EF58C5"/>
    <w:rsid w:val="00F00BD3"/>
    <w:rsid w:val="00F13B03"/>
    <w:rsid w:val="00F2475F"/>
    <w:rsid w:val="00F30BAF"/>
    <w:rsid w:val="00F37597"/>
    <w:rsid w:val="00F439E3"/>
    <w:rsid w:val="00F4556C"/>
    <w:rsid w:val="00F52710"/>
    <w:rsid w:val="00F54F4F"/>
    <w:rsid w:val="00F57796"/>
    <w:rsid w:val="00F66EB3"/>
    <w:rsid w:val="00F80B2D"/>
    <w:rsid w:val="00F80C03"/>
    <w:rsid w:val="00F91126"/>
    <w:rsid w:val="00FB0813"/>
    <w:rsid w:val="00FB5AB5"/>
    <w:rsid w:val="00FC47C0"/>
    <w:rsid w:val="00FF0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E5420"/>
  <w15:docId w15:val="{FFF95919-94EE-4FBB-BFF8-0D4A725D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character" w:styleId="FollowedHyperlink">
    <w:name w:val="FollowedHyperlink"/>
    <w:basedOn w:val="DefaultParagraphFont"/>
    <w:uiPriority w:val="99"/>
    <w:semiHidden/>
    <w:unhideWhenUsed/>
    <w:rsid w:val="005A0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supe@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9784-EBC3-4B55-BB31-A91D5CF5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7212</Words>
  <Characters>4111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 gada 28. decembra noteikumos Nr. 1228 „Noteikumi par lielgabarīta un smagsvara pārvadājumu atļaujas izsniegšanas valsts nodevas apmēru, samaksas kārtību un atbrīvojumiem”” sākotnējās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 gada 28. decembra noteikumos Nr. 1228 „Noteikumi par lielgabarīta un smagsvara pārvadājumu atļaujas izsniegšanas valsts nodevas apmēru, samaksas kārtību un atbrīvojumiem”” sākotnējās ietekmes novērtējuma ziņojums (anotācija)</dc:title>
  <dc:creator>Dace.Suveizda@sam.gov.lv</dc:creator>
  <dc:description>Dace.Supe@sam.gov.lv, 67028253</dc:description>
  <cp:lastModifiedBy>Karina Marinska</cp:lastModifiedBy>
  <cp:revision>5</cp:revision>
  <cp:lastPrinted>2017-01-04T10:07:00Z</cp:lastPrinted>
  <dcterms:created xsi:type="dcterms:W3CDTF">2017-02-28T08:32:00Z</dcterms:created>
  <dcterms:modified xsi:type="dcterms:W3CDTF">2017-02-28T12:11:00Z</dcterms:modified>
</cp:coreProperties>
</file>