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A9" w:rsidRDefault="00336064" w:rsidP="009112A9">
      <w:pPr>
        <w:jc w:val="center"/>
        <w:rPr>
          <w:b/>
          <w:bCs/>
        </w:rPr>
      </w:pPr>
      <w:bookmarkStart w:id="0" w:name="_GoBack"/>
      <w:bookmarkEnd w:id="0"/>
      <w:r>
        <w:rPr>
          <w:b/>
          <w:bCs/>
        </w:rPr>
        <w:t xml:space="preserve">Ministru kabineta rīkojuma projekta </w:t>
      </w:r>
      <w:r w:rsidR="00AA6AF4" w:rsidRPr="00AA6AF4">
        <w:rPr>
          <w:b/>
          <w:bCs/>
        </w:rPr>
        <w:t>"</w:t>
      </w:r>
      <w:r>
        <w:rPr>
          <w:b/>
          <w:bCs/>
        </w:rPr>
        <w:t xml:space="preserve">Par finanšu līdzekļu piešķiršanu no valsts budžeta programmas </w:t>
      </w:r>
      <w:r w:rsidR="00AA6AF4" w:rsidRPr="00AA6AF4">
        <w:rPr>
          <w:b/>
          <w:bCs/>
        </w:rPr>
        <w:t>"</w:t>
      </w:r>
      <w:r>
        <w:rPr>
          <w:b/>
          <w:bCs/>
        </w:rPr>
        <w:t>Līdzekļi neparedzētiem gadījumiem</w:t>
      </w:r>
      <w:r w:rsidR="00AA6AF4" w:rsidRPr="00AA6AF4">
        <w:rPr>
          <w:b/>
          <w:bCs/>
        </w:rPr>
        <w:t>""</w:t>
      </w:r>
      <w:r>
        <w:rPr>
          <w:b/>
          <w:bCs/>
        </w:rPr>
        <w:t xml:space="preserve"> sākotnējās ietekmes novērtējuma ziņojums (anotācija)</w:t>
      </w:r>
    </w:p>
    <w:p w:rsidR="00780723" w:rsidRDefault="00780723" w:rsidP="009112A9">
      <w:pPr>
        <w:jc w:val="center"/>
        <w:rPr>
          <w:b/>
          <w:bCs/>
        </w:rPr>
      </w:pPr>
    </w:p>
    <w:tbl>
      <w:tblPr>
        <w:tblW w:w="5124" w:type="pct"/>
        <w:tblInd w:w="-254" w:type="dxa"/>
        <w:tblCellMar>
          <w:top w:w="30" w:type="dxa"/>
          <w:left w:w="30" w:type="dxa"/>
          <w:bottom w:w="30" w:type="dxa"/>
          <w:right w:w="30" w:type="dxa"/>
        </w:tblCellMar>
        <w:tblLook w:val="0000" w:firstRow="0" w:lastRow="0" w:firstColumn="0" w:lastColumn="0" w:noHBand="0" w:noVBand="0"/>
      </w:tblPr>
      <w:tblGrid>
        <w:gridCol w:w="565"/>
        <w:gridCol w:w="1731"/>
        <w:gridCol w:w="7060"/>
      </w:tblGrid>
      <w:tr w:rsidR="00336064" w:rsidTr="00C03BEB">
        <w:tc>
          <w:tcPr>
            <w:tcW w:w="5000" w:type="pct"/>
            <w:gridSpan w:val="3"/>
            <w:tcBorders>
              <w:top w:val="single" w:sz="4" w:space="0" w:color="000000"/>
              <w:left w:val="single" w:sz="4" w:space="0" w:color="000000"/>
              <w:bottom w:val="single" w:sz="4" w:space="0" w:color="auto"/>
              <w:right w:val="single" w:sz="4" w:space="0" w:color="000000"/>
            </w:tcBorders>
            <w:vAlign w:val="center"/>
          </w:tcPr>
          <w:p w:rsidR="00336064" w:rsidRDefault="00336064" w:rsidP="00336064">
            <w:pPr>
              <w:snapToGrid w:val="0"/>
              <w:jc w:val="center"/>
              <w:rPr>
                <w:b/>
                <w:bCs/>
              </w:rPr>
            </w:pPr>
            <w:r>
              <w:rPr>
                <w:b/>
                <w:bCs/>
              </w:rPr>
              <w:t>I. Tiesību akta projekta izstrādes nepieciešamība</w:t>
            </w:r>
          </w:p>
        </w:tc>
      </w:tr>
      <w:tr w:rsidR="00336064" w:rsidTr="00C03BEB">
        <w:tc>
          <w:tcPr>
            <w:tcW w:w="302" w:type="pct"/>
            <w:tcBorders>
              <w:top w:val="single" w:sz="4" w:space="0" w:color="auto"/>
              <w:left w:val="single" w:sz="4" w:space="0" w:color="auto"/>
              <w:bottom w:val="single" w:sz="4" w:space="0" w:color="auto"/>
              <w:right w:val="single" w:sz="4" w:space="0" w:color="auto"/>
            </w:tcBorders>
          </w:tcPr>
          <w:p w:rsidR="00336064" w:rsidRDefault="00336064" w:rsidP="00336064">
            <w:pPr>
              <w:snapToGrid w:val="0"/>
            </w:pPr>
            <w:r>
              <w:t>1.</w:t>
            </w:r>
          </w:p>
        </w:tc>
        <w:tc>
          <w:tcPr>
            <w:tcW w:w="925" w:type="pct"/>
            <w:tcBorders>
              <w:top w:val="single" w:sz="4" w:space="0" w:color="auto"/>
              <w:left w:val="single" w:sz="4" w:space="0" w:color="auto"/>
              <w:bottom w:val="single" w:sz="4" w:space="0" w:color="auto"/>
              <w:right w:val="single" w:sz="4" w:space="0" w:color="auto"/>
            </w:tcBorders>
          </w:tcPr>
          <w:p w:rsidR="00336064" w:rsidRPr="00212DD3" w:rsidRDefault="00336064" w:rsidP="00336064">
            <w:pPr>
              <w:snapToGrid w:val="0"/>
            </w:pPr>
            <w:r w:rsidRPr="00212DD3">
              <w:t>Pamatojums</w:t>
            </w:r>
          </w:p>
        </w:tc>
        <w:tc>
          <w:tcPr>
            <w:tcW w:w="3773" w:type="pct"/>
            <w:tcBorders>
              <w:top w:val="single" w:sz="4" w:space="0" w:color="auto"/>
              <w:left w:val="single" w:sz="4" w:space="0" w:color="auto"/>
              <w:bottom w:val="single" w:sz="4" w:space="0" w:color="auto"/>
              <w:right w:val="single" w:sz="4" w:space="0" w:color="auto"/>
            </w:tcBorders>
          </w:tcPr>
          <w:p w:rsidR="00BE6CB5" w:rsidRDefault="00BE6CB5" w:rsidP="00BE6CB5">
            <w:pPr>
              <w:ind w:firstLine="405"/>
              <w:jc w:val="both"/>
              <w:rPr>
                <w:lang w:eastAsia="lv-LV"/>
              </w:rPr>
            </w:pPr>
            <w:r>
              <w:rPr>
                <w:lang w:eastAsia="lv-LV"/>
              </w:rPr>
              <w:t>Eiropas Parlamenta un Padomes 2015.</w:t>
            </w:r>
            <w:r w:rsidR="003A38C4">
              <w:rPr>
                <w:lang w:eastAsia="lv-LV"/>
              </w:rPr>
              <w:t> </w:t>
            </w:r>
            <w:r>
              <w:rPr>
                <w:lang w:eastAsia="lv-LV"/>
              </w:rPr>
              <w:t>gada 20.</w:t>
            </w:r>
            <w:r w:rsidR="003A38C4">
              <w:rPr>
                <w:lang w:eastAsia="lv-LV"/>
              </w:rPr>
              <w:t> </w:t>
            </w:r>
            <w:r>
              <w:rPr>
                <w:lang w:eastAsia="lv-LV"/>
              </w:rPr>
              <w:t>maija Direktīva (ES) 2015/849 par to, lai nepieļautu finanšu sistēmas izmantošanu nelikumīgi iegūtu līdzekļu legalizēšanai vai teroristu finansēšanai, un ar ko groza Eiropas Parlamenta un Padomes Regulu (ES) Nr.</w:t>
            </w:r>
            <w:r w:rsidR="003A38C4">
              <w:rPr>
                <w:lang w:eastAsia="lv-LV"/>
              </w:rPr>
              <w:t> </w:t>
            </w:r>
            <w:r>
              <w:rPr>
                <w:lang w:eastAsia="lv-LV"/>
              </w:rPr>
              <w:t>684/2012 un atceļ Eiropas Parlamenta un Padomes Direktīvu 2005/60/EK un Komisijas Direktīvu 2006/70/EK (turpmāk – Direktīva 2015/849).</w:t>
            </w:r>
          </w:p>
          <w:p w:rsidR="004D163B" w:rsidRDefault="00BE6CB5" w:rsidP="00BE6CB5">
            <w:pPr>
              <w:ind w:firstLine="405"/>
              <w:jc w:val="both"/>
              <w:rPr>
                <w:lang w:eastAsia="lv-LV"/>
              </w:rPr>
            </w:pPr>
            <w:r>
              <w:rPr>
                <w:lang w:eastAsia="lv-LV"/>
              </w:rPr>
              <w:t>Likumprojekts "Grozījumi Noziedzīgi iegūtu līdzekļu legalizācijas un terorisma finansēšanas novēršanas likumā", kuru Direktīvas 2015/849 ieviešanai virzīs Finanšu ministrija.</w:t>
            </w:r>
          </w:p>
          <w:p w:rsidR="00E5666A" w:rsidRPr="00212DD3" w:rsidRDefault="00E5666A" w:rsidP="00675A39">
            <w:pPr>
              <w:ind w:firstLine="405"/>
              <w:jc w:val="both"/>
              <w:rPr>
                <w:lang w:eastAsia="lv-LV"/>
              </w:rPr>
            </w:pPr>
            <w:r w:rsidRPr="00E5666A">
              <w:rPr>
                <w:lang w:eastAsia="lv-LV"/>
              </w:rPr>
              <w:t>Ministru kabineta 2009.</w:t>
            </w:r>
            <w:r w:rsidR="00675A39">
              <w:rPr>
                <w:lang w:eastAsia="lv-LV"/>
              </w:rPr>
              <w:t> </w:t>
            </w:r>
            <w:r w:rsidRPr="00E5666A">
              <w:rPr>
                <w:lang w:eastAsia="lv-LV"/>
              </w:rPr>
              <w:t>gada 22.</w:t>
            </w:r>
            <w:r w:rsidR="00675A39">
              <w:rPr>
                <w:lang w:eastAsia="lv-LV"/>
              </w:rPr>
              <w:t> </w:t>
            </w:r>
            <w:r w:rsidRPr="00E5666A">
              <w:rPr>
                <w:lang w:eastAsia="lv-LV"/>
              </w:rPr>
              <w:t>decembra noteikumu Nr.</w:t>
            </w:r>
            <w:r w:rsidR="00675A39">
              <w:rPr>
                <w:lang w:eastAsia="lv-LV"/>
              </w:rPr>
              <w:t> </w:t>
            </w:r>
            <w:r w:rsidRPr="00E5666A">
              <w:rPr>
                <w:lang w:eastAsia="lv-LV"/>
              </w:rPr>
              <w:t>1644 "Kārtība, kādā pieprasa un izlieto budžeta programmas "Līdzekļi neparedzētiem gadījumiem" līdzekļus" 3.</w:t>
            </w:r>
            <w:r w:rsidR="00675A39">
              <w:rPr>
                <w:lang w:eastAsia="lv-LV"/>
              </w:rPr>
              <w:t> </w:t>
            </w:r>
            <w:r w:rsidRPr="00E5666A">
              <w:rPr>
                <w:lang w:eastAsia="lv-LV"/>
              </w:rPr>
              <w:t>punkts</w:t>
            </w:r>
            <w:r>
              <w:rPr>
                <w:lang w:eastAsia="lv-LV"/>
              </w:rPr>
              <w:t>.</w:t>
            </w:r>
          </w:p>
        </w:tc>
      </w:tr>
      <w:tr w:rsidR="00336064" w:rsidTr="00C03BEB">
        <w:tc>
          <w:tcPr>
            <w:tcW w:w="302" w:type="pct"/>
            <w:tcBorders>
              <w:top w:val="single" w:sz="4" w:space="0" w:color="auto"/>
              <w:left w:val="single" w:sz="4" w:space="0" w:color="auto"/>
              <w:bottom w:val="single" w:sz="4" w:space="0" w:color="auto"/>
              <w:right w:val="single" w:sz="4" w:space="0" w:color="auto"/>
            </w:tcBorders>
          </w:tcPr>
          <w:p w:rsidR="00336064" w:rsidRDefault="00336064" w:rsidP="00336064">
            <w:pPr>
              <w:snapToGrid w:val="0"/>
            </w:pPr>
            <w:r>
              <w:t>2.</w:t>
            </w:r>
          </w:p>
        </w:tc>
        <w:tc>
          <w:tcPr>
            <w:tcW w:w="925" w:type="pct"/>
            <w:tcBorders>
              <w:top w:val="single" w:sz="4" w:space="0" w:color="auto"/>
              <w:left w:val="single" w:sz="4" w:space="0" w:color="auto"/>
              <w:bottom w:val="single" w:sz="4" w:space="0" w:color="auto"/>
              <w:right w:val="single" w:sz="4" w:space="0" w:color="auto"/>
            </w:tcBorders>
          </w:tcPr>
          <w:p w:rsidR="00336064" w:rsidRPr="00212DD3" w:rsidRDefault="00AC7A55" w:rsidP="00336064">
            <w:pPr>
              <w:snapToGrid w:val="0"/>
            </w:pPr>
            <w:r w:rsidRPr="00212DD3">
              <w:t>Pašreizējā situācija un problēmas, kuru risināšanai tiesību akta projekts izstrādāts, tiesiskā regulējuma mērķis un būtība</w:t>
            </w:r>
          </w:p>
        </w:tc>
        <w:tc>
          <w:tcPr>
            <w:tcW w:w="3773" w:type="pct"/>
            <w:tcBorders>
              <w:top w:val="single" w:sz="4" w:space="0" w:color="auto"/>
              <w:left w:val="single" w:sz="4" w:space="0" w:color="auto"/>
              <w:bottom w:val="single" w:sz="4" w:space="0" w:color="auto"/>
              <w:right w:val="single" w:sz="4" w:space="0" w:color="auto"/>
            </w:tcBorders>
          </w:tcPr>
          <w:p w:rsidR="00BE6CB5" w:rsidRPr="00BE6CB5" w:rsidRDefault="00BE6CB5" w:rsidP="00BE6CB5">
            <w:pPr>
              <w:ind w:firstLine="720"/>
              <w:jc w:val="both"/>
            </w:pPr>
            <w:r w:rsidRPr="00BE6CB5">
              <w:t>Atbilstoši Direktīvas 2015/849 67.</w:t>
            </w:r>
            <w:r w:rsidR="00675A39">
              <w:t> </w:t>
            </w:r>
            <w:r w:rsidR="00407CE5">
              <w:t xml:space="preserve">panta </w:t>
            </w:r>
            <w:r w:rsidR="00040AAA">
              <w:t>1. </w:t>
            </w:r>
            <w:r w:rsidR="00407CE5">
              <w:t>punktam</w:t>
            </w:r>
            <w:r w:rsidRPr="00BE6CB5">
              <w:t xml:space="preserve"> dalībvalstīs jāstājas spēkā normatīvajiem un administratīvajiem aktiem, kas vajadzīgi, lai izpildītu Direktīvas 2015/849 prasības līdz 2017.</w:t>
            </w:r>
            <w:r w:rsidR="00675A39">
              <w:t> </w:t>
            </w:r>
            <w:r w:rsidRPr="00BE6CB5">
              <w:t>gada 26.</w:t>
            </w:r>
            <w:r w:rsidR="00675A39">
              <w:t> </w:t>
            </w:r>
            <w:r w:rsidRPr="00BE6CB5">
              <w:t xml:space="preserve">jūnijam. Latvijas Republikā par normatīvo aktu izstrādi, kas nepieciešami, lai izpildītu Direktīvas 2015/849 prasības, atbildīga ir Finanšu ministrija, kas šobrīd izstrādā likumprojektu </w:t>
            </w:r>
            <w:r w:rsidR="002F7936" w:rsidRPr="002F7936">
              <w:t>"</w:t>
            </w:r>
            <w:r w:rsidRPr="00BE6CB5">
              <w:t>Grozījumi Noziedzīgi iegūtu līdzekļu legalizācijas un terorisma finansēšanas novēršanas likumā</w:t>
            </w:r>
            <w:r w:rsidR="002F7936" w:rsidRPr="002F7936">
              <w:t>"</w:t>
            </w:r>
            <w:r w:rsidRPr="00BE6CB5">
              <w:t>.</w:t>
            </w:r>
          </w:p>
          <w:p w:rsidR="00BE6CB5" w:rsidRPr="00BE6CB5" w:rsidRDefault="00BE6CB5" w:rsidP="00BE6CB5">
            <w:pPr>
              <w:ind w:firstLine="720"/>
              <w:jc w:val="both"/>
            </w:pPr>
            <w:r w:rsidRPr="00BE6CB5">
              <w:t>Jau šobrīd zināms, ka atbilstoši Direktīvas 2015/849 30.</w:t>
            </w:r>
            <w:r w:rsidR="00675A39">
              <w:t> </w:t>
            </w:r>
            <w:r w:rsidR="00407CE5">
              <w:t xml:space="preserve">panta </w:t>
            </w:r>
            <w:r w:rsidR="00040AAA">
              <w:t xml:space="preserve">1. </w:t>
            </w:r>
            <w:r w:rsidR="00407CE5">
              <w:t xml:space="preserve">un </w:t>
            </w:r>
            <w:r w:rsidR="00040AAA">
              <w:t>3. </w:t>
            </w:r>
            <w:r w:rsidR="00407CE5">
              <w:t>punktam</w:t>
            </w:r>
            <w:r w:rsidRPr="00BE6CB5">
              <w:t xml:space="preserve"> dalībvalstīm jānodrošina, lai katrā dalībvalstī kādā centrālā reģistrā, piemēram, komercreģistrā, </w:t>
            </w:r>
            <w:proofErr w:type="gramStart"/>
            <w:r w:rsidRPr="00BE6CB5">
              <w:t>uzņēmumu reģistrā</w:t>
            </w:r>
            <w:proofErr w:type="gramEnd"/>
            <w:r w:rsidRPr="00BE6CB5">
              <w:t>, kas minēts Eiropas Parlamenta un Padomes Direktīvas 2009/101/EK (31) 3.</w:t>
            </w:r>
            <w:r w:rsidR="00675A39">
              <w:t> </w:t>
            </w:r>
            <w:r w:rsidRPr="00BE6CB5">
              <w:t xml:space="preserve">pantā, vai publiskā reģistrā, </w:t>
            </w:r>
            <w:r w:rsidR="00CF00F7" w:rsidRPr="00BE6CB5">
              <w:t xml:space="preserve">tiktu glabāta </w:t>
            </w:r>
            <w:r w:rsidRPr="00BE6CB5">
              <w:t xml:space="preserve">informācija par korporatīvo vienību un citu juridisko vienību faktiskajiem īpašniekiem (Latvijas Republikā līdz šim ticis lietots jēdziens </w:t>
            </w:r>
            <w:r w:rsidR="002F7936" w:rsidRPr="002F7936">
              <w:t>"</w:t>
            </w:r>
            <w:r w:rsidRPr="00BE6CB5">
              <w:t>patiesie labuma guvēji</w:t>
            </w:r>
            <w:r w:rsidR="002F7936" w:rsidRPr="002F7936">
              <w:t>"</w:t>
            </w:r>
            <w:r w:rsidRPr="00BE6CB5">
              <w:t>), tostarp dati par kapitāla daļām, ko tās tur. Tāpat Direktīvas 2015/849 30.</w:t>
            </w:r>
            <w:r w:rsidR="00675A39">
              <w:t> </w:t>
            </w:r>
            <w:r w:rsidR="00407CE5">
              <w:t xml:space="preserve">panta </w:t>
            </w:r>
            <w:r w:rsidR="00040AAA">
              <w:t>5. </w:t>
            </w:r>
            <w:r w:rsidR="00407CE5">
              <w:t>punkts</w:t>
            </w:r>
            <w:r w:rsidRPr="00BE6CB5">
              <w:t xml:space="preserve"> paredz, ka dalībvalstīm jānodrošina, lai informācija par korporatīvo vienību un citu juridisko vienību patiesajiem labuma guvējiem vienmēr </w:t>
            </w:r>
            <w:r w:rsidR="00CF00F7" w:rsidRPr="00BE6CB5">
              <w:t xml:space="preserve">bez jebkādiem ierobežojumiem </w:t>
            </w:r>
            <w:r w:rsidRPr="00BE6CB5">
              <w:t xml:space="preserve">būtu pieejama kompetentajām iestādēm un Eiropas Savienības finanšu ziņu vākšanas vienībām –, atbildīgajiem subjektiem </w:t>
            </w:r>
            <w:r w:rsidR="00CF00F7">
              <w:t>šai informācijai jābūt pieejamai</w:t>
            </w:r>
            <w:r w:rsidR="00CF00F7" w:rsidRPr="00BE6CB5">
              <w:t xml:space="preserve"> </w:t>
            </w:r>
            <w:r w:rsidRPr="00BE6CB5">
              <w:t xml:space="preserve">saistībā ar klienta uzticamības pārbaudi saskaņā ar Direktīvas 2015/849 II nodaļu, kā arī </w:t>
            </w:r>
            <w:r w:rsidR="00CF00F7">
              <w:t xml:space="preserve">šai informācijai ir jābūt pieejamai </w:t>
            </w:r>
            <w:r w:rsidRPr="00BE6CB5">
              <w:t>jebkurai personai vai organizācijai, kas var pierādīt, ka tām ir likumīgas intereses. Maksa par šīs informācijas iegūšanu nedrīkstēs pārsniegt attiecīgās administratīvās izmaksas.</w:t>
            </w:r>
          </w:p>
          <w:p w:rsidR="00BE6CB5" w:rsidRPr="00BE6CB5" w:rsidRDefault="00BE6CB5" w:rsidP="00BE6CB5">
            <w:pPr>
              <w:ind w:firstLine="720"/>
              <w:jc w:val="both"/>
            </w:pPr>
            <w:r w:rsidRPr="00BE6CB5">
              <w:t xml:space="preserve">Eiropas Parlamenta un Padomes </w:t>
            </w:r>
            <w:r w:rsidR="002F7936">
              <w:t xml:space="preserve">2009. gada 16. septembra </w:t>
            </w:r>
            <w:r w:rsidRPr="00BE6CB5">
              <w:t>Direktīvas 2009/101/EK par to, kā vienādošanas nolūkā koordinēt nodrošinājumus, ko dalībvalstis prasa no sabiedrībām Līguma 48.</w:t>
            </w:r>
            <w:r w:rsidR="00675A39">
              <w:t> </w:t>
            </w:r>
            <w:r w:rsidRPr="00BE6CB5">
              <w:t>panta otrās daļas nozīmē, lai aizsargātu sabiedrību dalībnieku un trešo personu intereses 3.</w:t>
            </w:r>
            <w:r w:rsidR="00675A39">
              <w:t> </w:t>
            </w:r>
            <w:r w:rsidRPr="00BE6CB5">
              <w:t xml:space="preserve">pantā minētais reģistrs Latvijas Republikā ir Latvijas Republikas Uzņēmumu reģistrs (turpmāk – Uzņēmumu reģistrs), kā arī Uzņēmumu reģistrā jau šobrīd tiek iesniegta informācija par patiesajiem </w:t>
            </w:r>
            <w:r w:rsidRPr="00BE6CB5">
              <w:lastRenderedPageBreak/>
              <w:t xml:space="preserve">labuma guvējiem komercsabiedrībās. Līdz ar to jau šobrīd, izstrādājot likumprojektu </w:t>
            </w:r>
            <w:r w:rsidR="002F7936" w:rsidRPr="002F7936">
              <w:t>"</w:t>
            </w:r>
            <w:r w:rsidRPr="00BE6CB5">
              <w:t>Grozījumi Noziedzīgi iegūtu līdzekļu legalizācijas un terorisma finansēšanas novēršanas likumā</w:t>
            </w:r>
            <w:r w:rsidR="002F7936" w:rsidRPr="002F7936">
              <w:t>"</w:t>
            </w:r>
            <w:r w:rsidRPr="00BE6CB5">
              <w:t xml:space="preserve"> saprotams, ka Uzņēmumu reģistram būs jāpielāgo Uzņēmumu reģistra informācijas sistēma gan informācijas par juridisko personu faktisko īpašnieku (patieso labuma guvēju) iegūšanai un glabāšanai, gan izsniegšanai ļoti plašam tiesību subjektu lokam.</w:t>
            </w:r>
          </w:p>
          <w:p w:rsidR="00483873" w:rsidRDefault="00BE6CB5" w:rsidP="00BE6CB5">
            <w:pPr>
              <w:ind w:firstLine="720"/>
              <w:jc w:val="both"/>
            </w:pPr>
            <w:r w:rsidRPr="00BE6CB5">
              <w:t>Uzņēmumu reģistra informācijas sistēmas pielāgojumi, lai iegūtu un glabātu informāciju par patiesajiem labuma guvējiem plašākam tiesību subjektu lokam kā līdz šim, ir nelieli salīdzinājumā ar izmaiņām, kas jāveic informācijas izsniegšanas nodrošināšanai</w:t>
            </w:r>
            <w:r w:rsidR="002F7936">
              <w:t>.</w:t>
            </w:r>
          </w:p>
          <w:p w:rsidR="00BE6CB5" w:rsidRPr="00BE6CB5" w:rsidRDefault="00483873" w:rsidP="00BE6CB5">
            <w:pPr>
              <w:ind w:firstLine="720"/>
              <w:jc w:val="both"/>
            </w:pPr>
            <w:r>
              <w:t>N</w:t>
            </w:r>
            <w:r w:rsidR="00BE6CB5" w:rsidRPr="00BE6CB5">
              <w:t xml:space="preserve">epieciešamā finansējuma piešķiršana, lai </w:t>
            </w:r>
            <w:r w:rsidRPr="00BE6CB5">
              <w:t>līdz 2017.</w:t>
            </w:r>
            <w:r w:rsidR="00675A39">
              <w:t> </w:t>
            </w:r>
            <w:r w:rsidRPr="00BE6CB5">
              <w:t>gada 26.</w:t>
            </w:r>
            <w:r w:rsidR="00675A39">
              <w:t> </w:t>
            </w:r>
            <w:r w:rsidRPr="00BE6CB5">
              <w:t xml:space="preserve">jūnijam </w:t>
            </w:r>
            <w:r>
              <w:t xml:space="preserve">veiktu </w:t>
            </w:r>
            <w:r w:rsidR="00BE6CB5" w:rsidRPr="00BE6CB5">
              <w:t>pielāgojumus</w:t>
            </w:r>
            <w:r>
              <w:t xml:space="preserve"> </w:t>
            </w:r>
            <w:r w:rsidR="00CF00F7">
              <w:t xml:space="preserve">šā brīža </w:t>
            </w:r>
            <w:r>
              <w:t>informācijas sistēmā</w:t>
            </w:r>
            <w:r w:rsidR="00BE6CB5" w:rsidRPr="00BE6CB5">
              <w:t xml:space="preserve"> </w:t>
            </w:r>
            <w:r>
              <w:t>un nodrošinātu informācijas par patiesā labuma guvējiem savākšanu un uzglabāšanu</w:t>
            </w:r>
            <w:r w:rsidR="00ED2420">
              <w:t>,</w:t>
            </w:r>
            <w:r>
              <w:t xml:space="preserve"> </w:t>
            </w:r>
            <w:r w:rsidR="00BE6CB5" w:rsidRPr="00BE6CB5">
              <w:t>jau ir atrisināta</w:t>
            </w:r>
            <w:r>
              <w:t>, proti,</w:t>
            </w:r>
            <w:r w:rsidR="00BE6CB5" w:rsidRPr="00BE6CB5">
              <w:t xml:space="preserve"> šobrīd izskatīšanai Ministru kabinetā virzot </w:t>
            </w:r>
            <w:r w:rsidR="002F7936">
              <w:t xml:space="preserve">Ministru kabineta </w:t>
            </w:r>
            <w:r w:rsidR="00BE6CB5" w:rsidRPr="00BE6CB5">
              <w:t>rīkojuma projektu "Grozījums Ministru kabineta 2012.</w:t>
            </w:r>
            <w:r w:rsidR="00675A39">
              <w:t> </w:t>
            </w:r>
            <w:r w:rsidR="00BE6CB5" w:rsidRPr="00BE6CB5">
              <w:t>gada 17.</w:t>
            </w:r>
            <w:r w:rsidR="00675A39">
              <w:t> </w:t>
            </w:r>
            <w:r w:rsidR="00BE6CB5" w:rsidRPr="00BE6CB5">
              <w:t>septembra rīkojumā Nr.</w:t>
            </w:r>
            <w:r w:rsidR="00675A39">
              <w:t> </w:t>
            </w:r>
            <w:r w:rsidR="00BE6CB5" w:rsidRPr="00BE6CB5">
              <w:t>438 "Par finansējuma piešķiršanu ministrijām (centrālajām valsts iestādēm) Eiropas Savienības vienotās valūtas ieviešanas izdevumu segšanai"" (VSS–64).</w:t>
            </w:r>
          </w:p>
          <w:p w:rsidR="00BE6CB5" w:rsidRDefault="00BE6CB5" w:rsidP="005D1142">
            <w:pPr>
              <w:ind w:firstLine="720"/>
              <w:jc w:val="both"/>
            </w:pPr>
            <w:r w:rsidRPr="00BE6CB5">
              <w:t xml:space="preserve">Vienlaikus </w:t>
            </w:r>
            <w:r w:rsidRPr="0095153E">
              <w:rPr>
                <w:b/>
              </w:rPr>
              <w:t>pašreizējais Uzņēmumu reģistra informācijas izsniegšanas mehānisms ir nepiemērots Direktīvā 2015/849 izvirzītajām prasībām</w:t>
            </w:r>
            <w:r w:rsidRPr="00BE6CB5">
              <w:t>. Šobrīd Uzņēmumu reģistrs spēs nodrošināt informācijas izsniegšanu patieso labuma guvēju noskaidrošanai tikai esošo risinājumu ietvaros. Proti, katrai personai, kurai informācija būs nepieciešama, būs jāiesniedz atsevišķs iesniegums, kuru izskatot, Uzņēmumu reģistrs, izvērtējot to</w:t>
            </w:r>
            <w:r w:rsidR="00CF00F7">
              <w:t>,</w:t>
            </w:r>
            <w:r w:rsidRPr="00BE6CB5">
              <w:t xml:space="preserve"> vai pieprasītājam ir tiesības attiecīgo informāciju saņemt, atbilstoši samaksātās maksas apmēram, izsniegs pieprasīto informāciju</w:t>
            </w:r>
            <w:r w:rsidR="00ED2420">
              <w:t xml:space="preserve"> (izziņu)</w:t>
            </w:r>
            <w:r w:rsidRPr="00BE6CB5">
              <w:t xml:space="preserve"> pieprasītājam - elektroniski vai papīra formā. Saprotams, ka minētais risinājums nav ne efektīvs, ne savlaicīgs</w:t>
            </w:r>
            <w:r w:rsidR="001B0D6C">
              <w:t>, jo Noziedzīgi iegūtu līdzekļu legalizācijas un terorisma finansē</w:t>
            </w:r>
            <w:r w:rsidR="005D1142">
              <w:t>šanas nov</w:t>
            </w:r>
            <w:r w:rsidR="001B0D6C">
              <w:t>ēršanas likuma subjektiem tād</w:t>
            </w:r>
            <w:r w:rsidR="002F7936">
              <w:t>ē</w:t>
            </w:r>
            <w:r w:rsidR="001B0D6C">
              <w:t xml:space="preserve">jādi nāktos katrā konkrētā pārbaudes gadījumā </w:t>
            </w:r>
            <w:r w:rsidR="005D1142">
              <w:t xml:space="preserve">veikt atsevišķu informācijas </w:t>
            </w:r>
            <w:r w:rsidR="001B0D6C">
              <w:t>pieprasī</w:t>
            </w:r>
            <w:r w:rsidR="005D1142">
              <w:t>jumu, aizkavējot klientu darījumus</w:t>
            </w:r>
            <w:r w:rsidRPr="00BE6CB5">
              <w:t>.</w:t>
            </w:r>
            <w:r w:rsidR="005D1142">
              <w:t xml:space="preserve"> Uz šāda izsniegšanas procesa neatbilstību </w:t>
            </w:r>
            <w:r w:rsidR="005D1142">
              <w:rPr>
                <w:lang w:eastAsia="lv-LV"/>
              </w:rPr>
              <w:t xml:space="preserve">likumprojekta "Grozījumi Noziedzīgi iegūtu līdzekļu legalizācijas un terorisma finansēšanas novēršanas likumā" izstrādes procesā </w:t>
            </w:r>
            <w:r w:rsidR="005D1142">
              <w:t>norādījusi Finanšu ministrija, Latvijas Komercbanku asociācija, N</w:t>
            </w:r>
            <w:r w:rsidR="005D1142" w:rsidRPr="005D1142">
              <w:t>oziedzīgi iegūtu līdzekļu legalizācijas novēršanas dienests</w:t>
            </w:r>
            <w:r w:rsidR="005D1142">
              <w:t xml:space="preserve"> un citi gan publiskā, gan privātā sektora pārstāvji. Informācijas par patiesajiem labuma guvējiem izsniegšanas veida neatbilstība konstatēta arī Nacionālā</w:t>
            </w:r>
            <w:r w:rsidR="005D1142" w:rsidRPr="005D1142">
              <w:t xml:space="preserve"> noziedzīgi iegūtu līdzekļu legalizācijas un terorism</w:t>
            </w:r>
            <w:r w:rsidR="005D1142">
              <w:t>a finansēšanas risku novērtējuma izstrādes procesā.</w:t>
            </w:r>
            <w:r w:rsidR="005D1142" w:rsidRPr="005D1142">
              <w:t xml:space="preserve"> </w:t>
            </w:r>
            <w:r w:rsidR="005D1142">
              <w:t xml:space="preserve">Secināts, ka </w:t>
            </w:r>
            <w:r w:rsidR="001B0D6C">
              <w:t>esošais</w:t>
            </w:r>
            <w:r w:rsidR="005D1142">
              <w:t xml:space="preserve"> i</w:t>
            </w:r>
            <w:r w:rsidR="005D1142" w:rsidRPr="005D1142">
              <w:t xml:space="preserve">nformācijas par patiesā labuma guvējiem apmaiņas ātrums </w:t>
            </w:r>
            <w:r w:rsidR="005D1142">
              <w:t xml:space="preserve">kavē tiesībsargājošo iestāžu ātru </w:t>
            </w:r>
            <w:r w:rsidR="005D1142" w:rsidRPr="005D1142">
              <w:t>lēmumu pieņemšanu</w:t>
            </w:r>
            <w:r w:rsidR="005D1142">
              <w:t>, tād</w:t>
            </w:r>
            <w:r w:rsidR="002F7936">
              <w:t>ē</w:t>
            </w:r>
            <w:r w:rsidR="005D1142">
              <w:t>jādi aizkavējot noziegumu, kas saistīti ar noziedzīgi iegūtu līdzekļu legalizāciju un terorisma finansēšanu, atklāšanu</w:t>
            </w:r>
            <w:r w:rsidR="005D1142" w:rsidRPr="005D1142">
              <w:t xml:space="preserve">. </w:t>
            </w:r>
            <w:r w:rsidR="005D1142">
              <w:t xml:space="preserve">Papildus jāņem vērā, ka </w:t>
            </w:r>
            <w:r w:rsidR="00483873" w:rsidRPr="00483873">
              <w:t>Noziedzīgi iegūtu līdzekļu legalizācijas un terorisma finansēšanas novēršanas likum</w:t>
            </w:r>
            <w:r w:rsidR="00483873">
              <w:t>a subjektiem ir nepieciešama visa reģistros uzkrātā informācija, ne tikai informācija par patiesā labuma guvējiem.</w:t>
            </w:r>
            <w:r w:rsidRPr="00BE6CB5">
              <w:t xml:space="preserve"> Ievērojot minēto, </w:t>
            </w:r>
            <w:r w:rsidRPr="00A23AB2">
              <w:t xml:space="preserve">lai </w:t>
            </w:r>
            <w:r w:rsidR="00A23AB2" w:rsidRPr="00A23AB2">
              <w:t>nodrošinātu informācijas izsniegšanu patiesā labuma guvēju noskaidrošanai</w:t>
            </w:r>
            <w:r w:rsidR="00A23AB2" w:rsidRPr="00C03BEB">
              <w:t xml:space="preserve"> </w:t>
            </w:r>
            <w:r w:rsidRPr="00BE6CB5">
              <w:t>atbilstoši Direktīvas 2015/849 prasībām Direktīvas 2015/849 30.</w:t>
            </w:r>
            <w:r w:rsidR="00675A39">
              <w:t> </w:t>
            </w:r>
            <w:r w:rsidRPr="00BE6CB5">
              <w:t xml:space="preserve">panta </w:t>
            </w:r>
            <w:r w:rsidR="00040AAA">
              <w:t>5. </w:t>
            </w:r>
            <w:r w:rsidR="00407CE5">
              <w:t>punktā</w:t>
            </w:r>
            <w:r w:rsidRPr="00BE6CB5">
              <w:t xml:space="preserve"> uzskaitītajam klientu lokam, Uzņēmumu reģistrā </w:t>
            </w:r>
            <w:r w:rsidRPr="0095153E">
              <w:rPr>
                <w:b/>
              </w:rPr>
              <w:t xml:space="preserve">nepieciešams izveidot </w:t>
            </w:r>
            <w:r w:rsidRPr="0095153E">
              <w:rPr>
                <w:b/>
              </w:rPr>
              <w:lastRenderedPageBreak/>
              <w:t xml:space="preserve">jaunu, specializētu informācijas izsniegšanas </w:t>
            </w:r>
            <w:r w:rsidR="00483873" w:rsidRPr="0095153E">
              <w:rPr>
                <w:b/>
              </w:rPr>
              <w:t>tehnisko risinājumu</w:t>
            </w:r>
            <w:r w:rsidRPr="00BE6CB5">
              <w:t>. Lai to īstenotu,</w:t>
            </w:r>
            <w:r w:rsidR="00483873">
              <w:t xml:space="preserve"> ir nepieciešams izstrādāt gan datu izplatīšanas vidi, gan virkni servisus</w:t>
            </w:r>
            <w:r w:rsidRPr="00BE6CB5">
              <w:t>. Tāpat nepieciešams pārveidot datu struktūru, nodalot vēsturisko no aktuālās informācijas, precizējot lietoto terminoloģiju, nodrošināt atspoguļotās informācijas atbilstību normatīvajiem aktiem, kā arī vizuāli pārveidot, nodrošinot informācijas pārskatāmību. Papildus izstrādājams Uzņēmumu reģistra tīmekļa vietnē izvietojams</w:t>
            </w:r>
            <w:r w:rsidR="00ED2420">
              <w:t xml:space="preserve"> risinājums</w:t>
            </w:r>
            <w:r w:rsidRPr="00BE6CB5">
              <w:t>, ar kura palīdzību tiks nodrošināts, ka informācija par patiesā labuma guvējiem tiek nodota tikai tām personām, kas ir tiesīgas šo informāciju saņemt.</w:t>
            </w:r>
          </w:p>
          <w:p w:rsidR="00BE6CB5" w:rsidRPr="00BE6CB5" w:rsidRDefault="00BE6CB5" w:rsidP="00BE6CB5">
            <w:pPr>
              <w:ind w:firstLine="720"/>
              <w:jc w:val="both"/>
            </w:pPr>
            <w:r w:rsidRPr="00BE6CB5">
              <w:t xml:space="preserve">Ieviešot </w:t>
            </w:r>
            <w:r w:rsidRPr="00BE6CB5">
              <w:rPr>
                <w:lang w:eastAsia="lv-LV"/>
              </w:rPr>
              <w:t>Direktīvas 2015/849</w:t>
            </w:r>
            <w:r w:rsidRPr="00BE6CB5">
              <w:t xml:space="preserve"> prasības, Uzņēmumu reģistra vestajos reģistros reģistrētajam juridiskajām personām būs jāsniedz U</w:t>
            </w:r>
            <w:r w:rsidR="00483873">
              <w:t>zņēmumu reģistram</w:t>
            </w:r>
            <w:r w:rsidRPr="00BE6CB5">
              <w:t xml:space="preserve"> informācija par patiesā labuma guvējiem, ja tādi būs, kā arī </w:t>
            </w:r>
            <w:r w:rsidR="00483873" w:rsidRPr="00BE6CB5">
              <w:t>U</w:t>
            </w:r>
            <w:r w:rsidR="00483873">
              <w:t>zņēmumu reģistram</w:t>
            </w:r>
            <w:r w:rsidR="00483873" w:rsidRPr="00BE6CB5">
              <w:t xml:space="preserve"> </w:t>
            </w:r>
            <w:r w:rsidRPr="00BE6CB5">
              <w:t xml:space="preserve">būs pienākums sniegt informāciju Direktīvā noteiktajiem </w:t>
            </w:r>
            <w:r w:rsidR="00C03BEB">
              <w:t>atbildīgajiem</w:t>
            </w:r>
            <w:r w:rsidRPr="00BE6CB5">
              <w:t xml:space="preserve"> subjektiem. Tātad Uzņēmumu reģistram ir jāspēj uzkrāt piecos reģistros informācija, </w:t>
            </w:r>
            <w:proofErr w:type="gramStart"/>
            <w:r w:rsidRPr="00BE6CB5">
              <w:t xml:space="preserve">kas līdz šim ir uzkrāta tikai papīra formā, kā arī </w:t>
            </w:r>
            <w:r w:rsidR="00CF00F7" w:rsidRPr="00BE6CB5">
              <w:t>š</w:t>
            </w:r>
            <w:r w:rsidR="00CF00F7">
              <w:t>ī</w:t>
            </w:r>
            <w:r w:rsidR="00CF00F7" w:rsidRPr="00BE6CB5">
              <w:t xml:space="preserve"> </w:t>
            </w:r>
            <w:r w:rsidRPr="00BE6CB5">
              <w:t>informācij</w:t>
            </w:r>
            <w:r w:rsidR="00CF00F7">
              <w:t>a</w:t>
            </w:r>
            <w:proofErr w:type="gramEnd"/>
            <w:r w:rsidR="00CF00F7">
              <w:t xml:space="preserve"> būs</w:t>
            </w:r>
            <w:r w:rsidRPr="00BE6CB5">
              <w:t xml:space="preserve"> </w:t>
            </w:r>
            <w:r w:rsidR="00CF00F7">
              <w:t>jā</w:t>
            </w:r>
            <w:r w:rsidRPr="00BE6CB5">
              <w:t>nodo</w:t>
            </w:r>
            <w:r w:rsidR="00CF00F7">
              <w:t>d</w:t>
            </w:r>
            <w:r w:rsidRPr="00BE6CB5">
              <w:t xml:space="preserve"> virknei subjektu (kredītiestādēm, notāriem, apdrošināšanas kompānijām). Lai informācijas nodošana būtu efektīva, tai jābūt datu formā, līdz ar to nepieciešams veikt Uzņēmumu reģistra informācijas sistēmas pielāgojumus, kā arī jāizveido pilnīgi jauns informācijas izsniegšanas risinājums. Tā kā likumprojekts</w:t>
            </w:r>
            <w:r w:rsidR="00C03BEB">
              <w:t xml:space="preserve"> </w:t>
            </w:r>
            <w:r w:rsidR="00C03BEB" w:rsidRPr="00C03BEB">
              <w:t>"Grozījumi Noziedzīgi iegūtu līdzekļu legalizācijas un terorisma finansēšanas novēršanas likumā</w:t>
            </w:r>
            <w:r w:rsidR="00040AAA" w:rsidRPr="00C03BEB">
              <w:t>"</w:t>
            </w:r>
            <w:r w:rsidR="00D6055F">
              <w:t xml:space="preserve"> </w:t>
            </w:r>
            <w:r w:rsidRPr="00BE6CB5">
              <w:t>ir vēl tikai izstrādes stadijā, attiecīgie finanšu līdzekļi likumprojektā noteiktu funkciju izpildei 2017.</w:t>
            </w:r>
            <w:r w:rsidR="00675A39">
              <w:t> </w:t>
            </w:r>
            <w:r w:rsidRPr="00BE6CB5">
              <w:t xml:space="preserve">gada budžetā nav piešķirti. Direktīvas izstrādes stadijā valsts pozīcijās par Direktīvas </w:t>
            </w:r>
            <w:r w:rsidR="001F040F">
              <w:t xml:space="preserve">2015/849 </w:t>
            </w:r>
            <w:r w:rsidRPr="00BE6CB5">
              <w:t>priekšlikumu tika norādīts, ka Uzņēmumu reģistram būs nepieciešami līdzekļi Direktīvas</w:t>
            </w:r>
            <w:r w:rsidR="001F040F">
              <w:t xml:space="preserve"> 2015/849</w:t>
            </w:r>
            <w:r w:rsidRPr="00BE6CB5">
              <w:t xml:space="preserve"> prasību ieviešanai, tomēr termiņš Direktīvas 2015/849 ieviešanai ir 2017.</w:t>
            </w:r>
            <w:r w:rsidR="00675A39">
              <w:t> </w:t>
            </w:r>
            <w:r w:rsidRPr="00BE6CB5">
              <w:t>gads, līdz ar to nav iespējams ievērot vispārējo finanšu līdzekļu piešķiršanas kārtību un risināt jautājumu par līdzekļu piešķiršanu 2018.</w:t>
            </w:r>
            <w:r w:rsidR="00675A39">
              <w:t> </w:t>
            </w:r>
            <w:r w:rsidRPr="00BE6CB5">
              <w:t>gada budžetā, jo ar 2018.</w:t>
            </w:r>
            <w:r w:rsidR="00675A39">
              <w:t> </w:t>
            </w:r>
            <w:r w:rsidRPr="00BE6CB5">
              <w:t>gadu</w:t>
            </w:r>
            <w:r>
              <w:t xml:space="preserve"> jau jāuzsāk datu nodošana no Uzņēmumu reģistra</w:t>
            </w:r>
            <w:r w:rsidRPr="00BE6CB5">
              <w:t>, tādējādi attiecīgo sistēmas uzlabojumu veikšana ir jāveic 2017.</w:t>
            </w:r>
            <w:r w:rsidR="00675A39">
              <w:t> </w:t>
            </w:r>
            <w:r w:rsidRPr="00BE6CB5">
              <w:t xml:space="preserve">gadā. </w:t>
            </w:r>
          </w:p>
          <w:p w:rsidR="00BE6CB5" w:rsidRPr="00BE6CB5" w:rsidRDefault="00BE6CB5" w:rsidP="00BE6CB5">
            <w:pPr>
              <w:ind w:firstLine="720"/>
              <w:jc w:val="both"/>
            </w:pPr>
            <w:r w:rsidRPr="00BE6CB5">
              <w:t>Par informācijas par patiesajiem labuma guvējiem izsniegšanas nodrošināšanu (pašu informācijas izsniegšanas kanālu, nevis informāciju) atbildīgajiem subjektiem – saistībā ar klienta uzticamības pārbaudi saskaņā ar Direktīvas 2015/849 II nodaļu, kā arī jebkurai personai vai organizācijai, kas var pierādīt, ka tām ir likumīgas intereses, plānots piemērot maksu, kas atbilstoši Direktīvā 2015/849 noteiktajam nepārsniegs attiecīgās administratīvās izmaksas. Vienlaikus nepieciešamie finanšu līdzekļi Uzņēmumu reģistra informācijas izsniegšanas risinājuma pielāgošanai Uzņēmumu reģistram šobrīd nav piešķirti.</w:t>
            </w:r>
          </w:p>
          <w:p w:rsidR="00BE6CB5" w:rsidRPr="00B405F2" w:rsidRDefault="00BE6CB5" w:rsidP="00BE6CB5">
            <w:pPr>
              <w:ind w:firstLine="720"/>
              <w:jc w:val="both"/>
            </w:pPr>
            <w:r w:rsidRPr="00BE6CB5">
              <w:t>Papildus Direktīvas 2015/849 ieviešanai, jāņem vērā, ka no 2017.</w:t>
            </w:r>
            <w:r w:rsidR="00675A39">
              <w:t> </w:t>
            </w:r>
            <w:r w:rsidRPr="00BE6CB5">
              <w:t>gada 30.</w:t>
            </w:r>
            <w:r w:rsidR="00675A39">
              <w:t> </w:t>
            </w:r>
            <w:r w:rsidRPr="00BE6CB5">
              <w:t>oktobra līdz 10.</w:t>
            </w:r>
            <w:r w:rsidR="00675A39">
              <w:t> </w:t>
            </w:r>
            <w:r w:rsidRPr="00BE6CB5">
              <w:t xml:space="preserve">novembrim Latvijā ieradīsies Eiropas Padomes Naudas atmazgāšanas novēršanas pasākumu ieviešanas novērtēšanas ekspertu komiteja (turpmāk - </w:t>
            </w:r>
            <w:proofErr w:type="spellStart"/>
            <w:r w:rsidRPr="00EB7DC9">
              <w:rPr>
                <w:i/>
              </w:rPr>
              <w:t>Moneyval</w:t>
            </w:r>
            <w:proofErr w:type="spellEnd"/>
            <w:r w:rsidRPr="00BE6CB5">
              <w:t>), lai veiktu 5.kārtas novērtēšanu par Latvijas noziedzīgi iegūtu līdzekļu legalizācijas un terorisma finansēšanas novēršanas sistēmas tehnisko atbilstību FATF (</w:t>
            </w:r>
            <w:proofErr w:type="spellStart"/>
            <w:r w:rsidRPr="00EB7DC9">
              <w:rPr>
                <w:i/>
              </w:rPr>
              <w:t>Financial</w:t>
            </w:r>
            <w:proofErr w:type="spellEnd"/>
            <w:r w:rsidRPr="00EB7DC9">
              <w:rPr>
                <w:i/>
              </w:rPr>
              <w:t xml:space="preserve"> </w:t>
            </w:r>
            <w:proofErr w:type="spellStart"/>
            <w:r w:rsidRPr="00EB7DC9">
              <w:rPr>
                <w:i/>
              </w:rPr>
              <w:t>Ac</w:t>
            </w:r>
            <w:r w:rsidR="00B405F2" w:rsidRPr="00EB7DC9">
              <w:rPr>
                <w:i/>
              </w:rPr>
              <w:t>tion</w:t>
            </w:r>
            <w:proofErr w:type="spellEnd"/>
            <w:r w:rsidR="00B405F2" w:rsidRPr="00EB7DC9">
              <w:rPr>
                <w:i/>
              </w:rPr>
              <w:t xml:space="preserve"> </w:t>
            </w:r>
            <w:proofErr w:type="spellStart"/>
            <w:r w:rsidR="00B405F2" w:rsidRPr="00EB7DC9">
              <w:rPr>
                <w:i/>
              </w:rPr>
              <w:t>Task</w:t>
            </w:r>
            <w:proofErr w:type="spellEnd"/>
            <w:r w:rsidR="00B405F2" w:rsidRPr="00EB7DC9">
              <w:rPr>
                <w:i/>
              </w:rPr>
              <w:t xml:space="preserve"> </w:t>
            </w:r>
            <w:proofErr w:type="spellStart"/>
            <w:r w:rsidR="00B405F2" w:rsidRPr="00EB7DC9">
              <w:rPr>
                <w:i/>
              </w:rPr>
              <w:t>Force</w:t>
            </w:r>
            <w:proofErr w:type="spellEnd"/>
            <w:r w:rsidR="00B405F2">
              <w:t>) rekomendācijām</w:t>
            </w:r>
            <w:r w:rsidRPr="00BE6CB5">
              <w:t>, šajā kārtā īpaši vērtējot tieši minētās sistēmas efektivitāti, nevis tehnisko atbilstību prasībām. 2017.</w:t>
            </w:r>
            <w:r w:rsidR="00675A39">
              <w:t> </w:t>
            </w:r>
            <w:r w:rsidRPr="00BE6CB5">
              <w:t>gada vidū Latvijai būs jāsagatavo informatīvs ziņojums par iepriekš minēto, citastarp atspoguļojot tajā arī plānotos pasākumus, kurus paredzēts veikt, lai nodrošinātu Latvijas atbilstību FATF (</w:t>
            </w:r>
            <w:proofErr w:type="spellStart"/>
            <w:r w:rsidRPr="00EB7DC9">
              <w:rPr>
                <w:i/>
              </w:rPr>
              <w:t>Financial</w:t>
            </w:r>
            <w:proofErr w:type="spellEnd"/>
            <w:r w:rsidRPr="00EB7DC9">
              <w:rPr>
                <w:i/>
              </w:rPr>
              <w:t xml:space="preserve"> </w:t>
            </w:r>
            <w:proofErr w:type="spellStart"/>
            <w:r w:rsidRPr="00EB7DC9">
              <w:rPr>
                <w:i/>
              </w:rPr>
              <w:t>Action</w:t>
            </w:r>
            <w:proofErr w:type="spellEnd"/>
            <w:r w:rsidRPr="00EB7DC9">
              <w:rPr>
                <w:i/>
              </w:rPr>
              <w:t xml:space="preserve"> </w:t>
            </w:r>
            <w:proofErr w:type="spellStart"/>
            <w:r w:rsidRPr="00EB7DC9">
              <w:rPr>
                <w:i/>
              </w:rPr>
              <w:t>Task</w:t>
            </w:r>
            <w:proofErr w:type="spellEnd"/>
            <w:r w:rsidRPr="00EB7DC9">
              <w:rPr>
                <w:i/>
              </w:rPr>
              <w:t xml:space="preserve"> </w:t>
            </w:r>
            <w:proofErr w:type="spellStart"/>
            <w:r w:rsidRPr="00EB7DC9">
              <w:rPr>
                <w:i/>
              </w:rPr>
              <w:t>Force</w:t>
            </w:r>
            <w:proofErr w:type="spellEnd"/>
            <w:r w:rsidRPr="00BE6CB5">
              <w:t>) rekomendācijām. FATF (</w:t>
            </w:r>
            <w:proofErr w:type="spellStart"/>
            <w:r w:rsidRPr="00EB7DC9">
              <w:rPr>
                <w:i/>
              </w:rPr>
              <w:t>Financial</w:t>
            </w:r>
            <w:proofErr w:type="spellEnd"/>
            <w:r w:rsidRPr="00EB7DC9">
              <w:rPr>
                <w:i/>
              </w:rPr>
              <w:t xml:space="preserve"> </w:t>
            </w:r>
            <w:proofErr w:type="spellStart"/>
            <w:r w:rsidRPr="00EB7DC9">
              <w:rPr>
                <w:i/>
              </w:rPr>
              <w:t>Action</w:t>
            </w:r>
            <w:proofErr w:type="spellEnd"/>
            <w:r w:rsidRPr="00EB7DC9">
              <w:rPr>
                <w:i/>
              </w:rPr>
              <w:t xml:space="preserve"> </w:t>
            </w:r>
            <w:proofErr w:type="spellStart"/>
            <w:r w:rsidRPr="00EB7DC9">
              <w:rPr>
                <w:i/>
              </w:rPr>
              <w:t>Task</w:t>
            </w:r>
            <w:proofErr w:type="spellEnd"/>
            <w:r w:rsidRPr="00EB7DC9">
              <w:rPr>
                <w:i/>
              </w:rPr>
              <w:t xml:space="preserve"> </w:t>
            </w:r>
            <w:proofErr w:type="spellStart"/>
            <w:r w:rsidRPr="00EB7DC9">
              <w:rPr>
                <w:i/>
              </w:rPr>
              <w:t>Force</w:t>
            </w:r>
            <w:proofErr w:type="spellEnd"/>
            <w:r w:rsidRPr="00BE6CB5">
              <w:t>) 24.rekomendācija citastarp paredz, ka valstij jānodrošina pietiekama, precīza un savlaicīga informācijas par juridiskas personas kontroli un patiesajiem labuma guvējiem pieejamība kontroles institūcijām, kā arī atvieglota informācijas par juridiskās personas kontroli un patiesajiem labuma guvējiem pieejamība atbildīgajiem subjektiem – saistībā ar klienta uzticamības pārbaudi (FATF 10. un 22.</w:t>
            </w:r>
            <w:r w:rsidR="00675A39">
              <w:t> </w:t>
            </w:r>
            <w:r w:rsidRPr="00BE6CB5">
              <w:t xml:space="preserve">rekomendācijas kontekstā). Jāņem vērā, ka primāri </w:t>
            </w:r>
            <w:proofErr w:type="spellStart"/>
            <w:r w:rsidRPr="00EB7DC9">
              <w:rPr>
                <w:i/>
              </w:rPr>
              <w:t>Moneyva</w:t>
            </w:r>
            <w:r w:rsidRPr="00C03BEB">
              <w:rPr>
                <w:i/>
              </w:rPr>
              <w:t>l</w:t>
            </w:r>
            <w:proofErr w:type="spellEnd"/>
            <w:r w:rsidRPr="00BE6CB5">
              <w:t xml:space="preserve"> eksperti vērtēs jau ieviestos pasākumus un to efektivitāti un tikai tad pasākumus, kurus valsts būs uzsākusi ieviest, jo to efektivitāti nav iespējams izmērīt. Viennozīmīgi, ka jau uzsākta pasākuma ieviešana, tiks pozitīvāk vērtēta nekā tikai plānots pasākums. Ievērojot minēto, iespējami ātrāka Uzņēmumu reģistra vesto reģistru informācijas izsniegšanas risinājuma pilnveidošana ir nozīmīga arī </w:t>
            </w:r>
            <w:proofErr w:type="spellStart"/>
            <w:r w:rsidRPr="00EB7DC9">
              <w:rPr>
                <w:i/>
              </w:rPr>
              <w:t>Moneyval</w:t>
            </w:r>
            <w:proofErr w:type="spellEnd"/>
            <w:r w:rsidRPr="00EB7DC9">
              <w:rPr>
                <w:i/>
              </w:rPr>
              <w:t xml:space="preserve"> </w:t>
            </w:r>
            <w:r w:rsidRPr="00B405F2">
              <w:t>ekspertu 5.</w:t>
            </w:r>
            <w:r w:rsidR="00675A39">
              <w:t> </w:t>
            </w:r>
            <w:r w:rsidRPr="00B405F2">
              <w:t>kārtas novērtējuma par FATF 24.</w:t>
            </w:r>
            <w:r w:rsidR="00675A39">
              <w:t> </w:t>
            </w:r>
            <w:r w:rsidRPr="00B405F2">
              <w:t>rekomendācijas izpildi kontekstā.</w:t>
            </w:r>
          </w:p>
          <w:p w:rsidR="00BE6CB5" w:rsidRDefault="00BE6CB5" w:rsidP="00BE6CB5">
            <w:pPr>
              <w:ind w:firstLine="720"/>
              <w:jc w:val="both"/>
            </w:pPr>
            <w:r w:rsidRPr="00B405F2">
              <w:t>Ievērojot iepriekš minēto, nepieciešams iespējami ātrāk piešķirt papildu līdzekļus Uzņēmumu reģistra informācijas sistēmas pielāgojumiem</w:t>
            </w:r>
            <w:r w:rsidR="00ED2420">
              <w:t xml:space="preserve"> un jauna datu izplatīšanas risinājuma izstrādei.</w:t>
            </w:r>
          </w:p>
          <w:p w:rsidR="00ED2420" w:rsidRDefault="00882E8B" w:rsidP="00882E8B">
            <w:pPr>
              <w:ind w:firstLine="720"/>
              <w:jc w:val="both"/>
            </w:pPr>
            <w:r>
              <w:t xml:space="preserve">Kā iepriekš norādīts, lai nodrošinātu informācijas, kas nepieciešama patieso labuma guvēju noskaidrošanai pilnvērtīgu, efektīvu, savlaicīgu izsniegšanu, veicama konceptuāla Uzņēmumu reģistra informācijas izsniegšanas sistēmas modeļa maiņa. Uzņēmumu reģistrs sākotnēji apzinot iespējamos risinājuma variantus izvērtēja iespējas nepieciešamos sistēmas pielāgojumus pasūtīt no ārpakalpojuma sniedzēja. Nepieciešamais finansējums, </w:t>
            </w:r>
            <w:r w:rsidRPr="007442E1">
              <w:rPr>
                <w:b/>
              </w:rPr>
              <w:t xml:space="preserve">ja Uzņēmumu reģistra </w:t>
            </w:r>
            <w:r w:rsidR="00A530F8" w:rsidRPr="007442E1">
              <w:rPr>
                <w:b/>
              </w:rPr>
              <w:t>datu izplatīšanas sistēmu</w:t>
            </w:r>
            <w:r w:rsidRPr="007442E1">
              <w:rPr>
                <w:b/>
              </w:rPr>
              <w:t xml:space="preserve"> izstrādātu ārpakalpojuma sniedzējs, sastādītu 817</w:t>
            </w:r>
            <w:r w:rsidR="00FA3240" w:rsidRPr="007442E1">
              <w:rPr>
                <w:b/>
              </w:rPr>
              <w:t> </w:t>
            </w:r>
            <w:r w:rsidRPr="007442E1">
              <w:rPr>
                <w:b/>
              </w:rPr>
              <w:t>098,48 </w:t>
            </w:r>
            <w:proofErr w:type="spellStart"/>
            <w:r w:rsidRPr="007442E1">
              <w:rPr>
                <w:b/>
                <w:i/>
              </w:rPr>
              <w:t>euro</w:t>
            </w:r>
            <w:proofErr w:type="spellEnd"/>
            <w:r w:rsidR="00FA3240">
              <w:t xml:space="preserve">, neieskaitot </w:t>
            </w:r>
            <w:r>
              <w:t>i</w:t>
            </w:r>
            <w:r w:rsidRPr="00882E8B">
              <w:t>zmaksas informācijas sistēmas uzturēšanai</w:t>
            </w:r>
            <w:r>
              <w:t>. Minētā summa aprēķināta ņemot vērā cilvēkstundu izmaksas, kas noteiktas atbilstoši šobrīd spēkā esošajam līgumam ar ārpakalpojuma sniedzēju par Uzņēmumu reģistra informācijas sistēmas uzturēšanu, un nav pamata uzskatīt, ka izmaksas varētu būt būtiski mazākas. Minēto finansējumu būtu iespējams Uzņēmumu reģistram piešķirt, lemjot par valsts budžetu 2018.</w:t>
            </w:r>
            <w:r w:rsidR="00ED2420">
              <w:t xml:space="preserve"> </w:t>
            </w:r>
            <w:r>
              <w:t xml:space="preserve">gadam vai </w:t>
            </w:r>
            <w:r w:rsidRPr="00882E8B">
              <w:t>Eiropas Reģ</w:t>
            </w:r>
            <w:r>
              <w:t>ionālā attīstības fonda projekta ietvaros.</w:t>
            </w:r>
            <w:r w:rsidR="00AF0AB4">
              <w:t xml:space="preserve"> </w:t>
            </w:r>
          </w:p>
          <w:p w:rsidR="00A530F8" w:rsidRDefault="00AF0AB4" w:rsidP="00882E8B">
            <w:pPr>
              <w:ind w:firstLine="720"/>
              <w:jc w:val="both"/>
            </w:pPr>
            <w:r w:rsidRPr="00B405F2">
              <w:t xml:space="preserve">Apzinoties situācijas nozīmīgumu, kā arī nepieciešamību iegūt papildu finanšu līdzekļus jaunās datu izplātīšanas sistēmas </w:t>
            </w:r>
            <w:r>
              <w:t>izstrādei</w:t>
            </w:r>
            <w:r w:rsidRPr="00AF0AB4">
              <w:t>, Uzņēmumu reģistrs bija savlaicīgi pieteicies Eiropas Reģionālā attīstības fonda projektā, lai tā ietvaros tiktu izveidota jauna Uzņēmumu reģistra informācijas sistēma veikta esošās informācijas sistēmas pārbūve. Tomēr Uzņēmumu reģistra projekts</w:t>
            </w:r>
            <w:r w:rsidR="00ED2420">
              <w:t xml:space="preserve"> netika </w:t>
            </w:r>
            <w:r w:rsidRPr="00AF0AB4">
              <w:t xml:space="preserve">iekļauts iesniegumu atlases </w:t>
            </w:r>
            <w:r w:rsidR="00ED2420">
              <w:t>1</w:t>
            </w:r>
            <w:r w:rsidRPr="00AF0AB4">
              <w:t>.</w:t>
            </w:r>
            <w:r w:rsidR="001F040F">
              <w:t> </w:t>
            </w:r>
            <w:r w:rsidRPr="00AF0AB4">
              <w:t>kārtas projektu sarakstā. Vides aizsardzības un reģionālās attīstības ministrija ir informējusi, ka līdz 2017.</w:t>
            </w:r>
            <w:r w:rsidR="001F040F">
              <w:t> </w:t>
            </w:r>
            <w:r w:rsidRPr="00AF0AB4">
              <w:t>gada 2.</w:t>
            </w:r>
            <w:r w:rsidR="001F040F">
              <w:t> </w:t>
            </w:r>
            <w:r w:rsidRPr="00AF0AB4">
              <w:t>maijam iesniegs priekšlikumus par 2.</w:t>
            </w:r>
            <w:r w:rsidR="001F040F">
              <w:t> </w:t>
            </w:r>
            <w:r w:rsidRPr="00AF0AB4">
              <w:t>kārtas projektu</w:t>
            </w:r>
            <w:r w:rsidR="00A530F8">
              <w:t xml:space="preserve"> sarakstu, kurā varētu tikt iekļauts </w:t>
            </w:r>
            <w:r w:rsidR="007442E1">
              <w:t>arī Uzņēmumu reģistra projekts.</w:t>
            </w:r>
            <w:r w:rsidRPr="00AF0AB4">
              <w:t xml:space="preserve"> Tas nozīmē, ka attiecīgā Uzņēmumu reģistra projekta īstenošana var tikt uzsākta tikai 2017.</w:t>
            </w:r>
            <w:r w:rsidR="001F040F">
              <w:t> </w:t>
            </w:r>
            <w:r w:rsidRPr="00AF0AB4">
              <w:t xml:space="preserve">gada beigās (ja attiecīgo priekšlikumu un projektu iesniegumu </w:t>
            </w:r>
            <w:r>
              <w:t xml:space="preserve">izskatīšana neieilgs), kas arī </w:t>
            </w:r>
            <w:r w:rsidRPr="00AF0AB4">
              <w:t>ir pārāk vēls termiņš, lai nodrošinātu Direktīvas 2015/849 prasību ieviešanu laicīgi.</w:t>
            </w:r>
          </w:p>
          <w:p w:rsidR="00882E8B" w:rsidRDefault="00AF0AB4" w:rsidP="00882E8B">
            <w:pPr>
              <w:ind w:firstLine="720"/>
              <w:jc w:val="both"/>
            </w:pPr>
            <w:r>
              <w:t>Savukārt</w:t>
            </w:r>
            <w:r w:rsidR="001F040F">
              <w:t>,</w:t>
            </w:r>
            <w:r>
              <w:t xml:space="preserve"> piešķirot nepieciešamo finansējumu valsts budžet</w:t>
            </w:r>
            <w:r w:rsidR="005F1BC2">
              <w:t>ā</w:t>
            </w:r>
            <w:r>
              <w:t xml:space="preserve"> 2018.</w:t>
            </w:r>
            <w:r w:rsidR="001F040F">
              <w:t> </w:t>
            </w:r>
            <w:r>
              <w:t>gadam, Uzņēmumu reģistrs finansējumu saņemtu tikai 2018.</w:t>
            </w:r>
            <w:r w:rsidR="001F040F">
              <w:t> </w:t>
            </w:r>
            <w:r>
              <w:t xml:space="preserve">gada sākumā. </w:t>
            </w:r>
            <w:r w:rsidR="00882E8B">
              <w:t>Saprotams, ka pilnvērtīgu informācijas izsniegšanu, tādā formā, kādā to saņemt būtu ērti visām iesaistītajām pusēm, kas minētas Direktīvas 2015/849 30.</w:t>
            </w:r>
            <w:r w:rsidR="001F040F">
              <w:t> </w:t>
            </w:r>
            <w:r w:rsidR="00882E8B">
              <w:t xml:space="preserve">panta </w:t>
            </w:r>
            <w:r w:rsidR="00040AAA">
              <w:t>5. </w:t>
            </w:r>
            <w:r w:rsidR="00407CE5">
              <w:t>punktā</w:t>
            </w:r>
            <w:r w:rsidR="00882E8B">
              <w:t>, Uzņēmumu reģistrs varēs tikai pēc nepieciešamā finansējuma saņemšanas. Ievērojot minēto, kā arī ņemot vērā laiku, kas nepieciešams publiskā iepirkuma procedūrai, pilnvērtīgu informācijas patieso labuma guvēju noskaidrošanai izsniegšanu Uzņēmumu reģistrs, ja finansējums tiktu piešķirts 2018.</w:t>
            </w:r>
            <w:r w:rsidR="001F040F">
              <w:t> </w:t>
            </w:r>
            <w:r w:rsidR="00882E8B">
              <w:t>gada valsts budžeta</w:t>
            </w:r>
            <w:r>
              <w:t xml:space="preserve"> vai Eiropas Reģionālā attīstības fonda projekta</w:t>
            </w:r>
            <w:r w:rsidR="00882E8B">
              <w:t xml:space="preserve"> ietvaros, varētu nodrošināt ne ātrāk kā no 2019.</w:t>
            </w:r>
            <w:r w:rsidR="001F040F">
              <w:t> </w:t>
            </w:r>
            <w:r w:rsidR="00882E8B">
              <w:t>gada 1.</w:t>
            </w:r>
            <w:r w:rsidR="001F040F">
              <w:t> </w:t>
            </w:r>
            <w:r w:rsidR="00882E8B">
              <w:t>janvāra. Norādāms, ka iesaistītās puses, piemēram, Latvijas Komercbanku asociācija, sniedzot viedokļus par nepieciešamajiem grozījumiem Noziedzīgi iegūtu līdzekļu legalizācijas un terorisma finansēšanas novēršanas likumā, saistībā ar Direktīvas 2015/849 ieviešanu, ir paudušas neapmierinātību ar situāciju, kurā informācijas izsniegšana tiktu nodrošināta tikai no 2019.</w:t>
            </w:r>
            <w:r w:rsidR="001F040F">
              <w:t> </w:t>
            </w:r>
            <w:r w:rsidR="00882E8B">
              <w:t>gada 1.</w:t>
            </w:r>
            <w:r w:rsidR="001F040F">
              <w:t> </w:t>
            </w:r>
            <w:r w:rsidR="00882E8B">
              <w:t>janvāra.</w:t>
            </w:r>
          </w:p>
          <w:p w:rsidR="00AF0AB4" w:rsidRDefault="00882E8B" w:rsidP="00AF0AB4">
            <w:pPr>
              <w:ind w:firstLine="720"/>
              <w:jc w:val="both"/>
            </w:pPr>
            <w:r>
              <w:t>2017. un 2018.</w:t>
            </w:r>
            <w:r w:rsidR="001F040F">
              <w:t> </w:t>
            </w:r>
            <w:r>
              <w:t>gadā Uzņēmumu reģistrs informācijas izsniegšanu nodrošinātu esošo mehānismu ietvaros (pieprasot informāciju katrā atsevišķā gadījumā, normatīvajos aktos noteiktajā kārtībā un termiņos), kas ir laikietilpīgāki un neatbilst ne Direktīvas 2015/849 30.</w:t>
            </w:r>
            <w:r w:rsidR="001F040F">
              <w:t> </w:t>
            </w:r>
            <w:r>
              <w:t xml:space="preserve">panta </w:t>
            </w:r>
            <w:r w:rsidR="00040AAA">
              <w:t>6. </w:t>
            </w:r>
            <w:r w:rsidR="00407CE5">
              <w:t>punktā</w:t>
            </w:r>
            <w:r>
              <w:t xml:space="preserve"> noteiktajai, ne </w:t>
            </w:r>
            <w:proofErr w:type="spellStart"/>
            <w:r w:rsidRPr="00C03BEB">
              <w:rPr>
                <w:i/>
              </w:rPr>
              <w:t>Moneyval</w:t>
            </w:r>
            <w:proofErr w:type="spellEnd"/>
            <w:r>
              <w:t xml:space="preserve"> 24.rekomendācijas savlaicīgas inf</w:t>
            </w:r>
            <w:r w:rsidR="00AF0AB4">
              <w:t>ormācijas sniegšanas prasībai. Ievērojot minēto, ieviešot nepieciešamos informācijas sistēmas pielāgojumus informācijas patiesā labuma guvēju</w:t>
            </w:r>
            <w:r>
              <w:t xml:space="preserve"> </w:t>
            </w:r>
            <w:r w:rsidR="00AF0AB4">
              <w:t>noskaidrošanai izsniegšanai tikai 2019.</w:t>
            </w:r>
            <w:r w:rsidR="001F040F">
              <w:t> </w:t>
            </w:r>
            <w:r w:rsidR="00AF0AB4">
              <w:t>gada 1.</w:t>
            </w:r>
            <w:r w:rsidR="001F040F">
              <w:t> </w:t>
            </w:r>
            <w:r w:rsidR="00AF0AB4">
              <w:t xml:space="preserve">janvārī tiek riskēts ar Direktīvas 2015/849 un </w:t>
            </w:r>
            <w:proofErr w:type="spellStart"/>
            <w:r w:rsidR="00AF0AB4" w:rsidRPr="00C03BEB">
              <w:rPr>
                <w:i/>
              </w:rPr>
              <w:t>Moneyval</w:t>
            </w:r>
            <w:proofErr w:type="spellEnd"/>
            <w:r w:rsidR="00AF0AB4" w:rsidRPr="00C03BEB">
              <w:rPr>
                <w:i/>
              </w:rPr>
              <w:t xml:space="preserve"> </w:t>
            </w:r>
            <w:r w:rsidR="00AF0AB4">
              <w:t>prasību neizpildi. Saskaņā ar Ministru kabineta 2009.</w:t>
            </w:r>
            <w:r w:rsidR="001F040F">
              <w:t> </w:t>
            </w:r>
            <w:r w:rsidR="00AF0AB4">
              <w:t>gada 22.</w:t>
            </w:r>
            <w:r w:rsidR="001F040F">
              <w:t> </w:t>
            </w:r>
            <w:r w:rsidR="00AF0AB4">
              <w:t>decembra noteikumu Nr.</w:t>
            </w:r>
            <w:r w:rsidR="001F040F">
              <w:t> </w:t>
            </w:r>
            <w:r w:rsidR="00AF0AB4">
              <w:t xml:space="preserve">1644 </w:t>
            </w:r>
            <w:r w:rsidR="001F040F" w:rsidRPr="001F040F">
              <w:t>"</w:t>
            </w:r>
            <w:r w:rsidR="00AF0AB4">
              <w:t>Kārtība, kādā pieprasa un izlieto budžeta programmas "Līdzekļi neparedzētiem gadījumiem" līdzekļus</w:t>
            </w:r>
            <w:r w:rsidR="001F040F" w:rsidRPr="001F040F">
              <w:t>"</w:t>
            </w:r>
            <w:r w:rsidR="00AF0AB4">
              <w:t xml:space="preserve"> 3.</w:t>
            </w:r>
            <w:r w:rsidR="001F040F">
              <w:t> </w:t>
            </w:r>
            <w:r w:rsidR="00AF0AB4">
              <w:t>punktu l</w:t>
            </w:r>
            <w:r w:rsidR="00AF0AB4" w:rsidRPr="00AF0AB4">
              <w:t xml:space="preserve">īdzekļus </w:t>
            </w:r>
            <w:r w:rsidR="00A530F8">
              <w:t xml:space="preserve">citastarp </w:t>
            </w:r>
            <w:r w:rsidR="00AF0AB4" w:rsidRPr="00AF0AB4">
              <w:t xml:space="preserve">piešķir </w:t>
            </w:r>
            <w:r w:rsidR="00A530F8">
              <w:t xml:space="preserve">arī </w:t>
            </w:r>
            <w:r w:rsidR="00AF0AB4" w:rsidRPr="00AF0AB4">
              <w:t>valstiski īpaši nozīmīgiem pasākumiem.</w:t>
            </w:r>
            <w:r w:rsidR="00AF0AB4">
              <w:t xml:space="preserve"> Ņemot vērā, ka gan Direktīvas 2015/849 un </w:t>
            </w:r>
            <w:proofErr w:type="spellStart"/>
            <w:r w:rsidR="00AF0AB4" w:rsidRPr="00C03BEB">
              <w:rPr>
                <w:i/>
              </w:rPr>
              <w:t>Moneyval</w:t>
            </w:r>
            <w:proofErr w:type="spellEnd"/>
            <w:r w:rsidR="00AF0AB4">
              <w:t xml:space="preserve"> prasību izpilde ir Latvijas Republikai nozīmīgi pasākumi</w:t>
            </w:r>
            <w:r w:rsidR="00A530F8">
              <w:t xml:space="preserve"> </w:t>
            </w:r>
            <w:r w:rsidR="00AF0AB4">
              <w:t>līdzekļus</w:t>
            </w:r>
            <w:r w:rsidR="00A530F8">
              <w:t xml:space="preserve"> atbilstošas datu izplatīšanas sistēmas izveidei ir iespējams piešķirt</w:t>
            </w:r>
            <w:r w:rsidR="00AF0AB4">
              <w:t xml:space="preserve"> </w:t>
            </w:r>
            <w:r w:rsidR="00AF0AB4" w:rsidRPr="00AF0AB4">
              <w:t>Tieslietu ministrijai (Uzņēmumu reģistram)</w:t>
            </w:r>
            <w:r w:rsidR="00AF0AB4">
              <w:t xml:space="preserve"> </w:t>
            </w:r>
            <w:r w:rsidR="00AF0AB4" w:rsidRPr="00AF0AB4">
              <w:t xml:space="preserve">no valsts budžeta programmas 02.00.00 </w:t>
            </w:r>
            <w:r w:rsidR="001F040F" w:rsidRPr="001F040F">
              <w:t>"</w:t>
            </w:r>
            <w:r w:rsidR="00AF0AB4" w:rsidRPr="00AF0AB4">
              <w:t>Līdzekļi neparedzētiem gadījumiem</w:t>
            </w:r>
            <w:r w:rsidR="001F040F" w:rsidRPr="001F040F">
              <w:t>"</w:t>
            </w:r>
            <w:r w:rsidR="00AF0AB4">
              <w:t>.</w:t>
            </w:r>
          </w:p>
          <w:p w:rsidR="00F910C5" w:rsidRPr="00B405F2" w:rsidRDefault="00F910C5" w:rsidP="00F910C5">
            <w:pPr>
              <w:ind w:firstLine="720"/>
              <w:jc w:val="both"/>
            </w:pPr>
            <w:r>
              <w:t xml:space="preserve">Norādāms, ka finansējuma ieguvei ir izvērtēti arī alternatīvi risinājumi. </w:t>
            </w:r>
            <w:r w:rsidRPr="00B405F2">
              <w:t>Tieslietu ministrija</w:t>
            </w:r>
            <w:r w:rsidR="001F040F">
              <w:t>,</w:t>
            </w:r>
            <w:r w:rsidRPr="00B405F2">
              <w:t xml:space="preserve"> apzinot iekšējos resursus un izvērtējot Finanšu ministrijas ieteiktos risinājumus attiecībā uz Darbinieku prasījumu garantiju fondu un Uzturlīdzekļu garantiju fondu, ir secinājusi, ka Tieslietu ministrijas resorā nav tādu līdzekļu, kurus var tiesiski novirzīt Uzņēmumu reģistra informācijas sistēmas pielāgojumu izstrādei.</w:t>
            </w:r>
          </w:p>
          <w:p w:rsidR="00F910C5" w:rsidRPr="00B405F2" w:rsidRDefault="00F910C5" w:rsidP="00F910C5">
            <w:pPr>
              <w:ind w:firstLine="720"/>
              <w:jc w:val="both"/>
            </w:pPr>
            <w:r w:rsidRPr="00B405F2">
              <w:t xml:space="preserve">Attiecībā uz Darbinieku prasījumu garantiju fondu, likuma </w:t>
            </w:r>
            <w:r w:rsidR="001F040F" w:rsidRPr="001F040F">
              <w:t>"</w:t>
            </w:r>
            <w:r w:rsidRPr="00B405F2">
              <w:t>Par darbinieku aizsardzību darba devēja maksātnespējas gadījumā</w:t>
            </w:r>
            <w:r w:rsidR="001F040F" w:rsidRPr="001F040F">
              <w:t>"</w:t>
            </w:r>
            <w:r w:rsidRPr="00B405F2">
              <w:t xml:space="preserve"> 6.</w:t>
            </w:r>
            <w:r w:rsidR="001F040F">
              <w:t> </w:t>
            </w:r>
            <w:r w:rsidRPr="00B405F2">
              <w:t>panta otrā daļa nosaka, ka uzņēmējdarbības riska valsts nodevu par nodrošinājumu darbinieku prasījumu apmierināšanai no darbinieku prasījumu garantiju fonda līdzekļiem, kā arī par maksātnespējas jomu regulējošā likumā noteiktiem mērķiem</w:t>
            </w:r>
            <w:r w:rsidR="001F040F">
              <w:t xml:space="preserve"> </w:t>
            </w:r>
            <w:r w:rsidRPr="00B405F2">
              <w:t>katru gadu maksā ikviens darba devējs, kuram var pasludināt juridiskās personas maksātnespējas procesu vai pasludināt kredītiestādes maksātnespēju. Bet Maksātnespējas likumā attiecībā uz riska valsts nodevu ir minēta Maksātnespējas administrācija (173.</w:t>
            </w:r>
            <w:r>
              <w:t> </w:t>
            </w:r>
            <w:r w:rsidRPr="00B405F2">
              <w:t xml:space="preserve">pants, </w:t>
            </w:r>
            <w:r w:rsidR="001F040F">
              <w:t xml:space="preserve">otrā </w:t>
            </w:r>
            <w:r w:rsidRPr="00B405F2">
              <w:t>daļa,), kuru var finansēt no uzņēmējdarbības riska valsts nodevas un var segt maksātnespējas procesa izmaksas (62.</w:t>
            </w:r>
            <w:r>
              <w:t> </w:t>
            </w:r>
            <w:r w:rsidRPr="00B405F2">
              <w:t>pant</w:t>
            </w:r>
            <w:r w:rsidR="001F040F">
              <w:t>a</w:t>
            </w:r>
            <w:r w:rsidRPr="00B405F2">
              <w:t xml:space="preserve"> 7</w:t>
            </w:r>
            <w:r>
              <w:t>.</w:t>
            </w:r>
            <w:r w:rsidRPr="00B405F2">
              <w:rPr>
                <w:vertAlign w:val="superscript"/>
              </w:rPr>
              <w:t>2</w:t>
            </w:r>
            <w:r>
              <w:t> </w:t>
            </w:r>
            <w:r w:rsidRPr="00B405F2">
              <w:t>punkts). Līdz ar to no uzņēmējdarbības riska valsts nodevas nevar segt darbības, kas nav saistītas ar maksātnespējas jomu.</w:t>
            </w:r>
          </w:p>
          <w:p w:rsidR="00F910C5" w:rsidRPr="00B405F2" w:rsidRDefault="00F910C5" w:rsidP="00F910C5">
            <w:pPr>
              <w:ind w:firstLine="720"/>
              <w:jc w:val="both"/>
            </w:pPr>
            <w:r w:rsidRPr="00B405F2">
              <w:t>Arī Uzturlīdzekļu garantiju fondam ir pavisam cits mērķis un regresa kārtībā atgūtos līdzekļus var izmantot tikai uzturlīdzekļu izmaksām. Atbilstoši 2016.</w:t>
            </w:r>
            <w:r>
              <w:t> </w:t>
            </w:r>
            <w:r w:rsidRPr="00B405F2">
              <w:t>gada 1.</w:t>
            </w:r>
            <w:r>
              <w:t> </w:t>
            </w:r>
            <w:r w:rsidRPr="00B405F2">
              <w:t>decembrī pieņemtajam jaunajam Uzturlīdzekļu garantiju fonda likumam (turpmāk – likums), kas stājās spēkā 2017.</w:t>
            </w:r>
            <w:r>
              <w:t> </w:t>
            </w:r>
            <w:r w:rsidRPr="00B405F2">
              <w:t>gada 1.</w:t>
            </w:r>
            <w:r>
              <w:t> </w:t>
            </w:r>
            <w:r w:rsidRPr="00B405F2">
              <w:t>februārī, jau 2017.</w:t>
            </w:r>
            <w:r>
              <w:t> </w:t>
            </w:r>
            <w:r w:rsidRPr="00B405F2">
              <w:t>gadā un turpmāk ik gadu ir nepieciešami papildu līdzekļi aptuveni 3.</w:t>
            </w:r>
            <w:r>
              <w:t>8 </w:t>
            </w:r>
            <w:r w:rsidRPr="00B405F2">
              <w:t xml:space="preserve">miljonu </w:t>
            </w:r>
            <w:proofErr w:type="spellStart"/>
            <w:r w:rsidRPr="00B405F2">
              <w:rPr>
                <w:i/>
              </w:rPr>
              <w:t>euro</w:t>
            </w:r>
            <w:proofErr w:type="spellEnd"/>
            <w:r w:rsidRPr="00B405F2">
              <w:rPr>
                <w:i/>
              </w:rPr>
              <w:t xml:space="preserve"> </w:t>
            </w:r>
            <w:r w:rsidRPr="00B405F2">
              <w:t xml:space="preserve">apmērā un papildu finansējums Uzturlīdzekļu garantiju fonda administrācijai </w:t>
            </w:r>
            <w:r>
              <w:t>0.5</w:t>
            </w:r>
            <w:r w:rsidR="001B0170">
              <w:t> </w:t>
            </w:r>
            <w:r>
              <w:t>miljonu</w:t>
            </w:r>
            <w:r w:rsidRPr="00F46E68">
              <w:t xml:space="preserve"> </w:t>
            </w:r>
            <w:proofErr w:type="spellStart"/>
            <w:r w:rsidRPr="00B405F2">
              <w:rPr>
                <w:i/>
              </w:rPr>
              <w:t>euro</w:t>
            </w:r>
            <w:proofErr w:type="spellEnd"/>
            <w:r w:rsidRPr="00B405F2">
              <w:t xml:space="preserve"> apmērā ik gadu jauno funkciju īstenošanai. Pašlaik kā papildus nepieciešamā finansējuma avots ir paredzēts regresa kārtībā atgūto līdzekļu pieaugums un uzkrāto līdzekļu izmantošana, tomēr turpinoties uzturlīdzekļu saņēmēju skaita pieaugumam, šo līdzekļu varētu arī nepietikt.</w:t>
            </w:r>
          </w:p>
          <w:p w:rsidR="00F910C5" w:rsidRPr="00B405F2" w:rsidRDefault="00F910C5" w:rsidP="00F910C5">
            <w:pPr>
              <w:ind w:firstLine="720"/>
              <w:jc w:val="both"/>
            </w:pPr>
            <w:r w:rsidRPr="00B405F2">
              <w:t>Ņemot vērā</w:t>
            </w:r>
            <w:r>
              <w:t xml:space="preserve"> to</w:t>
            </w:r>
            <w:r w:rsidRPr="00B405F2">
              <w:t>, ka nevienu no minētājiem fondiem nav iespējams sasaistīt ar Uzņēmumu reģistra darbību, līdzekļu pārdale Uzņēmumu reģistram nav iespējama.</w:t>
            </w:r>
          </w:p>
          <w:p w:rsidR="00F910C5" w:rsidRDefault="009039C2" w:rsidP="008C605B">
            <w:pPr>
              <w:ind w:firstLine="720"/>
              <w:jc w:val="both"/>
            </w:pPr>
            <w:r w:rsidRPr="009039C2">
              <w:t>Izvēloties ārpakalpojuma sniedzēju un</w:t>
            </w:r>
            <w:r w:rsidR="008C605B" w:rsidRPr="00B405F2">
              <w:t xml:space="preserve"> piešķirot attiecīgos finanšu līdzekļus 2017.</w:t>
            </w:r>
            <w:r w:rsidR="00675A39">
              <w:t> </w:t>
            </w:r>
            <w:r w:rsidR="008C605B" w:rsidRPr="00B405F2">
              <w:t xml:space="preserve">gadā, līdz gada beigām nav pietiekami laika, lai varētu īstenot iepirkuma procedūru </w:t>
            </w:r>
            <w:r w:rsidRPr="009039C2">
              <w:t xml:space="preserve">(kas pēc līdzšinējās pieredzes </w:t>
            </w:r>
            <w:r w:rsidR="001F6C3D">
              <w:t xml:space="preserve">līdzīgas sarežģītības iepirkuma procedūrās </w:t>
            </w:r>
            <w:r w:rsidRPr="009039C2">
              <w:t>aizņem vidēji</w:t>
            </w:r>
            <w:r w:rsidR="001F6C3D">
              <w:t xml:space="preserve"> divpadsmit</w:t>
            </w:r>
            <w:r w:rsidRPr="009039C2">
              <w:t xml:space="preserve"> mēnešus)</w:t>
            </w:r>
            <w:r>
              <w:t xml:space="preserve"> </w:t>
            </w:r>
            <w:r w:rsidR="008C605B" w:rsidRPr="00B405F2">
              <w:t xml:space="preserve">un sistēmas izstrādes darbības, </w:t>
            </w:r>
            <w:r w:rsidR="00A530F8">
              <w:t xml:space="preserve">tāpēc </w:t>
            </w:r>
            <w:r w:rsidR="008C605B" w:rsidRPr="00B405F2">
              <w:t xml:space="preserve">ir nepieciešams meklēt citus risinājumus. Līdz ar to ir jāizmanto </w:t>
            </w:r>
            <w:r w:rsidR="008C605B" w:rsidRPr="0095153E">
              <w:rPr>
                <w:b/>
              </w:rPr>
              <w:t>alternatīvais risinājums – noalgot attiecīgus speciālistus kā pagaidu darbiniekus, lai izpildītu konkrētu darbību - izstrādātu datu izplatīšanas sistēmu</w:t>
            </w:r>
            <w:r w:rsidR="008C605B" w:rsidRPr="00B405F2">
              <w:t xml:space="preserve">. Tā kā tie būs iestādes darbinieki, būs daudz vieglāk nodrošināt uzdevuma izpildes kontroli, kā arī izvairīties no riskiem, kas var rasties, slēdzot ārpakalpojuma līgumu sistēmas izstrādei. Šobrīd tas ir vienīgais veids kā nodrošināt Direktīvas </w:t>
            </w:r>
            <w:r w:rsidR="00B405F2" w:rsidRPr="00B405F2">
              <w:t xml:space="preserve">2015/849 </w:t>
            </w:r>
            <w:r w:rsidR="008C605B" w:rsidRPr="00B405F2">
              <w:t xml:space="preserve">ieviešanu un sagatavoties </w:t>
            </w:r>
            <w:proofErr w:type="spellStart"/>
            <w:r w:rsidR="00B405F2" w:rsidRPr="00EB7DC9">
              <w:rPr>
                <w:i/>
              </w:rPr>
              <w:t>Moneyval</w:t>
            </w:r>
            <w:proofErr w:type="spellEnd"/>
            <w:r w:rsidR="00B405F2" w:rsidRPr="00B405F2">
              <w:t xml:space="preserve"> </w:t>
            </w:r>
            <w:r w:rsidR="008C605B" w:rsidRPr="00B405F2">
              <w:t>novērtējumam 2017.</w:t>
            </w:r>
            <w:r w:rsidR="00675A39">
              <w:t> </w:t>
            </w:r>
            <w:r w:rsidR="008C605B" w:rsidRPr="00B405F2">
              <w:t>gada novembra sākumā.</w:t>
            </w:r>
          </w:p>
          <w:p w:rsidR="008C2F68" w:rsidRDefault="008B01F3" w:rsidP="008C2F68">
            <w:pPr>
              <w:ind w:firstLine="720"/>
              <w:jc w:val="both"/>
            </w:pPr>
            <w:r>
              <w:t>Izmantojot alternat</w:t>
            </w:r>
            <w:r w:rsidR="0070229F">
              <w:t>īvo risinā</w:t>
            </w:r>
            <w:r>
              <w:t xml:space="preserve">jumu, </w:t>
            </w:r>
            <w:r w:rsidR="0070229F" w:rsidRPr="0070229F">
              <w:t>datu izplatīšanas sistēmu</w:t>
            </w:r>
            <w:r w:rsidR="00F910C5">
              <w:t>, kas nepieciešam</w:t>
            </w:r>
            <w:r w:rsidR="0070229F">
              <w:t>a</w:t>
            </w:r>
            <w:r w:rsidR="00F910C5">
              <w:t xml:space="preserve"> informācijas patiesā labuma guvēju noskaidrošanai izsniegšan</w:t>
            </w:r>
            <w:r w:rsidR="0070229F">
              <w:t>ai</w:t>
            </w:r>
            <w:r w:rsidR="00F910C5">
              <w:t>,</w:t>
            </w:r>
            <w:r w:rsidR="00F910C5" w:rsidRPr="00F910C5">
              <w:t xml:space="preserve"> </w:t>
            </w:r>
            <w:r w:rsidR="0070229F">
              <w:t>ir iespējams izveidot</w:t>
            </w:r>
            <w:r w:rsidR="0070229F" w:rsidRPr="00F910C5">
              <w:t xml:space="preserve"> </w:t>
            </w:r>
            <w:r w:rsidR="00F910C5" w:rsidRPr="00F910C5">
              <w:t xml:space="preserve">12 mēnešu ietvaros </w:t>
            </w:r>
            <w:proofErr w:type="gramStart"/>
            <w:r w:rsidR="00F910C5" w:rsidRPr="00F910C5">
              <w:t>(</w:t>
            </w:r>
            <w:proofErr w:type="gramEnd"/>
            <w:r w:rsidR="00F910C5" w:rsidRPr="00F910C5">
              <w:t>no 2017.</w:t>
            </w:r>
            <w:r w:rsidR="001B0170">
              <w:t> </w:t>
            </w:r>
            <w:r w:rsidR="00F910C5" w:rsidRPr="00F910C5">
              <w:t>gada 1.</w:t>
            </w:r>
            <w:r w:rsidR="001B0170">
              <w:t> </w:t>
            </w:r>
            <w:r w:rsidR="00F910C5" w:rsidRPr="00F910C5">
              <w:t>aprīļa līdz 2018.</w:t>
            </w:r>
            <w:r w:rsidR="001B0170">
              <w:t> </w:t>
            </w:r>
            <w:r w:rsidR="00F910C5" w:rsidRPr="00F910C5">
              <w:t>gada 31.</w:t>
            </w:r>
            <w:r w:rsidR="001B0170">
              <w:t> </w:t>
            </w:r>
            <w:r w:rsidR="00F910C5" w:rsidRPr="00F910C5">
              <w:t>martam (uzturēšana līdz 31.</w:t>
            </w:r>
            <w:r w:rsidR="001B0170">
              <w:t> </w:t>
            </w:r>
            <w:r w:rsidR="00F910C5" w:rsidRPr="00F910C5">
              <w:t>decembrim)</w:t>
            </w:r>
            <w:r w:rsidR="005C5C0A">
              <w:t>.</w:t>
            </w:r>
            <w:r w:rsidR="001F6C3D">
              <w:t xml:space="preserve"> </w:t>
            </w:r>
            <w:r w:rsidR="0070229F">
              <w:t>Ja</w:t>
            </w:r>
            <w:r w:rsidR="001F6C3D">
              <w:t xml:space="preserve"> </w:t>
            </w:r>
            <w:r w:rsidR="00F910C5" w:rsidRPr="00F910C5">
              <w:t>finansējuma piešķiršanas</w:t>
            </w:r>
            <w:r w:rsidR="0070229F">
              <w:t xml:space="preserve"> aizkavēšanās</w:t>
            </w:r>
            <w:r w:rsidR="00F910C5" w:rsidRPr="00F910C5">
              <w:t xml:space="preserve"> vai citu apstākļu dēļ projekta uzsākšana </w:t>
            </w:r>
            <w:r w:rsidR="0070229F">
              <w:t>aizkavējas,</w:t>
            </w:r>
            <w:r w:rsidR="0070229F" w:rsidRPr="00F910C5">
              <w:t xml:space="preserve"> </w:t>
            </w:r>
            <w:r w:rsidR="0070229F">
              <w:t>projekta realizācijas</w:t>
            </w:r>
            <w:r w:rsidR="0070229F" w:rsidRPr="00F910C5">
              <w:t xml:space="preserve"> </w:t>
            </w:r>
            <w:r w:rsidR="00F910C5" w:rsidRPr="00F910C5">
              <w:t>ilgums (12 mēneši) netiek mainīts</w:t>
            </w:r>
            <w:r w:rsidR="005C5C0A">
              <w:t>.</w:t>
            </w:r>
            <w:r w:rsidR="00F910C5" w:rsidRPr="00F910C5">
              <w:t xml:space="preserve"> </w:t>
            </w:r>
            <w:r w:rsidR="000B1C54" w:rsidRPr="000B1C54">
              <w:t>Datu izplatīšanas sistēmas izveides nodrošināšanai uz noteikt</w:t>
            </w:r>
            <w:r w:rsidR="000B1C54">
              <w:t>u</w:t>
            </w:r>
            <w:r w:rsidR="000B1C54" w:rsidRPr="000B1C54">
              <w:t xml:space="preserve"> laiku būtu izveidojama projekta darba grupa no augsti kvalificētiem informācijas tehnoloģiju (turpmāk – IT) speciālistiem, kas darba tirgū ir augstāk atalgoti, kā valsts pārvaldes sistēma spētu nodrošināt, maksājot šiem speciālistiem mēnešalgu, saskaņā ar amatam noteikto amatu saimei atbilstošo līmeni un nodarbinātajam piešķirto 3.</w:t>
            </w:r>
            <w:r w:rsidR="000B1C54">
              <w:t> </w:t>
            </w:r>
            <w:r w:rsidR="000B1C54" w:rsidRPr="000B1C54">
              <w:t>kategorijas mēnešalgu grupu (augsti kvalificētam nodarbinātajam nepieļaujam noteikt zemāku kategoriju).</w:t>
            </w:r>
            <w:r w:rsidR="00F910C5">
              <w:t xml:space="preserve"> Ņemot vērā, </w:t>
            </w:r>
            <w:r w:rsidR="00F910C5" w:rsidRPr="00F910C5">
              <w:rPr>
                <w:i/>
              </w:rPr>
              <w:t xml:space="preserve">CV </w:t>
            </w:r>
            <w:proofErr w:type="spellStart"/>
            <w:r w:rsidR="00F910C5" w:rsidRPr="00F910C5">
              <w:rPr>
                <w:i/>
              </w:rPr>
              <w:t>online</w:t>
            </w:r>
            <w:proofErr w:type="spellEnd"/>
            <w:r w:rsidR="00F910C5" w:rsidRPr="00F910C5">
              <w:rPr>
                <w:i/>
              </w:rPr>
              <w:t xml:space="preserve"> </w:t>
            </w:r>
            <w:r w:rsidR="00F910C5">
              <w:t xml:space="preserve">pētījumā </w:t>
            </w:r>
            <w:r w:rsidR="001644B5" w:rsidRPr="001644B5">
              <w:t>"</w:t>
            </w:r>
            <w:r w:rsidR="00F910C5">
              <w:t>Latvijas algu un atlīdzību pētījums 2016</w:t>
            </w:r>
            <w:r w:rsidR="001644B5" w:rsidRPr="001644B5">
              <w:t>"</w:t>
            </w:r>
            <w:r w:rsidR="00F910C5">
              <w:rPr>
                <w:rStyle w:val="Vresatsauce"/>
              </w:rPr>
              <w:footnoteReference w:id="1"/>
            </w:r>
            <w:r w:rsidR="00F910C5">
              <w:t xml:space="preserve"> norādītās mēnešalgas (neto) augsti kvalificētam programmētājam </w:t>
            </w:r>
            <w:r w:rsidR="005C5C0A">
              <w:t>vidējā mēnešalga ir 2500</w:t>
            </w:r>
            <w:r w:rsidR="00BD62F0">
              <w:t> </w:t>
            </w:r>
            <w:proofErr w:type="spellStart"/>
            <w:r w:rsidR="005C5C0A">
              <w:rPr>
                <w:i/>
              </w:rPr>
              <w:t>euro</w:t>
            </w:r>
            <w:proofErr w:type="spellEnd"/>
            <w:r w:rsidR="005C5C0A">
              <w:rPr>
                <w:i/>
              </w:rPr>
              <w:t xml:space="preserve"> </w:t>
            </w:r>
            <w:r w:rsidR="005C5C0A" w:rsidRPr="009440BE">
              <w:t>(bruto 3600</w:t>
            </w:r>
            <w:r w:rsidR="00BD62F0">
              <w:t> </w:t>
            </w:r>
            <w:proofErr w:type="spellStart"/>
            <w:r w:rsidR="005C5C0A" w:rsidRPr="009440BE">
              <w:t>euro</w:t>
            </w:r>
            <w:proofErr w:type="spellEnd"/>
            <w:r w:rsidR="005C5C0A">
              <w:t>)</w:t>
            </w:r>
            <w:r w:rsidR="004428F0">
              <w:rPr>
                <w:i/>
              </w:rPr>
              <w:t>.</w:t>
            </w:r>
            <w:r w:rsidR="004428F0">
              <w:t xml:space="preserve"> Ievērojot minēto, normatīvo aktu iespēju robežās projekta darba grupai no augsti kvalificētiem IT speciālistiem nosakāms iespējami augsts atalgojums, lai vispār nepieciešamos speciālistus Uzņēmumu reģistrs spētu piesaistīt. </w:t>
            </w:r>
            <w:r w:rsidR="008C2F68">
              <w:t>Tāpat, ņemot vērā, ka Uzņēmumu reģistram šobrīd nav pieejams ne tehniskais nodrošinājums, ne atbilstoši aprīkotas darba vietas, nepieciešama arī minēto pozīciju iegāde, lai nodrošinātu projekta grupai atbilstošas iespējas izpildīt uzdevumu.</w:t>
            </w:r>
          </w:p>
          <w:p w:rsidR="00F910C5" w:rsidRDefault="004428F0" w:rsidP="004428F0">
            <w:pPr>
              <w:ind w:firstLine="720"/>
              <w:jc w:val="both"/>
            </w:pPr>
            <w:r>
              <w:t>Projektējot un izstrādājot jebkuru jaunu informācijas un komunikāciju tehnoloģiju (turpmāk – IKT)</w:t>
            </w:r>
            <w:r w:rsidRPr="004428F0">
              <w:t xml:space="preserve"> risinājumu datu nodošanai, ir būtiski to integrēt jau esošajās sistēmās, lai nodrošinātu, ka jaunais risi</w:t>
            </w:r>
            <w:r>
              <w:t>nājums sadarbojas ar esošajām informācijas sistēmām</w:t>
            </w:r>
            <w:r w:rsidRPr="004428F0">
              <w:t xml:space="preserve"> un ka jaunā risinājuma ģenerētajiem datiem var uzticēties. </w:t>
            </w:r>
            <w:r>
              <w:t xml:space="preserve">Ievērojot minēto, </w:t>
            </w:r>
            <w:r w:rsidR="005F1BC2">
              <w:t xml:space="preserve">projekta realizācija nav iespējama bez </w:t>
            </w:r>
            <w:r w:rsidR="00F910C5">
              <w:t>Uzņēmumu reģistra Informācijas sistēmu attīstības un atbalsta nodaļas un Funkciju vadības nodaļas nodarbināto</w:t>
            </w:r>
            <w:r w:rsidR="005F1BC2">
              <w:t xml:space="preserve"> iesaistes. Uzņēmumu reģistra nodarbināto loma </w:t>
            </w:r>
            <w:r w:rsidR="0095153E">
              <w:t>projektā būs atbalsta sniegšana</w:t>
            </w:r>
            <w:r w:rsidR="00F910C5">
              <w:t xml:space="preserve"> projekta grupai, lai varētu veikt kvalitatīvu sistēmu savietojamību. </w:t>
            </w:r>
            <w:r>
              <w:t xml:space="preserve">Funkciju vadības nodaļas </w:t>
            </w:r>
            <w:r w:rsidRPr="004428F0">
              <w:t xml:space="preserve">speciālistu iesaiste projektā ir kritiska, jo minētie speciālisti projektā nodrošinās zināšanas par </w:t>
            </w:r>
            <w:r>
              <w:t>Uzņēmumu reģistra informācijas sistēmas</w:t>
            </w:r>
            <w:r w:rsidRPr="004428F0">
              <w:t xml:space="preserve"> procesu uzbūvi, datu struktūru un savstarpējo saistību, savukārt</w:t>
            </w:r>
            <w:r>
              <w:t xml:space="preserve"> Informācijas sistēmu attīstības un atbalsta nodaļas</w:t>
            </w:r>
            <w:r w:rsidRPr="004428F0">
              <w:t xml:space="preserve"> speciālisti pārzina, kā minētie procesi tiek nodrošināti tehniski</w:t>
            </w:r>
            <w:r>
              <w:t>, atbild par Uzņēmumu reģistra informācijas sistēmas drošības prasību ievērošanu</w:t>
            </w:r>
            <w:r w:rsidRPr="004428F0">
              <w:t xml:space="preserve">, un attiecīgi, arī </w:t>
            </w:r>
            <w:r>
              <w:t>informācijas izsniegšanas pilnveides</w:t>
            </w:r>
            <w:r w:rsidRPr="004428F0">
              <w:t xml:space="preserve"> procesā tiek plānota iepriekš minēto speciālistu iesaiste pēc vajadzības visā projekta īstenošanas laikā.</w:t>
            </w:r>
            <w:r>
              <w:t xml:space="preserve"> </w:t>
            </w:r>
            <w:r w:rsidR="00F910C5">
              <w:t xml:space="preserve">Juridiskās nodaļas </w:t>
            </w:r>
            <w:r>
              <w:t>nodarbinātajam savukārt</w:t>
            </w:r>
            <w:r w:rsidR="00F910C5">
              <w:t xml:space="preserve"> </w:t>
            </w:r>
            <w:r>
              <w:t>jākontrolē sistēmas atbilstība normatīvajiem aktiem, tai skaitā Direktīvai 2015/84, likumprojektam</w:t>
            </w:r>
            <w:r w:rsidRPr="004428F0">
              <w:t xml:space="preserve"> "Grozījumi Noziedzīgi iegūtu līdzekļu legalizācijas un terorisma finansēšanas novēršanas likumā"</w:t>
            </w:r>
            <w:r>
              <w:t xml:space="preserve">, kad tas tiks pieņemts Latvijas Republikas Saeimā un </w:t>
            </w:r>
            <w:proofErr w:type="spellStart"/>
            <w:r w:rsidRPr="00C03BEB">
              <w:rPr>
                <w:i/>
              </w:rPr>
              <w:t>Moneyval</w:t>
            </w:r>
            <w:proofErr w:type="spellEnd"/>
            <w:r>
              <w:t xml:space="preserve"> prasībām. </w:t>
            </w:r>
            <w:r w:rsidR="00F910C5">
              <w:t>Galvenā valsts notāra vietniekam funkciju jautājumos visa projekta īstenošanas laikā būs paaugstināta darba intensitāte un</w:t>
            </w:r>
            <w:r>
              <w:t xml:space="preserve"> atbildība, nodrošinot </w:t>
            </w:r>
            <w:r w:rsidR="00F910C5">
              <w:t xml:space="preserve">būtisku Uzņēmumu reģistram un visai valstij nepieciešama stratēģiski svarīga mērķa sasniegšanu. Galvenā valsts notāra vietnieks funkciju jautājumos </w:t>
            </w:r>
            <w:r>
              <w:t xml:space="preserve">uzraudzīs visu projektu kopumā - </w:t>
            </w:r>
            <w:r w:rsidR="00F910C5">
              <w:t>sekos līdzi projekta procesu laicīgai un kvalitatīvai izpildei.</w:t>
            </w:r>
          </w:p>
          <w:p w:rsidR="001432FB" w:rsidRPr="007442E1" w:rsidRDefault="005F1BC2" w:rsidP="005F1BC2">
            <w:pPr>
              <w:ind w:firstLine="720"/>
              <w:jc w:val="both"/>
            </w:pPr>
            <w:r w:rsidRPr="007442E1">
              <w:rPr>
                <w:b/>
              </w:rPr>
              <w:t>D</w:t>
            </w:r>
            <w:r w:rsidR="008C605B" w:rsidRPr="007442E1">
              <w:rPr>
                <w:b/>
              </w:rPr>
              <w:t xml:space="preserve">atu izplatīšanas </w:t>
            </w:r>
            <w:r w:rsidRPr="007442E1">
              <w:rPr>
                <w:b/>
              </w:rPr>
              <w:t xml:space="preserve">sistēmas </w:t>
            </w:r>
            <w:r w:rsidR="008C605B" w:rsidRPr="007442E1">
              <w:rPr>
                <w:b/>
              </w:rPr>
              <w:t>izstrādei, pamatojoties uz p</w:t>
            </w:r>
            <w:r w:rsidR="00B405F2" w:rsidRPr="007442E1">
              <w:rPr>
                <w:b/>
              </w:rPr>
              <w:t>iedāvāto risinājuma variantu, Uzņēmumu reģistram</w:t>
            </w:r>
            <w:r w:rsidR="008C605B" w:rsidRPr="007442E1">
              <w:rPr>
                <w:b/>
              </w:rPr>
              <w:t xml:space="preserve"> papildus ir nepieciešami </w:t>
            </w:r>
            <w:r w:rsidR="00972241">
              <w:rPr>
                <w:b/>
              </w:rPr>
              <w:t>4</w:t>
            </w:r>
            <w:r w:rsidR="007B7B5B">
              <w:rPr>
                <w:b/>
              </w:rPr>
              <w:t>98163</w:t>
            </w:r>
            <w:r w:rsidR="00BD62F0" w:rsidRPr="003F3CA0">
              <w:rPr>
                <w:b/>
              </w:rPr>
              <w:t> </w:t>
            </w:r>
            <w:proofErr w:type="spellStart"/>
            <w:r w:rsidR="008C605B" w:rsidRPr="003F3CA0">
              <w:rPr>
                <w:b/>
                <w:i/>
              </w:rPr>
              <w:t>euro</w:t>
            </w:r>
            <w:proofErr w:type="spellEnd"/>
            <w:r w:rsidR="008C605B" w:rsidRPr="003F3CA0">
              <w:t>, t.sk. 2017.</w:t>
            </w:r>
            <w:r w:rsidR="00675A39" w:rsidRPr="003F3CA0">
              <w:t> </w:t>
            </w:r>
            <w:r w:rsidR="008C605B" w:rsidRPr="003F3CA0">
              <w:t>gadā –</w:t>
            </w:r>
            <w:r w:rsidR="003F3CA0">
              <w:t xml:space="preserve"> </w:t>
            </w:r>
            <w:r w:rsidR="003F3CA0" w:rsidRPr="003F3CA0">
              <w:t>3</w:t>
            </w:r>
            <w:r w:rsidR="007B7B5B">
              <w:t>72277</w:t>
            </w:r>
            <w:r w:rsidR="00BD62F0" w:rsidRPr="003F3CA0">
              <w:t> </w:t>
            </w:r>
            <w:proofErr w:type="spellStart"/>
            <w:r w:rsidR="008C605B" w:rsidRPr="003F3CA0">
              <w:rPr>
                <w:i/>
              </w:rPr>
              <w:t>euro</w:t>
            </w:r>
            <w:proofErr w:type="spellEnd"/>
            <w:r w:rsidR="00E93E58" w:rsidRPr="003F3CA0">
              <w:t>,</w:t>
            </w:r>
            <w:r w:rsidR="008C605B" w:rsidRPr="003F3CA0">
              <w:t xml:space="preserve"> 2018.</w:t>
            </w:r>
            <w:r w:rsidR="00675A39" w:rsidRPr="003F3CA0">
              <w:t> </w:t>
            </w:r>
            <w:r w:rsidR="008C605B" w:rsidRPr="003F3CA0">
              <w:t>gadā</w:t>
            </w:r>
            <w:r w:rsidR="00DF6F72" w:rsidRPr="003F3CA0">
              <w:t xml:space="preserve"> no 1.</w:t>
            </w:r>
            <w:r w:rsidR="00BD62F0" w:rsidRPr="003F3CA0">
              <w:t> </w:t>
            </w:r>
            <w:r w:rsidR="00DF6F72" w:rsidRPr="003F3CA0">
              <w:t>janvāra līdz 31.</w:t>
            </w:r>
            <w:r w:rsidR="0095153E" w:rsidRPr="003F3CA0">
              <w:t> </w:t>
            </w:r>
            <w:r w:rsidR="00972241">
              <w:t>martam</w:t>
            </w:r>
            <w:r w:rsidR="00DF6F72" w:rsidRPr="003F3CA0">
              <w:t xml:space="preserve"> </w:t>
            </w:r>
            <w:r w:rsidR="00972241" w:rsidRPr="00972241">
              <w:t>125886</w:t>
            </w:r>
            <w:r w:rsidR="003F3CA0" w:rsidRPr="00972241">
              <w:t xml:space="preserve"> </w:t>
            </w:r>
            <w:proofErr w:type="spellStart"/>
            <w:r w:rsidR="00DF6F72" w:rsidRPr="003F3CA0">
              <w:rPr>
                <w:i/>
              </w:rPr>
              <w:t>euro</w:t>
            </w:r>
            <w:proofErr w:type="spellEnd"/>
            <w:r w:rsidRPr="003F3CA0">
              <w:rPr>
                <w:i/>
              </w:rPr>
              <w:t>.</w:t>
            </w:r>
            <w:r>
              <w:rPr>
                <w:i/>
              </w:rPr>
              <w:t xml:space="preserve"> </w:t>
            </w:r>
          </w:p>
          <w:p w:rsidR="008C605B" w:rsidRPr="00B405F2" w:rsidRDefault="001432FB" w:rsidP="005F1BC2">
            <w:pPr>
              <w:ind w:firstLine="720"/>
              <w:jc w:val="both"/>
            </w:pPr>
            <w:r>
              <w:t>Papildus j</w:t>
            </w:r>
            <w:r w:rsidR="005F1BC2">
              <w:t xml:space="preserve">āņem vērā, ka Uzņēmumu reģistram būs jānodrošina </w:t>
            </w:r>
            <w:r>
              <w:t xml:space="preserve">izstrādātā </w:t>
            </w:r>
            <w:r w:rsidR="005F1BC2">
              <w:t>risinājuma uzturēšana</w:t>
            </w:r>
            <w:r w:rsidR="00BD62F0">
              <w:t>,</w:t>
            </w:r>
            <w:r>
              <w:t xml:space="preserve"> un tāpēc ir nepieciešams, ka </w:t>
            </w:r>
            <w:r w:rsidR="00B17582">
              <w:t xml:space="preserve">ar </w:t>
            </w:r>
            <w:r>
              <w:t>atsevišķi</w:t>
            </w:r>
            <w:r w:rsidR="00B17582">
              <w:t>em</w:t>
            </w:r>
            <w:r>
              <w:t xml:space="preserve"> projekta ieviešanas komandas dalībnieki</w:t>
            </w:r>
            <w:r w:rsidR="00B17582">
              <w:t>em darba attiecības netiek izbeigtas 2018.</w:t>
            </w:r>
            <w:r w:rsidR="00BD62F0">
              <w:t> </w:t>
            </w:r>
            <w:r w:rsidR="00B17582">
              <w:t>gada 31.</w:t>
            </w:r>
            <w:r w:rsidR="00BD62F0">
              <w:t> </w:t>
            </w:r>
            <w:r w:rsidR="00B17582">
              <w:t>martā, bet tie tiek algoti uzturēšanas darbību veikšanai</w:t>
            </w:r>
            <w:r w:rsidR="005F1BC2">
              <w:t xml:space="preserve">. </w:t>
            </w:r>
            <w:r w:rsidR="00684BEC">
              <w:t>Darbinieki, kuru pienākums būtu uzturēt izstrādāto risinājumu no 2018.</w:t>
            </w:r>
            <w:r w:rsidR="00BD62F0">
              <w:t> </w:t>
            </w:r>
            <w:r w:rsidR="00684BEC">
              <w:t>gada 1.</w:t>
            </w:r>
            <w:r w:rsidR="00BD62F0">
              <w:t> </w:t>
            </w:r>
            <w:r w:rsidR="00684BEC">
              <w:t>aprīļa līdz 31.</w:t>
            </w:r>
            <w:r w:rsidR="00BD62F0">
              <w:t> </w:t>
            </w:r>
            <w:r w:rsidR="00684BEC">
              <w:t>decembrim, ir nepieciešami, jo tiek izstrādāts jauns tehniskais risinājums, kura uzturēšana nav paredzēta esošajā Uzņēmumu reģistra informācijas sistēmas uzturēšanas ārpakalpojuma līgumā. Minētais uzturēšanas ārpakalpojuma līgums beidzas 2018.</w:t>
            </w:r>
            <w:r w:rsidR="00BD62F0">
              <w:t> </w:t>
            </w:r>
            <w:r w:rsidR="00684BEC">
              <w:t>gada beigās. No 2019.</w:t>
            </w:r>
            <w:r w:rsidR="00BD62F0">
              <w:t> </w:t>
            </w:r>
            <w:r w:rsidR="00684BEC">
              <w:t>gada Uzņēmumu reģistra informācijas sistēmas uzturēšana, t.sk. jaunizstrādātais datu izplatīšanas tehniskais risinājums tiks uzturēts</w:t>
            </w:r>
            <w:r w:rsidR="005D7BD2">
              <w:t>,</w:t>
            </w:r>
            <w:r w:rsidR="00DF6F72">
              <w:t xml:space="preserve"> saskaņā ar Uzņēmumu reģistra informācijas sistēm</w:t>
            </w:r>
            <w:r w:rsidR="00D33F64">
              <w:t>as</w:t>
            </w:r>
            <w:r w:rsidR="00DF6F72">
              <w:t xml:space="preserve"> </w:t>
            </w:r>
            <w:r w:rsidR="00816BC0">
              <w:t xml:space="preserve">moduļu </w:t>
            </w:r>
            <w:r w:rsidR="00DF6F72">
              <w:t>uzturēšanas stratēģiju</w:t>
            </w:r>
            <w:r w:rsidR="00684BEC">
              <w:t>.</w:t>
            </w:r>
            <w:r w:rsidR="003F2895">
              <w:t xml:space="preserve"> </w:t>
            </w:r>
            <w:r w:rsidR="005E3A22" w:rsidRPr="00665901">
              <w:t>Atbilstoši normatīvajam regulējumam informācijas izsniegšana no reģistriem ir maksas pakalpojums. Arī šajā gadījumā klienti nebūs atbrīvoti no maksas</w:t>
            </w:r>
            <w:r w:rsidR="00BD62F0">
              <w:t>,</w:t>
            </w:r>
            <w:r w:rsidR="005E3A22" w:rsidRPr="00665901">
              <w:t xml:space="preserve"> un līdz ar to f</w:t>
            </w:r>
            <w:r w:rsidR="003F2895" w:rsidRPr="00665901">
              <w:t>inansējums datu izplatīšanas risinājuma uzturēšanai tiks segts no informācijas sniegšanas pakalpojumu maksām.</w:t>
            </w:r>
            <w:r>
              <w:t xml:space="preserve"> Ņemot vērā iepriekš min</w:t>
            </w:r>
            <w:r w:rsidR="00B17582">
              <w:t>ēto,</w:t>
            </w:r>
            <w:r w:rsidR="00B17582" w:rsidRPr="00B17582">
              <w:t xml:space="preserve"> lai nodrošinātu informācijas sistēmas uzturēšanu un pilnveidošanu 2018.</w:t>
            </w:r>
            <w:r w:rsidR="00BD62F0">
              <w:t> </w:t>
            </w:r>
            <w:r w:rsidR="00B17582" w:rsidRPr="00B17582">
              <w:t>gadā no 1.</w:t>
            </w:r>
            <w:r w:rsidR="00BD62F0">
              <w:t> </w:t>
            </w:r>
            <w:r w:rsidR="00B17582" w:rsidRPr="00B17582">
              <w:t>aprīļa līdz 31.</w:t>
            </w:r>
            <w:r w:rsidR="00BD62F0">
              <w:t> </w:t>
            </w:r>
            <w:r w:rsidR="00B17582" w:rsidRPr="00B17582">
              <w:t>decembrim</w:t>
            </w:r>
            <w:r w:rsidR="00B17582">
              <w:t xml:space="preserve"> Uzņēmumu reģistram būs nepieciešams finansējums</w:t>
            </w:r>
            <w:r w:rsidR="00B17582" w:rsidRPr="00B17582">
              <w:t xml:space="preserve"> </w:t>
            </w:r>
            <w:r w:rsidR="00972241">
              <w:t>85</w:t>
            </w:r>
            <w:r w:rsidR="00972241" w:rsidRPr="00972241">
              <w:t>351</w:t>
            </w:r>
            <w:r w:rsidR="00972241">
              <w:t xml:space="preserve"> </w:t>
            </w:r>
            <w:proofErr w:type="spellStart"/>
            <w:r w:rsidR="00B17582" w:rsidRPr="00B17582">
              <w:rPr>
                <w:i/>
              </w:rPr>
              <w:t>euro</w:t>
            </w:r>
            <w:proofErr w:type="spellEnd"/>
            <w:r w:rsidR="00B17582" w:rsidRPr="00B17582">
              <w:t xml:space="preserve"> </w:t>
            </w:r>
            <w:r w:rsidR="00B17582">
              <w:t>apmērā</w:t>
            </w:r>
            <w:r w:rsidR="00B17582" w:rsidRPr="00B17582">
              <w:t>.</w:t>
            </w:r>
          </w:p>
          <w:p w:rsidR="00243154" w:rsidRPr="008C605B" w:rsidRDefault="00F910C5" w:rsidP="00B17582">
            <w:pPr>
              <w:ind w:firstLine="720"/>
              <w:jc w:val="both"/>
              <w:rPr>
                <w:color w:val="FF0000"/>
              </w:rPr>
            </w:pPr>
            <w:r w:rsidRPr="00A30EFD">
              <w:t>Ievērojot iepriekš minēto secināms, ka</w:t>
            </w:r>
            <w:r w:rsidR="008C605B" w:rsidRPr="00A30EFD">
              <w:t xml:space="preserve"> vienīgais iespējamais v</w:t>
            </w:r>
            <w:r w:rsidR="00E535D1" w:rsidRPr="00A30EFD">
              <w:t>e</w:t>
            </w:r>
            <w:r w:rsidR="008C605B" w:rsidRPr="00A30EFD">
              <w:t xml:space="preserve">ids </w:t>
            </w:r>
            <w:r w:rsidRPr="00A30EFD">
              <w:t xml:space="preserve">kā savlaicīgi novērst riskus attiecībā uz Direktīvas 2015/849 un </w:t>
            </w:r>
            <w:proofErr w:type="spellStart"/>
            <w:r w:rsidRPr="00C03BEB">
              <w:rPr>
                <w:i/>
              </w:rPr>
              <w:t>Moneyval</w:t>
            </w:r>
            <w:proofErr w:type="spellEnd"/>
            <w:r w:rsidRPr="00A30EFD">
              <w:t xml:space="preserve"> prasību neizpildi saistībā ar informācijas, kas nepieciešama patiesā labuma guvēju noskaidrošanai</w:t>
            </w:r>
            <w:r w:rsidR="00A30EFD">
              <w:t>,</w:t>
            </w:r>
            <w:r w:rsidRPr="00A30EFD">
              <w:t xml:space="preserve"> pieejamības nodrošināšanu</w:t>
            </w:r>
            <w:r w:rsidR="00B17582" w:rsidRPr="00A30EFD">
              <w:t>,</w:t>
            </w:r>
            <w:r w:rsidRPr="00A30EFD">
              <w:t xml:space="preserve"> ir </w:t>
            </w:r>
            <w:r w:rsidR="008C605B" w:rsidRPr="00387FB2">
              <w:t>iegūt nepieciešamos līdzekļus</w:t>
            </w:r>
            <w:r w:rsidR="00B405F2" w:rsidRPr="008674C0">
              <w:t xml:space="preserve"> Uzņēmumu reģistra </w:t>
            </w:r>
            <w:r w:rsidR="00B17582" w:rsidRPr="00A30EFD">
              <w:t>datu izplatīšanas risinājuma izstrādei</w:t>
            </w:r>
            <w:r w:rsidRPr="00A30EFD">
              <w:t xml:space="preserve"> </w:t>
            </w:r>
            <w:r w:rsidR="008C605B" w:rsidRPr="00A30EFD">
              <w:t>no līdzekļ</w:t>
            </w:r>
            <w:r w:rsidR="00B405F2" w:rsidRPr="00A30EFD">
              <w:t>iem neparedzētiem gadījumiem</w:t>
            </w:r>
            <w:r w:rsidR="009039C2" w:rsidRPr="00A30EFD">
              <w:t xml:space="preserve"> uz laiku, darbu veikšanai, piesaistot augsti kvalificētus speciālistus kā Uzņēmumu reģistra darbiniekus</w:t>
            </w:r>
            <w:r w:rsidR="005C5C0A" w:rsidRPr="00A30EFD">
              <w:t>, savukārt jautājumu par papildus nepieciešamo finansējumu 2018.</w:t>
            </w:r>
            <w:r w:rsidR="00A30EFD">
              <w:t> </w:t>
            </w:r>
            <w:r w:rsidR="005C5C0A" w:rsidRPr="00A30EFD">
              <w:t>gadam, risināt likumprojekt</w:t>
            </w:r>
            <w:r w:rsidR="00A30EFD">
              <w:t>a</w:t>
            </w:r>
            <w:r w:rsidR="005C5C0A" w:rsidRPr="00A30EFD">
              <w:t xml:space="preserve"> "Par valsts budžetu 2018.</w:t>
            </w:r>
            <w:r w:rsidR="00A30EFD">
              <w:t> </w:t>
            </w:r>
            <w:r w:rsidR="005C5C0A" w:rsidRPr="00A30EFD">
              <w:t xml:space="preserve">gadam" un </w:t>
            </w:r>
            <w:r w:rsidR="00A30EFD">
              <w:t xml:space="preserve">likumprojekta </w:t>
            </w:r>
            <w:r w:rsidR="005C5C0A" w:rsidRPr="00A30EFD">
              <w:t>"Par vidēja termiņa budžeta ietvaru 2018., 2019. un 2020.</w:t>
            </w:r>
            <w:r w:rsidR="00A30EFD">
              <w:t> </w:t>
            </w:r>
            <w:r w:rsidR="005C5C0A" w:rsidRPr="00A30EFD">
              <w:t>gadam" izstrādāšanas laikā.</w:t>
            </w:r>
          </w:p>
        </w:tc>
      </w:tr>
      <w:tr w:rsidR="00336064" w:rsidTr="00C03BEB">
        <w:tc>
          <w:tcPr>
            <w:tcW w:w="302" w:type="pct"/>
            <w:tcBorders>
              <w:top w:val="single" w:sz="4" w:space="0" w:color="auto"/>
              <w:left w:val="single" w:sz="4" w:space="0" w:color="auto"/>
              <w:bottom w:val="single" w:sz="4" w:space="0" w:color="auto"/>
              <w:right w:val="single" w:sz="4" w:space="0" w:color="auto"/>
            </w:tcBorders>
          </w:tcPr>
          <w:p w:rsidR="00336064" w:rsidRDefault="00AC7A55" w:rsidP="00336064">
            <w:pPr>
              <w:snapToGrid w:val="0"/>
            </w:pPr>
            <w:r>
              <w:lastRenderedPageBreak/>
              <w:t>3</w:t>
            </w:r>
            <w:r w:rsidR="00336064">
              <w:t>.</w:t>
            </w:r>
          </w:p>
        </w:tc>
        <w:tc>
          <w:tcPr>
            <w:tcW w:w="925" w:type="pct"/>
            <w:tcBorders>
              <w:top w:val="single" w:sz="4" w:space="0" w:color="auto"/>
              <w:left w:val="single" w:sz="4" w:space="0" w:color="auto"/>
              <w:bottom w:val="single" w:sz="4" w:space="0" w:color="auto"/>
              <w:right w:val="single" w:sz="4" w:space="0" w:color="auto"/>
            </w:tcBorders>
          </w:tcPr>
          <w:p w:rsidR="00336064" w:rsidRPr="00212DD3" w:rsidRDefault="00336064" w:rsidP="00336064">
            <w:pPr>
              <w:snapToGrid w:val="0"/>
            </w:pPr>
            <w:r w:rsidRPr="00212DD3">
              <w:t>Projekta izstrādē iesaistītās institūcijas</w:t>
            </w:r>
          </w:p>
        </w:tc>
        <w:tc>
          <w:tcPr>
            <w:tcW w:w="3773" w:type="pct"/>
            <w:tcBorders>
              <w:top w:val="single" w:sz="4" w:space="0" w:color="auto"/>
              <w:left w:val="single" w:sz="4" w:space="0" w:color="auto"/>
              <w:bottom w:val="single" w:sz="4" w:space="0" w:color="auto"/>
              <w:right w:val="single" w:sz="4" w:space="0" w:color="auto"/>
            </w:tcBorders>
          </w:tcPr>
          <w:p w:rsidR="00336064" w:rsidRPr="00212DD3" w:rsidRDefault="00BE6CB5" w:rsidP="00FB50C1">
            <w:pPr>
              <w:snapToGrid w:val="0"/>
              <w:ind w:firstLine="405"/>
              <w:jc w:val="both"/>
            </w:pPr>
            <w:r>
              <w:t>Tieslietu ministrija (Uzņēmumu reģistrs).</w:t>
            </w:r>
          </w:p>
        </w:tc>
      </w:tr>
      <w:tr w:rsidR="00336064" w:rsidTr="00C03BEB">
        <w:trPr>
          <w:trHeight w:val="576"/>
        </w:trPr>
        <w:tc>
          <w:tcPr>
            <w:tcW w:w="302" w:type="pct"/>
            <w:tcBorders>
              <w:top w:val="single" w:sz="4" w:space="0" w:color="auto"/>
              <w:left w:val="single" w:sz="4" w:space="0" w:color="auto"/>
              <w:bottom w:val="single" w:sz="4" w:space="0" w:color="auto"/>
              <w:right w:val="single" w:sz="4" w:space="0" w:color="auto"/>
            </w:tcBorders>
          </w:tcPr>
          <w:p w:rsidR="00336064" w:rsidRDefault="00AC7A55" w:rsidP="00336064">
            <w:pPr>
              <w:snapToGrid w:val="0"/>
            </w:pPr>
            <w:r>
              <w:t>4</w:t>
            </w:r>
            <w:r w:rsidR="00336064">
              <w:t>.</w:t>
            </w:r>
          </w:p>
        </w:tc>
        <w:tc>
          <w:tcPr>
            <w:tcW w:w="925" w:type="pct"/>
            <w:tcBorders>
              <w:top w:val="single" w:sz="4" w:space="0" w:color="auto"/>
              <w:left w:val="single" w:sz="4" w:space="0" w:color="auto"/>
              <w:bottom w:val="single" w:sz="4" w:space="0" w:color="auto"/>
              <w:right w:val="single" w:sz="4" w:space="0" w:color="auto"/>
            </w:tcBorders>
          </w:tcPr>
          <w:p w:rsidR="00336064" w:rsidRPr="00212DD3" w:rsidRDefault="00336064" w:rsidP="00336064">
            <w:pPr>
              <w:snapToGrid w:val="0"/>
            </w:pPr>
            <w:r w:rsidRPr="00212DD3">
              <w:t>Cita informācija</w:t>
            </w:r>
          </w:p>
        </w:tc>
        <w:tc>
          <w:tcPr>
            <w:tcW w:w="3773" w:type="pct"/>
            <w:tcBorders>
              <w:top w:val="single" w:sz="4" w:space="0" w:color="auto"/>
              <w:left w:val="single" w:sz="4" w:space="0" w:color="auto"/>
              <w:bottom w:val="single" w:sz="4" w:space="0" w:color="auto"/>
              <w:right w:val="single" w:sz="4" w:space="0" w:color="auto"/>
            </w:tcBorders>
          </w:tcPr>
          <w:p w:rsidR="00336064" w:rsidRPr="00212DD3" w:rsidRDefault="00AC7A55" w:rsidP="00044410">
            <w:pPr>
              <w:snapToGrid w:val="0"/>
              <w:ind w:firstLine="405"/>
              <w:jc w:val="both"/>
              <w:rPr>
                <w:iCs/>
              </w:rPr>
            </w:pPr>
            <w:r w:rsidRPr="00212DD3">
              <w:rPr>
                <w:iCs/>
              </w:rPr>
              <w:t>Nav</w:t>
            </w:r>
            <w:r w:rsidR="00DE6D2C">
              <w:rPr>
                <w:iCs/>
              </w:rPr>
              <w:t>.</w:t>
            </w:r>
          </w:p>
        </w:tc>
      </w:tr>
    </w:tbl>
    <w:p w:rsidR="00BE6CB5" w:rsidRDefault="00BE6CB5"/>
    <w:tbl>
      <w:tblPr>
        <w:tblW w:w="5124" w:type="pct"/>
        <w:tblInd w:w="-254" w:type="dxa"/>
        <w:tblLayout w:type="fixed"/>
        <w:tblCellMar>
          <w:top w:w="30" w:type="dxa"/>
          <w:left w:w="30" w:type="dxa"/>
          <w:bottom w:w="30" w:type="dxa"/>
          <w:right w:w="30" w:type="dxa"/>
        </w:tblCellMar>
        <w:tblLook w:val="0000" w:firstRow="0" w:lastRow="0" w:firstColumn="0" w:lastColumn="0" w:noHBand="0" w:noVBand="0"/>
      </w:tblPr>
      <w:tblGrid>
        <w:gridCol w:w="2295"/>
        <w:gridCol w:w="1280"/>
        <w:gridCol w:w="1416"/>
        <w:gridCol w:w="1416"/>
        <w:gridCol w:w="1420"/>
        <w:gridCol w:w="1529"/>
      </w:tblGrid>
      <w:tr w:rsidR="0095153E" w:rsidRPr="0095153E" w:rsidTr="00463090">
        <w:tc>
          <w:tcPr>
            <w:tcW w:w="5000" w:type="pct"/>
            <w:gridSpan w:val="6"/>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rPr>
                <w:b/>
                <w:bCs/>
              </w:rPr>
            </w:pPr>
            <w:r w:rsidRPr="0095153E">
              <w:rPr>
                <w:b/>
              </w:rPr>
              <w:t>III. Tiesību akta projekta ietekme uz valsts budžetu un pašvaldību budžetiem</w:t>
            </w:r>
          </w:p>
        </w:tc>
      </w:tr>
      <w:tr w:rsidR="0095153E" w:rsidRPr="0095153E" w:rsidTr="00463090">
        <w:tc>
          <w:tcPr>
            <w:tcW w:w="1226" w:type="pct"/>
            <w:vMerge w:val="restar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rPr>
                <w:b/>
                <w:bCs/>
              </w:rPr>
            </w:pPr>
            <w:r w:rsidRPr="0095153E">
              <w:t>Rādītāji</w:t>
            </w:r>
          </w:p>
          <w:p w:rsidR="0095153E" w:rsidRPr="0095153E" w:rsidRDefault="0095153E" w:rsidP="0095153E">
            <w:pPr>
              <w:snapToGrid w:val="0"/>
              <w:jc w:val="center"/>
              <w:rPr>
                <w:b/>
                <w:bCs/>
              </w:rPr>
            </w:pPr>
          </w:p>
        </w:tc>
        <w:tc>
          <w:tcPr>
            <w:tcW w:w="1440" w:type="pct"/>
            <w:gridSpan w:val="2"/>
            <w:vMerge w:val="restar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rPr>
                <w:b/>
                <w:bCs/>
              </w:rPr>
            </w:pPr>
            <w:r w:rsidRPr="0095153E">
              <w:t>2017.</w:t>
            </w:r>
            <w:r w:rsidR="00A30EFD">
              <w:t> </w:t>
            </w:r>
            <w:r w:rsidRPr="0095153E">
              <w:t>gads</w:t>
            </w:r>
          </w:p>
          <w:p w:rsidR="0095153E" w:rsidRPr="0095153E" w:rsidRDefault="0095153E" w:rsidP="0095153E">
            <w:pPr>
              <w:snapToGrid w:val="0"/>
              <w:jc w:val="center"/>
              <w:rPr>
                <w:b/>
                <w:bCs/>
              </w:rPr>
            </w:pPr>
          </w:p>
        </w:tc>
        <w:tc>
          <w:tcPr>
            <w:tcW w:w="2333" w:type="pct"/>
            <w:gridSpan w:val="3"/>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Turpmākie trīs gadi (</w:t>
            </w:r>
            <w:proofErr w:type="spellStart"/>
            <w:r w:rsidRPr="0095153E">
              <w:rPr>
                <w:i/>
              </w:rPr>
              <w:t>euro</w:t>
            </w:r>
            <w:proofErr w:type="spellEnd"/>
            <w:r w:rsidRPr="0095153E">
              <w:t>)</w:t>
            </w:r>
          </w:p>
        </w:tc>
      </w:tr>
      <w:tr w:rsidR="0095153E" w:rsidRPr="0095153E" w:rsidTr="00463090">
        <w:tc>
          <w:tcPr>
            <w:tcW w:w="1226"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rPr>
                <w:b/>
                <w:bCs/>
                <w:sz w:val="20"/>
                <w:szCs w:val="20"/>
              </w:rPr>
            </w:pPr>
          </w:p>
        </w:tc>
        <w:tc>
          <w:tcPr>
            <w:tcW w:w="1440" w:type="pct"/>
            <w:gridSpan w:val="2"/>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rPr>
                <w:b/>
                <w:bCs/>
              </w:rPr>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rPr>
                <w:b/>
                <w:bCs/>
              </w:rPr>
            </w:pPr>
            <w:r w:rsidRPr="0095153E">
              <w:t>2018.</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rPr>
                <w:b/>
                <w:bCs/>
              </w:rPr>
            </w:pPr>
            <w:r w:rsidRPr="0095153E">
              <w:t>2019.</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rPr>
                <w:b/>
                <w:bCs/>
              </w:rPr>
            </w:pPr>
            <w:r w:rsidRPr="0095153E">
              <w:t>2020.</w:t>
            </w:r>
          </w:p>
        </w:tc>
      </w:tr>
      <w:tr w:rsidR="0095153E" w:rsidRPr="0095153E" w:rsidTr="00463090">
        <w:tc>
          <w:tcPr>
            <w:tcW w:w="1226"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rPr>
                <w:b/>
                <w:bCs/>
                <w:sz w:val="20"/>
                <w:szCs w:val="20"/>
              </w:rPr>
            </w:pP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saskaņā ar valsts budžetu kārtējam gadam</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izmaiņas kārtējā gadā, salīdzinot ar budžetu kārtējam gadam</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izmaiņas, salīdzinot ar kārtējo 2017.</w:t>
            </w:r>
            <w:r w:rsidR="00A30EFD">
              <w:t> </w:t>
            </w:r>
            <w:r w:rsidRPr="0095153E">
              <w:t>gadu</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izmaiņas, salīdzinot ar kārtējo 2017.</w:t>
            </w:r>
            <w:r w:rsidR="00A30EFD">
              <w:t> </w:t>
            </w:r>
            <w:r w:rsidRPr="0095153E">
              <w:t>gadu</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izmaiņas, salīdzinot ar kārtējo 2017.</w:t>
            </w:r>
            <w:r w:rsidR="00A30EFD">
              <w:t> </w:t>
            </w:r>
            <w:r w:rsidRPr="0095153E">
              <w:t>gadu</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1</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2</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3</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4</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5</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6</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1. Budžeta ieņēmumi:</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1.1. valsts pamatbudžets, tai skaitā ieņēmumi no maksas pakalpojumiem un citi pašu ieņēmumi</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1.2. valsts speciālais budžets</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1.3. pašvaldību budžets</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2. Budžeta izdevumi:</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1451A5" w:rsidP="001451A5">
            <w:pPr>
              <w:snapToGrid w:val="0"/>
              <w:spacing w:line="360" w:lineRule="auto"/>
              <w:jc w:val="center"/>
            </w:pPr>
            <w:r>
              <w:t>372277</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5C5C0A" w:rsidP="0095153E">
            <w:pPr>
              <w:snapToGrid w:val="0"/>
              <w:jc w:val="center"/>
            </w:pPr>
            <w:r>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2.1. valsts pamatbudžets</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1451A5" w:rsidP="0095153E">
            <w:pPr>
              <w:snapToGrid w:val="0"/>
              <w:spacing w:line="360" w:lineRule="auto"/>
              <w:jc w:val="center"/>
            </w:pPr>
            <w:r>
              <w:t>372277</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5C5C0A" w:rsidP="0095153E">
            <w:pPr>
              <w:snapToGrid w:val="0"/>
              <w:jc w:val="center"/>
            </w:pPr>
            <w:r>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2.2. valsts speciālais budžets</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 xml:space="preserve">2.3. pašvaldību budžets </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3. Finansiālā ietekme:</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 -</w:t>
            </w:r>
            <w:r w:rsidR="001451A5">
              <w:t>372277</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5C5C0A" w:rsidP="0095153E">
            <w:pPr>
              <w:snapToGrid w:val="0"/>
              <w:jc w:val="center"/>
            </w:pPr>
            <w:r>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3.1. valsts pamatbudžets</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 -</w:t>
            </w:r>
            <w:r w:rsidR="001451A5">
              <w:t>372277</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5C5C0A" w:rsidP="0095153E">
            <w:pPr>
              <w:snapToGrid w:val="0"/>
              <w:jc w:val="center"/>
            </w:pPr>
            <w:r>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3.2. speciālais budžets</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 xml:space="preserve">3.3. pašvaldību budžets </w:t>
            </w:r>
          </w:p>
        </w:tc>
        <w:tc>
          <w:tcPr>
            <w:tcW w:w="684"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spacing w:line="360" w:lineRule="auto"/>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rPr>
          <w:trHeight w:val="550"/>
        </w:trPr>
        <w:tc>
          <w:tcPr>
            <w:tcW w:w="1226" w:type="pct"/>
            <w:vMerge w:val="restar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4. Finanšu līdzekļi papildu izdevumu finansēšanai (kompensējošu izdevumu samazinājumu norāda ar "+" zīmi)</w:t>
            </w:r>
          </w:p>
          <w:p w:rsidR="0095153E" w:rsidRPr="0095153E" w:rsidRDefault="0095153E" w:rsidP="0095153E">
            <w:pPr>
              <w:snapToGrid w:val="0"/>
            </w:pPr>
          </w:p>
        </w:tc>
        <w:tc>
          <w:tcPr>
            <w:tcW w:w="684" w:type="pct"/>
            <w:vMerge w:val="restar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X</w:t>
            </w:r>
          </w:p>
          <w:p w:rsidR="0095153E" w:rsidRPr="0095153E" w:rsidRDefault="0095153E" w:rsidP="0095153E">
            <w:pPr>
              <w:snapToGrid w:val="0"/>
              <w:jc w:val="center"/>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1451A5" w:rsidP="0095153E">
            <w:pPr>
              <w:snapToGrid w:val="0"/>
              <w:spacing w:line="360" w:lineRule="auto"/>
              <w:jc w:val="center"/>
            </w:pPr>
            <w:r>
              <w:t>372277</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rPr>
                <w:sz w:val="20"/>
                <w:szCs w:val="20"/>
              </w:rPr>
            </w:pPr>
          </w:p>
        </w:tc>
        <w:tc>
          <w:tcPr>
            <w:tcW w:w="684"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rPr>
          <w:trHeight w:val="1001"/>
        </w:trPr>
        <w:tc>
          <w:tcPr>
            <w:tcW w:w="1226"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rPr>
                <w:sz w:val="20"/>
                <w:szCs w:val="20"/>
              </w:rPr>
            </w:pPr>
          </w:p>
        </w:tc>
        <w:tc>
          <w:tcPr>
            <w:tcW w:w="684"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5. Precizēta finansiālā ietekme:</w:t>
            </w:r>
          </w:p>
        </w:tc>
        <w:tc>
          <w:tcPr>
            <w:tcW w:w="684" w:type="pct"/>
            <w:vMerge w:val="restar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X</w:t>
            </w:r>
          </w:p>
          <w:p w:rsidR="0095153E" w:rsidRPr="0095153E" w:rsidRDefault="0095153E" w:rsidP="0095153E">
            <w:pPr>
              <w:snapToGrid w:val="0"/>
              <w:jc w:val="center"/>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5.1. valsts pamatbudžets</w:t>
            </w:r>
          </w:p>
        </w:tc>
        <w:tc>
          <w:tcPr>
            <w:tcW w:w="684"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5.2. speciālais budžets</w:t>
            </w:r>
          </w:p>
        </w:tc>
        <w:tc>
          <w:tcPr>
            <w:tcW w:w="684"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r w:rsidRPr="0095153E">
              <w:t xml:space="preserve">5.3. pašvaldību budžets </w:t>
            </w:r>
          </w:p>
        </w:tc>
        <w:tc>
          <w:tcPr>
            <w:tcW w:w="684" w:type="pct"/>
            <w:vMerge/>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7"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759"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c>
          <w:tcPr>
            <w:tcW w:w="818"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center"/>
            </w:pPr>
            <w:r w:rsidRPr="0095153E">
              <w:t>0</w:t>
            </w: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vAlign w:val="center"/>
          </w:tcPr>
          <w:p w:rsidR="0095153E" w:rsidRPr="0095153E" w:rsidRDefault="0095153E" w:rsidP="0095153E">
            <w:pPr>
              <w:snapToGrid w:val="0"/>
            </w:pPr>
            <w:r w:rsidRPr="0095153E">
              <w:t>6. Detalizēts ieņēmumu un izdevu</w:t>
            </w:r>
            <w:r w:rsidRPr="0095153E">
              <w:softHyphen/>
              <w:t>mu aprēķins (ja nepieciešams, detalizētu ieņēmumu un izdevumu aprēķinu var pievienot anotācijas pielikumā):</w:t>
            </w:r>
          </w:p>
        </w:tc>
        <w:tc>
          <w:tcPr>
            <w:tcW w:w="3774" w:type="pct"/>
            <w:gridSpan w:val="5"/>
            <w:vMerge w:val="restart"/>
            <w:tcBorders>
              <w:top w:val="single" w:sz="4" w:space="0" w:color="auto"/>
              <w:left w:val="single" w:sz="4" w:space="0" w:color="auto"/>
              <w:bottom w:val="single" w:sz="4" w:space="0" w:color="auto"/>
              <w:right w:val="single" w:sz="4" w:space="0" w:color="auto"/>
            </w:tcBorders>
            <w:vAlign w:val="center"/>
          </w:tcPr>
          <w:p w:rsidR="0095153E" w:rsidRDefault="0095153E" w:rsidP="0095153E">
            <w:pPr>
              <w:jc w:val="both"/>
            </w:pPr>
            <w:r>
              <w:t xml:space="preserve">Pasākuma īstenošanas nodrošināšanai uz noteikto laiku tiks izveidota Projektu nodaļa ar </w:t>
            </w:r>
            <w:r w:rsidR="00407932">
              <w:t>1</w:t>
            </w:r>
            <w:r w:rsidR="00E84CAF">
              <w:t>1</w:t>
            </w:r>
            <w:r w:rsidR="00BB2C52">
              <w:t> </w:t>
            </w:r>
            <w:r>
              <w:t>amata vietām (1</w:t>
            </w:r>
            <w:r w:rsidR="00BB2C52">
              <w:t> </w:t>
            </w:r>
            <w:r>
              <w:t>projektu vadītājs (nodaļas vadītājs), 2</w:t>
            </w:r>
            <w:r w:rsidR="00BB2C52">
              <w:t> </w:t>
            </w:r>
            <w:r>
              <w:t>biznesa sistēmu analītiķi, 2</w:t>
            </w:r>
            <w:r w:rsidR="00BB2C52">
              <w:t> </w:t>
            </w:r>
            <w:r>
              <w:t xml:space="preserve">sistēmanalītiķi, </w:t>
            </w:r>
            <w:r w:rsidR="003A2555">
              <w:t>6</w:t>
            </w:r>
            <w:r w:rsidR="00BB2C52">
              <w:t> </w:t>
            </w:r>
            <w:r>
              <w:t xml:space="preserve">programmētāji), savukārt informācijas sistēmu arhitekts un lietotāju saskarnes </w:t>
            </w:r>
            <w:r w:rsidRPr="00CA6274">
              <w:t>dizainers</w:t>
            </w:r>
            <w:r>
              <w:t>, ņemot vērā attiecīgo speciālistu iesaistes ilgumu, tiks piesaistīti, noslēdzot uzņēmuma līgumus:</w:t>
            </w:r>
          </w:p>
          <w:p w:rsidR="0095153E" w:rsidRPr="0095153E" w:rsidRDefault="0095153E" w:rsidP="0095153E">
            <w:pPr>
              <w:rPr>
                <w:b/>
              </w:rPr>
            </w:pPr>
            <w:r w:rsidRPr="0095153E">
              <w:rPr>
                <w:b/>
              </w:rPr>
              <w:t>Izmaksas 2017.</w:t>
            </w:r>
            <w:r w:rsidR="00A30EFD">
              <w:rPr>
                <w:b/>
              </w:rPr>
              <w:t> </w:t>
            </w:r>
            <w:r w:rsidRPr="0095153E">
              <w:rPr>
                <w:b/>
              </w:rPr>
              <w:t xml:space="preserve">gadā (no 1. aprīļa līdz 31. decembrim): </w:t>
            </w:r>
            <w:r w:rsidR="00740735">
              <w:rPr>
                <w:b/>
                <w:u w:val="single"/>
              </w:rPr>
              <w:t>372</w:t>
            </w:r>
            <w:r w:rsidR="00BB2C52">
              <w:rPr>
                <w:b/>
                <w:u w:val="single"/>
              </w:rPr>
              <w:t> </w:t>
            </w:r>
            <w:r w:rsidR="00740735">
              <w:rPr>
                <w:b/>
                <w:u w:val="single"/>
              </w:rPr>
              <w:t>277</w:t>
            </w:r>
            <w:r w:rsidR="00A30EFD">
              <w:rPr>
                <w:b/>
                <w:u w:val="single"/>
              </w:rPr>
              <w:t> </w:t>
            </w:r>
            <w:proofErr w:type="spellStart"/>
            <w:r w:rsidRPr="0095153E">
              <w:rPr>
                <w:b/>
                <w:i/>
                <w:u w:val="single"/>
              </w:rPr>
              <w:t>euro</w:t>
            </w:r>
            <w:proofErr w:type="spellEnd"/>
          </w:p>
          <w:p w:rsidR="0095153E" w:rsidRPr="0095153E" w:rsidRDefault="0095153E" w:rsidP="0095153E">
            <w:pPr>
              <w:jc w:val="both"/>
            </w:pPr>
            <w:r w:rsidRPr="0095153E">
              <w:t xml:space="preserve">Kopā: Atlīdzība (EKK 1000) – </w:t>
            </w:r>
            <w:r w:rsidR="00485429">
              <w:rPr>
                <w:b/>
              </w:rPr>
              <w:t>352</w:t>
            </w:r>
            <w:r w:rsidR="00BB2C52">
              <w:rPr>
                <w:b/>
              </w:rPr>
              <w:t> </w:t>
            </w:r>
            <w:r w:rsidR="00485429">
              <w:rPr>
                <w:b/>
              </w:rPr>
              <w:t>277</w:t>
            </w:r>
            <w:r w:rsidRPr="0095153E">
              <w:rPr>
                <w:b/>
                <w:i/>
              </w:rPr>
              <w:t>euro</w:t>
            </w:r>
            <w:r w:rsidRPr="0095153E">
              <w:t xml:space="preserve"> (t.sk. atalgojums </w:t>
            </w:r>
            <w:r w:rsidR="00A4104B">
              <w:t>2</w:t>
            </w:r>
            <w:r w:rsidR="00485429">
              <w:t>85</w:t>
            </w:r>
            <w:r w:rsidR="00BB2C52">
              <w:t> </w:t>
            </w:r>
            <w:r w:rsidR="00485429">
              <w:t>037</w:t>
            </w:r>
            <w:r w:rsidRPr="0095153E">
              <w:rPr>
                <w:i/>
              </w:rPr>
              <w:t>euro</w:t>
            </w:r>
            <w:r w:rsidRPr="0095153E">
              <w:t>, VSAOI</w:t>
            </w:r>
            <w:r w:rsidR="009039C2">
              <w:t xml:space="preserve"> 23.59</w:t>
            </w:r>
            <w:r w:rsidR="00A30EFD">
              <w:t> </w:t>
            </w:r>
            <w:r w:rsidR="009039C2">
              <w:t>%</w:t>
            </w:r>
            <w:r w:rsidR="00BB2C52">
              <w:t xml:space="preserve"> </w:t>
            </w:r>
            <w:r w:rsidRPr="0095153E">
              <w:t xml:space="preserve">– </w:t>
            </w:r>
            <w:r w:rsidR="00485429">
              <w:t>67</w:t>
            </w:r>
            <w:r w:rsidR="00BB2C52">
              <w:t> </w:t>
            </w:r>
            <w:r w:rsidR="00485429">
              <w:t>240</w:t>
            </w:r>
            <w:r w:rsidR="00A30EFD">
              <w:t> </w:t>
            </w:r>
            <w:proofErr w:type="spellStart"/>
            <w:r w:rsidRPr="0095153E">
              <w:rPr>
                <w:i/>
              </w:rPr>
              <w:t>euro</w:t>
            </w:r>
            <w:proofErr w:type="spellEnd"/>
            <w:r w:rsidRPr="0095153E">
              <w:t>):</w:t>
            </w:r>
          </w:p>
          <w:p w:rsidR="0095153E" w:rsidRPr="0095153E" w:rsidRDefault="0095153E" w:rsidP="0095153E">
            <w:pPr>
              <w:jc w:val="both"/>
            </w:pPr>
            <w:r w:rsidRPr="0095153E">
              <w:t>1.</w:t>
            </w:r>
            <w:r w:rsidR="00D31996">
              <w:t> </w:t>
            </w:r>
            <w:r w:rsidRPr="0095153E">
              <w:t xml:space="preserve">Atlīdzība (EKK 1000) </w:t>
            </w:r>
            <w:r w:rsidR="00A4527E">
              <w:t>2</w:t>
            </w:r>
            <w:r w:rsidR="00066229">
              <w:t>94</w:t>
            </w:r>
            <w:r w:rsidR="00BB2C52">
              <w:t> </w:t>
            </w:r>
            <w:r w:rsidR="00066229">
              <w:t>739</w:t>
            </w:r>
            <w:r w:rsidRPr="0095153E">
              <w:rPr>
                <w:i/>
              </w:rPr>
              <w:t>euro</w:t>
            </w:r>
            <w:r w:rsidRPr="0095153E">
              <w:t xml:space="preserve"> (t.sk. atalgojums </w:t>
            </w:r>
            <w:r w:rsidR="00066229">
              <w:t>238</w:t>
            </w:r>
            <w:r w:rsidR="00BB2C52">
              <w:t> </w:t>
            </w:r>
            <w:r w:rsidR="00066229">
              <w:t>481</w:t>
            </w:r>
            <w:r w:rsidRPr="0095153E">
              <w:rPr>
                <w:i/>
              </w:rPr>
              <w:t>euro</w:t>
            </w:r>
            <w:r w:rsidRPr="0095153E">
              <w:t>, VSAOI</w:t>
            </w:r>
            <w:r w:rsidR="00CB34EB">
              <w:t xml:space="preserve"> </w:t>
            </w:r>
            <w:r w:rsidR="00CB34EB">
              <w:rPr>
                <w:lang w:eastAsia="lv-LV"/>
              </w:rPr>
              <w:t>23.59</w:t>
            </w:r>
            <w:r w:rsidR="00A30EFD">
              <w:rPr>
                <w:lang w:eastAsia="lv-LV"/>
              </w:rPr>
              <w:t> </w:t>
            </w:r>
            <w:r w:rsidR="00CB34EB">
              <w:rPr>
                <w:lang w:eastAsia="lv-LV"/>
              </w:rPr>
              <w:t>%</w:t>
            </w:r>
            <w:r w:rsidR="00D31996">
              <w:rPr>
                <w:lang w:eastAsia="lv-LV"/>
              </w:rPr>
              <w:t xml:space="preserve"> </w:t>
            </w:r>
            <w:r w:rsidRPr="0095153E">
              <w:rPr>
                <w:b/>
              </w:rPr>
              <w:t>-</w:t>
            </w:r>
            <w:r w:rsidRPr="0095153E">
              <w:t xml:space="preserve"> </w:t>
            </w:r>
            <w:r w:rsidR="00066229">
              <w:t>56</w:t>
            </w:r>
            <w:r w:rsidR="00BB2C52">
              <w:t> </w:t>
            </w:r>
            <w:r w:rsidR="00066229">
              <w:t>258</w:t>
            </w:r>
            <w:r w:rsidRPr="0095153E">
              <w:rPr>
                <w:i/>
              </w:rPr>
              <w:t>euro</w:t>
            </w:r>
            <w:r w:rsidRPr="0095153E">
              <w:t>):</w:t>
            </w:r>
          </w:p>
          <w:p w:rsidR="0095153E" w:rsidRPr="00C03BEB" w:rsidRDefault="0095153E" w:rsidP="0095153E">
            <w:pPr>
              <w:jc w:val="both"/>
            </w:pPr>
            <w:r w:rsidRPr="0095153E">
              <w:t>1.1.</w:t>
            </w:r>
            <w:r w:rsidR="00D31996">
              <w:t> </w:t>
            </w:r>
            <w:r w:rsidRPr="0095153E">
              <w:t xml:space="preserve">Mēnešalga </w:t>
            </w:r>
            <w:r w:rsidR="00A30EFD">
              <w:t xml:space="preserve">– </w:t>
            </w:r>
            <w:r w:rsidRPr="0095153E">
              <w:t>projektu vadītājs (nodaļas vadītājs) un 2</w:t>
            </w:r>
            <w:r w:rsidR="00BB2C52">
              <w:t> </w:t>
            </w:r>
            <w:r w:rsidRPr="0095153E">
              <w:t>sistēmanalītiķi (19.4</w:t>
            </w:r>
            <w:r w:rsidR="00D31996">
              <w:t>. </w:t>
            </w:r>
            <w:r w:rsidRPr="0095153E">
              <w:t>amatu saimes V</w:t>
            </w:r>
            <w:r w:rsidR="00D31996">
              <w:t> </w:t>
            </w:r>
            <w:r w:rsidRPr="0095153E">
              <w:t>līmeņa 13. mēnešalgu grupa, 3. kategorija) 1917 </w:t>
            </w:r>
            <w:proofErr w:type="spellStart"/>
            <w:r w:rsidRPr="0095153E">
              <w:rPr>
                <w:i/>
              </w:rPr>
              <w:t>euro</w:t>
            </w:r>
            <w:proofErr w:type="spellEnd"/>
            <w:r w:rsidRPr="0095153E">
              <w:t>/</w:t>
            </w:r>
            <w:proofErr w:type="spellStart"/>
            <w:r w:rsidRPr="0095153E">
              <w:t>mēn</w:t>
            </w:r>
            <w:proofErr w:type="spellEnd"/>
            <w:r w:rsidRPr="0095153E">
              <w:t xml:space="preserve"> x 9 </w:t>
            </w:r>
            <w:proofErr w:type="spellStart"/>
            <w:r w:rsidRPr="0095153E">
              <w:t>mēn</w:t>
            </w:r>
            <w:proofErr w:type="spellEnd"/>
            <w:r w:rsidRPr="0095153E">
              <w:t>.</w:t>
            </w:r>
            <w:r w:rsidRPr="0095153E">
              <w:rPr>
                <w:i/>
              </w:rPr>
              <w:t xml:space="preserve"> </w:t>
            </w:r>
            <w:r w:rsidRPr="0095153E">
              <w:t>x 3 amata vietas = 51</w:t>
            </w:r>
            <w:r w:rsidR="00A30EFD">
              <w:t> </w:t>
            </w:r>
            <w:r w:rsidRPr="0095153E">
              <w:t>759</w:t>
            </w:r>
            <w:r w:rsidR="00A30EFD">
              <w:t> </w:t>
            </w:r>
            <w:proofErr w:type="spellStart"/>
            <w:r w:rsidRPr="0095153E">
              <w:rPr>
                <w:i/>
              </w:rPr>
              <w:t>euro</w:t>
            </w:r>
            <w:proofErr w:type="spellEnd"/>
            <w:r w:rsidR="00A30EFD">
              <w:t>;</w:t>
            </w:r>
          </w:p>
          <w:p w:rsidR="0095153E" w:rsidRPr="0095153E" w:rsidRDefault="0095153E" w:rsidP="0095153E">
            <w:pPr>
              <w:jc w:val="both"/>
            </w:pPr>
            <w:r w:rsidRPr="0095153E">
              <w:t>1.1.1.</w:t>
            </w:r>
            <w:r w:rsidR="00D31996">
              <w:t> </w:t>
            </w:r>
            <w:r w:rsidR="00602566" w:rsidRPr="0095153E">
              <w:t>Motivācijas piemaksa 40</w:t>
            </w:r>
            <w:r w:rsidR="00602566">
              <w:t> </w:t>
            </w:r>
            <w:r w:rsidR="00602566" w:rsidRPr="0095153E">
              <w:t>%</w:t>
            </w:r>
            <w:r w:rsidRPr="0095153E">
              <w:t xml:space="preserve"> apmērā no plānotās mēnešalgu kopsummas –</w:t>
            </w:r>
            <w:r w:rsidR="00BB2C52">
              <w:t xml:space="preserve"> </w:t>
            </w:r>
            <w:r w:rsidR="00E84CAF" w:rsidRPr="003F3CA0">
              <w:t>20</w:t>
            </w:r>
            <w:r w:rsidR="00BB2C52">
              <w:t> </w:t>
            </w:r>
            <w:r w:rsidR="00E84CAF" w:rsidRPr="003F3CA0">
              <w:t>704</w:t>
            </w:r>
            <w:r w:rsidR="00BB2C52">
              <w:t> </w:t>
            </w:r>
            <w:proofErr w:type="spellStart"/>
            <w:r w:rsidRPr="0095153E">
              <w:rPr>
                <w:i/>
              </w:rPr>
              <w:t>euro</w:t>
            </w:r>
            <w:proofErr w:type="spellEnd"/>
            <w:r w:rsidR="00A30EFD">
              <w:t>;</w:t>
            </w:r>
          </w:p>
          <w:p w:rsidR="0095153E" w:rsidRPr="00C03BEB" w:rsidRDefault="0095153E" w:rsidP="0095153E">
            <w:pPr>
              <w:jc w:val="both"/>
            </w:pPr>
            <w:r w:rsidRPr="0095153E">
              <w:t>1.2.</w:t>
            </w:r>
            <w:r w:rsidR="00D31996">
              <w:t> </w:t>
            </w:r>
            <w:r w:rsidRPr="0095153E">
              <w:t xml:space="preserve">Mēnešalga </w:t>
            </w:r>
            <w:r w:rsidR="00A30EFD">
              <w:t xml:space="preserve">– </w:t>
            </w:r>
            <w:r w:rsidR="00E84CAF">
              <w:t>6</w:t>
            </w:r>
            <w:r w:rsidR="00BB2C52">
              <w:t> </w:t>
            </w:r>
            <w:r w:rsidRPr="0095153E">
              <w:t>programmētāji, 2</w:t>
            </w:r>
            <w:r w:rsidR="00BB2C52">
              <w:t> </w:t>
            </w:r>
            <w:r w:rsidRPr="0095153E">
              <w:t>biznesa sistēmu analītiķi (</w:t>
            </w:r>
            <w:r w:rsidRPr="003F3CA0">
              <w:t>19.4</w:t>
            </w:r>
            <w:r w:rsidR="00D31996" w:rsidRPr="003F3CA0">
              <w:t>. </w:t>
            </w:r>
            <w:r w:rsidRPr="003F3CA0">
              <w:t xml:space="preserve">amatu saimes </w:t>
            </w:r>
            <w:r w:rsidR="00F70C57">
              <w:t>IV</w:t>
            </w:r>
            <w:r w:rsidR="00D31996" w:rsidRPr="003F3CA0">
              <w:t> </w:t>
            </w:r>
            <w:r w:rsidRPr="003F3CA0">
              <w:t>līmeņa</w:t>
            </w:r>
            <w:r w:rsidRPr="0095153E">
              <w:t xml:space="preserve"> </w:t>
            </w:r>
            <w:r w:rsidR="00E84CAF" w:rsidRPr="0095153E">
              <w:t>1</w:t>
            </w:r>
            <w:r w:rsidR="00E84CAF">
              <w:t>2</w:t>
            </w:r>
            <w:r w:rsidRPr="0095153E">
              <w:t>.</w:t>
            </w:r>
            <w:r w:rsidR="00D31996">
              <w:t> </w:t>
            </w:r>
            <w:r w:rsidRPr="0095153E">
              <w:t>mēnešalgu grupa, 3.</w:t>
            </w:r>
            <w:r w:rsidR="00D31996">
              <w:t> </w:t>
            </w:r>
            <w:r w:rsidRPr="0095153E">
              <w:t xml:space="preserve">kategorija) </w:t>
            </w:r>
            <w:r w:rsidR="00066229" w:rsidRPr="0095153E">
              <w:t>1</w:t>
            </w:r>
            <w:r w:rsidR="00066229">
              <w:t>647</w:t>
            </w:r>
            <w:r w:rsidRPr="0095153E">
              <w:rPr>
                <w:i/>
              </w:rPr>
              <w:t>euro</w:t>
            </w:r>
            <w:r w:rsidRPr="0095153E">
              <w:t>/</w:t>
            </w:r>
            <w:proofErr w:type="spellStart"/>
            <w:r w:rsidRPr="0095153E">
              <w:t>mēn</w:t>
            </w:r>
            <w:proofErr w:type="spellEnd"/>
            <w:r w:rsidRPr="0095153E">
              <w:t xml:space="preserve"> x 9</w:t>
            </w:r>
            <w:r w:rsidR="00D31996">
              <w:t> </w:t>
            </w:r>
            <w:proofErr w:type="spellStart"/>
            <w:r w:rsidRPr="0095153E">
              <w:t>mēn</w:t>
            </w:r>
            <w:proofErr w:type="spellEnd"/>
            <w:r w:rsidRPr="0095153E">
              <w:t>.</w:t>
            </w:r>
            <w:r w:rsidRPr="0095153E">
              <w:rPr>
                <w:i/>
              </w:rPr>
              <w:t xml:space="preserve"> </w:t>
            </w:r>
            <w:r w:rsidRPr="0095153E">
              <w:t xml:space="preserve">x </w:t>
            </w:r>
            <w:r w:rsidR="00E84CAF">
              <w:t>8</w:t>
            </w:r>
            <w:r w:rsidR="00407932" w:rsidRPr="0095153E">
              <w:t xml:space="preserve"> </w:t>
            </w:r>
            <w:r w:rsidRPr="0095153E">
              <w:t xml:space="preserve">amata vietas = </w:t>
            </w:r>
            <w:r w:rsidR="00066229">
              <w:t>118</w:t>
            </w:r>
            <w:r w:rsidR="00BB2C52">
              <w:t> </w:t>
            </w:r>
            <w:r w:rsidR="00066229">
              <w:t>584</w:t>
            </w:r>
            <w:r w:rsidR="00BB2C52">
              <w:t> </w:t>
            </w:r>
            <w:proofErr w:type="spellStart"/>
            <w:r w:rsidRPr="0095153E">
              <w:rPr>
                <w:i/>
              </w:rPr>
              <w:t>euro</w:t>
            </w:r>
            <w:proofErr w:type="spellEnd"/>
            <w:r w:rsidR="00A30EFD">
              <w:t>;</w:t>
            </w:r>
          </w:p>
          <w:p w:rsidR="0095153E" w:rsidRPr="00A30EFD" w:rsidRDefault="0095153E" w:rsidP="0095153E">
            <w:pPr>
              <w:jc w:val="both"/>
            </w:pPr>
            <w:r w:rsidRPr="0095153E">
              <w:t>1.2.</w:t>
            </w:r>
            <w:r w:rsidR="00E84CAF">
              <w:t>1</w:t>
            </w:r>
            <w:r w:rsidRPr="0095153E">
              <w:t>.</w:t>
            </w:r>
            <w:r w:rsidR="00D31996">
              <w:t> </w:t>
            </w:r>
            <w:r w:rsidRPr="0095153E">
              <w:t>Motivācijas piemaksa 40</w:t>
            </w:r>
            <w:r w:rsidR="00A30EFD">
              <w:t> </w:t>
            </w:r>
            <w:r w:rsidRPr="0095153E">
              <w:t>% apmērā no plānotās mēnešalgu kopsummas –</w:t>
            </w:r>
            <w:r w:rsidRPr="0095153E">
              <w:rPr>
                <w:i/>
              </w:rPr>
              <w:t xml:space="preserve"> </w:t>
            </w:r>
            <w:r w:rsidR="00066229">
              <w:t>47</w:t>
            </w:r>
            <w:r w:rsidR="00BB2C52">
              <w:t> </w:t>
            </w:r>
            <w:r w:rsidR="00066229">
              <w:t>434</w:t>
            </w:r>
            <w:r w:rsidR="00BB2C52">
              <w:t> </w:t>
            </w:r>
            <w:proofErr w:type="spellStart"/>
            <w:r w:rsidRPr="0095153E">
              <w:rPr>
                <w:i/>
              </w:rPr>
              <w:t>euro</w:t>
            </w:r>
            <w:proofErr w:type="spellEnd"/>
            <w:r w:rsidR="00A30EFD">
              <w:t>;</w:t>
            </w:r>
          </w:p>
          <w:p w:rsidR="0095153E" w:rsidRPr="0095153E" w:rsidRDefault="0095153E" w:rsidP="0095153E">
            <w:pPr>
              <w:jc w:val="both"/>
              <w:rPr>
                <w:i/>
              </w:rPr>
            </w:pPr>
          </w:p>
          <w:p w:rsidR="0095153E" w:rsidRPr="0095153E" w:rsidRDefault="0095153E" w:rsidP="0095153E">
            <w:pPr>
              <w:jc w:val="both"/>
            </w:pPr>
            <w:r w:rsidRPr="0095153E">
              <w:t>1.3.</w:t>
            </w:r>
            <w:r w:rsidR="00D31996">
              <w:t> </w:t>
            </w:r>
            <w:r w:rsidRPr="0095153E">
              <w:t>Lai nodrošinātu projekta izpildi projektam nepieciešams piesaistīt Informācijas sistēmu arhitekt</w:t>
            </w:r>
            <w:r w:rsidR="00A30EFD">
              <w:t>u</w:t>
            </w:r>
            <w:r w:rsidRPr="0095153E">
              <w:t>, lietotāju saskarnes dizainer</w:t>
            </w:r>
            <w:r w:rsidR="00D31996">
              <w:t>u</w:t>
            </w:r>
            <w:r w:rsidRPr="0095153E">
              <w:t xml:space="preserve"> </w:t>
            </w:r>
            <w:r w:rsidR="009E223F">
              <w:t>24</w:t>
            </w:r>
            <w:r w:rsidR="00BB2C52">
              <w:t> </w:t>
            </w:r>
            <w:r w:rsidR="009E223F">
              <w:t>471</w:t>
            </w:r>
            <w:r w:rsidR="00A30EFD">
              <w:t> </w:t>
            </w:r>
            <w:proofErr w:type="spellStart"/>
            <w:r w:rsidRPr="0095153E">
              <w:rPr>
                <w:i/>
              </w:rPr>
              <w:t>euro</w:t>
            </w:r>
            <w:proofErr w:type="spellEnd"/>
            <w:r w:rsidRPr="0095153E">
              <w:t xml:space="preserve"> (t.sk. atalgojums </w:t>
            </w:r>
            <w:r w:rsidR="009E223F">
              <w:t>19</w:t>
            </w:r>
            <w:r w:rsidR="00BB2C52">
              <w:t> </w:t>
            </w:r>
            <w:r w:rsidR="009E223F">
              <w:t>800</w:t>
            </w:r>
            <w:r w:rsidR="00A30EFD">
              <w:t> </w:t>
            </w:r>
            <w:proofErr w:type="spellStart"/>
            <w:r w:rsidRPr="0095153E">
              <w:rPr>
                <w:i/>
              </w:rPr>
              <w:t>euro</w:t>
            </w:r>
            <w:proofErr w:type="spellEnd"/>
            <w:r w:rsidRPr="0095153E">
              <w:t>, VSAOI</w:t>
            </w:r>
            <w:r w:rsidR="009039C2">
              <w:t xml:space="preserve"> 23.59</w:t>
            </w:r>
            <w:r w:rsidR="00A30EFD">
              <w:t> </w:t>
            </w:r>
            <w:r w:rsidR="009039C2">
              <w:t xml:space="preserve">% </w:t>
            </w:r>
            <w:r w:rsidRPr="0095153E">
              <w:t xml:space="preserve">- </w:t>
            </w:r>
            <w:r w:rsidR="009E223F">
              <w:t>4671</w:t>
            </w:r>
            <w:r w:rsidR="00BB2C52">
              <w:t> </w:t>
            </w:r>
            <w:proofErr w:type="spellStart"/>
            <w:r w:rsidRPr="0095153E">
              <w:rPr>
                <w:i/>
              </w:rPr>
              <w:t>euro</w:t>
            </w:r>
            <w:proofErr w:type="spellEnd"/>
            <w:r w:rsidRPr="0095153E">
              <w:t>):</w:t>
            </w:r>
          </w:p>
          <w:p w:rsidR="0095153E" w:rsidRPr="0095153E" w:rsidRDefault="0095153E" w:rsidP="0095153E">
            <w:pPr>
              <w:jc w:val="both"/>
            </w:pPr>
            <w:r w:rsidRPr="0095153E">
              <w:t>1.3.1.</w:t>
            </w:r>
            <w:r w:rsidR="00D31996">
              <w:t> </w:t>
            </w:r>
            <w:r w:rsidRPr="0095153E">
              <w:t>(EKK 1150 Atalgojums fiziskajām personām uz tiesiskās attiecības regulējošu dokumentu pamata</w:t>
            </w:r>
            <w:r w:rsidR="00A30EFD">
              <w:t xml:space="preserve"> </w:t>
            </w:r>
            <w:r w:rsidRPr="0095153E">
              <w:t>- uzņēmumu līgumi) Informācijas sistēmu arhitektam</w:t>
            </w:r>
            <w:r w:rsidR="00A30EFD">
              <w:t xml:space="preserve"> –</w:t>
            </w:r>
            <w:r w:rsidRPr="0095153E">
              <w:t xml:space="preserve"> 9900</w:t>
            </w:r>
            <w:r w:rsidR="00A30EFD">
              <w:t> </w:t>
            </w:r>
            <w:proofErr w:type="spellStart"/>
            <w:r w:rsidRPr="0095153E">
              <w:rPr>
                <w:i/>
              </w:rPr>
              <w:t>euro</w:t>
            </w:r>
            <w:proofErr w:type="spellEnd"/>
            <w:r w:rsidRPr="0095153E">
              <w:t xml:space="preserve"> (tiks piesaistīts projekta sākumā un sekos līdzi paveiktajam arī projekta ieviešanas laikā);</w:t>
            </w:r>
          </w:p>
          <w:p w:rsidR="0095153E" w:rsidRPr="0095153E" w:rsidRDefault="0095153E" w:rsidP="0095153E">
            <w:pPr>
              <w:jc w:val="both"/>
            </w:pPr>
            <w:r w:rsidRPr="0095153E">
              <w:t>1.3.2.</w:t>
            </w:r>
            <w:r w:rsidR="00D31996">
              <w:t> </w:t>
            </w:r>
            <w:r w:rsidRPr="0095153E">
              <w:t>(EKK 1150 Atalgojums fiziskajām personām uz tiesiskās attiecības regulējošu dokumentu pamata</w:t>
            </w:r>
            <w:r w:rsidR="00A30EFD">
              <w:t xml:space="preserve"> </w:t>
            </w:r>
            <w:r w:rsidRPr="0095153E">
              <w:t>- uzņēmumu līgumi) lietotāju saskarnes dizainers</w:t>
            </w:r>
            <w:r w:rsidRPr="0095153E" w:rsidDel="00A87FA5">
              <w:t xml:space="preserve"> </w:t>
            </w:r>
            <w:r w:rsidR="00A30EFD">
              <w:t>–</w:t>
            </w:r>
            <w:r w:rsidRPr="0095153E">
              <w:t xml:space="preserve"> </w:t>
            </w:r>
            <w:r w:rsidR="009E223F">
              <w:t>9900 </w:t>
            </w:r>
            <w:proofErr w:type="spellStart"/>
            <w:r w:rsidRPr="0095153E">
              <w:rPr>
                <w:i/>
              </w:rPr>
              <w:t>euro</w:t>
            </w:r>
            <w:proofErr w:type="spellEnd"/>
            <w:r w:rsidRPr="0095153E">
              <w:rPr>
                <w:i/>
              </w:rPr>
              <w:t xml:space="preserve"> </w:t>
            </w:r>
            <w:r w:rsidRPr="0095153E">
              <w:t>(tiks piesaistīts projekta sākumposmā);</w:t>
            </w:r>
          </w:p>
          <w:p w:rsidR="0095153E" w:rsidRPr="0095153E" w:rsidRDefault="0095153E" w:rsidP="0095153E">
            <w:pPr>
              <w:jc w:val="both"/>
            </w:pPr>
          </w:p>
          <w:p w:rsidR="0095153E" w:rsidRPr="0095153E" w:rsidRDefault="0095153E" w:rsidP="0095153E">
            <w:pPr>
              <w:jc w:val="both"/>
            </w:pPr>
            <w:r w:rsidRPr="0095153E">
              <w:t>1.4.</w:t>
            </w:r>
            <w:r w:rsidR="00D31996">
              <w:t> </w:t>
            </w:r>
            <w:r w:rsidRPr="0095153E">
              <w:t>Ņemot vērā, ka</w:t>
            </w:r>
            <w:r w:rsidR="00BB2C52">
              <w:t>,</w:t>
            </w:r>
            <w:r w:rsidRPr="0095153E">
              <w:t xml:space="preserve"> iesaistoties projekta īstenošanā</w:t>
            </w:r>
            <w:r w:rsidR="00BB2C52">
              <w:t>,</w:t>
            </w:r>
            <w:r w:rsidRPr="0095153E">
              <w:t xml:space="preserve"> papildus tiks noslogi esošie nodarbinātie, nepieciešams paredzēt piemaksu par papildu darbu esošajiem nodarbinātajiem 33</w:t>
            </w:r>
            <w:r w:rsidR="00A30EFD">
              <w:t> </w:t>
            </w:r>
            <w:r w:rsidRPr="0095153E">
              <w:t>067</w:t>
            </w:r>
            <w:r w:rsidR="00A30EFD">
              <w:t> </w:t>
            </w:r>
            <w:proofErr w:type="spellStart"/>
            <w:r w:rsidRPr="0095153E">
              <w:rPr>
                <w:i/>
              </w:rPr>
              <w:t>euro</w:t>
            </w:r>
            <w:proofErr w:type="spellEnd"/>
            <w:r w:rsidRPr="0095153E">
              <w:t xml:space="preserve"> (t.sk. atalgojums 26</w:t>
            </w:r>
            <w:r w:rsidR="00A30EFD">
              <w:t> </w:t>
            </w:r>
            <w:r w:rsidRPr="0095153E">
              <w:t>756</w:t>
            </w:r>
            <w:r w:rsidR="00A30EFD">
              <w:t> </w:t>
            </w:r>
            <w:proofErr w:type="spellStart"/>
            <w:r w:rsidRPr="0095153E">
              <w:rPr>
                <w:i/>
              </w:rPr>
              <w:t>euro</w:t>
            </w:r>
            <w:proofErr w:type="spellEnd"/>
            <w:r w:rsidRPr="0095153E">
              <w:t>, VSAOI</w:t>
            </w:r>
            <w:r w:rsidR="009039C2">
              <w:t xml:space="preserve"> 23.59</w:t>
            </w:r>
            <w:r w:rsidR="00A30EFD">
              <w:t> </w:t>
            </w:r>
            <w:r w:rsidR="009039C2">
              <w:t>%</w:t>
            </w:r>
            <w:r w:rsidR="00A30EFD">
              <w:t xml:space="preserve"> </w:t>
            </w:r>
            <w:r w:rsidRPr="0095153E">
              <w:rPr>
                <w:b/>
              </w:rPr>
              <w:t>-</w:t>
            </w:r>
            <w:r w:rsidRPr="0095153E">
              <w:t xml:space="preserve"> 6311</w:t>
            </w:r>
            <w:r w:rsidR="00A30EFD">
              <w:t> </w:t>
            </w:r>
            <w:proofErr w:type="spellStart"/>
            <w:r w:rsidRPr="0095153E">
              <w:rPr>
                <w:i/>
              </w:rPr>
              <w:t>euro</w:t>
            </w:r>
            <w:proofErr w:type="spellEnd"/>
            <w:r w:rsidRPr="0095153E">
              <w:t>):</w:t>
            </w:r>
          </w:p>
          <w:p w:rsidR="0095153E" w:rsidRPr="0095153E" w:rsidRDefault="0095153E" w:rsidP="0095153E">
            <w:pPr>
              <w:jc w:val="both"/>
            </w:pPr>
            <w:r w:rsidRPr="0095153E">
              <w:t>1.4.1.</w:t>
            </w:r>
            <w:r w:rsidR="00D31996">
              <w:t> </w:t>
            </w:r>
            <w:r w:rsidRPr="0095153E">
              <w:t>galvenā valsts notāra vietnieks funkciju jautājumos (35.</w:t>
            </w:r>
            <w:r w:rsidR="00D31996">
              <w:t> </w:t>
            </w:r>
            <w:r w:rsidRPr="0095153E">
              <w:t>amatu saimes V</w:t>
            </w:r>
            <w:r w:rsidR="00D31996">
              <w:t> </w:t>
            </w:r>
            <w:r w:rsidRPr="0095153E">
              <w:t>līmeņa 13.</w:t>
            </w:r>
            <w:r w:rsidR="00D31996">
              <w:t> </w:t>
            </w:r>
            <w:r w:rsidRPr="0095153E">
              <w:t>mēnešalgu grupa): Piemaksa par papildu darbu 30</w:t>
            </w:r>
            <w:r w:rsidR="00DC50FE">
              <w:t> </w:t>
            </w:r>
            <w:r w:rsidRPr="0095153E">
              <w:t xml:space="preserve">% apmērā no esošās mēnešalgas </w:t>
            </w:r>
            <w:r w:rsidR="009039C2">
              <w:t>un m</w:t>
            </w:r>
            <w:r w:rsidR="009039C2" w:rsidRPr="0095153E">
              <w:t>otivācijas piemaksa 30</w:t>
            </w:r>
            <w:r w:rsidR="00DC50FE">
              <w:t> </w:t>
            </w:r>
            <w:r w:rsidR="009039C2" w:rsidRPr="0095153E">
              <w:t xml:space="preserve">% apmērā no esošās mēnešalgas </w:t>
            </w:r>
            <w:r w:rsidRPr="0095153E">
              <w:t>(1435</w:t>
            </w:r>
            <w:r w:rsidR="00DC50FE">
              <w:t> </w:t>
            </w:r>
            <w:proofErr w:type="spellStart"/>
            <w:r w:rsidRPr="0095153E">
              <w:rPr>
                <w:i/>
              </w:rPr>
              <w:t>euro</w:t>
            </w:r>
            <w:proofErr w:type="spellEnd"/>
            <w:r w:rsidRPr="0095153E">
              <w:t>/</w:t>
            </w:r>
            <w:proofErr w:type="spellStart"/>
            <w:r w:rsidRPr="0095153E">
              <w:t>mēn</w:t>
            </w:r>
            <w:proofErr w:type="spellEnd"/>
            <w:r w:rsidRPr="0095153E">
              <w:t>.) –</w:t>
            </w:r>
            <w:r w:rsidRPr="0095153E">
              <w:rPr>
                <w:i/>
              </w:rPr>
              <w:t xml:space="preserve"> </w:t>
            </w:r>
            <w:r w:rsidR="009039C2">
              <w:t>7750</w:t>
            </w:r>
            <w:r w:rsidR="00DC50FE">
              <w:t> </w:t>
            </w:r>
            <w:proofErr w:type="spellStart"/>
            <w:r w:rsidRPr="0095153E">
              <w:rPr>
                <w:i/>
              </w:rPr>
              <w:t>euro</w:t>
            </w:r>
            <w:proofErr w:type="spellEnd"/>
            <w:r w:rsidRPr="0095153E">
              <w:t>;</w:t>
            </w:r>
          </w:p>
          <w:p w:rsidR="0095153E" w:rsidRPr="0095153E" w:rsidRDefault="0095153E" w:rsidP="0095153E">
            <w:pPr>
              <w:jc w:val="both"/>
            </w:pPr>
            <w:r w:rsidRPr="0095153E">
              <w:t>1.4.2.</w:t>
            </w:r>
            <w:r w:rsidR="00D31996">
              <w:t> </w:t>
            </w:r>
            <w:r w:rsidRPr="0095153E">
              <w:t>Juridiskās nodaļas vadītāja vietnieks (21.</w:t>
            </w:r>
            <w:r w:rsidR="00D31996">
              <w:t> </w:t>
            </w:r>
            <w:r w:rsidRPr="0095153E">
              <w:t>amatu saimes IV</w:t>
            </w:r>
            <w:r w:rsidR="00D31996">
              <w:t> </w:t>
            </w:r>
            <w:r w:rsidRPr="0095153E">
              <w:t>līmeņa 11.</w:t>
            </w:r>
            <w:r w:rsidR="00D31996">
              <w:t> </w:t>
            </w:r>
            <w:r w:rsidRPr="0095153E">
              <w:t>mēnešalgu grupa): Piemaksa par papildu darbu 30</w:t>
            </w:r>
            <w:r w:rsidR="00DC50FE">
              <w:t> </w:t>
            </w:r>
            <w:r w:rsidRPr="0095153E">
              <w:t>% apmērā no esošās mēnešalgas (1164</w:t>
            </w:r>
            <w:r w:rsidR="00DC50FE">
              <w:t> </w:t>
            </w:r>
            <w:proofErr w:type="spellStart"/>
            <w:r w:rsidRPr="0095153E">
              <w:rPr>
                <w:i/>
              </w:rPr>
              <w:t>euro</w:t>
            </w:r>
            <w:proofErr w:type="spellEnd"/>
            <w:r w:rsidRPr="0095153E">
              <w:t>/</w:t>
            </w:r>
            <w:proofErr w:type="spellStart"/>
            <w:r w:rsidRPr="0095153E">
              <w:t>mēn</w:t>
            </w:r>
            <w:proofErr w:type="spellEnd"/>
            <w:r w:rsidRPr="0095153E">
              <w:t>.) –</w:t>
            </w:r>
            <w:r w:rsidRPr="0095153E">
              <w:rPr>
                <w:i/>
              </w:rPr>
              <w:t xml:space="preserve"> </w:t>
            </w:r>
            <w:r w:rsidRPr="0095153E">
              <w:t>3143</w:t>
            </w:r>
            <w:r w:rsidR="00DC50FE">
              <w:t> </w:t>
            </w:r>
            <w:proofErr w:type="spellStart"/>
            <w:r w:rsidRPr="0095153E">
              <w:rPr>
                <w:i/>
              </w:rPr>
              <w:t>euro</w:t>
            </w:r>
            <w:proofErr w:type="spellEnd"/>
            <w:r w:rsidRPr="0095153E">
              <w:t>;</w:t>
            </w:r>
          </w:p>
          <w:p w:rsidR="0095153E" w:rsidRPr="0095153E" w:rsidRDefault="0095153E" w:rsidP="00502C7B">
            <w:pPr>
              <w:jc w:val="both"/>
            </w:pPr>
            <w:r w:rsidRPr="0095153E">
              <w:t>1.4.3.</w:t>
            </w:r>
            <w:r w:rsidR="00D31996">
              <w:t> </w:t>
            </w:r>
            <w:r w:rsidRPr="0095153E">
              <w:t>Informācijas sistēmu attīstības un atbalsta nodaļas vadītājs (19.4</w:t>
            </w:r>
            <w:r w:rsidR="00D31996">
              <w:t>. </w:t>
            </w:r>
            <w:r w:rsidRPr="0095153E">
              <w:t>amatu saimes V</w:t>
            </w:r>
            <w:r w:rsidR="00D31996">
              <w:t> </w:t>
            </w:r>
            <w:r w:rsidRPr="0095153E">
              <w:t>līmeņa 13.</w:t>
            </w:r>
            <w:r w:rsidR="00D31996">
              <w:t> </w:t>
            </w:r>
            <w:r w:rsidRPr="0095153E">
              <w:t>mēnešalgu grupa): Piemaksa par papildu darbu 30</w:t>
            </w:r>
            <w:r w:rsidR="00DC50FE">
              <w:t> </w:t>
            </w:r>
            <w:r w:rsidRPr="0095153E">
              <w:t>% apmērā no esošās mēnešalgas (1917</w:t>
            </w:r>
            <w:r w:rsidR="00DC50FE">
              <w:t> </w:t>
            </w:r>
            <w:proofErr w:type="spellStart"/>
            <w:r w:rsidRPr="0095153E">
              <w:rPr>
                <w:i/>
              </w:rPr>
              <w:t>euro</w:t>
            </w:r>
            <w:proofErr w:type="spellEnd"/>
            <w:r w:rsidRPr="0095153E">
              <w:t>/</w:t>
            </w:r>
            <w:proofErr w:type="spellStart"/>
            <w:r w:rsidRPr="0095153E">
              <w:t>mēn</w:t>
            </w:r>
            <w:proofErr w:type="spellEnd"/>
            <w:r w:rsidRPr="0095153E">
              <w:t>.) –</w:t>
            </w:r>
            <w:r w:rsidRPr="0095153E">
              <w:rPr>
                <w:i/>
              </w:rPr>
              <w:t xml:space="preserve"> </w:t>
            </w:r>
            <w:r w:rsidRPr="0095153E">
              <w:t>5176</w:t>
            </w:r>
            <w:r w:rsidR="00DC50FE">
              <w:t> </w:t>
            </w:r>
            <w:proofErr w:type="spellStart"/>
            <w:r w:rsidRPr="0095153E">
              <w:rPr>
                <w:i/>
              </w:rPr>
              <w:t>euro</w:t>
            </w:r>
            <w:proofErr w:type="spellEnd"/>
            <w:r w:rsidRPr="0095153E">
              <w:t>;</w:t>
            </w:r>
          </w:p>
          <w:p w:rsidR="0095153E" w:rsidRPr="0095153E" w:rsidRDefault="0095153E" w:rsidP="0095153E">
            <w:pPr>
              <w:jc w:val="both"/>
            </w:pPr>
            <w:r w:rsidRPr="0095153E">
              <w:t>1.4.4.</w:t>
            </w:r>
            <w:r w:rsidR="00D31996">
              <w:t> </w:t>
            </w:r>
            <w:r w:rsidRPr="0095153E">
              <w:t xml:space="preserve">Informācijas sistēmu attīstības un atbalsta nodaļas </w:t>
            </w:r>
            <w:proofErr w:type="spellStart"/>
            <w:r w:rsidRPr="0095153E">
              <w:t>sistēmanalītiķis</w:t>
            </w:r>
            <w:proofErr w:type="spellEnd"/>
            <w:r w:rsidRPr="0095153E">
              <w:t xml:space="preserve"> - informācijas sistēmu drošības pārvaldnieks (19.4</w:t>
            </w:r>
            <w:r w:rsidR="00D31996">
              <w:t>. </w:t>
            </w:r>
            <w:r w:rsidRPr="0095153E">
              <w:t>amatu saimes IV</w:t>
            </w:r>
            <w:r w:rsidR="00D31996">
              <w:t> </w:t>
            </w:r>
            <w:r w:rsidRPr="0095153E">
              <w:t>līmeņa 12.</w:t>
            </w:r>
            <w:r w:rsidR="00D31996">
              <w:t> </w:t>
            </w:r>
            <w:r w:rsidRPr="0095153E">
              <w:t>mēnešalgu grupa): Piemaksa par papildu darbu 30</w:t>
            </w:r>
            <w:r w:rsidR="00DC50FE">
              <w:t> </w:t>
            </w:r>
            <w:r w:rsidRPr="0095153E">
              <w:t>% apmērā no esošās mēnešalgas (1578</w:t>
            </w:r>
            <w:r w:rsidR="00DC50FE">
              <w:t> </w:t>
            </w:r>
            <w:proofErr w:type="spellStart"/>
            <w:r w:rsidRPr="0095153E">
              <w:rPr>
                <w:i/>
              </w:rPr>
              <w:t>euro</w:t>
            </w:r>
            <w:proofErr w:type="spellEnd"/>
            <w:r w:rsidRPr="0095153E">
              <w:t>/</w:t>
            </w:r>
            <w:proofErr w:type="spellStart"/>
            <w:r w:rsidRPr="0095153E">
              <w:t>mēn</w:t>
            </w:r>
            <w:proofErr w:type="spellEnd"/>
            <w:r w:rsidRPr="0095153E">
              <w:t>.) – 4261</w:t>
            </w:r>
            <w:r w:rsidR="00DC50FE">
              <w:t> </w:t>
            </w:r>
            <w:proofErr w:type="spellStart"/>
            <w:r w:rsidRPr="0095153E">
              <w:rPr>
                <w:i/>
              </w:rPr>
              <w:t>euro</w:t>
            </w:r>
            <w:proofErr w:type="spellEnd"/>
            <w:r w:rsidRPr="0095153E">
              <w:t>;</w:t>
            </w:r>
          </w:p>
          <w:p w:rsidR="0095153E" w:rsidRPr="0095153E" w:rsidRDefault="0095153E" w:rsidP="0095153E">
            <w:pPr>
              <w:jc w:val="both"/>
            </w:pPr>
            <w:r w:rsidRPr="0095153E">
              <w:t>1.4.5.</w:t>
            </w:r>
            <w:r w:rsidR="00D31996">
              <w:t> </w:t>
            </w:r>
            <w:r w:rsidRPr="0095153E">
              <w:t>Funkciju vadības nodaļa</w:t>
            </w:r>
            <w:r w:rsidR="00DC50FE">
              <w:t>s</w:t>
            </w:r>
            <w:r w:rsidRPr="0095153E">
              <w:t xml:space="preserve"> vadītājas vietniece (35.</w:t>
            </w:r>
            <w:r w:rsidR="00D31996">
              <w:t> </w:t>
            </w:r>
            <w:r w:rsidRPr="0095153E">
              <w:t>amatu saimes III</w:t>
            </w:r>
            <w:r w:rsidR="00D31996">
              <w:t> </w:t>
            </w:r>
            <w:r w:rsidRPr="0095153E">
              <w:t>līmeņa 10.</w:t>
            </w:r>
            <w:r w:rsidR="00D31996">
              <w:t> </w:t>
            </w:r>
            <w:r w:rsidRPr="0095153E">
              <w:t>mēnešalgu grupa): Piemaksa par papildu darbu 30</w:t>
            </w:r>
            <w:r w:rsidR="00DC50FE">
              <w:t> </w:t>
            </w:r>
            <w:r w:rsidRPr="0095153E">
              <w:t>% apmērā no esošās mēnešalgas (1287</w:t>
            </w:r>
            <w:r w:rsidR="00DC50FE">
              <w:t> </w:t>
            </w:r>
            <w:proofErr w:type="spellStart"/>
            <w:r w:rsidRPr="0095153E">
              <w:rPr>
                <w:i/>
              </w:rPr>
              <w:t>euro</w:t>
            </w:r>
            <w:proofErr w:type="spellEnd"/>
            <w:r w:rsidRPr="0095153E">
              <w:t>/</w:t>
            </w:r>
            <w:proofErr w:type="spellStart"/>
            <w:r w:rsidRPr="0095153E">
              <w:t>mēn</w:t>
            </w:r>
            <w:proofErr w:type="spellEnd"/>
            <w:r w:rsidRPr="0095153E">
              <w:t>.) – 3475</w:t>
            </w:r>
            <w:r w:rsidR="00DC50FE">
              <w:t> </w:t>
            </w:r>
            <w:proofErr w:type="spellStart"/>
            <w:r w:rsidRPr="0095153E">
              <w:rPr>
                <w:i/>
              </w:rPr>
              <w:t>euro</w:t>
            </w:r>
            <w:proofErr w:type="spellEnd"/>
            <w:r w:rsidRPr="0095153E">
              <w:t>;</w:t>
            </w:r>
          </w:p>
          <w:p w:rsidR="0095153E" w:rsidRPr="0095153E" w:rsidRDefault="0095153E" w:rsidP="0095153E">
            <w:pPr>
              <w:jc w:val="both"/>
            </w:pPr>
            <w:r w:rsidRPr="0095153E">
              <w:t>1.4.6.</w:t>
            </w:r>
            <w:r w:rsidR="00D31996">
              <w:t> </w:t>
            </w:r>
            <w:r w:rsidRPr="0095153E">
              <w:t>Funkciju vadības nodaļa referents (35.</w:t>
            </w:r>
            <w:r w:rsidR="00D31996">
              <w:t> </w:t>
            </w:r>
            <w:r w:rsidRPr="0095153E">
              <w:t>amatu saimes II</w:t>
            </w:r>
            <w:r w:rsidR="00D31996">
              <w:t> </w:t>
            </w:r>
            <w:r w:rsidRPr="0095153E">
              <w:t>līmeņa 9.</w:t>
            </w:r>
            <w:r w:rsidR="00D31996">
              <w:t> </w:t>
            </w:r>
            <w:r w:rsidRPr="0095153E">
              <w:t>mēnešalgu grupa): Piemaksa par papildu darbu 30</w:t>
            </w:r>
            <w:r w:rsidR="00DC50FE">
              <w:t> </w:t>
            </w:r>
            <w:r w:rsidRPr="0095153E">
              <w:t>% apmērā no esošās mēnešalgas (1093</w:t>
            </w:r>
            <w:r w:rsidR="00DC50FE">
              <w:t> </w:t>
            </w:r>
            <w:proofErr w:type="spellStart"/>
            <w:r w:rsidRPr="0095153E">
              <w:rPr>
                <w:i/>
              </w:rPr>
              <w:t>euro</w:t>
            </w:r>
            <w:proofErr w:type="spellEnd"/>
            <w:r w:rsidRPr="0095153E">
              <w:t>/</w:t>
            </w:r>
            <w:proofErr w:type="spellStart"/>
            <w:r w:rsidRPr="0095153E">
              <w:t>mēn</w:t>
            </w:r>
            <w:proofErr w:type="spellEnd"/>
            <w:r w:rsidRPr="0095153E">
              <w:t>.) – 2951</w:t>
            </w:r>
            <w:r w:rsidR="00DC50FE">
              <w:t> </w:t>
            </w:r>
            <w:proofErr w:type="spellStart"/>
            <w:r w:rsidRPr="0095153E">
              <w:rPr>
                <w:i/>
              </w:rPr>
              <w:t>euro</w:t>
            </w:r>
            <w:proofErr w:type="spellEnd"/>
            <w:r w:rsidR="009039C2">
              <w:t>.</w:t>
            </w:r>
          </w:p>
          <w:p w:rsidR="0095153E" w:rsidRPr="0095153E" w:rsidRDefault="0095153E" w:rsidP="0095153E">
            <w:pPr>
              <w:jc w:val="both"/>
            </w:pPr>
            <w:r w:rsidRPr="0095153E">
              <w:t xml:space="preserve">Pamatlīdzekļi: </w:t>
            </w:r>
            <w:r w:rsidR="00356D18">
              <w:rPr>
                <w:b/>
              </w:rPr>
              <w:t>20 </w:t>
            </w:r>
            <w:r w:rsidRPr="0095153E">
              <w:rPr>
                <w:b/>
              </w:rPr>
              <w:t>000</w:t>
            </w:r>
            <w:r w:rsidR="00387FB2">
              <w:rPr>
                <w:b/>
              </w:rPr>
              <w:t> </w:t>
            </w:r>
            <w:proofErr w:type="spellStart"/>
            <w:r w:rsidRPr="0095153E">
              <w:rPr>
                <w:b/>
                <w:i/>
              </w:rPr>
              <w:t>euro</w:t>
            </w:r>
            <w:proofErr w:type="spellEnd"/>
          </w:p>
          <w:p w:rsidR="0095153E" w:rsidRPr="0095153E" w:rsidRDefault="00356D18" w:rsidP="0095153E">
            <w:pPr>
              <w:jc w:val="both"/>
            </w:pPr>
            <w:proofErr w:type="gramStart"/>
            <w:r>
              <w:t>1</w:t>
            </w:r>
            <w:r w:rsidR="0095153E" w:rsidRPr="0095153E">
              <w:t>.</w:t>
            </w:r>
            <w:r w:rsidR="00D63824">
              <w:t> </w:t>
            </w:r>
            <w:r w:rsidR="0095153E" w:rsidRPr="0095153E">
              <w:t>EKK 5230 Pārējie pamatlīdzekļi</w:t>
            </w:r>
            <w:proofErr w:type="gramEnd"/>
            <w:r w:rsidR="0095153E" w:rsidRPr="0095153E">
              <w:t xml:space="preserve">: </w:t>
            </w:r>
            <w:r>
              <w:t>20</w:t>
            </w:r>
            <w:r w:rsidR="00BB2C52">
              <w:t> </w:t>
            </w:r>
            <w:r>
              <w:t>000</w:t>
            </w:r>
            <w:r w:rsidR="00387FB2">
              <w:t> </w:t>
            </w:r>
            <w:proofErr w:type="spellStart"/>
            <w:r w:rsidR="0095153E" w:rsidRPr="0095153E">
              <w:rPr>
                <w:i/>
              </w:rPr>
              <w:t>euro</w:t>
            </w:r>
            <w:proofErr w:type="spellEnd"/>
          </w:p>
          <w:p w:rsidR="0095153E" w:rsidRPr="0095153E" w:rsidRDefault="0095153E" w:rsidP="0095153E">
            <w:pPr>
              <w:jc w:val="both"/>
              <w:rPr>
                <w:b/>
              </w:rPr>
            </w:pPr>
            <w:proofErr w:type="spellStart"/>
            <w:r w:rsidRPr="0095153E">
              <w:t>Servertehnikas</w:t>
            </w:r>
            <w:proofErr w:type="spellEnd"/>
            <w:r w:rsidRPr="0095153E">
              <w:t xml:space="preserve"> iegāde programmatūras izvietošanai 20</w:t>
            </w:r>
            <w:r w:rsidR="00387FB2">
              <w:t> </w:t>
            </w:r>
            <w:r w:rsidRPr="0095153E">
              <w:t>000</w:t>
            </w:r>
            <w:r w:rsidR="00387FB2">
              <w:t> </w:t>
            </w:r>
            <w:proofErr w:type="spellStart"/>
            <w:r w:rsidRPr="0095153E">
              <w:rPr>
                <w:i/>
              </w:rPr>
              <w:t>euro</w:t>
            </w:r>
            <w:proofErr w:type="spellEnd"/>
          </w:p>
          <w:p w:rsidR="0095153E" w:rsidRPr="0095153E" w:rsidRDefault="0095153E" w:rsidP="0095153E">
            <w:pPr>
              <w:jc w:val="both"/>
            </w:pPr>
            <w:r w:rsidRPr="0095153E">
              <w:t xml:space="preserve">Disks priekš </w:t>
            </w:r>
            <w:proofErr w:type="spellStart"/>
            <w:r w:rsidRPr="0095153E">
              <w:t>NetApp</w:t>
            </w:r>
            <w:proofErr w:type="spellEnd"/>
            <w:r w:rsidRPr="0095153E">
              <w:t xml:space="preserve"> DS4246 disku lādes 2TB SATA (NETAPP disku lādes papildinājumiem ar 12x2TB diskiem, ar ražotāju atbalstu uz 3 gadiem), 16</w:t>
            </w:r>
            <w:r w:rsidR="00387FB2">
              <w:t> </w:t>
            </w:r>
            <w:r w:rsidRPr="0095153E">
              <w:t>000</w:t>
            </w:r>
            <w:r w:rsidR="00387FB2">
              <w:t> </w:t>
            </w:r>
            <w:proofErr w:type="spellStart"/>
            <w:r w:rsidR="00387FB2">
              <w:rPr>
                <w:i/>
              </w:rPr>
              <w:t>euro</w:t>
            </w:r>
            <w:proofErr w:type="spellEnd"/>
            <w:r w:rsidRPr="0095153E">
              <w:t>.</w:t>
            </w:r>
          </w:p>
          <w:p w:rsidR="0095153E" w:rsidRPr="0095153E" w:rsidRDefault="0095153E" w:rsidP="0095153E">
            <w:pPr>
              <w:jc w:val="both"/>
            </w:pPr>
            <w:proofErr w:type="spellStart"/>
            <w:r w:rsidRPr="0095153E">
              <w:t>NetApp</w:t>
            </w:r>
            <w:proofErr w:type="spellEnd"/>
            <w:r w:rsidRPr="0095153E">
              <w:t xml:space="preserve"> pakalpojums, kas ietver konsultācijas par programmatūras un aparatūras uzstādīšanu, iestatīšanu un ekspluatāciju, kā arī uzstādīšanas plānošanu, uzstādīšanu, iestatīšanu un problēmu risināšanu, 1000</w:t>
            </w:r>
            <w:r w:rsidR="007C6DCD">
              <w:t> </w:t>
            </w:r>
            <w:proofErr w:type="spellStart"/>
            <w:r w:rsidR="007C6DCD">
              <w:rPr>
                <w:i/>
              </w:rPr>
              <w:t>euro</w:t>
            </w:r>
            <w:proofErr w:type="spellEnd"/>
            <w:r w:rsidRPr="0095153E">
              <w:t>.</w:t>
            </w:r>
          </w:p>
          <w:p w:rsidR="0095153E" w:rsidRPr="0095153E" w:rsidRDefault="0095153E" w:rsidP="0095153E">
            <w:pPr>
              <w:snapToGrid w:val="0"/>
              <w:jc w:val="both"/>
            </w:pPr>
            <w:r w:rsidRPr="0095153E">
              <w:t xml:space="preserve">Komutatoru iegāde disku masīva pieslēgšanai (HP </w:t>
            </w:r>
            <w:proofErr w:type="spellStart"/>
            <w:r w:rsidRPr="00C03BEB">
              <w:rPr>
                <w:i/>
              </w:rPr>
              <w:t>Procurve</w:t>
            </w:r>
            <w:proofErr w:type="spellEnd"/>
            <w:r w:rsidRPr="0095153E">
              <w:t xml:space="preserve"> 2920-48G vai līdzvērtīgus 2</w:t>
            </w:r>
            <w:r w:rsidR="007C6DCD">
              <w:t> </w:t>
            </w:r>
            <w:r w:rsidRPr="0095153E">
              <w:t>gab</w:t>
            </w:r>
            <w:r w:rsidR="007C6DCD">
              <w:t>.</w:t>
            </w:r>
            <w:r w:rsidRPr="0095153E">
              <w:t xml:space="preserve">) kuri nodrošina iespēju pievienojot papildus komutatorus iegūt, </w:t>
            </w:r>
            <w:r w:rsidR="007C6DCD" w:rsidRPr="0095153E">
              <w:t>3000</w:t>
            </w:r>
            <w:r w:rsidR="007C6DCD">
              <w:t> </w:t>
            </w:r>
            <w:proofErr w:type="spellStart"/>
            <w:r w:rsidR="007C6DCD">
              <w:rPr>
                <w:i/>
              </w:rPr>
              <w:t>euro</w:t>
            </w:r>
            <w:proofErr w:type="spellEnd"/>
            <w:r w:rsidRPr="0095153E">
              <w:t>.</w:t>
            </w:r>
          </w:p>
          <w:p w:rsidR="0095153E" w:rsidRPr="0095153E" w:rsidRDefault="0095153E" w:rsidP="0095153E">
            <w:pPr>
              <w:snapToGrid w:val="0"/>
              <w:jc w:val="both"/>
            </w:pPr>
          </w:p>
          <w:p w:rsidR="0095153E" w:rsidRPr="0095153E" w:rsidRDefault="0095153E" w:rsidP="0095153E">
            <w:pPr>
              <w:suppressAutoHyphens w:val="0"/>
              <w:ind w:left="57" w:right="57"/>
              <w:jc w:val="both"/>
              <w:rPr>
                <w:b/>
                <w:i/>
                <w:u w:val="single"/>
                <w:lang w:eastAsia="lv-LV"/>
              </w:rPr>
            </w:pPr>
            <w:r w:rsidRPr="0095153E">
              <w:t>2018.</w:t>
            </w:r>
            <w:r w:rsidR="007C6DCD">
              <w:t> </w:t>
            </w:r>
            <w:r w:rsidRPr="0095153E">
              <w:t xml:space="preserve">gadā nepieciešami </w:t>
            </w:r>
            <w:r w:rsidR="004F701A">
              <w:t>2</w:t>
            </w:r>
            <w:r w:rsidR="00F80194">
              <w:t>11</w:t>
            </w:r>
            <w:r w:rsidR="00BB2C52">
              <w:t> </w:t>
            </w:r>
            <w:r w:rsidR="00F80194">
              <w:t>237</w:t>
            </w:r>
            <w:r w:rsidR="00BB2C52">
              <w:t> </w:t>
            </w:r>
            <w:proofErr w:type="spellStart"/>
            <w:r w:rsidRPr="0095153E">
              <w:rPr>
                <w:i/>
              </w:rPr>
              <w:t>euro</w:t>
            </w:r>
            <w:proofErr w:type="spellEnd"/>
            <w:r w:rsidRPr="0095153E">
              <w:t>, lai nodrošinātu projekta turpināšanu un pilnīgu darbu pabeigšanu</w:t>
            </w:r>
            <w:r w:rsidR="00374786">
              <w:t>, kā arī veiktu informācijas sistēmas uzturēšanu.</w:t>
            </w:r>
            <w:r w:rsidR="00374786">
              <w:rPr>
                <w:rFonts w:eastAsia="SimSun"/>
                <w:lang w:eastAsia="lv-LV"/>
              </w:rPr>
              <w:t xml:space="preserve"> </w:t>
            </w:r>
            <w:r w:rsidRPr="0095153E">
              <w:rPr>
                <w:b/>
                <w:lang w:eastAsia="lv-LV"/>
              </w:rPr>
              <w:t>Izmaksas 2018.</w:t>
            </w:r>
            <w:r w:rsidR="007C6DCD">
              <w:rPr>
                <w:b/>
                <w:lang w:eastAsia="lv-LV"/>
              </w:rPr>
              <w:t> </w:t>
            </w:r>
            <w:r w:rsidRPr="0095153E">
              <w:rPr>
                <w:b/>
                <w:lang w:eastAsia="lv-LV"/>
              </w:rPr>
              <w:t>gadam (no 1.</w:t>
            </w:r>
            <w:r w:rsidR="007C6DCD">
              <w:rPr>
                <w:b/>
                <w:lang w:eastAsia="lv-LV"/>
              </w:rPr>
              <w:t> </w:t>
            </w:r>
            <w:r w:rsidRPr="0095153E">
              <w:rPr>
                <w:b/>
                <w:lang w:eastAsia="lv-LV"/>
              </w:rPr>
              <w:t>janvāra līdz 31.</w:t>
            </w:r>
            <w:r w:rsidR="007C6DCD">
              <w:rPr>
                <w:b/>
                <w:lang w:eastAsia="lv-LV"/>
              </w:rPr>
              <w:t> </w:t>
            </w:r>
            <w:r w:rsidRPr="0095153E">
              <w:rPr>
                <w:b/>
                <w:lang w:eastAsia="lv-LV"/>
              </w:rPr>
              <w:t xml:space="preserve">decembrim): </w:t>
            </w:r>
            <w:r w:rsidR="004F701A">
              <w:rPr>
                <w:b/>
                <w:lang w:eastAsia="lv-LV"/>
              </w:rPr>
              <w:t>2</w:t>
            </w:r>
            <w:r w:rsidR="00F80194">
              <w:rPr>
                <w:b/>
                <w:lang w:eastAsia="lv-LV"/>
              </w:rPr>
              <w:t>11</w:t>
            </w:r>
            <w:r w:rsidR="00BB2C52">
              <w:rPr>
                <w:b/>
                <w:lang w:eastAsia="lv-LV"/>
              </w:rPr>
              <w:t> </w:t>
            </w:r>
            <w:r w:rsidR="00F80194">
              <w:rPr>
                <w:b/>
                <w:lang w:eastAsia="lv-LV"/>
              </w:rPr>
              <w:t>237</w:t>
            </w:r>
            <w:r w:rsidR="00BB2C52">
              <w:rPr>
                <w:b/>
                <w:lang w:eastAsia="lv-LV"/>
              </w:rPr>
              <w:t> </w:t>
            </w:r>
            <w:proofErr w:type="spellStart"/>
            <w:r w:rsidRPr="0095153E">
              <w:rPr>
                <w:b/>
                <w:i/>
                <w:lang w:eastAsia="lv-LV"/>
              </w:rPr>
              <w:t>euro</w:t>
            </w:r>
            <w:proofErr w:type="spellEnd"/>
          </w:p>
          <w:p w:rsidR="0095153E" w:rsidRPr="0095153E" w:rsidRDefault="0095153E" w:rsidP="0095153E">
            <w:pPr>
              <w:suppressAutoHyphens w:val="0"/>
              <w:ind w:left="57" w:right="57"/>
              <w:jc w:val="both"/>
              <w:rPr>
                <w:u w:val="single"/>
                <w:lang w:eastAsia="lv-LV"/>
              </w:rPr>
            </w:pPr>
            <w:r w:rsidRPr="0095153E">
              <w:rPr>
                <w:u w:val="single"/>
                <w:lang w:eastAsia="lv-LV"/>
              </w:rPr>
              <w:t>Izmaksas 2018.</w:t>
            </w:r>
            <w:r w:rsidR="007C6DCD">
              <w:rPr>
                <w:u w:val="single"/>
                <w:lang w:eastAsia="lv-LV"/>
              </w:rPr>
              <w:t> </w:t>
            </w:r>
            <w:r w:rsidRPr="0095153E">
              <w:rPr>
                <w:u w:val="single"/>
                <w:lang w:eastAsia="lv-LV"/>
              </w:rPr>
              <w:t>gadam (no 1.</w:t>
            </w:r>
            <w:r w:rsidR="007C6DCD">
              <w:rPr>
                <w:u w:val="single"/>
                <w:lang w:eastAsia="lv-LV"/>
              </w:rPr>
              <w:t> </w:t>
            </w:r>
            <w:r w:rsidRPr="0095153E">
              <w:rPr>
                <w:u w:val="single"/>
                <w:lang w:eastAsia="lv-LV"/>
              </w:rPr>
              <w:t>janvāra līdz 31.</w:t>
            </w:r>
            <w:r w:rsidR="007C6DCD">
              <w:rPr>
                <w:u w:val="single"/>
                <w:lang w:eastAsia="lv-LV"/>
              </w:rPr>
              <w:t> </w:t>
            </w:r>
            <w:r w:rsidRPr="0095153E">
              <w:rPr>
                <w:u w:val="single"/>
                <w:lang w:eastAsia="lv-LV"/>
              </w:rPr>
              <w:t xml:space="preserve">martam): </w:t>
            </w:r>
            <w:r w:rsidR="005375A6">
              <w:rPr>
                <w:u w:val="single"/>
                <w:lang w:eastAsia="lv-LV"/>
              </w:rPr>
              <w:t>125</w:t>
            </w:r>
            <w:r w:rsidR="00BB2C52">
              <w:rPr>
                <w:u w:val="single"/>
                <w:lang w:eastAsia="lv-LV"/>
              </w:rPr>
              <w:t> </w:t>
            </w:r>
            <w:r w:rsidR="005375A6">
              <w:rPr>
                <w:u w:val="single"/>
                <w:lang w:eastAsia="lv-LV"/>
              </w:rPr>
              <w:t>886</w:t>
            </w:r>
            <w:r w:rsidR="007C6DCD">
              <w:rPr>
                <w:u w:val="single"/>
                <w:lang w:eastAsia="lv-LV"/>
              </w:rPr>
              <w:t> </w:t>
            </w:r>
            <w:proofErr w:type="spellStart"/>
            <w:r w:rsidRPr="0095153E">
              <w:rPr>
                <w:i/>
                <w:u w:val="single"/>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 xml:space="preserve">Kopā: Atlīdzība (EKK 1000) – </w:t>
            </w:r>
            <w:r w:rsidR="006C7B33">
              <w:rPr>
                <w:b/>
                <w:lang w:eastAsia="lv-LV"/>
              </w:rPr>
              <w:t>1</w:t>
            </w:r>
            <w:r w:rsidR="00270E17">
              <w:rPr>
                <w:b/>
                <w:lang w:eastAsia="lv-LV"/>
              </w:rPr>
              <w:t>25</w:t>
            </w:r>
            <w:r w:rsidR="00BB2C52">
              <w:rPr>
                <w:b/>
                <w:lang w:eastAsia="lv-LV"/>
              </w:rPr>
              <w:t> </w:t>
            </w:r>
            <w:r w:rsidR="00270E17">
              <w:rPr>
                <w:b/>
                <w:lang w:eastAsia="lv-LV"/>
              </w:rPr>
              <w:t>886</w:t>
            </w:r>
            <w:r w:rsidR="00BB2C52">
              <w:rPr>
                <w:b/>
                <w:lang w:eastAsia="lv-LV"/>
              </w:rPr>
              <w:t> </w:t>
            </w:r>
            <w:proofErr w:type="spellStart"/>
            <w:r w:rsidRPr="0095153E">
              <w:rPr>
                <w:b/>
                <w:i/>
                <w:lang w:eastAsia="lv-LV"/>
              </w:rPr>
              <w:t>euro</w:t>
            </w:r>
            <w:proofErr w:type="spellEnd"/>
            <w:r w:rsidRPr="0095153E">
              <w:rPr>
                <w:lang w:eastAsia="lv-LV"/>
              </w:rPr>
              <w:t xml:space="preserve"> (t.sk. atalgojums </w:t>
            </w:r>
            <w:r w:rsidR="006C7B33">
              <w:rPr>
                <w:lang w:eastAsia="lv-LV"/>
              </w:rPr>
              <w:t>1</w:t>
            </w:r>
            <w:r w:rsidR="00270E17">
              <w:rPr>
                <w:lang w:eastAsia="lv-LV"/>
              </w:rPr>
              <w:t>01</w:t>
            </w:r>
            <w:r w:rsidR="00BB2C52">
              <w:rPr>
                <w:lang w:eastAsia="lv-LV"/>
              </w:rPr>
              <w:t> </w:t>
            </w:r>
            <w:r w:rsidR="00270E17">
              <w:rPr>
                <w:lang w:eastAsia="lv-LV"/>
              </w:rPr>
              <w:t>858</w:t>
            </w:r>
            <w:r w:rsidR="007C6DCD">
              <w:rPr>
                <w:lang w:eastAsia="lv-LV"/>
              </w:rPr>
              <w:t> </w:t>
            </w:r>
            <w:proofErr w:type="spellStart"/>
            <w:r w:rsidRPr="0095153E">
              <w:rPr>
                <w:i/>
                <w:lang w:eastAsia="lv-LV"/>
              </w:rPr>
              <w:t>euro</w:t>
            </w:r>
            <w:proofErr w:type="spellEnd"/>
            <w:r w:rsidRPr="0095153E">
              <w:rPr>
                <w:lang w:eastAsia="lv-LV"/>
              </w:rPr>
              <w:t>, VSAOI</w:t>
            </w:r>
            <w:r w:rsidR="00CB34EB">
              <w:rPr>
                <w:lang w:eastAsia="lv-LV"/>
              </w:rPr>
              <w:t xml:space="preserve"> 23.59</w:t>
            </w:r>
            <w:r w:rsidR="007C6DCD">
              <w:rPr>
                <w:lang w:eastAsia="lv-LV"/>
              </w:rPr>
              <w:t> </w:t>
            </w:r>
            <w:r w:rsidR="00CB34EB">
              <w:rPr>
                <w:lang w:eastAsia="lv-LV"/>
              </w:rPr>
              <w:t>%</w:t>
            </w:r>
            <w:r w:rsidRPr="0095153E">
              <w:rPr>
                <w:lang w:eastAsia="lv-LV"/>
              </w:rPr>
              <w:t xml:space="preserve">– </w:t>
            </w:r>
            <w:r w:rsidR="00270E17">
              <w:rPr>
                <w:lang w:eastAsia="lv-LV"/>
              </w:rPr>
              <w:t>24</w:t>
            </w:r>
            <w:r w:rsidR="00BB2C52">
              <w:rPr>
                <w:lang w:eastAsia="lv-LV"/>
              </w:rPr>
              <w:t> </w:t>
            </w:r>
            <w:r w:rsidR="00270E17">
              <w:rPr>
                <w:lang w:eastAsia="lv-LV"/>
              </w:rPr>
              <w:t>028</w:t>
            </w:r>
            <w:r w:rsidR="00BB2C52">
              <w:rPr>
                <w:lang w:eastAsia="lv-LV"/>
              </w:rPr>
              <w:t> </w:t>
            </w:r>
            <w:proofErr w:type="spellStart"/>
            <w:r w:rsidRPr="0095153E">
              <w:rPr>
                <w:i/>
                <w:lang w:eastAsia="lv-LV"/>
              </w:rPr>
              <w:t>euro</w:t>
            </w:r>
            <w:proofErr w:type="spellEnd"/>
            <w:r w:rsidRPr="0095153E">
              <w:rPr>
                <w:lang w:eastAsia="lv-LV"/>
              </w:rPr>
              <w:t xml:space="preserve">): </w:t>
            </w:r>
          </w:p>
          <w:p w:rsidR="0095153E" w:rsidRPr="0095153E" w:rsidRDefault="0095153E" w:rsidP="0095153E">
            <w:pPr>
              <w:suppressAutoHyphens w:val="0"/>
              <w:spacing w:before="75" w:after="75"/>
              <w:ind w:left="57" w:right="57"/>
              <w:jc w:val="both"/>
              <w:rPr>
                <w:highlight w:val="yellow"/>
                <w:lang w:eastAsia="lv-LV"/>
              </w:rPr>
            </w:pPr>
            <w:r w:rsidRPr="0095153E">
              <w:rPr>
                <w:lang w:eastAsia="lv-LV"/>
              </w:rPr>
              <w:t>1.</w:t>
            </w:r>
            <w:r w:rsidR="00D63824">
              <w:rPr>
                <w:lang w:eastAsia="lv-LV"/>
              </w:rPr>
              <w:t> </w:t>
            </w:r>
            <w:r w:rsidRPr="0095153E">
              <w:rPr>
                <w:lang w:eastAsia="lv-LV"/>
              </w:rPr>
              <w:t xml:space="preserve">Atlīdzība (EKK 1000) </w:t>
            </w:r>
            <w:r w:rsidR="00F95282">
              <w:rPr>
                <w:lang w:eastAsia="lv-LV"/>
              </w:rPr>
              <w:t>114</w:t>
            </w:r>
            <w:r w:rsidR="00BB2C52">
              <w:rPr>
                <w:lang w:eastAsia="lv-LV"/>
              </w:rPr>
              <w:t> </w:t>
            </w:r>
            <w:r w:rsidR="00F95282">
              <w:rPr>
                <w:lang w:eastAsia="lv-LV"/>
              </w:rPr>
              <w:t>863</w:t>
            </w:r>
            <w:r w:rsidR="00BB2C52">
              <w:rPr>
                <w:lang w:eastAsia="lv-LV"/>
              </w:rPr>
              <w:t> </w:t>
            </w:r>
            <w:proofErr w:type="spellStart"/>
            <w:r w:rsidRPr="0095153E">
              <w:rPr>
                <w:i/>
                <w:lang w:eastAsia="lv-LV"/>
              </w:rPr>
              <w:t>euro</w:t>
            </w:r>
            <w:proofErr w:type="spellEnd"/>
            <w:r w:rsidRPr="0095153E">
              <w:rPr>
                <w:lang w:eastAsia="lv-LV"/>
              </w:rPr>
              <w:t xml:space="preserve"> (t.sk. atalgojums </w:t>
            </w:r>
            <w:r w:rsidR="00F95282">
              <w:rPr>
                <w:lang w:eastAsia="lv-LV"/>
              </w:rPr>
              <w:t>92</w:t>
            </w:r>
            <w:r w:rsidR="00BB2C52">
              <w:rPr>
                <w:lang w:eastAsia="lv-LV"/>
              </w:rPr>
              <w:t> </w:t>
            </w:r>
            <w:r w:rsidR="00F95282">
              <w:rPr>
                <w:lang w:eastAsia="lv-LV"/>
              </w:rPr>
              <w:t>939</w:t>
            </w:r>
            <w:r w:rsidR="00BB2C52">
              <w:rPr>
                <w:lang w:eastAsia="lv-LV"/>
              </w:rPr>
              <w:t> </w:t>
            </w:r>
            <w:proofErr w:type="spellStart"/>
            <w:r w:rsidRPr="0095153E">
              <w:rPr>
                <w:i/>
                <w:lang w:eastAsia="lv-LV"/>
              </w:rPr>
              <w:t>euro</w:t>
            </w:r>
            <w:proofErr w:type="spellEnd"/>
            <w:r w:rsidRPr="0095153E">
              <w:rPr>
                <w:lang w:eastAsia="lv-LV"/>
              </w:rPr>
              <w:t>, VSAOI</w:t>
            </w:r>
            <w:r w:rsidR="009039C2">
              <w:rPr>
                <w:lang w:eastAsia="lv-LV"/>
              </w:rPr>
              <w:t xml:space="preserve"> 23.59</w:t>
            </w:r>
            <w:r w:rsidR="007C6DCD">
              <w:rPr>
                <w:lang w:eastAsia="lv-LV"/>
              </w:rPr>
              <w:t> </w:t>
            </w:r>
            <w:r w:rsidR="009039C2">
              <w:rPr>
                <w:lang w:eastAsia="lv-LV"/>
              </w:rPr>
              <w:t>%</w:t>
            </w:r>
            <w:r w:rsidRPr="0095153E">
              <w:rPr>
                <w:b/>
                <w:lang w:eastAsia="lv-LV"/>
              </w:rPr>
              <w:t>-</w:t>
            </w:r>
            <w:r w:rsidRPr="0095153E">
              <w:rPr>
                <w:lang w:eastAsia="lv-LV"/>
              </w:rPr>
              <w:t xml:space="preserve"> </w:t>
            </w:r>
            <w:r w:rsidR="00700248">
              <w:rPr>
                <w:lang w:eastAsia="lv-LV"/>
              </w:rPr>
              <w:t>2</w:t>
            </w:r>
            <w:r w:rsidR="00F95282">
              <w:rPr>
                <w:lang w:eastAsia="lv-LV"/>
              </w:rPr>
              <w:t>1</w:t>
            </w:r>
            <w:r w:rsidR="00BB2C52">
              <w:rPr>
                <w:lang w:eastAsia="lv-LV"/>
              </w:rPr>
              <w:t> </w:t>
            </w:r>
            <w:r w:rsidR="00F95282">
              <w:rPr>
                <w:lang w:eastAsia="lv-LV"/>
              </w:rPr>
              <w:t>924</w:t>
            </w:r>
            <w:r w:rsidR="00BB2C52">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95153E">
            <w:pPr>
              <w:suppressAutoHyphens w:val="0"/>
              <w:spacing w:before="75" w:after="75"/>
              <w:ind w:left="57" w:right="57"/>
              <w:jc w:val="both"/>
              <w:rPr>
                <w:i/>
                <w:lang w:eastAsia="lv-LV"/>
              </w:rPr>
            </w:pPr>
            <w:r w:rsidRPr="0095153E">
              <w:rPr>
                <w:lang w:eastAsia="lv-LV"/>
              </w:rPr>
              <w:t>1.1.</w:t>
            </w:r>
            <w:r w:rsidR="00D63824">
              <w:rPr>
                <w:lang w:eastAsia="lv-LV"/>
              </w:rPr>
              <w:t> </w:t>
            </w:r>
            <w:r w:rsidRPr="0095153E">
              <w:rPr>
                <w:lang w:eastAsia="lv-LV"/>
              </w:rPr>
              <w:t>Mēnešalga projektu vadītājam (nodaļas vadītājs) un 2</w:t>
            </w:r>
            <w:r w:rsidR="00BB2C52">
              <w:rPr>
                <w:lang w:eastAsia="lv-LV"/>
              </w:rPr>
              <w:t> </w:t>
            </w:r>
            <w:proofErr w:type="spellStart"/>
            <w:r w:rsidRPr="0095153E">
              <w:rPr>
                <w:lang w:eastAsia="lv-LV"/>
              </w:rPr>
              <w:t>sistēmanalītiķiem</w:t>
            </w:r>
            <w:proofErr w:type="spellEnd"/>
            <w:r w:rsidRPr="0095153E">
              <w:rPr>
                <w:lang w:eastAsia="lv-LV"/>
              </w:rPr>
              <w:t xml:space="preserve"> (19.4</w:t>
            </w:r>
            <w:r w:rsidR="00D63824">
              <w:rPr>
                <w:lang w:eastAsia="lv-LV"/>
              </w:rPr>
              <w:t>. </w:t>
            </w:r>
            <w:r w:rsidRPr="0095153E">
              <w:rPr>
                <w:lang w:eastAsia="lv-LV"/>
              </w:rPr>
              <w:t>amatu saimes V</w:t>
            </w:r>
            <w:r w:rsidR="00D63824">
              <w:rPr>
                <w:lang w:eastAsia="lv-LV"/>
              </w:rPr>
              <w:t> </w:t>
            </w:r>
            <w:r w:rsidRPr="0095153E">
              <w:rPr>
                <w:lang w:eastAsia="lv-LV"/>
              </w:rPr>
              <w:t>līmeņa 13.</w:t>
            </w:r>
            <w:r w:rsidR="00D63824">
              <w:rPr>
                <w:lang w:eastAsia="lv-LV"/>
              </w:rPr>
              <w:t> </w:t>
            </w:r>
            <w:r w:rsidRPr="0095153E">
              <w:rPr>
                <w:lang w:eastAsia="lv-LV"/>
              </w:rPr>
              <w:t>mēnešalgu grupa, 3.</w:t>
            </w:r>
            <w:r w:rsidR="007C6DCD">
              <w:rPr>
                <w:lang w:eastAsia="lv-LV"/>
              </w:rPr>
              <w:t> </w:t>
            </w:r>
            <w:r w:rsidRPr="0095153E">
              <w:rPr>
                <w:lang w:eastAsia="lv-LV"/>
              </w:rPr>
              <w:t>kategorija) 1917</w:t>
            </w:r>
            <w:r w:rsidR="007C6DCD">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xml:space="preserve"> x 3 </w:t>
            </w:r>
            <w:proofErr w:type="spellStart"/>
            <w:r w:rsidRPr="0095153E">
              <w:rPr>
                <w:lang w:eastAsia="lv-LV"/>
              </w:rPr>
              <w:t>mēn</w:t>
            </w:r>
            <w:proofErr w:type="spellEnd"/>
            <w:r w:rsidRPr="0095153E">
              <w:rPr>
                <w:lang w:eastAsia="lv-LV"/>
              </w:rPr>
              <w:t>.</w:t>
            </w:r>
            <w:r w:rsidRPr="0095153E">
              <w:rPr>
                <w:i/>
                <w:lang w:eastAsia="lv-LV"/>
              </w:rPr>
              <w:t xml:space="preserve"> </w:t>
            </w:r>
            <w:r w:rsidRPr="0095153E">
              <w:rPr>
                <w:lang w:eastAsia="lv-LV"/>
              </w:rPr>
              <w:t>x 3 amata vietas = 17</w:t>
            </w:r>
            <w:r w:rsidR="007C6DCD">
              <w:rPr>
                <w:lang w:eastAsia="lv-LV"/>
              </w:rPr>
              <w:t> </w:t>
            </w:r>
            <w:r w:rsidRPr="0095153E">
              <w:rPr>
                <w:lang w:eastAsia="lv-LV"/>
              </w:rPr>
              <w:t>253</w:t>
            </w:r>
            <w:r w:rsidR="007C6DCD">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1.1.1.</w:t>
            </w:r>
            <w:r w:rsidR="00D63824">
              <w:rPr>
                <w:lang w:eastAsia="lv-LV"/>
              </w:rPr>
              <w:t> </w:t>
            </w:r>
            <w:r w:rsidR="001530F5" w:rsidRPr="0095153E">
              <w:rPr>
                <w:lang w:eastAsia="lv-LV"/>
              </w:rPr>
              <w:t>Motivācijas piemaksa 40</w:t>
            </w:r>
            <w:r w:rsidR="001530F5">
              <w:rPr>
                <w:lang w:eastAsia="lv-LV"/>
              </w:rPr>
              <w:t> </w:t>
            </w:r>
            <w:r w:rsidR="001530F5" w:rsidRPr="0095153E">
              <w:rPr>
                <w:lang w:eastAsia="lv-LV"/>
              </w:rPr>
              <w:t>%</w:t>
            </w:r>
            <w:r w:rsidRPr="0095153E">
              <w:rPr>
                <w:lang w:eastAsia="lv-LV"/>
              </w:rPr>
              <w:t xml:space="preserve"> apmērā no plānotās mēnešalgu kopsummas –</w:t>
            </w:r>
            <w:r w:rsidRPr="0095153E">
              <w:rPr>
                <w:i/>
                <w:lang w:eastAsia="lv-LV"/>
              </w:rPr>
              <w:t xml:space="preserve"> </w:t>
            </w:r>
            <w:r w:rsidR="00FA0EC4">
              <w:rPr>
                <w:lang w:eastAsia="lv-LV"/>
              </w:rPr>
              <w:t>6901</w:t>
            </w:r>
            <w:r w:rsidR="007C6DCD">
              <w:rPr>
                <w:i/>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1.1.2.</w:t>
            </w:r>
            <w:r w:rsidR="00D63824">
              <w:rPr>
                <w:lang w:eastAsia="lv-LV"/>
              </w:rPr>
              <w:t> </w:t>
            </w:r>
            <w:r w:rsidRPr="0095153E">
              <w:rPr>
                <w:lang w:eastAsia="lv-LV"/>
              </w:rPr>
              <w:t>Neizmantotais atvaļinājums 100</w:t>
            </w:r>
            <w:r w:rsidR="007C6DCD">
              <w:rPr>
                <w:lang w:eastAsia="lv-LV"/>
              </w:rPr>
              <w:t> </w:t>
            </w:r>
            <w:r w:rsidRPr="0095153E">
              <w:rPr>
                <w:lang w:eastAsia="lv-LV"/>
              </w:rPr>
              <w:t>% apmērā no plānotās mēnešalgas projektu vadītājam (ņemot vērā, ka nepieciešams paredzēt risku, ka darba apjoma dēļ projekta īstenošanas periodā nodarbinātai</w:t>
            </w:r>
            <w:r w:rsidR="00D63824">
              <w:rPr>
                <w:lang w:eastAsia="lv-LV"/>
              </w:rPr>
              <w:t>s</w:t>
            </w:r>
            <w:r w:rsidRPr="0095153E">
              <w:rPr>
                <w:lang w:eastAsia="lv-LV"/>
              </w:rPr>
              <w:t xml:space="preserve"> nevarēs doties ikgadējā atvaļinājumā)</w:t>
            </w:r>
            <w:r w:rsidR="007C6DCD">
              <w:rPr>
                <w:lang w:eastAsia="lv-LV"/>
              </w:rPr>
              <w:t xml:space="preserve"> </w:t>
            </w:r>
            <w:r w:rsidRPr="0095153E">
              <w:rPr>
                <w:lang w:eastAsia="lv-LV"/>
              </w:rPr>
              <w:t>– 1917</w:t>
            </w:r>
            <w:r w:rsidR="007C6DCD">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Ņemot vērā, ka 2</w:t>
            </w:r>
            <w:r w:rsidR="00BB2C52">
              <w:rPr>
                <w:lang w:eastAsia="lv-LV"/>
              </w:rPr>
              <w:t> </w:t>
            </w:r>
            <w:r w:rsidRPr="0095153E">
              <w:rPr>
                <w:lang w:eastAsia="lv-LV"/>
              </w:rPr>
              <w:t>sistēmanalītiķi turpinās darba saistības līdz 2018.</w:t>
            </w:r>
            <w:r w:rsidR="007C6DCD">
              <w:rPr>
                <w:lang w:eastAsia="lv-LV"/>
              </w:rPr>
              <w:t> </w:t>
            </w:r>
            <w:r w:rsidRPr="0095153E">
              <w:rPr>
                <w:lang w:eastAsia="lv-LV"/>
              </w:rPr>
              <w:t>gada 31.</w:t>
            </w:r>
            <w:r w:rsidR="007C6DCD">
              <w:rPr>
                <w:lang w:eastAsia="lv-LV"/>
              </w:rPr>
              <w:t> </w:t>
            </w:r>
            <w:r w:rsidRPr="0095153E">
              <w:rPr>
                <w:lang w:eastAsia="lv-LV"/>
              </w:rPr>
              <w:t>decembrim, šiem nodarbinātajiem plānots nodrošināt došanos ikgadējā atvaļinājumā jebkurā gadījumā un nav nepieciešams paredzēt neizmantotā atvaļinājuma risku.</w:t>
            </w:r>
          </w:p>
          <w:p w:rsidR="0095153E" w:rsidRPr="0095153E" w:rsidRDefault="0095153E" w:rsidP="0095153E">
            <w:pPr>
              <w:suppressAutoHyphens w:val="0"/>
              <w:spacing w:before="75" w:after="75"/>
              <w:ind w:left="57" w:right="57"/>
              <w:jc w:val="both"/>
              <w:rPr>
                <w:i/>
                <w:lang w:eastAsia="lv-LV"/>
              </w:rPr>
            </w:pPr>
            <w:r w:rsidRPr="0095153E">
              <w:rPr>
                <w:lang w:eastAsia="lv-LV"/>
              </w:rPr>
              <w:t>1.2.</w:t>
            </w:r>
            <w:r w:rsidR="00D63824">
              <w:rPr>
                <w:lang w:eastAsia="lv-LV"/>
              </w:rPr>
              <w:t> </w:t>
            </w:r>
            <w:r w:rsidRPr="0095153E">
              <w:rPr>
                <w:lang w:eastAsia="lv-LV"/>
              </w:rPr>
              <w:t xml:space="preserve">Mēnešalga </w:t>
            </w:r>
            <w:r w:rsidR="002E4809">
              <w:rPr>
                <w:lang w:eastAsia="lv-LV"/>
              </w:rPr>
              <w:t>6</w:t>
            </w:r>
            <w:r w:rsidR="00BB2C52">
              <w:rPr>
                <w:lang w:eastAsia="lv-LV"/>
              </w:rPr>
              <w:t> </w:t>
            </w:r>
            <w:r w:rsidRPr="0095153E">
              <w:rPr>
                <w:lang w:eastAsia="lv-LV"/>
              </w:rPr>
              <w:t>programmētājiem, 2</w:t>
            </w:r>
            <w:r w:rsidR="00BB2C52">
              <w:rPr>
                <w:lang w:eastAsia="lv-LV"/>
              </w:rPr>
              <w:t> </w:t>
            </w:r>
            <w:r w:rsidRPr="0095153E">
              <w:rPr>
                <w:lang w:eastAsia="lv-LV"/>
              </w:rPr>
              <w:t>biznesa sistēmu analītiķi</w:t>
            </w:r>
            <w:r w:rsidR="00BB2C52">
              <w:rPr>
                <w:lang w:eastAsia="lv-LV"/>
              </w:rPr>
              <w:t>em</w:t>
            </w:r>
            <w:r w:rsidRPr="0095153E">
              <w:rPr>
                <w:lang w:eastAsia="lv-LV"/>
              </w:rPr>
              <w:t xml:space="preserve"> (</w:t>
            </w:r>
            <w:r w:rsidRPr="003F3CA0">
              <w:rPr>
                <w:lang w:eastAsia="lv-LV"/>
              </w:rPr>
              <w:t>19.4</w:t>
            </w:r>
            <w:r w:rsidR="00D63824" w:rsidRPr="003F3CA0">
              <w:rPr>
                <w:lang w:eastAsia="lv-LV"/>
              </w:rPr>
              <w:t>. </w:t>
            </w:r>
            <w:r w:rsidRPr="003F3CA0">
              <w:rPr>
                <w:lang w:eastAsia="lv-LV"/>
              </w:rPr>
              <w:t xml:space="preserve">amatu saimes </w:t>
            </w:r>
            <w:r w:rsidR="00F70C57">
              <w:rPr>
                <w:lang w:eastAsia="lv-LV"/>
              </w:rPr>
              <w:t>IV</w:t>
            </w:r>
            <w:r w:rsidR="00D63824" w:rsidRPr="003F3CA0">
              <w:rPr>
                <w:lang w:eastAsia="lv-LV"/>
              </w:rPr>
              <w:t> </w:t>
            </w:r>
            <w:r w:rsidRPr="003F3CA0">
              <w:rPr>
                <w:lang w:eastAsia="lv-LV"/>
              </w:rPr>
              <w:t>līmeņa</w:t>
            </w:r>
            <w:r w:rsidRPr="0095153E">
              <w:rPr>
                <w:lang w:eastAsia="lv-LV"/>
              </w:rPr>
              <w:t xml:space="preserve"> </w:t>
            </w:r>
            <w:r w:rsidR="002113DE" w:rsidRPr="0095153E">
              <w:rPr>
                <w:lang w:eastAsia="lv-LV"/>
              </w:rPr>
              <w:t>1</w:t>
            </w:r>
            <w:r w:rsidR="002113DE">
              <w:rPr>
                <w:lang w:eastAsia="lv-LV"/>
              </w:rPr>
              <w:t>2</w:t>
            </w:r>
            <w:r w:rsidRPr="0095153E">
              <w:rPr>
                <w:lang w:eastAsia="lv-LV"/>
              </w:rPr>
              <w:t>.</w:t>
            </w:r>
            <w:r w:rsidR="007C6DCD">
              <w:rPr>
                <w:lang w:eastAsia="lv-LV"/>
              </w:rPr>
              <w:t> </w:t>
            </w:r>
            <w:r w:rsidRPr="0095153E">
              <w:rPr>
                <w:lang w:eastAsia="lv-LV"/>
              </w:rPr>
              <w:t>mēnešalgu grupa, 3.</w:t>
            </w:r>
            <w:r w:rsidR="007C6DCD">
              <w:rPr>
                <w:lang w:eastAsia="lv-LV"/>
              </w:rPr>
              <w:t> </w:t>
            </w:r>
            <w:r w:rsidRPr="0095153E">
              <w:rPr>
                <w:lang w:eastAsia="lv-LV"/>
              </w:rPr>
              <w:t xml:space="preserve">kategorija) </w:t>
            </w:r>
            <w:r w:rsidR="002113DE" w:rsidRPr="0095153E">
              <w:rPr>
                <w:lang w:eastAsia="lv-LV"/>
              </w:rPr>
              <w:t>1</w:t>
            </w:r>
            <w:r w:rsidR="002113DE">
              <w:rPr>
                <w:lang w:eastAsia="lv-LV"/>
              </w:rPr>
              <w:t>64</w:t>
            </w:r>
            <w:r w:rsidR="002113DE" w:rsidRPr="0095153E">
              <w:rPr>
                <w:lang w:eastAsia="lv-LV"/>
              </w:rPr>
              <w:t>7</w:t>
            </w:r>
            <w:r w:rsidR="002113DE">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xml:space="preserve"> x 3 </w:t>
            </w:r>
            <w:proofErr w:type="spellStart"/>
            <w:r w:rsidRPr="0095153E">
              <w:rPr>
                <w:lang w:eastAsia="lv-LV"/>
              </w:rPr>
              <w:t>mēn</w:t>
            </w:r>
            <w:proofErr w:type="spellEnd"/>
            <w:r w:rsidRPr="0095153E">
              <w:rPr>
                <w:lang w:eastAsia="lv-LV"/>
              </w:rPr>
              <w:t>.</w:t>
            </w:r>
            <w:r w:rsidRPr="0095153E">
              <w:rPr>
                <w:i/>
                <w:lang w:eastAsia="lv-LV"/>
              </w:rPr>
              <w:t xml:space="preserve"> </w:t>
            </w:r>
            <w:r w:rsidRPr="0095153E">
              <w:rPr>
                <w:lang w:eastAsia="lv-LV"/>
              </w:rPr>
              <w:t xml:space="preserve">x </w:t>
            </w:r>
            <w:r w:rsidR="00CE72CA">
              <w:rPr>
                <w:lang w:eastAsia="lv-LV"/>
              </w:rPr>
              <w:t>8</w:t>
            </w:r>
            <w:r w:rsidR="007547A5" w:rsidRPr="0095153E">
              <w:rPr>
                <w:lang w:eastAsia="lv-LV"/>
              </w:rPr>
              <w:t xml:space="preserve"> </w:t>
            </w:r>
            <w:r w:rsidRPr="0095153E">
              <w:rPr>
                <w:lang w:eastAsia="lv-LV"/>
              </w:rPr>
              <w:t xml:space="preserve">amata vietas = </w:t>
            </w:r>
            <w:r w:rsidR="00CE72CA">
              <w:rPr>
                <w:lang w:eastAsia="lv-LV"/>
              </w:rPr>
              <w:t>39</w:t>
            </w:r>
            <w:r w:rsidR="00BB2C52">
              <w:rPr>
                <w:lang w:eastAsia="lv-LV"/>
              </w:rPr>
              <w:t> </w:t>
            </w:r>
            <w:r w:rsidR="00CE72CA">
              <w:rPr>
                <w:lang w:eastAsia="lv-LV"/>
              </w:rPr>
              <w:t>528</w:t>
            </w:r>
            <w:r w:rsidR="00BB2C52">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i/>
                <w:lang w:eastAsia="lv-LV"/>
              </w:rPr>
            </w:pPr>
            <w:r w:rsidRPr="0095153E">
              <w:rPr>
                <w:lang w:eastAsia="lv-LV"/>
              </w:rPr>
              <w:t>1.2.</w:t>
            </w:r>
            <w:r w:rsidR="0096480B">
              <w:rPr>
                <w:lang w:eastAsia="lv-LV"/>
              </w:rPr>
              <w:t>1</w:t>
            </w:r>
            <w:r w:rsidRPr="0095153E">
              <w:rPr>
                <w:lang w:eastAsia="lv-LV"/>
              </w:rPr>
              <w:t>.</w:t>
            </w:r>
            <w:r w:rsidR="00D63824">
              <w:rPr>
                <w:lang w:eastAsia="lv-LV"/>
              </w:rPr>
              <w:t> </w:t>
            </w:r>
            <w:r w:rsidRPr="0095153E">
              <w:rPr>
                <w:lang w:eastAsia="lv-LV"/>
              </w:rPr>
              <w:t>Motivācijas piemaksa 40</w:t>
            </w:r>
            <w:r w:rsidR="007C6DCD">
              <w:rPr>
                <w:lang w:eastAsia="lv-LV"/>
              </w:rPr>
              <w:t> </w:t>
            </w:r>
            <w:r w:rsidRPr="0095153E">
              <w:rPr>
                <w:lang w:eastAsia="lv-LV"/>
              </w:rPr>
              <w:t>% apmērā no plānotās mēnešalgu kopsummas –</w:t>
            </w:r>
            <w:r w:rsidRPr="0095153E">
              <w:rPr>
                <w:i/>
                <w:lang w:eastAsia="lv-LV"/>
              </w:rPr>
              <w:t xml:space="preserve"> </w:t>
            </w:r>
            <w:r w:rsidR="00CE72CA">
              <w:rPr>
                <w:lang w:eastAsia="lv-LV"/>
              </w:rPr>
              <w:t>15</w:t>
            </w:r>
            <w:r w:rsidR="00BB2C52">
              <w:rPr>
                <w:lang w:eastAsia="lv-LV"/>
              </w:rPr>
              <w:t> </w:t>
            </w:r>
            <w:r w:rsidR="00CE72CA">
              <w:rPr>
                <w:lang w:eastAsia="lv-LV"/>
              </w:rPr>
              <w:t>811</w:t>
            </w:r>
            <w:r w:rsidR="007547A5">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i/>
                <w:lang w:eastAsia="lv-LV"/>
              </w:rPr>
            </w:pPr>
            <w:r w:rsidRPr="0095153E">
              <w:rPr>
                <w:lang w:eastAsia="lv-LV"/>
              </w:rPr>
              <w:t>1.2.</w:t>
            </w:r>
            <w:r w:rsidR="0096480B">
              <w:rPr>
                <w:lang w:eastAsia="lv-LV"/>
              </w:rPr>
              <w:t>2</w:t>
            </w:r>
            <w:r w:rsidRPr="0095153E">
              <w:rPr>
                <w:lang w:eastAsia="lv-LV"/>
              </w:rPr>
              <w:t>.</w:t>
            </w:r>
            <w:r w:rsidR="00D63824">
              <w:rPr>
                <w:lang w:eastAsia="lv-LV"/>
              </w:rPr>
              <w:t> </w:t>
            </w:r>
            <w:r w:rsidRPr="0095153E">
              <w:rPr>
                <w:lang w:eastAsia="lv-LV"/>
              </w:rPr>
              <w:t>Neizmantotais atvaļinājums 100</w:t>
            </w:r>
            <w:r w:rsidR="00D31996">
              <w:rPr>
                <w:lang w:eastAsia="lv-LV"/>
              </w:rPr>
              <w:t> </w:t>
            </w:r>
            <w:r w:rsidRPr="0095153E">
              <w:rPr>
                <w:lang w:eastAsia="lv-LV"/>
              </w:rPr>
              <w:t xml:space="preserve">% apmērā no plānotās mēnešalgas </w:t>
            </w:r>
            <w:r w:rsidR="00B63F14">
              <w:rPr>
                <w:lang w:eastAsia="lv-LV"/>
              </w:rPr>
              <w:t>5</w:t>
            </w:r>
            <w:r w:rsidR="00BB2C52">
              <w:rPr>
                <w:lang w:eastAsia="lv-LV"/>
              </w:rPr>
              <w:t> </w:t>
            </w:r>
            <w:r w:rsidRPr="0095153E">
              <w:rPr>
                <w:lang w:eastAsia="lv-LV"/>
              </w:rPr>
              <w:t>programmētāj</w:t>
            </w:r>
            <w:r w:rsidR="00D31996">
              <w:rPr>
                <w:lang w:eastAsia="lv-LV"/>
              </w:rPr>
              <w:t>ie</w:t>
            </w:r>
            <w:r w:rsidRPr="0095153E">
              <w:rPr>
                <w:lang w:eastAsia="lv-LV"/>
              </w:rPr>
              <w:t>m un 2</w:t>
            </w:r>
            <w:r w:rsidR="00BB2C52">
              <w:rPr>
                <w:lang w:eastAsia="lv-LV"/>
              </w:rPr>
              <w:t> </w:t>
            </w:r>
            <w:r w:rsidRPr="0095153E">
              <w:rPr>
                <w:lang w:eastAsia="lv-LV"/>
              </w:rPr>
              <w:t>biznesa sistēmu analītiķiem (ņemot vērā, ka nepieciešams paredzēt risku, ka darba apjoma dēļ projekta īstenošanas periodā nodarbinātie nevarēs doties ikgadējā atvaļinājumā)</w:t>
            </w:r>
            <w:r w:rsidR="00D31996">
              <w:rPr>
                <w:lang w:eastAsia="lv-LV"/>
              </w:rPr>
              <w:t xml:space="preserve"> </w:t>
            </w:r>
            <w:r w:rsidRPr="0095153E">
              <w:rPr>
                <w:lang w:eastAsia="lv-LV"/>
              </w:rPr>
              <w:t xml:space="preserve">– </w:t>
            </w:r>
            <w:r w:rsidR="00B63F14" w:rsidRPr="0095153E">
              <w:rPr>
                <w:lang w:eastAsia="lv-LV"/>
              </w:rPr>
              <w:t>1</w:t>
            </w:r>
            <w:r w:rsidR="00B63F14">
              <w:rPr>
                <w:lang w:eastAsia="lv-LV"/>
              </w:rPr>
              <w:t>64</w:t>
            </w:r>
            <w:r w:rsidR="00B63F14" w:rsidRPr="0095153E">
              <w:rPr>
                <w:lang w:eastAsia="lv-LV"/>
              </w:rPr>
              <w:t>7</w:t>
            </w:r>
            <w:r w:rsidR="00B63F14">
              <w:rPr>
                <w:lang w:eastAsia="lv-LV"/>
              </w:rPr>
              <w:t> </w:t>
            </w:r>
            <w:proofErr w:type="spellStart"/>
            <w:r w:rsidRPr="0095153E">
              <w:rPr>
                <w:i/>
                <w:lang w:eastAsia="lv-LV"/>
              </w:rPr>
              <w:t>euro</w:t>
            </w:r>
            <w:proofErr w:type="spellEnd"/>
            <w:r w:rsidRPr="0095153E">
              <w:rPr>
                <w:lang w:eastAsia="lv-LV"/>
              </w:rPr>
              <w:t xml:space="preserve"> x </w:t>
            </w:r>
            <w:r w:rsidR="00B63F14">
              <w:rPr>
                <w:lang w:eastAsia="lv-LV"/>
              </w:rPr>
              <w:t>7</w:t>
            </w:r>
            <w:r w:rsidR="007E74E2" w:rsidRPr="0095153E">
              <w:rPr>
                <w:lang w:eastAsia="lv-LV"/>
              </w:rPr>
              <w:t xml:space="preserve"> </w:t>
            </w:r>
            <w:r w:rsidRPr="0095153E">
              <w:rPr>
                <w:lang w:eastAsia="lv-LV"/>
              </w:rPr>
              <w:t xml:space="preserve">amatu vietas = </w:t>
            </w:r>
            <w:r w:rsidR="00B63F14">
              <w:rPr>
                <w:lang w:eastAsia="lv-LV"/>
              </w:rPr>
              <w:t>11</w:t>
            </w:r>
            <w:r w:rsidR="00BB2C52">
              <w:rPr>
                <w:lang w:eastAsia="lv-LV"/>
              </w:rPr>
              <w:t> </w:t>
            </w:r>
            <w:r w:rsidR="00B63F14">
              <w:rPr>
                <w:lang w:eastAsia="lv-LV"/>
              </w:rPr>
              <w:t>529</w:t>
            </w:r>
            <w:r w:rsidR="007E74E2">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Ņemot vērā, ka viens no programmētājiem turpinās darba saistības līdz 2018.</w:t>
            </w:r>
            <w:r w:rsidR="00D31996">
              <w:rPr>
                <w:lang w:eastAsia="lv-LV"/>
              </w:rPr>
              <w:t> </w:t>
            </w:r>
            <w:r w:rsidRPr="0095153E">
              <w:rPr>
                <w:lang w:eastAsia="lv-LV"/>
              </w:rPr>
              <w:t>gada 31.</w:t>
            </w:r>
            <w:r w:rsidR="00D31996">
              <w:rPr>
                <w:lang w:eastAsia="lv-LV"/>
              </w:rPr>
              <w:t> </w:t>
            </w:r>
            <w:r w:rsidRPr="0095153E">
              <w:rPr>
                <w:lang w:eastAsia="lv-LV"/>
              </w:rPr>
              <w:t>decembrim, šim nodarbinātajam plānots nodrošināt došanos ikgadējā atvaļinājumā jebkurā gadījumā un nav nepieciešams paredzēt neizmantotā atvaļinājuma risku.</w:t>
            </w:r>
          </w:p>
          <w:p w:rsidR="0095153E" w:rsidRPr="0095153E" w:rsidRDefault="0095153E" w:rsidP="0095153E">
            <w:pPr>
              <w:suppressAutoHyphens w:val="0"/>
              <w:spacing w:before="75" w:after="75"/>
              <w:ind w:left="57" w:right="57"/>
              <w:jc w:val="both"/>
              <w:rPr>
                <w:lang w:eastAsia="lv-LV"/>
              </w:rPr>
            </w:pPr>
            <w:r w:rsidRPr="0095153E">
              <w:rPr>
                <w:lang w:eastAsia="lv-LV"/>
              </w:rPr>
              <w:t>1.3.</w:t>
            </w:r>
            <w:r w:rsidR="00D63824">
              <w:rPr>
                <w:lang w:eastAsia="lv-LV"/>
              </w:rPr>
              <w:t> </w:t>
            </w:r>
            <w:r w:rsidRPr="0095153E">
              <w:rPr>
                <w:lang w:eastAsia="lv-LV"/>
              </w:rPr>
              <w:t>Ņemot vērā, ka iesaistoties projekta īstenošanā papildus tiks noslogi esošie nodarbinātie, nepieciešams paredzēt piemaksu par papildu darbu esošajiem nodarbinātajiem 11</w:t>
            </w:r>
            <w:r w:rsidR="00D31996">
              <w:rPr>
                <w:lang w:eastAsia="lv-LV"/>
              </w:rPr>
              <w:t> </w:t>
            </w:r>
            <w:r w:rsidRPr="0095153E">
              <w:rPr>
                <w:lang w:eastAsia="lv-LV"/>
              </w:rPr>
              <w:t>023</w:t>
            </w:r>
            <w:r w:rsidR="00D31996">
              <w:rPr>
                <w:lang w:eastAsia="lv-LV"/>
              </w:rPr>
              <w:t> </w:t>
            </w:r>
            <w:proofErr w:type="spellStart"/>
            <w:r w:rsidRPr="0095153E">
              <w:rPr>
                <w:i/>
                <w:lang w:eastAsia="lv-LV"/>
              </w:rPr>
              <w:t>euro</w:t>
            </w:r>
            <w:proofErr w:type="spellEnd"/>
            <w:r w:rsidRPr="0095153E">
              <w:rPr>
                <w:lang w:eastAsia="lv-LV"/>
              </w:rPr>
              <w:t xml:space="preserve"> (t.sk. atalgojums 8919</w:t>
            </w:r>
            <w:r w:rsidR="00D31996">
              <w:rPr>
                <w:lang w:eastAsia="lv-LV"/>
              </w:rPr>
              <w:t> </w:t>
            </w:r>
            <w:proofErr w:type="spellStart"/>
            <w:r w:rsidRPr="0095153E">
              <w:rPr>
                <w:i/>
                <w:lang w:eastAsia="lv-LV"/>
              </w:rPr>
              <w:t>euro</w:t>
            </w:r>
            <w:proofErr w:type="spellEnd"/>
            <w:r w:rsidRPr="0095153E">
              <w:rPr>
                <w:lang w:eastAsia="lv-LV"/>
              </w:rPr>
              <w:t>, VSAOI</w:t>
            </w:r>
            <w:r w:rsidR="00CB34EB">
              <w:rPr>
                <w:lang w:eastAsia="lv-LV"/>
              </w:rPr>
              <w:t xml:space="preserve"> 23.59</w:t>
            </w:r>
            <w:r w:rsidR="00D31996">
              <w:rPr>
                <w:lang w:eastAsia="lv-LV"/>
              </w:rPr>
              <w:t> </w:t>
            </w:r>
            <w:r w:rsidR="00CB34EB">
              <w:rPr>
                <w:lang w:eastAsia="lv-LV"/>
              </w:rPr>
              <w:t>%</w:t>
            </w:r>
            <w:r w:rsidRPr="0095153E">
              <w:rPr>
                <w:lang w:eastAsia="lv-LV"/>
              </w:rPr>
              <w:t>- 2104</w:t>
            </w:r>
            <w:r w:rsidR="00D31996">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643E5D">
            <w:pPr>
              <w:suppressAutoHyphens w:val="0"/>
              <w:spacing w:before="75" w:after="75"/>
              <w:ind w:left="57" w:right="57"/>
              <w:jc w:val="both"/>
              <w:rPr>
                <w:lang w:eastAsia="lv-LV"/>
              </w:rPr>
            </w:pPr>
            <w:r w:rsidRPr="0095153E">
              <w:rPr>
                <w:lang w:eastAsia="lv-LV"/>
              </w:rPr>
              <w:t>1.3.1.</w:t>
            </w:r>
            <w:r w:rsidR="00D63824">
              <w:rPr>
                <w:lang w:eastAsia="lv-LV"/>
              </w:rPr>
              <w:t> </w:t>
            </w:r>
            <w:r w:rsidRPr="0095153E">
              <w:rPr>
                <w:lang w:eastAsia="lv-LV"/>
              </w:rPr>
              <w:t>galvenā valsts notāra vietnieks funkciju jautājumos (35.</w:t>
            </w:r>
            <w:r w:rsidR="00D63824">
              <w:rPr>
                <w:lang w:eastAsia="lv-LV"/>
              </w:rPr>
              <w:t> </w:t>
            </w:r>
            <w:r w:rsidRPr="0095153E">
              <w:rPr>
                <w:lang w:eastAsia="lv-LV"/>
              </w:rPr>
              <w:t>amatu saimes V</w:t>
            </w:r>
            <w:r w:rsidR="00D63824">
              <w:rPr>
                <w:lang w:eastAsia="lv-LV"/>
              </w:rPr>
              <w:t> </w:t>
            </w:r>
            <w:r w:rsidRPr="0095153E">
              <w:rPr>
                <w:lang w:eastAsia="lv-LV"/>
              </w:rPr>
              <w:t>līmeņa 13.</w:t>
            </w:r>
            <w:r w:rsidR="00D31996">
              <w:rPr>
                <w:lang w:eastAsia="lv-LV"/>
              </w:rPr>
              <w:t> </w:t>
            </w:r>
            <w:r w:rsidRPr="0095153E">
              <w:rPr>
                <w:lang w:eastAsia="lv-LV"/>
              </w:rPr>
              <w:t>mēnešalgu grupa): Piemaksa par papildu darbu 30</w:t>
            </w:r>
            <w:r w:rsidR="00D31996">
              <w:rPr>
                <w:lang w:eastAsia="lv-LV"/>
              </w:rPr>
              <w:t> </w:t>
            </w:r>
            <w:r w:rsidRPr="0095153E">
              <w:rPr>
                <w:lang w:eastAsia="lv-LV"/>
              </w:rPr>
              <w:t xml:space="preserve">% apmērā no esošās mēnešalgas </w:t>
            </w:r>
            <w:r w:rsidR="00643E5D">
              <w:rPr>
                <w:lang w:eastAsia="lv-LV"/>
              </w:rPr>
              <w:t xml:space="preserve">un </w:t>
            </w:r>
            <w:r w:rsidR="00643E5D" w:rsidRPr="0095153E">
              <w:rPr>
                <w:lang w:eastAsia="lv-LV"/>
              </w:rPr>
              <w:t>Motivācijas piemaksa 30</w:t>
            </w:r>
            <w:r w:rsidR="00D31996">
              <w:rPr>
                <w:lang w:eastAsia="lv-LV"/>
              </w:rPr>
              <w:t> </w:t>
            </w:r>
            <w:r w:rsidR="00643E5D" w:rsidRPr="0095153E">
              <w:rPr>
                <w:lang w:eastAsia="lv-LV"/>
              </w:rPr>
              <w:t xml:space="preserve">% apmērā no esošās mēnešalgas </w:t>
            </w:r>
            <w:r w:rsidRPr="0095153E">
              <w:rPr>
                <w:lang w:eastAsia="lv-LV"/>
              </w:rPr>
              <w:t>(1435</w:t>
            </w:r>
            <w:r w:rsidR="00D31996">
              <w:rPr>
                <w:lang w:eastAsia="lv-LV"/>
              </w:rPr>
              <w:t> </w:t>
            </w:r>
            <w:proofErr w:type="spellStart"/>
            <w:r w:rsidRPr="0095153E">
              <w:rPr>
                <w:i/>
                <w:lang w:eastAsia="lv-LV"/>
              </w:rPr>
              <w:t>euro</w:t>
            </w:r>
            <w:proofErr w:type="spellEnd"/>
            <w:r w:rsidRPr="0095153E">
              <w:rPr>
                <w:lang w:eastAsia="lv-LV"/>
              </w:rPr>
              <w:t xml:space="preserve">/ </w:t>
            </w:r>
            <w:proofErr w:type="spellStart"/>
            <w:r w:rsidRPr="0095153E">
              <w:rPr>
                <w:lang w:eastAsia="lv-LV"/>
              </w:rPr>
              <w:t>mēn</w:t>
            </w:r>
            <w:proofErr w:type="spellEnd"/>
            <w:r w:rsidRPr="0095153E">
              <w:rPr>
                <w:lang w:eastAsia="lv-LV"/>
              </w:rPr>
              <w:t xml:space="preserve">.) </w:t>
            </w:r>
            <w:r w:rsidR="00643E5D">
              <w:rPr>
                <w:lang w:eastAsia="lv-LV"/>
              </w:rPr>
              <w:t xml:space="preserve">- </w:t>
            </w:r>
            <w:r w:rsidR="00776F64">
              <w:rPr>
                <w:lang w:eastAsia="lv-LV"/>
              </w:rPr>
              <w:t>2584</w:t>
            </w:r>
            <w:r w:rsidR="00D31996">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502C7B">
            <w:pPr>
              <w:suppressAutoHyphens w:val="0"/>
              <w:spacing w:before="75" w:after="75"/>
              <w:ind w:left="57" w:right="57"/>
              <w:jc w:val="both"/>
              <w:rPr>
                <w:lang w:eastAsia="lv-LV"/>
              </w:rPr>
            </w:pPr>
            <w:r w:rsidRPr="0095153E">
              <w:rPr>
                <w:lang w:eastAsia="lv-LV"/>
              </w:rPr>
              <w:t>1.3.2.</w:t>
            </w:r>
            <w:r w:rsidR="00D63824">
              <w:rPr>
                <w:lang w:eastAsia="lv-LV"/>
              </w:rPr>
              <w:t> </w:t>
            </w:r>
            <w:r w:rsidRPr="0095153E">
              <w:rPr>
                <w:lang w:eastAsia="lv-LV"/>
              </w:rPr>
              <w:t>Juridiskās nodaļas vadītāja (21.</w:t>
            </w:r>
            <w:r w:rsidR="00D63824">
              <w:rPr>
                <w:lang w:eastAsia="lv-LV"/>
              </w:rPr>
              <w:t> </w:t>
            </w:r>
            <w:r w:rsidRPr="0095153E">
              <w:rPr>
                <w:lang w:eastAsia="lv-LV"/>
              </w:rPr>
              <w:t>amatu saimes IV</w:t>
            </w:r>
            <w:r w:rsidR="00D63824">
              <w:rPr>
                <w:lang w:eastAsia="lv-LV"/>
              </w:rPr>
              <w:t> </w:t>
            </w:r>
            <w:r w:rsidRPr="0095153E">
              <w:rPr>
                <w:lang w:eastAsia="lv-LV"/>
              </w:rPr>
              <w:t>līmeņa 11.</w:t>
            </w:r>
            <w:r w:rsidR="00D31996">
              <w:rPr>
                <w:lang w:eastAsia="lv-LV"/>
              </w:rPr>
              <w:t> </w:t>
            </w:r>
            <w:r w:rsidRPr="0095153E">
              <w:rPr>
                <w:lang w:eastAsia="lv-LV"/>
              </w:rPr>
              <w:t>mēnešalgu grupa): Piemaksa par papildu darbu 30</w:t>
            </w:r>
            <w:r w:rsidR="00D31996">
              <w:rPr>
                <w:lang w:eastAsia="lv-LV"/>
              </w:rPr>
              <w:t> </w:t>
            </w:r>
            <w:r w:rsidRPr="0095153E">
              <w:rPr>
                <w:lang w:eastAsia="lv-LV"/>
              </w:rPr>
              <w:t>% apmērā no esošās mēnešalgas (1164</w:t>
            </w:r>
            <w:r w:rsidR="00D31996">
              <w:rPr>
                <w:lang w:eastAsia="lv-LV"/>
              </w:rPr>
              <w:t> </w:t>
            </w:r>
            <w:proofErr w:type="spellStart"/>
            <w:r w:rsidRPr="0095153E">
              <w:rPr>
                <w:i/>
                <w:lang w:eastAsia="lv-LV"/>
              </w:rPr>
              <w:t>euro</w:t>
            </w:r>
            <w:proofErr w:type="spellEnd"/>
            <w:r w:rsidRPr="0095153E">
              <w:rPr>
                <w:lang w:eastAsia="lv-LV"/>
              </w:rPr>
              <w:t xml:space="preserve">/ </w:t>
            </w:r>
            <w:proofErr w:type="spellStart"/>
            <w:r w:rsidRPr="0095153E">
              <w:rPr>
                <w:lang w:eastAsia="lv-LV"/>
              </w:rPr>
              <w:t>mēn</w:t>
            </w:r>
            <w:proofErr w:type="spellEnd"/>
            <w:r w:rsidRPr="0095153E">
              <w:rPr>
                <w:lang w:eastAsia="lv-LV"/>
              </w:rPr>
              <w:t>.) –</w:t>
            </w:r>
            <w:r w:rsidRPr="0095153E">
              <w:rPr>
                <w:i/>
                <w:lang w:eastAsia="lv-LV"/>
              </w:rPr>
              <w:t xml:space="preserve"> </w:t>
            </w:r>
            <w:r w:rsidRPr="0095153E">
              <w:rPr>
                <w:lang w:eastAsia="lv-LV"/>
              </w:rPr>
              <w:t>1048</w:t>
            </w:r>
            <w:r w:rsidR="00D31996">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502C7B">
            <w:pPr>
              <w:suppressAutoHyphens w:val="0"/>
              <w:spacing w:before="75" w:after="75"/>
              <w:ind w:left="57" w:right="57"/>
              <w:jc w:val="both"/>
              <w:rPr>
                <w:lang w:eastAsia="lv-LV"/>
              </w:rPr>
            </w:pPr>
            <w:r w:rsidRPr="0095153E">
              <w:rPr>
                <w:lang w:eastAsia="lv-LV"/>
              </w:rPr>
              <w:t>1.3.3.</w:t>
            </w:r>
            <w:r w:rsidR="00D31996">
              <w:rPr>
                <w:lang w:eastAsia="lv-LV"/>
              </w:rPr>
              <w:t> </w:t>
            </w:r>
            <w:r w:rsidRPr="0095153E">
              <w:rPr>
                <w:lang w:eastAsia="lv-LV"/>
              </w:rPr>
              <w:t>Informācijas sistēmu attīstības un atbalsta nodaļas vadītājs (19.4</w:t>
            </w:r>
            <w:r w:rsidR="00D31996">
              <w:rPr>
                <w:lang w:eastAsia="lv-LV"/>
              </w:rPr>
              <w:t>. </w:t>
            </w:r>
            <w:r w:rsidRPr="0095153E">
              <w:rPr>
                <w:lang w:eastAsia="lv-LV"/>
              </w:rPr>
              <w:t>amatu saimes V</w:t>
            </w:r>
            <w:r w:rsidR="00D31996">
              <w:rPr>
                <w:lang w:eastAsia="lv-LV"/>
              </w:rPr>
              <w:t> </w:t>
            </w:r>
            <w:r w:rsidRPr="0095153E">
              <w:rPr>
                <w:lang w:eastAsia="lv-LV"/>
              </w:rPr>
              <w:t>līmeņa 13.</w:t>
            </w:r>
            <w:r w:rsidR="00D31996">
              <w:rPr>
                <w:lang w:eastAsia="lv-LV"/>
              </w:rPr>
              <w:t> </w:t>
            </w:r>
            <w:r w:rsidRPr="0095153E">
              <w:rPr>
                <w:lang w:eastAsia="lv-LV"/>
              </w:rPr>
              <w:t>mēnešalgu grupa): Piemaksa par papildu darbu 30</w:t>
            </w:r>
            <w:r w:rsidR="00D31996">
              <w:rPr>
                <w:lang w:eastAsia="lv-LV"/>
              </w:rPr>
              <w:t> </w:t>
            </w:r>
            <w:r w:rsidRPr="0095153E">
              <w:rPr>
                <w:lang w:eastAsia="lv-LV"/>
              </w:rPr>
              <w:t>% apmērā no esošās mēnešalgas (1917</w:t>
            </w:r>
            <w:r w:rsidR="00D31996">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w:t>
            </w:r>
            <w:r w:rsidRPr="0095153E">
              <w:rPr>
                <w:i/>
                <w:lang w:eastAsia="lv-LV"/>
              </w:rPr>
              <w:t xml:space="preserve"> </w:t>
            </w:r>
            <w:r w:rsidRPr="0095153E">
              <w:rPr>
                <w:lang w:eastAsia="lv-LV"/>
              </w:rPr>
              <w:t>1725</w:t>
            </w:r>
            <w:r w:rsidR="00D31996">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502C7B">
            <w:pPr>
              <w:suppressAutoHyphens w:val="0"/>
              <w:spacing w:before="75" w:after="75"/>
              <w:ind w:left="57" w:right="57"/>
              <w:jc w:val="both"/>
              <w:rPr>
                <w:lang w:eastAsia="lv-LV"/>
              </w:rPr>
            </w:pPr>
            <w:r w:rsidRPr="0095153E">
              <w:rPr>
                <w:lang w:eastAsia="lv-LV"/>
              </w:rPr>
              <w:t>1.3.4.</w:t>
            </w:r>
            <w:r w:rsidR="00D31996">
              <w:rPr>
                <w:lang w:eastAsia="lv-LV"/>
              </w:rPr>
              <w:t> </w:t>
            </w:r>
            <w:r w:rsidRPr="0095153E">
              <w:rPr>
                <w:lang w:eastAsia="lv-LV"/>
              </w:rPr>
              <w:t xml:space="preserve">Informācijas sistēmu attīstības un atbalsta nodaļas </w:t>
            </w:r>
            <w:proofErr w:type="spellStart"/>
            <w:r w:rsidRPr="0095153E">
              <w:rPr>
                <w:lang w:eastAsia="lv-LV"/>
              </w:rPr>
              <w:t>sistēmanalītiķis</w:t>
            </w:r>
            <w:proofErr w:type="spellEnd"/>
            <w:r w:rsidRPr="0095153E">
              <w:rPr>
                <w:lang w:eastAsia="lv-LV"/>
              </w:rPr>
              <w:t xml:space="preserve"> - informācijas sistēmu drošības pārvaldnieks (19.4</w:t>
            </w:r>
            <w:r w:rsidR="00D31996">
              <w:rPr>
                <w:lang w:eastAsia="lv-LV"/>
              </w:rPr>
              <w:t>. </w:t>
            </w:r>
            <w:r w:rsidRPr="0095153E">
              <w:rPr>
                <w:lang w:eastAsia="lv-LV"/>
              </w:rPr>
              <w:t>amatu saimes IV</w:t>
            </w:r>
            <w:r w:rsidR="00D31996">
              <w:rPr>
                <w:lang w:eastAsia="lv-LV"/>
              </w:rPr>
              <w:t> </w:t>
            </w:r>
            <w:r w:rsidRPr="0095153E">
              <w:rPr>
                <w:lang w:eastAsia="lv-LV"/>
              </w:rPr>
              <w:t>līmeņa 12.</w:t>
            </w:r>
            <w:r w:rsidR="00D31996">
              <w:rPr>
                <w:lang w:eastAsia="lv-LV"/>
              </w:rPr>
              <w:t> </w:t>
            </w:r>
            <w:r w:rsidRPr="0095153E">
              <w:rPr>
                <w:lang w:eastAsia="lv-LV"/>
              </w:rPr>
              <w:t>mēnešalgu grupa): Piemaksa par papildu darbu 30</w:t>
            </w:r>
            <w:r w:rsidR="00D31996">
              <w:rPr>
                <w:lang w:eastAsia="lv-LV"/>
              </w:rPr>
              <w:t> </w:t>
            </w:r>
            <w:r w:rsidRPr="0095153E">
              <w:rPr>
                <w:lang w:eastAsia="lv-LV"/>
              </w:rPr>
              <w:t>% apmērā no esošās mēnešalgas (1578</w:t>
            </w:r>
            <w:r w:rsidR="00D31996">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 1420</w:t>
            </w:r>
            <w:r w:rsidR="00D31996">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502C7B">
            <w:pPr>
              <w:suppressAutoHyphens w:val="0"/>
              <w:spacing w:before="75" w:after="75"/>
              <w:ind w:left="57" w:right="57"/>
              <w:jc w:val="both"/>
              <w:rPr>
                <w:lang w:eastAsia="lv-LV"/>
              </w:rPr>
            </w:pPr>
            <w:r w:rsidRPr="0095153E">
              <w:rPr>
                <w:lang w:eastAsia="lv-LV"/>
              </w:rPr>
              <w:t>1.3.5.</w:t>
            </w:r>
            <w:r w:rsidR="00D31996">
              <w:rPr>
                <w:lang w:eastAsia="lv-LV"/>
              </w:rPr>
              <w:t> </w:t>
            </w:r>
            <w:r w:rsidRPr="0095153E">
              <w:rPr>
                <w:lang w:eastAsia="lv-LV"/>
              </w:rPr>
              <w:t>Funkciju vadības nodaļa vadītājas vietniece (35.</w:t>
            </w:r>
            <w:r w:rsidR="00D31996">
              <w:rPr>
                <w:lang w:eastAsia="lv-LV"/>
              </w:rPr>
              <w:t> </w:t>
            </w:r>
            <w:r w:rsidRPr="0095153E">
              <w:rPr>
                <w:lang w:eastAsia="lv-LV"/>
              </w:rPr>
              <w:t>amatu saimes III</w:t>
            </w:r>
            <w:r w:rsidR="00D31996">
              <w:rPr>
                <w:lang w:eastAsia="lv-LV"/>
              </w:rPr>
              <w:t> </w:t>
            </w:r>
            <w:r w:rsidRPr="0095153E">
              <w:rPr>
                <w:lang w:eastAsia="lv-LV"/>
              </w:rPr>
              <w:t>līmeņa 10.</w:t>
            </w:r>
            <w:r w:rsidR="00D31996">
              <w:rPr>
                <w:lang w:eastAsia="lv-LV"/>
              </w:rPr>
              <w:t> </w:t>
            </w:r>
            <w:r w:rsidRPr="0095153E">
              <w:rPr>
                <w:lang w:eastAsia="lv-LV"/>
              </w:rPr>
              <w:t>mēnešalgu grupa): Piemaksa par papildu darbu 30</w:t>
            </w:r>
            <w:r w:rsidR="00D31996">
              <w:rPr>
                <w:lang w:eastAsia="lv-LV"/>
              </w:rPr>
              <w:t> </w:t>
            </w:r>
            <w:r w:rsidRPr="0095153E">
              <w:rPr>
                <w:lang w:eastAsia="lv-LV"/>
              </w:rPr>
              <w:t>% apmērā no esošās mēnešalgas (1287</w:t>
            </w:r>
            <w:r w:rsidR="00D31996">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 1158</w:t>
            </w:r>
            <w:r w:rsidR="00D31996">
              <w:rPr>
                <w:lang w:eastAsia="lv-LV"/>
              </w:rPr>
              <w:t> </w:t>
            </w:r>
            <w:proofErr w:type="spellStart"/>
            <w:r w:rsidRPr="0095153E">
              <w:rPr>
                <w:i/>
                <w:lang w:eastAsia="lv-LV"/>
              </w:rPr>
              <w:t>euro</w:t>
            </w:r>
            <w:proofErr w:type="spellEnd"/>
            <w:r w:rsidRPr="0095153E">
              <w:rPr>
                <w:lang w:eastAsia="lv-LV"/>
              </w:rPr>
              <w:t>;</w:t>
            </w:r>
          </w:p>
          <w:p w:rsidR="0095153E" w:rsidRPr="0095153E" w:rsidRDefault="0095153E" w:rsidP="00502C7B">
            <w:pPr>
              <w:suppressAutoHyphens w:val="0"/>
              <w:spacing w:before="75" w:after="75"/>
              <w:ind w:left="57" w:right="57"/>
              <w:jc w:val="both"/>
              <w:rPr>
                <w:i/>
                <w:lang w:eastAsia="lv-LV"/>
              </w:rPr>
            </w:pPr>
            <w:r w:rsidRPr="0095153E">
              <w:rPr>
                <w:lang w:eastAsia="lv-LV"/>
              </w:rPr>
              <w:t>1.3.6.</w:t>
            </w:r>
            <w:r w:rsidR="00D31996">
              <w:rPr>
                <w:lang w:eastAsia="lv-LV"/>
              </w:rPr>
              <w:t> </w:t>
            </w:r>
            <w:r w:rsidRPr="0095153E">
              <w:rPr>
                <w:lang w:eastAsia="lv-LV"/>
              </w:rPr>
              <w:t>Funkciju vadības nodaļa referents (35.</w:t>
            </w:r>
            <w:r w:rsidR="00D31996">
              <w:rPr>
                <w:lang w:eastAsia="lv-LV"/>
              </w:rPr>
              <w:t> </w:t>
            </w:r>
            <w:r w:rsidRPr="0095153E">
              <w:rPr>
                <w:lang w:eastAsia="lv-LV"/>
              </w:rPr>
              <w:t>amatu saimes II</w:t>
            </w:r>
            <w:r w:rsidR="00D31996">
              <w:rPr>
                <w:lang w:eastAsia="lv-LV"/>
              </w:rPr>
              <w:t> </w:t>
            </w:r>
            <w:r w:rsidRPr="0095153E">
              <w:rPr>
                <w:lang w:eastAsia="lv-LV"/>
              </w:rPr>
              <w:t>līmeņa 9.</w:t>
            </w:r>
            <w:r w:rsidR="00D31996">
              <w:rPr>
                <w:lang w:eastAsia="lv-LV"/>
              </w:rPr>
              <w:t> </w:t>
            </w:r>
            <w:r w:rsidRPr="0095153E">
              <w:rPr>
                <w:lang w:eastAsia="lv-LV"/>
              </w:rPr>
              <w:t>mēnešalgu grupa): Piemaksa par papildu darbu 30</w:t>
            </w:r>
            <w:r w:rsidR="00D31996">
              <w:rPr>
                <w:lang w:eastAsia="lv-LV"/>
              </w:rPr>
              <w:t> </w:t>
            </w:r>
            <w:r w:rsidRPr="0095153E">
              <w:rPr>
                <w:lang w:eastAsia="lv-LV"/>
              </w:rPr>
              <w:t>% apmērā no esošās mēnešalgas (1093</w:t>
            </w:r>
            <w:r w:rsidR="00D31996">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 984</w:t>
            </w:r>
            <w:r w:rsidR="00D31996">
              <w:rPr>
                <w:lang w:eastAsia="lv-LV"/>
              </w:rPr>
              <w:t> </w:t>
            </w:r>
            <w:proofErr w:type="spellStart"/>
            <w:r w:rsidRPr="0095153E">
              <w:rPr>
                <w:i/>
                <w:lang w:eastAsia="lv-LV"/>
              </w:rPr>
              <w:t>euro</w:t>
            </w:r>
            <w:proofErr w:type="spellEnd"/>
            <w:r w:rsidRPr="0095153E">
              <w:rPr>
                <w:i/>
                <w:lang w:eastAsia="lv-LV"/>
              </w:rPr>
              <w:t>.</w:t>
            </w:r>
          </w:p>
          <w:p w:rsidR="0095153E" w:rsidRPr="0095153E" w:rsidRDefault="0095153E" w:rsidP="0095153E">
            <w:pPr>
              <w:suppressAutoHyphens w:val="0"/>
              <w:spacing w:before="75" w:after="75"/>
              <w:ind w:left="57" w:right="57"/>
              <w:jc w:val="both"/>
              <w:rPr>
                <w:i/>
                <w:lang w:eastAsia="lv-LV"/>
              </w:rPr>
            </w:pPr>
          </w:p>
          <w:p w:rsidR="0095153E" w:rsidRPr="0095153E" w:rsidRDefault="0095153E" w:rsidP="0095153E">
            <w:pPr>
              <w:suppressAutoHyphens w:val="0"/>
              <w:ind w:left="57" w:right="57"/>
              <w:jc w:val="both"/>
              <w:rPr>
                <w:u w:val="single"/>
                <w:lang w:eastAsia="lv-LV"/>
              </w:rPr>
            </w:pPr>
            <w:r w:rsidRPr="0095153E">
              <w:rPr>
                <w:u w:val="single"/>
                <w:lang w:eastAsia="lv-LV"/>
              </w:rPr>
              <w:t>Izmaksas 2018.</w:t>
            </w:r>
            <w:r w:rsidR="00D63824">
              <w:rPr>
                <w:u w:val="single"/>
                <w:lang w:eastAsia="lv-LV"/>
              </w:rPr>
              <w:t> </w:t>
            </w:r>
            <w:r w:rsidRPr="0095153E">
              <w:rPr>
                <w:u w:val="single"/>
                <w:lang w:eastAsia="lv-LV"/>
              </w:rPr>
              <w:t>gadam informācijas sistēmas uzturēšanai (no 1.</w:t>
            </w:r>
            <w:r w:rsidR="00D63824">
              <w:rPr>
                <w:u w:val="single"/>
                <w:lang w:eastAsia="lv-LV"/>
              </w:rPr>
              <w:t> </w:t>
            </w:r>
            <w:r w:rsidRPr="0095153E">
              <w:rPr>
                <w:u w:val="single"/>
                <w:lang w:eastAsia="lv-LV"/>
              </w:rPr>
              <w:t>aprīļa līdz 31.</w:t>
            </w:r>
            <w:r w:rsidR="00D63824">
              <w:rPr>
                <w:u w:val="single"/>
                <w:lang w:eastAsia="lv-LV"/>
              </w:rPr>
              <w:t> </w:t>
            </w:r>
            <w:r w:rsidRPr="0095153E">
              <w:rPr>
                <w:u w:val="single"/>
                <w:lang w:eastAsia="lv-LV"/>
              </w:rPr>
              <w:t xml:space="preserve">decembrim): </w:t>
            </w:r>
            <w:r w:rsidR="00F80194">
              <w:rPr>
                <w:u w:val="single"/>
                <w:lang w:eastAsia="lv-LV"/>
              </w:rPr>
              <w:t>85</w:t>
            </w:r>
            <w:r w:rsidR="00BB2C52">
              <w:rPr>
                <w:u w:val="single"/>
                <w:lang w:eastAsia="lv-LV"/>
              </w:rPr>
              <w:t> </w:t>
            </w:r>
            <w:r w:rsidR="00F80194">
              <w:rPr>
                <w:u w:val="single"/>
                <w:lang w:eastAsia="lv-LV"/>
              </w:rPr>
              <w:t>351</w:t>
            </w:r>
            <w:r w:rsidR="00D63824">
              <w:rPr>
                <w:u w:val="single"/>
                <w:lang w:eastAsia="lv-LV"/>
              </w:rPr>
              <w:t> </w:t>
            </w:r>
            <w:proofErr w:type="spellStart"/>
            <w:r w:rsidRPr="0095153E">
              <w:rPr>
                <w:i/>
                <w:u w:val="single"/>
                <w:lang w:eastAsia="lv-LV"/>
              </w:rPr>
              <w:t>euro</w:t>
            </w:r>
            <w:proofErr w:type="spellEnd"/>
            <w:r w:rsidRPr="0095153E">
              <w:rPr>
                <w:i/>
                <w:u w:val="single"/>
                <w:lang w:eastAsia="lv-LV"/>
              </w:rPr>
              <w:t xml:space="preserve"> </w:t>
            </w:r>
          </w:p>
          <w:p w:rsidR="0095153E" w:rsidRPr="0095153E" w:rsidRDefault="0095153E" w:rsidP="0095153E">
            <w:pPr>
              <w:suppressAutoHyphens w:val="0"/>
              <w:spacing w:before="75" w:after="75"/>
              <w:ind w:left="57" w:right="57"/>
              <w:jc w:val="both"/>
              <w:rPr>
                <w:highlight w:val="yellow"/>
                <w:lang w:eastAsia="lv-LV"/>
              </w:rPr>
            </w:pPr>
            <w:r w:rsidRPr="0095153E">
              <w:rPr>
                <w:lang w:eastAsia="lv-LV"/>
              </w:rPr>
              <w:t xml:space="preserve">Kopā: Atlīdzība (EKK 1000) – </w:t>
            </w:r>
            <w:r w:rsidR="00F80194">
              <w:rPr>
                <w:b/>
                <w:lang w:eastAsia="lv-LV"/>
              </w:rPr>
              <w:t>85</w:t>
            </w:r>
            <w:r w:rsidR="00BB2C52">
              <w:rPr>
                <w:b/>
                <w:lang w:eastAsia="lv-LV"/>
              </w:rPr>
              <w:t> </w:t>
            </w:r>
            <w:r w:rsidR="00F80194">
              <w:rPr>
                <w:b/>
                <w:lang w:eastAsia="lv-LV"/>
              </w:rPr>
              <w:t>351</w:t>
            </w:r>
            <w:r w:rsidR="00D63824">
              <w:rPr>
                <w:b/>
                <w:lang w:eastAsia="lv-LV"/>
              </w:rPr>
              <w:t> </w:t>
            </w:r>
            <w:proofErr w:type="spellStart"/>
            <w:r w:rsidRPr="0095153E">
              <w:rPr>
                <w:b/>
                <w:i/>
                <w:lang w:eastAsia="lv-LV"/>
              </w:rPr>
              <w:t>euro</w:t>
            </w:r>
            <w:proofErr w:type="spellEnd"/>
            <w:r w:rsidRPr="0095153E">
              <w:rPr>
                <w:lang w:eastAsia="lv-LV"/>
              </w:rPr>
              <w:t xml:space="preserve"> (t.sk. atalgojums </w:t>
            </w:r>
            <w:r w:rsidR="00F80194">
              <w:rPr>
                <w:lang w:eastAsia="lv-LV"/>
              </w:rPr>
              <w:t>69</w:t>
            </w:r>
            <w:r w:rsidR="00BB2C52">
              <w:rPr>
                <w:lang w:eastAsia="lv-LV"/>
              </w:rPr>
              <w:t> </w:t>
            </w:r>
            <w:r w:rsidR="00F80194">
              <w:rPr>
                <w:lang w:eastAsia="lv-LV"/>
              </w:rPr>
              <w:t>060</w:t>
            </w:r>
            <w:r w:rsidR="00D63824">
              <w:rPr>
                <w:lang w:eastAsia="lv-LV"/>
              </w:rPr>
              <w:t> </w:t>
            </w:r>
            <w:proofErr w:type="spellStart"/>
            <w:r w:rsidRPr="0095153E">
              <w:rPr>
                <w:i/>
                <w:lang w:eastAsia="lv-LV"/>
              </w:rPr>
              <w:t>euro</w:t>
            </w:r>
            <w:proofErr w:type="spellEnd"/>
            <w:r w:rsidRPr="0095153E">
              <w:rPr>
                <w:lang w:eastAsia="lv-LV"/>
              </w:rPr>
              <w:t>, VSAOI</w:t>
            </w:r>
            <w:r w:rsidR="00643E5D">
              <w:rPr>
                <w:lang w:eastAsia="lv-LV"/>
              </w:rPr>
              <w:t xml:space="preserve"> 23.59</w:t>
            </w:r>
            <w:r w:rsidR="00D63824">
              <w:rPr>
                <w:lang w:eastAsia="lv-LV"/>
              </w:rPr>
              <w:t> </w:t>
            </w:r>
            <w:r w:rsidR="00643E5D">
              <w:rPr>
                <w:lang w:eastAsia="lv-LV"/>
              </w:rPr>
              <w:t>%</w:t>
            </w:r>
            <w:r w:rsidRPr="0095153E">
              <w:rPr>
                <w:lang w:eastAsia="lv-LV"/>
              </w:rPr>
              <w:t xml:space="preserve">– </w:t>
            </w:r>
            <w:r w:rsidR="00F80194">
              <w:rPr>
                <w:lang w:eastAsia="lv-LV"/>
              </w:rPr>
              <w:t>16</w:t>
            </w:r>
            <w:r w:rsidR="00BB2C52">
              <w:rPr>
                <w:lang w:eastAsia="lv-LV"/>
              </w:rPr>
              <w:t> </w:t>
            </w:r>
            <w:r w:rsidR="00F80194">
              <w:rPr>
                <w:lang w:eastAsia="lv-LV"/>
              </w:rPr>
              <w:t>291</w:t>
            </w:r>
            <w:r w:rsidR="00D63824">
              <w:rPr>
                <w:lang w:eastAsia="lv-LV"/>
              </w:rPr>
              <w:t> </w:t>
            </w:r>
            <w:proofErr w:type="spellStart"/>
            <w:r w:rsidRPr="0095153E">
              <w:rPr>
                <w:i/>
                <w:lang w:eastAsia="lv-LV"/>
              </w:rPr>
              <w:t>euro</w:t>
            </w:r>
            <w:proofErr w:type="spellEnd"/>
            <w:r w:rsidRPr="0095153E">
              <w:rPr>
                <w:lang w:eastAsia="lv-LV"/>
              </w:rPr>
              <w:t xml:space="preserve">): </w:t>
            </w:r>
          </w:p>
          <w:p w:rsidR="0095153E" w:rsidRPr="0095153E" w:rsidRDefault="0095153E" w:rsidP="0095153E">
            <w:pPr>
              <w:suppressAutoHyphens w:val="0"/>
              <w:spacing w:before="75" w:after="75"/>
              <w:ind w:left="57" w:right="57"/>
              <w:jc w:val="both"/>
              <w:rPr>
                <w:i/>
                <w:lang w:eastAsia="lv-LV"/>
              </w:rPr>
            </w:pPr>
            <w:r w:rsidRPr="0095153E">
              <w:rPr>
                <w:lang w:eastAsia="lv-LV"/>
              </w:rPr>
              <w:t>1.1.</w:t>
            </w:r>
            <w:r w:rsidR="00D63824">
              <w:rPr>
                <w:lang w:eastAsia="lv-LV"/>
              </w:rPr>
              <w:t> </w:t>
            </w:r>
            <w:r w:rsidRPr="0095153E">
              <w:rPr>
                <w:lang w:eastAsia="lv-LV"/>
              </w:rPr>
              <w:t>Mēnešalga 2</w:t>
            </w:r>
            <w:r w:rsidR="00BB2C52">
              <w:rPr>
                <w:lang w:eastAsia="lv-LV"/>
              </w:rPr>
              <w:t> </w:t>
            </w:r>
            <w:proofErr w:type="spellStart"/>
            <w:r w:rsidRPr="0095153E">
              <w:rPr>
                <w:lang w:eastAsia="lv-LV"/>
              </w:rPr>
              <w:t>sistēmanalītiķiem</w:t>
            </w:r>
            <w:proofErr w:type="spellEnd"/>
            <w:r w:rsidRPr="0095153E">
              <w:rPr>
                <w:lang w:eastAsia="lv-LV"/>
              </w:rPr>
              <w:t xml:space="preserve"> (19.4</w:t>
            </w:r>
            <w:r w:rsidR="00D63824">
              <w:rPr>
                <w:lang w:eastAsia="lv-LV"/>
              </w:rPr>
              <w:t>. </w:t>
            </w:r>
            <w:r w:rsidRPr="0095153E">
              <w:rPr>
                <w:lang w:eastAsia="lv-LV"/>
              </w:rPr>
              <w:t>amatu saimes V</w:t>
            </w:r>
            <w:r w:rsidR="00D63824">
              <w:rPr>
                <w:lang w:eastAsia="lv-LV"/>
              </w:rPr>
              <w:t> </w:t>
            </w:r>
            <w:r w:rsidRPr="0095153E">
              <w:rPr>
                <w:lang w:eastAsia="lv-LV"/>
              </w:rPr>
              <w:t>līmeņa 13.</w:t>
            </w:r>
            <w:r w:rsidR="00D63824">
              <w:rPr>
                <w:lang w:eastAsia="lv-LV"/>
              </w:rPr>
              <w:t> </w:t>
            </w:r>
            <w:r w:rsidRPr="0095153E">
              <w:rPr>
                <w:lang w:eastAsia="lv-LV"/>
              </w:rPr>
              <w:t>mēnešalgu grupa, 3.</w:t>
            </w:r>
            <w:r w:rsidR="00D63824">
              <w:rPr>
                <w:lang w:eastAsia="lv-LV"/>
              </w:rPr>
              <w:t> </w:t>
            </w:r>
            <w:r w:rsidRPr="0095153E">
              <w:rPr>
                <w:lang w:eastAsia="lv-LV"/>
              </w:rPr>
              <w:t>kategorija) 1917</w:t>
            </w:r>
            <w:r w:rsidR="00D63824">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xml:space="preserve"> x 9 </w:t>
            </w:r>
            <w:proofErr w:type="spellStart"/>
            <w:r w:rsidRPr="0095153E">
              <w:rPr>
                <w:lang w:eastAsia="lv-LV"/>
              </w:rPr>
              <w:t>mēn</w:t>
            </w:r>
            <w:proofErr w:type="spellEnd"/>
            <w:r w:rsidRPr="0095153E">
              <w:rPr>
                <w:lang w:eastAsia="lv-LV"/>
              </w:rPr>
              <w:t>.</w:t>
            </w:r>
            <w:r w:rsidRPr="0095153E">
              <w:rPr>
                <w:i/>
                <w:lang w:eastAsia="lv-LV"/>
              </w:rPr>
              <w:t xml:space="preserve"> </w:t>
            </w:r>
            <w:r w:rsidRPr="0095153E">
              <w:rPr>
                <w:lang w:eastAsia="lv-LV"/>
              </w:rPr>
              <w:t>x 2 amata vietas = 34</w:t>
            </w:r>
            <w:r w:rsidR="00D63824">
              <w:rPr>
                <w:lang w:eastAsia="lv-LV"/>
              </w:rPr>
              <w:t> </w:t>
            </w:r>
            <w:r w:rsidRPr="0095153E">
              <w:rPr>
                <w:lang w:eastAsia="lv-LV"/>
              </w:rPr>
              <w:t>506</w:t>
            </w:r>
            <w:r w:rsidR="00D63824">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1.1.1.</w:t>
            </w:r>
            <w:r w:rsidR="00D63824">
              <w:rPr>
                <w:lang w:eastAsia="lv-LV"/>
              </w:rPr>
              <w:t> </w:t>
            </w:r>
            <w:r w:rsidR="00F80194" w:rsidRPr="0095153E">
              <w:rPr>
                <w:lang w:eastAsia="lv-LV"/>
              </w:rPr>
              <w:t>Motivācijas piemaksa 40</w:t>
            </w:r>
            <w:r w:rsidR="00F80194">
              <w:rPr>
                <w:lang w:eastAsia="lv-LV"/>
              </w:rPr>
              <w:t> </w:t>
            </w:r>
            <w:r w:rsidR="00F80194" w:rsidRPr="0095153E">
              <w:rPr>
                <w:lang w:eastAsia="lv-LV"/>
              </w:rPr>
              <w:t>%</w:t>
            </w:r>
            <w:r w:rsidRPr="0095153E">
              <w:rPr>
                <w:lang w:eastAsia="lv-LV"/>
              </w:rPr>
              <w:t xml:space="preserve"> apmērā no plānotās mēnešalgu kopsummas –</w:t>
            </w:r>
            <w:r w:rsidRPr="0095153E">
              <w:rPr>
                <w:i/>
                <w:lang w:eastAsia="lv-LV"/>
              </w:rPr>
              <w:t xml:space="preserve"> </w:t>
            </w:r>
            <w:r w:rsidR="00F80194">
              <w:rPr>
                <w:lang w:eastAsia="lv-LV"/>
              </w:rPr>
              <w:t>13</w:t>
            </w:r>
            <w:r w:rsidR="00BB2C52">
              <w:rPr>
                <w:lang w:eastAsia="lv-LV"/>
              </w:rPr>
              <w:t> </w:t>
            </w:r>
            <w:r w:rsidR="00F80194">
              <w:rPr>
                <w:lang w:eastAsia="lv-LV"/>
              </w:rPr>
              <w:t>802</w:t>
            </w:r>
            <w:r w:rsidR="00D63824">
              <w:rPr>
                <w:i/>
                <w:lang w:eastAsia="lv-LV"/>
              </w:rPr>
              <w:t> </w:t>
            </w:r>
            <w:proofErr w:type="spellStart"/>
            <w:r w:rsidRPr="0095153E">
              <w:rPr>
                <w:i/>
                <w:lang w:eastAsia="lv-LV"/>
              </w:rPr>
              <w:t>euro</w:t>
            </w:r>
            <w:proofErr w:type="spellEnd"/>
            <w:r w:rsidRPr="0095153E">
              <w:rPr>
                <w:lang w:eastAsia="lv-LV"/>
              </w:rPr>
              <w:t xml:space="preserve"> </w:t>
            </w:r>
          </w:p>
          <w:p w:rsidR="0095153E" w:rsidRPr="0095153E" w:rsidRDefault="0095153E" w:rsidP="0095153E">
            <w:pPr>
              <w:suppressAutoHyphens w:val="0"/>
              <w:spacing w:before="75" w:after="75"/>
              <w:ind w:left="57" w:right="57"/>
              <w:jc w:val="both"/>
              <w:rPr>
                <w:i/>
                <w:lang w:eastAsia="lv-LV"/>
              </w:rPr>
            </w:pPr>
            <w:r w:rsidRPr="0095153E">
              <w:rPr>
                <w:lang w:eastAsia="lv-LV"/>
              </w:rPr>
              <w:t>1.2.</w:t>
            </w:r>
            <w:r w:rsidR="00D63824">
              <w:rPr>
                <w:lang w:eastAsia="lv-LV"/>
              </w:rPr>
              <w:t> </w:t>
            </w:r>
            <w:r w:rsidRPr="0095153E">
              <w:rPr>
                <w:lang w:eastAsia="lv-LV"/>
              </w:rPr>
              <w:t>Mēnešalga 1</w:t>
            </w:r>
            <w:r w:rsidR="00BB2C52">
              <w:rPr>
                <w:lang w:eastAsia="lv-LV"/>
              </w:rPr>
              <w:t> </w:t>
            </w:r>
            <w:r w:rsidRPr="0095153E">
              <w:rPr>
                <w:lang w:eastAsia="lv-LV"/>
              </w:rPr>
              <w:t>programmētājam (19.4</w:t>
            </w:r>
            <w:r w:rsidR="00D63824">
              <w:rPr>
                <w:lang w:eastAsia="lv-LV"/>
              </w:rPr>
              <w:t>. </w:t>
            </w:r>
            <w:r w:rsidRPr="0095153E">
              <w:rPr>
                <w:lang w:eastAsia="lv-LV"/>
              </w:rPr>
              <w:t xml:space="preserve">amatu saimes </w:t>
            </w:r>
            <w:r w:rsidR="00F70C57">
              <w:rPr>
                <w:lang w:eastAsia="lv-LV"/>
              </w:rPr>
              <w:t>IV</w:t>
            </w:r>
            <w:r w:rsidR="00D63824">
              <w:rPr>
                <w:lang w:eastAsia="lv-LV"/>
              </w:rPr>
              <w:t> </w:t>
            </w:r>
            <w:r w:rsidRPr="0095153E">
              <w:rPr>
                <w:lang w:eastAsia="lv-LV"/>
              </w:rPr>
              <w:t>līmeņa 10.</w:t>
            </w:r>
            <w:r w:rsidR="00D63824">
              <w:rPr>
                <w:lang w:eastAsia="lv-LV"/>
              </w:rPr>
              <w:t> </w:t>
            </w:r>
            <w:r w:rsidRPr="0095153E">
              <w:rPr>
                <w:lang w:eastAsia="lv-LV"/>
              </w:rPr>
              <w:t>mēnešalgu grupa, 3.</w:t>
            </w:r>
            <w:r w:rsidR="00D63824">
              <w:rPr>
                <w:lang w:eastAsia="lv-LV"/>
              </w:rPr>
              <w:t> </w:t>
            </w:r>
            <w:r w:rsidRPr="0095153E">
              <w:rPr>
                <w:lang w:eastAsia="lv-LV"/>
              </w:rPr>
              <w:t>kategorija) 1</w:t>
            </w:r>
            <w:r w:rsidR="00F80194">
              <w:rPr>
                <w:lang w:eastAsia="lv-LV"/>
              </w:rPr>
              <w:t>647</w:t>
            </w:r>
            <w:r w:rsidR="00D63824">
              <w:rPr>
                <w:lang w:eastAsia="lv-LV"/>
              </w:rPr>
              <w:t> </w:t>
            </w:r>
            <w:proofErr w:type="spellStart"/>
            <w:r w:rsidRPr="0095153E">
              <w:rPr>
                <w:i/>
                <w:lang w:eastAsia="lv-LV"/>
              </w:rPr>
              <w:t>euro</w:t>
            </w:r>
            <w:proofErr w:type="spellEnd"/>
            <w:r w:rsidRPr="0095153E">
              <w:rPr>
                <w:lang w:eastAsia="lv-LV"/>
              </w:rPr>
              <w:t>/</w:t>
            </w:r>
            <w:proofErr w:type="spellStart"/>
            <w:r w:rsidRPr="0095153E">
              <w:rPr>
                <w:lang w:eastAsia="lv-LV"/>
              </w:rPr>
              <w:t>mēn</w:t>
            </w:r>
            <w:proofErr w:type="spellEnd"/>
            <w:r w:rsidRPr="0095153E">
              <w:rPr>
                <w:lang w:eastAsia="lv-LV"/>
              </w:rPr>
              <w:t xml:space="preserve"> x 9 </w:t>
            </w:r>
            <w:proofErr w:type="spellStart"/>
            <w:r w:rsidRPr="0095153E">
              <w:rPr>
                <w:lang w:eastAsia="lv-LV"/>
              </w:rPr>
              <w:t>mēn</w:t>
            </w:r>
            <w:proofErr w:type="spellEnd"/>
            <w:r w:rsidRPr="0095153E">
              <w:rPr>
                <w:lang w:eastAsia="lv-LV"/>
              </w:rPr>
              <w:t>.</w:t>
            </w:r>
            <w:r w:rsidRPr="0095153E">
              <w:rPr>
                <w:i/>
                <w:lang w:eastAsia="lv-LV"/>
              </w:rPr>
              <w:t xml:space="preserve"> </w:t>
            </w:r>
            <w:r w:rsidRPr="0095153E">
              <w:rPr>
                <w:lang w:eastAsia="lv-LV"/>
              </w:rPr>
              <w:t xml:space="preserve">= </w:t>
            </w:r>
            <w:r w:rsidR="00F80194">
              <w:rPr>
                <w:lang w:eastAsia="lv-LV"/>
              </w:rPr>
              <w:t>14</w:t>
            </w:r>
            <w:r w:rsidR="00BB2C52">
              <w:rPr>
                <w:lang w:eastAsia="lv-LV"/>
              </w:rPr>
              <w:t> </w:t>
            </w:r>
            <w:r w:rsidR="00F80194">
              <w:rPr>
                <w:lang w:eastAsia="lv-LV"/>
              </w:rPr>
              <w:t>823</w:t>
            </w:r>
            <w:r w:rsidR="00D63824">
              <w:rPr>
                <w:lang w:eastAsia="lv-LV"/>
              </w:rPr>
              <w:t> </w:t>
            </w:r>
            <w:proofErr w:type="spellStart"/>
            <w:r w:rsidRPr="0095153E">
              <w:rPr>
                <w:i/>
                <w:lang w:eastAsia="lv-LV"/>
              </w:rPr>
              <w:t>euro</w:t>
            </w:r>
            <w:proofErr w:type="spellEnd"/>
          </w:p>
          <w:p w:rsidR="0095153E" w:rsidRPr="0095153E" w:rsidRDefault="0095153E" w:rsidP="0095153E">
            <w:pPr>
              <w:suppressAutoHyphens w:val="0"/>
              <w:spacing w:before="75" w:after="75"/>
              <w:ind w:left="57" w:right="57"/>
              <w:jc w:val="both"/>
              <w:rPr>
                <w:lang w:eastAsia="lv-LV"/>
              </w:rPr>
            </w:pPr>
            <w:r w:rsidRPr="0095153E">
              <w:rPr>
                <w:lang w:eastAsia="lv-LV"/>
              </w:rPr>
              <w:t>1.2.</w:t>
            </w:r>
            <w:r w:rsidR="00F80194">
              <w:rPr>
                <w:lang w:eastAsia="lv-LV"/>
              </w:rPr>
              <w:t>1</w:t>
            </w:r>
            <w:r w:rsidRPr="0095153E">
              <w:rPr>
                <w:lang w:eastAsia="lv-LV"/>
              </w:rPr>
              <w:t>.</w:t>
            </w:r>
            <w:r w:rsidR="00D63824">
              <w:rPr>
                <w:lang w:eastAsia="lv-LV"/>
              </w:rPr>
              <w:t> </w:t>
            </w:r>
            <w:r w:rsidRPr="0095153E">
              <w:rPr>
                <w:lang w:eastAsia="lv-LV"/>
              </w:rPr>
              <w:t>Motivācijas piemaksa 40</w:t>
            </w:r>
            <w:r w:rsidR="00D63824">
              <w:rPr>
                <w:lang w:eastAsia="lv-LV"/>
              </w:rPr>
              <w:t> </w:t>
            </w:r>
            <w:r w:rsidRPr="0095153E">
              <w:rPr>
                <w:lang w:eastAsia="lv-LV"/>
              </w:rPr>
              <w:t>% apmērā no plānotās mēnešalgu kopsummas –</w:t>
            </w:r>
            <w:r w:rsidRPr="0095153E">
              <w:rPr>
                <w:i/>
                <w:lang w:eastAsia="lv-LV"/>
              </w:rPr>
              <w:t xml:space="preserve"> </w:t>
            </w:r>
            <w:r w:rsidR="00F80194">
              <w:rPr>
                <w:lang w:eastAsia="lv-LV"/>
              </w:rPr>
              <w:t>5929</w:t>
            </w:r>
            <w:r w:rsidR="00D63824">
              <w:rPr>
                <w:lang w:eastAsia="lv-LV"/>
              </w:rPr>
              <w:t> </w:t>
            </w:r>
            <w:proofErr w:type="spellStart"/>
            <w:r w:rsidRPr="0095153E">
              <w:rPr>
                <w:i/>
                <w:lang w:eastAsia="lv-LV"/>
              </w:rPr>
              <w:t>euro</w:t>
            </w:r>
            <w:proofErr w:type="spellEnd"/>
            <w:r w:rsidR="00BB2C52">
              <w:rPr>
                <w:i/>
                <w:lang w:eastAsia="lv-LV"/>
              </w:rPr>
              <w:t>.</w:t>
            </w:r>
          </w:p>
          <w:p w:rsidR="0095153E" w:rsidRPr="0095153E" w:rsidRDefault="0095153E" w:rsidP="005C5C0A">
            <w:pPr>
              <w:suppressAutoHyphens w:val="0"/>
              <w:spacing w:before="75" w:after="75"/>
              <w:ind w:left="57" w:right="57"/>
              <w:jc w:val="both"/>
            </w:pPr>
          </w:p>
        </w:tc>
      </w:tr>
      <w:tr w:rsidR="0095153E" w:rsidRPr="0095153E" w:rsidTr="00463090">
        <w:tc>
          <w:tcPr>
            <w:tcW w:w="1226" w:type="pct"/>
            <w:tcBorders>
              <w:top w:val="single" w:sz="4" w:space="0" w:color="auto"/>
              <w:left w:val="single" w:sz="4" w:space="0" w:color="auto"/>
              <w:bottom w:val="single" w:sz="4" w:space="0" w:color="auto"/>
              <w:right w:val="single" w:sz="4" w:space="0" w:color="auto"/>
            </w:tcBorders>
            <w:vAlign w:val="center"/>
          </w:tcPr>
          <w:p w:rsidR="0095153E" w:rsidRPr="0095153E" w:rsidRDefault="0095153E" w:rsidP="0095153E">
            <w:pPr>
              <w:snapToGrid w:val="0"/>
            </w:pPr>
            <w:r w:rsidRPr="0095153E">
              <w:t>6.1. detalizēts ieņēmumu aprēķins</w:t>
            </w:r>
          </w:p>
        </w:tc>
        <w:tc>
          <w:tcPr>
            <w:tcW w:w="3774" w:type="pct"/>
            <w:gridSpan w:val="5"/>
            <w:vMerge/>
            <w:tcBorders>
              <w:top w:val="single" w:sz="4" w:space="0" w:color="auto"/>
              <w:left w:val="single" w:sz="4" w:space="0" w:color="auto"/>
              <w:bottom w:val="single" w:sz="4" w:space="0" w:color="auto"/>
              <w:right w:val="single" w:sz="4" w:space="0" w:color="auto"/>
            </w:tcBorders>
            <w:vAlign w:val="center"/>
          </w:tcPr>
          <w:p w:rsidR="0095153E" w:rsidRPr="0095153E" w:rsidRDefault="0095153E" w:rsidP="0095153E">
            <w:pPr>
              <w:snapToGrid w:val="0"/>
            </w:pPr>
          </w:p>
        </w:tc>
      </w:tr>
      <w:tr w:rsidR="0095153E" w:rsidRPr="0095153E" w:rsidTr="00463090">
        <w:trPr>
          <w:trHeight w:val="564"/>
        </w:trPr>
        <w:tc>
          <w:tcPr>
            <w:tcW w:w="1226" w:type="pct"/>
            <w:tcBorders>
              <w:top w:val="single" w:sz="4" w:space="0" w:color="auto"/>
              <w:left w:val="single" w:sz="4" w:space="0" w:color="auto"/>
              <w:bottom w:val="single" w:sz="4" w:space="0" w:color="auto"/>
              <w:right w:val="single" w:sz="4" w:space="0" w:color="auto"/>
            </w:tcBorders>
            <w:vAlign w:val="center"/>
          </w:tcPr>
          <w:p w:rsidR="0095153E" w:rsidRPr="0095153E" w:rsidRDefault="0095153E" w:rsidP="0095153E">
            <w:pPr>
              <w:snapToGrid w:val="0"/>
            </w:pPr>
            <w:r w:rsidRPr="0095153E">
              <w:t>6.2. detalizēts izdevumu aprēķins</w:t>
            </w:r>
          </w:p>
        </w:tc>
        <w:tc>
          <w:tcPr>
            <w:tcW w:w="3774" w:type="pct"/>
            <w:gridSpan w:val="5"/>
            <w:vMerge/>
            <w:tcBorders>
              <w:top w:val="single" w:sz="4" w:space="0" w:color="auto"/>
              <w:left w:val="single" w:sz="4" w:space="0" w:color="auto"/>
              <w:bottom w:val="single" w:sz="4" w:space="0" w:color="auto"/>
              <w:right w:val="single" w:sz="4" w:space="0" w:color="auto"/>
            </w:tcBorders>
            <w:vAlign w:val="center"/>
          </w:tcPr>
          <w:p w:rsidR="0095153E" w:rsidRPr="0095153E" w:rsidRDefault="0095153E" w:rsidP="0095153E">
            <w:pPr>
              <w:snapToGrid w:val="0"/>
            </w:pPr>
          </w:p>
        </w:tc>
      </w:tr>
      <w:tr w:rsidR="0095153E" w:rsidRPr="0095153E" w:rsidTr="00463090">
        <w:trPr>
          <w:trHeight w:val="628"/>
        </w:trPr>
        <w:tc>
          <w:tcPr>
            <w:tcW w:w="1226" w:type="pct"/>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pPr>
          </w:p>
          <w:p w:rsidR="0095153E" w:rsidRPr="0095153E" w:rsidRDefault="0095153E" w:rsidP="0095153E">
            <w:pPr>
              <w:snapToGrid w:val="0"/>
            </w:pPr>
            <w:r w:rsidRPr="0095153E">
              <w:t>7. Cita informācija</w:t>
            </w:r>
          </w:p>
        </w:tc>
        <w:tc>
          <w:tcPr>
            <w:tcW w:w="3774" w:type="pct"/>
            <w:gridSpan w:val="5"/>
            <w:tcBorders>
              <w:top w:val="single" w:sz="4" w:space="0" w:color="auto"/>
              <w:left w:val="single" w:sz="4" w:space="0" w:color="auto"/>
              <w:bottom w:val="single" w:sz="4" w:space="0" w:color="auto"/>
              <w:right w:val="single" w:sz="4" w:space="0" w:color="auto"/>
            </w:tcBorders>
          </w:tcPr>
          <w:p w:rsidR="0095153E" w:rsidRPr="0095153E" w:rsidRDefault="0095153E" w:rsidP="0095153E">
            <w:pPr>
              <w:snapToGrid w:val="0"/>
              <w:jc w:val="both"/>
            </w:pPr>
            <w:r w:rsidRPr="0095153E">
              <w:t xml:space="preserve">2017. gadam papildus nepieciešamos izdevumus sedz no valsts budžeta programmas 02.00.00 </w:t>
            </w:r>
            <w:r w:rsidR="00D63824" w:rsidRPr="00D63824">
              <w:t>"</w:t>
            </w:r>
            <w:r w:rsidRPr="0095153E">
              <w:t>Līdzekļi neparedzētiem gadījumiem</w:t>
            </w:r>
            <w:r w:rsidR="00D63824" w:rsidRPr="00D63824">
              <w:t>"</w:t>
            </w:r>
            <w:r w:rsidRPr="0095153E">
              <w:t>.</w:t>
            </w:r>
          </w:p>
          <w:p w:rsidR="0095153E" w:rsidRPr="0095153E" w:rsidRDefault="0095153E" w:rsidP="0095153E">
            <w:pPr>
              <w:snapToGrid w:val="0"/>
              <w:jc w:val="both"/>
            </w:pPr>
          </w:p>
          <w:p w:rsidR="0095153E" w:rsidRPr="0095153E" w:rsidRDefault="005C5C0A" w:rsidP="0095153E">
            <w:pPr>
              <w:snapToGrid w:val="0"/>
              <w:jc w:val="both"/>
            </w:pPr>
            <w:r>
              <w:t>Jautājumu par papildus nepieciešamo finansējumu 2018.</w:t>
            </w:r>
            <w:r w:rsidR="00D63824">
              <w:t> </w:t>
            </w:r>
            <w:r>
              <w:t>gadam, risināt likumprojekt</w:t>
            </w:r>
            <w:r w:rsidR="00D63824">
              <w:t>a</w:t>
            </w:r>
            <w:r>
              <w:t xml:space="preserve"> "Par valsts budžetu 2018.</w:t>
            </w:r>
            <w:r w:rsidR="00D63824">
              <w:t> </w:t>
            </w:r>
            <w:r>
              <w:t xml:space="preserve">gadam" un </w:t>
            </w:r>
            <w:r w:rsidR="00D63824">
              <w:t xml:space="preserve">likumprojekta </w:t>
            </w:r>
            <w:r>
              <w:t>"</w:t>
            </w:r>
            <w:r w:rsidRPr="009440BE">
              <w:t>Par vidēja termiņa budžeta ietvaru 201</w:t>
            </w:r>
            <w:r>
              <w:t>8</w:t>
            </w:r>
            <w:r w:rsidRPr="009440BE">
              <w:t>., 201</w:t>
            </w:r>
            <w:r>
              <w:t>9</w:t>
            </w:r>
            <w:r w:rsidRPr="009440BE">
              <w:t>. un 20</w:t>
            </w:r>
            <w:r>
              <w:t>20</w:t>
            </w:r>
            <w:r w:rsidRPr="009440BE">
              <w:t>.</w:t>
            </w:r>
            <w:r w:rsidR="008A3D77">
              <w:t> </w:t>
            </w:r>
            <w:r w:rsidRPr="009440BE">
              <w:t>gadam</w:t>
            </w:r>
            <w:r>
              <w:t>" izstrādāšanas laikā</w:t>
            </w:r>
            <w:r w:rsidRPr="00B405F2">
              <w:t>.</w:t>
            </w:r>
          </w:p>
        </w:tc>
      </w:tr>
    </w:tbl>
    <w:p w:rsidR="00587941" w:rsidRDefault="00587941" w:rsidP="00CB37CB">
      <w:pPr>
        <w:tabs>
          <w:tab w:val="left" w:pos="7020"/>
        </w:tabs>
        <w:rPr>
          <w:i/>
        </w:rPr>
      </w:pPr>
    </w:p>
    <w:tbl>
      <w:tblPr>
        <w:tblW w:w="514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6"/>
        <w:gridCol w:w="3469"/>
        <w:gridCol w:w="5202"/>
      </w:tblGrid>
      <w:tr w:rsidR="00BE6CB5" w:rsidTr="0095153E">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E6CB5" w:rsidRDefault="00BE6CB5">
            <w:pPr>
              <w:ind w:firstLine="300"/>
              <w:jc w:val="center"/>
              <w:rPr>
                <w:b/>
                <w:bCs/>
                <w:lang w:eastAsia="lv-LV"/>
              </w:rPr>
            </w:pPr>
            <w:r>
              <w:rPr>
                <w:b/>
                <w:bCs/>
                <w:lang w:eastAsia="lv-LV"/>
              </w:rPr>
              <w:t>VII. Tiesību akta projekta izpildes nodrošināšana un tās ietekme uz institūcijām</w:t>
            </w:r>
          </w:p>
        </w:tc>
      </w:tr>
      <w:tr w:rsidR="00BE6CB5" w:rsidTr="0095153E">
        <w:trPr>
          <w:trHeight w:val="420"/>
        </w:trPr>
        <w:tc>
          <w:tcPr>
            <w:tcW w:w="381"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1.</w:t>
            </w:r>
          </w:p>
        </w:tc>
        <w:tc>
          <w:tcPr>
            <w:tcW w:w="1848"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Projekta izpildē iesaistītās institūcijas</w:t>
            </w:r>
          </w:p>
        </w:tc>
        <w:tc>
          <w:tcPr>
            <w:tcW w:w="2772"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Uzņēmumu reģistrs.</w:t>
            </w:r>
          </w:p>
        </w:tc>
      </w:tr>
      <w:tr w:rsidR="00BE6CB5" w:rsidTr="0095153E">
        <w:trPr>
          <w:trHeight w:val="450"/>
        </w:trPr>
        <w:tc>
          <w:tcPr>
            <w:tcW w:w="381"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2.</w:t>
            </w:r>
          </w:p>
        </w:tc>
        <w:tc>
          <w:tcPr>
            <w:tcW w:w="1848"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 xml:space="preserve">Projekta izpildes ietekme uz pārvaldes funkcijām un institucionālo struktūru. </w:t>
            </w:r>
          </w:p>
          <w:p w:rsidR="00BE6CB5" w:rsidRDefault="00BE6CB5">
            <w:pPr>
              <w:ind w:firstLine="300"/>
              <w:rPr>
                <w:lang w:eastAsia="lv-LV"/>
              </w:rPr>
            </w:pPr>
            <w:r>
              <w:rPr>
                <w:lang w:eastAsia="lv-LV"/>
              </w:rPr>
              <w:t>Jaunu institūciju izveide, esošu institūciju likvidācija vai reorganizācija, to ietekme uz institūcijas cilvēkresursiem</w:t>
            </w:r>
          </w:p>
        </w:tc>
        <w:tc>
          <w:tcPr>
            <w:tcW w:w="2772"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Projekta izpilde neietekmēs pārvaldes funkcijas vai institucionālo struktūru.</w:t>
            </w:r>
          </w:p>
        </w:tc>
      </w:tr>
      <w:tr w:rsidR="00BE6CB5" w:rsidTr="0095153E">
        <w:trPr>
          <w:trHeight w:val="390"/>
        </w:trPr>
        <w:tc>
          <w:tcPr>
            <w:tcW w:w="381"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3.</w:t>
            </w:r>
          </w:p>
        </w:tc>
        <w:tc>
          <w:tcPr>
            <w:tcW w:w="1848"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Cita informācija</w:t>
            </w:r>
          </w:p>
        </w:tc>
        <w:tc>
          <w:tcPr>
            <w:tcW w:w="2772" w:type="pct"/>
            <w:tcBorders>
              <w:top w:val="outset" w:sz="6" w:space="0" w:color="414142"/>
              <w:left w:val="outset" w:sz="6" w:space="0" w:color="414142"/>
              <w:bottom w:val="outset" w:sz="6" w:space="0" w:color="414142"/>
              <w:right w:val="outset" w:sz="6" w:space="0" w:color="414142"/>
            </w:tcBorders>
            <w:hideMark/>
          </w:tcPr>
          <w:p w:rsidR="00BE6CB5" w:rsidRDefault="00BE6CB5">
            <w:pPr>
              <w:rPr>
                <w:lang w:eastAsia="lv-LV"/>
              </w:rPr>
            </w:pPr>
            <w:r>
              <w:rPr>
                <w:lang w:eastAsia="lv-LV"/>
              </w:rPr>
              <w:t>Nav.</w:t>
            </w:r>
          </w:p>
        </w:tc>
      </w:tr>
    </w:tbl>
    <w:p w:rsidR="00BE6CB5" w:rsidRPr="00BE6CB5" w:rsidRDefault="00BE6CB5" w:rsidP="00BE6CB5">
      <w:pPr>
        <w:rPr>
          <w:rFonts w:eastAsia="Calibri"/>
          <w:lang w:eastAsia="en-US"/>
        </w:rPr>
      </w:pPr>
    </w:p>
    <w:p w:rsidR="00BE6CB5" w:rsidRDefault="00BE6CB5" w:rsidP="00C03BEB">
      <w:pPr>
        <w:ind w:left="-142"/>
      </w:pPr>
      <w:r>
        <w:rPr>
          <w:i/>
        </w:rPr>
        <w:t>Anotācijas II, IV, V un VI sadaļa – projekts šīs jomas neskar.</w:t>
      </w:r>
    </w:p>
    <w:p w:rsidR="00780723" w:rsidRDefault="00780723" w:rsidP="00CB37CB">
      <w:pPr>
        <w:tabs>
          <w:tab w:val="left" w:pos="7020"/>
        </w:tabs>
      </w:pPr>
    </w:p>
    <w:p w:rsidR="00BB2C52" w:rsidRDefault="00BB2C52" w:rsidP="00CB37CB">
      <w:pPr>
        <w:tabs>
          <w:tab w:val="left" w:pos="7020"/>
        </w:tabs>
      </w:pPr>
    </w:p>
    <w:p w:rsidR="00E7664C" w:rsidRDefault="00780723" w:rsidP="004D3D9E">
      <w:pPr>
        <w:tabs>
          <w:tab w:val="left" w:pos="7020"/>
        </w:tabs>
        <w:ind w:hanging="284"/>
      </w:pPr>
      <w:r>
        <w:t>Iesniedzējs:</w:t>
      </w:r>
    </w:p>
    <w:p w:rsidR="00336064" w:rsidRDefault="00780723" w:rsidP="004D3D9E">
      <w:pPr>
        <w:tabs>
          <w:tab w:val="left" w:pos="7020"/>
        </w:tabs>
        <w:ind w:hanging="284"/>
      </w:pPr>
      <w:r>
        <w:t>t</w:t>
      </w:r>
      <w:r w:rsidR="00FD0487">
        <w:t>ieslietu</w:t>
      </w:r>
      <w:r w:rsidR="00336064">
        <w:t xml:space="preserve"> ministr</w:t>
      </w:r>
      <w:r w:rsidR="00FD0487">
        <w:t>s</w:t>
      </w:r>
      <w:r w:rsidR="00336064">
        <w:tab/>
      </w:r>
      <w:r w:rsidR="00AD2152">
        <w:t>Dz</w:t>
      </w:r>
      <w:r w:rsidR="00E7664C">
        <w:t xml:space="preserve">intars </w:t>
      </w:r>
      <w:r w:rsidR="00AD2152">
        <w:t>Rasnačs</w:t>
      </w:r>
    </w:p>
    <w:p w:rsidR="00336064" w:rsidRPr="00864430" w:rsidRDefault="00336064" w:rsidP="00251713">
      <w:pPr>
        <w:tabs>
          <w:tab w:val="left" w:pos="7020"/>
        </w:tabs>
        <w:rPr>
          <w:shd w:val="clear" w:color="auto" w:fill="FFFF00"/>
        </w:rPr>
      </w:pPr>
    </w:p>
    <w:p w:rsidR="00BB2C52" w:rsidRPr="00864430" w:rsidRDefault="00BB2C52" w:rsidP="00251713">
      <w:pPr>
        <w:tabs>
          <w:tab w:val="left" w:pos="7020"/>
        </w:tabs>
        <w:rPr>
          <w:shd w:val="clear" w:color="auto" w:fill="FFFF00"/>
        </w:rPr>
      </w:pPr>
    </w:p>
    <w:p w:rsidR="00BB2C52" w:rsidRPr="00864430" w:rsidRDefault="00BB2C52" w:rsidP="00251713">
      <w:pPr>
        <w:tabs>
          <w:tab w:val="left" w:pos="7020"/>
        </w:tabs>
        <w:rPr>
          <w:shd w:val="clear" w:color="auto" w:fill="FFFF00"/>
        </w:rPr>
      </w:pPr>
    </w:p>
    <w:p w:rsidR="00BB2C52" w:rsidRPr="00864430" w:rsidRDefault="00EB7DC9" w:rsidP="00BB2C52">
      <w:pPr>
        <w:pStyle w:val="StyleBodyText14ptFirstline127cm"/>
        <w:tabs>
          <w:tab w:val="right" w:pos="9070"/>
        </w:tabs>
        <w:spacing w:after="0"/>
        <w:ind w:hanging="284"/>
        <w:rPr>
          <w:sz w:val="24"/>
          <w:szCs w:val="24"/>
        </w:rPr>
      </w:pPr>
      <w:r w:rsidRPr="00864430">
        <w:rPr>
          <w:sz w:val="24"/>
          <w:szCs w:val="24"/>
        </w:rPr>
        <w:t>Letiņa</w:t>
      </w:r>
      <w:r w:rsidR="00BB2C52" w:rsidRPr="00864430">
        <w:rPr>
          <w:sz w:val="24"/>
          <w:szCs w:val="24"/>
        </w:rPr>
        <w:t xml:space="preserve"> </w:t>
      </w:r>
      <w:r w:rsidR="007F2B0F" w:rsidRPr="00864430">
        <w:rPr>
          <w:sz w:val="24"/>
          <w:szCs w:val="24"/>
        </w:rPr>
        <w:t>67</w:t>
      </w:r>
      <w:r w:rsidRPr="00864430">
        <w:rPr>
          <w:sz w:val="24"/>
          <w:szCs w:val="24"/>
        </w:rPr>
        <w:t>031734</w:t>
      </w:r>
    </w:p>
    <w:p w:rsidR="00A37AA5" w:rsidRPr="00864430" w:rsidRDefault="00EB7DC9" w:rsidP="00BB2C52">
      <w:pPr>
        <w:pStyle w:val="StyleBodyText14ptFirstline127cm"/>
        <w:tabs>
          <w:tab w:val="right" w:pos="9070"/>
        </w:tabs>
        <w:spacing w:after="0"/>
        <w:ind w:hanging="284"/>
        <w:rPr>
          <w:sz w:val="24"/>
          <w:szCs w:val="24"/>
        </w:rPr>
      </w:pPr>
      <w:r w:rsidRPr="00864430">
        <w:rPr>
          <w:sz w:val="24"/>
          <w:szCs w:val="24"/>
        </w:rPr>
        <w:t>Laima.Letina</w:t>
      </w:r>
      <w:r w:rsidR="007F2B0F" w:rsidRPr="00864430">
        <w:rPr>
          <w:sz w:val="24"/>
          <w:szCs w:val="24"/>
        </w:rPr>
        <w:t>@</w:t>
      </w:r>
      <w:r w:rsidRPr="00864430">
        <w:rPr>
          <w:sz w:val="24"/>
          <w:szCs w:val="24"/>
        </w:rPr>
        <w:t>ur</w:t>
      </w:r>
      <w:r w:rsidR="00780723" w:rsidRPr="00864430">
        <w:rPr>
          <w:sz w:val="24"/>
          <w:szCs w:val="24"/>
        </w:rPr>
        <w:t>.gov.lv</w:t>
      </w:r>
    </w:p>
    <w:sectPr w:rsidR="00A37AA5" w:rsidRPr="00864430" w:rsidSect="00C03BEB">
      <w:headerReference w:type="even" r:id="rId9"/>
      <w:headerReference w:type="default" r:id="rId10"/>
      <w:footerReference w:type="even" r:id="rId11"/>
      <w:footerReference w:type="default" r:id="rId12"/>
      <w:headerReference w:type="first" r:id="rId13"/>
      <w:footerReference w:type="first" r:id="rId14"/>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F0" w:rsidRDefault="00F820F0">
      <w:r>
        <w:separator/>
      </w:r>
    </w:p>
  </w:endnote>
  <w:endnote w:type="continuationSeparator" w:id="0">
    <w:p w:rsidR="00F820F0" w:rsidRDefault="00F8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2" w:rsidRDefault="00BB2C5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EB" w:rsidRPr="00780723" w:rsidRDefault="00C03BEB" w:rsidP="00243154">
    <w:pPr>
      <w:pStyle w:val="Kjene"/>
      <w:ind w:left="-284"/>
      <w:jc w:val="both"/>
      <w:rPr>
        <w:sz w:val="20"/>
        <w:szCs w:val="20"/>
      </w:rPr>
    </w:pPr>
    <w:r>
      <w:rPr>
        <w:sz w:val="20"/>
        <w:szCs w:val="20"/>
      </w:rPr>
      <w:t>TMAnot_</w:t>
    </w:r>
    <w:r w:rsidR="003F361A">
      <w:rPr>
        <w:sz w:val="20"/>
        <w:szCs w:val="20"/>
      </w:rPr>
      <w:t>21</w:t>
    </w:r>
    <w:r>
      <w:rPr>
        <w:sz w:val="20"/>
        <w:szCs w:val="20"/>
      </w:rPr>
      <w:t>0317_naudaPLG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EB" w:rsidRPr="0095153E" w:rsidRDefault="00C03BEB" w:rsidP="0095153E">
    <w:pPr>
      <w:pStyle w:val="Kjene"/>
      <w:ind w:left="-284"/>
      <w:jc w:val="both"/>
      <w:rPr>
        <w:sz w:val="20"/>
        <w:szCs w:val="20"/>
      </w:rPr>
    </w:pPr>
    <w:r>
      <w:rPr>
        <w:sz w:val="20"/>
        <w:szCs w:val="20"/>
      </w:rPr>
      <w:t>TMAnot_</w:t>
    </w:r>
    <w:r w:rsidR="00B353C2">
      <w:rPr>
        <w:sz w:val="20"/>
        <w:szCs w:val="20"/>
      </w:rPr>
      <w:t>21</w:t>
    </w:r>
    <w:r>
      <w:rPr>
        <w:sz w:val="20"/>
        <w:szCs w:val="20"/>
      </w:rPr>
      <w:t>0317_naudaPLG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F0" w:rsidRDefault="00F820F0">
      <w:r>
        <w:separator/>
      </w:r>
    </w:p>
  </w:footnote>
  <w:footnote w:type="continuationSeparator" w:id="0">
    <w:p w:rsidR="00F820F0" w:rsidRDefault="00F820F0">
      <w:r>
        <w:continuationSeparator/>
      </w:r>
    </w:p>
  </w:footnote>
  <w:footnote w:id="1">
    <w:p w:rsidR="00C03BEB" w:rsidRDefault="00C03BEB">
      <w:pPr>
        <w:pStyle w:val="Vresteksts"/>
      </w:pPr>
      <w:r>
        <w:rPr>
          <w:rStyle w:val="Vresatsauce"/>
        </w:rPr>
        <w:footnoteRef/>
      </w:r>
      <w:r>
        <w:t xml:space="preserve"> Latvijas algu un atlīdzību pētījums. Pieejams: </w:t>
      </w:r>
      <w:hyperlink r:id="rId1" w:history="1">
        <w:r w:rsidRPr="00CC5291">
          <w:rPr>
            <w:rStyle w:val="Hipersaite"/>
          </w:rPr>
          <w:t>http://www.cv.lv/content/index.php?id=1378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2" w:rsidRDefault="00BB2C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EB" w:rsidRDefault="00C03BEB">
    <w:pPr>
      <w:pStyle w:val="Galvene"/>
      <w:jc w:val="center"/>
    </w:pPr>
    <w:r>
      <w:fldChar w:fldCharType="begin"/>
    </w:r>
    <w:r>
      <w:instrText xml:space="preserve"> PAGE   \* MERGEFORMAT </w:instrText>
    </w:r>
    <w:r>
      <w:fldChar w:fldCharType="separate"/>
    </w:r>
    <w:r w:rsidR="00B353C2">
      <w:rPr>
        <w:noProof/>
      </w:rPr>
      <w:t>13</w:t>
    </w:r>
    <w:r>
      <w:fldChar w:fldCharType="end"/>
    </w:r>
  </w:p>
  <w:p w:rsidR="00C03BEB" w:rsidRDefault="00C03BE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52" w:rsidRDefault="00BB2C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393E"/>
    <w:multiLevelType w:val="hybridMultilevel"/>
    <w:tmpl w:val="ABB8392E"/>
    <w:lvl w:ilvl="0" w:tplc="030C6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7D24EC6"/>
    <w:multiLevelType w:val="hybridMultilevel"/>
    <w:tmpl w:val="FF864D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F6F6BD7"/>
    <w:multiLevelType w:val="hybridMultilevel"/>
    <w:tmpl w:val="97EE09EC"/>
    <w:lvl w:ilvl="0" w:tplc="032AA9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B0548C7"/>
    <w:multiLevelType w:val="hybridMultilevel"/>
    <w:tmpl w:val="A6C8F492"/>
    <w:lvl w:ilvl="0" w:tplc="3DBEEFF4">
      <w:start w:val="1"/>
      <w:numFmt w:val="lowerLetter"/>
      <w:lvlText w:val="%1)"/>
      <w:lvlJc w:val="left"/>
      <w:pPr>
        <w:ind w:left="1980" w:hanging="12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5C"/>
    <w:rsid w:val="00000776"/>
    <w:rsid w:val="0000333E"/>
    <w:rsid w:val="00013540"/>
    <w:rsid w:val="0001355A"/>
    <w:rsid w:val="00023C90"/>
    <w:rsid w:val="00023D9A"/>
    <w:rsid w:val="00026901"/>
    <w:rsid w:val="00026A41"/>
    <w:rsid w:val="000344AA"/>
    <w:rsid w:val="00035050"/>
    <w:rsid w:val="00040AAA"/>
    <w:rsid w:val="00043791"/>
    <w:rsid w:val="00044410"/>
    <w:rsid w:val="000447CE"/>
    <w:rsid w:val="00044928"/>
    <w:rsid w:val="0004518B"/>
    <w:rsid w:val="00045890"/>
    <w:rsid w:val="00050EF2"/>
    <w:rsid w:val="00051E81"/>
    <w:rsid w:val="00053628"/>
    <w:rsid w:val="00054150"/>
    <w:rsid w:val="000552EC"/>
    <w:rsid w:val="000610F7"/>
    <w:rsid w:val="000659A9"/>
    <w:rsid w:val="00066229"/>
    <w:rsid w:val="0008615C"/>
    <w:rsid w:val="00096472"/>
    <w:rsid w:val="000A65C9"/>
    <w:rsid w:val="000A6D84"/>
    <w:rsid w:val="000A70F5"/>
    <w:rsid w:val="000B1C54"/>
    <w:rsid w:val="000B27CD"/>
    <w:rsid w:val="000B5C55"/>
    <w:rsid w:val="000B793E"/>
    <w:rsid w:val="000C26EE"/>
    <w:rsid w:val="000C6344"/>
    <w:rsid w:val="000C737E"/>
    <w:rsid w:val="000C765B"/>
    <w:rsid w:val="000D2E03"/>
    <w:rsid w:val="000D6711"/>
    <w:rsid w:val="000E3345"/>
    <w:rsid w:val="000E6AB6"/>
    <w:rsid w:val="00104C21"/>
    <w:rsid w:val="00111B27"/>
    <w:rsid w:val="001134F9"/>
    <w:rsid w:val="00113EEC"/>
    <w:rsid w:val="00126E77"/>
    <w:rsid w:val="001341B7"/>
    <w:rsid w:val="00136320"/>
    <w:rsid w:val="00140AF2"/>
    <w:rsid w:val="001432FB"/>
    <w:rsid w:val="001440BE"/>
    <w:rsid w:val="0014496F"/>
    <w:rsid w:val="001450C2"/>
    <w:rsid w:val="001451A5"/>
    <w:rsid w:val="001530F5"/>
    <w:rsid w:val="00153605"/>
    <w:rsid w:val="001618F8"/>
    <w:rsid w:val="001644B5"/>
    <w:rsid w:val="001657AB"/>
    <w:rsid w:val="00171138"/>
    <w:rsid w:val="00172FA3"/>
    <w:rsid w:val="00177B06"/>
    <w:rsid w:val="001A2C07"/>
    <w:rsid w:val="001A2F57"/>
    <w:rsid w:val="001A5392"/>
    <w:rsid w:val="001A5FC6"/>
    <w:rsid w:val="001B0170"/>
    <w:rsid w:val="001B0D6C"/>
    <w:rsid w:val="001B12D8"/>
    <w:rsid w:val="001B26B2"/>
    <w:rsid w:val="001C20D1"/>
    <w:rsid w:val="001D5109"/>
    <w:rsid w:val="001D6F15"/>
    <w:rsid w:val="001F040F"/>
    <w:rsid w:val="001F4A65"/>
    <w:rsid w:val="001F4B9E"/>
    <w:rsid w:val="001F5913"/>
    <w:rsid w:val="001F6C3D"/>
    <w:rsid w:val="00210AFB"/>
    <w:rsid w:val="002113DE"/>
    <w:rsid w:val="00212DD3"/>
    <w:rsid w:val="00217CC2"/>
    <w:rsid w:val="0022607F"/>
    <w:rsid w:val="002277D2"/>
    <w:rsid w:val="002314ED"/>
    <w:rsid w:val="00242B6F"/>
    <w:rsid w:val="00243154"/>
    <w:rsid w:val="00251713"/>
    <w:rsid w:val="00260183"/>
    <w:rsid w:val="002611FD"/>
    <w:rsid w:val="00263577"/>
    <w:rsid w:val="00270E17"/>
    <w:rsid w:val="00272551"/>
    <w:rsid w:val="002806D9"/>
    <w:rsid w:val="00286D3E"/>
    <w:rsid w:val="002A0278"/>
    <w:rsid w:val="002A17DF"/>
    <w:rsid w:val="002A2E3C"/>
    <w:rsid w:val="002A7C8B"/>
    <w:rsid w:val="002B1B8A"/>
    <w:rsid w:val="002B2004"/>
    <w:rsid w:val="002B2270"/>
    <w:rsid w:val="002B4F2E"/>
    <w:rsid w:val="002B5D86"/>
    <w:rsid w:val="002C088F"/>
    <w:rsid w:val="002C1DD6"/>
    <w:rsid w:val="002C2B30"/>
    <w:rsid w:val="002D4112"/>
    <w:rsid w:val="002D7464"/>
    <w:rsid w:val="002E015E"/>
    <w:rsid w:val="002E3889"/>
    <w:rsid w:val="002E4809"/>
    <w:rsid w:val="002E71EF"/>
    <w:rsid w:val="002E77FF"/>
    <w:rsid w:val="002F1E4F"/>
    <w:rsid w:val="002F2D27"/>
    <w:rsid w:val="002F4786"/>
    <w:rsid w:val="002F7936"/>
    <w:rsid w:val="00304AA5"/>
    <w:rsid w:val="0031198B"/>
    <w:rsid w:val="00314B3C"/>
    <w:rsid w:val="0032256E"/>
    <w:rsid w:val="00326ABB"/>
    <w:rsid w:val="0033218F"/>
    <w:rsid w:val="00336064"/>
    <w:rsid w:val="003462F1"/>
    <w:rsid w:val="00354D2A"/>
    <w:rsid w:val="00356607"/>
    <w:rsid w:val="00356D18"/>
    <w:rsid w:val="00360BFC"/>
    <w:rsid w:val="003611F2"/>
    <w:rsid w:val="003667DE"/>
    <w:rsid w:val="00366A77"/>
    <w:rsid w:val="003710D0"/>
    <w:rsid w:val="00371E98"/>
    <w:rsid w:val="00374786"/>
    <w:rsid w:val="00375EC1"/>
    <w:rsid w:val="00377992"/>
    <w:rsid w:val="0038520F"/>
    <w:rsid w:val="0038645D"/>
    <w:rsid w:val="00387FB2"/>
    <w:rsid w:val="003A2555"/>
    <w:rsid w:val="003A38C4"/>
    <w:rsid w:val="003A39D7"/>
    <w:rsid w:val="003A3F38"/>
    <w:rsid w:val="003A50E7"/>
    <w:rsid w:val="003A7930"/>
    <w:rsid w:val="003B3514"/>
    <w:rsid w:val="003C13A4"/>
    <w:rsid w:val="003C6555"/>
    <w:rsid w:val="003D1F8D"/>
    <w:rsid w:val="003D4B99"/>
    <w:rsid w:val="003D4C85"/>
    <w:rsid w:val="003D50D8"/>
    <w:rsid w:val="003D6266"/>
    <w:rsid w:val="003D7F5E"/>
    <w:rsid w:val="003F1C94"/>
    <w:rsid w:val="003F1D4F"/>
    <w:rsid w:val="003F2895"/>
    <w:rsid w:val="003F361A"/>
    <w:rsid w:val="003F3CA0"/>
    <w:rsid w:val="003F55A0"/>
    <w:rsid w:val="003F76F2"/>
    <w:rsid w:val="00400F3B"/>
    <w:rsid w:val="004040DD"/>
    <w:rsid w:val="00404B6D"/>
    <w:rsid w:val="00407932"/>
    <w:rsid w:val="00407CE5"/>
    <w:rsid w:val="004110C4"/>
    <w:rsid w:val="00416E23"/>
    <w:rsid w:val="00417472"/>
    <w:rsid w:val="00422388"/>
    <w:rsid w:val="00422E8F"/>
    <w:rsid w:val="00440113"/>
    <w:rsid w:val="004428F0"/>
    <w:rsid w:val="004447C7"/>
    <w:rsid w:val="00444E45"/>
    <w:rsid w:val="00447045"/>
    <w:rsid w:val="0045668E"/>
    <w:rsid w:val="00456B5C"/>
    <w:rsid w:val="00460D5D"/>
    <w:rsid w:val="00463090"/>
    <w:rsid w:val="004630A6"/>
    <w:rsid w:val="00471F29"/>
    <w:rsid w:val="00473B50"/>
    <w:rsid w:val="00473C54"/>
    <w:rsid w:val="00477DEC"/>
    <w:rsid w:val="00483873"/>
    <w:rsid w:val="00483FB4"/>
    <w:rsid w:val="00485429"/>
    <w:rsid w:val="00491F12"/>
    <w:rsid w:val="004B2C61"/>
    <w:rsid w:val="004B3548"/>
    <w:rsid w:val="004C1C7D"/>
    <w:rsid w:val="004C43CD"/>
    <w:rsid w:val="004C4C0D"/>
    <w:rsid w:val="004D163B"/>
    <w:rsid w:val="004D1B17"/>
    <w:rsid w:val="004D1E00"/>
    <w:rsid w:val="004D246C"/>
    <w:rsid w:val="004D3D9E"/>
    <w:rsid w:val="004D6C1C"/>
    <w:rsid w:val="004D71A7"/>
    <w:rsid w:val="004E279F"/>
    <w:rsid w:val="004E6F28"/>
    <w:rsid w:val="004F0E26"/>
    <w:rsid w:val="004F2ED6"/>
    <w:rsid w:val="004F6EA8"/>
    <w:rsid w:val="004F701A"/>
    <w:rsid w:val="00502C7B"/>
    <w:rsid w:val="0050613B"/>
    <w:rsid w:val="00506488"/>
    <w:rsid w:val="005153E9"/>
    <w:rsid w:val="00515505"/>
    <w:rsid w:val="00516450"/>
    <w:rsid w:val="0051693A"/>
    <w:rsid w:val="00520795"/>
    <w:rsid w:val="00521885"/>
    <w:rsid w:val="00521C95"/>
    <w:rsid w:val="00524799"/>
    <w:rsid w:val="005375A6"/>
    <w:rsid w:val="00540CF3"/>
    <w:rsid w:val="00541313"/>
    <w:rsid w:val="0054732F"/>
    <w:rsid w:val="00557015"/>
    <w:rsid w:val="005643FF"/>
    <w:rsid w:val="00570D2A"/>
    <w:rsid w:val="005737E3"/>
    <w:rsid w:val="005761C6"/>
    <w:rsid w:val="00580561"/>
    <w:rsid w:val="00586EE7"/>
    <w:rsid w:val="00587941"/>
    <w:rsid w:val="00595A32"/>
    <w:rsid w:val="005A115A"/>
    <w:rsid w:val="005A6BE9"/>
    <w:rsid w:val="005C0B1C"/>
    <w:rsid w:val="005C5C0A"/>
    <w:rsid w:val="005C6ECC"/>
    <w:rsid w:val="005D1142"/>
    <w:rsid w:val="005D3E8A"/>
    <w:rsid w:val="005D7BD2"/>
    <w:rsid w:val="005E3A22"/>
    <w:rsid w:val="005E4980"/>
    <w:rsid w:val="005E4A11"/>
    <w:rsid w:val="005F1BC2"/>
    <w:rsid w:val="005F72C8"/>
    <w:rsid w:val="005F74BC"/>
    <w:rsid w:val="005F7EA6"/>
    <w:rsid w:val="00602566"/>
    <w:rsid w:val="006030E2"/>
    <w:rsid w:val="00605438"/>
    <w:rsid w:val="00607F16"/>
    <w:rsid w:val="0061025E"/>
    <w:rsid w:val="00610D24"/>
    <w:rsid w:val="00622C48"/>
    <w:rsid w:val="00623B3A"/>
    <w:rsid w:val="0063329C"/>
    <w:rsid w:val="00636F6C"/>
    <w:rsid w:val="0064248D"/>
    <w:rsid w:val="00643E5D"/>
    <w:rsid w:val="0064752D"/>
    <w:rsid w:val="00652AA9"/>
    <w:rsid w:val="00655270"/>
    <w:rsid w:val="00656E1B"/>
    <w:rsid w:val="006630E8"/>
    <w:rsid w:val="00665901"/>
    <w:rsid w:val="00666EE0"/>
    <w:rsid w:val="0066784F"/>
    <w:rsid w:val="006706CE"/>
    <w:rsid w:val="00671A17"/>
    <w:rsid w:val="00674A41"/>
    <w:rsid w:val="00675A39"/>
    <w:rsid w:val="00675F31"/>
    <w:rsid w:val="00680820"/>
    <w:rsid w:val="00682C1F"/>
    <w:rsid w:val="006834F9"/>
    <w:rsid w:val="00684BEC"/>
    <w:rsid w:val="00687B79"/>
    <w:rsid w:val="00691E09"/>
    <w:rsid w:val="00694EC4"/>
    <w:rsid w:val="0069750D"/>
    <w:rsid w:val="006A0FDC"/>
    <w:rsid w:val="006B7436"/>
    <w:rsid w:val="006C1088"/>
    <w:rsid w:val="006C4049"/>
    <w:rsid w:val="006C4FFC"/>
    <w:rsid w:val="006C7B33"/>
    <w:rsid w:val="006D5E2D"/>
    <w:rsid w:val="006E1100"/>
    <w:rsid w:val="006E189B"/>
    <w:rsid w:val="006E724E"/>
    <w:rsid w:val="006E7E6B"/>
    <w:rsid w:val="006F5BEE"/>
    <w:rsid w:val="00700248"/>
    <w:rsid w:val="0070160B"/>
    <w:rsid w:val="00701D31"/>
    <w:rsid w:val="0070229F"/>
    <w:rsid w:val="00724689"/>
    <w:rsid w:val="007250DF"/>
    <w:rsid w:val="00726F59"/>
    <w:rsid w:val="007319B5"/>
    <w:rsid w:val="00740735"/>
    <w:rsid w:val="00744037"/>
    <w:rsid w:val="007442E1"/>
    <w:rsid w:val="0075274C"/>
    <w:rsid w:val="007547A5"/>
    <w:rsid w:val="0076357E"/>
    <w:rsid w:val="00764A14"/>
    <w:rsid w:val="007655DC"/>
    <w:rsid w:val="00776F64"/>
    <w:rsid w:val="007772AD"/>
    <w:rsid w:val="00780723"/>
    <w:rsid w:val="007817A0"/>
    <w:rsid w:val="00783FB3"/>
    <w:rsid w:val="00785BAF"/>
    <w:rsid w:val="007860A4"/>
    <w:rsid w:val="00790258"/>
    <w:rsid w:val="007A17B0"/>
    <w:rsid w:val="007A2A85"/>
    <w:rsid w:val="007B0357"/>
    <w:rsid w:val="007B1A27"/>
    <w:rsid w:val="007B362A"/>
    <w:rsid w:val="007B7494"/>
    <w:rsid w:val="007B7B5B"/>
    <w:rsid w:val="007C2F7E"/>
    <w:rsid w:val="007C6DCD"/>
    <w:rsid w:val="007C7BAF"/>
    <w:rsid w:val="007D0A24"/>
    <w:rsid w:val="007D26CF"/>
    <w:rsid w:val="007D2AC5"/>
    <w:rsid w:val="007D3F47"/>
    <w:rsid w:val="007D6F6B"/>
    <w:rsid w:val="007E0088"/>
    <w:rsid w:val="007E1393"/>
    <w:rsid w:val="007E559A"/>
    <w:rsid w:val="007E74E2"/>
    <w:rsid w:val="007F156E"/>
    <w:rsid w:val="007F2B0F"/>
    <w:rsid w:val="008073B7"/>
    <w:rsid w:val="00810701"/>
    <w:rsid w:val="008119E0"/>
    <w:rsid w:val="008145A6"/>
    <w:rsid w:val="00816BC0"/>
    <w:rsid w:val="00821519"/>
    <w:rsid w:val="0082264E"/>
    <w:rsid w:val="008268F9"/>
    <w:rsid w:val="00827579"/>
    <w:rsid w:val="00833FBB"/>
    <w:rsid w:val="008414C3"/>
    <w:rsid w:val="0084534C"/>
    <w:rsid w:val="008456DA"/>
    <w:rsid w:val="00845B96"/>
    <w:rsid w:val="00846A1D"/>
    <w:rsid w:val="00846C35"/>
    <w:rsid w:val="00851766"/>
    <w:rsid w:val="00861E7A"/>
    <w:rsid w:val="00862999"/>
    <w:rsid w:val="0086318E"/>
    <w:rsid w:val="00864430"/>
    <w:rsid w:val="0086510A"/>
    <w:rsid w:val="0086540C"/>
    <w:rsid w:val="008674C0"/>
    <w:rsid w:val="0087155B"/>
    <w:rsid w:val="00871C7D"/>
    <w:rsid w:val="0087249E"/>
    <w:rsid w:val="008806D1"/>
    <w:rsid w:val="00882B92"/>
    <w:rsid w:val="00882E8B"/>
    <w:rsid w:val="00883006"/>
    <w:rsid w:val="00883AD0"/>
    <w:rsid w:val="00884395"/>
    <w:rsid w:val="00890BF6"/>
    <w:rsid w:val="00895D71"/>
    <w:rsid w:val="00896992"/>
    <w:rsid w:val="008A136C"/>
    <w:rsid w:val="008A3882"/>
    <w:rsid w:val="008A3D77"/>
    <w:rsid w:val="008B01F3"/>
    <w:rsid w:val="008B45A2"/>
    <w:rsid w:val="008B5685"/>
    <w:rsid w:val="008B573C"/>
    <w:rsid w:val="008C2F68"/>
    <w:rsid w:val="008C605B"/>
    <w:rsid w:val="008C771C"/>
    <w:rsid w:val="008E49A0"/>
    <w:rsid w:val="008E7B3B"/>
    <w:rsid w:val="008F0E71"/>
    <w:rsid w:val="008F15C3"/>
    <w:rsid w:val="008F4065"/>
    <w:rsid w:val="008F40C3"/>
    <w:rsid w:val="00900B58"/>
    <w:rsid w:val="009039C2"/>
    <w:rsid w:val="00904DE0"/>
    <w:rsid w:val="00905875"/>
    <w:rsid w:val="009112A9"/>
    <w:rsid w:val="00911F5D"/>
    <w:rsid w:val="009142AD"/>
    <w:rsid w:val="00915599"/>
    <w:rsid w:val="00916017"/>
    <w:rsid w:val="00925A20"/>
    <w:rsid w:val="00932328"/>
    <w:rsid w:val="00933B0D"/>
    <w:rsid w:val="00935525"/>
    <w:rsid w:val="00935ABC"/>
    <w:rsid w:val="00935D98"/>
    <w:rsid w:val="00946288"/>
    <w:rsid w:val="00947493"/>
    <w:rsid w:val="00950F4C"/>
    <w:rsid w:val="0095153E"/>
    <w:rsid w:val="0096067A"/>
    <w:rsid w:val="00961659"/>
    <w:rsid w:val="00963FAD"/>
    <w:rsid w:val="0096480B"/>
    <w:rsid w:val="00967579"/>
    <w:rsid w:val="00967C1B"/>
    <w:rsid w:val="009704AB"/>
    <w:rsid w:val="00972241"/>
    <w:rsid w:val="009761B7"/>
    <w:rsid w:val="0098678B"/>
    <w:rsid w:val="00987395"/>
    <w:rsid w:val="00990A1F"/>
    <w:rsid w:val="00995964"/>
    <w:rsid w:val="009964BE"/>
    <w:rsid w:val="00997D64"/>
    <w:rsid w:val="00997DE1"/>
    <w:rsid w:val="009B1B8C"/>
    <w:rsid w:val="009B6962"/>
    <w:rsid w:val="009C5C88"/>
    <w:rsid w:val="009D3469"/>
    <w:rsid w:val="009D3DD1"/>
    <w:rsid w:val="009D4B8F"/>
    <w:rsid w:val="009E223F"/>
    <w:rsid w:val="009E23F0"/>
    <w:rsid w:val="009E4301"/>
    <w:rsid w:val="009E5157"/>
    <w:rsid w:val="009E6F3A"/>
    <w:rsid w:val="009F2950"/>
    <w:rsid w:val="009F3270"/>
    <w:rsid w:val="00A0061C"/>
    <w:rsid w:val="00A00F14"/>
    <w:rsid w:val="00A030C7"/>
    <w:rsid w:val="00A1386C"/>
    <w:rsid w:val="00A23AB2"/>
    <w:rsid w:val="00A27A53"/>
    <w:rsid w:val="00A30EFD"/>
    <w:rsid w:val="00A32278"/>
    <w:rsid w:val="00A37AA5"/>
    <w:rsid w:val="00A4104B"/>
    <w:rsid w:val="00A4527E"/>
    <w:rsid w:val="00A530F8"/>
    <w:rsid w:val="00A53179"/>
    <w:rsid w:val="00A62BC0"/>
    <w:rsid w:val="00A65E27"/>
    <w:rsid w:val="00A67174"/>
    <w:rsid w:val="00A719BB"/>
    <w:rsid w:val="00A8188D"/>
    <w:rsid w:val="00A825C0"/>
    <w:rsid w:val="00A86EB3"/>
    <w:rsid w:val="00A87033"/>
    <w:rsid w:val="00A910F8"/>
    <w:rsid w:val="00A9372B"/>
    <w:rsid w:val="00AA6AF4"/>
    <w:rsid w:val="00AB1928"/>
    <w:rsid w:val="00AB48AB"/>
    <w:rsid w:val="00AB6979"/>
    <w:rsid w:val="00AB7233"/>
    <w:rsid w:val="00AC396A"/>
    <w:rsid w:val="00AC7A55"/>
    <w:rsid w:val="00AD2152"/>
    <w:rsid w:val="00AE2965"/>
    <w:rsid w:val="00AF0AB4"/>
    <w:rsid w:val="00AF3D94"/>
    <w:rsid w:val="00B0602F"/>
    <w:rsid w:val="00B153D7"/>
    <w:rsid w:val="00B17582"/>
    <w:rsid w:val="00B17B10"/>
    <w:rsid w:val="00B22F83"/>
    <w:rsid w:val="00B311AD"/>
    <w:rsid w:val="00B353C2"/>
    <w:rsid w:val="00B35A04"/>
    <w:rsid w:val="00B405F2"/>
    <w:rsid w:val="00B40EE9"/>
    <w:rsid w:val="00B411D4"/>
    <w:rsid w:val="00B41BC4"/>
    <w:rsid w:val="00B43214"/>
    <w:rsid w:val="00B55641"/>
    <w:rsid w:val="00B61993"/>
    <w:rsid w:val="00B63F14"/>
    <w:rsid w:val="00B64D1D"/>
    <w:rsid w:val="00B65434"/>
    <w:rsid w:val="00B74A66"/>
    <w:rsid w:val="00B8178B"/>
    <w:rsid w:val="00B817C3"/>
    <w:rsid w:val="00B83764"/>
    <w:rsid w:val="00B86812"/>
    <w:rsid w:val="00B907C7"/>
    <w:rsid w:val="00B940C6"/>
    <w:rsid w:val="00B949B5"/>
    <w:rsid w:val="00BA25D0"/>
    <w:rsid w:val="00BA5A91"/>
    <w:rsid w:val="00BA6246"/>
    <w:rsid w:val="00BA62D1"/>
    <w:rsid w:val="00BB1616"/>
    <w:rsid w:val="00BB2C52"/>
    <w:rsid w:val="00BC19D1"/>
    <w:rsid w:val="00BC34DB"/>
    <w:rsid w:val="00BC4E4F"/>
    <w:rsid w:val="00BD0788"/>
    <w:rsid w:val="00BD3126"/>
    <w:rsid w:val="00BD3CF1"/>
    <w:rsid w:val="00BD506F"/>
    <w:rsid w:val="00BD62F0"/>
    <w:rsid w:val="00BE37AE"/>
    <w:rsid w:val="00BE6CB5"/>
    <w:rsid w:val="00BF266A"/>
    <w:rsid w:val="00BF335F"/>
    <w:rsid w:val="00BF3AE4"/>
    <w:rsid w:val="00BF4F99"/>
    <w:rsid w:val="00C02677"/>
    <w:rsid w:val="00C03B53"/>
    <w:rsid w:val="00C03BEB"/>
    <w:rsid w:val="00C048EE"/>
    <w:rsid w:val="00C1314C"/>
    <w:rsid w:val="00C1369D"/>
    <w:rsid w:val="00C13FD8"/>
    <w:rsid w:val="00C17B7A"/>
    <w:rsid w:val="00C17DEE"/>
    <w:rsid w:val="00C20001"/>
    <w:rsid w:val="00C21A48"/>
    <w:rsid w:val="00C23FCA"/>
    <w:rsid w:val="00C30244"/>
    <w:rsid w:val="00C43244"/>
    <w:rsid w:val="00C50C6F"/>
    <w:rsid w:val="00C52146"/>
    <w:rsid w:val="00C540C3"/>
    <w:rsid w:val="00C54CCF"/>
    <w:rsid w:val="00C63039"/>
    <w:rsid w:val="00C63C9E"/>
    <w:rsid w:val="00C708D4"/>
    <w:rsid w:val="00C730D6"/>
    <w:rsid w:val="00C74187"/>
    <w:rsid w:val="00C756D8"/>
    <w:rsid w:val="00C81148"/>
    <w:rsid w:val="00C8789E"/>
    <w:rsid w:val="00C918D7"/>
    <w:rsid w:val="00C91996"/>
    <w:rsid w:val="00C968D1"/>
    <w:rsid w:val="00CA0C36"/>
    <w:rsid w:val="00CA25E9"/>
    <w:rsid w:val="00CA6274"/>
    <w:rsid w:val="00CB20A9"/>
    <w:rsid w:val="00CB34EB"/>
    <w:rsid w:val="00CB37CB"/>
    <w:rsid w:val="00CB5C33"/>
    <w:rsid w:val="00CB5D44"/>
    <w:rsid w:val="00CC64F6"/>
    <w:rsid w:val="00CD1BB3"/>
    <w:rsid w:val="00CD3BFF"/>
    <w:rsid w:val="00CD47F7"/>
    <w:rsid w:val="00CE08F3"/>
    <w:rsid w:val="00CE72CA"/>
    <w:rsid w:val="00CE73BE"/>
    <w:rsid w:val="00CF00F7"/>
    <w:rsid w:val="00CF15D4"/>
    <w:rsid w:val="00CF330E"/>
    <w:rsid w:val="00CF39FE"/>
    <w:rsid w:val="00D018F1"/>
    <w:rsid w:val="00D121BF"/>
    <w:rsid w:val="00D14703"/>
    <w:rsid w:val="00D2152E"/>
    <w:rsid w:val="00D2782C"/>
    <w:rsid w:val="00D3067A"/>
    <w:rsid w:val="00D31996"/>
    <w:rsid w:val="00D33F64"/>
    <w:rsid w:val="00D53E7C"/>
    <w:rsid w:val="00D57184"/>
    <w:rsid w:val="00D6055F"/>
    <w:rsid w:val="00D63824"/>
    <w:rsid w:val="00D75AF2"/>
    <w:rsid w:val="00D815B6"/>
    <w:rsid w:val="00D81FF7"/>
    <w:rsid w:val="00D90EC3"/>
    <w:rsid w:val="00D96A8B"/>
    <w:rsid w:val="00DA2562"/>
    <w:rsid w:val="00DA68B5"/>
    <w:rsid w:val="00DA6D2D"/>
    <w:rsid w:val="00DB17E7"/>
    <w:rsid w:val="00DB4151"/>
    <w:rsid w:val="00DC07C9"/>
    <w:rsid w:val="00DC33C6"/>
    <w:rsid w:val="00DC50FE"/>
    <w:rsid w:val="00DD3F4F"/>
    <w:rsid w:val="00DD576F"/>
    <w:rsid w:val="00DD7539"/>
    <w:rsid w:val="00DE09E6"/>
    <w:rsid w:val="00DE4A8C"/>
    <w:rsid w:val="00DE5522"/>
    <w:rsid w:val="00DE6D2C"/>
    <w:rsid w:val="00DF2969"/>
    <w:rsid w:val="00DF375E"/>
    <w:rsid w:val="00DF54A3"/>
    <w:rsid w:val="00DF6F72"/>
    <w:rsid w:val="00E014B5"/>
    <w:rsid w:val="00E01DCB"/>
    <w:rsid w:val="00E03C28"/>
    <w:rsid w:val="00E047EE"/>
    <w:rsid w:val="00E121CA"/>
    <w:rsid w:val="00E2365D"/>
    <w:rsid w:val="00E264DC"/>
    <w:rsid w:val="00E27480"/>
    <w:rsid w:val="00E30551"/>
    <w:rsid w:val="00E320AE"/>
    <w:rsid w:val="00E4390D"/>
    <w:rsid w:val="00E4538C"/>
    <w:rsid w:val="00E50498"/>
    <w:rsid w:val="00E535D1"/>
    <w:rsid w:val="00E5666A"/>
    <w:rsid w:val="00E608AD"/>
    <w:rsid w:val="00E637A0"/>
    <w:rsid w:val="00E66678"/>
    <w:rsid w:val="00E73427"/>
    <w:rsid w:val="00E74832"/>
    <w:rsid w:val="00E74C8D"/>
    <w:rsid w:val="00E7664C"/>
    <w:rsid w:val="00E76B23"/>
    <w:rsid w:val="00E84CAF"/>
    <w:rsid w:val="00E84DC2"/>
    <w:rsid w:val="00E85912"/>
    <w:rsid w:val="00E864D6"/>
    <w:rsid w:val="00E8663A"/>
    <w:rsid w:val="00E91F99"/>
    <w:rsid w:val="00E93E58"/>
    <w:rsid w:val="00EA6369"/>
    <w:rsid w:val="00EB5785"/>
    <w:rsid w:val="00EB6A0F"/>
    <w:rsid w:val="00EB7DC9"/>
    <w:rsid w:val="00EC36F1"/>
    <w:rsid w:val="00ED0820"/>
    <w:rsid w:val="00ED2420"/>
    <w:rsid w:val="00ED2D43"/>
    <w:rsid w:val="00ED5490"/>
    <w:rsid w:val="00ED73D1"/>
    <w:rsid w:val="00ED7F1F"/>
    <w:rsid w:val="00EE52DE"/>
    <w:rsid w:val="00EE7905"/>
    <w:rsid w:val="00F0144C"/>
    <w:rsid w:val="00F0175A"/>
    <w:rsid w:val="00F1099B"/>
    <w:rsid w:val="00F10D7C"/>
    <w:rsid w:val="00F11CA8"/>
    <w:rsid w:val="00F1230F"/>
    <w:rsid w:val="00F225AD"/>
    <w:rsid w:val="00F35E9B"/>
    <w:rsid w:val="00F4614A"/>
    <w:rsid w:val="00F46E68"/>
    <w:rsid w:val="00F503E1"/>
    <w:rsid w:val="00F517A2"/>
    <w:rsid w:val="00F55ED4"/>
    <w:rsid w:val="00F57E01"/>
    <w:rsid w:val="00F62518"/>
    <w:rsid w:val="00F64BC4"/>
    <w:rsid w:val="00F65C97"/>
    <w:rsid w:val="00F70C57"/>
    <w:rsid w:val="00F80194"/>
    <w:rsid w:val="00F820F0"/>
    <w:rsid w:val="00F83E1C"/>
    <w:rsid w:val="00F85625"/>
    <w:rsid w:val="00F85761"/>
    <w:rsid w:val="00F85E54"/>
    <w:rsid w:val="00F87AC2"/>
    <w:rsid w:val="00F909B6"/>
    <w:rsid w:val="00F910C5"/>
    <w:rsid w:val="00F95282"/>
    <w:rsid w:val="00FA0EC4"/>
    <w:rsid w:val="00FA3240"/>
    <w:rsid w:val="00FB41D6"/>
    <w:rsid w:val="00FB50C1"/>
    <w:rsid w:val="00FC0BB1"/>
    <w:rsid w:val="00FC125C"/>
    <w:rsid w:val="00FC242A"/>
    <w:rsid w:val="00FC5C40"/>
    <w:rsid w:val="00FC77DF"/>
    <w:rsid w:val="00FC79B5"/>
    <w:rsid w:val="00FD0487"/>
    <w:rsid w:val="00FD2EE9"/>
    <w:rsid w:val="00FD605B"/>
    <w:rsid w:val="00FE062D"/>
    <w:rsid w:val="00FE0E13"/>
    <w:rsid w:val="00FF2529"/>
    <w:rsid w:val="00FF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6064"/>
    <w:pPr>
      <w:suppressAutoHyphens/>
    </w:pPr>
    <w:rPr>
      <w:rFonts w:eastAsia="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36064"/>
    <w:rPr>
      <w:color w:val="0000FF"/>
      <w:u w:val="single"/>
    </w:rPr>
  </w:style>
  <w:style w:type="paragraph" w:styleId="Galvene">
    <w:name w:val="header"/>
    <w:basedOn w:val="Parasts"/>
    <w:link w:val="GalveneRakstz"/>
    <w:uiPriority w:val="99"/>
    <w:rsid w:val="00336064"/>
    <w:pPr>
      <w:tabs>
        <w:tab w:val="center" w:pos="4153"/>
        <w:tab w:val="right" w:pos="8306"/>
      </w:tabs>
    </w:pPr>
    <w:rPr>
      <w:lang w:val="x-none"/>
    </w:rPr>
  </w:style>
  <w:style w:type="paragraph" w:styleId="Kjene">
    <w:name w:val="footer"/>
    <w:basedOn w:val="Parasts"/>
    <w:link w:val="KjeneRakstz"/>
    <w:uiPriority w:val="99"/>
    <w:rsid w:val="00336064"/>
    <w:pPr>
      <w:tabs>
        <w:tab w:val="center" w:pos="4153"/>
        <w:tab w:val="right" w:pos="8306"/>
      </w:tabs>
    </w:pPr>
  </w:style>
  <w:style w:type="paragraph" w:customStyle="1" w:styleId="StyleBodyText14ptFirstline127cm">
    <w:name w:val="Style Body Text + 14 pt First line:  127 cm"/>
    <w:basedOn w:val="Pamatteksts"/>
    <w:rsid w:val="00336064"/>
    <w:pPr>
      <w:ind w:firstLine="720"/>
      <w:jc w:val="both"/>
    </w:pPr>
    <w:rPr>
      <w:sz w:val="28"/>
      <w:szCs w:val="20"/>
    </w:rPr>
  </w:style>
  <w:style w:type="paragraph" w:styleId="Pamattekstsaratkpi">
    <w:name w:val="Body Text Indent"/>
    <w:basedOn w:val="Parasts"/>
    <w:rsid w:val="00336064"/>
    <w:pPr>
      <w:spacing w:after="120"/>
      <w:ind w:left="283"/>
    </w:pPr>
  </w:style>
  <w:style w:type="paragraph" w:styleId="Pamatteksts">
    <w:name w:val="Body Text"/>
    <w:basedOn w:val="Parasts"/>
    <w:rsid w:val="00336064"/>
    <w:pPr>
      <w:spacing w:after="120"/>
    </w:pPr>
  </w:style>
  <w:style w:type="paragraph" w:styleId="Balonteksts">
    <w:name w:val="Balloon Text"/>
    <w:basedOn w:val="Parasts"/>
    <w:link w:val="BalontekstsRakstz"/>
    <w:uiPriority w:val="99"/>
    <w:semiHidden/>
    <w:unhideWhenUsed/>
    <w:rsid w:val="005761C6"/>
    <w:rPr>
      <w:rFonts w:ascii="Tahoma" w:hAnsi="Tahoma"/>
      <w:sz w:val="16"/>
      <w:szCs w:val="16"/>
      <w:lang w:val="x-none"/>
    </w:rPr>
  </w:style>
  <w:style w:type="character" w:customStyle="1" w:styleId="BalontekstsRakstz">
    <w:name w:val="Balonteksts Rakstz."/>
    <w:link w:val="Balonteksts"/>
    <w:uiPriority w:val="99"/>
    <w:semiHidden/>
    <w:rsid w:val="005761C6"/>
    <w:rPr>
      <w:rFonts w:ascii="Tahoma" w:eastAsia="Times New Roman" w:hAnsi="Tahoma" w:cs="Tahoma"/>
      <w:sz w:val="16"/>
      <w:szCs w:val="16"/>
      <w:lang w:eastAsia="ar-SA"/>
    </w:rPr>
  </w:style>
  <w:style w:type="character" w:styleId="Komentraatsauce">
    <w:name w:val="annotation reference"/>
    <w:uiPriority w:val="99"/>
    <w:semiHidden/>
    <w:unhideWhenUsed/>
    <w:rsid w:val="00C968D1"/>
    <w:rPr>
      <w:sz w:val="16"/>
      <w:szCs w:val="16"/>
    </w:rPr>
  </w:style>
  <w:style w:type="paragraph" w:styleId="Komentrateksts">
    <w:name w:val="annotation text"/>
    <w:basedOn w:val="Parasts"/>
    <w:link w:val="KomentratekstsRakstz"/>
    <w:uiPriority w:val="99"/>
    <w:semiHidden/>
    <w:unhideWhenUsed/>
    <w:rsid w:val="00C968D1"/>
    <w:rPr>
      <w:sz w:val="20"/>
      <w:szCs w:val="20"/>
      <w:lang w:val="x-none"/>
    </w:rPr>
  </w:style>
  <w:style w:type="character" w:customStyle="1" w:styleId="KomentratekstsRakstz">
    <w:name w:val="Komentāra teksts Rakstz."/>
    <w:link w:val="Komentrateksts"/>
    <w:uiPriority w:val="99"/>
    <w:semiHidden/>
    <w:rsid w:val="00C968D1"/>
    <w:rPr>
      <w:rFonts w:eastAsia="Times New Roman"/>
      <w:lang w:eastAsia="ar-SA"/>
    </w:rPr>
  </w:style>
  <w:style w:type="paragraph" w:styleId="Komentratma">
    <w:name w:val="annotation subject"/>
    <w:basedOn w:val="Komentrateksts"/>
    <w:next w:val="Komentrateksts"/>
    <w:link w:val="KomentratmaRakstz"/>
    <w:uiPriority w:val="99"/>
    <w:semiHidden/>
    <w:unhideWhenUsed/>
    <w:rsid w:val="00C968D1"/>
    <w:rPr>
      <w:b/>
      <w:bCs/>
    </w:rPr>
  </w:style>
  <w:style w:type="character" w:customStyle="1" w:styleId="KomentratmaRakstz">
    <w:name w:val="Komentāra tēma Rakstz."/>
    <w:link w:val="Komentratma"/>
    <w:uiPriority w:val="99"/>
    <w:semiHidden/>
    <w:rsid w:val="00C968D1"/>
    <w:rPr>
      <w:rFonts w:eastAsia="Times New Roman"/>
      <w:b/>
      <w:bCs/>
      <w:lang w:eastAsia="ar-SA"/>
    </w:rPr>
  </w:style>
  <w:style w:type="character" w:customStyle="1" w:styleId="GalveneRakstz">
    <w:name w:val="Galvene Rakstz."/>
    <w:link w:val="Galvene"/>
    <w:uiPriority w:val="99"/>
    <w:locked/>
    <w:rsid w:val="007F2B0F"/>
    <w:rPr>
      <w:rFonts w:eastAsia="Times New Roman"/>
      <w:sz w:val="24"/>
      <w:szCs w:val="24"/>
      <w:lang w:eastAsia="ar-SA"/>
    </w:rPr>
  </w:style>
  <w:style w:type="paragraph" w:customStyle="1" w:styleId="naisf">
    <w:name w:val="naisf"/>
    <w:basedOn w:val="Parasts"/>
    <w:rsid w:val="00846A1D"/>
    <w:pPr>
      <w:suppressAutoHyphens w:val="0"/>
      <w:spacing w:before="100" w:beforeAutospacing="1" w:after="100" w:afterAutospacing="1"/>
    </w:pPr>
    <w:rPr>
      <w:lang w:eastAsia="lv-LV"/>
    </w:rPr>
  </w:style>
  <w:style w:type="paragraph" w:customStyle="1" w:styleId="naisnod">
    <w:name w:val="naisnod"/>
    <w:basedOn w:val="Parasts"/>
    <w:rsid w:val="00846A1D"/>
    <w:pPr>
      <w:suppressAutoHyphens w:val="0"/>
      <w:spacing w:before="100" w:beforeAutospacing="1" w:after="100" w:afterAutospacing="1"/>
    </w:pPr>
    <w:rPr>
      <w:lang w:eastAsia="lv-LV"/>
    </w:rPr>
  </w:style>
  <w:style w:type="character" w:customStyle="1" w:styleId="tvhtml">
    <w:name w:val="tv_html"/>
    <w:rsid w:val="00846A1D"/>
  </w:style>
  <w:style w:type="character" w:customStyle="1" w:styleId="KjeneRakstz">
    <w:name w:val="Kājene Rakstz."/>
    <w:link w:val="Kjene"/>
    <w:uiPriority w:val="99"/>
    <w:rsid w:val="00846A1D"/>
    <w:rPr>
      <w:rFonts w:eastAsia="Times New Roman"/>
      <w:sz w:val="24"/>
      <w:szCs w:val="24"/>
      <w:lang w:val="lv-LV" w:eastAsia="ar-SA"/>
    </w:rPr>
  </w:style>
  <w:style w:type="paragraph" w:styleId="HTMLiepriekformattais">
    <w:name w:val="HTML Preformatted"/>
    <w:basedOn w:val="Parasts"/>
    <w:link w:val="HTMLiepriekformattaisRakstz"/>
    <w:uiPriority w:val="99"/>
    <w:semiHidden/>
    <w:unhideWhenUsed/>
    <w:rsid w:val="0084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lv-LV"/>
    </w:rPr>
  </w:style>
  <w:style w:type="character" w:customStyle="1" w:styleId="HTMLiepriekformattaisRakstz">
    <w:name w:val="HTML iepriekšformatētais Rakstz."/>
    <w:link w:val="HTMLiepriekformattais"/>
    <w:uiPriority w:val="99"/>
    <w:semiHidden/>
    <w:rsid w:val="00846A1D"/>
    <w:rPr>
      <w:rFonts w:ascii="Courier New" w:eastAsia="Times New Roman" w:hAnsi="Courier New"/>
      <w:lang w:val="x-none" w:eastAsia="lv-LV"/>
    </w:rPr>
  </w:style>
  <w:style w:type="paragraph" w:styleId="Sarakstarindkopa">
    <w:name w:val="List Paragraph"/>
    <w:basedOn w:val="Parasts"/>
    <w:uiPriority w:val="34"/>
    <w:qFormat/>
    <w:rsid w:val="00AB7233"/>
    <w:pPr>
      <w:widowControl w:val="0"/>
      <w:suppressAutoHyphens w:val="0"/>
      <w:spacing w:after="200" w:line="276" w:lineRule="auto"/>
      <w:ind w:left="720"/>
      <w:contextualSpacing/>
    </w:pPr>
    <w:rPr>
      <w:rFonts w:ascii="Calibri" w:eastAsia="Calibri" w:hAnsi="Calibri"/>
      <w:sz w:val="22"/>
      <w:szCs w:val="22"/>
      <w:lang w:val="en-US" w:eastAsia="en-US"/>
    </w:rPr>
  </w:style>
  <w:style w:type="character" w:customStyle="1" w:styleId="shorttext">
    <w:name w:val="short_text"/>
    <w:rsid w:val="0000333E"/>
  </w:style>
  <w:style w:type="character" w:customStyle="1" w:styleId="hps">
    <w:name w:val="hps"/>
    <w:rsid w:val="0000333E"/>
  </w:style>
  <w:style w:type="paragraph" w:customStyle="1" w:styleId="naiskr">
    <w:name w:val="naiskr"/>
    <w:basedOn w:val="Parasts"/>
    <w:rsid w:val="00BD0788"/>
    <w:pPr>
      <w:suppressAutoHyphens w:val="0"/>
      <w:spacing w:before="75" w:after="75"/>
    </w:pPr>
    <w:rPr>
      <w:lang w:eastAsia="lv-LV"/>
    </w:rPr>
  </w:style>
  <w:style w:type="paragraph" w:styleId="Vresteksts">
    <w:name w:val="footnote text"/>
    <w:basedOn w:val="Parasts"/>
    <w:link w:val="VrestekstsRakstz"/>
    <w:uiPriority w:val="99"/>
    <w:semiHidden/>
    <w:unhideWhenUsed/>
    <w:rsid w:val="00F910C5"/>
    <w:rPr>
      <w:sz w:val="20"/>
      <w:szCs w:val="20"/>
    </w:rPr>
  </w:style>
  <w:style w:type="character" w:customStyle="1" w:styleId="VrestekstsRakstz">
    <w:name w:val="Vēres teksts Rakstz."/>
    <w:link w:val="Vresteksts"/>
    <w:uiPriority w:val="99"/>
    <w:semiHidden/>
    <w:rsid w:val="00F910C5"/>
    <w:rPr>
      <w:rFonts w:eastAsia="Times New Roman"/>
      <w:lang w:eastAsia="ar-SA"/>
    </w:rPr>
  </w:style>
  <w:style w:type="character" w:styleId="Vresatsauce">
    <w:name w:val="footnote reference"/>
    <w:uiPriority w:val="99"/>
    <w:semiHidden/>
    <w:unhideWhenUsed/>
    <w:rsid w:val="00F910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6064"/>
    <w:pPr>
      <w:suppressAutoHyphens/>
    </w:pPr>
    <w:rPr>
      <w:rFonts w:eastAsia="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36064"/>
    <w:rPr>
      <w:color w:val="0000FF"/>
      <w:u w:val="single"/>
    </w:rPr>
  </w:style>
  <w:style w:type="paragraph" w:styleId="Galvene">
    <w:name w:val="header"/>
    <w:basedOn w:val="Parasts"/>
    <w:link w:val="GalveneRakstz"/>
    <w:uiPriority w:val="99"/>
    <w:rsid w:val="00336064"/>
    <w:pPr>
      <w:tabs>
        <w:tab w:val="center" w:pos="4153"/>
        <w:tab w:val="right" w:pos="8306"/>
      </w:tabs>
    </w:pPr>
    <w:rPr>
      <w:lang w:val="x-none"/>
    </w:rPr>
  </w:style>
  <w:style w:type="paragraph" w:styleId="Kjene">
    <w:name w:val="footer"/>
    <w:basedOn w:val="Parasts"/>
    <w:link w:val="KjeneRakstz"/>
    <w:uiPriority w:val="99"/>
    <w:rsid w:val="00336064"/>
    <w:pPr>
      <w:tabs>
        <w:tab w:val="center" w:pos="4153"/>
        <w:tab w:val="right" w:pos="8306"/>
      </w:tabs>
    </w:pPr>
  </w:style>
  <w:style w:type="paragraph" w:customStyle="1" w:styleId="StyleBodyText14ptFirstline127cm">
    <w:name w:val="Style Body Text + 14 pt First line:  127 cm"/>
    <w:basedOn w:val="Pamatteksts"/>
    <w:rsid w:val="00336064"/>
    <w:pPr>
      <w:ind w:firstLine="720"/>
      <w:jc w:val="both"/>
    </w:pPr>
    <w:rPr>
      <w:sz w:val="28"/>
      <w:szCs w:val="20"/>
    </w:rPr>
  </w:style>
  <w:style w:type="paragraph" w:styleId="Pamattekstsaratkpi">
    <w:name w:val="Body Text Indent"/>
    <w:basedOn w:val="Parasts"/>
    <w:rsid w:val="00336064"/>
    <w:pPr>
      <w:spacing w:after="120"/>
      <w:ind w:left="283"/>
    </w:pPr>
  </w:style>
  <w:style w:type="paragraph" w:styleId="Pamatteksts">
    <w:name w:val="Body Text"/>
    <w:basedOn w:val="Parasts"/>
    <w:rsid w:val="00336064"/>
    <w:pPr>
      <w:spacing w:after="120"/>
    </w:pPr>
  </w:style>
  <w:style w:type="paragraph" w:styleId="Balonteksts">
    <w:name w:val="Balloon Text"/>
    <w:basedOn w:val="Parasts"/>
    <w:link w:val="BalontekstsRakstz"/>
    <w:uiPriority w:val="99"/>
    <w:semiHidden/>
    <w:unhideWhenUsed/>
    <w:rsid w:val="005761C6"/>
    <w:rPr>
      <w:rFonts w:ascii="Tahoma" w:hAnsi="Tahoma"/>
      <w:sz w:val="16"/>
      <w:szCs w:val="16"/>
      <w:lang w:val="x-none"/>
    </w:rPr>
  </w:style>
  <w:style w:type="character" w:customStyle="1" w:styleId="BalontekstsRakstz">
    <w:name w:val="Balonteksts Rakstz."/>
    <w:link w:val="Balonteksts"/>
    <w:uiPriority w:val="99"/>
    <w:semiHidden/>
    <w:rsid w:val="005761C6"/>
    <w:rPr>
      <w:rFonts w:ascii="Tahoma" w:eastAsia="Times New Roman" w:hAnsi="Tahoma" w:cs="Tahoma"/>
      <w:sz w:val="16"/>
      <w:szCs w:val="16"/>
      <w:lang w:eastAsia="ar-SA"/>
    </w:rPr>
  </w:style>
  <w:style w:type="character" w:styleId="Komentraatsauce">
    <w:name w:val="annotation reference"/>
    <w:uiPriority w:val="99"/>
    <w:semiHidden/>
    <w:unhideWhenUsed/>
    <w:rsid w:val="00C968D1"/>
    <w:rPr>
      <w:sz w:val="16"/>
      <w:szCs w:val="16"/>
    </w:rPr>
  </w:style>
  <w:style w:type="paragraph" w:styleId="Komentrateksts">
    <w:name w:val="annotation text"/>
    <w:basedOn w:val="Parasts"/>
    <w:link w:val="KomentratekstsRakstz"/>
    <w:uiPriority w:val="99"/>
    <w:semiHidden/>
    <w:unhideWhenUsed/>
    <w:rsid w:val="00C968D1"/>
    <w:rPr>
      <w:sz w:val="20"/>
      <w:szCs w:val="20"/>
      <w:lang w:val="x-none"/>
    </w:rPr>
  </w:style>
  <w:style w:type="character" w:customStyle="1" w:styleId="KomentratekstsRakstz">
    <w:name w:val="Komentāra teksts Rakstz."/>
    <w:link w:val="Komentrateksts"/>
    <w:uiPriority w:val="99"/>
    <w:semiHidden/>
    <w:rsid w:val="00C968D1"/>
    <w:rPr>
      <w:rFonts w:eastAsia="Times New Roman"/>
      <w:lang w:eastAsia="ar-SA"/>
    </w:rPr>
  </w:style>
  <w:style w:type="paragraph" w:styleId="Komentratma">
    <w:name w:val="annotation subject"/>
    <w:basedOn w:val="Komentrateksts"/>
    <w:next w:val="Komentrateksts"/>
    <w:link w:val="KomentratmaRakstz"/>
    <w:uiPriority w:val="99"/>
    <w:semiHidden/>
    <w:unhideWhenUsed/>
    <w:rsid w:val="00C968D1"/>
    <w:rPr>
      <w:b/>
      <w:bCs/>
    </w:rPr>
  </w:style>
  <w:style w:type="character" w:customStyle="1" w:styleId="KomentratmaRakstz">
    <w:name w:val="Komentāra tēma Rakstz."/>
    <w:link w:val="Komentratma"/>
    <w:uiPriority w:val="99"/>
    <w:semiHidden/>
    <w:rsid w:val="00C968D1"/>
    <w:rPr>
      <w:rFonts w:eastAsia="Times New Roman"/>
      <w:b/>
      <w:bCs/>
      <w:lang w:eastAsia="ar-SA"/>
    </w:rPr>
  </w:style>
  <w:style w:type="character" w:customStyle="1" w:styleId="GalveneRakstz">
    <w:name w:val="Galvene Rakstz."/>
    <w:link w:val="Galvene"/>
    <w:uiPriority w:val="99"/>
    <w:locked/>
    <w:rsid w:val="007F2B0F"/>
    <w:rPr>
      <w:rFonts w:eastAsia="Times New Roman"/>
      <w:sz w:val="24"/>
      <w:szCs w:val="24"/>
      <w:lang w:eastAsia="ar-SA"/>
    </w:rPr>
  </w:style>
  <w:style w:type="paragraph" w:customStyle="1" w:styleId="naisf">
    <w:name w:val="naisf"/>
    <w:basedOn w:val="Parasts"/>
    <w:rsid w:val="00846A1D"/>
    <w:pPr>
      <w:suppressAutoHyphens w:val="0"/>
      <w:spacing w:before="100" w:beforeAutospacing="1" w:after="100" w:afterAutospacing="1"/>
    </w:pPr>
    <w:rPr>
      <w:lang w:eastAsia="lv-LV"/>
    </w:rPr>
  </w:style>
  <w:style w:type="paragraph" w:customStyle="1" w:styleId="naisnod">
    <w:name w:val="naisnod"/>
    <w:basedOn w:val="Parasts"/>
    <w:rsid w:val="00846A1D"/>
    <w:pPr>
      <w:suppressAutoHyphens w:val="0"/>
      <w:spacing w:before="100" w:beforeAutospacing="1" w:after="100" w:afterAutospacing="1"/>
    </w:pPr>
    <w:rPr>
      <w:lang w:eastAsia="lv-LV"/>
    </w:rPr>
  </w:style>
  <w:style w:type="character" w:customStyle="1" w:styleId="tvhtml">
    <w:name w:val="tv_html"/>
    <w:rsid w:val="00846A1D"/>
  </w:style>
  <w:style w:type="character" w:customStyle="1" w:styleId="KjeneRakstz">
    <w:name w:val="Kājene Rakstz."/>
    <w:link w:val="Kjene"/>
    <w:uiPriority w:val="99"/>
    <w:rsid w:val="00846A1D"/>
    <w:rPr>
      <w:rFonts w:eastAsia="Times New Roman"/>
      <w:sz w:val="24"/>
      <w:szCs w:val="24"/>
      <w:lang w:val="lv-LV" w:eastAsia="ar-SA"/>
    </w:rPr>
  </w:style>
  <w:style w:type="paragraph" w:styleId="HTMLiepriekformattais">
    <w:name w:val="HTML Preformatted"/>
    <w:basedOn w:val="Parasts"/>
    <w:link w:val="HTMLiepriekformattaisRakstz"/>
    <w:uiPriority w:val="99"/>
    <w:semiHidden/>
    <w:unhideWhenUsed/>
    <w:rsid w:val="0084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lv-LV"/>
    </w:rPr>
  </w:style>
  <w:style w:type="character" w:customStyle="1" w:styleId="HTMLiepriekformattaisRakstz">
    <w:name w:val="HTML iepriekšformatētais Rakstz."/>
    <w:link w:val="HTMLiepriekformattais"/>
    <w:uiPriority w:val="99"/>
    <w:semiHidden/>
    <w:rsid w:val="00846A1D"/>
    <w:rPr>
      <w:rFonts w:ascii="Courier New" w:eastAsia="Times New Roman" w:hAnsi="Courier New"/>
      <w:lang w:val="x-none" w:eastAsia="lv-LV"/>
    </w:rPr>
  </w:style>
  <w:style w:type="paragraph" w:styleId="Sarakstarindkopa">
    <w:name w:val="List Paragraph"/>
    <w:basedOn w:val="Parasts"/>
    <w:uiPriority w:val="34"/>
    <w:qFormat/>
    <w:rsid w:val="00AB7233"/>
    <w:pPr>
      <w:widowControl w:val="0"/>
      <w:suppressAutoHyphens w:val="0"/>
      <w:spacing w:after="200" w:line="276" w:lineRule="auto"/>
      <w:ind w:left="720"/>
      <w:contextualSpacing/>
    </w:pPr>
    <w:rPr>
      <w:rFonts w:ascii="Calibri" w:eastAsia="Calibri" w:hAnsi="Calibri"/>
      <w:sz w:val="22"/>
      <w:szCs w:val="22"/>
      <w:lang w:val="en-US" w:eastAsia="en-US"/>
    </w:rPr>
  </w:style>
  <w:style w:type="character" w:customStyle="1" w:styleId="shorttext">
    <w:name w:val="short_text"/>
    <w:rsid w:val="0000333E"/>
  </w:style>
  <w:style w:type="character" w:customStyle="1" w:styleId="hps">
    <w:name w:val="hps"/>
    <w:rsid w:val="0000333E"/>
  </w:style>
  <w:style w:type="paragraph" w:customStyle="1" w:styleId="naiskr">
    <w:name w:val="naiskr"/>
    <w:basedOn w:val="Parasts"/>
    <w:rsid w:val="00BD0788"/>
    <w:pPr>
      <w:suppressAutoHyphens w:val="0"/>
      <w:spacing w:before="75" w:after="75"/>
    </w:pPr>
    <w:rPr>
      <w:lang w:eastAsia="lv-LV"/>
    </w:rPr>
  </w:style>
  <w:style w:type="paragraph" w:styleId="Vresteksts">
    <w:name w:val="footnote text"/>
    <w:basedOn w:val="Parasts"/>
    <w:link w:val="VrestekstsRakstz"/>
    <w:uiPriority w:val="99"/>
    <w:semiHidden/>
    <w:unhideWhenUsed/>
    <w:rsid w:val="00F910C5"/>
    <w:rPr>
      <w:sz w:val="20"/>
      <w:szCs w:val="20"/>
    </w:rPr>
  </w:style>
  <w:style w:type="character" w:customStyle="1" w:styleId="VrestekstsRakstz">
    <w:name w:val="Vēres teksts Rakstz."/>
    <w:link w:val="Vresteksts"/>
    <w:uiPriority w:val="99"/>
    <w:semiHidden/>
    <w:rsid w:val="00F910C5"/>
    <w:rPr>
      <w:rFonts w:eastAsia="Times New Roman"/>
      <w:lang w:eastAsia="ar-SA"/>
    </w:rPr>
  </w:style>
  <w:style w:type="character" w:styleId="Vresatsauce">
    <w:name w:val="footnote reference"/>
    <w:uiPriority w:val="99"/>
    <w:semiHidden/>
    <w:unhideWhenUsed/>
    <w:rsid w:val="00F91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9440">
      <w:bodyDiv w:val="1"/>
      <w:marLeft w:val="0"/>
      <w:marRight w:val="0"/>
      <w:marTop w:val="0"/>
      <w:marBottom w:val="0"/>
      <w:divBdr>
        <w:top w:val="none" w:sz="0" w:space="0" w:color="auto"/>
        <w:left w:val="none" w:sz="0" w:space="0" w:color="auto"/>
        <w:bottom w:val="none" w:sz="0" w:space="0" w:color="auto"/>
        <w:right w:val="none" w:sz="0" w:space="0" w:color="auto"/>
      </w:divBdr>
    </w:div>
    <w:div w:id="627777714">
      <w:bodyDiv w:val="1"/>
      <w:marLeft w:val="0"/>
      <w:marRight w:val="0"/>
      <w:marTop w:val="0"/>
      <w:marBottom w:val="0"/>
      <w:divBdr>
        <w:top w:val="none" w:sz="0" w:space="0" w:color="auto"/>
        <w:left w:val="none" w:sz="0" w:space="0" w:color="auto"/>
        <w:bottom w:val="none" w:sz="0" w:space="0" w:color="auto"/>
        <w:right w:val="none" w:sz="0" w:space="0" w:color="auto"/>
      </w:divBdr>
    </w:div>
    <w:div w:id="880559023">
      <w:bodyDiv w:val="1"/>
      <w:marLeft w:val="0"/>
      <w:marRight w:val="0"/>
      <w:marTop w:val="0"/>
      <w:marBottom w:val="0"/>
      <w:divBdr>
        <w:top w:val="none" w:sz="0" w:space="0" w:color="auto"/>
        <w:left w:val="none" w:sz="0" w:space="0" w:color="auto"/>
        <w:bottom w:val="none" w:sz="0" w:space="0" w:color="auto"/>
        <w:right w:val="none" w:sz="0" w:space="0" w:color="auto"/>
      </w:divBdr>
    </w:div>
    <w:div w:id="992488743">
      <w:bodyDiv w:val="1"/>
      <w:marLeft w:val="0"/>
      <w:marRight w:val="0"/>
      <w:marTop w:val="0"/>
      <w:marBottom w:val="0"/>
      <w:divBdr>
        <w:top w:val="none" w:sz="0" w:space="0" w:color="auto"/>
        <w:left w:val="none" w:sz="0" w:space="0" w:color="auto"/>
        <w:bottom w:val="none" w:sz="0" w:space="0" w:color="auto"/>
        <w:right w:val="none" w:sz="0" w:space="0" w:color="auto"/>
      </w:divBdr>
    </w:div>
    <w:div w:id="1119563655">
      <w:bodyDiv w:val="1"/>
      <w:marLeft w:val="0"/>
      <w:marRight w:val="0"/>
      <w:marTop w:val="0"/>
      <w:marBottom w:val="0"/>
      <w:divBdr>
        <w:top w:val="none" w:sz="0" w:space="0" w:color="auto"/>
        <w:left w:val="none" w:sz="0" w:space="0" w:color="auto"/>
        <w:bottom w:val="none" w:sz="0" w:space="0" w:color="auto"/>
        <w:right w:val="none" w:sz="0" w:space="0" w:color="auto"/>
      </w:divBdr>
    </w:div>
    <w:div w:id="1163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v.lv/content/index.php?id=137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EEAD-8BC1-48A8-8524-AE18FBC7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4535</Words>
  <Characters>30746</Characters>
  <Application>Microsoft Office Word</Application>
  <DocSecurity>0</DocSecurity>
  <Lines>256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35211</CharactersWithSpaces>
  <SharedDoc>false</SharedDoc>
  <HLinks>
    <vt:vector size="6" baseType="variant">
      <vt:variant>
        <vt:i4>2490415</vt:i4>
      </vt:variant>
      <vt:variant>
        <vt:i4>0</vt:i4>
      </vt:variant>
      <vt:variant>
        <vt:i4>0</vt:i4>
      </vt:variant>
      <vt:variant>
        <vt:i4>5</vt:i4>
      </vt:variant>
      <vt:variant>
        <vt:lpwstr>http://www.cv.lv/content/index.php?id=1378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Laima Letiņa</dc:creator>
  <dc:description>67031734, Laima.Letina@ur.gov.lv</dc:description>
  <cp:lastModifiedBy>Lelde Stepanova</cp:lastModifiedBy>
  <cp:revision>5</cp:revision>
  <cp:lastPrinted>2017-03-21T13:35:00Z</cp:lastPrinted>
  <dcterms:created xsi:type="dcterms:W3CDTF">2017-03-22T08:03:00Z</dcterms:created>
  <dcterms:modified xsi:type="dcterms:W3CDTF">2017-03-23T07:07:00Z</dcterms:modified>
</cp:coreProperties>
</file>