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B8F9D" w14:textId="53FD2168" w:rsidR="00F371DE" w:rsidRPr="00EE2ACC" w:rsidRDefault="00F371DE" w:rsidP="00F371DE">
      <w:pPr>
        <w:jc w:val="right"/>
        <w:rPr>
          <w:color w:val="000000"/>
          <w:sz w:val="28"/>
          <w:szCs w:val="28"/>
        </w:rPr>
      </w:pPr>
      <w:r>
        <w:rPr>
          <w:color w:val="000000"/>
          <w:sz w:val="28"/>
          <w:szCs w:val="28"/>
        </w:rPr>
        <w:t>2. pielikums</w:t>
      </w:r>
    </w:p>
    <w:p w14:paraId="38A152D3" w14:textId="77777777" w:rsidR="00F371DE" w:rsidRPr="00EE2ACC" w:rsidRDefault="00F371DE" w:rsidP="00F371DE">
      <w:pPr>
        <w:jc w:val="right"/>
        <w:rPr>
          <w:color w:val="000000"/>
          <w:sz w:val="28"/>
          <w:szCs w:val="28"/>
        </w:rPr>
      </w:pPr>
      <w:r w:rsidRPr="00EE2ACC">
        <w:rPr>
          <w:color w:val="000000"/>
          <w:sz w:val="28"/>
          <w:szCs w:val="28"/>
        </w:rPr>
        <w:t xml:space="preserve">Ministru kabineta </w:t>
      </w:r>
    </w:p>
    <w:p w14:paraId="1FF34BDC" w14:textId="53727AA3" w:rsidR="00F371DE" w:rsidRPr="00197B35" w:rsidRDefault="00F371DE" w:rsidP="00F371DE">
      <w:pPr>
        <w:jc w:val="right"/>
        <w:rPr>
          <w:sz w:val="28"/>
          <w:szCs w:val="28"/>
        </w:rPr>
      </w:pPr>
      <w:r w:rsidRPr="00197B35">
        <w:rPr>
          <w:sz w:val="28"/>
          <w:szCs w:val="28"/>
        </w:rPr>
        <w:t>201</w:t>
      </w:r>
      <w:r>
        <w:rPr>
          <w:sz w:val="28"/>
          <w:szCs w:val="28"/>
        </w:rPr>
        <w:t>7</w:t>
      </w:r>
      <w:r w:rsidRPr="00197B35">
        <w:rPr>
          <w:sz w:val="28"/>
          <w:szCs w:val="28"/>
        </w:rPr>
        <w:t>. gada  </w:t>
      </w:r>
      <w:r w:rsidR="00CE1D7C">
        <w:rPr>
          <w:sz w:val="28"/>
          <w:szCs w:val="28"/>
        </w:rPr>
        <w:t>25. aprī</w:t>
      </w:r>
      <w:r w:rsidR="00CE1D7C">
        <w:rPr>
          <w:sz w:val="28"/>
          <w:szCs w:val="28"/>
        </w:rPr>
        <w:t>ļa</w:t>
      </w:r>
    </w:p>
    <w:p w14:paraId="53B1FD47" w14:textId="0219C140" w:rsidR="00F371DE" w:rsidRPr="00197B35" w:rsidRDefault="00F371DE" w:rsidP="00F371DE">
      <w:pPr>
        <w:jc w:val="right"/>
        <w:rPr>
          <w:sz w:val="28"/>
          <w:szCs w:val="28"/>
        </w:rPr>
      </w:pPr>
      <w:r>
        <w:rPr>
          <w:sz w:val="28"/>
          <w:szCs w:val="28"/>
        </w:rPr>
        <w:t>rīkojumam</w:t>
      </w:r>
      <w:r w:rsidRPr="00197B35">
        <w:rPr>
          <w:sz w:val="28"/>
          <w:szCs w:val="28"/>
        </w:rPr>
        <w:t xml:space="preserve"> Nr. </w:t>
      </w:r>
      <w:r w:rsidR="00CE1D7C">
        <w:rPr>
          <w:sz w:val="28"/>
          <w:szCs w:val="28"/>
        </w:rPr>
        <w:t>213</w:t>
      </w:r>
      <w:bookmarkStart w:id="0" w:name="_GoBack"/>
      <w:bookmarkEnd w:id="0"/>
    </w:p>
    <w:p w14:paraId="7775068A" w14:textId="77777777" w:rsidR="00CF73E6" w:rsidRPr="00CF73E6" w:rsidRDefault="00CF73E6" w:rsidP="00CF73E6">
      <w:pPr>
        <w:jc w:val="right"/>
        <w:rPr>
          <w:b/>
          <w:sz w:val="28"/>
          <w:szCs w:val="28"/>
          <w:lang w:eastAsia="en-US"/>
        </w:rPr>
      </w:pPr>
    </w:p>
    <w:p w14:paraId="7775068B" w14:textId="07EFA12D" w:rsidR="00CF73E6" w:rsidRPr="00CF73E6" w:rsidRDefault="000930EA" w:rsidP="00CF73E6">
      <w:pPr>
        <w:jc w:val="right"/>
        <w:rPr>
          <w:sz w:val="28"/>
          <w:szCs w:val="28"/>
          <w:lang w:eastAsia="en-US"/>
        </w:rPr>
      </w:pPr>
      <w:r>
        <w:rPr>
          <w:sz w:val="28"/>
          <w:szCs w:val="28"/>
          <w:lang w:eastAsia="en-US"/>
        </w:rPr>
        <w:t>"</w:t>
      </w:r>
      <w:r w:rsidR="00CF73E6" w:rsidRPr="00CF73E6">
        <w:rPr>
          <w:sz w:val="28"/>
          <w:szCs w:val="28"/>
          <w:lang w:eastAsia="en-US"/>
        </w:rPr>
        <w:t xml:space="preserve">4. pielikums </w:t>
      </w:r>
    </w:p>
    <w:p w14:paraId="7775068C" w14:textId="77777777" w:rsidR="00CF73E6" w:rsidRPr="00CF73E6" w:rsidRDefault="00CF73E6" w:rsidP="00CF73E6">
      <w:pPr>
        <w:jc w:val="right"/>
        <w:rPr>
          <w:sz w:val="28"/>
          <w:szCs w:val="28"/>
          <w:lang w:eastAsia="en-US"/>
        </w:rPr>
      </w:pPr>
      <w:r w:rsidRPr="00CF73E6">
        <w:rPr>
          <w:sz w:val="28"/>
          <w:szCs w:val="28"/>
          <w:lang w:eastAsia="en-US"/>
        </w:rPr>
        <w:t xml:space="preserve">Nacionālajam gatavības plānam naftas, bīstamo vai </w:t>
      </w:r>
    </w:p>
    <w:p w14:paraId="7775068D" w14:textId="77777777" w:rsidR="00CF73E6" w:rsidRPr="00CF73E6" w:rsidRDefault="00CF73E6" w:rsidP="00CF73E6">
      <w:pPr>
        <w:jc w:val="right"/>
        <w:rPr>
          <w:sz w:val="28"/>
          <w:szCs w:val="28"/>
          <w:lang w:eastAsia="en-US"/>
        </w:rPr>
      </w:pPr>
      <w:r w:rsidRPr="00CF73E6">
        <w:rPr>
          <w:sz w:val="28"/>
          <w:szCs w:val="28"/>
          <w:lang w:eastAsia="en-US"/>
        </w:rPr>
        <w:t>kaitīgo vielu piesārņojuma gadījumiem jūrā</w:t>
      </w:r>
    </w:p>
    <w:p w14:paraId="7775068E" w14:textId="77777777" w:rsidR="00CF73E6" w:rsidRPr="00CF73E6" w:rsidRDefault="00CF73E6" w:rsidP="00CF73E6">
      <w:pPr>
        <w:rPr>
          <w:sz w:val="28"/>
          <w:szCs w:val="28"/>
          <w:lang w:eastAsia="en-US"/>
        </w:rPr>
      </w:pPr>
    </w:p>
    <w:p w14:paraId="7775068F" w14:textId="77777777" w:rsidR="00CF73E6" w:rsidRPr="00CF73E6" w:rsidRDefault="00CF73E6" w:rsidP="00CF73E6">
      <w:pPr>
        <w:jc w:val="center"/>
        <w:rPr>
          <w:b/>
          <w:sz w:val="28"/>
          <w:szCs w:val="28"/>
          <w:lang w:eastAsia="en-US"/>
        </w:rPr>
      </w:pPr>
      <w:r w:rsidRPr="00CF73E6">
        <w:rPr>
          <w:b/>
          <w:sz w:val="28"/>
          <w:szCs w:val="28"/>
          <w:lang w:eastAsia="en-US"/>
        </w:rPr>
        <w:t>Starptautiskā sadarbība</w:t>
      </w:r>
    </w:p>
    <w:p w14:paraId="77750691" w14:textId="70EB6B73" w:rsidR="00CF73E6" w:rsidRPr="00CF73E6" w:rsidRDefault="00CF73E6" w:rsidP="00CF73E6">
      <w:pPr>
        <w:ind w:firstLine="720"/>
        <w:jc w:val="both"/>
        <w:rPr>
          <w:sz w:val="28"/>
          <w:szCs w:val="28"/>
          <w:lang w:eastAsia="en-US"/>
        </w:rPr>
      </w:pPr>
      <w:r w:rsidRPr="00CF73E6">
        <w:rPr>
          <w:color w:val="000000"/>
          <w:sz w:val="28"/>
          <w:szCs w:val="28"/>
          <w:lang w:eastAsia="en-US"/>
        </w:rPr>
        <w:t>1992. gada</w:t>
      </w:r>
      <w:r w:rsidRPr="00CF73E6">
        <w:rPr>
          <w:sz w:val="28"/>
          <w:szCs w:val="28"/>
          <w:lang w:eastAsia="en-US"/>
        </w:rPr>
        <w:t xml:space="preserve"> konvencija </w:t>
      </w:r>
      <w:r w:rsidR="00155765">
        <w:rPr>
          <w:sz w:val="28"/>
          <w:szCs w:val="28"/>
          <w:lang w:eastAsia="en-US"/>
        </w:rPr>
        <w:t>"</w:t>
      </w:r>
      <w:r w:rsidRPr="00CF73E6">
        <w:rPr>
          <w:sz w:val="28"/>
          <w:szCs w:val="28"/>
          <w:lang w:eastAsia="en-US"/>
        </w:rPr>
        <w:t>Par Baltijas jūras reģiona jūras vides aizsardzību</w:t>
      </w:r>
      <w:r w:rsidR="00155765">
        <w:rPr>
          <w:sz w:val="28"/>
          <w:szCs w:val="28"/>
          <w:lang w:eastAsia="en-US"/>
        </w:rPr>
        <w:t>"</w:t>
      </w:r>
      <w:r w:rsidRPr="00CF73E6">
        <w:rPr>
          <w:sz w:val="28"/>
          <w:szCs w:val="28"/>
          <w:lang w:eastAsia="en-US"/>
        </w:rPr>
        <w:t xml:space="preserve"> (turpmāk – Helsinku konvencija) ir fundamentāls starptautiskas tiesiskas sadarbības pamats starp Baltijas jūras piekrastes valstī</w:t>
      </w:r>
      <w:r>
        <w:rPr>
          <w:sz w:val="28"/>
          <w:szCs w:val="28"/>
          <w:lang w:eastAsia="en-US"/>
        </w:rPr>
        <w:t>m jūras piesārņojuma novēršanā.</w:t>
      </w:r>
    </w:p>
    <w:p w14:paraId="77750692" w14:textId="0A39E71A" w:rsidR="00CF73E6" w:rsidRPr="00CF73E6" w:rsidRDefault="00CF73E6" w:rsidP="00CF73E6">
      <w:pPr>
        <w:ind w:firstLine="720"/>
        <w:jc w:val="both"/>
        <w:rPr>
          <w:b/>
          <w:i/>
          <w:sz w:val="28"/>
          <w:szCs w:val="28"/>
          <w:lang w:eastAsia="en-US"/>
        </w:rPr>
      </w:pPr>
      <w:r w:rsidRPr="00CF73E6">
        <w:rPr>
          <w:sz w:val="28"/>
          <w:szCs w:val="28"/>
          <w:lang w:eastAsia="en-US"/>
        </w:rPr>
        <w:t xml:space="preserve">Šajā konvencijā un tās rekomendācijās ir noteikti starptautiskās sadarbības noteikumi un procedūras naftas noplūdes pasākumiem Baltijas jūrā, kuri ietverti Helsinku komisijas </w:t>
      </w:r>
      <w:r w:rsidR="0016459E">
        <w:rPr>
          <w:sz w:val="28"/>
          <w:szCs w:val="28"/>
          <w:lang w:eastAsia="en-US"/>
        </w:rPr>
        <w:t>r</w:t>
      </w:r>
      <w:r w:rsidRPr="00CF73E6">
        <w:rPr>
          <w:sz w:val="28"/>
          <w:szCs w:val="28"/>
          <w:lang w:eastAsia="en-US"/>
        </w:rPr>
        <w:t xml:space="preserve">okasgrāmatā </w:t>
      </w:r>
      <w:r w:rsidR="00F371DE">
        <w:rPr>
          <w:sz w:val="28"/>
          <w:szCs w:val="28"/>
          <w:lang w:eastAsia="en-US"/>
        </w:rPr>
        <w:t>"</w:t>
      </w:r>
      <w:r w:rsidRPr="00CF73E6">
        <w:rPr>
          <w:sz w:val="28"/>
          <w:szCs w:val="28"/>
          <w:lang w:eastAsia="en-US"/>
        </w:rPr>
        <w:t>Par sadarbību jūras piesārņojuma seku likvidācijā</w:t>
      </w:r>
      <w:r w:rsidR="00F371DE">
        <w:rPr>
          <w:sz w:val="28"/>
          <w:szCs w:val="28"/>
          <w:lang w:eastAsia="en-US"/>
        </w:rPr>
        <w:t>"</w:t>
      </w:r>
      <w:r w:rsidRPr="00CF73E6">
        <w:rPr>
          <w:sz w:val="28"/>
          <w:szCs w:val="28"/>
          <w:lang w:eastAsia="en-US"/>
        </w:rPr>
        <w:t xml:space="preserve"> (</w:t>
      </w:r>
      <w:proofErr w:type="spellStart"/>
      <w:r w:rsidRPr="00CF73E6">
        <w:rPr>
          <w:i/>
          <w:sz w:val="28"/>
          <w:szCs w:val="28"/>
          <w:lang w:eastAsia="en-US"/>
        </w:rPr>
        <w:t>Manual</w:t>
      </w:r>
      <w:proofErr w:type="spellEnd"/>
      <w:r w:rsidRPr="00CF73E6">
        <w:rPr>
          <w:i/>
          <w:sz w:val="28"/>
          <w:szCs w:val="28"/>
          <w:lang w:eastAsia="en-US"/>
        </w:rPr>
        <w:t xml:space="preserve"> </w:t>
      </w:r>
      <w:proofErr w:type="spellStart"/>
      <w:r w:rsidRPr="00CF73E6">
        <w:rPr>
          <w:i/>
          <w:sz w:val="28"/>
          <w:szCs w:val="28"/>
          <w:lang w:eastAsia="en-US"/>
        </w:rPr>
        <w:t>On</w:t>
      </w:r>
      <w:proofErr w:type="spellEnd"/>
      <w:r w:rsidRPr="00CF73E6">
        <w:rPr>
          <w:i/>
          <w:sz w:val="28"/>
          <w:szCs w:val="28"/>
          <w:lang w:eastAsia="en-US"/>
        </w:rPr>
        <w:t xml:space="preserve"> Co-</w:t>
      </w:r>
      <w:proofErr w:type="spellStart"/>
      <w:r w:rsidRPr="00CF73E6">
        <w:rPr>
          <w:i/>
          <w:sz w:val="28"/>
          <w:szCs w:val="28"/>
          <w:lang w:eastAsia="en-US"/>
        </w:rPr>
        <w:t>Operation</w:t>
      </w:r>
      <w:proofErr w:type="spellEnd"/>
      <w:r w:rsidRPr="00CF73E6">
        <w:rPr>
          <w:i/>
          <w:sz w:val="28"/>
          <w:szCs w:val="28"/>
          <w:lang w:eastAsia="en-US"/>
        </w:rPr>
        <w:t xml:space="preserve"> </w:t>
      </w:r>
      <w:proofErr w:type="spellStart"/>
      <w:r w:rsidRPr="00CF73E6">
        <w:rPr>
          <w:i/>
          <w:sz w:val="28"/>
          <w:szCs w:val="28"/>
          <w:lang w:eastAsia="en-US"/>
        </w:rPr>
        <w:t>In</w:t>
      </w:r>
      <w:proofErr w:type="spellEnd"/>
      <w:r w:rsidRPr="00CF73E6">
        <w:rPr>
          <w:i/>
          <w:sz w:val="28"/>
          <w:szCs w:val="28"/>
          <w:lang w:eastAsia="en-US"/>
        </w:rPr>
        <w:t xml:space="preserve"> </w:t>
      </w:r>
      <w:proofErr w:type="spellStart"/>
      <w:r w:rsidRPr="00CF73E6">
        <w:rPr>
          <w:i/>
          <w:sz w:val="28"/>
          <w:szCs w:val="28"/>
          <w:lang w:eastAsia="en-US"/>
        </w:rPr>
        <w:t>Combatting</w:t>
      </w:r>
      <w:proofErr w:type="spellEnd"/>
      <w:r w:rsidRPr="00CF73E6">
        <w:rPr>
          <w:i/>
          <w:sz w:val="28"/>
          <w:szCs w:val="28"/>
          <w:lang w:eastAsia="en-US"/>
        </w:rPr>
        <w:t xml:space="preserve"> </w:t>
      </w:r>
      <w:proofErr w:type="spellStart"/>
      <w:r w:rsidRPr="00CF73E6">
        <w:rPr>
          <w:i/>
          <w:sz w:val="28"/>
          <w:szCs w:val="28"/>
          <w:lang w:eastAsia="en-US"/>
        </w:rPr>
        <w:t>Marine</w:t>
      </w:r>
      <w:proofErr w:type="spellEnd"/>
      <w:r w:rsidRPr="00CF73E6">
        <w:rPr>
          <w:i/>
          <w:sz w:val="28"/>
          <w:szCs w:val="28"/>
          <w:lang w:eastAsia="en-US"/>
        </w:rPr>
        <w:t xml:space="preserve"> </w:t>
      </w:r>
      <w:proofErr w:type="spellStart"/>
      <w:r w:rsidRPr="00CF73E6">
        <w:rPr>
          <w:i/>
          <w:sz w:val="28"/>
          <w:szCs w:val="28"/>
          <w:lang w:eastAsia="en-US"/>
        </w:rPr>
        <w:t>Pollution</w:t>
      </w:r>
      <w:proofErr w:type="spellEnd"/>
      <w:r w:rsidRPr="00CF73E6">
        <w:rPr>
          <w:sz w:val="28"/>
          <w:szCs w:val="28"/>
          <w:lang w:eastAsia="en-US"/>
        </w:rPr>
        <w:t xml:space="preserve"> (I sējums), </w:t>
      </w:r>
      <w:proofErr w:type="spellStart"/>
      <w:r w:rsidRPr="00CF73E6">
        <w:rPr>
          <w:i/>
          <w:sz w:val="28"/>
          <w:szCs w:val="28"/>
          <w:lang w:eastAsia="en-US"/>
        </w:rPr>
        <w:t>Manual</w:t>
      </w:r>
      <w:proofErr w:type="spellEnd"/>
      <w:r w:rsidRPr="00CF73E6">
        <w:rPr>
          <w:i/>
          <w:sz w:val="28"/>
          <w:szCs w:val="28"/>
          <w:lang w:eastAsia="en-US"/>
        </w:rPr>
        <w:t xml:space="preserve"> </w:t>
      </w:r>
      <w:proofErr w:type="spellStart"/>
      <w:r w:rsidRPr="00CF73E6">
        <w:rPr>
          <w:i/>
          <w:sz w:val="28"/>
          <w:szCs w:val="28"/>
          <w:lang w:eastAsia="en-US"/>
        </w:rPr>
        <w:t>On</w:t>
      </w:r>
      <w:proofErr w:type="spellEnd"/>
      <w:r w:rsidRPr="00CF73E6">
        <w:rPr>
          <w:i/>
          <w:sz w:val="28"/>
          <w:szCs w:val="28"/>
          <w:lang w:eastAsia="en-US"/>
        </w:rPr>
        <w:t xml:space="preserve"> Co-</w:t>
      </w:r>
      <w:proofErr w:type="spellStart"/>
      <w:r w:rsidRPr="00CF73E6">
        <w:rPr>
          <w:i/>
          <w:sz w:val="28"/>
          <w:szCs w:val="28"/>
          <w:lang w:eastAsia="en-US"/>
        </w:rPr>
        <w:t>Operation</w:t>
      </w:r>
      <w:proofErr w:type="spellEnd"/>
      <w:r w:rsidRPr="00CF73E6">
        <w:rPr>
          <w:i/>
          <w:sz w:val="28"/>
          <w:szCs w:val="28"/>
          <w:lang w:eastAsia="en-US"/>
        </w:rPr>
        <w:t xml:space="preserve"> </w:t>
      </w:r>
      <w:proofErr w:type="spellStart"/>
      <w:r w:rsidRPr="00CF73E6">
        <w:rPr>
          <w:i/>
          <w:sz w:val="28"/>
          <w:szCs w:val="28"/>
          <w:lang w:eastAsia="en-US"/>
        </w:rPr>
        <w:t>In</w:t>
      </w:r>
      <w:proofErr w:type="spellEnd"/>
      <w:r w:rsidRPr="00CF73E6">
        <w:rPr>
          <w:i/>
          <w:sz w:val="28"/>
          <w:szCs w:val="28"/>
          <w:lang w:eastAsia="en-US"/>
        </w:rPr>
        <w:t xml:space="preserve"> </w:t>
      </w:r>
      <w:proofErr w:type="spellStart"/>
      <w:r w:rsidRPr="00CF73E6">
        <w:rPr>
          <w:i/>
          <w:sz w:val="28"/>
          <w:szCs w:val="28"/>
          <w:lang w:eastAsia="en-US"/>
        </w:rPr>
        <w:t>Response</w:t>
      </w:r>
      <w:proofErr w:type="spellEnd"/>
      <w:r w:rsidRPr="00CF73E6">
        <w:rPr>
          <w:i/>
          <w:sz w:val="28"/>
          <w:szCs w:val="28"/>
          <w:lang w:eastAsia="en-US"/>
        </w:rPr>
        <w:t xml:space="preserve"> To </w:t>
      </w:r>
      <w:proofErr w:type="spellStart"/>
      <w:r w:rsidRPr="00CF73E6">
        <w:rPr>
          <w:i/>
          <w:sz w:val="28"/>
          <w:szCs w:val="28"/>
          <w:lang w:eastAsia="en-US"/>
        </w:rPr>
        <w:t>Marine</w:t>
      </w:r>
      <w:proofErr w:type="spellEnd"/>
      <w:r w:rsidRPr="00CF73E6">
        <w:rPr>
          <w:i/>
          <w:sz w:val="28"/>
          <w:szCs w:val="28"/>
          <w:lang w:eastAsia="en-US"/>
        </w:rPr>
        <w:t xml:space="preserve"> </w:t>
      </w:r>
      <w:proofErr w:type="spellStart"/>
      <w:r w:rsidRPr="00CF73E6">
        <w:rPr>
          <w:i/>
          <w:sz w:val="28"/>
          <w:szCs w:val="28"/>
          <w:lang w:eastAsia="en-US"/>
        </w:rPr>
        <w:t>Pollution</w:t>
      </w:r>
      <w:proofErr w:type="spellEnd"/>
      <w:r w:rsidRPr="00CF73E6">
        <w:rPr>
          <w:sz w:val="28"/>
          <w:szCs w:val="28"/>
          <w:lang w:eastAsia="en-US"/>
        </w:rPr>
        <w:t xml:space="preserve"> </w:t>
      </w:r>
      <w:proofErr w:type="gramStart"/>
      <w:r w:rsidRPr="00CF73E6">
        <w:rPr>
          <w:sz w:val="28"/>
          <w:szCs w:val="28"/>
          <w:lang w:eastAsia="en-US"/>
        </w:rPr>
        <w:t>(</w:t>
      </w:r>
      <w:proofErr w:type="gramEnd"/>
      <w:r w:rsidRPr="00CF73E6">
        <w:rPr>
          <w:sz w:val="28"/>
          <w:szCs w:val="28"/>
          <w:lang w:eastAsia="en-US"/>
        </w:rPr>
        <w:t>II sējums),</w:t>
      </w:r>
      <w:r w:rsidRPr="00CF73E6">
        <w:rPr>
          <w:color w:val="C00000"/>
          <w:sz w:val="28"/>
          <w:szCs w:val="28"/>
          <w:lang w:eastAsia="en-US"/>
        </w:rPr>
        <w:t xml:space="preserve"> </w:t>
      </w:r>
      <w:proofErr w:type="spellStart"/>
      <w:r w:rsidRPr="00CF73E6">
        <w:rPr>
          <w:i/>
          <w:sz w:val="28"/>
          <w:szCs w:val="28"/>
          <w:lang w:eastAsia="en-US"/>
        </w:rPr>
        <w:t>Manual</w:t>
      </w:r>
      <w:proofErr w:type="spellEnd"/>
      <w:r w:rsidRPr="00CF73E6">
        <w:rPr>
          <w:i/>
          <w:sz w:val="28"/>
          <w:szCs w:val="28"/>
          <w:lang w:eastAsia="en-US"/>
        </w:rPr>
        <w:t xml:space="preserve"> </w:t>
      </w:r>
      <w:proofErr w:type="spellStart"/>
      <w:r w:rsidRPr="00CF73E6">
        <w:rPr>
          <w:i/>
          <w:sz w:val="28"/>
          <w:szCs w:val="28"/>
          <w:lang w:eastAsia="en-US"/>
        </w:rPr>
        <w:t>On</w:t>
      </w:r>
      <w:proofErr w:type="spellEnd"/>
      <w:r w:rsidRPr="00CF73E6">
        <w:rPr>
          <w:i/>
          <w:sz w:val="28"/>
          <w:szCs w:val="28"/>
          <w:lang w:eastAsia="en-US"/>
        </w:rPr>
        <w:t xml:space="preserve"> Co-</w:t>
      </w:r>
      <w:proofErr w:type="spellStart"/>
      <w:r w:rsidRPr="00CF73E6">
        <w:rPr>
          <w:i/>
          <w:sz w:val="28"/>
          <w:szCs w:val="28"/>
          <w:lang w:eastAsia="en-US"/>
        </w:rPr>
        <w:t>Operation</w:t>
      </w:r>
      <w:proofErr w:type="spellEnd"/>
      <w:r w:rsidRPr="00CF73E6">
        <w:rPr>
          <w:i/>
          <w:sz w:val="28"/>
          <w:szCs w:val="28"/>
          <w:lang w:eastAsia="en-US"/>
        </w:rPr>
        <w:t xml:space="preserve"> </w:t>
      </w:r>
      <w:proofErr w:type="spellStart"/>
      <w:r w:rsidRPr="00CF73E6">
        <w:rPr>
          <w:i/>
          <w:sz w:val="28"/>
          <w:szCs w:val="28"/>
          <w:lang w:eastAsia="en-US"/>
        </w:rPr>
        <w:t>In</w:t>
      </w:r>
      <w:proofErr w:type="spellEnd"/>
      <w:r w:rsidRPr="00CF73E6">
        <w:rPr>
          <w:i/>
          <w:sz w:val="28"/>
          <w:szCs w:val="28"/>
          <w:lang w:eastAsia="en-US"/>
        </w:rPr>
        <w:t xml:space="preserve"> </w:t>
      </w:r>
      <w:proofErr w:type="spellStart"/>
      <w:r w:rsidRPr="00CF73E6">
        <w:rPr>
          <w:i/>
          <w:sz w:val="28"/>
          <w:szCs w:val="28"/>
          <w:lang w:eastAsia="en-US"/>
        </w:rPr>
        <w:t>Response</w:t>
      </w:r>
      <w:proofErr w:type="spellEnd"/>
      <w:r w:rsidRPr="00CF73E6">
        <w:rPr>
          <w:i/>
          <w:sz w:val="28"/>
          <w:szCs w:val="28"/>
          <w:lang w:eastAsia="en-US"/>
        </w:rPr>
        <w:t xml:space="preserve"> To </w:t>
      </w:r>
      <w:proofErr w:type="spellStart"/>
      <w:r w:rsidRPr="00CF73E6">
        <w:rPr>
          <w:i/>
          <w:sz w:val="28"/>
          <w:szCs w:val="28"/>
          <w:lang w:eastAsia="en-US"/>
        </w:rPr>
        <w:t>Pollution</w:t>
      </w:r>
      <w:proofErr w:type="spellEnd"/>
      <w:r w:rsidRPr="00CF73E6">
        <w:rPr>
          <w:i/>
          <w:sz w:val="28"/>
          <w:szCs w:val="28"/>
          <w:lang w:eastAsia="en-US"/>
        </w:rPr>
        <w:t xml:space="preserve"> I</w:t>
      </w:r>
      <w:proofErr w:type="spellStart"/>
      <w:r w:rsidRPr="00CF73E6">
        <w:rPr>
          <w:i/>
          <w:sz w:val="28"/>
          <w:szCs w:val="28"/>
          <w:lang w:val="en-US" w:eastAsia="en-US"/>
        </w:rPr>
        <w:t>ncidents</w:t>
      </w:r>
      <w:proofErr w:type="spellEnd"/>
      <w:r w:rsidRPr="00CF73E6">
        <w:rPr>
          <w:i/>
          <w:sz w:val="28"/>
          <w:szCs w:val="28"/>
          <w:lang w:val="en-US" w:eastAsia="en-US"/>
        </w:rPr>
        <w:t xml:space="preserve"> On The Shore</w:t>
      </w:r>
      <w:r w:rsidRPr="00CF73E6">
        <w:rPr>
          <w:i/>
          <w:sz w:val="28"/>
          <w:szCs w:val="28"/>
          <w:lang w:eastAsia="en-US"/>
        </w:rPr>
        <w:t xml:space="preserve"> </w:t>
      </w:r>
      <w:r w:rsidRPr="00CF73E6">
        <w:rPr>
          <w:sz w:val="28"/>
          <w:szCs w:val="28"/>
          <w:lang w:eastAsia="en-US"/>
        </w:rPr>
        <w:t>(III sējums))</w:t>
      </w:r>
      <w:r w:rsidRPr="00CF73E6">
        <w:rPr>
          <w:i/>
          <w:sz w:val="28"/>
          <w:szCs w:val="28"/>
          <w:lang w:eastAsia="en-US"/>
        </w:rPr>
        <w:t>.</w:t>
      </w:r>
    </w:p>
    <w:p w14:paraId="77750693" w14:textId="4C113E2D" w:rsidR="00CF73E6" w:rsidRPr="00CF73E6" w:rsidRDefault="00CF73E6" w:rsidP="00CF73E6">
      <w:pPr>
        <w:ind w:right="-29" w:firstLine="720"/>
        <w:jc w:val="both"/>
        <w:rPr>
          <w:sz w:val="28"/>
          <w:szCs w:val="28"/>
          <w:lang w:eastAsia="en-US"/>
        </w:rPr>
      </w:pPr>
      <w:r w:rsidRPr="00CF73E6">
        <w:rPr>
          <w:color w:val="000000"/>
          <w:sz w:val="28"/>
          <w:szCs w:val="28"/>
          <w:lang w:eastAsia="en-US"/>
        </w:rPr>
        <w:t>- Saskaņā ar Helsinku konvencijas</w:t>
      </w:r>
      <w:r w:rsidRPr="00CF73E6">
        <w:rPr>
          <w:sz w:val="28"/>
          <w:szCs w:val="28"/>
          <w:lang w:eastAsia="en-US"/>
        </w:rPr>
        <w:t xml:space="preserve"> VII</w:t>
      </w:r>
      <w:r w:rsidR="00155765">
        <w:rPr>
          <w:sz w:val="28"/>
          <w:szCs w:val="28"/>
          <w:lang w:eastAsia="en-US"/>
        </w:rPr>
        <w:t> </w:t>
      </w:r>
      <w:r w:rsidRPr="00CF73E6">
        <w:rPr>
          <w:sz w:val="28"/>
          <w:szCs w:val="28"/>
          <w:lang w:eastAsia="en-US"/>
        </w:rPr>
        <w:t>pielikuma 1.</w:t>
      </w:r>
      <w:r w:rsidR="00155765">
        <w:rPr>
          <w:sz w:val="28"/>
          <w:szCs w:val="28"/>
          <w:lang w:eastAsia="en-US"/>
        </w:rPr>
        <w:t> </w:t>
      </w:r>
      <w:r w:rsidRPr="00CF73E6">
        <w:rPr>
          <w:sz w:val="28"/>
          <w:szCs w:val="28"/>
          <w:lang w:eastAsia="en-US"/>
        </w:rPr>
        <w:t xml:space="preserve">noteikumu </w:t>
      </w:r>
      <w:r w:rsidR="00155765">
        <w:rPr>
          <w:sz w:val="28"/>
          <w:szCs w:val="28"/>
          <w:lang w:eastAsia="en-US"/>
        </w:rPr>
        <w:t>l</w:t>
      </w:r>
      <w:r w:rsidRPr="00CF73E6">
        <w:rPr>
          <w:sz w:val="28"/>
          <w:szCs w:val="28"/>
          <w:lang w:eastAsia="en-US"/>
        </w:rPr>
        <w:t>īgumslēdzējas puses uzņemas uzturēt spēju reaģēt uz piesārņojuma gadījumiem, kas apdraud Baltijas jūras vidi. Šai spējai jāietver pienācīgs aprīkojums, kuģi un darbaspēks, kas sagatavots darbībai piekraste</w:t>
      </w:r>
      <w:r>
        <w:rPr>
          <w:sz w:val="28"/>
          <w:szCs w:val="28"/>
          <w:lang w:eastAsia="en-US"/>
        </w:rPr>
        <w:t xml:space="preserve">s ūdeņos, kā arī atklātā jūrā. </w:t>
      </w:r>
    </w:p>
    <w:p w14:paraId="77750694" w14:textId="4A09C67F" w:rsidR="00CF73E6" w:rsidRPr="00CF73E6" w:rsidRDefault="00CF73E6" w:rsidP="00CF73E6">
      <w:pPr>
        <w:ind w:right="-29" w:firstLine="763"/>
        <w:jc w:val="both"/>
        <w:rPr>
          <w:sz w:val="28"/>
          <w:szCs w:val="28"/>
          <w:lang w:eastAsia="en-US"/>
        </w:rPr>
      </w:pPr>
      <w:r w:rsidRPr="00CF73E6">
        <w:rPr>
          <w:sz w:val="28"/>
          <w:szCs w:val="28"/>
          <w:lang w:eastAsia="en-US"/>
        </w:rPr>
        <w:t>- Saskaņā ar Helsinku konvencijas VII</w:t>
      </w:r>
      <w:r w:rsidR="00155765">
        <w:rPr>
          <w:sz w:val="28"/>
          <w:szCs w:val="28"/>
          <w:lang w:eastAsia="en-US"/>
        </w:rPr>
        <w:t> </w:t>
      </w:r>
      <w:r w:rsidRPr="00CF73E6">
        <w:rPr>
          <w:sz w:val="28"/>
          <w:szCs w:val="28"/>
          <w:lang w:eastAsia="en-US"/>
        </w:rPr>
        <w:t>pielikuma 4.</w:t>
      </w:r>
      <w:r w:rsidR="00155765">
        <w:rPr>
          <w:sz w:val="28"/>
          <w:szCs w:val="28"/>
          <w:lang w:eastAsia="en-US"/>
        </w:rPr>
        <w:t> </w:t>
      </w:r>
      <w:r w:rsidRPr="00CF73E6">
        <w:rPr>
          <w:sz w:val="28"/>
          <w:szCs w:val="28"/>
          <w:lang w:eastAsia="en-US"/>
        </w:rPr>
        <w:t xml:space="preserve">noteikumu </w:t>
      </w:r>
      <w:r w:rsidR="00155765">
        <w:rPr>
          <w:sz w:val="28"/>
          <w:szCs w:val="28"/>
          <w:lang w:eastAsia="en-US"/>
        </w:rPr>
        <w:t>l</w:t>
      </w:r>
      <w:r w:rsidRPr="00CF73E6">
        <w:rPr>
          <w:sz w:val="28"/>
          <w:szCs w:val="28"/>
          <w:lang w:eastAsia="en-US"/>
        </w:rPr>
        <w:t>īgumslēdzējām pusēm, cik vien drīz iespējams, divpusēji vai daudzpusēji jāvienojas par tiem Baltijas jūras reģioniem, kuros tām jānodrošina novērošana un jāveic pretpasākumi, tiklīdz noticis piesārņojums vai pastāv nozīmīgi piesār</w:t>
      </w:r>
      <w:r>
        <w:rPr>
          <w:sz w:val="28"/>
          <w:szCs w:val="28"/>
          <w:lang w:eastAsia="en-US"/>
        </w:rPr>
        <w:t>ņojuma draudi.</w:t>
      </w:r>
    </w:p>
    <w:p w14:paraId="77750695" w14:textId="5CE378D0" w:rsidR="00CF73E6" w:rsidRPr="00CF73E6" w:rsidRDefault="00CF73E6" w:rsidP="00CF73E6">
      <w:pPr>
        <w:ind w:right="-29" w:firstLine="763"/>
        <w:jc w:val="both"/>
        <w:rPr>
          <w:sz w:val="28"/>
          <w:szCs w:val="28"/>
          <w:lang w:eastAsia="en-US"/>
        </w:rPr>
      </w:pPr>
      <w:r w:rsidRPr="00CF73E6">
        <w:rPr>
          <w:sz w:val="28"/>
          <w:szCs w:val="28"/>
          <w:lang w:eastAsia="en-US"/>
        </w:rPr>
        <w:t>- Saskaņā ar Helsinku konvencijas</w:t>
      </w:r>
      <w:r w:rsidRPr="00CF73E6">
        <w:rPr>
          <w:i/>
          <w:sz w:val="28"/>
          <w:szCs w:val="28"/>
          <w:lang w:eastAsia="en-US"/>
        </w:rPr>
        <w:t xml:space="preserve"> </w:t>
      </w:r>
      <w:r w:rsidRPr="00CF73E6">
        <w:rPr>
          <w:sz w:val="28"/>
          <w:szCs w:val="28"/>
          <w:lang w:eastAsia="en-US"/>
        </w:rPr>
        <w:t>VII</w:t>
      </w:r>
      <w:r w:rsidR="00155765">
        <w:rPr>
          <w:sz w:val="28"/>
          <w:szCs w:val="28"/>
          <w:lang w:eastAsia="en-US"/>
        </w:rPr>
        <w:t> </w:t>
      </w:r>
      <w:r w:rsidRPr="00CF73E6">
        <w:rPr>
          <w:sz w:val="28"/>
          <w:szCs w:val="28"/>
          <w:lang w:eastAsia="en-US"/>
        </w:rPr>
        <w:t>pielikuma 7.</w:t>
      </w:r>
      <w:r w:rsidR="00155765">
        <w:rPr>
          <w:sz w:val="28"/>
          <w:szCs w:val="28"/>
          <w:lang w:eastAsia="en-US"/>
        </w:rPr>
        <w:t> </w:t>
      </w:r>
      <w:r w:rsidRPr="00CF73E6">
        <w:rPr>
          <w:sz w:val="28"/>
          <w:szCs w:val="28"/>
          <w:lang w:eastAsia="en-US"/>
        </w:rPr>
        <w:t xml:space="preserve">noteikumu </w:t>
      </w:r>
      <w:r w:rsidR="00155765">
        <w:rPr>
          <w:sz w:val="28"/>
          <w:szCs w:val="28"/>
          <w:lang w:eastAsia="en-US"/>
        </w:rPr>
        <w:t>l</w:t>
      </w:r>
      <w:r w:rsidRPr="00CF73E6">
        <w:rPr>
          <w:sz w:val="28"/>
          <w:szCs w:val="28"/>
          <w:lang w:eastAsia="en-US"/>
        </w:rPr>
        <w:t xml:space="preserve">īgumslēdzējai pusei pēc piesārņojuma gadījuma tās reaģēšanas reģionā jāveic </w:t>
      </w:r>
      <w:r w:rsidR="00155765" w:rsidRPr="00CF73E6">
        <w:rPr>
          <w:sz w:val="28"/>
          <w:szCs w:val="28"/>
          <w:lang w:eastAsia="en-US"/>
        </w:rPr>
        <w:t xml:space="preserve">nepieciešamais </w:t>
      </w:r>
      <w:r w:rsidRPr="00CF73E6">
        <w:rPr>
          <w:sz w:val="28"/>
          <w:szCs w:val="28"/>
          <w:lang w:eastAsia="en-US"/>
        </w:rPr>
        <w:t xml:space="preserve">stāvokļa novērtējums un vajadzīgie pasākumi, lai novērstu vai mīkstinātu </w:t>
      </w:r>
      <w:r w:rsidR="009B780F">
        <w:rPr>
          <w:sz w:val="28"/>
          <w:szCs w:val="28"/>
          <w:lang w:eastAsia="en-US"/>
        </w:rPr>
        <w:t xml:space="preserve">potenciālā </w:t>
      </w:r>
      <w:r w:rsidRPr="00CF73E6">
        <w:rPr>
          <w:sz w:val="28"/>
          <w:szCs w:val="28"/>
          <w:lang w:eastAsia="en-US"/>
        </w:rPr>
        <w:t xml:space="preserve">piesārņojuma sekas. Ja pastāv iespēja, ka noplūdes rezultātā radies naftas, bīstamo un kaitīgo vielu plankums iedreifēs citas </w:t>
      </w:r>
      <w:r w:rsidR="00155765">
        <w:rPr>
          <w:sz w:val="28"/>
          <w:szCs w:val="28"/>
          <w:lang w:eastAsia="en-US"/>
        </w:rPr>
        <w:t>l</w:t>
      </w:r>
      <w:r w:rsidRPr="00CF73E6">
        <w:rPr>
          <w:sz w:val="28"/>
          <w:szCs w:val="28"/>
          <w:lang w:eastAsia="en-US"/>
        </w:rPr>
        <w:t>īgumslēdzējas puses reaģēšanas reģionā, šī puse bez kavēšanās jāinformē par stāvokli un par vajadzīgajiem pasākumiem.</w:t>
      </w:r>
      <w:r w:rsidR="00155765">
        <w:rPr>
          <w:sz w:val="28"/>
          <w:szCs w:val="28"/>
          <w:lang w:eastAsia="en-US"/>
        </w:rPr>
        <w:t xml:space="preserve"> </w:t>
      </w:r>
    </w:p>
    <w:p w14:paraId="77750697" w14:textId="06F268C4" w:rsidR="00CF73E6" w:rsidRPr="00CF73E6" w:rsidRDefault="00CF73E6" w:rsidP="00CF73E6">
      <w:pPr>
        <w:ind w:right="-29" w:firstLine="763"/>
        <w:jc w:val="both"/>
        <w:rPr>
          <w:sz w:val="28"/>
          <w:szCs w:val="28"/>
          <w:lang w:eastAsia="en-US"/>
        </w:rPr>
      </w:pPr>
      <w:r w:rsidRPr="00CF73E6">
        <w:rPr>
          <w:sz w:val="28"/>
          <w:szCs w:val="28"/>
          <w:lang w:eastAsia="en-US"/>
        </w:rPr>
        <w:t>- Saskaņā ar Helsinku konvencijas VII</w:t>
      </w:r>
      <w:r w:rsidR="00155765">
        <w:rPr>
          <w:sz w:val="28"/>
          <w:szCs w:val="28"/>
          <w:lang w:eastAsia="en-US"/>
        </w:rPr>
        <w:t> </w:t>
      </w:r>
      <w:r w:rsidRPr="00CF73E6">
        <w:rPr>
          <w:sz w:val="28"/>
          <w:szCs w:val="28"/>
          <w:lang w:eastAsia="en-US"/>
        </w:rPr>
        <w:t>pielikuma 8.</w:t>
      </w:r>
      <w:r w:rsidR="00155765">
        <w:rPr>
          <w:sz w:val="28"/>
          <w:szCs w:val="28"/>
          <w:lang w:eastAsia="en-US"/>
        </w:rPr>
        <w:t> </w:t>
      </w:r>
      <w:r w:rsidRPr="00CF73E6">
        <w:rPr>
          <w:sz w:val="28"/>
          <w:szCs w:val="28"/>
          <w:lang w:eastAsia="en-US"/>
        </w:rPr>
        <w:t xml:space="preserve">noteikumu </w:t>
      </w:r>
      <w:r w:rsidR="00155765">
        <w:rPr>
          <w:sz w:val="28"/>
          <w:szCs w:val="28"/>
          <w:lang w:eastAsia="en-US"/>
        </w:rPr>
        <w:t>l</w:t>
      </w:r>
      <w:r w:rsidRPr="00CF73E6">
        <w:rPr>
          <w:sz w:val="28"/>
          <w:szCs w:val="28"/>
          <w:lang w:eastAsia="en-US"/>
        </w:rPr>
        <w:t>īgumslēdzēja puse, kas veic pasākumus jūrā</w:t>
      </w:r>
      <w:r w:rsidR="00155765">
        <w:rPr>
          <w:sz w:val="28"/>
          <w:szCs w:val="28"/>
          <w:lang w:eastAsia="en-US"/>
        </w:rPr>
        <w:t>,</w:t>
      </w:r>
      <w:r w:rsidR="00155765" w:rsidRPr="00155765">
        <w:rPr>
          <w:sz w:val="28"/>
          <w:szCs w:val="28"/>
          <w:lang w:eastAsia="en-US"/>
        </w:rPr>
        <w:t xml:space="preserve"> </w:t>
      </w:r>
      <w:r w:rsidR="00155765" w:rsidRPr="00CF73E6">
        <w:rPr>
          <w:sz w:val="28"/>
          <w:szCs w:val="28"/>
          <w:lang w:eastAsia="en-US"/>
        </w:rPr>
        <w:t>lai novērstu vai mīkstinātu naftas noplūdes</w:t>
      </w:r>
      <w:r w:rsidR="00155765">
        <w:rPr>
          <w:sz w:val="28"/>
          <w:szCs w:val="28"/>
          <w:lang w:eastAsia="en-US"/>
        </w:rPr>
        <w:t xml:space="preserve"> sekas</w:t>
      </w:r>
      <w:r w:rsidRPr="00CF73E6">
        <w:rPr>
          <w:sz w:val="28"/>
          <w:szCs w:val="28"/>
          <w:lang w:eastAsia="en-US"/>
        </w:rPr>
        <w:t xml:space="preserve">, ir tiesīga prasīt citu </w:t>
      </w:r>
      <w:r w:rsidR="00155765">
        <w:rPr>
          <w:sz w:val="28"/>
          <w:szCs w:val="28"/>
          <w:lang w:eastAsia="en-US"/>
        </w:rPr>
        <w:t>l</w:t>
      </w:r>
      <w:r w:rsidRPr="00CF73E6">
        <w:rPr>
          <w:sz w:val="28"/>
          <w:szCs w:val="28"/>
          <w:lang w:eastAsia="en-US"/>
        </w:rPr>
        <w:t>īgumslēdzēju pušu palīdzību. Līgumslēdzējas puses pēc labākās gribas sniedz šādu palīdzību. Tās atvieglo naftas noplūdes pasākumos iesaistīto kuģošanas līdzekļu, lidaparātu, personāla, kravas, materiālu un aprīkojuma transport</w:t>
      </w:r>
      <w:r w:rsidR="00414932">
        <w:rPr>
          <w:sz w:val="28"/>
          <w:szCs w:val="28"/>
          <w:lang w:eastAsia="en-US"/>
        </w:rPr>
        <w:t>ēšanu</w:t>
      </w:r>
      <w:r w:rsidRPr="00CF73E6">
        <w:rPr>
          <w:sz w:val="28"/>
          <w:szCs w:val="28"/>
          <w:lang w:eastAsia="en-US"/>
        </w:rPr>
        <w:t xml:space="preserve"> un pārvietošanos iekšā, ārā un caur</w:t>
      </w:r>
      <w:r w:rsidR="00414932">
        <w:rPr>
          <w:sz w:val="28"/>
          <w:szCs w:val="28"/>
          <w:lang w:eastAsia="en-US"/>
        </w:rPr>
        <w:t>i</w:t>
      </w:r>
      <w:r w:rsidRPr="00CF73E6">
        <w:rPr>
          <w:sz w:val="28"/>
          <w:szCs w:val="28"/>
          <w:lang w:eastAsia="en-US"/>
        </w:rPr>
        <w:t xml:space="preserve"> to teritorijām.</w:t>
      </w:r>
    </w:p>
    <w:p w14:paraId="77750698" w14:textId="6DA23190" w:rsidR="00CF73E6" w:rsidRPr="00CF73E6" w:rsidRDefault="00CF73E6" w:rsidP="00CF73E6">
      <w:pPr>
        <w:ind w:right="-29" w:firstLine="763"/>
        <w:jc w:val="both"/>
        <w:rPr>
          <w:sz w:val="28"/>
          <w:szCs w:val="28"/>
          <w:u w:val="single"/>
          <w:lang w:eastAsia="en-US"/>
        </w:rPr>
      </w:pPr>
      <w:r w:rsidRPr="00CF73E6">
        <w:rPr>
          <w:sz w:val="28"/>
          <w:szCs w:val="28"/>
          <w:lang w:eastAsia="en-US"/>
        </w:rPr>
        <w:lastRenderedPageBreak/>
        <w:t xml:space="preserve">Eiropas Jūras drošības aģentūras (EMSA) kuģu palīdzību prasa atbilstoši EMSA vadlīnijās </w:t>
      </w:r>
      <w:r w:rsidR="00F371DE">
        <w:rPr>
          <w:sz w:val="28"/>
          <w:szCs w:val="28"/>
          <w:lang w:val="en-US" w:eastAsia="en-US"/>
        </w:rPr>
        <w:t>"</w:t>
      </w:r>
      <w:r w:rsidRPr="00CF73E6">
        <w:rPr>
          <w:sz w:val="28"/>
          <w:szCs w:val="28"/>
          <w:lang w:val="en-US" w:eastAsia="en-US"/>
        </w:rPr>
        <w:t>EMSA Network of Stand-by Oil Spill Response Vessels - User Guide</w:t>
      </w:r>
      <w:r w:rsidR="00F371DE">
        <w:rPr>
          <w:sz w:val="28"/>
          <w:szCs w:val="28"/>
          <w:lang w:val="en-US" w:eastAsia="en-US"/>
        </w:rPr>
        <w:t>"</w:t>
      </w:r>
      <w:r w:rsidRPr="00CF73E6">
        <w:rPr>
          <w:sz w:val="28"/>
          <w:szCs w:val="28"/>
          <w:lang w:val="en-US" w:eastAsia="en-US"/>
        </w:rPr>
        <w:t xml:space="preserve"> </w:t>
      </w:r>
      <w:r w:rsidRPr="00CF73E6">
        <w:rPr>
          <w:sz w:val="28"/>
          <w:szCs w:val="28"/>
          <w:lang w:eastAsia="en-US"/>
        </w:rPr>
        <w:t>noteiktajai procedūrai.</w:t>
      </w:r>
      <w:r w:rsidRPr="00CF73E6">
        <w:rPr>
          <w:sz w:val="28"/>
          <w:szCs w:val="28"/>
          <w:u w:val="single"/>
          <w:lang w:eastAsia="en-US"/>
        </w:rPr>
        <w:t xml:space="preserve"> </w:t>
      </w:r>
    </w:p>
    <w:p w14:paraId="77750699" w14:textId="77777777" w:rsidR="00CF73E6" w:rsidRPr="00CF73E6" w:rsidRDefault="00CF73E6" w:rsidP="00CF73E6">
      <w:pPr>
        <w:ind w:right="-29"/>
        <w:jc w:val="both"/>
        <w:rPr>
          <w:sz w:val="28"/>
          <w:szCs w:val="28"/>
          <w:lang w:eastAsia="en-US"/>
        </w:rPr>
      </w:pPr>
      <w:r w:rsidRPr="00CF73E6">
        <w:rPr>
          <w:sz w:val="28"/>
          <w:szCs w:val="28"/>
          <w:lang w:eastAsia="en-US"/>
        </w:rPr>
        <w:tab/>
        <w:t>Vispārējās rīcības vadības atbildīgā amatpersona ir MRCC komitejas vadītājs. Viņam palīdz sakaru virsnieki no asistējošajām valstīm un nacionālās vai reģionālās sadarbības institūcijas pārstāvi</w:t>
      </w:r>
      <w:r>
        <w:rPr>
          <w:sz w:val="28"/>
          <w:szCs w:val="28"/>
          <w:lang w:eastAsia="en-US"/>
        </w:rPr>
        <w:t>s, kurš darbojas kā padomnieks.</w:t>
      </w:r>
    </w:p>
    <w:p w14:paraId="7775069A" w14:textId="4BE86D33" w:rsidR="00CF73E6" w:rsidRPr="00CF73E6" w:rsidRDefault="00CF73E6" w:rsidP="00CF73E6">
      <w:pPr>
        <w:ind w:right="-29"/>
        <w:jc w:val="both"/>
        <w:rPr>
          <w:sz w:val="28"/>
          <w:szCs w:val="28"/>
          <w:lang w:eastAsia="en-US"/>
        </w:rPr>
      </w:pPr>
      <w:r w:rsidRPr="00CF73E6">
        <w:rPr>
          <w:sz w:val="28"/>
          <w:szCs w:val="28"/>
          <w:lang w:eastAsia="en-US"/>
        </w:rPr>
        <w:tab/>
        <w:t xml:space="preserve">Atbildīgā komandiera rīcības vadības un </w:t>
      </w:r>
      <w:proofErr w:type="spellStart"/>
      <w:r w:rsidRPr="00CF73E6">
        <w:rPr>
          <w:sz w:val="28"/>
          <w:szCs w:val="28"/>
          <w:lang w:eastAsia="en-US"/>
        </w:rPr>
        <w:t>komandstruktūras</w:t>
      </w:r>
      <w:proofErr w:type="spellEnd"/>
      <w:r w:rsidRPr="00CF73E6">
        <w:rPr>
          <w:sz w:val="28"/>
          <w:szCs w:val="28"/>
          <w:lang w:eastAsia="en-US"/>
        </w:rPr>
        <w:t xml:space="preserve"> pakļautībā izveido taktisko komandu </w:t>
      </w:r>
      <w:r w:rsidR="009B780F" w:rsidRPr="00CF73E6">
        <w:rPr>
          <w:sz w:val="28"/>
          <w:szCs w:val="28"/>
          <w:lang w:eastAsia="en-US"/>
        </w:rPr>
        <w:t xml:space="preserve">notikuma vietā </w:t>
      </w:r>
      <w:r w:rsidRPr="00CF73E6">
        <w:rPr>
          <w:sz w:val="28"/>
          <w:szCs w:val="28"/>
          <w:lang w:eastAsia="en-US"/>
        </w:rPr>
        <w:t xml:space="preserve">(parasti jūrā kopīgu operāciju gadījumā) </w:t>
      </w:r>
      <w:r w:rsidR="004A5972">
        <w:rPr>
          <w:sz w:val="28"/>
          <w:szCs w:val="28"/>
          <w:lang w:eastAsia="en-US"/>
        </w:rPr>
        <w:t>un</w:t>
      </w:r>
      <w:r w:rsidRPr="00CF73E6">
        <w:rPr>
          <w:sz w:val="28"/>
          <w:szCs w:val="28"/>
          <w:lang w:eastAsia="en-US"/>
        </w:rPr>
        <w:t xml:space="preserve"> no</w:t>
      </w:r>
      <w:r w:rsidR="00414932">
        <w:rPr>
          <w:sz w:val="28"/>
          <w:szCs w:val="28"/>
          <w:lang w:eastAsia="en-US"/>
        </w:rPr>
        <w:t>rīko</w:t>
      </w:r>
      <w:r w:rsidRPr="00CF73E6">
        <w:rPr>
          <w:sz w:val="28"/>
          <w:szCs w:val="28"/>
          <w:lang w:eastAsia="en-US"/>
        </w:rPr>
        <w:t xml:space="preserve"> virsvadības komandieri notikuma vietā (SOSC) no vadošās valsts</w:t>
      </w:r>
      <w:r w:rsidR="00D4347F">
        <w:rPr>
          <w:sz w:val="28"/>
          <w:szCs w:val="28"/>
          <w:lang w:eastAsia="en-US"/>
        </w:rPr>
        <w:t xml:space="preserve"> (turpmāk – </w:t>
      </w:r>
      <w:r w:rsidR="00D4347F" w:rsidRPr="00CF73E6">
        <w:rPr>
          <w:sz w:val="28"/>
          <w:szCs w:val="28"/>
          <w:lang w:eastAsia="en-US"/>
        </w:rPr>
        <w:t>virsvadības komandieri</w:t>
      </w:r>
      <w:r w:rsidR="00D4347F">
        <w:rPr>
          <w:sz w:val="28"/>
          <w:szCs w:val="28"/>
          <w:lang w:eastAsia="en-US"/>
        </w:rPr>
        <w:t>s)</w:t>
      </w:r>
      <w:r w:rsidRPr="00CF73E6">
        <w:rPr>
          <w:sz w:val="28"/>
          <w:szCs w:val="28"/>
          <w:lang w:eastAsia="en-US"/>
        </w:rPr>
        <w:t xml:space="preserve">. Vadošās valsts un asistējošo valstu operatīvo grupu kontingents </w:t>
      </w:r>
      <w:r w:rsidR="00D4347F">
        <w:rPr>
          <w:sz w:val="28"/>
          <w:szCs w:val="28"/>
          <w:lang w:eastAsia="en-US"/>
        </w:rPr>
        <w:t>ir pakļauts</w:t>
      </w:r>
      <w:r w:rsidRPr="00CF73E6">
        <w:rPr>
          <w:sz w:val="28"/>
          <w:szCs w:val="28"/>
          <w:lang w:eastAsia="en-US"/>
        </w:rPr>
        <w:t xml:space="preserve"> katras valsts nacionāl</w:t>
      </w:r>
      <w:r w:rsidR="00D4347F">
        <w:rPr>
          <w:sz w:val="28"/>
          <w:szCs w:val="28"/>
          <w:lang w:eastAsia="en-US"/>
        </w:rPr>
        <w:t>ajam</w:t>
      </w:r>
      <w:r w:rsidRPr="00CF73E6">
        <w:rPr>
          <w:sz w:val="28"/>
          <w:szCs w:val="28"/>
          <w:lang w:eastAsia="en-US"/>
        </w:rPr>
        <w:t xml:space="preserve"> komandier</w:t>
      </w:r>
      <w:r w:rsidR="00D4347F">
        <w:rPr>
          <w:sz w:val="28"/>
          <w:szCs w:val="28"/>
          <w:lang w:eastAsia="en-US"/>
        </w:rPr>
        <w:t>im</w:t>
      </w:r>
      <w:r w:rsidRPr="00CF73E6">
        <w:rPr>
          <w:sz w:val="28"/>
          <w:szCs w:val="28"/>
          <w:lang w:eastAsia="en-US"/>
        </w:rPr>
        <w:t xml:space="preserve"> </w:t>
      </w:r>
      <w:r w:rsidR="00D4347F" w:rsidRPr="00CF73E6">
        <w:rPr>
          <w:sz w:val="28"/>
          <w:szCs w:val="28"/>
          <w:lang w:eastAsia="en-US"/>
        </w:rPr>
        <w:t xml:space="preserve">notikuma vietā </w:t>
      </w:r>
      <w:r w:rsidRPr="00CF73E6">
        <w:rPr>
          <w:sz w:val="28"/>
          <w:szCs w:val="28"/>
          <w:lang w:eastAsia="en-US"/>
        </w:rPr>
        <w:t>(NOSC)</w:t>
      </w:r>
      <w:r w:rsidR="00D4347F">
        <w:rPr>
          <w:sz w:val="28"/>
          <w:szCs w:val="28"/>
          <w:lang w:eastAsia="en-US"/>
        </w:rPr>
        <w:t xml:space="preserve"> (turpmāk – nacionālais</w:t>
      </w:r>
      <w:r w:rsidR="00D4347F" w:rsidRPr="00CF73E6">
        <w:rPr>
          <w:sz w:val="28"/>
          <w:szCs w:val="28"/>
          <w:lang w:eastAsia="en-US"/>
        </w:rPr>
        <w:t xml:space="preserve"> komandieri</w:t>
      </w:r>
      <w:r w:rsidR="00D4347F">
        <w:rPr>
          <w:sz w:val="28"/>
          <w:szCs w:val="28"/>
          <w:lang w:eastAsia="en-US"/>
        </w:rPr>
        <w:t>s)</w:t>
      </w:r>
      <w:r w:rsidR="00D4347F" w:rsidRPr="00CF73E6">
        <w:rPr>
          <w:sz w:val="28"/>
          <w:szCs w:val="28"/>
          <w:lang w:eastAsia="en-US"/>
        </w:rPr>
        <w:t>.</w:t>
      </w:r>
      <w:r w:rsidR="00D4347F">
        <w:rPr>
          <w:sz w:val="28"/>
          <w:szCs w:val="28"/>
          <w:lang w:eastAsia="en-US"/>
        </w:rPr>
        <w:t xml:space="preserve"> </w:t>
      </w:r>
      <w:r w:rsidRPr="00CF73E6">
        <w:rPr>
          <w:sz w:val="28"/>
          <w:szCs w:val="28"/>
          <w:lang w:eastAsia="en-US"/>
        </w:rPr>
        <w:t>Nacionālais komandier</w:t>
      </w:r>
      <w:r w:rsidR="00414932">
        <w:rPr>
          <w:sz w:val="28"/>
          <w:szCs w:val="28"/>
          <w:lang w:eastAsia="en-US"/>
        </w:rPr>
        <w:t>is</w:t>
      </w:r>
      <w:r w:rsidRPr="00CF73E6">
        <w:rPr>
          <w:sz w:val="28"/>
          <w:szCs w:val="28"/>
          <w:lang w:eastAsia="en-US"/>
        </w:rPr>
        <w:t xml:space="preserve"> </w:t>
      </w:r>
      <w:r w:rsidR="00D4347F" w:rsidRPr="00CF73E6">
        <w:rPr>
          <w:sz w:val="28"/>
          <w:szCs w:val="28"/>
          <w:lang w:eastAsia="en-US"/>
        </w:rPr>
        <w:t xml:space="preserve">(NOSC) </w:t>
      </w:r>
      <w:r w:rsidRPr="00CF73E6">
        <w:rPr>
          <w:sz w:val="28"/>
          <w:szCs w:val="28"/>
          <w:lang w:eastAsia="en-US"/>
        </w:rPr>
        <w:t xml:space="preserve">darbojas virsvadības komandiera </w:t>
      </w:r>
      <w:r w:rsidR="00D4347F" w:rsidRPr="00CF73E6">
        <w:rPr>
          <w:sz w:val="28"/>
          <w:szCs w:val="28"/>
          <w:lang w:eastAsia="en-US"/>
        </w:rPr>
        <w:t xml:space="preserve">(SOSC) </w:t>
      </w:r>
      <w:r>
        <w:rPr>
          <w:sz w:val="28"/>
          <w:szCs w:val="28"/>
          <w:lang w:eastAsia="en-US"/>
        </w:rPr>
        <w:t>pakļautībā.</w:t>
      </w:r>
    </w:p>
    <w:p w14:paraId="7775069B" w14:textId="7530B339" w:rsidR="00CF73E6" w:rsidRPr="00CF73E6" w:rsidRDefault="00CF73E6" w:rsidP="00CF73E6">
      <w:pPr>
        <w:ind w:right="-29"/>
        <w:jc w:val="both"/>
        <w:rPr>
          <w:sz w:val="28"/>
          <w:szCs w:val="28"/>
          <w:lang w:eastAsia="en-US"/>
        </w:rPr>
      </w:pPr>
      <w:r w:rsidRPr="00CF73E6">
        <w:rPr>
          <w:sz w:val="28"/>
          <w:szCs w:val="28"/>
          <w:lang w:eastAsia="en-US"/>
        </w:rPr>
        <w:tab/>
        <w:t xml:space="preserve">Speciālo vienoto funkciju un atsevišķo vienību vadītāji ir tiešā atbildīgā </w:t>
      </w:r>
      <w:r w:rsidR="00D4347F">
        <w:rPr>
          <w:sz w:val="28"/>
          <w:szCs w:val="28"/>
          <w:lang w:eastAsia="en-US"/>
        </w:rPr>
        <w:t xml:space="preserve">nacionālā </w:t>
      </w:r>
      <w:r w:rsidRPr="00CF73E6">
        <w:rPr>
          <w:sz w:val="28"/>
          <w:szCs w:val="28"/>
          <w:lang w:eastAsia="en-US"/>
        </w:rPr>
        <w:t xml:space="preserve">komandiera </w:t>
      </w:r>
      <w:r w:rsidR="00D4347F" w:rsidRPr="00CF73E6">
        <w:rPr>
          <w:sz w:val="28"/>
          <w:szCs w:val="28"/>
          <w:lang w:eastAsia="en-US"/>
        </w:rPr>
        <w:t xml:space="preserve">(NOSC) </w:t>
      </w:r>
      <w:r w:rsidRPr="00CF73E6">
        <w:rPr>
          <w:sz w:val="28"/>
          <w:szCs w:val="28"/>
          <w:lang w:eastAsia="en-US"/>
        </w:rPr>
        <w:t xml:space="preserve">un virsvadības komandiera (SOSC) pakļautībā. Piemēram, izlūkošanas vai </w:t>
      </w:r>
      <w:proofErr w:type="spellStart"/>
      <w:r w:rsidRPr="00CF73E6">
        <w:rPr>
          <w:sz w:val="28"/>
          <w:szCs w:val="28"/>
          <w:lang w:eastAsia="en-US"/>
        </w:rPr>
        <w:t>transportlidojumus</w:t>
      </w:r>
      <w:proofErr w:type="spellEnd"/>
      <w:r w:rsidRPr="00CF73E6">
        <w:rPr>
          <w:sz w:val="28"/>
          <w:szCs w:val="28"/>
          <w:lang w:eastAsia="en-US"/>
        </w:rPr>
        <w:t xml:space="preserve"> koordinē rīcības vadība vai speciāls lidojumu koordinators.</w:t>
      </w:r>
    </w:p>
    <w:p w14:paraId="7775069C" w14:textId="68588F0F" w:rsidR="00CF73E6" w:rsidRPr="00CF73E6" w:rsidRDefault="00D4347F" w:rsidP="00CF73E6">
      <w:pPr>
        <w:ind w:right="-29"/>
        <w:jc w:val="both"/>
        <w:rPr>
          <w:sz w:val="28"/>
          <w:szCs w:val="28"/>
          <w:lang w:eastAsia="en-US"/>
        </w:rPr>
      </w:pPr>
      <w:r>
        <w:rPr>
          <w:sz w:val="28"/>
          <w:szCs w:val="28"/>
          <w:lang w:eastAsia="en-US"/>
        </w:rPr>
        <w:t xml:space="preserve"> </w:t>
      </w:r>
    </w:p>
    <w:p w14:paraId="7775069D" w14:textId="77777777" w:rsidR="00CF73E6" w:rsidRPr="00CF73E6" w:rsidRDefault="00CF73E6" w:rsidP="00CF73E6">
      <w:pPr>
        <w:ind w:left="426" w:right="-29" w:firstLine="294"/>
        <w:jc w:val="both"/>
        <w:rPr>
          <w:sz w:val="28"/>
          <w:szCs w:val="28"/>
          <w:lang w:eastAsia="en-US"/>
        </w:rPr>
      </w:pPr>
      <w:r w:rsidRPr="00CF73E6">
        <w:rPr>
          <w:sz w:val="28"/>
          <w:szCs w:val="28"/>
          <w:u w:val="single"/>
          <w:lang w:eastAsia="en-US"/>
        </w:rPr>
        <w:t>Rīcības vadlīnijas</w:t>
      </w:r>
    </w:p>
    <w:p w14:paraId="7775069E" w14:textId="77777777" w:rsidR="00CF73E6" w:rsidRPr="00CF73E6" w:rsidRDefault="00CF73E6" w:rsidP="00CF73E6">
      <w:pPr>
        <w:ind w:right="-29"/>
        <w:jc w:val="both"/>
        <w:rPr>
          <w:sz w:val="28"/>
          <w:szCs w:val="28"/>
          <w:lang w:eastAsia="en-US"/>
        </w:rPr>
      </w:pPr>
    </w:p>
    <w:p w14:paraId="7775069F" w14:textId="77777777" w:rsidR="00CF73E6" w:rsidRPr="00CF73E6" w:rsidRDefault="00CF73E6" w:rsidP="00CF73E6">
      <w:pPr>
        <w:ind w:right="-29" w:firstLine="654"/>
        <w:jc w:val="both"/>
        <w:rPr>
          <w:sz w:val="28"/>
          <w:szCs w:val="28"/>
          <w:lang w:eastAsia="en-US"/>
        </w:rPr>
      </w:pPr>
      <w:r w:rsidRPr="00CF73E6">
        <w:rPr>
          <w:iCs/>
          <w:sz w:val="28"/>
          <w:szCs w:val="28"/>
          <w:lang w:eastAsia="en-US"/>
        </w:rPr>
        <w:t>Latvijai kā vadošajai valstij</w:t>
      </w:r>
      <w:r w:rsidRPr="00CF73E6">
        <w:rPr>
          <w:sz w:val="28"/>
          <w:szCs w:val="28"/>
          <w:lang w:eastAsia="en-US"/>
        </w:rPr>
        <w:t xml:space="preserve"> jānodrošina:</w:t>
      </w:r>
    </w:p>
    <w:p w14:paraId="777506A0" w14:textId="77777777" w:rsidR="00CF73E6" w:rsidRPr="00CF73E6" w:rsidRDefault="00CF73E6" w:rsidP="00CF73E6">
      <w:pPr>
        <w:ind w:right="-29" w:firstLine="654"/>
        <w:jc w:val="both"/>
        <w:rPr>
          <w:sz w:val="28"/>
          <w:szCs w:val="28"/>
          <w:lang w:eastAsia="en-US"/>
        </w:rPr>
      </w:pPr>
      <w:r w:rsidRPr="00CF73E6">
        <w:rPr>
          <w:sz w:val="28"/>
          <w:szCs w:val="28"/>
          <w:lang w:eastAsia="en-US"/>
        </w:rPr>
        <w:t>- ārzemju palīgvienībām vajadzīgais administratīvais, rīcības un stratēģiskais atbalsts;</w:t>
      </w:r>
    </w:p>
    <w:p w14:paraId="777506A1" w14:textId="07FC6F91" w:rsidR="00CF73E6" w:rsidRPr="00CF73E6" w:rsidRDefault="00CF73E6" w:rsidP="00CF73E6">
      <w:pPr>
        <w:ind w:right="-29" w:firstLine="654"/>
        <w:jc w:val="both"/>
        <w:rPr>
          <w:sz w:val="28"/>
          <w:szCs w:val="28"/>
          <w:lang w:eastAsia="en-US"/>
        </w:rPr>
      </w:pPr>
      <w:r w:rsidRPr="00CF73E6">
        <w:rPr>
          <w:sz w:val="28"/>
          <w:szCs w:val="28"/>
          <w:lang w:eastAsia="en-US"/>
        </w:rPr>
        <w:t>- skaidri definēti uzdevumi katrai vienībai</w:t>
      </w:r>
      <w:r w:rsidR="0016459E">
        <w:rPr>
          <w:sz w:val="28"/>
          <w:szCs w:val="28"/>
          <w:lang w:eastAsia="en-US"/>
        </w:rPr>
        <w:t>,</w:t>
      </w:r>
      <w:r w:rsidRPr="00CF73E6">
        <w:rPr>
          <w:sz w:val="28"/>
          <w:szCs w:val="28"/>
          <w:lang w:eastAsia="en-US"/>
        </w:rPr>
        <w:t xml:space="preserve"> praktiskas sadarbības organizācija starp vienībām no dažādām valstīm;</w:t>
      </w:r>
    </w:p>
    <w:p w14:paraId="777506A2" w14:textId="77777777" w:rsidR="00CF73E6" w:rsidRPr="00CF73E6" w:rsidRDefault="00CF73E6" w:rsidP="00CF73E6">
      <w:pPr>
        <w:ind w:right="-29" w:firstLine="654"/>
        <w:jc w:val="both"/>
        <w:rPr>
          <w:sz w:val="28"/>
          <w:szCs w:val="28"/>
          <w:lang w:eastAsia="en-US"/>
        </w:rPr>
      </w:pPr>
      <w:r w:rsidRPr="00CF73E6">
        <w:rPr>
          <w:sz w:val="28"/>
          <w:szCs w:val="28"/>
          <w:lang w:eastAsia="en-US"/>
        </w:rPr>
        <w:t>- visu vienību laba informētība par vispārējo stāvokli;</w:t>
      </w:r>
    </w:p>
    <w:p w14:paraId="777506A3" w14:textId="12ADA90D" w:rsidR="00CF73E6" w:rsidRPr="00CF73E6" w:rsidRDefault="00CF73E6" w:rsidP="00CF73E6">
      <w:pPr>
        <w:ind w:right="-29" w:firstLine="654"/>
        <w:jc w:val="both"/>
        <w:rPr>
          <w:sz w:val="28"/>
          <w:szCs w:val="28"/>
          <w:lang w:eastAsia="en-US"/>
        </w:rPr>
      </w:pPr>
      <w:r w:rsidRPr="00CF73E6">
        <w:rPr>
          <w:sz w:val="28"/>
          <w:szCs w:val="28"/>
          <w:lang w:eastAsia="en-US"/>
        </w:rPr>
        <w:t xml:space="preserve">- cieša saikne ar asistējošo valstu </w:t>
      </w:r>
      <w:proofErr w:type="spellStart"/>
      <w:r w:rsidRPr="00CF73E6">
        <w:rPr>
          <w:sz w:val="28"/>
          <w:szCs w:val="28"/>
          <w:lang w:eastAsia="en-US"/>
        </w:rPr>
        <w:t>komandstruktūrām</w:t>
      </w:r>
      <w:proofErr w:type="spellEnd"/>
      <w:r w:rsidRPr="00CF73E6">
        <w:rPr>
          <w:sz w:val="28"/>
          <w:szCs w:val="28"/>
          <w:lang w:eastAsia="en-US"/>
        </w:rPr>
        <w:t xml:space="preserve">, lai </w:t>
      </w:r>
      <w:r w:rsidR="009511CA" w:rsidRPr="00CF73E6">
        <w:rPr>
          <w:sz w:val="28"/>
          <w:szCs w:val="28"/>
          <w:lang w:eastAsia="en-US"/>
        </w:rPr>
        <w:t xml:space="preserve">vajadzības gadījumā </w:t>
      </w:r>
      <w:r w:rsidRPr="00CF73E6">
        <w:rPr>
          <w:sz w:val="28"/>
          <w:szCs w:val="28"/>
          <w:lang w:eastAsia="en-US"/>
        </w:rPr>
        <w:t>nodrošinātu iespēju ārvalstu palīgvienības nodot</w:t>
      </w:r>
      <w:r>
        <w:rPr>
          <w:sz w:val="28"/>
          <w:szCs w:val="28"/>
          <w:lang w:eastAsia="en-US"/>
        </w:rPr>
        <w:t xml:space="preserve"> nacionālajai </w:t>
      </w:r>
      <w:proofErr w:type="spellStart"/>
      <w:r>
        <w:rPr>
          <w:sz w:val="28"/>
          <w:szCs w:val="28"/>
          <w:lang w:eastAsia="en-US"/>
        </w:rPr>
        <w:t>komandstruktūrai</w:t>
      </w:r>
      <w:proofErr w:type="spellEnd"/>
      <w:r>
        <w:rPr>
          <w:sz w:val="28"/>
          <w:szCs w:val="28"/>
          <w:lang w:eastAsia="en-US"/>
        </w:rPr>
        <w:t>.</w:t>
      </w:r>
    </w:p>
    <w:p w14:paraId="777506A4" w14:textId="31E39F56" w:rsidR="00CF73E6" w:rsidRPr="00CF73E6" w:rsidRDefault="00CF73E6" w:rsidP="00CF73E6">
      <w:pPr>
        <w:ind w:right="-29" w:firstLine="654"/>
        <w:jc w:val="both"/>
        <w:rPr>
          <w:sz w:val="28"/>
          <w:szCs w:val="28"/>
          <w:lang w:eastAsia="en-US"/>
        </w:rPr>
      </w:pPr>
      <w:r w:rsidRPr="00CF73E6">
        <w:rPr>
          <w:sz w:val="28"/>
          <w:szCs w:val="28"/>
          <w:lang w:eastAsia="en-US"/>
        </w:rPr>
        <w:t>Darbības ziņā patstāvīgām ārvalstu palīgvienībām, cik vien iespējams, jāuzdod katrai savi uzdevumi noteiktos ģeogrāfiskos apvidos. Uzdevumu izpilde jākomandē attiecīgajam nacionālajam komandierim (NOSC), kuram pastāvīgi jāuztur cieši radiosakari ar virsvadības komandieri (SOSC).</w:t>
      </w:r>
    </w:p>
    <w:p w14:paraId="777506A5" w14:textId="77777777" w:rsidR="00CF73E6" w:rsidRPr="00CF73E6" w:rsidRDefault="00CF73E6" w:rsidP="00CF73E6">
      <w:pPr>
        <w:ind w:left="576" w:right="-29"/>
        <w:jc w:val="both"/>
        <w:rPr>
          <w:sz w:val="28"/>
          <w:szCs w:val="28"/>
          <w:lang w:eastAsia="en-US"/>
        </w:rPr>
      </w:pPr>
    </w:p>
    <w:p w14:paraId="777506A6" w14:textId="5A7C2198" w:rsidR="00CF73E6" w:rsidRPr="00CF73E6" w:rsidRDefault="00D4347F" w:rsidP="00CF73E6">
      <w:pPr>
        <w:ind w:right="-29" w:firstLine="654"/>
        <w:jc w:val="both"/>
        <w:rPr>
          <w:sz w:val="28"/>
          <w:szCs w:val="28"/>
          <w:lang w:eastAsia="en-US"/>
        </w:rPr>
      </w:pPr>
      <w:r>
        <w:rPr>
          <w:sz w:val="28"/>
          <w:szCs w:val="28"/>
          <w:lang w:eastAsia="en-US"/>
        </w:rPr>
        <w:t>Ja nepieciešams,</w:t>
      </w:r>
      <w:r w:rsidR="00CF73E6" w:rsidRPr="00CF73E6">
        <w:rPr>
          <w:sz w:val="28"/>
          <w:szCs w:val="28"/>
          <w:lang w:eastAsia="en-US"/>
        </w:rPr>
        <w:t xml:space="preserve"> dažādas operatīvās vienības iespējams uz laiku nodot citu nacionālo komandieru </w:t>
      </w:r>
      <w:r w:rsidR="00CF73E6">
        <w:rPr>
          <w:sz w:val="28"/>
          <w:szCs w:val="28"/>
          <w:lang w:eastAsia="en-US"/>
        </w:rPr>
        <w:t>(NOSC) rīcībā un pakļautībā.</w:t>
      </w:r>
    </w:p>
    <w:p w14:paraId="777506A7" w14:textId="77777777" w:rsidR="00CF73E6" w:rsidRPr="00CF73E6" w:rsidRDefault="00CF73E6" w:rsidP="00CF73E6">
      <w:pPr>
        <w:ind w:right="-29" w:firstLine="654"/>
        <w:jc w:val="both"/>
        <w:rPr>
          <w:sz w:val="28"/>
          <w:szCs w:val="28"/>
          <w:lang w:eastAsia="en-US"/>
        </w:rPr>
      </w:pPr>
      <w:r w:rsidRPr="00CF73E6">
        <w:rPr>
          <w:sz w:val="28"/>
          <w:szCs w:val="28"/>
          <w:lang w:eastAsia="en-US"/>
        </w:rPr>
        <w:t>Ja palīdzību sniedz aprīkojuma vai darbības ziņā nepatstāvīgu vienību formā, tad vadošās valsts rīcības vadība vai taktiskā komanda atbild par šīs vienības vai aprīkojuma integrēša</w:t>
      </w:r>
      <w:r>
        <w:rPr>
          <w:sz w:val="28"/>
          <w:szCs w:val="28"/>
          <w:lang w:eastAsia="en-US"/>
        </w:rPr>
        <w:t>nu seku likvidācijas pasākumos.</w:t>
      </w:r>
    </w:p>
    <w:p w14:paraId="777506A8" w14:textId="6721B090" w:rsidR="00CF73E6" w:rsidRPr="00CF73E6" w:rsidRDefault="00CF73E6" w:rsidP="00CF73E6">
      <w:pPr>
        <w:ind w:right="-29" w:firstLine="654"/>
        <w:jc w:val="both"/>
        <w:rPr>
          <w:sz w:val="28"/>
          <w:szCs w:val="28"/>
          <w:lang w:eastAsia="en-US"/>
        </w:rPr>
      </w:pPr>
      <w:r w:rsidRPr="00CF73E6">
        <w:rPr>
          <w:sz w:val="28"/>
          <w:szCs w:val="28"/>
          <w:lang w:eastAsia="en-US"/>
        </w:rPr>
        <w:t>Piesārņojumam šķērsojot kaimiņvalsts reaģēšanas reģiona robežu, rīcības vadība un kontrole (t.</w:t>
      </w:r>
      <w:r w:rsidR="00D4347F">
        <w:rPr>
          <w:sz w:val="28"/>
          <w:szCs w:val="28"/>
          <w:lang w:eastAsia="en-US"/>
        </w:rPr>
        <w:t> </w:t>
      </w:r>
      <w:r w:rsidRPr="00CF73E6">
        <w:rPr>
          <w:sz w:val="28"/>
          <w:szCs w:val="28"/>
          <w:lang w:eastAsia="en-US"/>
        </w:rPr>
        <w:t xml:space="preserve">i., vadošās valsts funkcijas) tiek nodota tai valstij, kuras reaģēšanas reģionā </w:t>
      </w:r>
      <w:r>
        <w:rPr>
          <w:sz w:val="28"/>
          <w:szCs w:val="28"/>
          <w:lang w:eastAsia="en-US"/>
        </w:rPr>
        <w:t>atrodas piesārņojuma pamatmasa.</w:t>
      </w:r>
    </w:p>
    <w:p w14:paraId="777506A9" w14:textId="77777777" w:rsidR="00CF73E6" w:rsidRPr="00CF73E6" w:rsidRDefault="00CF73E6" w:rsidP="00CF73E6">
      <w:pPr>
        <w:ind w:right="-29" w:firstLine="654"/>
        <w:jc w:val="both"/>
        <w:rPr>
          <w:sz w:val="28"/>
          <w:szCs w:val="28"/>
          <w:lang w:eastAsia="en-US"/>
        </w:rPr>
      </w:pPr>
      <w:r w:rsidRPr="00CF73E6">
        <w:rPr>
          <w:sz w:val="28"/>
          <w:szCs w:val="28"/>
          <w:lang w:eastAsia="en-US"/>
        </w:rPr>
        <w:t>Rīcības vadības nodošanas laika grafiks jāapspriež abu valstu pārrunās, ņemot vērā vispārējo ainu un</w:t>
      </w:r>
      <w:r>
        <w:rPr>
          <w:sz w:val="28"/>
          <w:szCs w:val="28"/>
          <w:lang w:eastAsia="en-US"/>
        </w:rPr>
        <w:t xml:space="preserve"> visas tās attīstības ievirzes.</w:t>
      </w:r>
    </w:p>
    <w:p w14:paraId="777506AA" w14:textId="77777777" w:rsidR="00CF73E6" w:rsidRPr="00CF73E6" w:rsidRDefault="00CF73E6" w:rsidP="00CF73E6">
      <w:pPr>
        <w:ind w:right="-29" w:firstLine="654"/>
        <w:jc w:val="both"/>
        <w:rPr>
          <w:sz w:val="28"/>
          <w:szCs w:val="28"/>
          <w:lang w:eastAsia="en-US"/>
        </w:rPr>
      </w:pPr>
      <w:r w:rsidRPr="00CF73E6">
        <w:rPr>
          <w:sz w:val="28"/>
          <w:szCs w:val="28"/>
          <w:lang w:eastAsia="en-US"/>
        </w:rPr>
        <w:lastRenderedPageBreak/>
        <w:t>Ieinteresētās valstis nolemj, kāds vienību skaits un aprīkojuma daudzums tiks nodots jaunās vadošās valsts rīcībā un kā tiks turpin</w:t>
      </w:r>
      <w:r>
        <w:rPr>
          <w:sz w:val="28"/>
          <w:szCs w:val="28"/>
          <w:lang w:eastAsia="en-US"/>
        </w:rPr>
        <w:t>āti seku likvidācijas pasākumi.</w:t>
      </w:r>
    </w:p>
    <w:p w14:paraId="777506AB" w14:textId="4E59A22C" w:rsidR="00CF73E6" w:rsidRPr="00CF73E6" w:rsidRDefault="00CF73E6" w:rsidP="00CF73E6">
      <w:pPr>
        <w:ind w:right="-29" w:firstLine="654"/>
        <w:jc w:val="both"/>
        <w:rPr>
          <w:sz w:val="28"/>
          <w:szCs w:val="28"/>
          <w:lang w:eastAsia="en-US"/>
        </w:rPr>
      </w:pPr>
      <w:r w:rsidRPr="00CF73E6">
        <w:rPr>
          <w:sz w:val="28"/>
          <w:szCs w:val="28"/>
          <w:lang w:eastAsia="en-US"/>
        </w:rPr>
        <w:t>Līgumslēdzēju pušu avārijas gatavības organizācij</w:t>
      </w:r>
      <w:r w:rsidR="00D4347F">
        <w:rPr>
          <w:sz w:val="28"/>
          <w:szCs w:val="28"/>
          <w:lang w:eastAsia="en-US"/>
        </w:rPr>
        <w:t>as</w:t>
      </w:r>
      <w:r w:rsidRPr="00CF73E6">
        <w:rPr>
          <w:sz w:val="28"/>
          <w:szCs w:val="28"/>
          <w:lang w:eastAsia="en-US"/>
        </w:rPr>
        <w:t xml:space="preserve"> pastāvīgi</w:t>
      </w:r>
      <w:r w:rsidR="00D4347F">
        <w:rPr>
          <w:sz w:val="28"/>
          <w:szCs w:val="28"/>
          <w:lang w:eastAsia="en-US"/>
        </w:rPr>
        <w:t xml:space="preserve"> </w:t>
      </w:r>
      <w:r w:rsidRPr="00CF73E6">
        <w:rPr>
          <w:sz w:val="28"/>
          <w:szCs w:val="28"/>
          <w:lang w:eastAsia="en-US"/>
        </w:rPr>
        <w:t xml:space="preserve">informē </w:t>
      </w:r>
      <w:r w:rsidR="00D4347F" w:rsidRPr="00CF73E6">
        <w:rPr>
          <w:sz w:val="28"/>
          <w:szCs w:val="28"/>
          <w:lang w:eastAsia="en-US"/>
        </w:rPr>
        <w:t>cita cit</w:t>
      </w:r>
      <w:r w:rsidR="00D4347F">
        <w:rPr>
          <w:sz w:val="28"/>
          <w:szCs w:val="28"/>
          <w:lang w:eastAsia="en-US"/>
        </w:rPr>
        <w:t>u</w:t>
      </w:r>
      <w:r w:rsidR="00D4347F" w:rsidRPr="00CF73E6">
        <w:rPr>
          <w:sz w:val="28"/>
          <w:szCs w:val="28"/>
          <w:lang w:eastAsia="en-US"/>
        </w:rPr>
        <w:t xml:space="preserve"> </w:t>
      </w:r>
      <w:r w:rsidRPr="00CF73E6">
        <w:rPr>
          <w:sz w:val="28"/>
          <w:szCs w:val="28"/>
          <w:lang w:eastAsia="en-US"/>
        </w:rPr>
        <w:t xml:space="preserve">par piesārņojuma gadījumiem, apmēriem un vietu </w:t>
      </w:r>
      <w:r w:rsidR="00D4347F">
        <w:rPr>
          <w:sz w:val="28"/>
          <w:szCs w:val="28"/>
          <w:lang w:eastAsia="en-US"/>
        </w:rPr>
        <w:t>un p</w:t>
      </w:r>
      <w:r w:rsidRPr="00CF73E6">
        <w:rPr>
          <w:sz w:val="28"/>
          <w:szCs w:val="28"/>
          <w:lang w:eastAsia="en-US"/>
        </w:rPr>
        <w:t>ar veiktajiem</w:t>
      </w:r>
      <w:r>
        <w:rPr>
          <w:sz w:val="28"/>
          <w:szCs w:val="28"/>
          <w:lang w:eastAsia="en-US"/>
        </w:rPr>
        <w:t xml:space="preserve"> pasākumiem un to efektivitāti.</w:t>
      </w:r>
    </w:p>
    <w:p w14:paraId="777506AC" w14:textId="70150CD6" w:rsidR="00CF73E6" w:rsidRPr="00CF73E6" w:rsidRDefault="00CF73E6" w:rsidP="00CF73E6">
      <w:pPr>
        <w:ind w:right="-29" w:firstLine="654"/>
        <w:jc w:val="both"/>
        <w:rPr>
          <w:sz w:val="28"/>
          <w:szCs w:val="28"/>
          <w:lang w:eastAsia="en-US"/>
        </w:rPr>
      </w:pPr>
      <w:r w:rsidRPr="00CF73E6">
        <w:rPr>
          <w:sz w:val="28"/>
          <w:szCs w:val="28"/>
          <w:lang w:eastAsia="en-US"/>
        </w:rPr>
        <w:t>Attiecībā uz darbībām pierobežas apvidos kaimiņvalst</w:t>
      </w:r>
      <w:r w:rsidR="00D4347F">
        <w:rPr>
          <w:sz w:val="28"/>
          <w:szCs w:val="28"/>
          <w:lang w:eastAsia="en-US"/>
        </w:rPr>
        <w:t xml:space="preserve">is </w:t>
      </w:r>
      <w:r w:rsidRPr="00CF73E6">
        <w:rPr>
          <w:sz w:val="28"/>
          <w:szCs w:val="28"/>
          <w:lang w:eastAsia="en-US"/>
        </w:rPr>
        <w:t>konsultējas, ņemot vērā pri</w:t>
      </w:r>
      <w:r>
        <w:rPr>
          <w:sz w:val="28"/>
          <w:szCs w:val="28"/>
          <w:lang w:eastAsia="en-US"/>
        </w:rPr>
        <w:t>oritātes un resursu atbilstīb</w:t>
      </w:r>
      <w:r w:rsidR="00D4347F">
        <w:rPr>
          <w:sz w:val="28"/>
          <w:szCs w:val="28"/>
          <w:lang w:eastAsia="en-US"/>
        </w:rPr>
        <w:t>u</w:t>
      </w:r>
      <w:r>
        <w:rPr>
          <w:sz w:val="28"/>
          <w:szCs w:val="28"/>
          <w:lang w:eastAsia="en-US"/>
        </w:rPr>
        <w:t>.</w:t>
      </w:r>
    </w:p>
    <w:p w14:paraId="777506AD" w14:textId="729A5BD0" w:rsidR="00CF73E6" w:rsidRPr="00CF73E6" w:rsidRDefault="00CF73E6" w:rsidP="00CF73E6">
      <w:pPr>
        <w:ind w:right="-29" w:firstLine="654"/>
        <w:jc w:val="both"/>
        <w:rPr>
          <w:sz w:val="28"/>
          <w:szCs w:val="28"/>
          <w:lang w:eastAsia="en-US"/>
        </w:rPr>
      </w:pPr>
      <w:r w:rsidRPr="00CF73E6">
        <w:rPr>
          <w:sz w:val="28"/>
          <w:szCs w:val="28"/>
          <w:lang w:eastAsia="en-US"/>
        </w:rPr>
        <w:t>Pastāv iespēja, ka ķīmisko reaģentu lietošana skars kaimiņvalstu intereses, tāpēc par šādu ķīmisko vielu izmantošanu tiek pieņemts lēmums tikai tad, kad ņemts vērā kaimiņvalst</w:t>
      </w:r>
      <w:r>
        <w:rPr>
          <w:sz w:val="28"/>
          <w:szCs w:val="28"/>
          <w:lang w:eastAsia="en-US"/>
        </w:rPr>
        <w:t>u viedoklis par to izmantošanu.</w:t>
      </w:r>
    </w:p>
    <w:p w14:paraId="777506AE" w14:textId="58A3701C" w:rsidR="00CF73E6" w:rsidRPr="00CF73E6" w:rsidRDefault="00CF73E6" w:rsidP="00CF73E6">
      <w:pPr>
        <w:ind w:right="-29" w:firstLine="654"/>
        <w:jc w:val="both"/>
        <w:rPr>
          <w:sz w:val="28"/>
          <w:szCs w:val="28"/>
          <w:lang w:eastAsia="en-US"/>
        </w:rPr>
      </w:pPr>
      <w:r w:rsidRPr="00CF73E6">
        <w:rPr>
          <w:sz w:val="28"/>
          <w:szCs w:val="28"/>
          <w:lang w:eastAsia="en-US"/>
        </w:rPr>
        <w:t>Latvija kā vadošā valsts uzsāk noplūdes izmeklēšanu pati savā reaģēšanas reģionā</w:t>
      </w:r>
      <w:proofErr w:type="gramStart"/>
      <w:r w:rsidRPr="00CF73E6">
        <w:rPr>
          <w:sz w:val="28"/>
          <w:szCs w:val="28"/>
          <w:lang w:eastAsia="en-US"/>
        </w:rPr>
        <w:t xml:space="preserve"> un</w:t>
      </w:r>
      <w:proofErr w:type="gramEnd"/>
      <w:r w:rsidRPr="00CF73E6">
        <w:rPr>
          <w:sz w:val="28"/>
          <w:szCs w:val="28"/>
          <w:lang w:eastAsia="en-US"/>
        </w:rPr>
        <w:t xml:space="preserve"> ziņo par šīs izlūkošanas rezultātiem citām </w:t>
      </w:r>
      <w:r w:rsidR="00D4347F">
        <w:rPr>
          <w:sz w:val="28"/>
          <w:szCs w:val="28"/>
          <w:lang w:eastAsia="en-US"/>
        </w:rPr>
        <w:t>l</w:t>
      </w:r>
      <w:r w:rsidRPr="00CF73E6">
        <w:rPr>
          <w:sz w:val="28"/>
          <w:szCs w:val="28"/>
          <w:lang w:eastAsia="en-US"/>
        </w:rPr>
        <w:t xml:space="preserve">īgumslēdzējām pusēm, kuru reaģēšanas reģions ar to robežojas. Ja plankums izplatās pa diviem vai vairākiem reaģēšanas reģioniem, </w:t>
      </w:r>
      <w:r w:rsidR="00D4347F">
        <w:rPr>
          <w:sz w:val="28"/>
          <w:szCs w:val="28"/>
          <w:lang w:eastAsia="en-US"/>
        </w:rPr>
        <w:t>l</w:t>
      </w:r>
      <w:r w:rsidRPr="00CF73E6">
        <w:rPr>
          <w:sz w:val="28"/>
          <w:szCs w:val="28"/>
          <w:lang w:eastAsia="en-US"/>
        </w:rPr>
        <w:t>īgumslēdzēju pušu avārijas organizācijas, kuru reaģēšanas reģionus ietekmē piesārņojums, vienojas par noplūdes apvidus saskaņotu izmeklēš</w:t>
      </w:r>
      <w:r>
        <w:rPr>
          <w:sz w:val="28"/>
          <w:szCs w:val="28"/>
          <w:lang w:eastAsia="en-US"/>
        </w:rPr>
        <w:t>anu, lai izlūkošana nedublētos.</w:t>
      </w:r>
    </w:p>
    <w:p w14:paraId="777506AF" w14:textId="78CFD74F" w:rsidR="00CF73E6" w:rsidRPr="00CF73E6" w:rsidRDefault="00CF73E6" w:rsidP="00CF73E6">
      <w:pPr>
        <w:ind w:right="-29" w:firstLine="654"/>
        <w:jc w:val="both"/>
        <w:rPr>
          <w:b/>
          <w:i/>
          <w:sz w:val="28"/>
          <w:szCs w:val="28"/>
          <w:lang w:eastAsia="en-US"/>
        </w:rPr>
      </w:pPr>
      <w:r w:rsidRPr="00CF73E6">
        <w:rPr>
          <w:sz w:val="28"/>
          <w:szCs w:val="28"/>
          <w:lang w:eastAsia="en-US"/>
        </w:rPr>
        <w:t>Krasta apsardze</w:t>
      </w:r>
      <w:r w:rsidR="00D4347F">
        <w:rPr>
          <w:sz w:val="28"/>
          <w:szCs w:val="28"/>
          <w:lang w:eastAsia="en-US"/>
        </w:rPr>
        <w:t>, ja</w:t>
      </w:r>
      <w:r w:rsidRPr="00CF73E6">
        <w:rPr>
          <w:sz w:val="28"/>
          <w:szCs w:val="28"/>
          <w:lang w:eastAsia="en-US"/>
        </w:rPr>
        <w:t xml:space="preserve"> nepieciešams</w:t>
      </w:r>
      <w:r w:rsidR="00D4347F">
        <w:rPr>
          <w:sz w:val="28"/>
          <w:szCs w:val="28"/>
          <w:lang w:eastAsia="en-US"/>
        </w:rPr>
        <w:t>,</w:t>
      </w:r>
      <w:r w:rsidRPr="00CF73E6">
        <w:rPr>
          <w:sz w:val="28"/>
          <w:szCs w:val="28"/>
          <w:lang w:eastAsia="en-US"/>
        </w:rPr>
        <w:t xml:space="preserve"> kontaktējas ar ekspertiem no citām valstīm par reaģēšan</w:t>
      </w:r>
      <w:r w:rsidR="00D4347F">
        <w:rPr>
          <w:sz w:val="28"/>
          <w:szCs w:val="28"/>
          <w:lang w:eastAsia="en-US"/>
        </w:rPr>
        <w:t>u</w:t>
      </w:r>
      <w:r w:rsidRPr="00CF73E6">
        <w:rPr>
          <w:sz w:val="28"/>
          <w:szCs w:val="28"/>
          <w:lang w:eastAsia="en-US"/>
        </w:rPr>
        <w:t xml:space="preserve"> uz bīstamo vai kaitīgo vielu savākšanu un transportēšanu (piemēram, Eiropas Jūras drošības aģentūras (EMSA) izveidotajā tīmeklī </w:t>
      </w:r>
      <w:bookmarkStart w:id="1" w:name="OLE_LINK1"/>
      <w:r w:rsidRPr="00CF73E6">
        <w:rPr>
          <w:i/>
          <w:sz w:val="28"/>
          <w:szCs w:val="28"/>
          <w:lang w:eastAsia="en-US"/>
        </w:rPr>
        <w:t xml:space="preserve">MAR-ICE </w:t>
      </w:r>
      <w:proofErr w:type="spellStart"/>
      <w:r w:rsidRPr="00CF73E6">
        <w:rPr>
          <w:i/>
          <w:sz w:val="28"/>
          <w:szCs w:val="28"/>
          <w:lang w:eastAsia="en-US"/>
        </w:rPr>
        <w:t>Network</w:t>
      </w:r>
      <w:bookmarkEnd w:id="1"/>
      <w:proofErr w:type="spellEnd"/>
      <w:r w:rsidRPr="00CF73E6">
        <w:rPr>
          <w:sz w:val="28"/>
          <w:szCs w:val="28"/>
          <w:lang w:eastAsia="en-US"/>
        </w:rPr>
        <w:t xml:space="preserve">, </w:t>
      </w:r>
      <w:proofErr w:type="gramStart"/>
      <w:r w:rsidR="00D4347F">
        <w:rPr>
          <w:sz w:val="28"/>
          <w:szCs w:val="28"/>
          <w:lang w:eastAsia="en-US"/>
        </w:rPr>
        <w:t>kur</w:t>
      </w:r>
      <w:r w:rsidRPr="00CF73E6">
        <w:rPr>
          <w:sz w:val="28"/>
          <w:szCs w:val="28"/>
          <w:lang w:eastAsia="en-US"/>
        </w:rPr>
        <w:t xml:space="preserve"> operatīvi var iegūt informāciju no ķīmiskās industrijas</w:t>
      </w:r>
      <w:proofErr w:type="gramEnd"/>
      <w:r w:rsidRPr="00CF73E6">
        <w:rPr>
          <w:sz w:val="28"/>
          <w:szCs w:val="28"/>
          <w:lang w:eastAsia="en-US"/>
        </w:rPr>
        <w:t xml:space="preserve"> ekspertiem par reaģēšanu uz ķīmisko piesārņojumu Eiropas Savienības ūdeņos). EMSA atbalstu lūdz, izmantojot Eiropas Savienības Civilās aizsardzības mehānismu vai tieši, sazinoties ar Eiropas Komisijas Ārkārtas reaģēšanas koordinācijas centru (ERCC).</w:t>
      </w:r>
      <w:r w:rsidRPr="00CF73E6">
        <w:rPr>
          <w:b/>
          <w:i/>
          <w:sz w:val="28"/>
          <w:szCs w:val="28"/>
          <w:lang w:eastAsia="en-US"/>
        </w:rPr>
        <w:t xml:space="preserve"> </w:t>
      </w:r>
    </w:p>
    <w:p w14:paraId="777506B0" w14:textId="77777777" w:rsidR="00CF73E6" w:rsidRPr="00CF73E6" w:rsidRDefault="00CF73E6" w:rsidP="00CF73E6">
      <w:pPr>
        <w:ind w:right="-29"/>
        <w:jc w:val="both"/>
        <w:rPr>
          <w:b/>
          <w:i/>
          <w:sz w:val="28"/>
          <w:szCs w:val="28"/>
          <w:u w:val="single"/>
          <w:lang w:eastAsia="en-US"/>
        </w:rPr>
      </w:pPr>
    </w:p>
    <w:p w14:paraId="777506B1" w14:textId="77777777" w:rsidR="00CF73E6" w:rsidRPr="00CF73E6" w:rsidRDefault="00CF73E6" w:rsidP="00CF73E6">
      <w:pPr>
        <w:ind w:left="426" w:right="-29" w:firstLine="294"/>
        <w:jc w:val="both"/>
        <w:rPr>
          <w:sz w:val="28"/>
          <w:szCs w:val="28"/>
          <w:lang w:eastAsia="en-US"/>
        </w:rPr>
      </w:pPr>
      <w:r w:rsidRPr="00CF73E6">
        <w:rPr>
          <w:sz w:val="28"/>
          <w:szCs w:val="28"/>
          <w:u w:val="single"/>
          <w:lang w:eastAsia="en-US"/>
        </w:rPr>
        <w:t>Sakaru vadlīnijas</w:t>
      </w:r>
    </w:p>
    <w:p w14:paraId="777506B2" w14:textId="77777777" w:rsidR="00CF73E6" w:rsidRPr="00CF73E6" w:rsidRDefault="00CF73E6" w:rsidP="00CF73E6">
      <w:pPr>
        <w:ind w:left="576" w:right="-29"/>
        <w:jc w:val="both"/>
        <w:rPr>
          <w:sz w:val="28"/>
          <w:szCs w:val="28"/>
          <w:lang w:eastAsia="en-US"/>
        </w:rPr>
      </w:pPr>
    </w:p>
    <w:p w14:paraId="777506B3" w14:textId="695C1E06" w:rsidR="00CF73E6" w:rsidRPr="00CF73E6" w:rsidRDefault="009B780F" w:rsidP="00CF73E6">
      <w:pPr>
        <w:ind w:right="-29" w:firstLine="720"/>
        <w:jc w:val="both"/>
        <w:rPr>
          <w:sz w:val="28"/>
          <w:szCs w:val="28"/>
          <w:lang w:eastAsia="en-US"/>
        </w:rPr>
      </w:pPr>
      <w:r w:rsidRPr="009B780F">
        <w:rPr>
          <w:sz w:val="28"/>
          <w:szCs w:val="28"/>
          <w:lang w:eastAsia="en-US"/>
        </w:rPr>
        <w:t>Piesārņojuma seku</w:t>
      </w:r>
      <w:r w:rsidR="00CF73E6" w:rsidRPr="009B780F">
        <w:rPr>
          <w:sz w:val="28"/>
          <w:szCs w:val="28"/>
          <w:lang w:eastAsia="en-US"/>
        </w:rPr>
        <w:t xml:space="preserve"> </w:t>
      </w:r>
      <w:r w:rsidR="00CF73E6" w:rsidRPr="00CF73E6">
        <w:rPr>
          <w:sz w:val="28"/>
          <w:szCs w:val="28"/>
          <w:lang w:eastAsia="en-US"/>
        </w:rPr>
        <w:t xml:space="preserve">likvidācijas gadījumos, kad tiek iesaistītas divas vai vairākas </w:t>
      </w:r>
      <w:r w:rsidR="003242A6">
        <w:rPr>
          <w:sz w:val="28"/>
          <w:szCs w:val="28"/>
          <w:lang w:eastAsia="en-US"/>
        </w:rPr>
        <w:t>l</w:t>
      </w:r>
      <w:r w:rsidR="00CF73E6" w:rsidRPr="00CF73E6">
        <w:rPr>
          <w:sz w:val="28"/>
          <w:szCs w:val="28"/>
          <w:lang w:eastAsia="en-US"/>
        </w:rPr>
        <w:t xml:space="preserve">īgumslēdzējas puses, </w:t>
      </w:r>
      <w:r w:rsidR="003242A6">
        <w:rPr>
          <w:sz w:val="28"/>
          <w:szCs w:val="28"/>
          <w:lang w:eastAsia="en-US"/>
        </w:rPr>
        <w:t>tās</w:t>
      </w:r>
      <w:r w:rsidR="00CF73E6" w:rsidRPr="00CF73E6">
        <w:rPr>
          <w:sz w:val="28"/>
          <w:szCs w:val="28"/>
          <w:lang w:eastAsia="en-US"/>
        </w:rPr>
        <w:t xml:space="preserve"> ir tiesīgas norīkot ne vairāk kā divus sakaru virsniekus uz attiecīgajiem par seku likvidācijas pasākumiem atbild</w:t>
      </w:r>
      <w:r w:rsidR="00CF73E6">
        <w:rPr>
          <w:sz w:val="28"/>
          <w:szCs w:val="28"/>
          <w:lang w:eastAsia="en-US"/>
        </w:rPr>
        <w:t>īgajiem nacionālajiem centriem.</w:t>
      </w:r>
    </w:p>
    <w:p w14:paraId="777506B4" w14:textId="414F3941" w:rsidR="00CF73E6" w:rsidRPr="00CF73E6" w:rsidRDefault="00CF73E6" w:rsidP="00CF73E6">
      <w:pPr>
        <w:ind w:right="-29" w:firstLine="720"/>
        <w:jc w:val="both"/>
        <w:rPr>
          <w:sz w:val="28"/>
          <w:szCs w:val="28"/>
          <w:lang w:eastAsia="en-US"/>
        </w:rPr>
      </w:pPr>
      <w:r w:rsidRPr="00CF73E6">
        <w:rPr>
          <w:sz w:val="28"/>
          <w:szCs w:val="28"/>
          <w:lang w:eastAsia="en-US"/>
        </w:rPr>
        <w:t xml:space="preserve">Sakaru virsnieku apmaiņa nav atkarīga no tā, </w:t>
      </w:r>
      <w:proofErr w:type="gramStart"/>
      <w:r w:rsidRPr="00CF73E6">
        <w:rPr>
          <w:sz w:val="28"/>
          <w:szCs w:val="28"/>
          <w:lang w:eastAsia="en-US"/>
        </w:rPr>
        <w:t>vai seku likvidācijas operācijas tiek veiktas t</w:t>
      </w:r>
      <w:r w:rsidR="0016459E">
        <w:rPr>
          <w:sz w:val="28"/>
          <w:szCs w:val="28"/>
          <w:lang w:eastAsia="en-US"/>
        </w:rPr>
        <w:t>ikai ar nacionālajiem resursiem</w:t>
      </w:r>
      <w:proofErr w:type="gramEnd"/>
      <w:r w:rsidRPr="00CF73E6">
        <w:rPr>
          <w:sz w:val="28"/>
          <w:szCs w:val="28"/>
          <w:lang w:eastAsia="en-US"/>
        </w:rPr>
        <w:t xml:space="preserve"> vai iesaistot aizdotu aprīkojumu un ar citu </w:t>
      </w:r>
      <w:r w:rsidR="003242A6">
        <w:rPr>
          <w:sz w:val="28"/>
          <w:szCs w:val="28"/>
          <w:lang w:eastAsia="en-US"/>
        </w:rPr>
        <w:t>l</w:t>
      </w:r>
      <w:r w:rsidRPr="00CF73E6">
        <w:rPr>
          <w:sz w:val="28"/>
          <w:szCs w:val="28"/>
          <w:lang w:eastAsia="en-US"/>
        </w:rPr>
        <w:t>īgu</w:t>
      </w:r>
      <w:r>
        <w:rPr>
          <w:sz w:val="28"/>
          <w:szCs w:val="28"/>
          <w:lang w:eastAsia="en-US"/>
        </w:rPr>
        <w:t>mslēdzēju pušu cilvēkresursiem.</w:t>
      </w:r>
    </w:p>
    <w:p w14:paraId="777506B5" w14:textId="77777777" w:rsidR="00CF73E6" w:rsidRPr="00CF73E6" w:rsidRDefault="00CF73E6" w:rsidP="00CF73E6">
      <w:pPr>
        <w:ind w:right="-29" w:firstLine="720"/>
        <w:jc w:val="both"/>
        <w:rPr>
          <w:sz w:val="28"/>
          <w:szCs w:val="28"/>
          <w:lang w:eastAsia="en-US"/>
        </w:rPr>
      </w:pPr>
      <w:r w:rsidRPr="00CF73E6">
        <w:rPr>
          <w:sz w:val="28"/>
          <w:szCs w:val="28"/>
          <w:lang w:eastAsia="en-US"/>
        </w:rPr>
        <w:t>Sakaru virsniekiem ir tiesības piedalīties sanāksmēs un konferencēs par seku likvidācijas operācijām, ja vien runa nav par šauri iekšējām valsts interes</w:t>
      </w:r>
      <w:r>
        <w:rPr>
          <w:sz w:val="28"/>
          <w:szCs w:val="28"/>
          <w:lang w:eastAsia="en-US"/>
        </w:rPr>
        <w:t>ēm.</w:t>
      </w:r>
    </w:p>
    <w:p w14:paraId="777506B6" w14:textId="150EF1F5" w:rsidR="00CF73E6" w:rsidRPr="00CF73E6" w:rsidRDefault="00CF73E6" w:rsidP="00CF73E6">
      <w:pPr>
        <w:ind w:right="-29" w:firstLine="720"/>
        <w:jc w:val="both"/>
        <w:rPr>
          <w:sz w:val="28"/>
          <w:szCs w:val="28"/>
          <w:lang w:eastAsia="en-US"/>
        </w:rPr>
      </w:pPr>
      <w:r w:rsidRPr="00CF73E6">
        <w:rPr>
          <w:sz w:val="28"/>
          <w:szCs w:val="28"/>
          <w:lang w:eastAsia="en-US"/>
        </w:rPr>
        <w:t xml:space="preserve">Sakaru virsnieki, </w:t>
      </w:r>
      <w:r w:rsidR="003242A6">
        <w:rPr>
          <w:sz w:val="28"/>
          <w:szCs w:val="28"/>
          <w:lang w:eastAsia="en-US"/>
        </w:rPr>
        <w:t>ja</w:t>
      </w:r>
      <w:r w:rsidRPr="00CF73E6">
        <w:rPr>
          <w:sz w:val="28"/>
          <w:szCs w:val="28"/>
          <w:lang w:eastAsia="en-US"/>
        </w:rPr>
        <w:t xml:space="preserve"> aplūkojamais jautājums </w:t>
      </w:r>
      <w:r w:rsidR="003242A6">
        <w:rPr>
          <w:sz w:val="28"/>
          <w:szCs w:val="28"/>
          <w:lang w:eastAsia="en-US"/>
        </w:rPr>
        <w:t>attiecas uz</w:t>
      </w:r>
      <w:r w:rsidRPr="00CF73E6">
        <w:rPr>
          <w:sz w:val="28"/>
          <w:szCs w:val="28"/>
          <w:lang w:eastAsia="en-US"/>
        </w:rPr>
        <w:t xml:space="preserve"> viņu valsts teritoriju, sanāksmju laikā sniedz ieteikumus un paziņojumus par jautājumiem, kas skar tieši seku likvidāc</w:t>
      </w:r>
      <w:r w:rsidR="003242A6">
        <w:rPr>
          <w:sz w:val="28"/>
          <w:szCs w:val="28"/>
          <w:lang w:eastAsia="en-US"/>
        </w:rPr>
        <w:t>iju</w:t>
      </w:r>
      <w:r w:rsidR="0016459E">
        <w:rPr>
          <w:sz w:val="28"/>
          <w:szCs w:val="28"/>
          <w:lang w:eastAsia="en-US"/>
        </w:rPr>
        <w:t>,</w:t>
      </w:r>
      <w:r w:rsidR="003242A6">
        <w:rPr>
          <w:sz w:val="28"/>
          <w:szCs w:val="28"/>
          <w:lang w:eastAsia="en-US"/>
        </w:rPr>
        <w:t xml:space="preserve"> resursu sadalījumu utt.</w:t>
      </w:r>
    </w:p>
    <w:p w14:paraId="777506B7" w14:textId="77777777" w:rsidR="00CF73E6" w:rsidRPr="00CF73E6" w:rsidRDefault="00CF73E6" w:rsidP="00CF73E6">
      <w:pPr>
        <w:ind w:right="-29" w:firstLine="720"/>
        <w:jc w:val="both"/>
        <w:rPr>
          <w:sz w:val="28"/>
          <w:szCs w:val="28"/>
          <w:lang w:eastAsia="en-US"/>
        </w:rPr>
      </w:pPr>
      <w:r w:rsidRPr="00CF73E6">
        <w:rPr>
          <w:sz w:val="28"/>
          <w:szCs w:val="28"/>
          <w:lang w:eastAsia="en-US"/>
        </w:rPr>
        <w:t xml:space="preserve">Uz sakaru virsniekiem attiecas tās pašas </w:t>
      </w:r>
      <w:proofErr w:type="spellStart"/>
      <w:r w:rsidRPr="00CF73E6">
        <w:rPr>
          <w:sz w:val="28"/>
          <w:szCs w:val="28"/>
          <w:lang w:eastAsia="en-US"/>
        </w:rPr>
        <w:t>diskrēcijas</w:t>
      </w:r>
      <w:proofErr w:type="spellEnd"/>
      <w:r w:rsidRPr="00CF73E6">
        <w:rPr>
          <w:sz w:val="28"/>
          <w:szCs w:val="28"/>
          <w:lang w:eastAsia="en-US"/>
        </w:rPr>
        <w:t xml:space="preserve"> saistības, kas uz paša centra personālu, bet tiem nav ierobežojumu attiecībā uz ziņojumu saturu savām nacionālajām</w:t>
      </w:r>
      <w:r>
        <w:rPr>
          <w:sz w:val="28"/>
          <w:szCs w:val="28"/>
          <w:lang w:eastAsia="en-US"/>
        </w:rPr>
        <w:t xml:space="preserve"> valsts pārvaldes institūcijām.</w:t>
      </w:r>
    </w:p>
    <w:p w14:paraId="777506B8" w14:textId="591F45F4" w:rsidR="00CF73E6" w:rsidRPr="00CF73E6" w:rsidRDefault="00CF73E6" w:rsidP="00CF73E6">
      <w:pPr>
        <w:ind w:right="-29" w:firstLine="720"/>
        <w:jc w:val="both"/>
        <w:rPr>
          <w:sz w:val="28"/>
          <w:szCs w:val="28"/>
          <w:lang w:eastAsia="en-US"/>
        </w:rPr>
      </w:pPr>
      <w:r w:rsidRPr="00CF73E6">
        <w:rPr>
          <w:sz w:val="28"/>
          <w:szCs w:val="28"/>
          <w:lang w:eastAsia="en-US"/>
        </w:rPr>
        <w:lastRenderedPageBreak/>
        <w:t xml:space="preserve">Sakaru virsniekiem nav administratīvu saistību pret tos uzņēmušo valsti, izņemot tās, ko uzņēmusī valsts izvirzījusi pašai centrāles funkcionēšanai. Sakaru virsniekam pašam jāgādā par savu izmitināšanu, ēdināšanu utt. Sakaru virsniekam iespēju robežās nodrošina pieeju tālrunim un telefaksam. Sakaru virsnieka funkcijas ir divpusējas, lai viņa pārstāvētā valsts spētu </w:t>
      </w:r>
      <w:r w:rsidR="003242A6">
        <w:rPr>
          <w:sz w:val="28"/>
          <w:szCs w:val="28"/>
          <w:lang w:eastAsia="en-US"/>
        </w:rPr>
        <w:t>informēt par</w:t>
      </w:r>
      <w:r w:rsidRPr="00CF73E6">
        <w:rPr>
          <w:sz w:val="28"/>
          <w:szCs w:val="28"/>
          <w:lang w:eastAsia="en-US"/>
        </w:rPr>
        <w:t xml:space="preserve"> savu viedokli un vēlm</w:t>
      </w:r>
      <w:r w:rsidR="003242A6">
        <w:rPr>
          <w:sz w:val="28"/>
          <w:szCs w:val="28"/>
          <w:lang w:eastAsia="en-US"/>
        </w:rPr>
        <w:t>ēm,</w:t>
      </w:r>
      <w:r w:rsidRPr="00CF73E6">
        <w:rPr>
          <w:sz w:val="28"/>
          <w:szCs w:val="28"/>
          <w:lang w:eastAsia="en-US"/>
        </w:rPr>
        <w:t xml:space="preserve"> </w:t>
      </w:r>
      <w:r w:rsidR="003242A6">
        <w:rPr>
          <w:sz w:val="28"/>
          <w:szCs w:val="28"/>
          <w:lang w:eastAsia="en-US"/>
        </w:rPr>
        <w:t>ī</w:t>
      </w:r>
      <w:r w:rsidRPr="00CF73E6">
        <w:rPr>
          <w:sz w:val="28"/>
          <w:szCs w:val="28"/>
          <w:lang w:eastAsia="en-US"/>
        </w:rPr>
        <w:t>paši gadījumos, kas prasa vienotu rīcību vai aizdotu aprīkojumu</w:t>
      </w:r>
      <w:r w:rsidR="003242A6">
        <w:rPr>
          <w:sz w:val="28"/>
          <w:szCs w:val="28"/>
          <w:lang w:eastAsia="en-US"/>
        </w:rPr>
        <w:t>.</w:t>
      </w:r>
      <w:r w:rsidRPr="00CF73E6">
        <w:rPr>
          <w:sz w:val="28"/>
          <w:szCs w:val="28"/>
          <w:lang w:eastAsia="en-US"/>
        </w:rPr>
        <w:t xml:space="preserve"> </w:t>
      </w:r>
      <w:r w:rsidR="003242A6" w:rsidRPr="00CF73E6">
        <w:rPr>
          <w:sz w:val="28"/>
          <w:szCs w:val="28"/>
          <w:lang w:eastAsia="en-US"/>
        </w:rPr>
        <w:t xml:space="preserve">Šai </w:t>
      </w:r>
      <w:r w:rsidRPr="00CF73E6">
        <w:rPr>
          <w:sz w:val="28"/>
          <w:szCs w:val="28"/>
          <w:lang w:eastAsia="en-US"/>
        </w:rPr>
        <w:t>divkanālu f</w:t>
      </w:r>
      <w:r>
        <w:rPr>
          <w:sz w:val="28"/>
          <w:szCs w:val="28"/>
          <w:lang w:eastAsia="en-US"/>
        </w:rPr>
        <w:t>unkcijai ir neatsverama nozīme.</w:t>
      </w:r>
    </w:p>
    <w:p w14:paraId="777506B9" w14:textId="39F79206" w:rsidR="00CF73E6" w:rsidRPr="00CF73E6" w:rsidRDefault="00CF73E6" w:rsidP="00CF73E6">
      <w:pPr>
        <w:ind w:right="-29" w:firstLine="720"/>
        <w:jc w:val="both"/>
        <w:rPr>
          <w:sz w:val="28"/>
          <w:szCs w:val="28"/>
          <w:lang w:eastAsia="en-US"/>
        </w:rPr>
      </w:pPr>
      <w:r w:rsidRPr="00CF73E6">
        <w:rPr>
          <w:sz w:val="28"/>
          <w:szCs w:val="28"/>
          <w:lang w:eastAsia="en-US"/>
        </w:rPr>
        <w:t xml:space="preserve">Sakaru virsnieki </w:t>
      </w:r>
      <w:r w:rsidR="003242A6" w:rsidRPr="00CF73E6">
        <w:rPr>
          <w:sz w:val="28"/>
          <w:szCs w:val="28"/>
          <w:lang w:eastAsia="en-US"/>
        </w:rPr>
        <w:t xml:space="preserve">ar savām nacionālajām valsts pārvaldes institūcijām </w:t>
      </w:r>
      <w:r w:rsidRPr="00CF73E6">
        <w:rPr>
          <w:sz w:val="28"/>
          <w:szCs w:val="28"/>
          <w:lang w:eastAsia="en-US"/>
        </w:rPr>
        <w:t>koordinē izlūkošanas aktivitātes ar lidmašīnām un helikopteriem,</w:t>
      </w:r>
      <w:r>
        <w:rPr>
          <w:sz w:val="28"/>
          <w:szCs w:val="28"/>
          <w:lang w:eastAsia="en-US"/>
        </w:rPr>
        <w:t xml:space="preserve"> novēršot funkciju pārklāšanos.</w:t>
      </w:r>
    </w:p>
    <w:p w14:paraId="777506BA" w14:textId="77777777" w:rsidR="00CF73E6" w:rsidRPr="00CF73E6" w:rsidRDefault="00CF73E6" w:rsidP="00CF73E6">
      <w:pPr>
        <w:ind w:right="-29" w:firstLine="720"/>
        <w:jc w:val="both"/>
        <w:rPr>
          <w:sz w:val="28"/>
          <w:szCs w:val="28"/>
          <w:lang w:eastAsia="en-US"/>
        </w:rPr>
      </w:pPr>
      <w:r w:rsidRPr="00CF73E6">
        <w:rPr>
          <w:sz w:val="28"/>
          <w:szCs w:val="28"/>
          <w:lang w:eastAsia="en-US"/>
        </w:rPr>
        <w:t xml:space="preserve">Ja divas valstis, kuras skāris tas pats piesārņojums, izlemj neizmantot sakaru virsniekus, tām noteikti </w:t>
      </w:r>
      <w:r>
        <w:rPr>
          <w:sz w:val="28"/>
          <w:szCs w:val="28"/>
          <w:lang w:eastAsia="en-US"/>
        </w:rPr>
        <w:t>jāapmainās ikdienas ziņojumiem.</w:t>
      </w:r>
    </w:p>
    <w:p w14:paraId="777506BB" w14:textId="796504D0" w:rsidR="00D9106F" w:rsidRDefault="00CF73E6" w:rsidP="003242A6">
      <w:pPr>
        <w:jc w:val="both"/>
        <w:rPr>
          <w:sz w:val="28"/>
          <w:szCs w:val="28"/>
          <w:lang w:eastAsia="en-US"/>
        </w:rPr>
      </w:pPr>
      <w:r w:rsidRPr="00CF73E6">
        <w:rPr>
          <w:sz w:val="28"/>
          <w:szCs w:val="28"/>
          <w:lang w:eastAsia="en-US"/>
        </w:rPr>
        <w:t>Virsvadības komandieris (SOSC) un nacionālais komandieris (NOSC) sazinās pēc vajadzības.</w:t>
      </w:r>
      <w:r w:rsidR="0016459E">
        <w:rPr>
          <w:sz w:val="28"/>
          <w:szCs w:val="28"/>
          <w:lang w:eastAsia="en-US"/>
        </w:rPr>
        <w:t>"</w:t>
      </w:r>
    </w:p>
    <w:p w14:paraId="4972C0A5" w14:textId="77777777" w:rsidR="00F371DE" w:rsidRPr="00C514FD" w:rsidRDefault="00F371DE" w:rsidP="00B34F08">
      <w:pPr>
        <w:pStyle w:val="naisf"/>
        <w:tabs>
          <w:tab w:val="right" w:pos="9000"/>
        </w:tabs>
        <w:spacing w:before="0" w:after="0"/>
        <w:ind w:firstLine="709"/>
        <w:rPr>
          <w:sz w:val="28"/>
          <w:szCs w:val="28"/>
        </w:rPr>
      </w:pPr>
    </w:p>
    <w:p w14:paraId="5255562D" w14:textId="77777777" w:rsidR="00F371DE" w:rsidRPr="00C514FD" w:rsidRDefault="00F371DE" w:rsidP="00B34F08">
      <w:pPr>
        <w:pStyle w:val="naisf"/>
        <w:tabs>
          <w:tab w:val="right" w:pos="9000"/>
        </w:tabs>
        <w:spacing w:before="0" w:after="0"/>
        <w:ind w:firstLine="709"/>
        <w:rPr>
          <w:sz w:val="28"/>
          <w:szCs w:val="28"/>
        </w:rPr>
      </w:pPr>
    </w:p>
    <w:p w14:paraId="2ED7ED31" w14:textId="77777777" w:rsidR="00F371DE" w:rsidRPr="00C514FD" w:rsidRDefault="00F371DE" w:rsidP="00B34F08">
      <w:pPr>
        <w:pStyle w:val="naisf"/>
        <w:tabs>
          <w:tab w:val="right" w:pos="9000"/>
        </w:tabs>
        <w:spacing w:before="0" w:after="0"/>
        <w:ind w:firstLine="709"/>
        <w:rPr>
          <w:sz w:val="28"/>
          <w:szCs w:val="28"/>
        </w:rPr>
      </w:pPr>
    </w:p>
    <w:p w14:paraId="6DBBE89D" w14:textId="77777777" w:rsidR="00885690" w:rsidRDefault="00885690" w:rsidP="00885690">
      <w:pPr>
        <w:tabs>
          <w:tab w:val="left" w:pos="6521"/>
          <w:tab w:val="right" w:pos="8820"/>
        </w:tabs>
        <w:ind w:firstLine="720"/>
        <w:rPr>
          <w:sz w:val="28"/>
          <w:szCs w:val="28"/>
        </w:rPr>
      </w:pPr>
      <w:r>
        <w:rPr>
          <w:sz w:val="28"/>
          <w:szCs w:val="28"/>
        </w:rPr>
        <w:t xml:space="preserve">Vides aizsardzības un </w:t>
      </w:r>
    </w:p>
    <w:p w14:paraId="5CD7B250" w14:textId="77777777" w:rsidR="00885690" w:rsidRDefault="00885690" w:rsidP="00885690">
      <w:pPr>
        <w:tabs>
          <w:tab w:val="left" w:pos="6521"/>
          <w:tab w:val="right" w:pos="8820"/>
        </w:tabs>
        <w:ind w:firstLine="720"/>
        <w:rPr>
          <w:sz w:val="28"/>
          <w:szCs w:val="28"/>
        </w:rPr>
      </w:pPr>
      <w:r>
        <w:rPr>
          <w:sz w:val="28"/>
          <w:szCs w:val="28"/>
        </w:rPr>
        <w:t>reģionālās attīstības ministra vietā –</w:t>
      </w:r>
    </w:p>
    <w:p w14:paraId="59E09AD3" w14:textId="77777777" w:rsidR="00885690" w:rsidRDefault="00885690" w:rsidP="00885690">
      <w:pPr>
        <w:tabs>
          <w:tab w:val="left" w:pos="6804"/>
          <w:tab w:val="right" w:pos="8820"/>
        </w:tabs>
        <w:ind w:firstLine="709"/>
        <w:rPr>
          <w:sz w:val="28"/>
          <w:szCs w:val="28"/>
        </w:rPr>
      </w:pPr>
      <w:r>
        <w:rPr>
          <w:sz w:val="28"/>
          <w:szCs w:val="28"/>
        </w:rPr>
        <w:t>tieslietu ministrs</w:t>
      </w:r>
      <w:r>
        <w:rPr>
          <w:sz w:val="28"/>
          <w:szCs w:val="28"/>
        </w:rPr>
        <w:tab/>
        <w:t>Dzintars Rasnačs</w:t>
      </w:r>
    </w:p>
    <w:sectPr w:rsidR="00885690" w:rsidSect="00F371DE">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506C2" w14:textId="77777777" w:rsidR="00716CF5" w:rsidRDefault="00716CF5" w:rsidP="00042599">
      <w:r>
        <w:separator/>
      </w:r>
    </w:p>
  </w:endnote>
  <w:endnote w:type="continuationSeparator" w:id="0">
    <w:p w14:paraId="777506C3" w14:textId="77777777" w:rsidR="00716CF5" w:rsidRDefault="00716CF5" w:rsidP="0004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06F18" w14:textId="77777777" w:rsidR="00F371DE" w:rsidRPr="00F371DE" w:rsidRDefault="00F371DE" w:rsidP="00F371DE">
    <w:pPr>
      <w:pStyle w:val="Footer"/>
      <w:rPr>
        <w:sz w:val="16"/>
        <w:szCs w:val="16"/>
      </w:rPr>
    </w:pPr>
    <w:r>
      <w:rPr>
        <w:sz w:val="16"/>
        <w:szCs w:val="16"/>
      </w:rPr>
      <w:t>R0665_7p2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478F" w14:textId="1EADF4EB" w:rsidR="00F371DE" w:rsidRPr="00F371DE" w:rsidRDefault="00F371DE">
    <w:pPr>
      <w:pStyle w:val="Footer"/>
      <w:rPr>
        <w:sz w:val="16"/>
        <w:szCs w:val="16"/>
      </w:rPr>
    </w:pPr>
    <w:r>
      <w:rPr>
        <w:sz w:val="16"/>
        <w:szCs w:val="16"/>
      </w:rPr>
      <w:t>R0665_7p2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506C0" w14:textId="77777777" w:rsidR="00716CF5" w:rsidRDefault="00716CF5" w:rsidP="00042599">
      <w:r>
        <w:separator/>
      </w:r>
    </w:p>
  </w:footnote>
  <w:footnote w:type="continuationSeparator" w:id="0">
    <w:p w14:paraId="777506C1" w14:textId="77777777" w:rsidR="00716CF5" w:rsidRDefault="00716CF5" w:rsidP="0004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614909"/>
      <w:docPartObj>
        <w:docPartGallery w:val="Page Numbers (Top of Page)"/>
        <w:docPartUnique/>
      </w:docPartObj>
    </w:sdtPr>
    <w:sdtEndPr>
      <w:rPr>
        <w:noProof/>
      </w:rPr>
    </w:sdtEndPr>
    <w:sdtContent>
      <w:p w14:paraId="777506C4" w14:textId="77777777" w:rsidR="00042599" w:rsidRDefault="00042599">
        <w:pPr>
          <w:pStyle w:val="Header"/>
          <w:jc w:val="center"/>
        </w:pPr>
        <w:r>
          <w:fldChar w:fldCharType="begin"/>
        </w:r>
        <w:r>
          <w:instrText xml:space="preserve"> PAGE   \* MERGEFORMAT </w:instrText>
        </w:r>
        <w:r>
          <w:fldChar w:fldCharType="separate"/>
        </w:r>
        <w:r w:rsidR="00CE1D7C">
          <w:rPr>
            <w:noProof/>
          </w:rPr>
          <w:t>4</w:t>
        </w:r>
        <w:r>
          <w:rPr>
            <w:noProof/>
          </w:rPr>
          <w:fldChar w:fldCharType="end"/>
        </w:r>
      </w:p>
    </w:sdtContent>
  </w:sdt>
  <w:p w14:paraId="777506C5" w14:textId="77777777" w:rsidR="00042599" w:rsidRDefault="00042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E6"/>
    <w:rsid w:val="00042599"/>
    <w:rsid w:val="000930EA"/>
    <w:rsid w:val="00155765"/>
    <w:rsid w:val="0016459E"/>
    <w:rsid w:val="00227F22"/>
    <w:rsid w:val="00234674"/>
    <w:rsid w:val="003242A6"/>
    <w:rsid w:val="00414932"/>
    <w:rsid w:val="004A5972"/>
    <w:rsid w:val="00716CF5"/>
    <w:rsid w:val="00885690"/>
    <w:rsid w:val="009511CA"/>
    <w:rsid w:val="00983B5A"/>
    <w:rsid w:val="009B780F"/>
    <w:rsid w:val="009D79FA"/>
    <w:rsid w:val="00CE1D7C"/>
    <w:rsid w:val="00CF73E6"/>
    <w:rsid w:val="00D4347F"/>
    <w:rsid w:val="00D9106F"/>
    <w:rsid w:val="00F37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9FA"/>
    <w:rPr>
      <w:rFonts w:ascii="Tahoma" w:hAnsi="Tahoma" w:cs="Tahoma"/>
      <w:sz w:val="16"/>
      <w:szCs w:val="16"/>
    </w:rPr>
  </w:style>
  <w:style w:type="character" w:customStyle="1" w:styleId="BalloonTextChar">
    <w:name w:val="Balloon Text Char"/>
    <w:basedOn w:val="DefaultParagraphFont"/>
    <w:link w:val="BalloonText"/>
    <w:uiPriority w:val="99"/>
    <w:semiHidden/>
    <w:rsid w:val="009D79FA"/>
    <w:rPr>
      <w:rFonts w:ascii="Tahoma" w:eastAsia="Times New Roman" w:hAnsi="Tahoma" w:cs="Tahoma"/>
      <w:sz w:val="16"/>
      <w:szCs w:val="16"/>
      <w:lang w:eastAsia="lv-LV"/>
    </w:rPr>
  </w:style>
  <w:style w:type="paragraph" w:styleId="Header">
    <w:name w:val="header"/>
    <w:basedOn w:val="Normal"/>
    <w:link w:val="HeaderChar"/>
    <w:uiPriority w:val="99"/>
    <w:unhideWhenUsed/>
    <w:rsid w:val="00042599"/>
    <w:pPr>
      <w:tabs>
        <w:tab w:val="center" w:pos="4153"/>
        <w:tab w:val="right" w:pos="8306"/>
      </w:tabs>
    </w:pPr>
  </w:style>
  <w:style w:type="character" w:customStyle="1" w:styleId="HeaderChar">
    <w:name w:val="Header Char"/>
    <w:basedOn w:val="DefaultParagraphFont"/>
    <w:link w:val="Header"/>
    <w:uiPriority w:val="99"/>
    <w:rsid w:val="000425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2599"/>
    <w:pPr>
      <w:tabs>
        <w:tab w:val="center" w:pos="4153"/>
        <w:tab w:val="right" w:pos="8306"/>
      </w:tabs>
    </w:pPr>
  </w:style>
  <w:style w:type="character" w:customStyle="1" w:styleId="FooterChar">
    <w:name w:val="Footer Char"/>
    <w:basedOn w:val="DefaultParagraphFont"/>
    <w:link w:val="Footer"/>
    <w:uiPriority w:val="99"/>
    <w:rsid w:val="00042599"/>
    <w:rPr>
      <w:rFonts w:ascii="Times New Roman" w:eastAsia="Times New Roman" w:hAnsi="Times New Roman" w:cs="Times New Roman"/>
      <w:sz w:val="24"/>
      <w:szCs w:val="24"/>
      <w:lang w:eastAsia="lv-LV"/>
    </w:rPr>
  </w:style>
  <w:style w:type="paragraph" w:customStyle="1" w:styleId="naisf">
    <w:name w:val="naisf"/>
    <w:basedOn w:val="Normal"/>
    <w:rsid w:val="00F371DE"/>
    <w:pPr>
      <w:spacing w:before="75" w:after="75"/>
      <w:ind w:firstLine="375"/>
      <w:jc w:val="both"/>
    </w:pPr>
  </w:style>
  <w:style w:type="paragraph" w:styleId="NormalWeb">
    <w:name w:val="Normal (Web)"/>
    <w:basedOn w:val="Normal"/>
    <w:uiPriority w:val="99"/>
    <w:semiHidden/>
    <w:unhideWhenUsed/>
    <w:rsid w:val="00155765"/>
    <w:pPr>
      <w:spacing w:before="100" w:beforeAutospacing="1" w:after="100" w:afterAutospacing="1"/>
    </w:pPr>
  </w:style>
  <w:style w:type="character" w:customStyle="1" w:styleId="apple-converted-space">
    <w:name w:val="apple-converted-space"/>
    <w:basedOn w:val="DefaultParagraphFont"/>
    <w:rsid w:val="00155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9FA"/>
    <w:rPr>
      <w:rFonts w:ascii="Tahoma" w:hAnsi="Tahoma" w:cs="Tahoma"/>
      <w:sz w:val="16"/>
      <w:szCs w:val="16"/>
    </w:rPr>
  </w:style>
  <w:style w:type="character" w:customStyle="1" w:styleId="BalloonTextChar">
    <w:name w:val="Balloon Text Char"/>
    <w:basedOn w:val="DefaultParagraphFont"/>
    <w:link w:val="BalloonText"/>
    <w:uiPriority w:val="99"/>
    <w:semiHidden/>
    <w:rsid w:val="009D79FA"/>
    <w:rPr>
      <w:rFonts w:ascii="Tahoma" w:eastAsia="Times New Roman" w:hAnsi="Tahoma" w:cs="Tahoma"/>
      <w:sz w:val="16"/>
      <w:szCs w:val="16"/>
      <w:lang w:eastAsia="lv-LV"/>
    </w:rPr>
  </w:style>
  <w:style w:type="paragraph" w:styleId="Header">
    <w:name w:val="header"/>
    <w:basedOn w:val="Normal"/>
    <w:link w:val="HeaderChar"/>
    <w:uiPriority w:val="99"/>
    <w:unhideWhenUsed/>
    <w:rsid w:val="00042599"/>
    <w:pPr>
      <w:tabs>
        <w:tab w:val="center" w:pos="4153"/>
        <w:tab w:val="right" w:pos="8306"/>
      </w:tabs>
    </w:pPr>
  </w:style>
  <w:style w:type="character" w:customStyle="1" w:styleId="HeaderChar">
    <w:name w:val="Header Char"/>
    <w:basedOn w:val="DefaultParagraphFont"/>
    <w:link w:val="Header"/>
    <w:uiPriority w:val="99"/>
    <w:rsid w:val="000425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2599"/>
    <w:pPr>
      <w:tabs>
        <w:tab w:val="center" w:pos="4153"/>
        <w:tab w:val="right" w:pos="8306"/>
      </w:tabs>
    </w:pPr>
  </w:style>
  <w:style w:type="character" w:customStyle="1" w:styleId="FooterChar">
    <w:name w:val="Footer Char"/>
    <w:basedOn w:val="DefaultParagraphFont"/>
    <w:link w:val="Footer"/>
    <w:uiPriority w:val="99"/>
    <w:rsid w:val="00042599"/>
    <w:rPr>
      <w:rFonts w:ascii="Times New Roman" w:eastAsia="Times New Roman" w:hAnsi="Times New Roman" w:cs="Times New Roman"/>
      <w:sz w:val="24"/>
      <w:szCs w:val="24"/>
      <w:lang w:eastAsia="lv-LV"/>
    </w:rPr>
  </w:style>
  <w:style w:type="paragraph" w:customStyle="1" w:styleId="naisf">
    <w:name w:val="naisf"/>
    <w:basedOn w:val="Normal"/>
    <w:rsid w:val="00F371DE"/>
    <w:pPr>
      <w:spacing w:before="75" w:after="75"/>
      <w:ind w:firstLine="375"/>
      <w:jc w:val="both"/>
    </w:pPr>
  </w:style>
  <w:style w:type="paragraph" w:styleId="NormalWeb">
    <w:name w:val="Normal (Web)"/>
    <w:basedOn w:val="Normal"/>
    <w:uiPriority w:val="99"/>
    <w:semiHidden/>
    <w:unhideWhenUsed/>
    <w:rsid w:val="00155765"/>
    <w:pPr>
      <w:spacing w:before="100" w:beforeAutospacing="1" w:after="100" w:afterAutospacing="1"/>
    </w:pPr>
  </w:style>
  <w:style w:type="character" w:customStyle="1" w:styleId="apple-converted-space">
    <w:name w:val="apple-converted-space"/>
    <w:basedOn w:val="DefaultParagraphFont"/>
    <w:rsid w:val="0015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9271">
      <w:bodyDiv w:val="1"/>
      <w:marLeft w:val="0"/>
      <w:marRight w:val="0"/>
      <w:marTop w:val="0"/>
      <w:marBottom w:val="0"/>
      <w:divBdr>
        <w:top w:val="none" w:sz="0" w:space="0" w:color="auto"/>
        <w:left w:val="none" w:sz="0" w:space="0" w:color="auto"/>
        <w:bottom w:val="none" w:sz="0" w:space="0" w:color="auto"/>
        <w:right w:val="none" w:sz="0" w:space="0" w:color="auto"/>
      </w:divBdr>
    </w:div>
    <w:div w:id="51485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5577</Words>
  <Characters>3179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Pudelis</dc:creator>
  <cp:lastModifiedBy>Leontīne Babkina</cp:lastModifiedBy>
  <cp:revision>12</cp:revision>
  <cp:lastPrinted>2017-04-12T11:44:00Z</cp:lastPrinted>
  <dcterms:created xsi:type="dcterms:W3CDTF">2017-04-04T10:41:00Z</dcterms:created>
  <dcterms:modified xsi:type="dcterms:W3CDTF">2017-04-26T10:24:00Z</dcterms:modified>
</cp:coreProperties>
</file>