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F" w:rsidRPr="00E63395" w:rsidRDefault="003E7ECF" w:rsidP="00E63395">
      <w:pPr>
        <w:spacing w:after="0" w:line="240" w:lineRule="auto"/>
        <w:ind w:firstLine="300"/>
        <w:jc w:val="center"/>
        <w:rPr>
          <w:rFonts w:ascii="Times New Roman" w:eastAsia="Times New Roman" w:hAnsi="Times New Roman" w:cs="Times New Roman"/>
          <w:b/>
          <w:bCs/>
          <w:sz w:val="24"/>
          <w:szCs w:val="24"/>
          <w:lang w:eastAsia="lv-LV"/>
        </w:rPr>
      </w:pPr>
      <w:r w:rsidRPr="00E63395">
        <w:rPr>
          <w:rFonts w:ascii="Times New Roman" w:eastAsia="Times New Roman" w:hAnsi="Times New Roman" w:cs="Times New Roman"/>
          <w:b/>
          <w:bCs/>
          <w:sz w:val="24"/>
          <w:szCs w:val="24"/>
          <w:lang w:eastAsia="lv-LV"/>
        </w:rPr>
        <w:t>Likumprojekta „Grozījumi Civilprocesa likumā” sākotnējās ietekmes novērtējuma ziņojums (anotācija)</w:t>
      </w:r>
    </w:p>
    <w:p w:rsidR="003E7ECF" w:rsidRPr="00E63395" w:rsidRDefault="003E7ECF" w:rsidP="00E63395">
      <w:pPr>
        <w:spacing w:after="0" w:line="240" w:lineRule="auto"/>
        <w:ind w:firstLine="300"/>
        <w:jc w:val="center"/>
        <w:rPr>
          <w:rFonts w:ascii="Times New Roman" w:eastAsia="Times New Roman" w:hAnsi="Times New Roman" w:cs="Times New Roman"/>
          <w:b/>
          <w:bCs/>
          <w:sz w:val="24"/>
          <w:szCs w:val="24"/>
          <w:lang w:eastAsia="lv-LV"/>
        </w:rPr>
      </w:pPr>
    </w:p>
    <w:tbl>
      <w:tblPr>
        <w:tblW w:w="50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5"/>
        <w:gridCol w:w="5811"/>
      </w:tblGrid>
      <w:tr w:rsidR="003E7ECF" w:rsidRPr="00E63395" w:rsidTr="00485FC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E7ECF" w:rsidRPr="00E63395" w:rsidRDefault="003E7ECF" w:rsidP="00E63395">
            <w:pPr>
              <w:spacing w:after="0" w:line="240" w:lineRule="auto"/>
              <w:ind w:firstLine="300"/>
              <w:jc w:val="center"/>
              <w:rPr>
                <w:rFonts w:ascii="Times New Roman" w:eastAsia="Times New Roman" w:hAnsi="Times New Roman" w:cs="Times New Roman"/>
                <w:b/>
                <w:bCs/>
                <w:sz w:val="24"/>
                <w:szCs w:val="24"/>
                <w:lang w:eastAsia="lv-LV"/>
              </w:rPr>
            </w:pPr>
            <w:r w:rsidRPr="00E63395">
              <w:rPr>
                <w:rFonts w:ascii="Times New Roman" w:eastAsia="Times New Roman" w:hAnsi="Times New Roman" w:cs="Times New Roman"/>
                <w:b/>
                <w:bCs/>
                <w:sz w:val="24"/>
                <w:szCs w:val="24"/>
                <w:lang w:eastAsia="lv-LV"/>
              </w:rPr>
              <w:t>I. Tiesību akta projekta izstrādes nepieciešamība</w:t>
            </w:r>
          </w:p>
        </w:tc>
      </w:tr>
      <w:tr w:rsidR="003E7ECF" w:rsidRPr="00E63395" w:rsidTr="00485FC9">
        <w:trPr>
          <w:trHeight w:val="405"/>
        </w:trPr>
        <w:tc>
          <w:tcPr>
            <w:tcW w:w="246"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1.</w:t>
            </w:r>
          </w:p>
        </w:tc>
        <w:tc>
          <w:tcPr>
            <w:tcW w:w="1599"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Pamatojums</w:t>
            </w:r>
          </w:p>
        </w:tc>
        <w:tc>
          <w:tcPr>
            <w:tcW w:w="3155" w:type="pct"/>
            <w:tcBorders>
              <w:top w:val="outset" w:sz="6" w:space="0" w:color="414142"/>
              <w:left w:val="outset" w:sz="6" w:space="0" w:color="414142"/>
              <w:bottom w:val="outset" w:sz="6" w:space="0" w:color="414142"/>
              <w:right w:val="outset" w:sz="6" w:space="0" w:color="414142"/>
            </w:tcBorders>
            <w:hideMark/>
          </w:tcPr>
          <w:p w:rsidR="00E63395" w:rsidRDefault="006C2F1C" w:rsidP="00E63395">
            <w:pPr>
              <w:spacing w:after="0" w:line="240" w:lineRule="auto"/>
              <w:ind w:firstLine="533"/>
              <w:jc w:val="both"/>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 xml:space="preserve">Likumprojekts „Grozījumi </w:t>
            </w:r>
            <w:r w:rsidRPr="00E63395">
              <w:rPr>
                <w:rFonts w:ascii="Times New Roman" w:eastAsia="Times New Roman" w:hAnsi="Times New Roman" w:cs="Times New Roman"/>
                <w:iCs/>
                <w:sz w:val="24"/>
                <w:szCs w:val="24"/>
                <w:lang w:eastAsia="lv-LV"/>
              </w:rPr>
              <w:t>Civilprocesa likumā</w:t>
            </w:r>
            <w:r w:rsidRPr="00E63395">
              <w:rPr>
                <w:rFonts w:ascii="Times New Roman" w:eastAsia="Times New Roman" w:hAnsi="Times New Roman" w:cs="Times New Roman"/>
                <w:sz w:val="24"/>
                <w:szCs w:val="24"/>
                <w:lang w:eastAsia="lv-LV"/>
              </w:rPr>
              <w:t xml:space="preserve">” (turpmāk – Likumprojekts) izstrādāts, </w:t>
            </w:r>
            <w:r w:rsidR="00485FC9" w:rsidRPr="00E63395">
              <w:rPr>
                <w:rFonts w:ascii="Times New Roman" w:eastAsia="Times New Roman" w:hAnsi="Times New Roman" w:cs="Times New Roman"/>
                <w:sz w:val="24"/>
                <w:szCs w:val="24"/>
                <w:lang w:eastAsia="lv-LV"/>
              </w:rPr>
              <w:t>lai:</w:t>
            </w:r>
          </w:p>
          <w:p w:rsidR="003E7ECF" w:rsidRPr="00E63395" w:rsidRDefault="00485FC9" w:rsidP="00E63395">
            <w:pPr>
              <w:spacing w:after="0" w:line="240" w:lineRule="auto"/>
              <w:ind w:firstLine="533"/>
              <w:jc w:val="both"/>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 ieviestu Latvijas tiesību aktos  Eiropas Parlamenta un Padomes 2014.gada 26.novembra direktīvu 2014/104/ES  par atsevišķiem noteikumiem, kuri valstu tiesībās reglamentē zaudējumu atlīdzināšanas prasības par dalībvalstu un Eiropas savienības konkurences tiesību pārkāpumiem (turpmāk – Direktīva 2014/104/ES).</w:t>
            </w:r>
          </w:p>
        </w:tc>
      </w:tr>
      <w:tr w:rsidR="003E7ECF" w:rsidRPr="00E63395" w:rsidTr="00485FC9">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2.</w:t>
            </w:r>
          </w:p>
        </w:tc>
        <w:tc>
          <w:tcPr>
            <w:tcW w:w="1599"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5" w:type="pct"/>
            <w:tcBorders>
              <w:top w:val="outset" w:sz="6" w:space="0" w:color="414142"/>
              <w:left w:val="outset" w:sz="6" w:space="0" w:color="414142"/>
              <w:bottom w:val="outset" w:sz="6" w:space="0" w:color="414142"/>
              <w:right w:val="outset" w:sz="6" w:space="0" w:color="414142"/>
            </w:tcBorders>
          </w:tcPr>
          <w:p w:rsidR="00E11D9D" w:rsidRPr="00E63395" w:rsidRDefault="00485FC9" w:rsidP="00E63395">
            <w:pPr>
              <w:spacing w:after="0" w:line="240" w:lineRule="auto"/>
              <w:ind w:firstLine="533"/>
              <w:jc w:val="both"/>
              <w:rPr>
                <w:rFonts w:ascii="Times New Roman" w:eastAsia="Times New Roman" w:hAnsi="Times New Roman" w:cs="Times New Roman"/>
                <w:sz w:val="24"/>
                <w:szCs w:val="24"/>
                <w:lang w:eastAsia="lv-LV"/>
              </w:rPr>
            </w:pPr>
            <w:r w:rsidRPr="00E63395">
              <w:rPr>
                <w:rFonts w:ascii="Times New Roman" w:eastAsia="Times New Roman" w:hAnsi="Times New Roman" w:cs="Times New Roman"/>
                <w:iCs/>
                <w:sz w:val="24"/>
                <w:szCs w:val="24"/>
                <w:lang w:eastAsia="lv-LV"/>
              </w:rPr>
              <w:t>2</w:t>
            </w:r>
            <w:r w:rsidRPr="00E63395">
              <w:rPr>
                <w:rFonts w:ascii="Times New Roman" w:eastAsia="Times New Roman" w:hAnsi="Times New Roman" w:cs="Times New Roman"/>
                <w:sz w:val="24"/>
                <w:szCs w:val="24"/>
                <w:lang w:eastAsia="lv-LV"/>
              </w:rPr>
              <w:t xml:space="preserve">014.gada 26.novembrī tika pieņemta Direktīva 2014/104/ES, lai palielinātu patērētāju un tirgus dalībnieku lomu iespējamo konkurences tiesību pārkāpēju disciplinēšanā, atvieglojot to iespēju pieprasīt zaudējumu atlīdzību no konkurences tiesību pārkāpējiem gan Latvijā, gan Eiropas Savienībā. Latvijai kā ES dalībvalstij ir jānodrošina Direktīvā 2014/104/ES noteikto prasību pārņemšana nacionālajos tiesību aktos līdz 2016.gada 27.decembrim. </w:t>
            </w:r>
          </w:p>
          <w:p w:rsidR="00E63395" w:rsidRPr="00E63395" w:rsidRDefault="00485FC9" w:rsidP="00E63395">
            <w:pPr>
              <w:spacing w:after="0" w:line="240" w:lineRule="auto"/>
              <w:ind w:firstLine="533"/>
              <w:jc w:val="both"/>
              <w:rPr>
                <w:rFonts w:ascii="Times New Roman" w:eastAsia="Times New Roman" w:hAnsi="Times New Roman" w:cs="Times New Roman"/>
                <w:sz w:val="24"/>
                <w:szCs w:val="24"/>
                <w:lang w:eastAsia="lv-LV"/>
              </w:rPr>
            </w:pPr>
            <w:r w:rsidRPr="00E63395">
              <w:rPr>
                <w:rFonts w:ascii="Times New Roman" w:eastAsia="Times New Roman" w:hAnsi="Times New Roman" w:cs="Times New Roman"/>
                <w:iCs/>
                <w:sz w:val="24"/>
                <w:szCs w:val="24"/>
                <w:lang w:eastAsia="lv-LV"/>
              </w:rPr>
              <w:t xml:space="preserve">Likumprojekta mērķis ir ieviest </w:t>
            </w:r>
            <w:r w:rsidR="00C24D91" w:rsidRPr="00E63395">
              <w:rPr>
                <w:rFonts w:ascii="Times New Roman" w:eastAsia="Times New Roman" w:hAnsi="Times New Roman" w:cs="Times New Roman"/>
                <w:iCs/>
                <w:sz w:val="24"/>
                <w:szCs w:val="24"/>
                <w:lang w:eastAsia="lv-LV"/>
              </w:rPr>
              <w:t>D</w:t>
            </w:r>
            <w:r w:rsidRPr="00E63395">
              <w:rPr>
                <w:rFonts w:ascii="Times New Roman" w:eastAsia="Times New Roman" w:hAnsi="Times New Roman" w:cs="Times New Roman"/>
                <w:iCs/>
                <w:sz w:val="24"/>
                <w:szCs w:val="24"/>
                <w:lang w:eastAsia="lv-LV"/>
              </w:rPr>
              <w:t>irektīvas 201</w:t>
            </w:r>
            <w:r w:rsidR="00C24D91" w:rsidRPr="00E63395">
              <w:rPr>
                <w:rFonts w:ascii="Times New Roman" w:eastAsia="Times New Roman" w:hAnsi="Times New Roman" w:cs="Times New Roman"/>
                <w:iCs/>
                <w:sz w:val="24"/>
                <w:szCs w:val="24"/>
                <w:lang w:eastAsia="lv-LV"/>
              </w:rPr>
              <w:t>4</w:t>
            </w:r>
            <w:r w:rsidRPr="00E63395">
              <w:rPr>
                <w:rFonts w:ascii="Times New Roman" w:eastAsia="Times New Roman" w:hAnsi="Times New Roman" w:cs="Times New Roman"/>
                <w:iCs/>
                <w:sz w:val="24"/>
                <w:szCs w:val="24"/>
                <w:lang w:eastAsia="lv-LV"/>
              </w:rPr>
              <w:t>/104/ES prasības un paaugstināt personu, kuras cietušas no konkurences tiesību pārkāpuma  tiesību aizsardzību</w:t>
            </w:r>
            <w:r w:rsidR="00186685" w:rsidRPr="00E63395">
              <w:rPr>
                <w:rFonts w:ascii="Times New Roman" w:eastAsia="Times New Roman" w:hAnsi="Times New Roman" w:cs="Times New Roman"/>
                <w:iCs/>
                <w:sz w:val="24"/>
                <w:szCs w:val="24"/>
                <w:lang w:eastAsia="lv-LV"/>
              </w:rPr>
              <w:t>.</w:t>
            </w:r>
          </w:p>
          <w:p w:rsidR="00E63395" w:rsidRPr="00E63395" w:rsidRDefault="00E11D9D" w:rsidP="00E63395">
            <w:pPr>
              <w:spacing w:after="0" w:line="240" w:lineRule="auto"/>
              <w:ind w:firstLine="533"/>
              <w:jc w:val="both"/>
              <w:rPr>
                <w:rFonts w:ascii="Times New Roman" w:eastAsia="Times New Roman" w:hAnsi="Times New Roman" w:cs="Times New Roman"/>
                <w:sz w:val="24"/>
                <w:szCs w:val="24"/>
                <w:lang w:eastAsia="lv-LV"/>
              </w:rPr>
            </w:pPr>
            <w:r w:rsidRPr="00E63395">
              <w:rPr>
                <w:rFonts w:ascii="Times New Roman" w:eastAsia="Times New Roman" w:hAnsi="Times New Roman" w:cs="Times New Roman"/>
                <w:iCs/>
                <w:color w:val="000000" w:themeColor="text1"/>
                <w:sz w:val="24"/>
                <w:szCs w:val="24"/>
                <w:lang w:eastAsia="lv-LV"/>
              </w:rPr>
              <w:t xml:space="preserve">Ievērojot Direktīvas 2014/104/ES prasības, ar Likumprojektu ir paredzēts papildināt </w:t>
            </w:r>
            <w:r w:rsidR="00E63395" w:rsidRPr="00E63395">
              <w:rPr>
                <w:rFonts w:ascii="Times New Roman" w:eastAsia="Times New Roman" w:hAnsi="Times New Roman" w:cs="Times New Roman"/>
                <w:iCs/>
                <w:color w:val="000000" w:themeColor="text1"/>
                <w:sz w:val="24"/>
                <w:szCs w:val="24"/>
                <w:lang w:eastAsia="lv-LV"/>
              </w:rPr>
              <w:t>Civilprocesa likumu ar jaunu nodaļu “</w:t>
            </w:r>
            <w:r w:rsidR="00E63395" w:rsidRPr="00E63395">
              <w:rPr>
                <w:rFonts w:ascii="Times New Roman" w:hAnsi="Times New Roman" w:cs="Times New Roman"/>
                <w:i/>
                <w:color w:val="000000" w:themeColor="text1"/>
                <w:sz w:val="24"/>
                <w:szCs w:val="24"/>
              </w:rPr>
              <w:t>30.</w:t>
            </w:r>
            <w:r w:rsidR="00E63395" w:rsidRPr="00E63395">
              <w:rPr>
                <w:rFonts w:ascii="Times New Roman" w:hAnsi="Times New Roman" w:cs="Times New Roman"/>
                <w:i/>
                <w:color w:val="000000" w:themeColor="text1"/>
                <w:sz w:val="24"/>
                <w:szCs w:val="24"/>
                <w:vertAlign w:val="superscript"/>
              </w:rPr>
              <w:t>6</w:t>
            </w:r>
            <w:r w:rsidR="00E63395" w:rsidRPr="00E63395">
              <w:rPr>
                <w:rFonts w:ascii="Times New Roman" w:hAnsi="Times New Roman" w:cs="Times New Roman"/>
                <w:i/>
                <w:color w:val="000000" w:themeColor="text1"/>
                <w:sz w:val="24"/>
                <w:szCs w:val="24"/>
              </w:rPr>
              <w:t xml:space="preserve"> nodaļa. Zaudējumu atlīdzināšana par konkurences tiesību pārkāpumiem</w:t>
            </w:r>
            <w:r w:rsidR="00E63395" w:rsidRPr="00E63395">
              <w:rPr>
                <w:rFonts w:ascii="Times New Roman" w:hAnsi="Times New Roman" w:cs="Times New Roman"/>
                <w:color w:val="000000" w:themeColor="text1"/>
                <w:sz w:val="24"/>
                <w:szCs w:val="24"/>
              </w:rPr>
              <w:t>”, kurā tiks noteikts:</w:t>
            </w:r>
          </w:p>
          <w:p w:rsidR="00E11D9D" w:rsidRPr="00E63395" w:rsidRDefault="00E11D9D" w:rsidP="00E63395">
            <w:pPr>
              <w:pStyle w:val="ListParagraph"/>
              <w:numPr>
                <w:ilvl w:val="0"/>
                <w:numId w:val="8"/>
              </w:numPr>
              <w:spacing w:after="0" w:line="240" w:lineRule="auto"/>
              <w:jc w:val="both"/>
              <w:rPr>
                <w:rFonts w:ascii="Times New Roman" w:eastAsia="Times New Roman" w:hAnsi="Times New Roman" w:cs="Times New Roman"/>
                <w:iCs/>
                <w:color w:val="000000" w:themeColor="text1"/>
                <w:sz w:val="24"/>
                <w:szCs w:val="24"/>
                <w:lang w:eastAsia="lv-LV"/>
              </w:rPr>
            </w:pPr>
            <w:r w:rsidRPr="00E63395">
              <w:rPr>
                <w:rFonts w:ascii="Times New Roman" w:eastAsia="Times New Roman" w:hAnsi="Times New Roman" w:cs="Times New Roman"/>
                <w:iCs/>
                <w:color w:val="000000" w:themeColor="text1"/>
                <w:sz w:val="24"/>
                <w:szCs w:val="24"/>
                <w:lang w:eastAsia="lv-LV"/>
              </w:rPr>
              <w:t>termins “konkurences tiesību pārkāpums”;</w:t>
            </w:r>
          </w:p>
          <w:p w:rsidR="00E11D9D" w:rsidRPr="00E63395" w:rsidRDefault="00E11D9D" w:rsidP="00E63395">
            <w:pPr>
              <w:pStyle w:val="ListParagraph"/>
              <w:numPr>
                <w:ilvl w:val="0"/>
                <w:numId w:val="8"/>
              </w:numPr>
              <w:spacing w:after="0" w:line="240" w:lineRule="auto"/>
              <w:jc w:val="both"/>
              <w:rPr>
                <w:rFonts w:ascii="Times New Roman" w:eastAsia="Times New Roman" w:hAnsi="Times New Roman" w:cs="Times New Roman"/>
                <w:iCs/>
                <w:color w:val="000000" w:themeColor="text1"/>
                <w:sz w:val="24"/>
                <w:szCs w:val="24"/>
                <w:lang w:eastAsia="lv-LV"/>
              </w:rPr>
            </w:pPr>
            <w:r w:rsidRPr="00E63395">
              <w:rPr>
                <w:rFonts w:ascii="Times New Roman" w:eastAsia="Times New Roman" w:hAnsi="Times New Roman" w:cs="Times New Roman"/>
                <w:iCs/>
                <w:color w:val="000000" w:themeColor="text1"/>
                <w:sz w:val="24"/>
                <w:szCs w:val="24"/>
                <w:lang w:eastAsia="lv-LV"/>
              </w:rPr>
              <w:t>lietu piekritība;</w:t>
            </w:r>
          </w:p>
          <w:p w:rsidR="00E11D9D" w:rsidRPr="00E63395" w:rsidRDefault="00E11D9D" w:rsidP="00E63395">
            <w:pPr>
              <w:pStyle w:val="ListParagraph"/>
              <w:numPr>
                <w:ilvl w:val="0"/>
                <w:numId w:val="8"/>
              </w:numPr>
              <w:spacing w:after="0" w:line="240" w:lineRule="auto"/>
              <w:jc w:val="both"/>
              <w:rPr>
                <w:rFonts w:ascii="Times New Roman" w:eastAsia="Times New Roman" w:hAnsi="Times New Roman" w:cs="Times New Roman"/>
                <w:iCs/>
                <w:color w:val="000000" w:themeColor="text1"/>
                <w:sz w:val="24"/>
                <w:szCs w:val="24"/>
                <w:lang w:eastAsia="lv-LV"/>
              </w:rPr>
            </w:pPr>
            <w:r w:rsidRPr="00E63395">
              <w:rPr>
                <w:rFonts w:ascii="Times New Roman" w:eastAsia="Times New Roman" w:hAnsi="Times New Roman" w:cs="Times New Roman"/>
                <w:iCs/>
                <w:color w:val="000000" w:themeColor="text1"/>
                <w:sz w:val="24"/>
                <w:szCs w:val="24"/>
                <w:lang w:eastAsia="lv-LV"/>
              </w:rPr>
              <w:t>p</w:t>
            </w:r>
            <w:r w:rsidR="00E63395" w:rsidRPr="00E63395">
              <w:rPr>
                <w:rFonts w:ascii="Times New Roman" w:eastAsia="Times New Roman" w:hAnsi="Times New Roman" w:cs="Times New Roman"/>
                <w:iCs/>
                <w:color w:val="000000" w:themeColor="text1"/>
                <w:sz w:val="24"/>
                <w:szCs w:val="24"/>
                <w:lang w:eastAsia="lv-LV"/>
              </w:rPr>
              <w:t xml:space="preserve">ierādījumu izprasīšana </w:t>
            </w:r>
            <w:r w:rsidRPr="00E63395">
              <w:rPr>
                <w:rFonts w:ascii="Times New Roman" w:eastAsia="Times New Roman" w:hAnsi="Times New Roman" w:cs="Times New Roman"/>
                <w:iCs/>
                <w:color w:val="000000" w:themeColor="text1"/>
                <w:sz w:val="24"/>
                <w:szCs w:val="24"/>
                <w:lang w:eastAsia="lv-LV"/>
              </w:rPr>
              <w:t>zaudējumu atlīdzināšanas lietās par konkurences tiesību pārkāpumiem;</w:t>
            </w:r>
          </w:p>
          <w:p w:rsidR="00E11D9D" w:rsidRPr="00E63395" w:rsidRDefault="00E11D9D" w:rsidP="00E63395">
            <w:pPr>
              <w:pStyle w:val="ListParagraph"/>
              <w:numPr>
                <w:ilvl w:val="0"/>
                <w:numId w:val="8"/>
              </w:numPr>
              <w:spacing w:after="0" w:line="240" w:lineRule="auto"/>
              <w:jc w:val="both"/>
              <w:rPr>
                <w:rFonts w:ascii="Times New Roman" w:eastAsia="Times New Roman" w:hAnsi="Times New Roman" w:cs="Times New Roman"/>
                <w:iCs/>
                <w:color w:val="000000" w:themeColor="text1"/>
                <w:sz w:val="24"/>
                <w:szCs w:val="24"/>
                <w:lang w:eastAsia="lv-LV"/>
              </w:rPr>
            </w:pPr>
            <w:r w:rsidRPr="00E63395">
              <w:rPr>
                <w:rFonts w:ascii="Times New Roman" w:eastAsia="Times New Roman" w:hAnsi="Times New Roman" w:cs="Times New Roman"/>
                <w:iCs/>
                <w:color w:val="000000" w:themeColor="text1"/>
                <w:sz w:val="24"/>
                <w:szCs w:val="24"/>
                <w:lang w:eastAsia="lv-LV"/>
              </w:rPr>
              <w:t>konkurences tiesību pārkāpums, kas konstatēts ar Konkurences padomes lēmumu, nav no jauna jāpierāda;</w:t>
            </w:r>
          </w:p>
          <w:p w:rsidR="00E11D9D" w:rsidRPr="00E63395" w:rsidRDefault="00E11D9D" w:rsidP="00E63395">
            <w:pPr>
              <w:pStyle w:val="ListParagraph"/>
              <w:numPr>
                <w:ilvl w:val="0"/>
                <w:numId w:val="8"/>
              </w:numPr>
              <w:spacing w:after="0" w:line="240" w:lineRule="auto"/>
              <w:jc w:val="both"/>
              <w:rPr>
                <w:rFonts w:ascii="Times New Roman" w:eastAsia="Times New Roman" w:hAnsi="Times New Roman" w:cs="Times New Roman"/>
                <w:iCs/>
                <w:color w:val="000000" w:themeColor="text1"/>
                <w:sz w:val="24"/>
                <w:szCs w:val="24"/>
                <w:lang w:eastAsia="lv-LV"/>
              </w:rPr>
            </w:pPr>
            <w:r w:rsidRPr="00E63395">
              <w:rPr>
                <w:rFonts w:ascii="Times New Roman" w:eastAsia="Times New Roman" w:hAnsi="Times New Roman" w:cs="Times New Roman"/>
                <w:iCs/>
                <w:color w:val="000000" w:themeColor="text1"/>
                <w:sz w:val="24"/>
                <w:szCs w:val="24"/>
                <w:lang w:eastAsia="lv-LV"/>
              </w:rPr>
              <w:t>tiesvedības apturēšana izlīguma panākšanai.</w:t>
            </w:r>
          </w:p>
          <w:p w:rsidR="00E11D9D" w:rsidRPr="00E63395" w:rsidRDefault="00E11D9D" w:rsidP="00E63395">
            <w:pPr>
              <w:spacing w:after="0" w:line="240" w:lineRule="auto"/>
              <w:jc w:val="both"/>
              <w:rPr>
                <w:rFonts w:ascii="Times New Roman" w:eastAsia="Times New Roman" w:hAnsi="Times New Roman" w:cs="Times New Roman"/>
                <w:iCs/>
                <w:sz w:val="24"/>
                <w:szCs w:val="24"/>
                <w:lang w:eastAsia="lv-LV"/>
              </w:rPr>
            </w:pPr>
          </w:p>
          <w:p w:rsidR="00E11D9D" w:rsidRPr="00E63395" w:rsidRDefault="00E11D9D" w:rsidP="00E63395">
            <w:pPr>
              <w:pStyle w:val="ListParagraph"/>
              <w:numPr>
                <w:ilvl w:val="0"/>
                <w:numId w:val="7"/>
              </w:numPr>
              <w:spacing w:after="0" w:line="240" w:lineRule="auto"/>
              <w:jc w:val="both"/>
              <w:rPr>
                <w:rFonts w:ascii="Times New Roman" w:eastAsia="Times New Roman" w:hAnsi="Times New Roman" w:cs="Times New Roman"/>
                <w:b/>
                <w:iCs/>
                <w:sz w:val="24"/>
                <w:szCs w:val="24"/>
                <w:u w:val="single"/>
                <w:lang w:eastAsia="lv-LV"/>
              </w:rPr>
            </w:pPr>
            <w:r w:rsidRPr="00E63395">
              <w:rPr>
                <w:rFonts w:ascii="Times New Roman" w:eastAsia="Times New Roman" w:hAnsi="Times New Roman" w:cs="Times New Roman"/>
                <w:b/>
                <w:iCs/>
                <w:sz w:val="24"/>
                <w:szCs w:val="24"/>
                <w:u w:val="single"/>
                <w:lang w:eastAsia="lv-LV"/>
              </w:rPr>
              <w:t>Termins “konkurences tiesību pārkāpums”</w:t>
            </w:r>
          </w:p>
          <w:p w:rsidR="00E11D9D" w:rsidRPr="00E63395" w:rsidRDefault="00E11D9D" w:rsidP="00E63395">
            <w:pPr>
              <w:spacing w:after="0" w:line="240" w:lineRule="auto"/>
              <w:jc w:val="both"/>
              <w:rPr>
                <w:rFonts w:ascii="Times New Roman" w:eastAsia="Times New Roman" w:hAnsi="Times New Roman" w:cs="Times New Roman"/>
                <w:iCs/>
                <w:sz w:val="24"/>
                <w:szCs w:val="24"/>
                <w:lang w:eastAsia="lv-LV"/>
              </w:rPr>
            </w:pPr>
          </w:p>
          <w:p w:rsidR="00E63395" w:rsidRDefault="00E11D9D"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Likumprojektā tiek dots skaidrojums terminam “konkurences tiesību pārkāpuma”, kas atbilstoši Direktīvai ir Konkurences likuma, Līguma par Eiropas Savienības darbību (LESD) 101. un 102. panta pārkāpums, kā arī citas dalībvalsts konkurences tiesību pārkāpums, kas piemērots kopā ar LESD 101. vai 102.pantu.</w:t>
            </w:r>
          </w:p>
          <w:p w:rsidR="00E63395" w:rsidRDefault="00E63395" w:rsidP="00E63395">
            <w:pPr>
              <w:spacing w:after="0" w:line="240" w:lineRule="auto"/>
              <w:ind w:firstLine="533"/>
              <w:jc w:val="both"/>
              <w:rPr>
                <w:rFonts w:ascii="Times New Roman" w:eastAsia="Times New Roman" w:hAnsi="Times New Roman" w:cs="Times New Roman"/>
                <w:iCs/>
                <w:sz w:val="24"/>
                <w:szCs w:val="24"/>
                <w:lang w:eastAsia="lv-LV"/>
              </w:rPr>
            </w:pPr>
          </w:p>
          <w:p w:rsidR="00E63395" w:rsidRDefault="00E63395" w:rsidP="00E63395">
            <w:pPr>
              <w:spacing w:after="0" w:line="240" w:lineRule="auto"/>
              <w:ind w:firstLine="533"/>
              <w:jc w:val="both"/>
              <w:rPr>
                <w:rFonts w:ascii="Times New Roman" w:eastAsia="Times New Roman" w:hAnsi="Times New Roman" w:cs="Times New Roman"/>
                <w:iCs/>
                <w:sz w:val="24"/>
                <w:szCs w:val="24"/>
                <w:lang w:eastAsia="lv-LV"/>
              </w:rPr>
            </w:pPr>
          </w:p>
          <w:p w:rsidR="00E63395" w:rsidRDefault="00E63395" w:rsidP="00E63395">
            <w:pPr>
              <w:spacing w:after="0" w:line="240" w:lineRule="auto"/>
              <w:ind w:firstLine="533"/>
              <w:jc w:val="both"/>
              <w:rPr>
                <w:rFonts w:ascii="Times New Roman" w:eastAsia="Times New Roman" w:hAnsi="Times New Roman" w:cs="Times New Roman"/>
                <w:iCs/>
                <w:sz w:val="24"/>
                <w:szCs w:val="24"/>
                <w:lang w:eastAsia="lv-LV"/>
              </w:rPr>
            </w:pPr>
          </w:p>
          <w:p w:rsidR="00E63395" w:rsidRPr="00E63395" w:rsidRDefault="00E63395" w:rsidP="00E63395">
            <w:pPr>
              <w:spacing w:after="0" w:line="240" w:lineRule="auto"/>
              <w:ind w:firstLine="533"/>
              <w:jc w:val="both"/>
              <w:rPr>
                <w:rFonts w:ascii="Times New Roman" w:eastAsia="Times New Roman" w:hAnsi="Times New Roman" w:cs="Times New Roman"/>
                <w:iCs/>
                <w:sz w:val="24"/>
                <w:szCs w:val="24"/>
                <w:lang w:eastAsia="lv-LV"/>
              </w:rPr>
            </w:pPr>
          </w:p>
          <w:p w:rsidR="00D34FAC" w:rsidRPr="00E63395" w:rsidRDefault="00D34FAC" w:rsidP="00E63395">
            <w:pPr>
              <w:pStyle w:val="NoSpacing"/>
              <w:numPr>
                <w:ilvl w:val="0"/>
                <w:numId w:val="7"/>
              </w:numPr>
              <w:jc w:val="both"/>
              <w:rPr>
                <w:rFonts w:eastAsia="Times New Roman"/>
                <w:b/>
                <w:iCs/>
                <w:u w:val="single"/>
                <w:lang w:eastAsia="lv-LV"/>
              </w:rPr>
            </w:pPr>
            <w:r w:rsidRPr="00E63395">
              <w:rPr>
                <w:rFonts w:eastAsia="Times New Roman"/>
                <w:b/>
                <w:iCs/>
                <w:u w:val="single"/>
                <w:lang w:eastAsia="lv-LV"/>
              </w:rPr>
              <w:lastRenderedPageBreak/>
              <w:t>Liet</w:t>
            </w:r>
            <w:r w:rsidR="00E11D9D" w:rsidRPr="00E63395">
              <w:rPr>
                <w:rFonts w:eastAsia="Times New Roman"/>
                <w:b/>
                <w:iCs/>
                <w:u w:val="single"/>
                <w:lang w:eastAsia="lv-LV"/>
              </w:rPr>
              <w:t>u</w:t>
            </w:r>
            <w:r w:rsidRPr="00E63395">
              <w:rPr>
                <w:rFonts w:eastAsia="Times New Roman"/>
                <w:b/>
                <w:iCs/>
                <w:u w:val="single"/>
                <w:lang w:eastAsia="lv-LV"/>
              </w:rPr>
              <w:t xml:space="preserve"> piekrit</w:t>
            </w:r>
            <w:r w:rsidR="00E11D9D" w:rsidRPr="00E63395">
              <w:rPr>
                <w:rFonts w:eastAsia="Times New Roman"/>
                <w:b/>
                <w:iCs/>
                <w:u w:val="single"/>
                <w:lang w:eastAsia="lv-LV"/>
              </w:rPr>
              <w:t>ība</w:t>
            </w:r>
          </w:p>
          <w:p w:rsidR="00D34FAC" w:rsidRPr="00E63395" w:rsidRDefault="00D34FAC" w:rsidP="00E63395">
            <w:pPr>
              <w:pStyle w:val="NoSpacing"/>
              <w:ind w:left="720"/>
              <w:jc w:val="both"/>
              <w:rPr>
                <w:rFonts w:eastAsia="Times New Roman"/>
                <w:b/>
                <w:iCs/>
                <w:u w:val="single"/>
                <w:lang w:eastAsia="lv-LV"/>
              </w:rPr>
            </w:pPr>
          </w:p>
          <w:p w:rsidR="00DD3A20" w:rsidRPr="00E63395" w:rsidRDefault="00892255" w:rsidP="00E63395">
            <w:pPr>
              <w:pStyle w:val="NoSpacing"/>
              <w:ind w:firstLine="533"/>
              <w:jc w:val="both"/>
            </w:pPr>
            <w:r w:rsidRPr="00E63395">
              <w:rPr>
                <w:rFonts w:eastAsia="Times New Roman"/>
                <w:iCs/>
                <w:lang w:eastAsia="lv-LV"/>
              </w:rPr>
              <w:t>Likumprojekts paredz, ka l</w:t>
            </w:r>
            <w:r w:rsidR="00307493" w:rsidRPr="00E63395">
              <w:rPr>
                <w:color w:val="000000" w:themeColor="text1"/>
              </w:rPr>
              <w:t>ietas par zaudējumu atlīdzināšanu par konkurences tiesību pārkāpumiem izskata Rīgas pilsētas Latgales priekšpilsētas tiesa prasības kārtībā pēc vispārējiem noteikumiem</w:t>
            </w:r>
            <w:r w:rsidRPr="00E63395">
              <w:rPr>
                <w:color w:val="000000" w:themeColor="text1"/>
              </w:rPr>
              <w:t>. Tādējādi, ņemot vērā konkrēto lietu specifiku</w:t>
            </w:r>
            <w:r w:rsidR="00DD3A20" w:rsidRPr="00E63395">
              <w:rPr>
                <w:color w:val="000000" w:themeColor="text1"/>
              </w:rPr>
              <w:t xml:space="preserve"> un augsto sarežģītības</w:t>
            </w:r>
            <w:r w:rsidRPr="00E63395">
              <w:rPr>
                <w:color w:val="000000" w:themeColor="text1"/>
              </w:rPr>
              <w:t xml:space="preserve"> </w:t>
            </w:r>
            <w:r w:rsidR="00DD3A20" w:rsidRPr="00E63395">
              <w:rPr>
                <w:color w:val="000000" w:themeColor="text1"/>
              </w:rPr>
              <w:t xml:space="preserve">pakāpi, lai nodrošinātu kvalitatīvu un efektīvu tiesību aktu piemērošanu, būs nepieciešams specializēt un  apmācīt mazāku skaitu tiesnešu. </w:t>
            </w:r>
            <w:r w:rsidR="00C06A32" w:rsidRPr="00E63395">
              <w:rPr>
                <w:color w:val="000000" w:themeColor="text1"/>
              </w:rPr>
              <w:t>Konkurences likuma 20.pants nosaka, ka līdztekus Konkurences padomei Konkurences likuma un Līguma par Eiropas Savienības darbību 101.un 102. pārkāpumu var konstatēt arī tiesa, attiecīgi Rīgas pilsētas Latgales priekšpilsētas tiesai piekritīs visas civilprasības saistībā ar Konkurences likuma un Līguma par Eiropas Savienības darbību 101., 102 pantu pārkāpumiem un no to izrietošu zaudējumu atlīdzināšanas prasību skatīšana.</w:t>
            </w:r>
            <w:r w:rsidR="00DD3A20" w:rsidRPr="00E63395">
              <w:rPr>
                <w:color w:val="000000" w:themeColor="text1"/>
              </w:rPr>
              <w:t xml:space="preserve"> Ierobežotas pieejamības </w:t>
            </w:r>
            <w:r w:rsidR="00DD3A20" w:rsidRPr="00E63395">
              <w:t>informācijas aizsardzība un informācijas aprites ierobežojumi, kas ietverta Likumprojekta paredzētajā 250.</w:t>
            </w:r>
            <w:r w:rsidR="00DD3A20" w:rsidRPr="00E63395">
              <w:rPr>
                <w:vertAlign w:val="superscript"/>
              </w:rPr>
              <w:t>66</w:t>
            </w:r>
            <w:r w:rsidR="00DD3A20" w:rsidRPr="00E63395">
              <w:t xml:space="preserve"> pantā tiks nodrošināta saskaņā ar tiesu iekšējiem </w:t>
            </w:r>
            <w:r w:rsidR="00DD3A20" w:rsidRPr="00E63395">
              <w:rPr>
                <w:color w:val="000000" w:themeColor="text1"/>
              </w:rPr>
              <w:t xml:space="preserve">normatīvajiem aktiem, piemēram, Rajonu (pilsētu) tiesu, to zemesgrāmatu nodaļu </w:t>
            </w:r>
            <w:r w:rsidR="00DD3A20" w:rsidRPr="00E63395">
              <w:t xml:space="preserve">un apgabaltiesu lietvedības organizēšanas noteikumi. </w:t>
            </w:r>
          </w:p>
          <w:p w:rsidR="00C06A32" w:rsidRPr="00E63395" w:rsidRDefault="00C06A32" w:rsidP="00E63395">
            <w:pPr>
              <w:spacing w:after="0" w:line="240" w:lineRule="auto"/>
              <w:ind w:firstLine="250"/>
              <w:jc w:val="both"/>
              <w:rPr>
                <w:rFonts w:ascii="Times New Roman" w:eastAsia="Times New Roman" w:hAnsi="Times New Roman" w:cs="Times New Roman"/>
                <w:iCs/>
                <w:sz w:val="24"/>
                <w:szCs w:val="24"/>
                <w:lang w:eastAsia="lv-LV"/>
              </w:rPr>
            </w:pPr>
          </w:p>
          <w:p w:rsidR="00D34FAC" w:rsidRPr="00E63395" w:rsidRDefault="00F001EE" w:rsidP="00E63395">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b/>
                <w:iCs/>
                <w:sz w:val="24"/>
                <w:szCs w:val="24"/>
                <w:u w:val="single"/>
                <w:lang w:eastAsia="lv-LV"/>
              </w:rPr>
              <w:t>P</w:t>
            </w:r>
            <w:r w:rsidR="00186685" w:rsidRPr="00E63395">
              <w:rPr>
                <w:rFonts w:ascii="Times New Roman" w:eastAsia="Times New Roman" w:hAnsi="Times New Roman" w:cs="Times New Roman"/>
                <w:b/>
                <w:iCs/>
                <w:sz w:val="24"/>
                <w:szCs w:val="24"/>
                <w:u w:val="single"/>
                <w:lang w:eastAsia="lv-LV"/>
              </w:rPr>
              <w:t>ier</w:t>
            </w:r>
            <w:r w:rsidRPr="00E63395">
              <w:rPr>
                <w:rFonts w:ascii="Times New Roman" w:eastAsia="Times New Roman" w:hAnsi="Times New Roman" w:cs="Times New Roman"/>
                <w:b/>
                <w:iCs/>
                <w:sz w:val="24"/>
                <w:szCs w:val="24"/>
                <w:u w:val="single"/>
                <w:lang w:eastAsia="lv-LV"/>
              </w:rPr>
              <w:t>ā</w:t>
            </w:r>
            <w:r w:rsidR="00186685" w:rsidRPr="00E63395">
              <w:rPr>
                <w:rFonts w:ascii="Times New Roman" w:eastAsia="Times New Roman" w:hAnsi="Times New Roman" w:cs="Times New Roman"/>
                <w:b/>
                <w:iCs/>
                <w:sz w:val="24"/>
                <w:szCs w:val="24"/>
                <w:u w:val="single"/>
                <w:lang w:eastAsia="lv-LV"/>
              </w:rPr>
              <w:t>dī</w:t>
            </w:r>
            <w:r w:rsidRPr="00E63395">
              <w:rPr>
                <w:rFonts w:ascii="Times New Roman" w:eastAsia="Times New Roman" w:hAnsi="Times New Roman" w:cs="Times New Roman"/>
                <w:b/>
                <w:iCs/>
                <w:sz w:val="24"/>
                <w:szCs w:val="24"/>
                <w:u w:val="single"/>
                <w:lang w:eastAsia="lv-LV"/>
              </w:rPr>
              <w:t>jumu izprasīšana</w:t>
            </w:r>
            <w:r w:rsidR="00186685" w:rsidRPr="00E63395">
              <w:rPr>
                <w:rFonts w:ascii="Times New Roman" w:eastAsia="Times New Roman" w:hAnsi="Times New Roman" w:cs="Times New Roman"/>
                <w:b/>
                <w:iCs/>
                <w:sz w:val="24"/>
                <w:szCs w:val="24"/>
                <w:u w:val="single"/>
                <w:lang w:eastAsia="lv-LV"/>
              </w:rPr>
              <w:t xml:space="preserve"> zaudējumu atlīdzināšanas lietās par konkurences tiesību pārkāpumiem</w:t>
            </w:r>
          </w:p>
          <w:p w:rsidR="00D47E75" w:rsidRPr="00E63395" w:rsidRDefault="00D47E75" w:rsidP="00E63395">
            <w:pPr>
              <w:pStyle w:val="ListParagraph"/>
              <w:spacing w:after="0" w:line="240" w:lineRule="auto"/>
              <w:jc w:val="both"/>
              <w:rPr>
                <w:rFonts w:ascii="Times New Roman" w:eastAsia="Times New Roman" w:hAnsi="Times New Roman" w:cs="Times New Roman"/>
                <w:iCs/>
                <w:sz w:val="24"/>
                <w:szCs w:val="24"/>
                <w:lang w:eastAsia="lv-LV"/>
              </w:rPr>
            </w:pPr>
          </w:p>
          <w:p w:rsidR="00E63395" w:rsidRPr="00E63395" w:rsidRDefault="005B552B"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Praksē pastāv gadījumi, kad lietas dalībniekiem nav iespējams pierādīt apgalvo</w:t>
            </w:r>
            <w:r w:rsidR="00E0691A" w:rsidRPr="00E63395">
              <w:rPr>
                <w:rFonts w:ascii="Times New Roman" w:eastAsia="Times New Roman" w:hAnsi="Times New Roman" w:cs="Times New Roman"/>
                <w:iCs/>
                <w:sz w:val="24"/>
                <w:szCs w:val="24"/>
                <w:lang w:eastAsia="lv-LV"/>
              </w:rPr>
              <w:t>to</w:t>
            </w:r>
            <w:r w:rsidRPr="00E63395">
              <w:rPr>
                <w:rFonts w:ascii="Times New Roman" w:eastAsia="Times New Roman" w:hAnsi="Times New Roman" w:cs="Times New Roman"/>
                <w:iCs/>
                <w:sz w:val="24"/>
                <w:szCs w:val="24"/>
                <w:lang w:eastAsia="lv-LV"/>
              </w:rPr>
              <w:t>, jo pierād</w:t>
            </w:r>
            <w:r w:rsidR="00E0691A" w:rsidRPr="00E63395">
              <w:rPr>
                <w:rFonts w:ascii="Times New Roman" w:eastAsia="Times New Roman" w:hAnsi="Times New Roman" w:cs="Times New Roman"/>
                <w:iCs/>
                <w:sz w:val="24"/>
                <w:szCs w:val="24"/>
                <w:lang w:eastAsia="lv-LV"/>
              </w:rPr>
              <w:t>ījum</w:t>
            </w:r>
            <w:r w:rsidR="00424E00" w:rsidRPr="00E63395">
              <w:rPr>
                <w:rFonts w:ascii="Times New Roman" w:eastAsia="Times New Roman" w:hAnsi="Times New Roman" w:cs="Times New Roman"/>
                <w:iCs/>
                <w:sz w:val="24"/>
                <w:szCs w:val="24"/>
                <w:lang w:eastAsia="lv-LV"/>
              </w:rPr>
              <w:t>i</w:t>
            </w:r>
            <w:r w:rsidR="00E0691A" w:rsidRPr="00E63395">
              <w:rPr>
                <w:rFonts w:ascii="Times New Roman" w:eastAsia="Times New Roman" w:hAnsi="Times New Roman" w:cs="Times New Roman"/>
                <w:iCs/>
                <w:sz w:val="24"/>
                <w:szCs w:val="24"/>
                <w:lang w:eastAsia="lv-LV"/>
              </w:rPr>
              <w:t xml:space="preserve"> bieži vien ir tikai un vienīgi pretējās puses vai trešo personu rīcībā un prasītājiem nav zināmi vai nav pieejami pietiekamā </w:t>
            </w:r>
            <w:r w:rsidR="00EC28FA" w:rsidRPr="00E63395">
              <w:rPr>
                <w:rFonts w:ascii="Times New Roman" w:eastAsia="Times New Roman" w:hAnsi="Times New Roman" w:cs="Times New Roman"/>
                <w:iCs/>
                <w:sz w:val="24"/>
                <w:szCs w:val="24"/>
                <w:lang w:eastAsia="lv-LV"/>
              </w:rPr>
              <w:t>apjomā</w:t>
            </w:r>
            <w:r w:rsidR="00E0691A" w:rsidRPr="00E63395">
              <w:rPr>
                <w:rFonts w:ascii="Times New Roman" w:eastAsia="Times New Roman" w:hAnsi="Times New Roman" w:cs="Times New Roman"/>
                <w:iCs/>
                <w:sz w:val="24"/>
                <w:szCs w:val="24"/>
                <w:lang w:eastAsia="lv-LV"/>
              </w:rPr>
              <w:t xml:space="preserve">. </w:t>
            </w:r>
            <w:r w:rsidR="00EC0D8C" w:rsidRPr="00E63395">
              <w:rPr>
                <w:rFonts w:ascii="Times New Roman" w:eastAsia="Times New Roman" w:hAnsi="Times New Roman" w:cs="Times New Roman"/>
                <w:iCs/>
                <w:sz w:val="24"/>
                <w:szCs w:val="24"/>
                <w:lang w:eastAsia="lv-LV"/>
              </w:rPr>
              <w:t>Š</w:t>
            </w:r>
            <w:r w:rsidR="00E0691A" w:rsidRPr="00E63395">
              <w:rPr>
                <w:rFonts w:ascii="Times New Roman" w:eastAsia="Times New Roman" w:hAnsi="Times New Roman" w:cs="Times New Roman"/>
                <w:iCs/>
                <w:sz w:val="24"/>
                <w:szCs w:val="24"/>
                <w:lang w:eastAsia="lv-LV"/>
              </w:rPr>
              <w:t>obrīd Civilprocesa likuma 93.panta otrā daļa paredz, ja pusēm vai citiem lietas dalībniekiem nav iespējams iesniegt pierādījumus, pēc</w:t>
            </w:r>
            <w:r w:rsidR="00EC0D8C" w:rsidRPr="00E63395">
              <w:rPr>
                <w:rFonts w:ascii="Times New Roman" w:eastAsia="Times New Roman" w:hAnsi="Times New Roman" w:cs="Times New Roman"/>
                <w:iCs/>
                <w:sz w:val="24"/>
                <w:szCs w:val="24"/>
                <w:lang w:eastAsia="lv-LV"/>
              </w:rPr>
              <w:t xml:space="preserve"> viņu</w:t>
            </w:r>
            <w:r w:rsidR="00E0691A" w:rsidRPr="00E63395">
              <w:rPr>
                <w:rFonts w:ascii="Times New Roman" w:eastAsia="Times New Roman" w:hAnsi="Times New Roman" w:cs="Times New Roman"/>
                <w:iCs/>
                <w:sz w:val="24"/>
                <w:szCs w:val="24"/>
                <w:lang w:eastAsia="lv-LV"/>
              </w:rPr>
              <w:t xml:space="preserve"> motivēta lūguma tos izprasa tiesa. </w:t>
            </w:r>
            <w:r w:rsidR="00EC0D8C" w:rsidRPr="00E63395">
              <w:rPr>
                <w:rFonts w:ascii="Times New Roman" w:eastAsia="Times New Roman" w:hAnsi="Times New Roman" w:cs="Times New Roman"/>
                <w:iCs/>
                <w:sz w:val="24"/>
                <w:szCs w:val="24"/>
                <w:lang w:eastAsia="lv-LV"/>
              </w:rPr>
              <w:t xml:space="preserve">Taču, lai sasniegtu Direktīvā 2014/104/ES paredzēto mērķi un nodrošinātu personām, kuras ir cietušas no konkurences tiesību pārkāpuma, ir nepieciešams paredzēt </w:t>
            </w:r>
            <w:r w:rsidR="00F001EE" w:rsidRPr="00E63395">
              <w:rPr>
                <w:rFonts w:ascii="Times New Roman" w:eastAsia="Times New Roman" w:hAnsi="Times New Roman" w:cs="Times New Roman"/>
                <w:iCs/>
                <w:sz w:val="24"/>
                <w:szCs w:val="24"/>
                <w:lang w:eastAsia="lv-LV"/>
              </w:rPr>
              <w:t>detalizētāku</w:t>
            </w:r>
            <w:r w:rsidR="00EC0D8C" w:rsidRPr="00E63395">
              <w:rPr>
                <w:rFonts w:ascii="Times New Roman" w:eastAsia="Times New Roman" w:hAnsi="Times New Roman" w:cs="Times New Roman"/>
                <w:iCs/>
                <w:sz w:val="24"/>
                <w:szCs w:val="24"/>
                <w:lang w:eastAsia="lv-LV"/>
              </w:rPr>
              <w:t xml:space="preserve"> tiesisko regulējumu, tādēļ Likumprojekta 1.punkts paredz papildināt Civilprocesa likum</w:t>
            </w:r>
            <w:r w:rsidR="005B3278" w:rsidRPr="00E63395">
              <w:rPr>
                <w:rFonts w:ascii="Times New Roman" w:eastAsia="Times New Roman" w:hAnsi="Times New Roman" w:cs="Times New Roman"/>
                <w:iCs/>
                <w:sz w:val="24"/>
                <w:szCs w:val="24"/>
                <w:lang w:eastAsia="lv-LV"/>
              </w:rPr>
              <w:t>u</w:t>
            </w:r>
            <w:r w:rsidR="00EC0D8C" w:rsidRPr="00E63395">
              <w:rPr>
                <w:rFonts w:ascii="Times New Roman" w:eastAsia="Times New Roman" w:hAnsi="Times New Roman" w:cs="Times New Roman"/>
                <w:iCs/>
                <w:sz w:val="24"/>
                <w:szCs w:val="24"/>
                <w:lang w:eastAsia="lv-LV"/>
              </w:rPr>
              <w:t xml:space="preserve"> ar </w:t>
            </w:r>
            <w:r w:rsidR="005B3278" w:rsidRPr="00E63395">
              <w:rPr>
                <w:rFonts w:ascii="Times New Roman" w:eastAsia="Times New Roman" w:hAnsi="Times New Roman" w:cs="Times New Roman"/>
                <w:iCs/>
                <w:sz w:val="24"/>
                <w:szCs w:val="24"/>
                <w:lang w:eastAsia="lv-LV"/>
              </w:rPr>
              <w:t>250</w:t>
            </w:r>
            <w:r w:rsidR="00EC0D8C" w:rsidRPr="00E63395">
              <w:rPr>
                <w:rFonts w:ascii="Times New Roman" w:eastAsia="Times New Roman" w:hAnsi="Times New Roman" w:cs="Times New Roman"/>
                <w:iCs/>
                <w:sz w:val="24"/>
                <w:szCs w:val="24"/>
                <w:lang w:eastAsia="lv-LV"/>
              </w:rPr>
              <w:t>.</w:t>
            </w:r>
            <w:r w:rsidR="005B3278" w:rsidRPr="00E63395">
              <w:rPr>
                <w:rFonts w:ascii="Times New Roman" w:eastAsia="Times New Roman" w:hAnsi="Times New Roman" w:cs="Times New Roman"/>
                <w:iCs/>
                <w:sz w:val="24"/>
                <w:szCs w:val="24"/>
                <w:vertAlign w:val="superscript"/>
                <w:lang w:eastAsia="lv-LV"/>
              </w:rPr>
              <w:t>66</w:t>
            </w:r>
            <w:r w:rsidR="00E63395" w:rsidRPr="00E63395">
              <w:rPr>
                <w:rFonts w:ascii="Times New Roman" w:eastAsia="Times New Roman" w:hAnsi="Times New Roman" w:cs="Times New Roman"/>
                <w:iCs/>
                <w:sz w:val="24"/>
                <w:szCs w:val="24"/>
                <w:vertAlign w:val="superscript"/>
                <w:lang w:eastAsia="lv-LV"/>
              </w:rPr>
              <w:t xml:space="preserve"> </w:t>
            </w:r>
            <w:r w:rsidR="00EC0D8C" w:rsidRPr="00E63395">
              <w:rPr>
                <w:rFonts w:ascii="Times New Roman" w:eastAsia="Times New Roman" w:hAnsi="Times New Roman" w:cs="Times New Roman"/>
                <w:iCs/>
                <w:sz w:val="24"/>
                <w:szCs w:val="24"/>
                <w:lang w:eastAsia="lv-LV"/>
              </w:rPr>
              <w:t xml:space="preserve">pantu. </w:t>
            </w:r>
          </w:p>
          <w:p w:rsidR="00E63395" w:rsidRPr="00E63395" w:rsidRDefault="00F001EE"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T</w:t>
            </w:r>
            <w:r w:rsidR="00EC0D8C" w:rsidRPr="00E63395">
              <w:rPr>
                <w:rFonts w:ascii="Times New Roman" w:eastAsia="Times New Roman" w:hAnsi="Times New Roman" w:cs="Times New Roman"/>
                <w:iCs/>
                <w:sz w:val="24"/>
                <w:szCs w:val="24"/>
                <w:lang w:eastAsia="lv-LV"/>
              </w:rPr>
              <w:t xml:space="preserve">ā kā tiesvedībai konkurences tiesību jomā ir raksturīga informācijas asimetrija, </w:t>
            </w:r>
            <w:r w:rsidRPr="00E63395">
              <w:rPr>
                <w:rFonts w:ascii="Times New Roman" w:eastAsia="Times New Roman" w:hAnsi="Times New Roman" w:cs="Times New Roman"/>
                <w:iCs/>
                <w:sz w:val="24"/>
                <w:szCs w:val="24"/>
                <w:lang w:eastAsia="lv-LV"/>
              </w:rPr>
              <w:t>tiesai lemjot par pierādījumu izprasīšanu</w:t>
            </w:r>
            <w:r w:rsidR="00EA3ABE" w:rsidRPr="00E63395">
              <w:rPr>
                <w:rFonts w:ascii="Times New Roman" w:eastAsia="Times New Roman" w:hAnsi="Times New Roman" w:cs="Times New Roman"/>
                <w:iCs/>
                <w:sz w:val="24"/>
                <w:szCs w:val="24"/>
                <w:lang w:eastAsia="lv-LV"/>
              </w:rPr>
              <w:t xml:space="preserve">, nav jāliek </w:t>
            </w:r>
            <w:r w:rsidR="00EC0D8C" w:rsidRPr="00E63395">
              <w:rPr>
                <w:rFonts w:ascii="Times New Roman" w:eastAsia="Times New Roman" w:hAnsi="Times New Roman" w:cs="Times New Roman"/>
                <w:iCs/>
                <w:sz w:val="24"/>
                <w:szCs w:val="24"/>
                <w:lang w:eastAsia="lv-LV"/>
              </w:rPr>
              <w:t>prasītājiem precizēt konkrētās pierādījumu vienības.</w:t>
            </w:r>
            <w:r w:rsidR="00EA3ABE" w:rsidRPr="00E63395">
              <w:rPr>
                <w:rFonts w:ascii="Times New Roman" w:eastAsia="Times New Roman" w:hAnsi="Times New Roman" w:cs="Times New Roman"/>
                <w:iCs/>
                <w:sz w:val="24"/>
                <w:szCs w:val="24"/>
                <w:lang w:eastAsia="lv-LV"/>
              </w:rPr>
              <w:t xml:space="preserve"> S</w:t>
            </w:r>
            <w:r w:rsidR="00E81563" w:rsidRPr="00E63395">
              <w:rPr>
                <w:rFonts w:ascii="Times New Roman" w:eastAsia="Times New Roman" w:hAnsi="Times New Roman" w:cs="Times New Roman"/>
                <w:iCs/>
                <w:sz w:val="24"/>
                <w:szCs w:val="24"/>
                <w:lang w:eastAsia="lv-LV"/>
              </w:rPr>
              <w:t xml:space="preserve">agatavojot pieteikumu, ar lūgumu tiesai izprasīt pierādījumus, pusei ir nepieciešams izvērtēt to pamatojumu, kā arī samērīgumu. Samērīgumu saprotot tā, ka pierādījumu izprasīšanas rīkojumu var izmantot tikai tad, kad prasītājs, pamatojoties uz minētajam prasītājam pamatoti pieejamiem faktiem, ir sniedzis ticamu pamatojumu tam, ka prasītājam ir nodarīts kaitējums, ko </w:t>
            </w:r>
            <w:r w:rsidR="00E81563" w:rsidRPr="00E63395">
              <w:rPr>
                <w:rFonts w:ascii="Times New Roman" w:eastAsia="Times New Roman" w:hAnsi="Times New Roman" w:cs="Times New Roman"/>
                <w:iCs/>
                <w:sz w:val="24"/>
                <w:szCs w:val="24"/>
                <w:lang w:eastAsia="lv-LV"/>
              </w:rPr>
              <w:lastRenderedPageBreak/>
              <w:t>izraisījis atbildētājs. Ja pierādījumu izprasīšanas lūguma mērķis ir iegūt kādu pierādījumu kategoriju, minētā kategorija būtu identificējama pēc tādām to veidojošo elementu kopīgajām iezīmēm kā to dokumentu raksturs, priekšmets vai saturs, kuru izprasīšana tiek lūgta, laiks, kurā tie bijuši sastādīti, vai citiem kritērijiem ar noteikumu, ka attiecīgajā kategorijā ietilpstošie pierādījumi ir būtiski</w:t>
            </w:r>
            <w:r w:rsidR="005D4CD1" w:rsidRPr="00E63395">
              <w:rPr>
                <w:rFonts w:ascii="Times New Roman" w:eastAsia="Times New Roman" w:hAnsi="Times New Roman" w:cs="Times New Roman"/>
                <w:iCs/>
                <w:sz w:val="24"/>
                <w:szCs w:val="24"/>
                <w:lang w:eastAsia="lv-LV"/>
              </w:rPr>
              <w:t>, i</w:t>
            </w:r>
            <w:r w:rsidR="00E81563" w:rsidRPr="00E63395">
              <w:rPr>
                <w:rFonts w:ascii="Times New Roman" w:eastAsia="Times New Roman" w:hAnsi="Times New Roman" w:cs="Times New Roman"/>
                <w:iCs/>
                <w:sz w:val="24"/>
                <w:szCs w:val="24"/>
                <w:lang w:eastAsia="lv-LV"/>
              </w:rPr>
              <w:t>de</w:t>
            </w:r>
            <w:r w:rsidR="005D4CD1" w:rsidRPr="00E63395">
              <w:rPr>
                <w:rFonts w:ascii="Times New Roman" w:eastAsia="Times New Roman" w:hAnsi="Times New Roman" w:cs="Times New Roman"/>
                <w:iCs/>
                <w:sz w:val="24"/>
                <w:szCs w:val="24"/>
                <w:lang w:eastAsia="lv-LV"/>
              </w:rPr>
              <w:t>nti</w:t>
            </w:r>
            <w:r w:rsidR="00E81563" w:rsidRPr="00E63395">
              <w:rPr>
                <w:rFonts w:ascii="Times New Roman" w:eastAsia="Times New Roman" w:hAnsi="Times New Roman" w:cs="Times New Roman"/>
                <w:iCs/>
                <w:sz w:val="24"/>
                <w:szCs w:val="24"/>
                <w:lang w:eastAsia="lv-LV"/>
              </w:rPr>
              <w:t>fi</w:t>
            </w:r>
            <w:r w:rsidR="005D4CD1" w:rsidRPr="00E63395">
              <w:rPr>
                <w:rFonts w:ascii="Times New Roman" w:eastAsia="Times New Roman" w:hAnsi="Times New Roman" w:cs="Times New Roman"/>
                <w:iCs/>
                <w:sz w:val="24"/>
                <w:szCs w:val="24"/>
                <w:lang w:eastAsia="lv-LV"/>
              </w:rPr>
              <w:t>c</w:t>
            </w:r>
            <w:r w:rsidR="00E81563" w:rsidRPr="00E63395">
              <w:rPr>
                <w:rFonts w:ascii="Times New Roman" w:eastAsia="Times New Roman" w:hAnsi="Times New Roman" w:cs="Times New Roman"/>
                <w:iCs/>
                <w:sz w:val="24"/>
                <w:szCs w:val="24"/>
                <w:lang w:eastAsia="lv-LV"/>
              </w:rPr>
              <w:t>ē</w:t>
            </w:r>
            <w:r w:rsidR="005D4CD1" w:rsidRPr="00E63395">
              <w:rPr>
                <w:rFonts w:ascii="Times New Roman" w:eastAsia="Times New Roman" w:hAnsi="Times New Roman" w:cs="Times New Roman"/>
                <w:iCs/>
                <w:sz w:val="24"/>
                <w:szCs w:val="24"/>
                <w:lang w:eastAsia="lv-LV"/>
              </w:rPr>
              <w:t>jot tās</w:t>
            </w:r>
            <w:r w:rsidR="00E81563" w:rsidRPr="00E63395">
              <w:rPr>
                <w:rFonts w:ascii="Times New Roman" w:eastAsia="Times New Roman" w:hAnsi="Times New Roman" w:cs="Times New Roman"/>
                <w:iCs/>
                <w:sz w:val="24"/>
                <w:szCs w:val="24"/>
                <w:lang w:eastAsia="lv-LV"/>
              </w:rPr>
              <w:t xml:space="preserve"> pēc iespējas precīzāk un šaurāk</w:t>
            </w:r>
            <w:r w:rsidR="005D4CD1" w:rsidRPr="00E63395">
              <w:rPr>
                <w:rFonts w:ascii="Times New Roman" w:eastAsia="Times New Roman" w:hAnsi="Times New Roman" w:cs="Times New Roman"/>
                <w:iCs/>
                <w:sz w:val="24"/>
                <w:szCs w:val="24"/>
                <w:lang w:eastAsia="lv-LV"/>
              </w:rPr>
              <w:t>.</w:t>
            </w:r>
          </w:p>
          <w:p w:rsidR="00E63395" w:rsidRPr="00E63395" w:rsidRDefault="005D4CD1"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 xml:space="preserve">Likumprojekts </w:t>
            </w:r>
            <w:r w:rsidR="00B3762A" w:rsidRPr="00E63395">
              <w:rPr>
                <w:rFonts w:ascii="Times New Roman" w:eastAsia="Times New Roman" w:hAnsi="Times New Roman" w:cs="Times New Roman"/>
                <w:iCs/>
                <w:sz w:val="24"/>
                <w:szCs w:val="24"/>
                <w:lang w:eastAsia="lv-LV"/>
              </w:rPr>
              <w:t xml:space="preserve">arī paredz detalizētāku regulējumu </w:t>
            </w:r>
            <w:r w:rsidRPr="00E63395">
              <w:rPr>
                <w:rFonts w:ascii="Times New Roman" w:eastAsia="Times New Roman" w:hAnsi="Times New Roman" w:cs="Times New Roman"/>
                <w:iCs/>
                <w:sz w:val="24"/>
                <w:szCs w:val="24"/>
                <w:lang w:eastAsia="lv-LV"/>
              </w:rPr>
              <w:t xml:space="preserve">pierādījumu </w:t>
            </w:r>
            <w:r w:rsidR="00B3762A" w:rsidRPr="00E63395">
              <w:rPr>
                <w:rFonts w:ascii="Times New Roman" w:eastAsia="Times New Roman" w:hAnsi="Times New Roman" w:cs="Times New Roman"/>
                <w:iCs/>
                <w:sz w:val="24"/>
                <w:szCs w:val="24"/>
                <w:lang w:eastAsia="lv-LV"/>
              </w:rPr>
              <w:t>izprasīšanai</w:t>
            </w:r>
            <w:r w:rsidR="00424E00" w:rsidRPr="00E63395">
              <w:rPr>
                <w:rFonts w:ascii="Times New Roman" w:eastAsia="Times New Roman" w:hAnsi="Times New Roman" w:cs="Times New Roman"/>
                <w:iCs/>
                <w:sz w:val="24"/>
                <w:szCs w:val="24"/>
                <w:lang w:eastAsia="lv-LV"/>
              </w:rPr>
              <w:t xml:space="preserve"> no</w:t>
            </w:r>
            <w:r w:rsidRPr="00E63395">
              <w:rPr>
                <w:rFonts w:ascii="Times New Roman" w:eastAsia="Times New Roman" w:hAnsi="Times New Roman" w:cs="Times New Roman"/>
                <w:iCs/>
                <w:sz w:val="24"/>
                <w:szCs w:val="24"/>
                <w:lang w:eastAsia="lv-LV"/>
              </w:rPr>
              <w:t xml:space="preserve"> Konkurences padomes vai Eiropas Komisijas. </w:t>
            </w:r>
          </w:p>
          <w:p w:rsidR="00E63395" w:rsidRPr="00E63395" w:rsidRDefault="001A28E2"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 xml:space="preserve">Iecietības programmas un izlīguma procedūras ir svarīgi rīki konkurences tiesību aktu publiski tiesiskajai īstenošanai, jo tie veicina konkurences tiesību aktu nopietnāko pārkāpumu atklāšanu, efektīvu saukšanu pie atbildības un sodu piemērošanu. Uzņēmumus sadarboties ar konkurences iestādēm saskaņā ar iecietības programmām un izlīguma procedūrām šajā kontekstā varētu atturēt tas, ja tiktu atklātas </w:t>
            </w:r>
            <w:proofErr w:type="spellStart"/>
            <w:r w:rsidRPr="00E63395">
              <w:rPr>
                <w:rFonts w:ascii="Times New Roman" w:eastAsia="Times New Roman" w:hAnsi="Times New Roman" w:cs="Times New Roman"/>
                <w:iCs/>
                <w:sz w:val="24"/>
                <w:szCs w:val="24"/>
                <w:u w:val="single"/>
                <w:lang w:eastAsia="lv-LV"/>
              </w:rPr>
              <w:t>pašapsūdz</w:t>
            </w:r>
            <w:r w:rsidR="00FE4FFC" w:rsidRPr="00E63395">
              <w:rPr>
                <w:rFonts w:ascii="Times New Roman" w:eastAsia="Times New Roman" w:hAnsi="Times New Roman" w:cs="Times New Roman"/>
                <w:iCs/>
                <w:sz w:val="24"/>
                <w:szCs w:val="24"/>
                <w:u w:val="single"/>
                <w:lang w:eastAsia="lv-LV"/>
              </w:rPr>
              <w:t>ošas</w:t>
            </w:r>
            <w:proofErr w:type="spellEnd"/>
            <w:r w:rsidRPr="00E63395">
              <w:rPr>
                <w:rFonts w:ascii="Times New Roman" w:eastAsia="Times New Roman" w:hAnsi="Times New Roman" w:cs="Times New Roman"/>
                <w:iCs/>
                <w:sz w:val="24"/>
                <w:szCs w:val="24"/>
                <w:lang w:eastAsia="lv-LV"/>
              </w:rPr>
              <w:t xml:space="preserve"> liecības, piemēram, saskaņā ar iecietības programmu sniegtas liecības un izlīguma iesniegumi, kuras iesniedz tikai nolūkā sadarboties ar konkurences iestādēm. Šāda atklāšana radītu risku, ka uzņēmumi, kas sadarbojas, var tikt pakļauti civiltiesiskai atbildībai sliktākos apstākļos nekā </w:t>
            </w:r>
            <w:proofErr w:type="spellStart"/>
            <w:r w:rsidRPr="00E63395">
              <w:rPr>
                <w:rFonts w:ascii="Times New Roman" w:eastAsia="Times New Roman" w:hAnsi="Times New Roman" w:cs="Times New Roman"/>
                <w:iCs/>
                <w:sz w:val="24"/>
                <w:szCs w:val="24"/>
                <w:lang w:eastAsia="lv-LV"/>
              </w:rPr>
              <w:t>līdzpārkāpēji</w:t>
            </w:r>
            <w:proofErr w:type="spellEnd"/>
            <w:r w:rsidRPr="00E63395">
              <w:rPr>
                <w:rFonts w:ascii="Times New Roman" w:eastAsia="Times New Roman" w:hAnsi="Times New Roman" w:cs="Times New Roman"/>
                <w:iCs/>
                <w:sz w:val="24"/>
                <w:szCs w:val="24"/>
                <w:lang w:eastAsia="lv-LV"/>
              </w:rPr>
              <w:t xml:space="preserve">, kuri nesadarbojas ar konkurences iestādēm. Tādēļ, lai nodrošinātu uzņēmumu gatavību arī turpmāk brīvprātīgi vērsties pie konkurences iestādēm ar liecībām, </w:t>
            </w:r>
            <w:r w:rsidR="00B3762A" w:rsidRPr="00E63395">
              <w:rPr>
                <w:rFonts w:ascii="Times New Roman" w:eastAsia="Times New Roman" w:hAnsi="Times New Roman" w:cs="Times New Roman"/>
                <w:iCs/>
                <w:sz w:val="24"/>
                <w:szCs w:val="24"/>
                <w:lang w:eastAsia="lv-LV"/>
              </w:rPr>
              <w:t xml:space="preserve">likumprojekts atbilstoši </w:t>
            </w:r>
            <w:r w:rsidR="00424E00" w:rsidRPr="00E63395">
              <w:rPr>
                <w:rFonts w:ascii="Times New Roman" w:eastAsia="Times New Roman" w:hAnsi="Times New Roman" w:cs="Times New Roman"/>
                <w:iCs/>
                <w:sz w:val="24"/>
                <w:szCs w:val="24"/>
                <w:lang w:eastAsia="lv-LV"/>
              </w:rPr>
              <w:t xml:space="preserve">Direktīvas 2014/104/ES </w:t>
            </w:r>
            <w:r w:rsidR="00B3762A" w:rsidRPr="00E63395">
              <w:rPr>
                <w:rFonts w:ascii="Times New Roman" w:eastAsia="Times New Roman" w:hAnsi="Times New Roman" w:cs="Times New Roman"/>
                <w:iCs/>
                <w:sz w:val="24"/>
                <w:szCs w:val="24"/>
                <w:lang w:eastAsia="lv-LV"/>
              </w:rPr>
              <w:t xml:space="preserve">prasībām paredz, ka </w:t>
            </w:r>
            <w:r w:rsidRPr="00E63395">
              <w:rPr>
                <w:rFonts w:ascii="Times New Roman" w:eastAsia="Times New Roman" w:hAnsi="Times New Roman" w:cs="Times New Roman"/>
                <w:iCs/>
                <w:sz w:val="24"/>
                <w:szCs w:val="24"/>
                <w:lang w:eastAsia="lv-LV"/>
              </w:rPr>
              <w:t>tiesa</w:t>
            </w:r>
            <w:r w:rsidR="00E3313F" w:rsidRPr="00E63395">
              <w:rPr>
                <w:rFonts w:ascii="Times New Roman" w:eastAsia="Times New Roman" w:hAnsi="Times New Roman" w:cs="Times New Roman"/>
                <w:iCs/>
                <w:sz w:val="24"/>
                <w:szCs w:val="24"/>
                <w:lang w:eastAsia="lv-LV"/>
              </w:rPr>
              <w:t xml:space="preserve"> no konkurences iestādes un citiem dalībniekiem</w:t>
            </w:r>
            <w:r w:rsidRPr="00E63395">
              <w:rPr>
                <w:rFonts w:ascii="Times New Roman" w:eastAsia="Times New Roman" w:hAnsi="Times New Roman" w:cs="Times New Roman"/>
                <w:iCs/>
                <w:sz w:val="24"/>
                <w:szCs w:val="24"/>
                <w:lang w:eastAsia="lv-LV"/>
              </w:rPr>
              <w:t xml:space="preserve"> nevar izprasīt liecības, kas sniegtas iecietības programmas ietvaros vai izlīguma iesniegumus. </w:t>
            </w:r>
            <w:r w:rsidR="00E3313F" w:rsidRPr="00E63395">
              <w:rPr>
                <w:rFonts w:ascii="Times New Roman" w:eastAsia="Times New Roman" w:hAnsi="Times New Roman" w:cs="Times New Roman"/>
                <w:iCs/>
                <w:sz w:val="24"/>
                <w:szCs w:val="24"/>
                <w:lang w:eastAsia="lv-LV"/>
              </w:rPr>
              <w:t>Ar liecībā</w:t>
            </w:r>
            <w:r w:rsidR="00375939" w:rsidRPr="00E63395">
              <w:rPr>
                <w:rFonts w:ascii="Times New Roman" w:eastAsia="Times New Roman" w:hAnsi="Times New Roman" w:cs="Times New Roman"/>
                <w:iCs/>
                <w:sz w:val="24"/>
                <w:szCs w:val="24"/>
                <w:lang w:eastAsia="lv-LV"/>
              </w:rPr>
              <w:t>m</w:t>
            </w:r>
            <w:r w:rsidR="00E3313F" w:rsidRPr="00E63395">
              <w:rPr>
                <w:rFonts w:ascii="Times New Roman" w:eastAsia="Times New Roman" w:hAnsi="Times New Roman" w:cs="Times New Roman"/>
                <w:iCs/>
                <w:sz w:val="24"/>
                <w:szCs w:val="24"/>
                <w:lang w:eastAsia="lv-LV"/>
              </w:rPr>
              <w:t>,</w:t>
            </w:r>
            <w:r w:rsidRPr="00E63395">
              <w:rPr>
                <w:rFonts w:ascii="Times New Roman" w:eastAsia="Times New Roman" w:hAnsi="Times New Roman" w:cs="Times New Roman"/>
                <w:iCs/>
                <w:sz w:val="24"/>
                <w:szCs w:val="24"/>
                <w:lang w:eastAsia="lv-LV"/>
              </w:rPr>
              <w:t xml:space="preserve"> kas sniegtas iecietības programmas ietvaros, saprotot, brīvprātīgi sniegtu mutisku vai rakstisku informāciju konkurences iestādei vai minētās informācijas ierakstu, kurā aprakstīta minētās personas rīcībā esoša informācija par karteļa vienošanos un aprakstīta tirgus dalībnieka vai konkurētas personas loma tajā, un kura speciāli sagatavota iesniegšanai konkurences iestādē, lai saņemtu atbrīvojumu no naudas soda vai naudas soda samazinājumu. Savukārt iecietības programmas liecības neietver pierādījumus, kas pastāv neatkarīgi no konkurences iestādes veiktās izmeklēšanas, - neraugoties uz to, vai šāda informācija atrodas konkurences iestādes lietas materiālos vai ne. </w:t>
            </w:r>
          </w:p>
          <w:p w:rsidR="00E63395" w:rsidRPr="00E63395" w:rsidRDefault="003E1DE9"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hAnsi="Times New Roman" w:cs="Times New Roman"/>
                <w:sz w:val="24"/>
                <w:szCs w:val="24"/>
              </w:rPr>
              <w:t xml:space="preserve">Likumprojekts paredz, pēc prasītāja pamatota lūguma, </w:t>
            </w:r>
            <w:r w:rsidR="00C279B7" w:rsidRPr="00E63395">
              <w:rPr>
                <w:rFonts w:ascii="Times New Roman" w:hAnsi="Times New Roman" w:cs="Times New Roman"/>
                <w:sz w:val="24"/>
                <w:szCs w:val="24"/>
              </w:rPr>
              <w:t xml:space="preserve">tiesa, </w:t>
            </w:r>
            <w:r w:rsidRPr="00E63395">
              <w:rPr>
                <w:rFonts w:ascii="Times New Roman" w:hAnsi="Times New Roman" w:cs="Times New Roman"/>
                <w:sz w:val="24"/>
                <w:szCs w:val="24"/>
              </w:rPr>
              <w:t xml:space="preserve">lai pārliecinātos, </w:t>
            </w:r>
            <w:r w:rsidR="00C279B7" w:rsidRPr="00E63395">
              <w:rPr>
                <w:rFonts w:ascii="Times New Roman" w:hAnsi="Times New Roman" w:cs="Times New Roman"/>
                <w:sz w:val="24"/>
                <w:szCs w:val="24"/>
              </w:rPr>
              <w:t xml:space="preserve">ka attiecīgie dokumenti, kas ir iesniegti konkurences iestādei atbilst </w:t>
            </w:r>
            <w:r w:rsidR="00C279B7" w:rsidRPr="00E63395">
              <w:rPr>
                <w:rFonts w:ascii="Times New Roman" w:eastAsia="Times New Roman" w:hAnsi="Times New Roman" w:cs="Times New Roman"/>
                <w:iCs/>
                <w:sz w:val="24"/>
                <w:szCs w:val="24"/>
                <w:lang w:eastAsia="lv-LV"/>
              </w:rPr>
              <w:t xml:space="preserve">liecības, kas sniegtas iecietības programmas ietvaros un izlīguma iesnieguma definīcijai, izprasa dokumentus no konkurences iestādes, taču tos nepievieno civillietas materiāliem, nolēmumā </w:t>
            </w:r>
            <w:r w:rsidR="00C279B7" w:rsidRPr="00E63395">
              <w:rPr>
                <w:rFonts w:ascii="Times New Roman" w:eastAsia="Times New Roman" w:hAnsi="Times New Roman" w:cs="Times New Roman"/>
                <w:iCs/>
                <w:sz w:val="24"/>
                <w:szCs w:val="24"/>
                <w:lang w:eastAsia="lv-LV"/>
              </w:rPr>
              <w:lastRenderedPageBreak/>
              <w:t xml:space="preserve">norādot, ka šādi dokumenti ir izvērtēti. Lai nerastos situācijas, kad tiesai nav pārliecības par konkrēto pierādījumu atbilstību liecības, kas sniegtas iecietības programmas ietvaros un izlīguma iesnieguma definīcijām, tā var lūgt konkurences iestādes atzinumu, ka arī uzklausīt iesniegto materiālu autoru. </w:t>
            </w:r>
          </w:p>
          <w:p w:rsidR="00E63395" w:rsidRPr="00E63395" w:rsidRDefault="00375939"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 xml:space="preserve">Atbilstoši Direktīvai </w:t>
            </w:r>
            <w:r w:rsidR="00851DB3" w:rsidRPr="00E63395">
              <w:rPr>
                <w:rFonts w:ascii="Times New Roman" w:eastAsia="Times New Roman" w:hAnsi="Times New Roman" w:cs="Times New Roman"/>
                <w:iCs/>
                <w:sz w:val="24"/>
                <w:szCs w:val="24"/>
                <w:lang w:eastAsia="lv-LV"/>
              </w:rPr>
              <w:t xml:space="preserve">Likumprojektā ir paredzēts, ka </w:t>
            </w:r>
            <w:r w:rsidR="00C279B7" w:rsidRPr="00E63395">
              <w:rPr>
                <w:rFonts w:ascii="Times New Roman" w:eastAsia="Times New Roman" w:hAnsi="Times New Roman" w:cs="Times New Roman"/>
                <w:iCs/>
                <w:sz w:val="24"/>
                <w:szCs w:val="24"/>
                <w:lang w:eastAsia="lv-LV"/>
              </w:rPr>
              <w:t>tiesa informāciju, kuru persona sagatavojusi speciāli konkurences iestādes vajadzībām, informāciju, kuru konkurences iestāde ir sagatavojusi un nosūtījusi pusēm un atsauktos izlīguma iesniegumus</w:t>
            </w:r>
            <w:r w:rsidR="00851DB3" w:rsidRPr="00E63395">
              <w:rPr>
                <w:rFonts w:ascii="Times New Roman" w:eastAsia="Times New Roman" w:hAnsi="Times New Roman" w:cs="Times New Roman"/>
                <w:iCs/>
                <w:sz w:val="24"/>
                <w:szCs w:val="24"/>
                <w:lang w:eastAsia="lv-LV"/>
              </w:rPr>
              <w:t xml:space="preserve"> var izprasīt tikai pēc tam, kad konkurences iestāde ir pieņēmusi lēmumu vai citā viedā izbeigusi lietas izpēti.</w:t>
            </w:r>
          </w:p>
          <w:p w:rsidR="00E63395" w:rsidRPr="00E63395" w:rsidRDefault="00851DB3"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 xml:space="preserve">Likumprojekts nosaka pierādījumu pieļaujamību zaudējumu atlīdzības lietās par konkurences tiesību pārkāpumu. </w:t>
            </w:r>
            <w:r w:rsidR="0000535E" w:rsidRPr="00E63395">
              <w:rPr>
                <w:rFonts w:ascii="Times New Roman" w:hAnsi="Times New Roman" w:cs="Times New Roman"/>
                <w:sz w:val="24"/>
                <w:szCs w:val="24"/>
              </w:rPr>
              <w:t>Pierādījumi, kas iegūti izmantojot piekļuvi konkurences iestādes lietas materiāliem, ir attiecināmi un tos var izmantot tikai tās person</w:t>
            </w:r>
            <w:r w:rsidR="00375939" w:rsidRPr="00E63395">
              <w:rPr>
                <w:rFonts w:ascii="Times New Roman" w:hAnsi="Times New Roman" w:cs="Times New Roman"/>
                <w:sz w:val="24"/>
                <w:szCs w:val="24"/>
              </w:rPr>
              <w:t>a</w:t>
            </w:r>
            <w:r w:rsidR="0000535E" w:rsidRPr="00E63395">
              <w:rPr>
                <w:rFonts w:ascii="Times New Roman" w:hAnsi="Times New Roman" w:cs="Times New Roman"/>
                <w:sz w:val="24"/>
                <w:szCs w:val="24"/>
              </w:rPr>
              <w:t>s, kuras tos ir ieguvušas vai</w:t>
            </w:r>
            <w:r w:rsidR="00C80CD6" w:rsidRPr="00E63395">
              <w:rPr>
                <w:rFonts w:ascii="Times New Roman" w:hAnsi="Times New Roman" w:cs="Times New Roman"/>
                <w:sz w:val="24"/>
                <w:szCs w:val="24"/>
              </w:rPr>
              <w:t xml:space="preserve"> to pārstāvji. </w:t>
            </w:r>
            <w:r w:rsidR="00340C58" w:rsidRPr="00E63395">
              <w:rPr>
                <w:rFonts w:ascii="Times New Roman" w:eastAsia="Times New Roman" w:hAnsi="Times New Roman" w:cs="Times New Roman"/>
                <w:iCs/>
                <w:sz w:val="24"/>
                <w:szCs w:val="24"/>
                <w:lang w:eastAsia="lv-LV"/>
              </w:rPr>
              <w:t>Likumprojektā ir noteikts, ka pers</w:t>
            </w:r>
            <w:r w:rsidR="0000535E" w:rsidRPr="00E63395">
              <w:rPr>
                <w:rFonts w:ascii="Times New Roman" w:eastAsia="Times New Roman" w:hAnsi="Times New Roman" w:cs="Times New Roman"/>
                <w:iCs/>
                <w:sz w:val="24"/>
                <w:szCs w:val="24"/>
                <w:lang w:eastAsia="lv-LV"/>
              </w:rPr>
              <w:t xml:space="preserve">onas par pierādījumiem nevar izmantot iesniegtos materiālus iecietīgas programmas ietvaros, kā arī izlīguma iesniegumus, kura persona ieguvusi, izmantojot piekļuvi konkurences iestādes materiāliem. </w:t>
            </w:r>
          </w:p>
          <w:p w:rsidR="00E63395" w:rsidRPr="00E63395" w:rsidRDefault="0000535E"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Papildus t</w:t>
            </w:r>
            <w:r w:rsidR="00340C58" w:rsidRPr="00E63395">
              <w:rPr>
                <w:rFonts w:ascii="Times New Roman" w:eastAsia="Times New Roman" w:hAnsi="Times New Roman" w:cs="Times New Roman"/>
                <w:iCs/>
                <w:sz w:val="24"/>
                <w:szCs w:val="24"/>
                <w:lang w:eastAsia="lv-LV"/>
              </w:rPr>
              <w:t>iek paredzēts, ka informāciju, kuru persona sagatavojusi speciāli konkurences iestādes vajadzībām, informāciju, kuru konkurences iestāde ir sagatavojusi un nosūtījusi pusēm un</w:t>
            </w:r>
            <w:r w:rsidR="00C80CD6" w:rsidRPr="00E63395">
              <w:rPr>
                <w:rFonts w:ascii="Times New Roman" w:eastAsia="Times New Roman" w:hAnsi="Times New Roman" w:cs="Times New Roman"/>
                <w:iCs/>
                <w:sz w:val="24"/>
                <w:szCs w:val="24"/>
                <w:lang w:eastAsia="lv-LV"/>
              </w:rPr>
              <w:t xml:space="preserve"> atsauktos izlīguma iesniegumus, k</w:t>
            </w:r>
            <w:r w:rsidR="00340C58" w:rsidRPr="00E63395">
              <w:rPr>
                <w:rFonts w:ascii="Times New Roman" w:eastAsia="Times New Roman" w:hAnsi="Times New Roman" w:cs="Times New Roman"/>
                <w:iCs/>
                <w:sz w:val="24"/>
                <w:szCs w:val="24"/>
                <w:lang w:eastAsia="lv-LV"/>
              </w:rPr>
              <w:t xml:space="preserve">o fiziskas vai juridiskas personas ieguvušas, izmantojot piekļuvi konkurences iestādes lietas materiāliem, pirms konkurences iestāde ir pieņēmusi lēmumu vai citādi izbeigusi lietas izpēti nav pieļaujami un tos nevar izmantot. </w:t>
            </w:r>
          </w:p>
          <w:p w:rsidR="00E63395" w:rsidRDefault="007C7AD7"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 xml:space="preserve">Likumprojekts </w:t>
            </w:r>
            <w:r w:rsidR="008B0219" w:rsidRPr="00E63395">
              <w:rPr>
                <w:rFonts w:ascii="Times New Roman" w:eastAsia="Times New Roman" w:hAnsi="Times New Roman" w:cs="Times New Roman"/>
                <w:iCs/>
                <w:sz w:val="24"/>
                <w:szCs w:val="24"/>
                <w:lang w:eastAsia="lv-LV"/>
              </w:rPr>
              <w:t xml:space="preserve">atbilstoši Direktīvai </w:t>
            </w:r>
            <w:r w:rsidRPr="00E63395">
              <w:rPr>
                <w:rFonts w:ascii="Times New Roman" w:eastAsia="Times New Roman" w:hAnsi="Times New Roman" w:cs="Times New Roman"/>
                <w:iCs/>
                <w:sz w:val="24"/>
                <w:szCs w:val="24"/>
                <w:lang w:eastAsia="lv-LV"/>
              </w:rPr>
              <w:t xml:space="preserve">paredz, ka gadījumos, kad tiesa izprasa pierādījumus no konkurences iestādes, tad konkurences iestādei ir tiesības sniegt viedokli par pierādījumu izprasīšanas lūguma samērīgumu. </w:t>
            </w:r>
          </w:p>
          <w:p w:rsidR="004C54D4" w:rsidRPr="00E63395" w:rsidRDefault="004C54D4" w:rsidP="00E63395">
            <w:pPr>
              <w:spacing w:after="0" w:line="240" w:lineRule="auto"/>
              <w:ind w:firstLine="533"/>
              <w:jc w:val="both"/>
              <w:rPr>
                <w:rFonts w:ascii="Times New Roman" w:eastAsia="Times New Roman" w:hAnsi="Times New Roman" w:cs="Times New Roman"/>
                <w:iCs/>
                <w:sz w:val="24"/>
                <w:szCs w:val="24"/>
                <w:lang w:eastAsia="lv-LV"/>
              </w:rPr>
            </w:pPr>
            <w:r w:rsidRPr="004C54D4">
              <w:rPr>
                <w:rFonts w:ascii="Times New Roman" w:eastAsia="Times New Roman" w:hAnsi="Times New Roman" w:cs="Times New Roman"/>
                <w:iCs/>
                <w:sz w:val="24"/>
                <w:szCs w:val="24"/>
                <w:lang w:eastAsia="lv-LV"/>
              </w:rPr>
              <w:t>Lai nodrošinātu ierobežotas pieejamības informācijas aizsardzību, kuras atklāšana var radīt kaitējumu vienai no pusēm, bet iepazīšanās, ar kuru ir nepieciešama, lai nodrošinātu pušu līdztiesību civilprocesā, tiesa varēs atļaut lietas dalībnieka pārstāvim iepazīties ar konkrēto ierobežotas pieejamības informāciju. Lemjot par konkrētā lietas dalībnieka pārstāvja piekļuvi lietas dalībnieka ierobežotas pieejamības informācijai, tiesai jāņem vērā attiecīgās informācijas raksturs, kā arī konkrētā lietas dalībnieka pārstāvja statuss, t.i., vai pastāvošas darba attiecības starp pusi un tās pārstāvi nerada ierobežotas pieejamības informācijas izpaušanas risku.</w:t>
            </w:r>
          </w:p>
          <w:p w:rsidR="00E63395" w:rsidRPr="00E63395" w:rsidRDefault="007C7AD7"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 xml:space="preserve">Lai cietušās personas, kurām nav pieejami pierādījumi varētu pierādīt, ka tās ir cietušas no konkurences tiesību pārkāpuma, un tās varētu realizēt savas tiesībās saņemt </w:t>
            </w:r>
            <w:r w:rsidRPr="00E63395">
              <w:rPr>
                <w:rFonts w:ascii="Times New Roman" w:eastAsia="Times New Roman" w:hAnsi="Times New Roman" w:cs="Times New Roman"/>
                <w:iCs/>
                <w:sz w:val="24"/>
                <w:szCs w:val="24"/>
                <w:lang w:eastAsia="lv-LV"/>
              </w:rPr>
              <w:lastRenderedPageBreak/>
              <w:t xml:space="preserve">pilnīgu tiesību atlīdzinājumu, Likumprojekts cita starpā paredz, ka tiesa saņemot šo personu motivētu lūgumu, var izprasīt pierādījumus no trešajām personām. </w:t>
            </w:r>
            <w:r w:rsidR="00FE4FFC" w:rsidRPr="00E63395">
              <w:rPr>
                <w:rFonts w:ascii="Times New Roman" w:eastAsia="Times New Roman" w:hAnsi="Times New Roman" w:cs="Times New Roman"/>
                <w:iCs/>
                <w:sz w:val="24"/>
                <w:szCs w:val="24"/>
                <w:lang w:eastAsia="lv-LV"/>
              </w:rPr>
              <w:t xml:space="preserve">Jau šobrīd Civilprocesa likuma </w:t>
            </w:r>
            <w:r w:rsidR="00FE4FFC" w:rsidRPr="00E63395">
              <w:rPr>
                <w:rFonts w:ascii="Times New Roman" w:eastAsia="Times New Roman" w:hAnsi="Times New Roman" w:cs="Times New Roman"/>
                <w:iCs/>
                <w:sz w:val="24"/>
                <w:szCs w:val="24"/>
                <w:u w:val="single"/>
                <w:lang w:eastAsia="lv-LV"/>
              </w:rPr>
              <w:t>120.pantā</w:t>
            </w:r>
            <w:r w:rsidR="00FE4FFC" w:rsidRPr="00E63395">
              <w:rPr>
                <w:rFonts w:ascii="Times New Roman" w:eastAsia="Times New Roman" w:hAnsi="Times New Roman" w:cs="Times New Roman"/>
                <w:iCs/>
                <w:sz w:val="24"/>
                <w:szCs w:val="24"/>
                <w:lang w:eastAsia="lv-LV"/>
              </w:rPr>
              <w:t xml:space="preserve"> ir paredzēta atbildība par rakstveida un lietisko pierādījumu neiesniegšanu, proti, ja tiesai nav paziņots, ka nav iespējams iesniegt pieprasītos rakstveida vai lietiskos pierādījumus, vai arī tie nav iesniegti tādu iemeslu dēļ, kurus tiesa atzinusi par neattaisnojošiem, tiesa var uzlikt vainīgajai personai naudas </w:t>
            </w:r>
            <w:r w:rsidR="00FE4FFC" w:rsidRPr="00E63395">
              <w:rPr>
                <w:rFonts w:ascii="Times New Roman" w:eastAsia="Times New Roman" w:hAnsi="Times New Roman" w:cs="Times New Roman"/>
                <w:iCs/>
                <w:sz w:val="24"/>
                <w:szCs w:val="24"/>
                <w:u w:val="single"/>
                <w:lang w:eastAsia="lv-LV"/>
              </w:rPr>
              <w:t xml:space="preserve">sodu līdz 40 </w:t>
            </w:r>
            <w:proofErr w:type="spellStart"/>
            <w:r w:rsidR="00FE4FFC" w:rsidRPr="00E63395">
              <w:rPr>
                <w:rFonts w:ascii="Times New Roman" w:eastAsia="Times New Roman" w:hAnsi="Times New Roman" w:cs="Times New Roman"/>
                <w:i/>
                <w:iCs/>
                <w:sz w:val="24"/>
                <w:szCs w:val="24"/>
                <w:u w:val="single"/>
                <w:lang w:eastAsia="lv-LV"/>
              </w:rPr>
              <w:t>euro</w:t>
            </w:r>
            <w:proofErr w:type="spellEnd"/>
            <w:r w:rsidR="00FE4FFC" w:rsidRPr="00E63395">
              <w:rPr>
                <w:rFonts w:ascii="Times New Roman" w:eastAsia="Times New Roman" w:hAnsi="Times New Roman" w:cs="Times New Roman"/>
                <w:i/>
                <w:iCs/>
                <w:sz w:val="24"/>
                <w:szCs w:val="24"/>
                <w:lang w:eastAsia="lv-LV"/>
              </w:rPr>
              <w:t>.</w:t>
            </w:r>
            <w:r w:rsidR="00FE4FFC" w:rsidRPr="00E63395">
              <w:rPr>
                <w:rFonts w:ascii="Times New Roman" w:eastAsia="Times New Roman" w:hAnsi="Times New Roman" w:cs="Times New Roman"/>
                <w:iCs/>
                <w:sz w:val="24"/>
                <w:szCs w:val="24"/>
                <w:lang w:eastAsia="lv-LV"/>
              </w:rPr>
              <w:t xml:space="preserve"> </w:t>
            </w:r>
          </w:p>
          <w:p w:rsidR="007C7AD7" w:rsidRPr="00E63395" w:rsidRDefault="007C7AD7"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 xml:space="preserve">Lai samazinātu iespēju, ka trešās personas iznīcina to rīcībā esošo informāciju, </w:t>
            </w:r>
            <w:r w:rsidRPr="00E63395">
              <w:rPr>
                <w:rFonts w:ascii="Times New Roman" w:eastAsia="Times New Roman" w:hAnsi="Times New Roman" w:cs="Times New Roman"/>
                <w:iCs/>
                <w:sz w:val="24"/>
                <w:szCs w:val="24"/>
                <w:u w:val="single"/>
                <w:lang w:eastAsia="lv-LV"/>
              </w:rPr>
              <w:t xml:space="preserve">Likumprojekts </w:t>
            </w:r>
            <w:r w:rsidR="008B0219" w:rsidRPr="00E63395">
              <w:rPr>
                <w:rFonts w:ascii="Times New Roman" w:eastAsia="Times New Roman" w:hAnsi="Times New Roman" w:cs="Times New Roman"/>
                <w:iCs/>
                <w:sz w:val="24"/>
                <w:szCs w:val="24"/>
                <w:u w:val="single"/>
                <w:lang w:eastAsia="lv-LV"/>
              </w:rPr>
              <w:t xml:space="preserve">paredz </w:t>
            </w:r>
            <w:r w:rsidRPr="00E63395">
              <w:rPr>
                <w:rFonts w:ascii="Times New Roman" w:eastAsia="Times New Roman" w:hAnsi="Times New Roman" w:cs="Times New Roman"/>
                <w:iCs/>
                <w:sz w:val="24"/>
                <w:szCs w:val="24"/>
                <w:u w:val="single"/>
                <w:lang w:eastAsia="lv-LV"/>
              </w:rPr>
              <w:t>papildin</w:t>
            </w:r>
            <w:r w:rsidR="008B0219" w:rsidRPr="00E63395">
              <w:rPr>
                <w:rFonts w:ascii="Times New Roman" w:eastAsia="Times New Roman" w:hAnsi="Times New Roman" w:cs="Times New Roman"/>
                <w:iCs/>
                <w:sz w:val="24"/>
                <w:szCs w:val="24"/>
                <w:u w:val="single"/>
                <w:lang w:eastAsia="lv-LV"/>
              </w:rPr>
              <w:t>āt</w:t>
            </w:r>
            <w:r w:rsidRPr="00E63395">
              <w:rPr>
                <w:rFonts w:ascii="Times New Roman" w:eastAsia="Times New Roman" w:hAnsi="Times New Roman" w:cs="Times New Roman"/>
                <w:iCs/>
                <w:sz w:val="24"/>
                <w:szCs w:val="24"/>
                <w:u w:val="single"/>
                <w:lang w:eastAsia="lv-LV"/>
              </w:rPr>
              <w:t xml:space="preserve"> Civilprocesa likumu ar </w:t>
            </w:r>
            <w:r w:rsidR="008B0219" w:rsidRPr="00E63395">
              <w:rPr>
                <w:rFonts w:ascii="Times New Roman" w:eastAsia="Times New Roman" w:hAnsi="Times New Roman" w:cs="Times New Roman"/>
                <w:iCs/>
                <w:sz w:val="24"/>
                <w:szCs w:val="24"/>
                <w:u w:val="single"/>
                <w:lang w:eastAsia="lv-LV"/>
              </w:rPr>
              <w:t>250</w:t>
            </w:r>
            <w:r w:rsidRPr="00E63395">
              <w:rPr>
                <w:rFonts w:ascii="Times New Roman" w:eastAsia="Times New Roman" w:hAnsi="Times New Roman" w:cs="Times New Roman"/>
                <w:iCs/>
                <w:sz w:val="24"/>
                <w:szCs w:val="24"/>
                <w:u w:val="single"/>
                <w:lang w:eastAsia="lv-LV"/>
              </w:rPr>
              <w:t>.</w:t>
            </w:r>
            <w:r w:rsidR="008B0219" w:rsidRPr="00E63395">
              <w:rPr>
                <w:rFonts w:ascii="Times New Roman" w:eastAsia="Times New Roman" w:hAnsi="Times New Roman" w:cs="Times New Roman"/>
                <w:iCs/>
                <w:sz w:val="24"/>
                <w:szCs w:val="24"/>
                <w:u w:val="single"/>
                <w:vertAlign w:val="superscript"/>
                <w:lang w:eastAsia="lv-LV"/>
              </w:rPr>
              <w:t>69</w:t>
            </w:r>
            <w:r w:rsidRPr="00E63395">
              <w:rPr>
                <w:rFonts w:ascii="Times New Roman" w:eastAsia="Times New Roman" w:hAnsi="Times New Roman" w:cs="Times New Roman"/>
                <w:iCs/>
                <w:sz w:val="24"/>
                <w:szCs w:val="24"/>
                <w:u w:val="single"/>
                <w:lang w:eastAsia="lv-LV"/>
              </w:rPr>
              <w:t xml:space="preserve"> pantu</w:t>
            </w:r>
            <w:r w:rsidRPr="00E63395">
              <w:rPr>
                <w:rFonts w:ascii="Times New Roman" w:eastAsia="Times New Roman" w:hAnsi="Times New Roman" w:cs="Times New Roman"/>
                <w:iCs/>
                <w:sz w:val="24"/>
                <w:szCs w:val="24"/>
                <w:lang w:eastAsia="lv-LV"/>
              </w:rPr>
              <w:t xml:space="preserve">, nosakot atbildību par rakstveida pierādījumu iznīcināšanu zaudējumu atlīdzības lietās par konkurences tiesību pārkāpumu. Sankcijas mērķis ir preventīvi novērst personu ļaunprātīgu rīcību, iznīcinot pierādījumus, kā arī sodīt gadījumos, ja persona šādu rīcību jau ir veikusi. </w:t>
            </w:r>
          </w:p>
          <w:p w:rsidR="00D34FAC" w:rsidRPr="00E63395" w:rsidRDefault="00D34FAC" w:rsidP="00E63395">
            <w:pPr>
              <w:spacing w:after="0" w:line="240" w:lineRule="auto"/>
              <w:jc w:val="both"/>
              <w:rPr>
                <w:rFonts w:ascii="Times New Roman" w:eastAsia="Times New Roman" w:hAnsi="Times New Roman" w:cs="Times New Roman"/>
                <w:iCs/>
                <w:sz w:val="24"/>
                <w:szCs w:val="24"/>
                <w:lang w:eastAsia="lv-LV"/>
              </w:rPr>
            </w:pPr>
          </w:p>
          <w:p w:rsidR="00C11A44" w:rsidRPr="00E63395" w:rsidRDefault="00C11A44" w:rsidP="00E63395">
            <w:pPr>
              <w:pStyle w:val="ListParagraph"/>
              <w:numPr>
                <w:ilvl w:val="0"/>
                <w:numId w:val="7"/>
              </w:numPr>
              <w:spacing w:after="0" w:line="240" w:lineRule="auto"/>
              <w:jc w:val="both"/>
              <w:rPr>
                <w:rFonts w:ascii="Times New Roman" w:eastAsia="Times New Roman" w:hAnsi="Times New Roman" w:cs="Times New Roman"/>
                <w:b/>
                <w:iCs/>
                <w:sz w:val="24"/>
                <w:szCs w:val="24"/>
                <w:u w:val="single"/>
                <w:lang w:eastAsia="lv-LV"/>
              </w:rPr>
            </w:pPr>
            <w:r w:rsidRPr="00E63395">
              <w:rPr>
                <w:rFonts w:ascii="Times New Roman" w:eastAsia="Times New Roman" w:hAnsi="Times New Roman" w:cs="Times New Roman"/>
                <w:b/>
                <w:iCs/>
                <w:sz w:val="24"/>
                <w:szCs w:val="24"/>
                <w:u w:val="single"/>
                <w:lang w:eastAsia="lv-LV"/>
              </w:rPr>
              <w:t>Konkurences</w:t>
            </w:r>
            <w:r w:rsidR="00D34FAC" w:rsidRPr="00E63395">
              <w:rPr>
                <w:rFonts w:ascii="Times New Roman" w:eastAsia="Times New Roman" w:hAnsi="Times New Roman" w:cs="Times New Roman"/>
                <w:b/>
                <w:iCs/>
                <w:sz w:val="24"/>
                <w:szCs w:val="24"/>
                <w:u w:val="single"/>
                <w:lang w:eastAsia="lv-LV"/>
              </w:rPr>
              <w:t xml:space="preserve"> tiesību</w:t>
            </w:r>
            <w:r w:rsidRPr="00E63395">
              <w:rPr>
                <w:rFonts w:ascii="Times New Roman" w:eastAsia="Times New Roman" w:hAnsi="Times New Roman" w:cs="Times New Roman"/>
                <w:b/>
                <w:iCs/>
                <w:sz w:val="24"/>
                <w:szCs w:val="24"/>
                <w:u w:val="single"/>
                <w:lang w:eastAsia="lv-LV"/>
              </w:rPr>
              <w:t xml:space="preserve"> pārkāpums, kas konstatēts ar Konkurences padomes lēmumu, nav no jauna jāpierāda</w:t>
            </w:r>
          </w:p>
          <w:p w:rsidR="00D47E75" w:rsidRPr="00E63395" w:rsidRDefault="00D47E75" w:rsidP="00E63395">
            <w:pPr>
              <w:pStyle w:val="ListParagraph"/>
              <w:spacing w:after="0" w:line="240" w:lineRule="auto"/>
              <w:jc w:val="both"/>
              <w:rPr>
                <w:rFonts w:ascii="Times New Roman" w:eastAsia="Times New Roman" w:hAnsi="Times New Roman" w:cs="Times New Roman"/>
                <w:b/>
                <w:iCs/>
                <w:sz w:val="24"/>
                <w:szCs w:val="24"/>
                <w:u w:val="single"/>
                <w:lang w:eastAsia="lv-LV"/>
              </w:rPr>
            </w:pPr>
          </w:p>
          <w:p w:rsidR="00E63395" w:rsidRPr="00E63395" w:rsidRDefault="00C11A44" w:rsidP="00E63395">
            <w:pPr>
              <w:spacing w:after="0" w:line="240" w:lineRule="auto"/>
              <w:ind w:firstLine="533"/>
              <w:jc w:val="both"/>
              <w:rPr>
                <w:rFonts w:ascii="Times New Roman" w:hAnsi="Times New Roman" w:cs="Times New Roman"/>
                <w:sz w:val="24"/>
                <w:szCs w:val="24"/>
              </w:rPr>
            </w:pPr>
            <w:r w:rsidRPr="00E63395">
              <w:rPr>
                <w:rFonts w:ascii="Times New Roman" w:hAnsi="Times New Roman" w:cs="Times New Roman"/>
                <w:sz w:val="24"/>
                <w:szCs w:val="24"/>
              </w:rPr>
              <w:t xml:space="preserve">Šobrīd Civilprocesa likuma 96.panta otrā daļa paredz, ka fakti, kas nodibināti ar likumīgā spēkā stājušos spriedumu vienā civillietā, nav no jauna jāpierāda, iztiesājot citas civillietas, kurās piedalās tās pašas puses. Norādāms, ka Civilprocesa likums nenoteic administratīvo tiesu nolēmumu </w:t>
            </w:r>
            <w:proofErr w:type="spellStart"/>
            <w:r w:rsidRPr="00E63395">
              <w:rPr>
                <w:rFonts w:ascii="Times New Roman" w:hAnsi="Times New Roman" w:cs="Times New Roman"/>
                <w:sz w:val="24"/>
                <w:szCs w:val="24"/>
              </w:rPr>
              <w:t>prejudicialitāti</w:t>
            </w:r>
            <w:proofErr w:type="spellEnd"/>
            <w:r w:rsidRPr="00E63395">
              <w:rPr>
                <w:rFonts w:ascii="Times New Roman" w:hAnsi="Times New Roman" w:cs="Times New Roman"/>
                <w:sz w:val="24"/>
                <w:szCs w:val="24"/>
              </w:rPr>
              <w:t xml:space="preserve"> civillietās</w:t>
            </w:r>
            <w:r w:rsidRPr="00E63395">
              <w:rPr>
                <w:rStyle w:val="FootnoteReference"/>
                <w:rFonts w:ascii="Times New Roman" w:hAnsi="Times New Roman" w:cs="Times New Roman"/>
                <w:sz w:val="24"/>
                <w:szCs w:val="24"/>
              </w:rPr>
              <w:footnoteReference w:id="1"/>
            </w:r>
            <w:r w:rsidRPr="00E63395">
              <w:rPr>
                <w:rFonts w:ascii="Times New Roman" w:hAnsi="Times New Roman" w:cs="Times New Roman"/>
                <w:sz w:val="24"/>
                <w:szCs w:val="24"/>
              </w:rPr>
              <w:t xml:space="preserve">, tādēļ praksē pastāv situācijas, kad administratīvajā kārtībā izskatīta lieta ir no jauna jāpierāda arī civiltiesiskā kārtībā. </w:t>
            </w:r>
          </w:p>
          <w:p w:rsidR="006E27FE" w:rsidRPr="00E63395" w:rsidRDefault="006E27FE" w:rsidP="00E63395">
            <w:pPr>
              <w:spacing w:after="0" w:line="240" w:lineRule="auto"/>
              <w:ind w:firstLine="533"/>
              <w:jc w:val="both"/>
              <w:rPr>
                <w:rFonts w:ascii="Times New Roman" w:hAnsi="Times New Roman" w:cs="Times New Roman"/>
                <w:sz w:val="24"/>
                <w:szCs w:val="24"/>
              </w:rPr>
            </w:pPr>
            <w:r w:rsidRPr="00E63395">
              <w:rPr>
                <w:rFonts w:ascii="Times New Roman" w:eastAsia="Times New Roman" w:hAnsi="Times New Roman" w:cs="Times New Roman"/>
                <w:iCs/>
                <w:sz w:val="24"/>
                <w:szCs w:val="24"/>
                <w:lang w:eastAsia="lv-LV"/>
              </w:rPr>
              <w:t xml:space="preserve">Tādēļ Likumprojekts papildina </w:t>
            </w:r>
            <w:r w:rsidR="008B0219" w:rsidRPr="00E63395">
              <w:rPr>
                <w:rFonts w:ascii="Times New Roman" w:eastAsia="Times New Roman" w:hAnsi="Times New Roman" w:cs="Times New Roman"/>
                <w:iCs/>
                <w:sz w:val="24"/>
                <w:szCs w:val="24"/>
                <w:lang w:eastAsia="lv-LV"/>
              </w:rPr>
              <w:t>Civilprocesa likumu ar 250.</w:t>
            </w:r>
            <w:r w:rsidR="008B0219" w:rsidRPr="00E63395">
              <w:rPr>
                <w:rFonts w:ascii="Times New Roman" w:eastAsia="Times New Roman" w:hAnsi="Times New Roman" w:cs="Times New Roman"/>
                <w:iCs/>
                <w:sz w:val="24"/>
                <w:szCs w:val="24"/>
                <w:vertAlign w:val="superscript"/>
                <w:lang w:eastAsia="lv-LV"/>
              </w:rPr>
              <w:t>68</w:t>
            </w:r>
            <w:r w:rsidR="008B0219" w:rsidRPr="00E63395">
              <w:rPr>
                <w:rFonts w:ascii="Times New Roman" w:eastAsia="Times New Roman" w:hAnsi="Times New Roman" w:cs="Times New Roman"/>
                <w:iCs/>
                <w:sz w:val="24"/>
                <w:szCs w:val="24"/>
                <w:lang w:eastAsia="lv-LV"/>
              </w:rPr>
              <w:t xml:space="preserve"> </w:t>
            </w:r>
            <w:r w:rsidRPr="00E63395">
              <w:rPr>
                <w:rFonts w:ascii="Times New Roman" w:eastAsia="Times New Roman" w:hAnsi="Times New Roman" w:cs="Times New Roman"/>
                <w:iCs/>
                <w:sz w:val="24"/>
                <w:szCs w:val="24"/>
                <w:lang w:eastAsia="lv-LV"/>
              </w:rPr>
              <w:t xml:space="preserve">pantu, kurš paplašina pamatu atbrīvošanai no pierādīšanas, proti, </w:t>
            </w:r>
            <w:r w:rsidR="008B0219" w:rsidRPr="00E63395">
              <w:rPr>
                <w:rFonts w:ascii="Times New Roman" w:eastAsia="Times New Roman" w:hAnsi="Times New Roman" w:cs="Times New Roman"/>
                <w:iCs/>
                <w:sz w:val="24"/>
                <w:szCs w:val="24"/>
                <w:lang w:eastAsia="lv-LV"/>
              </w:rPr>
              <w:t xml:space="preserve">konkurences tiesību pārkāpums, kas konstatēts ar </w:t>
            </w:r>
            <w:r w:rsidRPr="00E63395">
              <w:rPr>
                <w:rFonts w:ascii="Times New Roman" w:eastAsia="Times New Roman" w:hAnsi="Times New Roman" w:cs="Times New Roman"/>
                <w:iCs/>
                <w:sz w:val="24"/>
                <w:szCs w:val="24"/>
                <w:lang w:eastAsia="lv-LV"/>
              </w:rPr>
              <w:t xml:space="preserve">Konkurences padomes lēmumu, kas ir stājies spēkā un kļuvis neapstrīdams un nepārsūdzams, vai līgumā spēkā stājies tiesas spriedumu, no jauna nav jāpierāda. </w:t>
            </w:r>
            <w:r w:rsidR="008B0219" w:rsidRPr="00E63395">
              <w:rPr>
                <w:rFonts w:ascii="Times New Roman" w:eastAsia="Times New Roman" w:hAnsi="Times New Roman" w:cs="Times New Roman"/>
                <w:iCs/>
                <w:sz w:val="24"/>
                <w:szCs w:val="24"/>
                <w:lang w:eastAsia="lv-LV"/>
              </w:rPr>
              <w:t>Konkurences tiesību pārkāpumu, kas konstatēts ar spēkā stājušos citas dalībvalsts konkurences iestādes lēmumu tiek uzskatīts par pierādītu, kamēr netiek pierādīts pretējais.</w:t>
            </w:r>
          </w:p>
          <w:p w:rsidR="00FE4FFC" w:rsidRPr="00E63395" w:rsidRDefault="00FE4FFC" w:rsidP="00E63395">
            <w:pPr>
              <w:spacing w:after="0" w:line="240" w:lineRule="auto"/>
              <w:ind w:firstLine="395"/>
              <w:jc w:val="both"/>
              <w:rPr>
                <w:rFonts w:ascii="Times New Roman" w:eastAsia="Times New Roman" w:hAnsi="Times New Roman" w:cs="Times New Roman"/>
                <w:iCs/>
                <w:sz w:val="24"/>
                <w:szCs w:val="24"/>
                <w:lang w:eastAsia="lv-LV"/>
              </w:rPr>
            </w:pPr>
          </w:p>
          <w:p w:rsidR="00D34FAC" w:rsidRPr="00E63395" w:rsidRDefault="00D34FAC" w:rsidP="00E63395">
            <w:pPr>
              <w:pStyle w:val="ListParagraph"/>
              <w:numPr>
                <w:ilvl w:val="0"/>
                <w:numId w:val="7"/>
              </w:numPr>
              <w:spacing w:after="0" w:line="240" w:lineRule="auto"/>
              <w:jc w:val="both"/>
              <w:rPr>
                <w:rFonts w:ascii="Times New Roman" w:eastAsia="Times New Roman" w:hAnsi="Times New Roman" w:cs="Times New Roman"/>
                <w:b/>
                <w:iCs/>
                <w:sz w:val="24"/>
                <w:szCs w:val="24"/>
                <w:u w:val="single"/>
                <w:lang w:eastAsia="lv-LV"/>
              </w:rPr>
            </w:pPr>
            <w:r w:rsidRPr="00E63395">
              <w:rPr>
                <w:rFonts w:ascii="Times New Roman" w:eastAsia="Times New Roman" w:hAnsi="Times New Roman" w:cs="Times New Roman"/>
                <w:b/>
                <w:iCs/>
                <w:sz w:val="24"/>
                <w:szCs w:val="24"/>
                <w:u w:val="single"/>
                <w:lang w:eastAsia="lv-LV"/>
              </w:rPr>
              <w:t>T</w:t>
            </w:r>
            <w:r w:rsidR="007C7AD7" w:rsidRPr="00E63395">
              <w:rPr>
                <w:rFonts w:ascii="Times New Roman" w:eastAsia="Times New Roman" w:hAnsi="Times New Roman" w:cs="Times New Roman"/>
                <w:b/>
                <w:iCs/>
                <w:sz w:val="24"/>
                <w:szCs w:val="24"/>
                <w:u w:val="single"/>
                <w:lang w:eastAsia="lv-LV"/>
              </w:rPr>
              <w:t>iesvedības apturēšana izlīguma panākšanai</w:t>
            </w:r>
          </w:p>
          <w:p w:rsidR="00D34FAC" w:rsidRPr="00E63395" w:rsidRDefault="00D34FAC" w:rsidP="00E63395">
            <w:pPr>
              <w:pStyle w:val="ListParagraph"/>
              <w:spacing w:after="0" w:line="240" w:lineRule="auto"/>
              <w:jc w:val="both"/>
              <w:rPr>
                <w:rFonts w:ascii="Times New Roman" w:eastAsia="Times New Roman" w:hAnsi="Times New Roman" w:cs="Times New Roman"/>
                <w:b/>
                <w:iCs/>
                <w:sz w:val="24"/>
                <w:szCs w:val="24"/>
                <w:u w:val="single"/>
                <w:lang w:eastAsia="lv-LV"/>
              </w:rPr>
            </w:pPr>
          </w:p>
          <w:p w:rsidR="00E63395" w:rsidRPr="00E63395" w:rsidRDefault="00DF5433"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eastAsia="Times New Roman" w:hAnsi="Times New Roman" w:cs="Times New Roman"/>
                <w:iCs/>
                <w:sz w:val="24"/>
                <w:szCs w:val="24"/>
                <w:lang w:eastAsia="lv-LV"/>
              </w:rPr>
              <w:t>Likumprojekts paredz papildināt</w:t>
            </w:r>
            <w:r w:rsidR="002C3D9A" w:rsidRPr="00E63395">
              <w:rPr>
                <w:rFonts w:ascii="Times New Roman" w:eastAsia="Times New Roman" w:hAnsi="Times New Roman" w:cs="Times New Roman"/>
                <w:iCs/>
                <w:sz w:val="24"/>
                <w:szCs w:val="24"/>
                <w:lang w:eastAsia="lv-LV"/>
              </w:rPr>
              <w:t xml:space="preserve"> Civilprocesa likuma</w:t>
            </w:r>
            <w:r w:rsidRPr="00E63395">
              <w:rPr>
                <w:rFonts w:ascii="Times New Roman" w:eastAsia="Times New Roman" w:hAnsi="Times New Roman" w:cs="Times New Roman"/>
                <w:iCs/>
                <w:sz w:val="24"/>
                <w:szCs w:val="24"/>
                <w:lang w:eastAsia="lv-LV"/>
              </w:rPr>
              <w:t xml:space="preserve"> 21</w:t>
            </w:r>
            <w:r w:rsidR="006C2194">
              <w:rPr>
                <w:rFonts w:ascii="Times New Roman" w:eastAsia="Times New Roman" w:hAnsi="Times New Roman" w:cs="Times New Roman"/>
                <w:iCs/>
                <w:sz w:val="24"/>
                <w:szCs w:val="24"/>
                <w:lang w:eastAsia="lv-LV"/>
              </w:rPr>
              <w:t>4</w:t>
            </w:r>
            <w:r w:rsidRPr="00E63395">
              <w:rPr>
                <w:rFonts w:ascii="Times New Roman" w:eastAsia="Times New Roman" w:hAnsi="Times New Roman" w:cs="Times New Roman"/>
                <w:iCs/>
                <w:sz w:val="24"/>
                <w:szCs w:val="24"/>
                <w:lang w:eastAsia="lv-LV"/>
              </w:rPr>
              <w:t>.pantu ar 7.</w:t>
            </w:r>
            <w:r w:rsidR="006C2194">
              <w:rPr>
                <w:rFonts w:ascii="Times New Roman" w:eastAsia="Times New Roman" w:hAnsi="Times New Roman" w:cs="Times New Roman"/>
                <w:iCs/>
                <w:sz w:val="24"/>
                <w:szCs w:val="24"/>
                <w:lang w:eastAsia="lv-LV"/>
              </w:rPr>
              <w:t xml:space="preserve"> un 8.</w:t>
            </w:r>
            <w:r w:rsidRPr="00E63395">
              <w:rPr>
                <w:rFonts w:ascii="Times New Roman" w:eastAsia="Times New Roman" w:hAnsi="Times New Roman" w:cs="Times New Roman"/>
                <w:iCs/>
                <w:sz w:val="24"/>
                <w:szCs w:val="24"/>
                <w:lang w:eastAsia="lv-LV"/>
              </w:rPr>
              <w:t>punktu, a</w:t>
            </w:r>
            <w:r w:rsidR="006C2194">
              <w:rPr>
                <w:rFonts w:ascii="Times New Roman" w:eastAsia="Times New Roman" w:hAnsi="Times New Roman" w:cs="Times New Roman"/>
                <w:iCs/>
                <w:sz w:val="24"/>
                <w:szCs w:val="24"/>
                <w:lang w:eastAsia="lv-LV"/>
              </w:rPr>
              <w:t>r kuriem tiks noteikts tiesas</w:t>
            </w:r>
            <w:r w:rsidRPr="00E63395">
              <w:rPr>
                <w:rFonts w:ascii="Times New Roman" w:eastAsia="Times New Roman" w:hAnsi="Times New Roman" w:cs="Times New Roman"/>
                <w:iCs/>
                <w:sz w:val="24"/>
                <w:szCs w:val="24"/>
                <w:lang w:eastAsia="lv-LV"/>
              </w:rPr>
              <w:t xml:space="preserve"> </w:t>
            </w:r>
            <w:r w:rsidR="006C2194">
              <w:rPr>
                <w:rFonts w:ascii="Times New Roman" w:eastAsia="Times New Roman" w:hAnsi="Times New Roman" w:cs="Times New Roman"/>
                <w:iCs/>
                <w:sz w:val="24"/>
                <w:szCs w:val="24"/>
                <w:lang w:eastAsia="lv-LV"/>
              </w:rPr>
              <w:t xml:space="preserve">pienākums apturēt tiesvedību, gadījuma, ja starp pusēm notiek konkurences tiesību pārkāpumu izraisīta strīda izšķiršana vienošanās ceļā, kā arī gadījuma, ja </w:t>
            </w:r>
            <w:r w:rsidR="00BB38CE">
              <w:rPr>
                <w:rFonts w:ascii="Times New Roman" w:eastAsia="Times New Roman" w:hAnsi="Times New Roman" w:cs="Times New Roman"/>
                <w:iCs/>
                <w:sz w:val="24"/>
                <w:szCs w:val="24"/>
                <w:lang w:eastAsia="lv-LV"/>
              </w:rPr>
              <w:t>k</w:t>
            </w:r>
            <w:bookmarkStart w:id="0" w:name="_GoBack"/>
            <w:bookmarkEnd w:id="0"/>
            <w:r w:rsidR="006C2194">
              <w:rPr>
                <w:rFonts w:ascii="Times New Roman" w:eastAsia="Times New Roman" w:hAnsi="Times New Roman" w:cs="Times New Roman"/>
                <w:iCs/>
                <w:sz w:val="24"/>
                <w:szCs w:val="24"/>
                <w:lang w:eastAsia="lv-LV"/>
              </w:rPr>
              <w:t xml:space="preserve">onkurences </w:t>
            </w:r>
            <w:r w:rsidR="00BB38CE">
              <w:rPr>
                <w:rFonts w:ascii="Times New Roman" w:eastAsia="Times New Roman" w:hAnsi="Times New Roman" w:cs="Times New Roman"/>
                <w:iCs/>
                <w:sz w:val="24"/>
                <w:szCs w:val="24"/>
                <w:lang w:eastAsia="lv-LV"/>
              </w:rPr>
              <w:lastRenderedPageBreak/>
              <w:t>iestāde</w:t>
            </w:r>
            <w:r w:rsidR="006C2194">
              <w:rPr>
                <w:rFonts w:ascii="Times New Roman" w:eastAsia="Times New Roman" w:hAnsi="Times New Roman" w:cs="Times New Roman"/>
                <w:iCs/>
                <w:sz w:val="24"/>
                <w:szCs w:val="24"/>
                <w:lang w:eastAsia="lv-LV"/>
              </w:rPr>
              <w:t xml:space="preserve"> izskata lietu par konkurences tiesību pārkāpumu, kas saistīta ar prasījumu, kas attiecas uz zaudējumu atlīdzināšanu.</w:t>
            </w:r>
          </w:p>
          <w:p w:rsidR="00E63395" w:rsidRPr="00E63395" w:rsidRDefault="002C3D9A"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hAnsi="Times New Roman" w:cs="Times New Roman"/>
                <w:sz w:val="24"/>
                <w:szCs w:val="24"/>
              </w:rPr>
              <w:t>Likumprojekt</w:t>
            </w:r>
            <w:r w:rsidR="006C2194">
              <w:rPr>
                <w:rFonts w:ascii="Times New Roman" w:hAnsi="Times New Roman" w:cs="Times New Roman"/>
                <w:sz w:val="24"/>
                <w:szCs w:val="24"/>
              </w:rPr>
              <w:t xml:space="preserve">s papildinās arī Civilprocesa likumu ar 216.panta 9. un 10.punktu, kuros tiks noteikts termiņš, uz kādu tiek apturēta tiesvedība lietā. </w:t>
            </w:r>
            <w:r w:rsidRPr="00E63395">
              <w:rPr>
                <w:rFonts w:ascii="Times New Roman" w:hAnsi="Times New Roman" w:cs="Times New Roman"/>
                <w:sz w:val="24"/>
                <w:szCs w:val="24"/>
              </w:rPr>
              <w:t xml:space="preserve"> </w:t>
            </w:r>
            <w:r w:rsidR="006C2194">
              <w:rPr>
                <w:rFonts w:ascii="Times New Roman" w:hAnsi="Times New Roman" w:cs="Times New Roman"/>
                <w:sz w:val="24"/>
                <w:szCs w:val="24"/>
              </w:rPr>
              <w:t>T</w:t>
            </w:r>
            <w:r w:rsidR="006C2194" w:rsidRPr="00E63395">
              <w:rPr>
                <w:rFonts w:ascii="Times New Roman" w:hAnsi="Times New Roman" w:cs="Times New Roman"/>
                <w:sz w:val="24"/>
                <w:szCs w:val="24"/>
              </w:rPr>
              <w:t>ermiņš, uz kuru tiesa var atlikt lietas izskatīšanu nevar būt ilgāks par diviem gadiem.</w:t>
            </w:r>
          </w:p>
          <w:p w:rsidR="003E7ECF" w:rsidRPr="00E63395" w:rsidRDefault="00485FC9" w:rsidP="00E63395">
            <w:pPr>
              <w:spacing w:after="0" w:line="240" w:lineRule="auto"/>
              <w:ind w:firstLine="533"/>
              <w:jc w:val="both"/>
              <w:rPr>
                <w:rFonts w:ascii="Times New Roman" w:eastAsia="Times New Roman" w:hAnsi="Times New Roman" w:cs="Times New Roman"/>
                <w:iCs/>
                <w:sz w:val="24"/>
                <w:szCs w:val="24"/>
                <w:lang w:eastAsia="lv-LV"/>
              </w:rPr>
            </w:pPr>
            <w:r w:rsidRPr="00E63395">
              <w:rPr>
                <w:rFonts w:ascii="Times New Roman" w:hAnsi="Times New Roman" w:cs="Times New Roman"/>
                <w:sz w:val="24"/>
                <w:szCs w:val="24"/>
              </w:rPr>
              <w:t xml:space="preserve">Ņemot vērā </w:t>
            </w:r>
            <w:r w:rsidR="008B0219" w:rsidRPr="00E63395">
              <w:rPr>
                <w:rFonts w:ascii="Times New Roman" w:hAnsi="Times New Roman" w:cs="Times New Roman"/>
                <w:sz w:val="24"/>
                <w:szCs w:val="24"/>
              </w:rPr>
              <w:t xml:space="preserve">Direktīvā noteikto Direktīvas prasību pārņemšanas laiku </w:t>
            </w:r>
            <w:r w:rsidRPr="00E63395">
              <w:rPr>
                <w:rFonts w:ascii="Times New Roman" w:hAnsi="Times New Roman" w:cs="Times New Roman"/>
                <w:sz w:val="24"/>
                <w:szCs w:val="24"/>
              </w:rPr>
              <w:t xml:space="preserve"> ir nepieciešams arī noteikt, ka likums stājas spēkā 2016. gada 27. decembrī.</w:t>
            </w:r>
          </w:p>
        </w:tc>
      </w:tr>
      <w:tr w:rsidR="003E7ECF" w:rsidRPr="00E63395" w:rsidTr="00485FC9">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lastRenderedPageBreak/>
              <w:t>3.</w:t>
            </w:r>
          </w:p>
        </w:tc>
        <w:tc>
          <w:tcPr>
            <w:tcW w:w="1599"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Projekta izstrādē iesaistītās institūcijas</w:t>
            </w:r>
          </w:p>
        </w:tc>
        <w:tc>
          <w:tcPr>
            <w:tcW w:w="3155" w:type="pct"/>
            <w:tcBorders>
              <w:top w:val="outset" w:sz="6" w:space="0" w:color="414142"/>
              <w:left w:val="outset" w:sz="6" w:space="0" w:color="414142"/>
              <w:bottom w:val="outset" w:sz="6" w:space="0" w:color="414142"/>
              <w:right w:val="outset" w:sz="6" w:space="0" w:color="414142"/>
            </w:tcBorders>
            <w:hideMark/>
          </w:tcPr>
          <w:p w:rsidR="003E7ECF" w:rsidRPr="00E63395" w:rsidRDefault="00485FC9" w:rsidP="00E63395">
            <w:pPr>
              <w:spacing w:after="0" w:line="240" w:lineRule="auto"/>
              <w:jc w:val="both"/>
              <w:rPr>
                <w:rFonts w:ascii="Times New Roman" w:hAnsi="Times New Roman" w:cs="Times New Roman"/>
                <w:color w:val="000000"/>
                <w:sz w:val="24"/>
                <w:szCs w:val="24"/>
                <w:shd w:val="clear" w:color="auto" w:fill="FFFFFF"/>
              </w:rPr>
            </w:pPr>
            <w:r w:rsidRPr="00E63395">
              <w:rPr>
                <w:rFonts w:ascii="Times New Roman" w:hAnsi="Times New Roman" w:cs="Times New Roman"/>
                <w:color w:val="000000"/>
                <w:sz w:val="24"/>
                <w:szCs w:val="24"/>
                <w:shd w:val="clear" w:color="auto" w:fill="FFFFFF"/>
              </w:rPr>
              <w:t xml:space="preserve">Projekts izstrādāts sadarbībā ar Konkurences padomi. </w:t>
            </w:r>
          </w:p>
          <w:p w:rsidR="00691FF1" w:rsidRPr="00E63395" w:rsidRDefault="00691FF1" w:rsidP="00E63395">
            <w:pPr>
              <w:spacing w:after="0" w:line="240" w:lineRule="auto"/>
              <w:jc w:val="both"/>
              <w:rPr>
                <w:rFonts w:ascii="Times New Roman" w:eastAsia="Times New Roman" w:hAnsi="Times New Roman" w:cs="Times New Roman"/>
                <w:sz w:val="24"/>
                <w:szCs w:val="24"/>
                <w:lang w:eastAsia="lv-LV"/>
              </w:rPr>
            </w:pPr>
            <w:r w:rsidRPr="00E63395">
              <w:rPr>
                <w:rFonts w:ascii="Times New Roman" w:hAnsi="Times New Roman" w:cs="Times New Roman"/>
                <w:sz w:val="24"/>
                <w:szCs w:val="24"/>
                <w:lang w:eastAsia="lv-LV"/>
              </w:rPr>
              <w:t xml:space="preserve">Projekts ir </w:t>
            </w:r>
            <w:r w:rsidR="006A411C" w:rsidRPr="00E63395">
              <w:rPr>
                <w:rFonts w:ascii="Times New Roman" w:hAnsi="Times New Roman" w:cs="Times New Roman"/>
                <w:sz w:val="24"/>
                <w:szCs w:val="24"/>
                <w:lang w:eastAsia="lv-LV"/>
              </w:rPr>
              <w:t xml:space="preserve">izskatīts un atbalstīts arī </w:t>
            </w:r>
            <w:r w:rsidR="00441B1A" w:rsidRPr="00E63395">
              <w:rPr>
                <w:rFonts w:ascii="Times New Roman" w:hAnsi="Times New Roman" w:cs="Times New Roman"/>
                <w:sz w:val="24"/>
                <w:szCs w:val="24"/>
              </w:rPr>
              <w:t>Tieslietu ministrijas Civilprocesa likumu grozījumu izstrādei izveidotajā pastāvīgajā darba grupā</w:t>
            </w:r>
            <w:r w:rsidRPr="00E63395">
              <w:rPr>
                <w:rFonts w:ascii="Times New Roman" w:hAnsi="Times New Roman" w:cs="Times New Roman"/>
                <w:sz w:val="24"/>
                <w:szCs w:val="24"/>
                <w:lang w:eastAsia="lv-LV"/>
              </w:rPr>
              <w:t>.</w:t>
            </w:r>
          </w:p>
        </w:tc>
      </w:tr>
      <w:tr w:rsidR="003E7ECF" w:rsidRPr="00E63395" w:rsidTr="00485FC9">
        <w:tc>
          <w:tcPr>
            <w:tcW w:w="246"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4.</w:t>
            </w:r>
          </w:p>
        </w:tc>
        <w:tc>
          <w:tcPr>
            <w:tcW w:w="1599"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Cita informācija</w:t>
            </w:r>
          </w:p>
        </w:tc>
        <w:tc>
          <w:tcPr>
            <w:tcW w:w="3155"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Nav.</w:t>
            </w:r>
          </w:p>
        </w:tc>
      </w:tr>
      <w:tr w:rsidR="003E7ECF" w:rsidRPr="00E63395" w:rsidTr="00485FC9">
        <w:trPr>
          <w:trHeight w:val="128"/>
        </w:trPr>
        <w:tc>
          <w:tcPr>
            <w:tcW w:w="5000" w:type="pct"/>
            <w:gridSpan w:val="3"/>
            <w:tcBorders>
              <w:top w:val="outset" w:sz="6" w:space="0" w:color="414142"/>
              <w:left w:val="nil"/>
              <w:bottom w:val="outset" w:sz="6" w:space="0" w:color="414142"/>
              <w:right w:val="nil"/>
            </w:tcBorders>
            <w:hideMark/>
          </w:tcPr>
          <w:p w:rsidR="003E7ECF" w:rsidRPr="00E63395" w:rsidRDefault="003E7ECF" w:rsidP="00E63395">
            <w:pPr>
              <w:tabs>
                <w:tab w:val="left" w:pos="990"/>
              </w:tabs>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ab/>
            </w:r>
          </w:p>
        </w:tc>
      </w:tr>
    </w:tbl>
    <w:p w:rsidR="003E7ECF" w:rsidRPr="00E63395" w:rsidRDefault="003E7ECF" w:rsidP="00E63395">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E7ECF" w:rsidRPr="00E63395" w:rsidTr="003E7ECF">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3E7ECF" w:rsidRPr="00E63395" w:rsidRDefault="003E7ECF" w:rsidP="00E63395">
            <w:pPr>
              <w:spacing w:after="0" w:line="240" w:lineRule="auto"/>
              <w:ind w:firstLine="300"/>
              <w:jc w:val="center"/>
              <w:rPr>
                <w:rFonts w:ascii="Times New Roman" w:eastAsia="Times New Roman" w:hAnsi="Times New Roman" w:cs="Times New Roman"/>
                <w:b/>
                <w:bCs/>
                <w:sz w:val="24"/>
                <w:szCs w:val="24"/>
                <w:lang w:eastAsia="lv-LV"/>
              </w:rPr>
            </w:pPr>
            <w:r w:rsidRPr="00E6339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E7ECF" w:rsidRPr="00E63395" w:rsidTr="003E7EC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 xml:space="preserve">Sabiedrības </w:t>
            </w:r>
            <w:proofErr w:type="spellStart"/>
            <w:r w:rsidRPr="00E63395">
              <w:rPr>
                <w:rFonts w:ascii="Times New Roman" w:eastAsia="Times New Roman" w:hAnsi="Times New Roman" w:cs="Times New Roman"/>
                <w:sz w:val="24"/>
                <w:szCs w:val="24"/>
                <w:lang w:eastAsia="lv-LV"/>
              </w:rPr>
              <w:t>mērķgrupas</w:t>
            </w:r>
            <w:proofErr w:type="spellEnd"/>
            <w:r w:rsidRPr="00E63395">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E7ECF" w:rsidRPr="00E63395" w:rsidRDefault="00485FC9" w:rsidP="00E63395">
            <w:pPr>
              <w:spacing w:after="0" w:line="240" w:lineRule="auto"/>
              <w:jc w:val="both"/>
              <w:rPr>
                <w:rFonts w:ascii="Times New Roman" w:eastAsia="Times New Roman" w:hAnsi="Times New Roman" w:cs="Times New Roman"/>
                <w:sz w:val="24"/>
                <w:szCs w:val="24"/>
                <w:lang w:eastAsia="lv-LV"/>
              </w:rPr>
            </w:pPr>
            <w:r w:rsidRPr="00E63395">
              <w:rPr>
                <w:rFonts w:ascii="Times New Roman" w:hAnsi="Times New Roman" w:cs="Times New Roman"/>
                <w:color w:val="000000"/>
                <w:sz w:val="24"/>
                <w:szCs w:val="24"/>
                <w:shd w:val="clear" w:color="auto" w:fill="FFFFFF"/>
              </w:rPr>
              <w:t>Tirgus dalībnieki, t.i., visas personas, kas veic saimniecisko darbību un var ietekmēt konkurenci, kā arī patērētāji un jebkura cita persona, kas cietusi zaudējumus no konkurences tiesību pārkāpuma.</w:t>
            </w:r>
          </w:p>
        </w:tc>
      </w:tr>
      <w:tr w:rsidR="003E7ECF" w:rsidRPr="00E63395" w:rsidTr="003E7EC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85FC9" w:rsidRPr="00E63395" w:rsidRDefault="00485FC9" w:rsidP="00E63395">
            <w:pPr>
              <w:spacing w:after="0" w:line="240" w:lineRule="auto"/>
              <w:jc w:val="both"/>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 xml:space="preserve">Likumprojekts </w:t>
            </w:r>
            <w:proofErr w:type="spellStart"/>
            <w:r w:rsidRPr="00E63395">
              <w:rPr>
                <w:rFonts w:ascii="Times New Roman" w:eastAsia="Times New Roman" w:hAnsi="Times New Roman" w:cs="Times New Roman"/>
                <w:sz w:val="24"/>
                <w:szCs w:val="24"/>
                <w:lang w:eastAsia="lv-LV"/>
              </w:rPr>
              <w:t>efektivizēs</w:t>
            </w:r>
            <w:proofErr w:type="spellEnd"/>
            <w:r w:rsidRPr="00E63395">
              <w:rPr>
                <w:rFonts w:ascii="Times New Roman" w:eastAsia="Times New Roman" w:hAnsi="Times New Roman" w:cs="Times New Roman"/>
                <w:sz w:val="24"/>
                <w:szCs w:val="24"/>
                <w:lang w:eastAsia="lv-LV"/>
              </w:rPr>
              <w:t xml:space="preserve"> konkurences lietu izskatīšanu, preventīvi veicinās konkurences tiesību ievērošanu, tiesisko pienākumu izpildi, ar konkurences tiesību pārkāpuma rezultātā nodarīto zaudējumu atlīdzību, tādējādi sekmējot godīgu konkurenci un veicinās tautsaimniecības attīstību.</w:t>
            </w:r>
          </w:p>
          <w:p w:rsidR="003E7ECF" w:rsidRPr="00E63395" w:rsidRDefault="00485FC9"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Personas savas tiesības varēs aizstāvēt normatīvajos aktos noteiktajā kārtībā.</w:t>
            </w:r>
          </w:p>
        </w:tc>
      </w:tr>
      <w:tr w:rsidR="003E7ECF" w:rsidRPr="00E63395" w:rsidTr="003E7EC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Nav.</w:t>
            </w:r>
          </w:p>
        </w:tc>
      </w:tr>
      <w:tr w:rsidR="003E7ECF" w:rsidRPr="00E63395" w:rsidTr="003E7EC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Nav.</w:t>
            </w:r>
          </w:p>
        </w:tc>
      </w:tr>
    </w:tbl>
    <w:p w:rsidR="00D34FAC" w:rsidRPr="00E63395" w:rsidRDefault="00D34FAC" w:rsidP="00E63395">
      <w:pPr>
        <w:spacing w:after="0" w:line="240" w:lineRule="auto"/>
        <w:rPr>
          <w:rFonts w:ascii="Times New Roman" w:eastAsia="Times New Roman" w:hAnsi="Times New Roman" w:cs="Times New Roman"/>
          <w:sz w:val="24"/>
          <w:szCs w:val="24"/>
          <w:lang w:eastAsia="lv-LV"/>
        </w:rPr>
      </w:pPr>
    </w:p>
    <w:tbl>
      <w:tblPr>
        <w:tblW w:w="5007"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9074"/>
      </w:tblGrid>
      <w:tr w:rsidR="00D34FAC" w:rsidRPr="00E63395" w:rsidTr="00691FF7">
        <w:trPr>
          <w:trHeight w:val="360"/>
        </w:trPr>
        <w:tc>
          <w:tcPr>
            <w:tcW w:w="9008" w:type="dxa"/>
            <w:vAlign w:val="center"/>
            <w:hideMark/>
          </w:tcPr>
          <w:p w:rsidR="00D34FAC" w:rsidRPr="00E63395" w:rsidRDefault="00D34FAC" w:rsidP="00E63395">
            <w:pPr>
              <w:spacing w:after="0" w:line="240" w:lineRule="auto"/>
              <w:ind w:firstLine="301"/>
              <w:jc w:val="center"/>
              <w:rPr>
                <w:rFonts w:ascii="Times New Roman" w:eastAsia="Times New Roman" w:hAnsi="Times New Roman" w:cs="Times New Roman"/>
                <w:b/>
                <w:bCs/>
                <w:sz w:val="24"/>
                <w:szCs w:val="24"/>
                <w:lang w:eastAsia="lv-LV"/>
              </w:rPr>
            </w:pPr>
            <w:r w:rsidRPr="00E63395">
              <w:rPr>
                <w:rFonts w:ascii="Times New Roman" w:eastAsia="Times New Roman" w:hAnsi="Times New Roman" w:cs="Times New Roman"/>
                <w:sz w:val="24"/>
                <w:szCs w:val="24"/>
                <w:lang w:eastAsia="lv-LV"/>
              </w:rPr>
              <w:t> </w:t>
            </w:r>
            <w:r w:rsidRPr="00E63395">
              <w:rPr>
                <w:rFonts w:ascii="Times New Roman" w:eastAsia="Times New Roman" w:hAnsi="Times New Roman" w:cs="Times New Roman"/>
                <w:b/>
                <w:bCs/>
                <w:sz w:val="24"/>
                <w:szCs w:val="24"/>
                <w:lang w:eastAsia="lv-LV"/>
              </w:rPr>
              <w:t>III. Tiesību akta projekta ietekme uz valsts budžetu un pašvaldību budžetiem</w:t>
            </w:r>
          </w:p>
        </w:tc>
      </w:tr>
      <w:tr w:rsidR="00D34FAC" w:rsidRPr="00E63395" w:rsidTr="00691FF7">
        <w:trPr>
          <w:trHeight w:val="360"/>
        </w:trPr>
        <w:tc>
          <w:tcPr>
            <w:tcW w:w="9008" w:type="dxa"/>
            <w:vAlign w:val="center"/>
          </w:tcPr>
          <w:p w:rsidR="00D34FAC" w:rsidRPr="00E63395" w:rsidRDefault="00D34FAC" w:rsidP="00E63395">
            <w:pPr>
              <w:spacing w:after="0" w:line="240" w:lineRule="auto"/>
              <w:jc w:val="center"/>
              <w:rPr>
                <w:rFonts w:ascii="Times New Roman" w:hAnsi="Times New Roman" w:cs="Times New Roman"/>
                <w:i/>
                <w:sz w:val="24"/>
                <w:szCs w:val="24"/>
                <w:lang w:eastAsia="lv-LV"/>
              </w:rPr>
            </w:pPr>
            <w:r w:rsidRPr="00E63395">
              <w:rPr>
                <w:rFonts w:ascii="Times New Roman" w:hAnsi="Times New Roman" w:cs="Times New Roman"/>
                <w:i/>
                <w:sz w:val="24"/>
                <w:szCs w:val="24"/>
                <w:lang w:eastAsia="lv-LV"/>
              </w:rPr>
              <w:t>Projekts šo jomu neskar</w:t>
            </w:r>
          </w:p>
        </w:tc>
      </w:tr>
    </w:tbl>
    <w:p w:rsidR="00D34FAC" w:rsidRPr="00E63395" w:rsidRDefault="00D34FAC" w:rsidP="00E63395">
      <w:pPr>
        <w:spacing w:after="0" w:line="240" w:lineRule="auto"/>
        <w:rPr>
          <w:rFonts w:ascii="Times New Roman" w:eastAsia="Times New Roman" w:hAnsi="Times New Roman" w:cs="Times New Roman"/>
          <w:vanish/>
          <w:sz w:val="24"/>
          <w:szCs w:val="24"/>
          <w:lang w:eastAsia="lv-LV"/>
        </w:rPr>
      </w:pPr>
    </w:p>
    <w:p w:rsidR="003E7ECF" w:rsidRPr="00E63395" w:rsidRDefault="003E7ECF" w:rsidP="00E6339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3E7ECF" w:rsidRPr="00E63395" w:rsidTr="003E7ECF">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E7ECF" w:rsidRPr="00E63395" w:rsidRDefault="003E7ECF" w:rsidP="00E63395">
            <w:pPr>
              <w:spacing w:after="0" w:line="240" w:lineRule="auto"/>
              <w:ind w:firstLine="300"/>
              <w:jc w:val="center"/>
              <w:rPr>
                <w:rFonts w:ascii="Times New Roman" w:eastAsia="Times New Roman" w:hAnsi="Times New Roman" w:cs="Times New Roman"/>
                <w:b/>
                <w:bCs/>
                <w:sz w:val="24"/>
                <w:szCs w:val="24"/>
                <w:lang w:eastAsia="lv-LV"/>
              </w:rPr>
            </w:pPr>
            <w:r w:rsidRPr="00E63395">
              <w:rPr>
                <w:rFonts w:ascii="Times New Roman" w:eastAsia="Times New Roman" w:hAnsi="Times New Roman" w:cs="Times New Roman"/>
                <w:b/>
                <w:bCs/>
                <w:sz w:val="24"/>
                <w:szCs w:val="24"/>
                <w:lang w:eastAsia="lv-LV"/>
              </w:rPr>
              <w:t>IV. Tiesību akta projekta ietekme uz spēkā esošo tiesību normu sistēmu</w:t>
            </w:r>
          </w:p>
        </w:tc>
      </w:tr>
      <w:tr w:rsidR="003E7ECF" w:rsidRPr="00E63395" w:rsidTr="003E7ECF">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85FC9" w:rsidRPr="00E63395" w:rsidRDefault="00485FC9"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Vienlaikus ar likumprojektu virzām</w:t>
            </w:r>
            <w:r w:rsidR="00691FF1" w:rsidRPr="00E63395">
              <w:rPr>
                <w:rFonts w:ascii="Times New Roman" w:eastAsia="Times New Roman" w:hAnsi="Times New Roman" w:cs="Times New Roman"/>
                <w:sz w:val="24"/>
                <w:szCs w:val="24"/>
                <w:lang w:eastAsia="lv-LV"/>
              </w:rPr>
              <w:t>s</w:t>
            </w:r>
            <w:r w:rsidRPr="00E63395">
              <w:rPr>
                <w:rFonts w:ascii="Times New Roman" w:eastAsia="Times New Roman" w:hAnsi="Times New Roman" w:cs="Times New Roman"/>
                <w:sz w:val="24"/>
                <w:szCs w:val="24"/>
                <w:lang w:eastAsia="lv-LV"/>
              </w:rPr>
              <w:t xml:space="preserve"> šād</w:t>
            </w:r>
            <w:r w:rsidR="00691FF1" w:rsidRPr="00E63395">
              <w:rPr>
                <w:rFonts w:ascii="Times New Roman" w:eastAsia="Times New Roman" w:hAnsi="Times New Roman" w:cs="Times New Roman"/>
                <w:sz w:val="24"/>
                <w:szCs w:val="24"/>
                <w:lang w:eastAsia="lv-LV"/>
              </w:rPr>
              <w:t>s</w:t>
            </w:r>
            <w:r w:rsidRPr="00E63395">
              <w:rPr>
                <w:rFonts w:ascii="Times New Roman" w:eastAsia="Times New Roman" w:hAnsi="Times New Roman" w:cs="Times New Roman"/>
                <w:sz w:val="24"/>
                <w:szCs w:val="24"/>
                <w:lang w:eastAsia="lv-LV"/>
              </w:rPr>
              <w:t xml:space="preserve"> </w:t>
            </w:r>
            <w:r w:rsidR="00C872F7" w:rsidRPr="00E63395">
              <w:rPr>
                <w:rFonts w:ascii="Times New Roman" w:eastAsia="Times New Roman" w:hAnsi="Times New Roman" w:cs="Times New Roman"/>
                <w:sz w:val="24"/>
                <w:szCs w:val="24"/>
                <w:lang w:eastAsia="lv-LV"/>
              </w:rPr>
              <w:t xml:space="preserve">normatīvo aktu </w:t>
            </w:r>
            <w:r w:rsidR="00691FF1" w:rsidRPr="00E63395">
              <w:rPr>
                <w:rFonts w:ascii="Times New Roman" w:eastAsia="Times New Roman" w:hAnsi="Times New Roman" w:cs="Times New Roman"/>
                <w:sz w:val="24"/>
                <w:szCs w:val="24"/>
                <w:lang w:eastAsia="lv-LV"/>
              </w:rPr>
              <w:t xml:space="preserve">projekts - </w:t>
            </w:r>
            <w:r w:rsidRPr="00E63395">
              <w:rPr>
                <w:rFonts w:ascii="Times New Roman" w:eastAsia="Times New Roman" w:hAnsi="Times New Roman" w:cs="Times New Roman"/>
                <w:iCs/>
                <w:sz w:val="24"/>
                <w:szCs w:val="24"/>
                <w:lang w:eastAsia="lv-LV"/>
              </w:rPr>
              <w:t>„Grozījumi Konkurences likumā”</w:t>
            </w:r>
            <w:r w:rsidR="00C872F7" w:rsidRPr="00E63395">
              <w:rPr>
                <w:rFonts w:ascii="Times New Roman" w:eastAsia="Times New Roman" w:hAnsi="Times New Roman" w:cs="Times New Roman"/>
                <w:iCs/>
                <w:sz w:val="24"/>
                <w:szCs w:val="24"/>
                <w:lang w:eastAsia="lv-LV"/>
              </w:rPr>
              <w:t>.</w:t>
            </w:r>
          </w:p>
          <w:p w:rsidR="003E7ECF"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iCs/>
                <w:color w:val="000000" w:themeColor="text1"/>
                <w:sz w:val="24"/>
                <w:szCs w:val="24"/>
                <w:lang w:eastAsia="lv-LV"/>
              </w:rPr>
              <w:t>Papildus ir precizēti Ministru kabineta 2008.gada 29.septembra noteikumi Nr. 798 “Noteikumi par atsevišķu horizontālo sadarbības vienošanos nepakļaušanu Konkurences likuma 11.panta pirmajā daļā noteiktajam vienošanās aizliegumam”.</w:t>
            </w:r>
          </w:p>
        </w:tc>
      </w:tr>
      <w:tr w:rsidR="003E7ECF" w:rsidRPr="00E63395" w:rsidTr="003E7ECF">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3E7ECF" w:rsidRPr="00E63395" w:rsidRDefault="00485FC9"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Ekonomikas ministrija.</w:t>
            </w:r>
          </w:p>
        </w:tc>
      </w:tr>
      <w:tr w:rsidR="003E7ECF" w:rsidRPr="00E63395" w:rsidTr="003E7ECF">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Nav.</w:t>
            </w:r>
          </w:p>
        </w:tc>
      </w:tr>
    </w:tbl>
    <w:p w:rsidR="00E63395" w:rsidRPr="00E63395" w:rsidRDefault="00E63395" w:rsidP="00E63395">
      <w:pPr>
        <w:spacing w:after="0" w:line="240" w:lineRule="auto"/>
        <w:rPr>
          <w:rFonts w:ascii="Times New Roman" w:eastAsia="Times New Roman" w:hAnsi="Times New Roman" w:cs="Times New Roman"/>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1547"/>
        <w:gridCol w:w="1077"/>
        <w:gridCol w:w="2153"/>
        <w:gridCol w:w="1969"/>
        <w:gridCol w:w="1854"/>
      </w:tblGrid>
      <w:tr w:rsidR="00D34FAC" w:rsidRPr="00E63395" w:rsidTr="00691FF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34FAC" w:rsidRPr="00E63395" w:rsidRDefault="00D34FAC" w:rsidP="00E63395">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E63395">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D34FAC" w:rsidRPr="00E63395" w:rsidTr="00691FF7">
        <w:tc>
          <w:tcPr>
            <w:tcW w:w="235" w:type="pct"/>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jc w:val="both"/>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1.</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jc w:val="both"/>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Saistības pret Eiropas Savienību</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jc w:val="both"/>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r w:rsidRPr="00E63395">
              <w:rPr>
                <w:rFonts w:ascii="Times New Roman" w:eastAsia="Times New Roman" w:hAnsi="Times New Roman" w:cs="Times New Roman"/>
                <w:bCs/>
                <w:color w:val="000000" w:themeColor="text1"/>
                <w:sz w:val="24"/>
                <w:szCs w:val="24"/>
                <w:lang w:eastAsia="lv-LV"/>
              </w:rPr>
              <w:t xml:space="preserve">. Saskaņā ar </w:t>
            </w:r>
            <w:r w:rsidRPr="00E63395">
              <w:rPr>
                <w:rFonts w:ascii="Times New Roman" w:eastAsia="Times New Roman" w:hAnsi="Times New Roman" w:cs="Times New Roman"/>
                <w:color w:val="000000" w:themeColor="text1"/>
                <w:sz w:val="24"/>
                <w:szCs w:val="24"/>
                <w:lang w:eastAsia="lv-LV"/>
              </w:rPr>
              <w:t>Direktīvas 2014/104/ES</w:t>
            </w:r>
            <w:r w:rsidRPr="00E63395">
              <w:rPr>
                <w:rFonts w:ascii="Times New Roman" w:eastAsia="Times New Roman" w:hAnsi="Times New Roman" w:cs="Times New Roman"/>
                <w:bCs/>
                <w:color w:val="000000" w:themeColor="text1"/>
                <w:sz w:val="24"/>
                <w:szCs w:val="24"/>
                <w:lang w:eastAsia="lv-LV"/>
              </w:rPr>
              <w:t xml:space="preserve"> 27.pantu tās ieviešanas termiņš ir 2016.gada 27.decembris</w:t>
            </w:r>
          </w:p>
        </w:tc>
      </w:tr>
      <w:tr w:rsidR="00D34FAC" w:rsidRPr="00E63395" w:rsidTr="00691FF7">
        <w:tc>
          <w:tcPr>
            <w:tcW w:w="235" w:type="pct"/>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jc w:val="both"/>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2.</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jc w:val="both"/>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Citas starptautiskās saistības</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ind w:firstLine="14"/>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Projekts šo jomu neskar</w:t>
            </w:r>
          </w:p>
        </w:tc>
      </w:tr>
      <w:tr w:rsidR="00D34FAC" w:rsidRPr="00E63395" w:rsidTr="00691FF7">
        <w:tc>
          <w:tcPr>
            <w:tcW w:w="235" w:type="pct"/>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jc w:val="both"/>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3.</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jc w:val="both"/>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Cita informācija</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D34FAC" w:rsidRPr="00E63395" w:rsidRDefault="00D34FAC" w:rsidP="00E63395">
            <w:pPr>
              <w:spacing w:after="0" w:line="240" w:lineRule="auto"/>
              <w:ind w:firstLine="14"/>
              <w:jc w:val="both"/>
              <w:rPr>
                <w:rFonts w:ascii="Times New Roman" w:eastAsia="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Nav</w:t>
            </w:r>
          </w:p>
        </w:tc>
      </w:tr>
      <w:tr w:rsidR="00D34FAC" w:rsidRPr="00E63395" w:rsidTr="00691FF7">
        <w:trPr>
          <w:cantSplit/>
          <w:trHeight w:val="523"/>
        </w:trPr>
        <w:tc>
          <w:tcPr>
            <w:tcW w:w="5000" w:type="pct"/>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D34FAC" w:rsidRPr="00E63395" w:rsidRDefault="00D34FAC" w:rsidP="00E63395">
            <w:pPr>
              <w:spacing w:after="0" w:line="240" w:lineRule="auto"/>
              <w:jc w:val="center"/>
              <w:rPr>
                <w:rFonts w:ascii="Times New Roman" w:hAnsi="Times New Roman" w:cs="Times New Roman"/>
                <w:b/>
                <w:color w:val="000000" w:themeColor="text1"/>
                <w:sz w:val="24"/>
                <w:szCs w:val="24"/>
                <w:lang w:eastAsia="lv-LV"/>
              </w:rPr>
            </w:pPr>
            <w:r w:rsidRPr="00E63395">
              <w:rPr>
                <w:rFonts w:ascii="Times New Roman" w:hAnsi="Times New Roman" w:cs="Times New Roman"/>
                <w:b/>
                <w:color w:val="000000" w:themeColor="text1"/>
                <w:sz w:val="24"/>
                <w:szCs w:val="24"/>
                <w:lang w:eastAsia="lv-LV"/>
              </w:rPr>
              <w:t>1.tabula</w:t>
            </w:r>
          </w:p>
          <w:p w:rsidR="00D34FAC" w:rsidRPr="00E63395" w:rsidRDefault="00D34FAC" w:rsidP="00E63395">
            <w:pPr>
              <w:spacing w:after="0" w:line="240" w:lineRule="auto"/>
              <w:ind w:left="57"/>
              <w:jc w:val="center"/>
              <w:rPr>
                <w:rFonts w:ascii="Times New Roman" w:hAnsi="Times New Roman" w:cs="Times New Roman"/>
                <w:b/>
                <w:color w:val="000000" w:themeColor="text1"/>
                <w:sz w:val="24"/>
                <w:szCs w:val="24"/>
                <w:lang w:eastAsia="lv-LV"/>
              </w:rPr>
            </w:pPr>
            <w:r w:rsidRPr="00E63395">
              <w:rPr>
                <w:rFonts w:ascii="Times New Roman" w:hAnsi="Times New Roman" w:cs="Times New Roman"/>
                <w:b/>
                <w:color w:val="000000" w:themeColor="text1"/>
                <w:sz w:val="24"/>
                <w:szCs w:val="24"/>
                <w:lang w:eastAsia="lv-LV"/>
              </w:rPr>
              <w:t>Tiesību akta projekta atbilstība ES tiesību aktiem</w:t>
            </w:r>
          </w:p>
        </w:tc>
      </w:tr>
      <w:tr w:rsidR="00D34FAC" w:rsidRPr="00E63395" w:rsidTr="00691FF7">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ind w:left="57"/>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Attiecīgā ES tiesību akta datums, numurs un nosaukums</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ind w:left="57"/>
              <w:jc w:val="both"/>
              <w:rPr>
                <w:rFonts w:ascii="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p>
        </w:tc>
      </w:tr>
      <w:tr w:rsidR="00D34FAC" w:rsidRPr="00E63395" w:rsidTr="00691FF7">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D34FAC" w:rsidRPr="00E63395" w:rsidRDefault="00D34FAC" w:rsidP="00E63395">
            <w:pPr>
              <w:spacing w:after="0" w:line="240" w:lineRule="auto"/>
              <w:ind w:left="57"/>
              <w:jc w:val="center"/>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D34FAC" w:rsidRPr="00E63395" w:rsidRDefault="00D34FAC" w:rsidP="00E63395">
            <w:pPr>
              <w:spacing w:after="0" w:line="240" w:lineRule="auto"/>
              <w:ind w:left="57"/>
              <w:jc w:val="center"/>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B</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D34FAC" w:rsidRPr="00E63395" w:rsidRDefault="00D34FAC" w:rsidP="00E63395">
            <w:pPr>
              <w:spacing w:after="0" w:line="240" w:lineRule="auto"/>
              <w:ind w:left="57"/>
              <w:jc w:val="center"/>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C</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D34FAC" w:rsidRPr="00E63395" w:rsidRDefault="00D34FAC" w:rsidP="00E63395">
            <w:pPr>
              <w:spacing w:after="0" w:line="240" w:lineRule="auto"/>
              <w:ind w:left="57"/>
              <w:jc w:val="center"/>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D</w:t>
            </w:r>
          </w:p>
        </w:tc>
      </w:tr>
      <w:tr w:rsidR="00D34FAC" w:rsidRPr="00E63395" w:rsidTr="00691FF7">
        <w:trPr>
          <w:cantSplit/>
          <w:trHeight w:val="682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lastRenderedPageBreak/>
              <w:t>Attiecīgā ES tiesību akta panta numurs (uzskaitot katru tiesību akta vienību – pantu, daļu, punktu, apakšpunktu)</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E63395">
                <w:rPr>
                  <w:rFonts w:ascii="Times New Roman" w:hAnsi="Times New Roman" w:cs="Times New Roman"/>
                  <w:color w:val="000000" w:themeColor="text1"/>
                  <w:spacing w:val="-3"/>
                  <w:sz w:val="24"/>
                  <w:szCs w:val="24"/>
                  <w:lang w:eastAsia="lv-LV"/>
                </w:rPr>
                <w:t>akts</w:t>
              </w:r>
            </w:smartTag>
            <w:r w:rsidRPr="00E63395">
              <w:rPr>
                <w:rFonts w:ascii="Times New Roman" w:hAnsi="Times New Roman" w:cs="Times New Roman"/>
                <w:color w:val="000000" w:themeColor="text1"/>
                <w:spacing w:val="-3"/>
                <w:sz w:val="24"/>
                <w:szCs w:val="24"/>
                <w:lang w:eastAsia="lv-LV"/>
              </w:rPr>
              <w:t>, kur attiecīgā ES tiesību akta vienība pārņemta vai ieviesta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Informācija par to, vai šīs tabulas A ailē minētās ES tiesību akta vienības tiek pārņemtas vai ieviestas pilnībā vai daļēji.</w:t>
            </w:r>
          </w:p>
          <w:p w:rsidR="00D34FAC" w:rsidRPr="00E63395" w:rsidRDefault="00D34FAC" w:rsidP="00E63395">
            <w:pPr>
              <w:spacing w:after="0" w:line="240" w:lineRule="auto"/>
              <w:ind w:left="57"/>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D34FAC" w:rsidRPr="00E63395" w:rsidRDefault="00D34FAC" w:rsidP="00E63395">
            <w:pPr>
              <w:spacing w:after="0" w:line="240" w:lineRule="auto"/>
              <w:ind w:left="57"/>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Norāda institūciju, kas ir atbildīga par šo saistību izpildi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pacing w:val="-3"/>
                <w:sz w:val="24"/>
                <w:szCs w:val="24"/>
                <w:lang w:eastAsia="lv-LV"/>
              </w:rPr>
              <w:t xml:space="preserve">Informācija par to, vai šīs </w:t>
            </w:r>
            <w:r w:rsidRPr="00E63395">
              <w:rPr>
                <w:rFonts w:ascii="Times New Roman" w:hAnsi="Times New Roman" w:cs="Times New Roman"/>
                <w:color w:val="000000" w:themeColor="text1"/>
                <w:sz w:val="24"/>
                <w:szCs w:val="24"/>
                <w:lang w:eastAsia="lv-LV"/>
              </w:rPr>
              <w:t>tabulas B ailē minētās projekta vienības paredz stingrākas prasības nekā šīs tabulas A ailē minētās ES tiesību akta vienības.</w:t>
            </w:r>
          </w:p>
          <w:p w:rsidR="00D34FAC" w:rsidRPr="00E63395" w:rsidRDefault="00D34FAC" w:rsidP="00E63395">
            <w:pPr>
              <w:spacing w:after="0" w:line="240" w:lineRule="auto"/>
              <w:ind w:left="57"/>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E63395">
                <w:rPr>
                  <w:rFonts w:ascii="Times New Roman" w:hAnsi="Times New Roman" w:cs="Times New Roman"/>
                  <w:color w:val="000000" w:themeColor="text1"/>
                  <w:sz w:val="24"/>
                  <w:szCs w:val="24"/>
                  <w:lang w:eastAsia="lv-LV"/>
                </w:rPr>
                <w:t>akts</w:t>
              </w:r>
            </w:smartTag>
            <w:r w:rsidRPr="00E63395">
              <w:rPr>
                <w:rFonts w:ascii="Times New Roman" w:hAnsi="Times New Roman" w:cs="Times New Roman"/>
                <w:color w:val="000000" w:themeColor="text1"/>
                <w:sz w:val="24"/>
                <w:szCs w:val="24"/>
                <w:lang w:eastAsia="lv-LV"/>
              </w:rPr>
              <w:t>, norāda pamatojumu un samērīgumu.</w:t>
            </w:r>
          </w:p>
          <w:p w:rsidR="00D34FAC" w:rsidRPr="00E63395" w:rsidRDefault="00D34FAC" w:rsidP="00E63395">
            <w:pPr>
              <w:spacing w:after="0" w:line="240" w:lineRule="auto"/>
              <w:ind w:left="57"/>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w:t>
            </w:r>
            <w:r w:rsidRPr="00E63395">
              <w:rPr>
                <w:rFonts w:ascii="Times New Roman" w:hAnsi="Times New Roman" w:cs="Times New Roman"/>
                <w:color w:val="000000" w:themeColor="text1"/>
                <w:spacing w:val="-3"/>
                <w:sz w:val="24"/>
                <w:szCs w:val="24"/>
                <w:lang w:eastAsia="lv-LV"/>
              </w:rPr>
              <w:t xml:space="preserve"> noteikšanas, nekā paredzēts attiecīgajos ES tiesību aktos</w:t>
            </w:r>
          </w:p>
        </w:tc>
      </w:tr>
      <w:tr w:rsidR="00D34FAC"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highlight w:val="yellow"/>
                <w:lang w:eastAsia="lv-LV"/>
              </w:rPr>
            </w:pPr>
            <w:r w:rsidRPr="00E63395">
              <w:rPr>
                <w:rFonts w:ascii="Times New Roman" w:hAnsi="Times New Roman" w:cs="Times New Roman"/>
                <w:color w:val="000000" w:themeColor="text1"/>
                <w:spacing w:val="-3"/>
                <w:sz w:val="24"/>
                <w:szCs w:val="24"/>
                <w:lang w:eastAsia="lv-LV"/>
              </w:rPr>
              <w:t>1.pants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highlight w:val="yellow"/>
                <w:lang w:eastAsia="lv-LV"/>
              </w:rPr>
            </w:pPr>
            <w:r w:rsidRPr="00E63395">
              <w:rPr>
                <w:rFonts w:ascii="Times New Roman" w:hAnsi="Times New Roman" w:cs="Times New Roman"/>
                <w:color w:val="000000" w:themeColor="text1"/>
                <w:spacing w:val="-3"/>
                <w:sz w:val="24"/>
                <w:szCs w:val="24"/>
                <w:lang w:eastAsia="lv-LV"/>
              </w:rPr>
              <w:t>Likumprojekts “Grozījumi Konkurences likumā” 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2.panta 1. un 3.punkts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8F5594">
              <w:rPr>
                <w:rFonts w:ascii="Times New Roman" w:hAnsi="Times New Roman" w:cs="Times New Roman"/>
                <w:color w:val="000000" w:themeColor="text1"/>
                <w:spacing w:val="-3"/>
                <w:sz w:val="24"/>
                <w:szCs w:val="24"/>
                <w:lang w:eastAsia="lv-LV"/>
              </w:rPr>
              <w:t>a</w:t>
            </w:r>
            <w:r w:rsidRPr="00E63395">
              <w:rPr>
                <w:rFonts w:ascii="Times New Roman" w:hAnsi="Times New Roman" w:cs="Times New Roman"/>
                <w:color w:val="000000" w:themeColor="text1"/>
                <w:spacing w:val="-3"/>
                <w:sz w:val="24"/>
                <w:szCs w:val="24"/>
                <w:lang w:eastAsia="lv-LV"/>
              </w:rPr>
              <w:t xml:space="preserve"> </w:t>
            </w:r>
            <w:r w:rsidR="008F5594">
              <w:rPr>
                <w:rFonts w:ascii="Times New Roman" w:hAnsi="Times New Roman" w:cs="Times New Roman"/>
                <w:color w:val="000000" w:themeColor="text1"/>
                <w:spacing w:val="-3"/>
                <w:sz w:val="24"/>
                <w:szCs w:val="24"/>
                <w:lang w:eastAsia="lv-LV"/>
              </w:rPr>
              <w:t xml:space="preserve">“Grozījumi Civilprocesa likumā” </w:t>
            </w:r>
            <w:r w:rsidR="00B96C57">
              <w:rPr>
                <w:rFonts w:ascii="Times New Roman" w:hAnsi="Times New Roman" w:cs="Times New Roman"/>
                <w:color w:val="000000" w:themeColor="text1"/>
                <w:spacing w:val="-3"/>
                <w:sz w:val="24"/>
                <w:szCs w:val="24"/>
                <w:lang w:eastAsia="lv-LV"/>
              </w:rPr>
              <w:t>3.pants (Civilprocesa likuma 250.</w:t>
            </w:r>
            <w:r w:rsidR="00B96C57" w:rsidRPr="00B96C57">
              <w:rPr>
                <w:rFonts w:ascii="Times New Roman" w:hAnsi="Times New Roman" w:cs="Times New Roman"/>
                <w:color w:val="000000" w:themeColor="text1"/>
                <w:spacing w:val="-3"/>
                <w:sz w:val="24"/>
                <w:szCs w:val="24"/>
                <w:vertAlign w:val="superscript"/>
                <w:lang w:eastAsia="lv-LV"/>
              </w:rPr>
              <w:t>66</w:t>
            </w:r>
            <w:r w:rsidR="00B96C57">
              <w:rPr>
                <w:rFonts w:ascii="Times New Roman" w:hAnsi="Times New Roman" w:cs="Times New Roman"/>
                <w:color w:val="000000" w:themeColor="text1"/>
                <w:spacing w:val="-3"/>
                <w:sz w:val="24"/>
                <w:szCs w:val="24"/>
                <w:lang w:eastAsia="lv-LV"/>
              </w:rPr>
              <w:t xml:space="preserve"> panta (2) daļa un 250.</w:t>
            </w:r>
            <w:r w:rsidR="00B96C57" w:rsidRPr="00B96C57">
              <w:rPr>
                <w:rFonts w:ascii="Times New Roman" w:hAnsi="Times New Roman" w:cs="Times New Roman"/>
                <w:color w:val="000000" w:themeColor="text1"/>
                <w:spacing w:val="-3"/>
                <w:sz w:val="24"/>
                <w:szCs w:val="24"/>
                <w:vertAlign w:val="superscript"/>
                <w:lang w:eastAsia="lv-LV"/>
              </w:rPr>
              <w:t>6</w:t>
            </w:r>
            <w:r w:rsidR="00B96C57">
              <w:rPr>
                <w:rFonts w:ascii="Times New Roman" w:hAnsi="Times New Roman" w:cs="Times New Roman"/>
                <w:color w:val="000000" w:themeColor="text1"/>
                <w:spacing w:val="-3"/>
                <w:sz w:val="24"/>
                <w:szCs w:val="24"/>
                <w:vertAlign w:val="superscript"/>
                <w:lang w:eastAsia="lv-LV"/>
              </w:rPr>
              <w:t>5</w:t>
            </w:r>
            <w:r w:rsidR="00B96C57">
              <w:rPr>
                <w:rFonts w:ascii="Times New Roman" w:hAnsi="Times New Roman" w:cs="Times New Roman"/>
                <w:color w:val="000000" w:themeColor="text1"/>
                <w:spacing w:val="-3"/>
                <w:sz w:val="24"/>
                <w:szCs w:val="24"/>
                <w:lang w:eastAsia="lv-LV"/>
              </w:rPr>
              <w:t xml:space="preserve"> panta (2)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2.panta 14.punkts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8F5594">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8F5594">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2.panta 15.punkts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8F5594">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8F5594">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D43B2"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Default="00DD43B2" w:rsidP="00DD43B2">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lastRenderedPageBreak/>
              <w:t>2.panta 16</w:t>
            </w:r>
            <w:r w:rsidRPr="00E63395">
              <w:rPr>
                <w:rFonts w:ascii="Times New Roman" w:hAnsi="Times New Roman" w:cs="Times New Roman"/>
                <w:color w:val="000000" w:themeColor="text1"/>
                <w:spacing w:val="-3"/>
                <w:sz w:val="24"/>
                <w:szCs w:val="24"/>
                <w:lang w:eastAsia="lv-LV"/>
              </w:rPr>
              <w:t>.</w:t>
            </w:r>
            <w:r>
              <w:rPr>
                <w:rFonts w:ascii="Times New Roman" w:hAnsi="Times New Roman" w:cs="Times New Roman"/>
                <w:color w:val="000000" w:themeColor="text1"/>
                <w:spacing w:val="-3"/>
                <w:sz w:val="24"/>
                <w:szCs w:val="24"/>
                <w:lang w:eastAsia="lv-LV"/>
              </w:rPr>
              <w:t xml:space="preserve"> un 17.</w:t>
            </w:r>
            <w:r w:rsidRPr="00E63395">
              <w:rPr>
                <w:rFonts w:ascii="Times New Roman" w:hAnsi="Times New Roman" w:cs="Times New Roman"/>
                <w:color w:val="000000" w:themeColor="text1"/>
                <w:spacing w:val="-3"/>
                <w:sz w:val="24"/>
                <w:szCs w:val="24"/>
                <w:lang w:eastAsia="lv-LV"/>
              </w:rPr>
              <w:t>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Default="00DD43B2" w:rsidP="00DD43B2">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 “Grozījumi Civilprocesa likumā” 3.pants (Civilprocesa likums 250.</w:t>
            </w:r>
            <w:r w:rsidRPr="00DD43B2">
              <w:rPr>
                <w:rFonts w:ascii="Times New Roman" w:hAnsi="Times New Roman" w:cs="Times New Roman"/>
                <w:color w:val="000000" w:themeColor="text1"/>
                <w:spacing w:val="-3"/>
                <w:sz w:val="24"/>
                <w:szCs w:val="24"/>
                <w:vertAlign w:val="superscript"/>
                <w:lang w:eastAsia="lv-LV"/>
              </w:rPr>
              <w:t>66</w:t>
            </w:r>
            <w:r>
              <w:rPr>
                <w:rFonts w:ascii="Times New Roman" w:hAnsi="Times New Roman" w:cs="Times New Roman"/>
                <w:color w:val="000000" w:themeColor="text1"/>
                <w:spacing w:val="-3"/>
                <w:sz w:val="24"/>
                <w:szCs w:val="24"/>
                <w:lang w:eastAsia="lv-LV"/>
              </w:rPr>
              <w:t xml:space="preserve"> panta (5) daļas 2.punkts.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D43B2"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Default="00DD43B2" w:rsidP="00DD43B2">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2.panta 18</w:t>
            </w:r>
            <w:r w:rsidRPr="00E63395">
              <w:rPr>
                <w:rFonts w:ascii="Times New Roman" w:hAnsi="Times New Roman" w:cs="Times New Roman"/>
                <w:color w:val="000000" w:themeColor="text1"/>
                <w:spacing w:val="-3"/>
                <w:sz w:val="24"/>
                <w:szCs w:val="24"/>
                <w:lang w:eastAsia="lv-LV"/>
              </w:rPr>
              <w:t>.punkts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Default="00DD43B2" w:rsidP="00DD43B2">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 “Grozījumi Civilprocesa likumā” 3.pants (Civilprocesa likums 250.</w:t>
            </w:r>
            <w:r w:rsidRPr="00DD43B2">
              <w:rPr>
                <w:rFonts w:ascii="Times New Roman" w:hAnsi="Times New Roman" w:cs="Times New Roman"/>
                <w:color w:val="000000" w:themeColor="text1"/>
                <w:spacing w:val="-3"/>
                <w:sz w:val="24"/>
                <w:szCs w:val="24"/>
                <w:vertAlign w:val="superscript"/>
                <w:lang w:eastAsia="lv-LV"/>
              </w:rPr>
              <w:t>66</w:t>
            </w:r>
            <w:r>
              <w:rPr>
                <w:rFonts w:ascii="Times New Roman" w:hAnsi="Times New Roman" w:cs="Times New Roman"/>
                <w:color w:val="000000" w:themeColor="text1"/>
                <w:spacing w:val="-3"/>
                <w:sz w:val="24"/>
                <w:szCs w:val="24"/>
                <w:lang w:eastAsia="lv-LV"/>
              </w:rPr>
              <w:t xml:space="preserve"> panta (5) daļas 2.punkts.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D43B2"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2.panta 19</w:t>
            </w:r>
            <w:r w:rsidRPr="00E63395">
              <w:rPr>
                <w:rFonts w:ascii="Times New Roman" w:hAnsi="Times New Roman" w:cs="Times New Roman"/>
                <w:color w:val="000000" w:themeColor="text1"/>
                <w:spacing w:val="-3"/>
                <w:sz w:val="24"/>
                <w:szCs w:val="24"/>
                <w:lang w:eastAsia="lv-LV"/>
              </w:rPr>
              <w:t>.punkts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DD43B2">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 “Grozījumi Civilprocesa likumā” 3.pants (Civilprocesa likums 250.</w:t>
            </w:r>
            <w:r w:rsidRPr="00DD43B2">
              <w:rPr>
                <w:rFonts w:ascii="Times New Roman" w:hAnsi="Times New Roman" w:cs="Times New Roman"/>
                <w:color w:val="000000" w:themeColor="text1"/>
                <w:spacing w:val="-3"/>
                <w:sz w:val="24"/>
                <w:szCs w:val="24"/>
                <w:vertAlign w:val="superscript"/>
                <w:lang w:eastAsia="lv-LV"/>
              </w:rPr>
              <w:t>66</w:t>
            </w:r>
            <w:r>
              <w:rPr>
                <w:rFonts w:ascii="Times New Roman" w:hAnsi="Times New Roman" w:cs="Times New Roman"/>
                <w:color w:val="000000" w:themeColor="text1"/>
                <w:spacing w:val="-3"/>
                <w:sz w:val="24"/>
                <w:szCs w:val="24"/>
                <w:lang w:eastAsia="lv-LV"/>
              </w:rPr>
              <w:t xml:space="preserve"> panta (5) daļas 1.punkts.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2.panta 20.punkts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8F5594">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8F5594">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2.panta 23.punkts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8F5594">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8F5594">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2.panta 24.punkts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8F5594">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8F5594">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8F5594">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8F5594">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 xml:space="preserve">4.pants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Likumprojekts “Grozījumi Konkurences likumā” un</w:t>
            </w:r>
            <w:r w:rsidR="00B96C57">
              <w:rPr>
                <w:rFonts w:ascii="Times New Roman" w:hAnsi="Times New Roman" w:cs="Times New Roman"/>
                <w:color w:val="000000" w:themeColor="text1"/>
                <w:spacing w:val="-3"/>
                <w:sz w:val="24"/>
                <w:szCs w:val="24"/>
                <w:lang w:eastAsia="lv-LV"/>
              </w:rPr>
              <w:t xml:space="preserve"> likumprojekts</w:t>
            </w:r>
            <w:r w:rsidRPr="00E63395">
              <w:rPr>
                <w:rFonts w:ascii="Times New Roman" w:hAnsi="Times New Roman" w:cs="Times New Roman"/>
                <w:color w:val="000000" w:themeColor="text1"/>
                <w:spacing w:val="-3"/>
                <w:sz w:val="24"/>
                <w:szCs w:val="24"/>
                <w:lang w:eastAsia="lv-LV"/>
              </w:rPr>
              <w:t xml:space="preserve">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Direktīvas pants nosaka vispārēju prasību dalībvalstīm nodrošināt efektivitāti un līdzvērtīgumu starp nacionālajām un ES konkurences tiesībām. Likumprojekts neparedz atšķirīgu regulējumu starp nacionālajām un ES konkurences tiesībām.</w:t>
            </w:r>
          </w:p>
        </w:tc>
      </w:tr>
      <w:tr w:rsidR="00D34FAC" w:rsidRPr="00E63395" w:rsidTr="00691FF7">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lastRenderedPageBreak/>
              <w:t xml:space="preserve">5.pants </w:t>
            </w:r>
            <w:r w:rsidR="00581EAB">
              <w:rPr>
                <w:rFonts w:ascii="Times New Roman" w:hAnsi="Times New Roman" w:cs="Times New Roman"/>
                <w:color w:val="000000" w:themeColor="text1"/>
                <w:spacing w:val="-3"/>
                <w:sz w:val="24"/>
                <w:szCs w:val="24"/>
                <w:lang w:eastAsia="lv-LV"/>
              </w:rPr>
              <w:t xml:space="preserve">1., 2., 3. un </w:t>
            </w:r>
            <w:r w:rsidRPr="00E63395">
              <w:rPr>
                <w:rFonts w:ascii="Times New Roman" w:hAnsi="Times New Roman" w:cs="Times New Roman"/>
                <w:color w:val="000000" w:themeColor="text1"/>
                <w:spacing w:val="-3"/>
                <w:sz w:val="24"/>
                <w:szCs w:val="24"/>
                <w:lang w:eastAsia="lv-LV"/>
              </w:rPr>
              <w:t>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lang w:eastAsia="lv-LV"/>
              </w:rPr>
              <w:t>Civilprocesa likuma 11.pants</w:t>
            </w:r>
            <w:r w:rsidR="00581EAB">
              <w:rPr>
                <w:rFonts w:ascii="Times New Roman" w:hAnsi="Times New Roman" w:cs="Times New Roman"/>
                <w:color w:val="000000" w:themeColor="text1"/>
                <w:sz w:val="24"/>
                <w:szCs w:val="24"/>
                <w:lang w:eastAsia="lv-LV"/>
              </w:rPr>
              <w:t xml:space="preserve"> un 93.panta (2) daļa</w:t>
            </w:r>
            <w:r w:rsidRPr="00E63395">
              <w:rPr>
                <w:rFonts w:ascii="Times New Roman" w:hAnsi="Times New Roman" w:cs="Times New Roman"/>
                <w:color w:val="000000" w:themeColor="text1"/>
                <w:sz w:val="24"/>
                <w:szCs w:val="24"/>
                <w:lang w:eastAsia="lv-LV"/>
              </w:rPr>
              <w:t xml:space="preserve"> </w:t>
            </w:r>
            <w:r w:rsidRPr="00E63395">
              <w:rPr>
                <w:rFonts w:ascii="Times New Roman" w:hAnsi="Times New Roman" w:cs="Times New Roman"/>
                <w:color w:val="000000" w:themeColor="text1"/>
                <w:spacing w:val="-3"/>
                <w:sz w:val="24"/>
                <w:szCs w:val="24"/>
                <w:lang w:eastAsia="lv-LV"/>
              </w:rPr>
              <w:t>un likumprojekts “Grozījumi Civilprocesa likumā”.</w:t>
            </w:r>
            <w:r w:rsidR="00B96C57">
              <w:rPr>
                <w:rFonts w:ascii="Times New Roman" w:hAnsi="Times New Roman" w:cs="Times New Roman"/>
                <w:color w:val="000000" w:themeColor="text1"/>
                <w:spacing w:val="-3"/>
                <w:sz w:val="24"/>
                <w:szCs w:val="24"/>
                <w:lang w:eastAsia="lv-LV"/>
              </w:rPr>
              <w:t>( Civilprocesa likuma 250.</w:t>
            </w:r>
            <w:r w:rsidR="00B96C57" w:rsidRPr="00B96C57">
              <w:rPr>
                <w:rFonts w:ascii="Times New Roman" w:hAnsi="Times New Roman" w:cs="Times New Roman"/>
                <w:color w:val="000000" w:themeColor="text1"/>
                <w:spacing w:val="-3"/>
                <w:sz w:val="24"/>
                <w:szCs w:val="24"/>
                <w:vertAlign w:val="superscript"/>
                <w:lang w:eastAsia="lv-LV"/>
              </w:rPr>
              <w:t>66</w:t>
            </w:r>
            <w:r w:rsidR="00B96C57">
              <w:rPr>
                <w:rFonts w:ascii="Times New Roman" w:hAnsi="Times New Roman" w:cs="Times New Roman"/>
                <w:color w:val="000000" w:themeColor="text1"/>
                <w:spacing w:val="-3"/>
                <w:sz w:val="24"/>
                <w:szCs w:val="24"/>
                <w:lang w:eastAsia="lv-LV"/>
              </w:rPr>
              <w:t xml:space="preserve"> </w:t>
            </w:r>
            <w:r w:rsidR="00DD43B2">
              <w:rPr>
                <w:rFonts w:ascii="Times New Roman" w:hAnsi="Times New Roman" w:cs="Times New Roman"/>
                <w:color w:val="000000" w:themeColor="text1"/>
                <w:spacing w:val="-3"/>
                <w:sz w:val="24"/>
                <w:szCs w:val="24"/>
                <w:lang w:eastAsia="lv-LV"/>
              </w:rPr>
              <w:t>pants</w:t>
            </w:r>
            <w:r w:rsidR="00B96C57">
              <w:rPr>
                <w:rFonts w:ascii="Times New Roman" w:hAnsi="Times New Roman" w:cs="Times New Roman"/>
                <w:color w:val="000000" w:themeColor="text1"/>
                <w:spacing w:val="-3"/>
                <w:sz w:val="24"/>
                <w:szCs w:val="24"/>
                <w:lang w:eastAsia="lv-LV"/>
              </w:rPr>
              <w:t>)</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D43B2" w:rsidRPr="00E63395" w:rsidTr="00691FF7">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DD43B2">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 xml:space="preserve">5.panta </w:t>
            </w:r>
            <w:r>
              <w:rPr>
                <w:rFonts w:ascii="Times New Roman" w:hAnsi="Times New Roman" w:cs="Times New Roman"/>
                <w:color w:val="000000" w:themeColor="text1"/>
                <w:spacing w:val="-3"/>
                <w:sz w:val="24"/>
                <w:szCs w:val="24"/>
                <w:lang w:eastAsia="lv-LV"/>
              </w:rPr>
              <w:t>5</w:t>
            </w:r>
            <w:r w:rsidRPr="00E63395">
              <w:rPr>
                <w:rFonts w:ascii="Times New Roman" w:hAnsi="Times New Roman" w:cs="Times New Roman"/>
                <w:color w:val="000000" w:themeColor="text1"/>
                <w:spacing w:val="-3"/>
                <w:sz w:val="24"/>
                <w:szCs w:val="24"/>
                <w:lang w:eastAsia="lv-LV"/>
              </w:rPr>
              <w:t>.daļa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E63395">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Civilprocesa likuma 112.pants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 xml:space="preserve">5.panta 6.daļa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 xml:space="preserve">Latvijas Republikas Advokatūras likuma 6.pants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DD43B2" w:rsidRDefault="00DD43B2" w:rsidP="00E63395">
            <w:pPr>
              <w:spacing w:after="0" w:line="240" w:lineRule="auto"/>
              <w:jc w:val="both"/>
              <w:rPr>
                <w:rFonts w:ascii="Times New Roman" w:hAnsi="Times New Roman" w:cs="Times New Roman"/>
                <w:b/>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pacing w:val="-3"/>
                <w:sz w:val="24"/>
                <w:szCs w:val="24"/>
                <w:lang w:eastAsia="lv-LV"/>
              </w:rPr>
              <w:t>5.panta 7.daļa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 xml:space="preserve">Civilprocesa likuma 149.panta trešā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D43B2"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 xml:space="preserve">6.panta 4.daļa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DD43B2">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pacing w:val="-3"/>
                <w:sz w:val="24"/>
                <w:szCs w:val="24"/>
                <w:lang w:eastAsia="lv-LV"/>
              </w:rPr>
              <w:t>L</w:t>
            </w:r>
            <w:r w:rsidRPr="00E63395">
              <w:rPr>
                <w:rFonts w:ascii="Times New Roman" w:hAnsi="Times New Roman" w:cs="Times New Roman"/>
                <w:color w:val="000000" w:themeColor="text1"/>
                <w:spacing w:val="-3"/>
                <w:sz w:val="24"/>
                <w:szCs w:val="24"/>
                <w:lang w:eastAsia="lv-LV"/>
              </w:rPr>
              <w:t>ikumprojekts “Grozījumi Civilprocesa likumā”.</w:t>
            </w:r>
            <w:r>
              <w:rPr>
                <w:rFonts w:ascii="Times New Roman" w:hAnsi="Times New Roman" w:cs="Times New Roman"/>
                <w:color w:val="000000" w:themeColor="text1"/>
                <w:spacing w:val="-3"/>
                <w:sz w:val="24"/>
                <w:szCs w:val="24"/>
                <w:lang w:eastAsia="lv-LV"/>
              </w:rPr>
              <w:t>( Civilprocesa likuma 250.</w:t>
            </w:r>
            <w:r w:rsidRPr="00B96C57">
              <w:rPr>
                <w:rFonts w:ascii="Times New Roman" w:hAnsi="Times New Roman" w:cs="Times New Roman"/>
                <w:color w:val="000000" w:themeColor="text1"/>
                <w:spacing w:val="-3"/>
                <w:sz w:val="24"/>
                <w:szCs w:val="24"/>
                <w:vertAlign w:val="superscript"/>
                <w:lang w:eastAsia="lv-LV"/>
              </w:rPr>
              <w:t>66</w:t>
            </w:r>
            <w:r>
              <w:rPr>
                <w:rFonts w:ascii="Times New Roman" w:hAnsi="Times New Roman" w:cs="Times New Roman"/>
                <w:color w:val="000000" w:themeColor="text1"/>
                <w:spacing w:val="-3"/>
                <w:sz w:val="24"/>
                <w:szCs w:val="24"/>
                <w:lang w:eastAsia="lv-LV"/>
              </w:rPr>
              <w:t xml:space="preserve"> panta (4)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D43B2"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Default="00DD43B2"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6.panta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Default="00DD43B2" w:rsidP="00DD43B2">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w:t>
            </w:r>
            <w:r w:rsidRPr="00E63395">
              <w:rPr>
                <w:rFonts w:ascii="Times New Roman" w:hAnsi="Times New Roman" w:cs="Times New Roman"/>
                <w:color w:val="000000" w:themeColor="text1"/>
                <w:spacing w:val="-3"/>
                <w:sz w:val="24"/>
                <w:szCs w:val="24"/>
                <w:lang w:eastAsia="lv-LV"/>
              </w:rPr>
              <w:t>ikumprojekts “Grozījumi Civilprocesa likumā”.</w:t>
            </w:r>
            <w:r>
              <w:rPr>
                <w:rFonts w:ascii="Times New Roman" w:hAnsi="Times New Roman" w:cs="Times New Roman"/>
                <w:color w:val="000000" w:themeColor="text1"/>
                <w:spacing w:val="-3"/>
                <w:sz w:val="24"/>
                <w:szCs w:val="24"/>
                <w:lang w:eastAsia="lv-LV"/>
              </w:rPr>
              <w:t>( Civilprocesa likuma 250.</w:t>
            </w:r>
            <w:r w:rsidRPr="00B96C57">
              <w:rPr>
                <w:rFonts w:ascii="Times New Roman" w:hAnsi="Times New Roman" w:cs="Times New Roman"/>
                <w:color w:val="000000" w:themeColor="text1"/>
                <w:spacing w:val="-3"/>
                <w:sz w:val="24"/>
                <w:szCs w:val="24"/>
                <w:vertAlign w:val="superscript"/>
                <w:lang w:eastAsia="lv-LV"/>
              </w:rPr>
              <w:t>66</w:t>
            </w:r>
            <w:r>
              <w:rPr>
                <w:rFonts w:ascii="Times New Roman" w:hAnsi="Times New Roman" w:cs="Times New Roman"/>
                <w:color w:val="000000" w:themeColor="text1"/>
                <w:spacing w:val="-3"/>
                <w:sz w:val="24"/>
                <w:szCs w:val="24"/>
                <w:lang w:eastAsia="lv-LV"/>
              </w:rPr>
              <w:t xml:space="preserve"> panta (7)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D43B2"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DD43B2" w:rsidP="00737C6A">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 xml:space="preserve">6.panta </w:t>
            </w:r>
            <w:r w:rsidR="00737C6A">
              <w:rPr>
                <w:rFonts w:ascii="Times New Roman" w:hAnsi="Times New Roman" w:cs="Times New Roman"/>
                <w:color w:val="000000" w:themeColor="text1"/>
                <w:spacing w:val="-3"/>
                <w:sz w:val="24"/>
                <w:szCs w:val="24"/>
                <w:lang w:eastAsia="lv-LV"/>
              </w:rPr>
              <w:t>6</w:t>
            </w:r>
            <w:r>
              <w:rPr>
                <w:rFonts w:ascii="Times New Roman" w:hAnsi="Times New Roman" w:cs="Times New Roman"/>
                <w:color w:val="000000" w:themeColor="text1"/>
                <w:spacing w:val="-3"/>
                <w:sz w:val="24"/>
                <w:szCs w:val="24"/>
                <w:lang w:eastAsia="lv-LV"/>
              </w:rPr>
              <w:t>.daļa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737C6A">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pacing w:val="-3"/>
                <w:sz w:val="24"/>
                <w:szCs w:val="24"/>
                <w:lang w:eastAsia="lv-LV"/>
              </w:rPr>
              <w:t>L</w:t>
            </w:r>
            <w:r w:rsidRPr="00E63395">
              <w:rPr>
                <w:rFonts w:ascii="Times New Roman" w:hAnsi="Times New Roman" w:cs="Times New Roman"/>
                <w:color w:val="000000" w:themeColor="text1"/>
                <w:spacing w:val="-3"/>
                <w:sz w:val="24"/>
                <w:szCs w:val="24"/>
                <w:lang w:eastAsia="lv-LV"/>
              </w:rPr>
              <w:t>ikumprojekts “Grozījumi Civilprocesa likumā”.</w:t>
            </w:r>
            <w:r>
              <w:rPr>
                <w:rFonts w:ascii="Times New Roman" w:hAnsi="Times New Roman" w:cs="Times New Roman"/>
                <w:color w:val="000000" w:themeColor="text1"/>
                <w:spacing w:val="-3"/>
                <w:sz w:val="24"/>
                <w:szCs w:val="24"/>
                <w:lang w:eastAsia="lv-LV"/>
              </w:rPr>
              <w:t>( Civilprocesa likuma 250.</w:t>
            </w:r>
            <w:r w:rsidRPr="00B96C57">
              <w:rPr>
                <w:rFonts w:ascii="Times New Roman" w:hAnsi="Times New Roman" w:cs="Times New Roman"/>
                <w:color w:val="000000" w:themeColor="text1"/>
                <w:spacing w:val="-3"/>
                <w:sz w:val="24"/>
                <w:szCs w:val="24"/>
                <w:vertAlign w:val="superscript"/>
                <w:lang w:eastAsia="lv-LV"/>
              </w:rPr>
              <w:t>66</w:t>
            </w:r>
            <w:r>
              <w:rPr>
                <w:rFonts w:ascii="Times New Roman" w:hAnsi="Times New Roman" w:cs="Times New Roman"/>
                <w:color w:val="000000" w:themeColor="text1"/>
                <w:spacing w:val="-3"/>
                <w:sz w:val="24"/>
                <w:szCs w:val="24"/>
                <w:lang w:eastAsia="lv-LV"/>
              </w:rPr>
              <w:t xml:space="preserve"> panta (5)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D43B2" w:rsidRPr="00E63395" w:rsidRDefault="00737C6A"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737C6A"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737C6A">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6.panta 6., 10. un 11.daļa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737C6A">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pacing w:val="-3"/>
                <w:sz w:val="24"/>
                <w:szCs w:val="24"/>
                <w:lang w:eastAsia="lv-LV"/>
              </w:rPr>
              <w:t>L</w:t>
            </w:r>
            <w:r w:rsidRPr="00E63395">
              <w:rPr>
                <w:rFonts w:ascii="Times New Roman" w:hAnsi="Times New Roman" w:cs="Times New Roman"/>
                <w:color w:val="000000" w:themeColor="text1"/>
                <w:spacing w:val="-3"/>
                <w:sz w:val="24"/>
                <w:szCs w:val="24"/>
                <w:lang w:eastAsia="lv-LV"/>
              </w:rPr>
              <w:t>ikumprojekts “Grozījumi Civilprocesa likumā”.</w:t>
            </w:r>
            <w:r>
              <w:rPr>
                <w:rFonts w:ascii="Times New Roman" w:hAnsi="Times New Roman" w:cs="Times New Roman"/>
                <w:color w:val="000000" w:themeColor="text1"/>
                <w:spacing w:val="-3"/>
                <w:sz w:val="24"/>
                <w:szCs w:val="24"/>
                <w:lang w:eastAsia="lv-LV"/>
              </w:rPr>
              <w:t>( Civilprocesa likuma 250.</w:t>
            </w:r>
            <w:r>
              <w:rPr>
                <w:rFonts w:ascii="Times New Roman" w:hAnsi="Times New Roman" w:cs="Times New Roman"/>
                <w:color w:val="000000" w:themeColor="text1"/>
                <w:spacing w:val="-3"/>
                <w:sz w:val="24"/>
                <w:szCs w:val="24"/>
                <w:vertAlign w:val="superscript"/>
                <w:lang w:eastAsia="lv-LV"/>
              </w:rPr>
              <w:t>67</w:t>
            </w:r>
            <w:r>
              <w:rPr>
                <w:rFonts w:ascii="Times New Roman" w:hAnsi="Times New Roman" w:cs="Times New Roman"/>
                <w:color w:val="000000" w:themeColor="text1"/>
                <w:spacing w:val="-3"/>
                <w:sz w:val="24"/>
                <w:szCs w:val="24"/>
                <w:lang w:eastAsia="lv-LV"/>
              </w:rPr>
              <w:t xml:space="preserve"> panta (1)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737C6A">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737C6A">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737C6A"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737C6A">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7.panta 1., 2. un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737C6A">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pacing w:val="-3"/>
                <w:sz w:val="24"/>
                <w:szCs w:val="24"/>
                <w:lang w:eastAsia="lv-LV"/>
              </w:rPr>
              <w:t>L</w:t>
            </w:r>
            <w:r w:rsidRPr="00E63395">
              <w:rPr>
                <w:rFonts w:ascii="Times New Roman" w:hAnsi="Times New Roman" w:cs="Times New Roman"/>
                <w:color w:val="000000" w:themeColor="text1"/>
                <w:spacing w:val="-3"/>
                <w:sz w:val="24"/>
                <w:szCs w:val="24"/>
                <w:lang w:eastAsia="lv-LV"/>
              </w:rPr>
              <w:t>ikumprojekts “Grozījumi Civilprocesa likumā”.</w:t>
            </w:r>
            <w:r>
              <w:rPr>
                <w:rFonts w:ascii="Times New Roman" w:hAnsi="Times New Roman" w:cs="Times New Roman"/>
                <w:color w:val="000000" w:themeColor="text1"/>
                <w:spacing w:val="-3"/>
                <w:sz w:val="24"/>
                <w:szCs w:val="24"/>
                <w:lang w:eastAsia="lv-LV"/>
              </w:rPr>
              <w:t>( Civilprocesa likuma 250.</w:t>
            </w:r>
            <w:r>
              <w:rPr>
                <w:rFonts w:ascii="Times New Roman" w:hAnsi="Times New Roman" w:cs="Times New Roman"/>
                <w:color w:val="000000" w:themeColor="text1"/>
                <w:spacing w:val="-3"/>
                <w:sz w:val="24"/>
                <w:szCs w:val="24"/>
                <w:vertAlign w:val="superscript"/>
                <w:lang w:eastAsia="lv-LV"/>
              </w:rPr>
              <w:t>67</w:t>
            </w:r>
            <w:r>
              <w:rPr>
                <w:rFonts w:ascii="Times New Roman" w:hAnsi="Times New Roman" w:cs="Times New Roman"/>
                <w:color w:val="000000" w:themeColor="text1"/>
                <w:spacing w:val="-3"/>
                <w:sz w:val="24"/>
                <w:szCs w:val="24"/>
                <w:lang w:eastAsia="lv-LV"/>
              </w:rPr>
              <w:t xml:space="preserve"> panta (1), (2) un (3)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737C6A"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8.panta 1</w:t>
            </w:r>
            <w:r w:rsidRPr="00E63395">
              <w:rPr>
                <w:rFonts w:ascii="Times New Roman" w:hAnsi="Times New Roman" w:cs="Times New Roman"/>
                <w:color w:val="000000" w:themeColor="text1"/>
                <w:spacing w:val="-3"/>
                <w:sz w:val="24"/>
                <w:szCs w:val="24"/>
                <w:lang w:eastAsia="lv-LV"/>
              </w:rPr>
              <w:t>.daļa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737C6A">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pacing w:val="-3"/>
                <w:sz w:val="24"/>
                <w:szCs w:val="24"/>
                <w:lang w:eastAsia="lv-LV"/>
              </w:rPr>
              <w:t>L</w:t>
            </w:r>
            <w:r w:rsidRPr="00E63395">
              <w:rPr>
                <w:rFonts w:ascii="Times New Roman" w:hAnsi="Times New Roman" w:cs="Times New Roman"/>
                <w:color w:val="000000" w:themeColor="text1"/>
                <w:spacing w:val="-3"/>
                <w:sz w:val="24"/>
                <w:szCs w:val="24"/>
                <w:lang w:eastAsia="lv-LV"/>
              </w:rPr>
              <w:t>ikumprojekts “Grozījumi Civilprocesa likumā”.</w:t>
            </w:r>
            <w:r>
              <w:rPr>
                <w:rFonts w:ascii="Times New Roman" w:hAnsi="Times New Roman" w:cs="Times New Roman"/>
                <w:color w:val="000000" w:themeColor="text1"/>
                <w:spacing w:val="-3"/>
                <w:sz w:val="24"/>
                <w:szCs w:val="24"/>
                <w:lang w:eastAsia="lv-LV"/>
              </w:rPr>
              <w:t>( Civilprocesa likuma 250.</w:t>
            </w:r>
            <w:r>
              <w:rPr>
                <w:rFonts w:ascii="Times New Roman" w:hAnsi="Times New Roman" w:cs="Times New Roman"/>
                <w:color w:val="000000" w:themeColor="text1"/>
                <w:spacing w:val="-3"/>
                <w:sz w:val="24"/>
                <w:szCs w:val="24"/>
                <w:vertAlign w:val="superscript"/>
                <w:lang w:eastAsia="lv-LV"/>
              </w:rPr>
              <w:t>69</w:t>
            </w:r>
            <w:r>
              <w:rPr>
                <w:rFonts w:ascii="Times New Roman" w:hAnsi="Times New Roman" w:cs="Times New Roman"/>
                <w:color w:val="000000" w:themeColor="text1"/>
                <w:spacing w:val="-3"/>
                <w:sz w:val="24"/>
                <w:szCs w:val="24"/>
                <w:lang w:eastAsia="lv-LV"/>
              </w:rPr>
              <w:t xml:space="preserve"> panta (1) un (2)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Pr="00E63395" w:rsidRDefault="00737C6A"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8.panta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 xml:space="preserve">Civilprocesa likuma 112.panta ceturtā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lastRenderedPageBreak/>
              <w:t>9.panta</w:t>
            </w:r>
            <w:r w:rsidR="00737C6A">
              <w:rPr>
                <w:rFonts w:ascii="Times New Roman" w:hAnsi="Times New Roman" w:cs="Times New Roman"/>
                <w:color w:val="000000" w:themeColor="text1"/>
                <w:spacing w:val="-3"/>
                <w:sz w:val="24"/>
                <w:szCs w:val="24"/>
                <w:lang w:eastAsia="lv-LV"/>
              </w:rPr>
              <w:t xml:space="preserve"> 1.,</w:t>
            </w:r>
            <w:r w:rsidRPr="00E63395">
              <w:rPr>
                <w:rFonts w:ascii="Times New Roman" w:hAnsi="Times New Roman" w:cs="Times New Roman"/>
                <w:color w:val="000000" w:themeColor="text1"/>
                <w:spacing w:val="-3"/>
                <w:sz w:val="24"/>
                <w:szCs w:val="24"/>
                <w:lang w:eastAsia="lv-LV"/>
              </w:rPr>
              <w:t xml:space="preserve"> 2.</w:t>
            </w:r>
            <w:r w:rsidR="00737C6A">
              <w:rPr>
                <w:rFonts w:ascii="Times New Roman" w:hAnsi="Times New Roman" w:cs="Times New Roman"/>
                <w:color w:val="000000" w:themeColor="text1"/>
                <w:spacing w:val="-3"/>
                <w:sz w:val="24"/>
                <w:szCs w:val="24"/>
                <w:lang w:eastAsia="lv-LV"/>
              </w:rPr>
              <w:t xml:space="preserve"> un 3. </w:t>
            </w:r>
            <w:r w:rsidRPr="00E63395">
              <w:rPr>
                <w:rFonts w:ascii="Times New Roman" w:hAnsi="Times New Roman" w:cs="Times New Roman"/>
                <w:color w:val="000000" w:themeColor="text1"/>
                <w:spacing w:val="-3"/>
                <w:sz w:val="24"/>
                <w:szCs w:val="24"/>
                <w:lang w:eastAsia="lv-LV"/>
              </w:rPr>
              <w:t>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37C6A"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w:t>
            </w:r>
            <w:r w:rsidRPr="00E63395">
              <w:rPr>
                <w:rFonts w:ascii="Times New Roman" w:hAnsi="Times New Roman" w:cs="Times New Roman"/>
                <w:color w:val="000000" w:themeColor="text1"/>
                <w:spacing w:val="-3"/>
                <w:sz w:val="24"/>
                <w:szCs w:val="24"/>
                <w:lang w:eastAsia="lv-LV"/>
              </w:rPr>
              <w:t>ikumprojekts “Grozījumi Civilprocesa likumā”.</w:t>
            </w:r>
            <w:r>
              <w:rPr>
                <w:rFonts w:ascii="Times New Roman" w:hAnsi="Times New Roman" w:cs="Times New Roman"/>
                <w:color w:val="000000" w:themeColor="text1"/>
                <w:spacing w:val="-3"/>
                <w:sz w:val="24"/>
                <w:szCs w:val="24"/>
                <w:lang w:eastAsia="lv-LV"/>
              </w:rPr>
              <w:t>( Civilprocesa likuma 250.</w:t>
            </w:r>
            <w:r>
              <w:rPr>
                <w:rFonts w:ascii="Times New Roman" w:hAnsi="Times New Roman" w:cs="Times New Roman"/>
                <w:color w:val="000000" w:themeColor="text1"/>
                <w:spacing w:val="-3"/>
                <w:sz w:val="24"/>
                <w:szCs w:val="24"/>
                <w:vertAlign w:val="superscript"/>
                <w:lang w:eastAsia="lv-LV"/>
              </w:rPr>
              <w:t>68</w:t>
            </w:r>
            <w:r>
              <w:rPr>
                <w:rFonts w:ascii="Times New Roman" w:hAnsi="Times New Roman" w:cs="Times New Roman"/>
                <w:color w:val="000000" w:themeColor="text1"/>
                <w:spacing w:val="-3"/>
                <w:sz w:val="24"/>
                <w:szCs w:val="24"/>
                <w:lang w:eastAsia="lv-LV"/>
              </w:rPr>
              <w:t xml:space="preserve"> panta (1) un (3) daļa);</w:t>
            </w:r>
          </w:p>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pacing w:val="-3"/>
                <w:sz w:val="24"/>
                <w:szCs w:val="24"/>
                <w:lang w:eastAsia="lv-LV"/>
              </w:rPr>
              <w:t>Civilprocesa likuma 97., 110.un 111.pants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737C6A"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10.panta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10.panta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10.panta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lang w:eastAsia="lv-LV"/>
              </w:rPr>
              <w:t>Paredz stingrākas prasības. Saglabāts CL  noteiktais vispārējais noilguma termiņš - 10 gadi. Direktīvas prasība ir noilguma termiņš vismaz 5 gadi.</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10.panta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008F5594">
              <w:rPr>
                <w:rFonts w:ascii="Times New Roman" w:hAnsi="Times New Roman" w:cs="Times New Roman"/>
                <w:color w:val="000000" w:themeColor="text1"/>
                <w:spacing w:val="-3"/>
                <w:sz w:val="24"/>
                <w:szCs w:val="24"/>
                <w:lang w:eastAsia="lv-LV"/>
              </w:rPr>
              <w:t xml:space="preserve"> “Grozījumi Konkurences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11.panta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w:t>
            </w:r>
            <w:r w:rsidR="008F5594">
              <w:rPr>
                <w:rFonts w:ascii="Times New Roman" w:hAnsi="Times New Roman" w:cs="Times New Roman"/>
                <w:color w:val="000000" w:themeColor="text1"/>
                <w:spacing w:val="-3"/>
                <w:sz w:val="24"/>
                <w:szCs w:val="24"/>
                <w:lang w:eastAsia="lv-LV"/>
              </w:rPr>
              <w:t>;</w:t>
            </w:r>
          </w:p>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Civillikuma 1682.pants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11.panta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11.panta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11.panta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008F5594">
              <w:rPr>
                <w:rFonts w:ascii="Times New Roman" w:hAnsi="Times New Roman" w:cs="Times New Roman"/>
                <w:color w:val="000000" w:themeColor="text1"/>
                <w:spacing w:val="-3"/>
                <w:sz w:val="24"/>
                <w:szCs w:val="24"/>
                <w:lang w:eastAsia="lv-LV"/>
              </w:rPr>
              <w:t xml:space="preserve"> “Grozījumi Konkurences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11.panta 5.daļa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11.panta 6.daļa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w:t>
            </w:r>
            <w:r w:rsidRPr="00E63395">
              <w:rPr>
                <w:rFonts w:ascii="Times New Roman" w:hAnsi="Times New Roman" w:cs="Times New Roman"/>
                <w:color w:val="000000" w:themeColor="text1"/>
                <w:spacing w:val="-3"/>
                <w:sz w:val="24"/>
                <w:szCs w:val="24"/>
                <w:lang w:eastAsia="lv-LV"/>
              </w:rPr>
              <w:t xml:space="preserve"> “Grozījumi Konkurences </w:t>
            </w:r>
            <w:r w:rsidR="008F5594">
              <w:rPr>
                <w:rFonts w:ascii="Times New Roman" w:hAnsi="Times New Roman" w:cs="Times New Roman"/>
                <w:color w:val="000000" w:themeColor="text1"/>
                <w:spacing w:val="-3"/>
                <w:sz w:val="24"/>
                <w:szCs w:val="24"/>
                <w:lang w:eastAsia="lv-LV"/>
              </w:rPr>
              <w:t>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lastRenderedPageBreak/>
              <w:t>12.panta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w:t>
            </w:r>
            <w:r w:rsidR="00B96C57">
              <w:rPr>
                <w:rFonts w:ascii="Times New Roman" w:hAnsi="Times New Roman" w:cs="Times New Roman"/>
                <w:color w:val="000000" w:themeColor="text1"/>
                <w:spacing w:val="-3"/>
                <w:sz w:val="24"/>
                <w:szCs w:val="24"/>
                <w:lang w:eastAsia="lv-LV"/>
              </w:rPr>
              <w:t>s “Grozījumi Konkurences likumā”;</w:t>
            </w:r>
          </w:p>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12.panta 2.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 “Grozījumi Konkurences likumā”;</w:t>
            </w:r>
          </w:p>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12.panta 4.un 5.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w:t>
            </w:r>
          </w:p>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14.panta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w:t>
            </w:r>
            <w:r>
              <w:rPr>
                <w:rFonts w:ascii="Times New Roman" w:hAnsi="Times New Roman" w:cs="Times New Roman"/>
                <w:color w:val="000000" w:themeColor="text1"/>
                <w:spacing w:val="-3"/>
                <w:sz w:val="24"/>
                <w:szCs w:val="24"/>
                <w:lang w:eastAsia="lv-LV"/>
              </w:rPr>
              <w:t xml:space="preserve">“Grozījumi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14.panta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15.pants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E63395">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 </w:t>
            </w:r>
          </w:p>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17.panta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B96C57">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Likumprojekta “Grozījumi Konkurences likumā</w:t>
            </w:r>
            <w:r w:rsidR="00B96C57">
              <w:rPr>
                <w:rFonts w:ascii="Times New Roman" w:hAnsi="Times New Roman" w:cs="Times New Roman"/>
                <w:color w:val="000000" w:themeColor="text1"/>
                <w:spacing w:val="-3"/>
                <w:sz w:val="24"/>
                <w:szCs w:val="24"/>
                <w:lang w:eastAsia="lv-LV"/>
              </w:rPr>
              <w:t>”</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17.panta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17.panta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Konkurences likuma 20.</w:t>
            </w:r>
            <w:r w:rsidRPr="00E63395">
              <w:rPr>
                <w:rFonts w:ascii="Times New Roman" w:hAnsi="Times New Roman" w:cs="Times New Roman"/>
                <w:color w:val="000000" w:themeColor="text1"/>
                <w:spacing w:val="-3"/>
                <w:sz w:val="24"/>
                <w:szCs w:val="24"/>
                <w:vertAlign w:val="superscript"/>
                <w:lang w:eastAsia="lv-LV"/>
              </w:rPr>
              <w:t>1</w:t>
            </w:r>
            <w:r w:rsidRPr="00E63395">
              <w:rPr>
                <w:rFonts w:ascii="Times New Roman" w:hAnsi="Times New Roman" w:cs="Times New Roman"/>
                <w:color w:val="000000" w:themeColor="text1"/>
                <w:spacing w:val="-3"/>
                <w:sz w:val="24"/>
                <w:szCs w:val="24"/>
                <w:lang w:eastAsia="lv-LV"/>
              </w:rPr>
              <w:t xml:space="preserve"> panta otrā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Pārņemts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18.panta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18.panta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z w:val="24"/>
                <w:szCs w:val="24"/>
              </w:rPr>
              <w:t>MK 29.05.2016. noteikumi Nr.179 “Kārtība, kādā nosakāms naudas sods par Konkurences likuma 11. panta pirmajā daļā un 13. pantā un Negodīgas mazumtirdzniecības prakses aizlieguma likuma 5., 6., 7. un 8. pantā paredzētajiem pārkāpumiem”</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Pārņemts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19.panta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lastRenderedPageBreak/>
              <w:t>19.panta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19.panta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19.panta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B96C57" w:rsidP="00B96C57">
            <w:pPr>
              <w:spacing w:after="0" w:line="240" w:lineRule="auto"/>
              <w:jc w:val="both"/>
              <w:rPr>
                <w:rFonts w:ascii="Times New Roman" w:hAnsi="Times New Roman" w:cs="Times New Roman"/>
                <w:color w:val="000000" w:themeColor="text1"/>
                <w:spacing w:val="-3"/>
                <w:sz w:val="24"/>
                <w:szCs w:val="24"/>
                <w:lang w:eastAsia="lv-LV"/>
              </w:rPr>
            </w:pPr>
            <w:r>
              <w:rPr>
                <w:rFonts w:ascii="Times New Roman" w:hAnsi="Times New Roman" w:cs="Times New Roman"/>
                <w:color w:val="000000" w:themeColor="text1"/>
                <w:spacing w:val="-3"/>
                <w:sz w:val="24"/>
                <w:szCs w:val="24"/>
                <w:lang w:eastAsia="lv-LV"/>
              </w:rPr>
              <w:t>Likumprojekts</w:t>
            </w:r>
            <w:r w:rsidR="00D34FAC" w:rsidRPr="00E63395">
              <w:rPr>
                <w:rFonts w:ascii="Times New Roman" w:hAnsi="Times New Roman" w:cs="Times New Roman"/>
                <w:color w:val="000000" w:themeColor="text1"/>
                <w:spacing w:val="-3"/>
                <w:sz w:val="24"/>
                <w:szCs w:val="24"/>
                <w:lang w:eastAsia="lv-LV"/>
              </w:rPr>
              <w:t xml:space="preserve"> “Grozījumi Konkurences likumā”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pacing w:val="-3"/>
                <w:sz w:val="24"/>
                <w:szCs w:val="24"/>
                <w:lang w:eastAsia="lv-LV"/>
              </w:rPr>
            </w:pPr>
            <w:r w:rsidRPr="00E63395">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Neparedz stingrākas prasības.</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hd w:val="clear" w:color="auto" w:fill="FFFFFF"/>
              <w:spacing w:after="0" w:line="240" w:lineRule="auto"/>
              <w:ind w:left="57"/>
              <w:rPr>
                <w:rFonts w:ascii="Times New Roman" w:eastAsia="Times New Roman" w:hAnsi="Times New Roman" w:cs="Times New Roman"/>
                <w:color w:val="000000" w:themeColor="text1"/>
                <w:sz w:val="24"/>
                <w:szCs w:val="24"/>
                <w:lang w:eastAsia="lv-LV"/>
              </w:rPr>
            </w:pPr>
            <w:r w:rsidRPr="00E63395">
              <w:rPr>
                <w:rFonts w:ascii="Times New Roman" w:eastAsia="Times New Roman" w:hAnsi="Times New Roman" w:cs="Times New Roman"/>
                <w:color w:val="000000" w:themeColor="text1"/>
                <w:spacing w:val="-3"/>
                <w:sz w:val="24"/>
                <w:szCs w:val="24"/>
                <w:lang w:eastAsia="lv-LV"/>
              </w:rPr>
              <w:t>Kā ir izmantota ES tiesību aktā paredzētā rīcības brīvība dalībvalstij pārņemt vai ieviest noteiktas ES tiesību akta normas?</w:t>
            </w:r>
          </w:p>
          <w:p w:rsidR="00D34FAC" w:rsidRPr="00E63395" w:rsidRDefault="00D34FAC" w:rsidP="00E63395">
            <w:pPr>
              <w:shd w:val="clear" w:color="auto" w:fill="FFFFFF"/>
              <w:spacing w:after="0" w:line="240" w:lineRule="auto"/>
              <w:ind w:left="57"/>
              <w:rPr>
                <w:rFonts w:ascii="Times New Roman" w:hAnsi="Times New Roman" w:cs="Times New Roman"/>
                <w:color w:val="000000" w:themeColor="text1"/>
                <w:spacing w:val="-4"/>
                <w:sz w:val="24"/>
                <w:szCs w:val="24"/>
                <w:lang w:eastAsia="lv-LV"/>
              </w:rPr>
            </w:pPr>
            <w:r w:rsidRPr="00E63395">
              <w:rPr>
                <w:rFonts w:ascii="Times New Roman" w:eastAsia="Times New Roman" w:hAnsi="Times New Roman" w:cs="Times New Roman"/>
                <w:color w:val="000000" w:themeColor="text1"/>
                <w:spacing w:val="-3"/>
                <w:sz w:val="24"/>
                <w:szCs w:val="24"/>
                <w:lang w:eastAsia="lv-LV"/>
              </w:rPr>
              <w:t>Kādēļ?</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Projekts šo jomu neskar</w:t>
            </w:r>
          </w:p>
        </w:tc>
      </w:tr>
      <w:tr w:rsidR="00D34FAC" w:rsidRPr="00E63395" w:rsidTr="00691FF7">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Projekts šo jomu nekar</w:t>
            </w:r>
          </w:p>
        </w:tc>
      </w:tr>
      <w:tr w:rsidR="00D34FAC" w:rsidRPr="00E63395" w:rsidTr="00691FF7">
        <w:trPr>
          <w:cantSplit/>
          <w:trHeight w:val="679"/>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spacing w:after="0" w:line="240" w:lineRule="auto"/>
              <w:jc w:val="both"/>
              <w:rPr>
                <w:rFonts w:ascii="Times New Roman" w:hAnsi="Times New Roman" w:cs="Times New Roman"/>
                <w:color w:val="000000" w:themeColor="text1"/>
                <w:sz w:val="24"/>
                <w:szCs w:val="24"/>
                <w:lang w:eastAsia="lv-LV"/>
              </w:rPr>
            </w:pPr>
            <w:r w:rsidRPr="00E63395">
              <w:rPr>
                <w:rFonts w:ascii="Times New Roman" w:hAnsi="Times New Roman" w:cs="Times New Roman"/>
                <w:color w:val="000000" w:themeColor="text1"/>
                <w:sz w:val="24"/>
                <w:szCs w:val="24"/>
                <w:lang w:eastAsia="lv-LV"/>
              </w:rPr>
              <w:t xml:space="preserve">Cita </w:t>
            </w:r>
            <w:r w:rsidRPr="00E63395">
              <w:rPr>
                <w:rFonts w:ascii="Times New Roman" w:hAnsi="Times New Roman" w:cs="Times New Roman"/>
                <w:color w:val="000000" w:themeColor="text1"/>
                <w:spacing w:val="-4"/>
                <w:sz w:val="24"/>
                <w:szCs w:val="24"/>
                <w:lang w:eastAsia="lv-LV"/>
              </w:rPr>
              <w:t>informācija</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34FAC" w:rsidRPr="00E63395" w:rsidRDefault="00D34FAC" w:rsidP="00E63395">
            <w:pPr>
              <w:tabs>
                <w:tab w:val="left" w:pos="993"/>
              </w:tabs>
              <w:spacing w:after="0" w:line="240" w:lineRule="auto"/>
              <w:contextualSpacing/>
              <w:jc w:val="both"/>
              <w:rPr>
                <w:rFonts w:ascii="Times New Roman" w:eastAsia="Times New Roman" w:hAnsi="Times New Roman" w:cs="Times New Roman"/>
                <w:bCs/>
                <w:color w:val="000000" w:themeColor="text1"/>
                <w:sz w:val="24"/>
                <w:szCs w:val="24"/>
              </w:rPr>
            </w:pPr>
            <w:r w:rsidRPr="00E63395">
              <w:rPr>
                <w:rFonts w:ascii="Times New Roman" w:eastAsia="Times New Roman" w:hAnsi="Times New Roman" w:cs="Times New Roman"/>
                <w:bCs/>
                <w:color w:val="000000" w:themeColor="text1"/>
                <w:sz w:val="24"/>
                <w:szCs w:val="24"/>
              </w:rPr>
              <w:t>Saskaņā ar Direktīvas 2014/104/ES 27. pantu tās ieviešanas termiņš ir 2016.gada 27.decembris. Par direktīvas ieviešanu atbildīga ir Ekonomikas ministrija.</w:t>
            </w:r>
          </w:p>
        </w:tc>
      </w:tr>
    </w:tbl>
    <w:p w:rsidR="00D34FAC" w:rsidRPr="00E63395" w:rsidRDefault="00D34FAC" w:rsidP="00E63395">
      <w:pPr>
        <w:spacing w:after="0" w:line="240" w:lineRule="auto"/>
        <w:rPr>
          <w:rFonts w:ascii="Times New Roman" w:hAnsi="Times New Roman" w:cs="Times New Roman"/>
          <w:sz w:val="24"/>
          <w:szCs w:val="24"/>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716"/>
        <w:gridCol w:w="5884"/>
      </w:tblGrid>
      <w:tr w:rsidR="00E63395" w:rsidRPr="00E63395" w:rsidTr="00691FF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63395" w:rsidRPr="00E63395" w:rsidRDefault="00E63395" w:rsidP="00E63395">
            <w:pPr>
              <w:spacing w:after="0" w:line="240" w:lineRule="auto"/>
              <w:ind w:firstLine="300"/>
              <w:jc w:val="center"/>
              <w:rPr>
                <w:rFonts w:ascii="Times New Roman" w:eastAsia="Times New Roman" w:hAnsi="Times New Roman" w:cs="Times New Roman"/>
                <w:b/>
                <w:bCs/>
                <w:sz w:val="24"/>
                <w:szCs w:val="24"/>
                <w:lang w:eastAsia="lv-LV"/>
              </w:rPr>
            </w:pPr>
            <w:r w:rsidRPr="00E63395">
              <w:rPr>
                <w:rFonts w:ascii="Times New Roman" w:eastAsia="Times New Roman" w:hAnsi="Times New Roman" w:cs="Times New Roman"/>
                <w:b/>
                <w:bCs/>
                <w:sz w:val="24"/>
                <w:szCs w:val="24"/>
                <w:lang w:eastAsia="lv-LV"/>
              </w:rPr>
              <w:t>VI. Sabiedrības līdzdalība un komunikācijas aktivitātes</w:t>
            </w:r>
          </w:p>
        </w:tc>
      </w:tr>
      <w:tr w:rsidR="00E63395" w:rsidRPr="00E63395" w:rsidTr="00691FF7">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jc w:val="both"/>
              <w:rPr>
                <w:rFonts w:ascii="Times New Roman" w:eastAsia="Times New Roman" w:hAnsi="Times New Roman" w:cs="Times New Roman"/>
                <w:sz w:val="24"/>
                <w:szCs w:val="24"/>
                <w:lang w:eastAsia="lv-LV"/>
              </w:rPr>
            </w:pPr>
            <w:r w:rsidRPr="00E63395">
              <w:rPr>
                <w:rFonts w:ascii="Times New Roman" w:hAnsi="Times New Roman" w:cs="Times New Roman"/>
                <w:sz w:val="24"/>
                <w:szCs w:val="24"/>
                <w:lang w:eastAsia="lv-LV"/>
              </w:rPr>
              <w:t>Īpašas komunikācijas aktivitātes nav plānotas.</w:t>
            </w:r>
          </w:p>
        </w:tc>
      </w:tr>
      <w:tr w:rsidR="00E63395" w:rsidRPr="00E63395" w:rsidTr="00691FF7">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Sabiedrības līdzdalība projekta izstrādē</w:t>
            </w:r>
          </w:p>
        </w:tc>
        <w:tc>
          <w:tcPr>
            <w:tcW w:w="3260"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jc w:val="both"/>
              <w:rPr>
                <w:rFonts w:ascii="Times New Roman" w:hAnsi="Times New Roman" w:cs="Times New Roman"/>
                <w:sz w:val="24"/>
                <w:szCs w:val="24"/>
                <w:lang w:eastAsia="lv-LV"/>
              </w:rPr>
            </w:pPr>
            <w:r w:rsidRPr="00E63395">
              <w:rPr>
                <w:rFonts w:ascii="Times New Roman" w:hAnsi="Times New Roman" w:cs="Times New Roman"/>
                <w:sz w:val="24"/>
                <w:szCs w:val="24"/>
                <w:lang w:eastAsia="lv-LV"/>
              </w:rPr>
              <w:t>Lai informētu sabiedrību par likumprojektu un dotu iespēju izteikt par to viedokļus, likumprojekts saskaņā ar Ministru kabineta 2009.gada 25.augusta noteikumiem Nr.970 „</w:t>
            </w:r>
            <w:r w:rsidRPr="00E63395">
              <w:rPr>
                <w:rFonts w:ascii="Times New Roman" w:hAnsi="Times New Roman" w:cs="Times New Roman"/>
                <w:bCs/>
                <w:sz w:val="24"/>
                <w:szCs w:val="24"/>
                <w:lang w:eastAsia="lv-LV"/>
              </w:rPr>
              <w:t xml:space="preserve">Sabiedrības līdzdalības kārtība attīstības plānošanas </w:t>
            </w:r>
            <w:r w:rsidRPr="00E63395">
              <w:rPr>
                <w:rFonts w:ascii="Times New Roman" w:hAnsi="Times New Roman" w:cs="Times New Roman"/>
                <w:bCs/>
                <w:sz w:val="24"/>
                <w:szCs w:val="24"/>
                <w:lang w:eastAsia="lv-LV"/>
              </w:rPr>
              <w:lastRenderedPageBreak/>
              <w:t xml:space="preserve">procesā” </w:t>
            </w:r>
            <w:r w:rsidRPr="00E63395">
              <w:rPr>
                <w:rFonts w:ascii="Times New Roman" w:hAnsi="Times New Roman" w:cs="Times New Roman"/>
                <w:sz w:val="24"/>
                <w:szCs w:val="24"/>
                <w:lang w:eastAsia="lv-LV"/>
              </w:rPr>
              <w:t>ievietots Ekonomikas  ministrijas interneta mājas lapā 2016. gada 6. janvārī sadaļā „Sabiedrības līdzdalība”.</w:t>
            </w:r>
          </w:p>
          <w:p w:rsidR="00E63395" w:rsidRPr="00E63395" w:rsidRDefault="00E63395" w:rsidP="00E63395">
            <w:pPr>
              <w:spacing w:after="0" w:line="240" w:lineRule="auto"/>
              <w:jc w:val="both"/>
              <w:rPr>
                <w:rFonts w:ascii="Times New Roman" w:eastAsia="Times New Roman" w:hAnsi="Times New Roman" w:cs="Times New Roman"/>
                <w:sz w:val="24"/>
                <w:szCs w:val="24"/>
                <w:lang w:eastAsia="lv-LV"/>
              </w:rPr>
            </w:pPr>
          </w:p>
        </w:tc>
      </w:tr>
      <w:tr w:rsidR="00E63395" w:rsidRPr="00E63395" w:rsidTr="00691FF7">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lastRenderedPageBreak/>
              <w:t>3.</w:t>
            </w:r>
          </w:p>
        </w:tc>
        <w:tc>
          <w:tcPr>
            <w:tcW w:w="150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jc w:val="both"/>
              <w:rPr>
                <w:rFonts w:ascii="Times New Roman" w:eastAsia="Times New Roman" w:hAnsi="Times New Roman" w:cs="Times New Roman"/>
                <w:sz w:val="24"/>
                <w:szCs w:val="24"/>
                <w:lang w:eastAsia="lv-LV"/>
              </w:rPr>
            </w:pPr>
            <w:r w:rsidRPr="00E63395">
              <w:rPr>
                <w:rFonts w:ascii="Times New Roman" w:hAnsi="Times New Roman" w:cs="Times New Roman"/>
                <w:sz w:val="24"/>
                <w:szCs w:val="24"/>
                <w:shd w:val="clear" w:color="auto" w:fill="FFFFFF"/>
              </w:rPr>
              <w:t>Projekts šo jomu neskar</w:t>
            </w:r>
          </w:p>
        </w:tc>
      </w:tr>
      <w:tr w:rsidR="00E63395" w:rsidRPr="00E63395" w:rsidTr="00691FF7">
        <w:trPr>
          <w:trHeight w:val="180"/>
        </w:trPr>
        <w:tc>
          <w:tcPr>
            <w:tcW w:w="23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E63395" w:rsidRPr="00E63395" w:rsidRDefault="00E63395"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Nav.</w:t>
            </w:r>
          </w:p>
        </w:tc>
      </w:tr>
    </w:tbl>
    <w:p w:rsidR="001855F2" w:rsidRPr="00E63395" w:rsidRDefault="001855F2" w:rsidP="00E63395">
      <w:pPr>
        <w:spacing w:after="0" w:line="240" w:lineRule="auto"/>
        <w:rPr>
          <w:rFonts w:ascii="Times New Roman" w:eastAsia="Times New Roman" w:hAnsi="Times New Roman" w:cs="Times New Roman"/>
          <w:sz w:val="24"/>
          <w:szCs w:val="24"/>
          <w:lang w:eastAsia="lv-LV"/>
        </w:rPr>
      </w:pPr>
    </w:p>
    <w:p w:rsidR="00E63395" w:rsidRPr="00E63395" w:rsidRDefault="00E63395" w:rsidP="00E6339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E7ECF" w:rsidRPr="00E63395" w:rsidTr="003E7EC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E7ECF" w:rsidRPr="00E63395" w:rsidRDefault="003E7ECF" w:rsidP="00E63395">
            <w:pPr>
              <w:spacing w:after="0" w:line="240" w:lineRule="auto"/>
              <w:ind w:firstLine="300"/>
              <w:jc w:val="center"/>
              <w:rPr>
                <w:rFonts w:ascii="Times New Roman" w:eastAsia="Times New Roman" w:hAnsi="Times New Roman" w:cs="Times New Roman"/>
                <w:b/>
                <w:bCs/>
                <w:sz w:val="24"/>
                <w:szCs w:val="24"/>
                <w:lang w:eastAsia="lv-LV"/>
              </w:rPr>
            </w:pPr>
            <w:r w:rsidRPr="00E63395">
              <w:rPr>
                <w:rFonts w:ascii="Times New Roman" w:eastAsia="Times New Roman" w:hAnsi="Times New Roman" w:cs="Times New Roman"/>
                <w:b/>
                <w:bCs/>
                <w:sz w:val="24"/>
                <w:szCs w:val="24"/>
                <w:lang w:eastAsia="lv-LV"/>
              </w:rPr>
              <w:t>VII. Tiesību akta projekta izpildes nodrošināšana un tās ietekme uz institūcijām</w:t>
            </w:r>
          </w:p>
        </w:tc>
      </w:tr>
      <w:tr w:rsidR="003E7ECF" w:rsidRPr="00E63395" w:rsidTr="003E7EC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Konkurences padome.</w:t>
            </w:r>
          </w:p>
        </w:tc>
      </w:tr>
      <w:tr w:rsidR="003E7ECF" w:rsidRPr="00E63395" w:rsidTr="003E7EC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 xml:space="preserve">Projekta izpildes ietekme uz pārvaldes funkcijām un institucionālo struktūru. </w:t>
            </w:r>
          </w:p>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jc w:val="both"/>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 xml:space="preserve">Jaunas institūcijas veidotas netiek; funkciju un uzdevumu apjoms nepalielinās. </w:t>
            </w:r>
          </w:p>
        </w:tc>
      </w:tr>
      <w:tr w:rsidR="003E7ECF" w:rsidRPr="00E63395" w:rsidTr="003E7EC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3E7ECF" w:rsidRPr="00E63395" w:rsidRDefault="003E7ECF" w:rsidP="00E63395">
            <w:pPr>
              <w:spacing w:after="0" w:line="240" w:lineRule="auto"/>
              <w:rPr>
                <w:rFonts w:ascii="Times New Roman" w:eastAsia="Times New Roman" w:hAnsi="Times New Roman" w:cs="Times New Roman"/>
                <w:sz w:val="24"/>
                <w:szCs w:val="24"/>
                <w:lang w:eastAsia="lv-LV"/>
              </w:rPr>
            </w:pPr>
            <w:r w:rsidRPr="00E63395">
              <w:rPr>
                <w:rFonts w:ascii="Times New Roman" w:eastAsia="Times New Roman" w:hAnsi="Times New Roman" w:cs="Times New Roman"/>
                <w:sz w:val="24"/>
                <w:szCs w:val="24"/>
                <w:lang w:eastAsia="lv-LV"/>
              </w:rPr>
              <w:t>Nav.</w:t>
            </w:r>
          </w:p>
        </w:tc>
      </w:tr>
    </w:tbl>
    <w:p w:rsidR="00ED33F2" w:rsidRPr="00E63395" w:rsidRDefault="00ED33F2" w:rsidP="00E63395">
      <w:pPr>
        <w:tabs>
          <w:tab w:val="right" w:pos="8789"/>
        </w:tabs>
        <w:spacing w:after="0" w:line="240" w:lineRule="auto"/>
        <w:jc w:val="both"/>
        <w:rPr>
          <w:rFonts w:ascii="Times New Roman" w:hAnsi="Times New Roman" w:cs="Times New Roman"/>
          <w:sz w:val="24"/>
          <w:szCs w:val="24"/>
        </w:rPr>
      </w:pPr>
    </w:p>
    <w:p w:rsidR="00D34FAC" w:rsidRPr="00E63395" w:rsidRDefault="00D34FAC" w:rsidP="00E63395">
      <w:pPr>
        <w:spacing w:after="0" w:line="240" w:lineRule="auto"/>
        <w:jc w:val="both"/>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rPr>
        <w:t>Iesniedzējs:</w:t>
      </w:r>
    </w:p>
    <w:p w:rsidR="00D34FAC" w:rsidRPr="00E63395" w:rsidRDefault="00D34FAC" w:rsidP="00E63395">
      <w:pPr>
        <w:tabs>
          <w:tab w:val="right" w:pos="8080"/>
        </w:tabs>
        <w:spacing w:after="0" w:line="240" w:lineRule="auto"/>
        <w:jc w:val="both"/>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rPr>
        <w:t>Ministru prezidenta biedrs,</w:t>
      </w:r>
    </w:p>
    <w:p w:rsidR="00D34FAC" w:rsidRPr="00E63395" w:rsidRDefault="00D34FAC" w:rsidP="00E63395">
      <w:pPr>
        <w:tabs>
          <w:tab w:val="right" w:pos="8080"/>
        </w:tabs>
        <w:spacing w:after="0" w:line="240" w:lineRule="auto"/>
        <w:jc w:val="both"/>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rPr>
        <w:t>ekonomikas ministrs</w:t>
      </w:r>
      <w:r w:rsidRPr="00E63395">
        <w:rPr>
          <w:rFonts w:ascii="Times New Roman" w:hAnsi="Times New Roman" w:cs="Times New Roman"/>
          <w:color w:val="000000" w:themeColor="text1"/>
          <w:sz w:val="24"/>
          <w:szCs w:val="24"/>
        </w:rPr>
        <w:tab/>
        <w:t xml:space="preserve">       A. Ašeradens</w:t>
      </w:r>
    </w:p>
    <w:p w:rsidR="00D34FAC" w:rsidRPr="00E63395" w:rsidRDefault="00D34FAC" w:rsidP="00E63395">
      <w:pPr>
        <w:tabs>
          <w:tab w:val="right" w:pos="8080"/>
        </w:tabs>
        <w:spacing w:after="0" w:line="240" w:lineRule="auto"/>
        <w:jc w:val="both"/>
        <w:rPr>
          <w:rFonts w:ascii="Times New Roman" w:hAnsi="Times New Roman" w:cs="Times New Roman"/>
          <w:color w:val="000000" w:themeColor="text1"/>
          <w:sz w:val="24"/>
          <w:szCs w:val="24"/>
        </w:rPr>
      </w:pPr>
    </w:p>
    <w:p w:rsidR="00D34FAC" w:rsidRPr="00E63395" w:rsidRDefault="00D34FAC" w:rsidP="00E63395">
      <w:pPr>
        <w:tabs>
          <w:tab w:val="right" w:pos="8080"/>
        </w:tabs>
        <w:spacing w:after="0" w:line="240" w:lineRule="auto"/>
        <w:jc w:val="both"/>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rPr>
        <w:t>Vīza:</w:t>
      </w:r>
    </w:p>
    <w:p w:rsidR="00D34FAC" w:rsidRPr="00E63395" w:rsidRDefault="00D34FAC" w:rsidP="00E63395">
      <w:pPr>
        <w:tabs>
          <w:tab w:val="left" w:pos="3406"/>
          <w:tab w:val="right" w:pos="8080"/>
        </w:tabs>
        <w:spacing w:after="0" w:line="240" w:lineRule="auto"/>
        <w:jc w:val="both"/>
        <w:rPr>
          <w:rFonts w:ascii="Times New Roman" w:hAnsi="Times New Roman" w:cs="Times New Roman"/>
          <w:color w:val="000000" w:themeColor="text1"/>
          <w:sz w:val="24"/>
          <w:szCs w:val="24"/>
        </w:rPr>
      </w:pPr>
      <w:r w:rsidRPr="00E63395">
        <w:rPr>
          <w:rFonts w:ascii="Times New Roman" w:hAnsi="Times New Roman" w:cs="Times New Roman"/>
          <w:color w:val="000000" w:themeColor="text1"/>
          <w:sz w:val="24"/>
          <w:szCs w:val="24"/>
        </w:rPr>
        <w:t>valsts sekretārs</w:t>
      </w:r>
      <w:r w:rsidRPr="00E63395">
        <w:rPr>
          <w:rFonts w:ascii="Times New Roman" w:hAnsi="Times New Roman" w:cs="Times New Roman"/>
          <w:color w:val="000000" w:themeColor="text1"/>
          <w:sz w:val="24"/>
          <w:szCs w:val="24"/>
        </w:rPr>
        <w:tab/>
      </w:r>
      <w:r w:rsidRPr="00E63395">
        <w:rPr>
          <w:rFonts w:ascii="Times New Roman" w:hAnsi="Times New Roman" w:cs="Times New Roman"/>
          <w:color w:val="000000" w:themeColor="text1"/>
          <w:sz w:val="24"/>
          <w:szCs w:val="24"/>
        </w:rPr>
        <w:tab/>
        <w:t xml:space="preserve">J. </w:t>
      </w:r>
      <w:proofErr w:type="spellStart"/>
      <w:r w:rsidRPr="00E63395">
        <w:rPr>
          <w:rFonts w:ascii="Times New Roman" w:hAnsi="Times New Roman" w:cs="Times New Roman"/>
          <w:color w:val="000000" w:themeColor="text1"/>
          <w:sz w:val="24"/>
          <w:szCs w:val="24"/>
        </w:rPr>
        <w:t>Stinka</w:t>
      </w:r>
      <w:proofErr w:type="spellEnd"/>
    </w:p>
    <w:p w:rsidR="00D34FAC" w:rsidRPr="00E63395" w:rsidRDefault="00D34FAC" w:rsidP="00E63395">
      <w:pPr>
        <w:tabs>
          <w:tab w:val="right" w:pos="8080"/>
        </w:tabs>
        <w:spacing w:after="0" w:line="240" w:lineRule="auto"/>
        <w:jc w:val="both"/>
        <w:rPr>
          <w:rFonts w:ascii="Times New Roman" w:hAnsi="Times New Roman" w:cs="Times New Roman"/>
          <w:color w:val="000000" w:themeColor="text1"/>
          <w:sz w:val="24"/>
          <w:szCs w:val="24"/>
        </w:rPr>
      </w:pPr>
    </w:p>
    <w:p w:rsidR="00D34FAC" w:rsidRPr="00E63395" w:rsidRDefault="00E63395" w:rsidP="00E63395">
      <w:pPr>
        <w:spacing w:after="0" w:line="240" w:lineRule="auto"/>
        <w:rPr>
          <w:rFonts w:ascii="Times New Roman" w:hAnsi="Times New Roman" w:cs="Times New Roman"/>
          <w:color w:val="000000" w:themeColor="text1"/>
          <w:sz w:val="20"/>
          <w:szCs w:val="20"/>
        </w:rPr>
      </w:pPr>
      <w:r w:rsidRPr="00E63395">
        <w:rPr>
          <w:rFonts w:ascii="Times New Roman" w:hAnsi="Times New Roman" w:cs="Times New Roman"/>
          <w:color w:val="000000" w:themeColor="text1"/>
          <w:sz w:val="20"/>
          <w:szCs w:val="20"/>
        </w:rPr>
        <w:t>01.11</w:t>
      </w:r>
      <w:r w:rsidR="00D34FAC" w:rsidRPr="00E63395">
        <w:rPr>
          <w:rFonts w:ascii="Times New Roman" w:hAnsi="Times New Roman" w:cs="Times New Roman"/>
          <w:color w:val="000000" w:themeColor="text1"/>
          <w:sz w:val="20"/>
          <w:szCs w:val="20"/>
        </w:rPr>
        <w:t>.2016. 14:59</w:t>
      </w:r>
    </w:p>
    <w:p w:rsidR="00D34FAC" w:rsidRPr="00E63395" w:rsidRDefault="00D34FAC" w:rsidP="00E63395">
      <w:pPr>
        <w:tabs>
          <w:tab w:val="left" w:pos="825"/>
        </w:tabs>
        <w:spacing w:after="0" w:line="240" w:lineRule="auto"/>
        <w:rPr>
          <w:rFonts w:ascii="Times New Roman" w:hAnsi="Times New Roman" w:cs="Times New Roman"/>
          <w:color w:val="000000" w:themeColor="text1"/>
          <w:sz w:val="20"/>
          <w:szCs w:val="20"/>
        </w:rPr>
      </w:pPr>
      <w:r w:rsidRPr="00E63395">
        <w:rPr>
          <w:rFonts w:ascii="Times New Roman" w:hAnsi="Times New Roman" w:cs="Times New Roman"/>
          <w:color w:val="000000" w:themeColor="text1"/>
          <w:sz w:val="20"/>
          <w:szCs w:val="20"/>
        </w:rPr>
        <w:fldChar w:fldCharType="begin"/>
      </w:r>
      <w:r w:rsidRPr="00E63395">
        <w:rPr>
          <w:rFonts w:ascii="Times New Roman" w:hAnsi="Times New Roman" w:cs="Times New Roman"/>
          <w:color w:val="000000" w:themeColor="text1"/>
          <w:sz w:val="20"/>
          <w:szCs w:val="20"/>
        </w:rPr>
        <w:instrText xml:space="preserve"> NUMWORDS   \* MERGEFORMAT </w:instrText>
      </w:r>
      <w:r w:rsidRPr="00E63395">
        <w:rPr>
          <w:rFonts w:ascii="Times New Roman" w:hAnsi="Times New Roman" w:cs="Times New Roman"/>
          <w:color w:val="000000" w:themeColor="text1"/>
          <w:sz w:val="20"/>
          <w:szCs w:val="20"/>
        </w:rPr>
        <w:fldChar w:fldCharType="separate"/>
      </w:r>
      <w:r w:rsidR="00E63395" w:rsidRPr="00E63395">
        <w:rPr>
          <w:rFonts w:ascii="Times New Roman" w:hAnsi="Times New Roman" w:cs="Times New Roman"/>
          <w:noProof/>
          <w:color w:val="000000" w:themeColor="text1"/>
          <w:sz w:val="20"/>
          <w:szCs w:val="20"/>
        </w:rPr>
        <w:t>30</w:t>
      </w:r>
      <w:r w:rsidR="00737C6A">
        <w:rPr>
          <w:rFonts w:ascii="Times New Roman" w:hAnsi="Times New Roman" w:cs="Times New Roman"/>
          <w:noProof/>
          <w:color w:val="000000" w:themeColor="text1"/>
          <w:sz w:val="20"/>
          <w:szCs w:val="20"/>
        </w:rPr>
        <w:t>46</w:t>
      </w:r>
      <w:r w:rsidRPr="00E63395">
        <w:rPr>
          <w:rFonts w:ascii="Times New Roman" w:hAnsi="Times New Roman" w:cs="Times New Roman"/>
          <w:color w:val="000000" w:themeColor="text1"/>
          <w:sz w:val="20"/>
          <w:szCs w:val="20"/>
        </w:rPr>
        <w:fldChar w:fldCharType="end"/>
      </w:r>
      <w:r w:rsidRPr="00E63395">
        <w:rPr>
          <w:rFonts w:ascii="Times New Roman" w:hAnsi="Times New Roman" w:cs="Times New Roman"/>
          <w:color w:val="000000" w:themeColor="text1"/>
          <w:sz w:val="20"/>
          <w:szCs w:val="20"/>
        </w:rPr>
        <w:tab/>
      </w:r>
    </w:p>
    <w:p w:rsidR="00D34FAC" w:rsidRPr="00E63395" w:rsidRDefault="00D34FAC" w:rsidP="00E63395">
      <w:pPr>
        <w:spacing w:after="0" w:line="240" w:lineRule="auto"/>
        <w:rPr>
          <w:rFonts w:ascii="Times New Roman" w:hAnsi="Times New Roman" w:cs="Times New Roman"/>
          <w:color w:val="000000" w:themeColor="text1"/>
          <w:sz w:val="20"/>
          <w:szCs w:val="20"/>
        </w:rPr>
      </w:pPr>
      <w:r w:rsidRPr="00E63395">
        <w:rPr>
          <w:rFonts w:ascii="Times New Roman" w:hAnsi="Times New Roman" w:cs="Times New Roman"/>
          <w:color w:val="000000" w:themeColor="text1"/>
          <w:sz w:val="20"/>
          <w:szCs w:val="20"/>
        </w:rPr>
        <w:t>A. Ševčuks</w:t>
      </w:r>
    </w:p>
    <w:p w:rsidR="00D34FAC" w:rsidRPr="00E63395" w:rsidRDefault="00D34FAC" w:rsidP="00E63395">
      <w:pPr>
        <w:spacing w:after="0" w:line="240" w:lineRule="auto"/>
        <w:rPr>
          <w:rFonts w:ascii="Times New Roman" w:hAnsi="Times New Roman" w:cs="Times New Roman"/>
          <w:color w:val="000000" w:themeColor="text1"/>
          <w:sz w:val="20"/>
          <w:szCs w:val="20"/>
        </w:rPr>
      </w:pPr>
      <w:r w:rsidRPr="00E63395">
        <w:rPr>
          <w:rFonts w:ascii="Times New Roman" w:hAnsi="Times New Roman" w:cs="Times New Roman"/>
          <w:color w:val="000000" w:themeColor="text1"/>
          <w:sz w:val="20"/>
          <w:szCs w:val="20"/>
        </w:rPr>
        <w:t xml:space="preserve">67013230; </w:t>
      </w:r>
      <w:hyperlink r:id="rId8" w:history="1">
        <w:r w:rsidRPr="00E63395">
          <w:rPr>
            <w:rStyle w:val="Hyperlink"/>
            <w:rFonts w:ascii="Times New Roman" w:hAnsi="Times New Roman" w:cs="Times New Roman"/>
            <w:color w:val="000000" w:themeColor="text1"/>
            <w:sz w:val="20"/>
            <w:szCs w:val="20"/>
          </w:rPr>
          <w:t>Arturs.Sevcuks@em.gov.lv</w:t>
        </w:r>
      </w:hyperlink>
    </w:p>
    <w:p w:rsidR="00D34FAC" w:rsidRPr="00E63395" w:rsidRDefault="00D34FAC" w:rsidP="00E63395">
      <w:pPr>
        <w:spacing w:after="0" w:line="240" w:lineRule="auto"/>
        <w:rPr>
          <w:rFonts w:ascii="Times New Roman" w:hAnsi="Times New Roman" w:cs="Times New Roman"/>
          <w:color w:val="000000" w:themeColor="text1"/>
          <w:sz w:val="20"/>
          <w:szCs w:val="20"/>
        </w:rPr>
      </w:pPr>
      <w:r w:rsidRPr="00E63395">
        <w:rPr>
          <w:rFonts w:ascii="Times New Roman" w:hAnsi="Times New Roman" w:cs="Times New Roman"/>
          <w:color w:val="000000" w:themeColor="text1"/>
          <w:sz w:val="20"/>
          <w:szCs w:val="20"/>
        </w:rPr>
        <w:t>D. Dzērviniece</w:t>
      </w:r>
    </w:p>
    <w:p w:rsidR="00D34FAC" w:rsidRPr="00E63395" w:rsidRDefault="00D34FAC" w:rsidP="00E63395">
      <w:pPr>
        <w:spacing w:after="0" w:line="240" w:lineRule="auto"/>
        <w:rPr>
          <w:rFonts w:ascii="Times New Roman" w:hAnsi="Times New Roman" w:cs="Times New Roman"/>
          <w:color w:val="000000" w:themeColor="text1"/>
          <w:sz w:val="20"/>
          <w:szCs w:val="20"/>
        </w:rPr>
      </w:pPr>
      <w:r w:rsidRPr="00E63395">
        <w:rPr>
          <w:rFonts w:ascii="Times New Roman" w:hAnsi="Times New Roman" w:cs="Times New Roman"/>
          <w:color w:val="000000" w:themeColor="text1"/>
          <w:sz w:val="20"/>
          <w:szCs w:val="20"/>
        </w:rPr>
        <w:t xml:space="preserve">67365225; </w:t>
      </w:r>
      <w:hyperlink r:id="rId9" w:history="1">
        <w:r w:rsidRPr="00E63395">
          <w:rPr>
            <w:rStyle w:val="Hyperlink"/>
            <w:rFonts w:ascii="Times New Roman" w:hAnsi="Times New Roman" w:cs="Times New Roman"/>
            <w:color w:val="000000" w:themeColor="text1"/>
            <w:sz w:val="20"/>
            <w:szCs w:val="20"/>
          </w:rPr>
          <w:t>Dita.Dzerviniece@kp.gov.lv</w:t>
        </w:r>
      </w:hyperlink>
      <w:r w:rsidRPr="00E63395">
        <w:rPr>
          <w:rFonts w:ascii="Times New Roman" w:hAnsi="Times New Roman" w:cs="Times New Roman"/>
          <w:color w:val="000000" w:themeColor="text1"/>
          <w:sz w:val="20"/>
          <w:szCs w:val="20"/>
        </w:rPr>
        <w:t xml:space="preserve"> </w:t>
      </w:r>
    </w:p>
    <w:p w:rsidR="00D34FAC" w:rsidRPr="00E63395" w:rsidRDefault="00D34FAC" w:rsidP="00E63395">
      <w:pPr>
        <w:spacing w:after="0" w:line="240" w:lineRule="auto"/>
        <w:rPr>
          <w:rFonts w:ascii="Times New Roman" w:hAnsi="Times New Roman" w:cs="Times New Roman"/>
          <w:color w:val="000000" w:themeColor="text1"/>
          <w:sz w:val="20"/>
          <w:szCs w:val="20"/>
        </w:rPr>
      </w:pPr>
      <w:r w:rsidRPr="00E63395">
        <w:rPr>
          <w:rFonts w:ascii="Times New Roman" w:hAnsi="Times New Roman" w:cs="Times New Roman"/>
          <w:color w:val="000000" w:themeColor="text1"/>
          <w:sz w:val="20"/>
          <w:szCs w:val="20"/>
        </w:rPr>
        <w:t>A. Apsītis</w:t>
      </w:r>
    </w:p>
    <w:p w:rsidR="00893CD2" w:rsidRPr="00737C6A" w:rsidRDefault="00D34FAC" w:rsidP="00737C6A">
      <w:pPr>
        <w:spacing w:after="0" w:line="240" w:lineRule="auto"/>
        <w:rPr>
          <w:rFonts w:ascii="Times New Roman" w:hAnsi="Times New Roman" w:cs="Times New Roman"/>
          <w:color w:val="000000" w:themeColor="text1"/>
          <w:sz w:val="20"/>
          <w:szCs w:val="20"/>
          <w:u w:val="single"/>
        </w:rPr>
      </w:pPr>
      <w:r w:rsidRPr="00E63395">
        <w:rPr>
          <w:rFonts w:ascii="Times New Roman" w:hAnsi="Times New Roman" w:cs="Times New Roman"/>
          <w:color w:val="000000" w:themeColor="text1"/>
          <w:sz w:val="20"/>
          <w:szCs w:val="20"/>
        </w:rPr>
        <w:t xml:space="preserve">67365225; </w:t>
      </w:r>
      <w:hyperlink r:id="rId10" w:history="1">
        <w:r w:rsidRPr="00E63395">
          <w:rPr>
            <w:rStyle w:val="Hyperlink"/>
            <w:rFonts w:ascii="Times New Roman" w:hAnsi="Times New Roman" w:cs="Times New Roman"/>
            <w:color w:val="000000" w:themeColor="text1"/>
            <w:sz w:val="20"/>
            <w:szCs w:val="20"/>
          </w:rPr>
          <w:t>Antis.Apsitis@kp.gov.lv</w:t>
        </w:r>
      </w:hyperlink>
    </w:p>
    <w:sectPr w:rsidR="00893CD2" w:rsidRPr="00737C6A" w:rsidSect="00D34FAC">
      <w:headerReference w:type="default" r:id="rId11"/>
      <w:footerReference w:type="default" r:id="rId12"/>
      <w:footerReference w:type="first" r:id="rId13"/>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72" w:rsidRDefault="00582472" w:rsidP="003E7ECF">
      <w:pPr>
        <w:spacing w:after="0" w:line="240" w:lineRule="auto"/>
      </w:pPr>
      <w:r>
        <w:separator/>
      </w:r>
    </w:p>
  </w:endnote>
  <w:endnote w:type="continuationSeparator" w:id="0">
    <w:p w:rsidR="00582472" w:rsidRDefault="00582472" w:rsidP="003E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FA" w:rsidRDefault="00EC28FA" w:rsidP="00334B94">
    <w:pPr>
      <w:spacing w:after="0" w:line="240" w:lineRule="auto"/>
      <w:jc w:val="both"/>
    </w:pPr>
    <w:r w:rsidRPr="00334B94">
      <w:rPr>
        <w:rFonts w:ascii="Times New Roman" w:hAnsi="Times New Roman" w:cs="Times New Roman"/>
        <w:sz w:val="20"/>
        <w:szCs w:val="20"/>
      </w:rPr>
      <w:t>EMAnot_</w:t>
    </w:r>
    <w:r w:rsidR="00D34FAC">
      <w:rPr>
        <w:rFonts w:ascii="Times New Roman" w:hAnsi="Times New Roman" w:cs="Times New Roman"/>
        <w:sz w:val="20"/>
        <w:szCs w:val="20"/>
      </w:rPr>
      <w:t>0111</w:t>
    </w:r>
    <w:r w:rsidRPr="00334B94">
      <w:rPr>
        <w:rFonts w:ascii="Times New Roman" w:hAnsi="Times New Roman" w:cs="Times New Roman"/>
        <w:sz w:val="20"/>
        <w:szCs w:val="20"/>
      </w:rPr>
      <w:t xml:space="preserve">16_CPLzaud; </w:t>
    </w:r>
    <w:r w:rsidRPr="00334B94">
      <w:rPr>
        <w:rFonts w:ascii="Times New Roman" w:eastAsia="Times New Roman" w:hAnsi="Times New Roman" w:cs="Times New Roman"/>
        <w:bCs/>
        <w:sz w:val="20"/>
        <w:szCs w:val="20"/>
        <w:lang w:eastAsia="lv-LV"/>
      </w:rPr>
      <w:t>Likumprojekta „Grozījumi Civilprocesa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F8" w:rsidRDefault="00D34FAC" w:rsidP="00D34FAC">
    <w:pPr>
      <w:spacing w:after="0" w:line="240" w:lineRule="auto"/>
      <w:jc w:val="both"/>
    </w:pPr>
    <w:r w:rsidRPr="00334B94">
      <w:rPr>
        <w:rFonts w:ascii="Times New Roman" w:hAnsi="Times New Roman" w:cs="Times New Roman"/>
        <w:sz w:val="20"/>
        <w:szCs w:val="20"/>
      </w:rPr>
      <w:t>EMAnot_</w:t>
    </w:r>
    <w:r>
      <w:rPr>
        <w:rFonts w:ascii="Times New Roman" w:hAnsi="Times New Roman" w:cs="Times New Roman"/>
        <w:sz w:val="20"/>
        <w:szCs w:val="20"/>
      </w:rPr>
      <w:t>0111</w:t>
    </w:r>
    <w:r w:rsidRPr="00334B94">
      <w:rPr>
        <w:rFonts w:ascii="Times New Roman" w:hAnsi="Times New Roman" w:cs="Times New Roman"/>
        <w:sz w:val="20"/>
        <w:szCs w:val="20"/>
      </w:rPr>
      <w:t xml:space="preserve">16_CPLzaud; </w:t>
    </w:r>
    <w:r w:rsidRPr="00334B94">
      <w:rPr>
        <w:rFonts w:ascii="Times New Roman" w:eastAsia="Times New Roman" w:hAnsi="Times New Roman" w:cs="Times New Roman"/>
        <w:bCs/>
        <w:sz w:val="20"/>
        <w:szCs w:val="20"/>
        <w:lang w:eastAsia="lv-LV"/>
      </w:rPr>
      <w:t>Likumprojekta „Grozījumi Civilprocesa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72" w:rsidRDefault="00582472" w:rsidP="003E7ECF">
      <w:pPr>
        <w:spacing w:after="0" w:line="240" w:lineRule="auto"/>
      </w:pPr>
      <w:r>
        <w:separator/>
      </w:r>
    </w:p>
  </w:footnote>
  <w:footnote w:type="continuationSeparator" w:id="0">
    <w:p w:rsidR="00582472" w:rsidRDefault="00582472" w:rsidP="003E7ECF">
      <w:pPr>
        <w:spacing w:after="0" w:line="240" w:lineRule="auto"/>
      </w:pPr>
      <w:r>
        <w:continuationSeparator/>
      </w:r>
    </w:p>
  </w:footnote>
  <w:footnote w:id="1">
    <w:p w:rsidR="00EC28FA" w:rsidRDefault="00EC28FA" w:rsidP="00C11A44">
      <w:pPr>
        <w:pStyle w:val="FootnoteText"/>
      </w:pPr>
      <w:r>
        <w:rPr>
          <w:rStyle w:val="FootnoteReference"/>
        </w:rPr>
        <w:footnoteRef/>
      </w:r>
      <w:r>
        <w:t xml:space="preserve"> </w:t>
      </w:r>
      <w:r w:rsidRPr="001F6E1E">
        <w:t xml:space="preserve">Latvijas Republikas Augstākās tiesas Civillietu departamenta 2014. gada 29.maija </w:t>
      </w:r>
      <w:r>
        <w:t>lēmums l</w:t>
      </w:r>
      <w:r w:rsidRPr="001F6E1E">
        <w:t>ietā Nr. SKC-2247/2014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27808"/>
      <w:docPartObj>
        <w:docPartGallery w:val="Page Numbers (Top of Page)"/>
        <w:docPartUnique/>
      </w:docPartObj>
    </w:sdtPr>
    <w:sdtEndPr>
      <w:rPr>
        <w:rFonts w:ascii="Times New Roman" w:hAnsi="Times New Roman" w:cs="Times New Roman"/>
        <w:noProof/>
        <w:sz w:val="24"/>
        <w:szCs w:val="24"/>
      </w:rPr>
    </w:sdtEndPr>
    <w:sdtContent>
      <w:p w:rsidR="00D34FAC" w:rsidRPr="00737C6A" w:rsidRDefault="00D34FAC">
        <w:pPr>
          <w:pStyle w:val="Header"/>
          <w:jc w:val="center"/>
          <w:rPr>
            <w:rFonts w:ascii="Times New Roman" w:hAnsi="Times New Roman" w:cs="Times New Roman"/>
            <w:sz w:val="24"/>
            <w:szCs w:val="24"/>
          </w:rPr>
        </w:pPr>
        <w:r w:rsidRPr="00737C6A">
          <w:rPr>
            <w:rFonts w:ascii="Times New Roman" w:hAnsi="Times New Roman" w:cs="Times New Roman"/>
            <w:sz w:val="24"/>
            <w:szCs w:val="24"/>
          </w:rPr>
          <w:fldChar w:fldCharType="begin"/>
        </w:r>
        <w:r w:rsidRPr="00737C6A">
          <w:rPr>
            <w:rFonts w:ascii="Times New Roman" w:hAnsi="Times New Roman" w:cs="Times New Roman"/>
            <w:sz w:val="24"/>
            <w:szCs w:val="24"/>
          </w:rPr>
          <w:instrText xml:space="preserve"> PAGE   \* MERGEFORMAT </w:instrText>
        </w:r>
        <w:r w:rsidRPr="00737C6A">
          <w:rPr>
            <w:rFonts w:ascii="Times New Roman" w:hAnsi="Times New Roman" w:cs="Times New Roman"/>
            <w:sz w:val="24"/>
            <w:szCs w:val="24"/>
          </w:rPr>
          <w:fldChar w:fldCharType="separate"/>
        </w:r>
        <w:r w:rsidR="00BB38CE">
          <w:rPr>
            <w:rFonts w:ascii="Times New Roman" w:hAnsi="Times New Roman" w:cs="Times New Roman"/>
            <w:noProof/>
            <w:sz w:val="24"/>
            <w:szCs w:val="24"/>
          </w:rPr>
          <w:t>14</w:t>
        </w:r>
        <w:r w:rsidRPr="00737C6A">
          <w:rPr>
            <w:rFonts w:ascii="Times New Roman" w:hAnsi="Times New Roman" w:cs="Times New Roman"/>
            <w:noProof/>
            <w:sz w:val="24"/>
            <w:szCs w:val="24"/>
          </w:rPr>
          <w:fldChar w:fldCharType="end"/>
        </w:r>
      </w:p>
    </w:sdtContent>
  </w:sdt>
  <w:p w:rsidR="005146F8" w:rsidRDefault="00514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F2D"/>
    <w:multiLevelType w:val="hybridMultilevel"/>
    <w:tmpl w:val="098A64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BD49C5"/>
    <w:multiLevelType w:val="hybridMultilevel"/>
    <w:tmpl w:val="2BF4B648"/>
    <w:lvl w:ilvl="0" w:tplc="D46815D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3D261B1F"/>
    <w:multiLevelType w:val="hybridMultilevel"/>
    <w:tmpl w:val="04CC5D72"/>
    <w:lvl w:ilvl="0" w:tplc="312E3A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B87BE4"/>
    <w:multiLevelType w:val="hybridMultilevel"/>
    <w:tmpl w:val="BF221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9431F9"/>
    <w:multiLevelType w:val="hybridMultilevel"/>
    <w:tmpl w:val="AE6041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E42A7E"/>
    <w:multiLevelType w:val="hybridMultilevel"/>
    <w:tmpl w:val="85FA363E"/>
    <w:lvl w:ilvl="0" w:tplc="D06A23BE">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58027C8C"/>
    <w:multiLevelType w:val="hybridMultilevel"/>
    <w:tmpl w:val="3C32B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EE00B1"/>
    <w:multiLevelType w:val="hybridMultilevel"/>
    <w:tmpl w:val="2946D31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35"/>
    <w:rsid w:val="0000535E"/>
    <w:rsid w:val="000465AE"/>
    <w:rsid w:val="000F1DC3"/>
    <w:rsid w:val="001550B0"/>
    <w:rsid w:val="001631A5"/>
    <w:rsid w:val="00173DD1"/>
    <w:rsid w:val="001855F2"/>
    <w:rsid w:val="00186685"/>
    <w:rsid w:val="001934D5"/>
    <w:rsid w:val="001A28E2"/>
    <w:rsid w:val="001F6E1E"/>
    <w:rsid w:val="00217742"/>
    <w:rsid w:val="00293470"/>
    <w:rsid w:val="002A1531"/>
    <w:rsid w:val="002C3D9A"/>
    <w:rsid w:val="00307493"/>
    <w:rsid w:val="00334B94"/>
    <w:rsid w:val="00340C58"/>
    <w:rsid w:val="00375939"/>
    <w:rsid w:val="00393CEA"/>
    <w:rsid w:val="003B7857"/>
    <w:rsid w:val="003E1DE9"/>
    <w:rsid w:val="003E7ECF"/>
    <w:rsid w:val="004004E5"/>
    <w:rsid w:val="0040117D"/>
    <w:rsid w:val="00424E00"/>
    <w:rsid w:val="00441B1A"/>
    <w:rsid w:val="00445E5D"/>
    <w:rsid w:val="00485FC9"/>
    <w:rsid w:val="004C54D4"/>
    <w:rsid w:val="005146F8"/>
    <w:rsid w:val="00553AB3"/>
    <w:rsid w:val="00581EAB"/>
    <w:rsid w:val="00582472"/>
    <w:rsid w:val="005B3278"/>
    <w:rsid w:val="005B552B"/>
    <w:rsid w:val="005D4CD1"/>
    <w:rsid w:val="00691FF1"/>
    <w:rsid w:val="006A411C"/>
    <w:rsid w:val="006C2194"/>
    <w:rsid w:val="006C2F1C"/>
    <w:rsid w:val="006E27FE"/>
    <w:rsid w:val="00723B06"/>
    <w:rsid w:val="00737C6A"/>
    <w:rsid w:val="0077682A"/>
    <w:rsid w:val="007C7AD7"/>
    <w:rsid w:val="00851DB3"/>
    <w:rsid w:val="00892255"/>
    <w:rsid w:val="00893CD2"/>
    <w:rsid w:val="008B0219"/>
    <w:rsid w:val="008F5594"/>
    <w:rsid w:val="009E6242"/>
    <w:rsid w:val="00A14694"/>
    <w:rsid w:val="00A52554"/>
    <w:rsid w:val="00B05A6F"/>
    <w:rsid w:val="00B3762A"/>
    <w:rsid w:val="00B96C57"/>
    <w:rsid w:val="00BB38CE"/>
    <w:rsid w:val="00BF051F"/>
    <w:rsid w:val="00C06A32"/>
    <w:rsid w:val="00C11A44"/>
    <w:rsid w:val="00C24D91"/>
    <w:rsid w:val="00C279B7"/>
    <w:rsid w:val="00C80CD6"/>
    <w:rsid w:val="00C872F7"/>
    <w:rsid w:val="00CD2F44"/>
    <w:rsid w:val="00D11735"/>
    <w:rsid w:val="00D34FAC"/>
    <w:rsid w:val="00D47E75"/>
    <w:rsid w:val="00D81858"/>
    <w:rsid w:val="00DD3A20"/>
    <w:rsid w:val="00DD43B2"/>
    <w:rsid w:val="00DF5433"/>
    <w:rsid w:val="00E0691A"/>
    <w:rsid w:val="00E11D9D"/>
    <w:rsid w:val="00E3313F"/>
    <w:rsid w:val="00E63395"/>
    <w:rsid w:val="00E81563"/>
    <w:rsid w:val="00EA3ABE"/>
    <w:rsid w:val="00EC0D8C"/>
    <w:rsid w:val="00EC28FA"/>
    <w:rsid w:val="00ED33F2"/>
    <w:rsid w:val="00F001EE"/>
    <w:rsid w:val="00FE4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EF97D76-06F9-483C-92C8-CEEE4D9E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Char,Fußnote Char"/>
    <w:basedOn w:val="DefaultParagraphFont"/>
    <w:link w:val="FootnoteText"/>
    <w:uiPriority w:val="99"/>
    <w:semiHidden/>
    <w:locked/>
    <w:rsid w:val="003E7ECF"/>
    <w:rPr>
      <w:rFonts w:ascii="Times New Roman" w:eastAsia="Times New Roman" w:hAnsi="Times New Roman" w:cs="Times New Roman"/>
      <w:sz w:val="20"/>
      <w:szCs w:val="20"/>
      <w:lang w:eastAsia="zh-CN"/>
    </w:rPr>
  </w:style>
  <w:style w:type="paragraph" w:styleId="FootnoteText">
    <w:name w:val="footnote text"/>
    <w:aliases w:val="fn,Footnote,Fußnote"/>
    <w:basedOn w:val="Normal"/>
    <w:link w:val="FootnoteTextChar"/>
    <w:uiPriority w:val="99"/>
    <w:semiHidden/>
    <w:unhideWhenUsed/>
    <w:rsid w:val="003E7ECF"/>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uiPriority w:val="99"/>
    <w:semiHidden/>
    <w:rsid w:val="003E7ECF"/>
    <w:rPr>
      <w:sz w:val="20"/>
      <w:szCs w:val="20"/>
    </w:rPr>
  </w:style>
  <w:style w:type="paragraph" w:customStyle="1" w:styleId="StyleRight">
    <w:name w:val="Style Right"/>
    <w:basedOn w:val="Normal"/>
    <w:rsid w:val="003E7ECF"/>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3E7ECF"/>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
    <w:uiPriority w:val="99"/>
    <w:semiHidden/>
    <w:unhideWhenUsed/>
    <w:rsid w:val="003E7ECF"/>
    <w:rPr>
      <w:vertAlign w:val="superscript"/>
    </w:rPr>
  </w:style>
  <w:style w:type="paragraph" w:styleId="Subtitle">
    <w:name w:val="Subtitle"/>
    <w:basedOn w:val="Normal"/>
    <w:link w:val="SubtitleChar"/>
    <w:qFormat/>
    <w:rsid w:val="003E7ECF"/>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3E7ECF"/>
    <w:rPr>
      <w:rFonts w:ascii="Times New Roman" w:eastAsia="Times New Roman" w:hAnsi="Times New Roman" w:cs="Times New Roman"/>
      <w:sz w:val="28"/>
      <w:szCs w:val="20"/>
      <w:lang w:val="x-none" w:eastAsia="lv-LV"/>
    </w:rPr>
  </w:style>
  <w:style w:type="paragraph" w:styleId="ListParagraph">
    <w:name w:val="List Paragraph"/>
    <w:basedOn w:val="Normal"/>
    <w:link w:val="ListParagraphChar"/>
    <w:uiPriority w:val="34"/>
    <w:qFormat/>
    <w:rsid w:val="00485FC9"/>
    <w:pPr>
      <w:ind w:left="720"/>
      <w:contextualSpacing/>
    </w:pPr>
  </w:style>
  <w:style w:type="paragraph" w:customStyle="1" w:styleId="naisf">
    <w:name w:val="naisf"/>
    <w:basedOn w:val="Normal"/>
    <w:rsid w:val="00485FC9"/>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character" w:customStyle="1" w:styleId="apple-converted-space">
    <w:name w:val="apple-converted-space"/>
    <w:basedOn w:val="DefaultParagraphFont"/>
    <w:rsid w:val="00485FC9"/>
  </w:style>
  <w:style w:type="paragraph" w:styleId="Header">
    <w:name w:val="header"/>
    <w:basedOn w:val="Normal"/>
    <w:link w:val="HeaderChar"/>
    <w:uiPriority w:val="99"/>
    <w:unhideWhenUsed/>
    <w:rsid w:val="00334B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4B94"/>
  </w:style>
  <w:style w:type="paragraph" w:styleId="Footer">
    <w:name w:val="footer"/>
    <w:basedOn w:val="Normal"/>
    <w:link w:val="FooterChar"/>
    <w:uiPriority w:val="99"/>
    <w:unhideWhenUsed/>
    <w:rsid w:val="00334B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4B94"/>
  </w:style>
  <w:style w:type="paragraph" w:styleId="BalloonText">
    <w:name w:val="Balloon Text"/>
    <w:basedOn w:val="Normal"/>
    <w:link w:val="BalloonTextChar"/>
    <w:uiPriority w:val="99"/>
    <w:semiHidden/>
    <w:unhideWhenUsed/>
    <w:rsid w:val="00D8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58"/>
    <w:rPr>
      <w:rFonts w:ascii="Segoe UI" w:hAnsi="Segoe UI" w:cs="Segoe UI"/>
      <w:sz w:val="18"/>
      <w:szCs w:val="18"/>
    </w:rPr>
  </w:style>
  <w:style w:type="character" w:styleId="CommentReference">
    <w:name w:val="annotation reference"/>
    <w:basedOn w:val="DefaultParagraphFont"/>
    <w:uiPriority w:val="99"/>
    <w:semiHidden/>
    <w:unhideWhenUsed/>
    <w:rsid w:val="00553AB3"/>
    <w:rPr>
      <w:sz w:val="16"/>
      <w:szCs w:val="16"/>
    </w:rPr>
  </w:style>
  <w:style w:type="paragraph" w:styleId="CommentText">
    <w:name w:val="annotation text"/>
    <w:basedOn w:val="Normal"/>
    <w:link w:val="CommentTextChar"/>
    <w:uiPriority w:val="99"/>
    <w:semiHidden/>
    <w:unhideWhenUsed/>
    <w:rsid w:val="00553AB3"/>
    <w:pPr>
      <w:spacing w:line="240" w:lineRule="auto"/>
    </w:pPr>
    <w:rPr>
      <w:sz w:val="20"/>
      <w:szCs w:val="20"/>
    </w:rPr>
  </w:style>
  <w:style w:type="character" w:customStyle="1" w:styleId="CommentTextChar">
    <w:name w:val="Comment Text Char"/>
    <w:basedOn w:val="DefaultParagraphFont"/>
    <w:link w:val="CommentText"/>
    <w:uiPriority w:val="99"/>
    <w:semiHidden/>
    <w:rsid w:val="00553AB3"/>
    <w:rPr>
      <w:sz w:val="20"/>
      <w:szCs w:val="20"/>
    </w:rPr>
  </w:style>
  <w:style w:type="paragraph" w:styleId="CommentSubject">
    <w:name w:val="annotation subject"/>
    <w:basedOn w:val="CommentText"/>
    <w:next w:val="CommentText"/>
    <w:link w:val="CommentSubjectChar"/>
    <w:uiPriority w:val="99"/>
    <w:semiHidden/>
    <w:unhideWhenUsed/>
    <w:rsid w:val="00553AB3"/>
    <w:rPr>
      <w:b/>
      <w:bCs/>
    </w:rPr>
  </w:style>
  <w:style w:type="character" w:customStyle="1" w:styleId="CommentSubjectChar">
    <w:name w:val="Comment Subject Char"/>
    <w:basedOn w:val="CommentTextChar"/>
    <w:link w:val="CommentSubject"/>
    <w:uiPriority w:val="99"/>
    <w:semiHidden/>
    <w:rsid w:val="00553AB3"/>
    <w:rPr>
      <w:b/>
      <w:bCs/>
      <w:sz w:val="20"/>
      <w:szCs w:val="20"/>
    </w:rPr>
  </w:style>
  <w:style w:type="paragraph" w:styleId="NoSpacing">
    <w:name w:val="No Spacing"/>
    <w:basedOn w:val="Normal"/>
    <w:uiPriority w:val="1"/>
    <w:qFormat/>
    <w:rsid w:val="00DD3A20"/>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45E5D"/>
    <w:rPr>
      <w:color w:val="0563C1" w:themeColor="hyperlink"/>
      <w:u w:val="single"/>
    </w:rPr>
  </w:style>
  <w:style w:type="character" w:customStyle="1" w:styleId="ListParagraphChar">
    <w:name w:val="List Paragraph Char"/>
    <w:basedOn w:val="DefaultParagraphFont"/>
    <w:link w:val="ListParagraph"/>
    <w:uiPriority w:val="34"/>
    <w:locked/>
    <w:rsid w:val="00E1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6594">
      <w:bodyDiv w:val="1"/>
      <w:marLeft w:val="0"/>
      <w:marRight w:val="0"/>
      <w:marTop w:val="0"/>
      <w:marBottom w:val="0"/>
      <w:divBdr>
        <w:top w:val="none" w:sz="0" w:space="0" w:color="auto"/>
        <w:left w:val="none" w:sz="0" w:space="0" w:color="auto"/>
        <w:bottom w:val="none" w:sz="0" w:space="0" w:color="auto"/>
        <w:right w:val="none" w:sz="0" w:space="0" w:color="auto"/>
      </w:divBdr>
    </w:div>
    <w:div w:id="865097630">
      <w:bodyDiv w:val="1"/>
      <w:marLeft w:val="0"/>
      <w:marRight w:val="0"/>
      <w:marTop w:val="0"/>
      <w:marBottom w:val="0"/>
      <w:divBdr>
        <w:top w:val="none" w:sz="0" w:space="0" w:color="auto"/>
        <w:left w:val="none" w:sz="0" w:space="0" w:color="auto"/>
        <w:bottom w:val="none" w:sz="0" w:space="0" w:color="auto"/>
        <w:right w:val="none" w:sz="0" w:space="0" w:color="auto"/>
      </w:divBdr>
    </w:div>
    <w:div w:id="1490714181">
      <w:bodyDiv w:val="1"/>
      <w:marLeft w:val="0"/>
      <w:marRight w:val="0"/>
      <w:marTop w:val="0"/>
      <w:marBottom w:val="0"/>
      <w:divBdr>
        <w:top w:val="none" w:sz="0" w:space="0" w:color="auto"/>
        <w:left w:val="none" w:sz="0" w:space="0" w:color="auto"/>
        <w:bottom w:val="none" w:sz="0" w:space="0" w:color="auto"/>
        <w:right w:val="none" w:sz="0" w:space="0" w:color="auto"/>
      </w:divBdr>
    </w:div>
    <w:div w:id="1828127074">
      <w:bodyDiv w:val="1"/>
      <w:marLeft w:val="0"/>
      <w:marRight w:val="0"/>
      <w:marTop w:val="0"/>
      <w:marBottom w:val="0"/>
      <w:divBdr>
        <w:top w:val="none" w:sz="0" w:space="0" w:color="auto"/>
        <w:left w:val="none" w:sz="0" w:space="0" w:color="auto"/>
        <w:bottom w:val="none" w:sz="0" w:space="0" w:color="auto"/>
        <w:right w:val="none" w:sz="0" w:space="0" w:color="auto"/>
      </w:divBdr>
    </w:div>
    <w:div w:id="20765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Sevcuk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tis.Apsitis@kp.gov.lv" TargetMode="External"/><Relationship Id="rId4" Type="http://schemas.openxmlformats.org/officeDocument/2006/relationships/settings" Target="settings.xml"/><Relationship Id="rId9" Type="http://schemas.openxmlformats.org/officeDocument/2006/relationships/hyperlink" Target="mailto:Dita.Dzerviniece@k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EA32-32C8-4BDB-A967-F600BB93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16609</Words>
  <Characters>9468</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Artūrs Ševčuks</cp:lastModifiedBy>
  <cp:revision>12</cp:revision>
  <cp:lastPrinted>2016-11-01T12:42:00Z</cp:lastPrinted>
  <dcterms:created xsi:type="dcterms:W3CDTF">2016-09-05T13:27:00Z</dcterms:created>
  <dcterms:modified xsi:type="dcterms:W3CDTF">2016-11-07T14:09:00Z</dcterms:modified>
</cp:coreProperties>
</file>