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E5005" w14:textId="77777777" w:rsidR="00E0014D" w:rsidRDefault="00033B98" w:rsidP="00492763">
      <w:pPr>
        <w:pStyle w:val="Vstulesdatumsunnumurs"/>
        <w:widowControl/>
        <w:spacing w:before="0" w:after="120"/>
        <w:ind w:left="0" w:firstLine="0"/>
        <w:jc w:val="center"/>
        <w:rPr>
          <w:b/>
          <w:color w:val="000000"/>
          <w:sz w:val="26"/>
          <w:szCs w:val="26"/>
          <w:lang w:val="lv-LV"/>
        </w:rPr>
      </w:pPr>
      <w:r w:rsidRPr="00492763">
        <w:rPr>
          <w:b/>
          <w:color w:val="000000"/>
          <w:sz w:val="26"/>
          <w:szCs w:val="26"/>
          <w:lang w:val="lv-LV"/>
        </w:rPr>
        <w:t xml:space="preserve">Informatīvais ziņojums </w:t>
      </w:r>
    </w:p>
    <w:p w14:paraId="22E0ADB4" w14:textId="77777777" w:rsidR="00033B98" w:rsidRDefault="00033B98" w:rsidP="00492763">
      <w:pPr>
        <w:pStyle w:val="Vstulesdatumsunnumurs"/>
        <w:widowControl/>
        <w:spacing w:before="0" w:after="120"/>
        <w:ind w:left="0" w:firstLine="0"/>
        <w:jc w:val="center"/>
        <w:rPr>
          <w:b/>
          <w:color w:val="000000"/>
          <w:sz w:val="26"/>
          <w:szCs w:val="26"/>
          <w:lang w:val="lv-LV"/>
        </w:rPr>
      </w:pPr>
      <w:r w:rsidRPr="00492763">
        <w:rPr>
          <w:b/>
          <w:color w:val="000000"/>
          <w:sz w:val="26"/>
          <w:szCs w:val="26"/>
          <w:lang w:val="lv-LV"/>
        </w:rPr>
        <w:t>“Par elektroenerģijas sadales tīkla tarifu ietekmi uz aizsargātajiem elektroenerģijas lietotājiem un veiktajiem informatīvajiem pasākumiem lietotāju izmaksu kāpuma ierobežošanai”</w:t>
      </w:r>
    </w:p>
    <w:p w14:paraId="20749CB9" w14:textId="77777777" w:rsidR="00DF2E9D" w:rsidRDefault="00DF2E9D" w:rsidP="00DF2E9D">
      <w:pPr>
        <w:pStyle w:val="Vstulesdatumsunnumurs"/>
        <w:widowControl/>
        <w:spacing w:before="0" w:after="120"/>
        <w:ind w:left="0" w:firstLine="0"/>
        <w:rPr>
          <w:b/>
          <w:color w:val="000000"/>
          <w:sz w:val="26"/>
          <w:szCs w:val="26"/>
          <w:lang w:val="lv-LV"/>
        </w:rPr>
      </w:pPr>
    </w:p>
    <w:p w14:paraId="34AD1FE0" w14:textId="77777777" w:rsidR="00315EA7" w:rsidRDefault="006E7B05" w:rsidP="00282E11">
      <w:pPr>
        <w:tabs>
          <w:tab w:val="center" w:pos="4535"/>
          <w:tab w:val="left" w:pos="6405"/>
        </w:tabs>
        <w:jc w:val="center"/>
        <w:rPr>
          <w:b/>
          <w:color w:val="000000"/>
          <w:sz w:val="26"/>
          <w:szCs w:val="26"/>
        </w:rPr>
      </w:pPr>
      <w:r>
        <w:rPr>
          <w:b/>
          <w:color w:val="000000"/>
          <w:sz w:val="26"/>
          <w:szCs w:val="26"/>
        </w:rPr>
        <w:t>Ievads</w:t>
      </w:r>
    </w:p>
    <w:p w14:paraId="70ACB6D4" w14:textId="77777777" w:rsidR="00590B46" w:rsidRDefault="00590B46" w:rsidP="00282E11">
      <w:pPr>
        <w:tabs>
          <w:tab w:val="center" w:pos="4535"/>
          <w:tab w:val="left" w:pos="6405"/>
        </w:tabs>
        <w:rPr>
          <w:color w:val="000000"/>
          <w:sz w:val="26"/>
          <w:szCs w:val="26"/>
        </w:rPr>
      </w:pPr>
    </w:p>
    <w:p w14:paraId="50DAE47A" w14:textId="77777777" w:rsidR="00AD78D3" w:rsidRPr="00E55393" w:rsidRDefault="00AD78D3" w:rsidP="00AD78D3">
      <w:pPr>
        <w:ind w:firstLine="709"/>
        <w:jc w:val="both"/>
        <w:rPr>
          <w:color w:val="000000"/>
          <w:sz w:val="26"/>
          <w:szCs w:val="26"/>
        </w:rPr>
      </w:pPr>
      <w:r w:rsidRPr="00E55393">
        <w:rPr>
          <w:color w:val="000000"/>
          <w:sz w:val="26"/>
          <w:szCs w:val="26"/>
        </w:rPr>
        <w:t xml:space="preserve">Informatīvais ziņojums ir sagatavots saskaņā ar </w:t>
      </w:r>
      <w:r w:rsidRPr="00AD674D">
        <w:rPr>
          <w:color w:val="000000"/>
          <w:sz w:val="26"/>
          <w:szCs w:val="26"/>
        </w:rPr>
        <w:t>Ministru kabineta 2016.gada 13.s</w:t>
      </w:r>
      <w:r w:rsidRPr="00BE2BD7">
        <w:rPr>
          <w:color w:val="000000"/>
          <w:sz w:val="26"/>
          <w:szCs w:val="26"/>
        </w:rPr>
        <w:t>eptembra sēdes protokola 5.punkt</w:t>
      </w:r>
      <w:r w:rsidRPr="00AD674D">
        <w:rPr>
          <w:color w:val="000000"/>
          <w:sz w:val="26"/>
          <w:szCs w:val="26"/>
        </w:rPr>
        <w:t>ā doto</w:t>
      </w:r>
      <w:r w:rsidRPr="002A683C">
        <w:rPr>
          <w:color w:val="000000"/>
          <w:sz w:val="26"/>
          <w:szCs w:val="26"/>
        </w:rPr>
        <w:t xml:space="preserve"> uzdevumu Ekonomikas ministrija</w:t>
      </w:r>
      <w:r w:rsidRPr="00E55393">
        <w:rPr>
          <w:color w:val="000000"/>
          <w:sz w:val="26"/>
          <w:szCs w:val="26"/>
        </w:rPr>
        <w:t xml:space="preserve">i izstrādāt ziņojumu par elektroenerģijas sadales tarifu ietekmi uz aizsargātajiem elektroenerģijas lietotājiem, kurā izvērtēta aizsargāto lietotāju līdzšinējo atbalsta pasākumu fiskālā un sociālekonomiskā ietekme, apkopota informācija par veiktajiem pasākumiem, lai informētu elektroenerģijas patērētājus par iespējām samazināt izdevumus, izvēloties konkrētajam elektroenerģijas patēriņam piemērotāko pieslēguma jaudu, un sniegts tarifu politikas efektivitātes izvērtējums. </w:t>
      </w:r>
    </w:p>
    <w:p w14:paraId="787C0EE2" w14:textId="77777777" w:rsidR="00AD78D3" w:rsidRPr="00E55393" w:rsidRDefault="00AD78D3" w:rsidP="00AD78D3">
      <w:pPr>
        <w:ind w:firstLine="709"/>
        <w:jc w:val="both"/>
        <w:rPr>
          <w:color w:val="000000"/>
          <w:sz w:val="26"/>
          <w:szCs w:val="26"/>
        </w:rPr>
      </w:pPr>
      <w:r w:rsidRPr="00E55393">
        <w:rPr>
          <w:color w:val="000000"/>
          <w:sz w:val="26"/>
          <w:szCs w:val="26"/>
        </w:rPr>
        <w:t xml:space="preserve">2016.gada 1.augustā stājās spēkā jauni elektroenerģijas sadales sistēmas operatora, </w:t>
      </w:r>
      <w:r>
        <w:rPr>
          <w:color w:val="000000"/>
          <w:sz w:val="26"/>
          <w:szCs w:val="26"/>
        </w:rPr>
        <w:t xml:space="preserve">t.i., </w:t>
      </w:r>
      <w:r w:rsidRPr="00E55393">
        <w:rPr>
          <w:color w:val="000000"/>
          <w:sz w:val="26"/>
          <w:szCs w:val="26"/>
        </w:rPr>
        <w:t>akciju sabiedrības “Sadales tīkls”</w:t>
      </w:r>
      <w:r>
        <w:rPr>
          <w:color w:val="000000"/>
          <w:sz w:val="26"/>
          <w:szCs w:val="26"/>
        </w:rPr>
        <w:t>,</w:t>
      </w:r>
      <w:r w:rsidRPr="00E55393">
        <w:rPr>
          <w:color w:val="000000"/>
          <w:sz w:val="26"/>
          <w:szCs w:val="26"/>
        </w:rPr>
        <w:t xml:space="preserve"> pakalpojumu tarifi. Ar jaunajiem tarifiem tika </w:t>
      </w:r>
      <w:r w:rsidRPr="002A683C">
        <w:rPr>
          <w:color w:val="000000"/>
          <w:sz w:val="26"/>
          <w:szCs w:val="26"/>
        </w:rPr>
        <w:t>mainīta esošā tarifu sistēma, un visiem elektroenerģijas lietotājiem ieviesti</w:t>
      </w:r>
      <w:r w:rsidRPr="00E55393">
        <w:rPr>
          <w:color w:val="000000"/>
          <w:sz w:val="26"/>
          <w:szCs w:val="26"/>
        </w:rPr>
        <w:t xml:space="preserve"> no divām komponentēm sastāvoši tarifi. 2016.gada 1.augustā ieviestos tarifus visām elektroenerģijas lietotāju grupām veido fiksētā tarifa komponente – maksājums par pieslēguma jaudu, kā arī maksājums par katru lietotājam piegādāto elektroenerģijas vienību. </w:t>
      </w:r>
    </w:p>
    <w:p w14:paraId="4A53E9E3" w14:textId="77777777" w:rsidR="00AD78D3" w:rsidRPr="00E55393" w:rsidRDefault="00AD78D3" w:rsidP="00AD78D3">
      <w:pPr>
        <w:ind w:firstLine="709"/>
        <w:jc w:val="both"/>
        <w:rPr>
          <w:color w:val="000000"/>
          <w:sz w:val="26"/>
          <w:szCs w:val="26"/>
        </w:rPr>
      </w:pPr>
      <w:r w:rsidRPr="00E55393">
        <w:rPr>
          <w:color w:val="000000"/>
          <w:sz w:val="26"/>
          <w:szCs w:val="26"/>
        </w:rPr>
        <w:t>Tarifu pārskatīšanas mērķis bija veicināt elektroenerģijas izmantošanas optimizēšanu, tā rezultātā samazinot elektroenerģijas sadales infrastruktūras pakalpojumu tarifu kopējo slogu uz tautsaimniecību, kā arī nodrošināt saimnieciski pamatotas maksas iekasēšanu par elektroenerģijas pieslēguma uzturēšanu un citiem saistītajiem pakalpojumiem no tiem elektroenerģijas lietotājiem, kuri pieslēguma vietā nepatērē elektroenerģiju vai arī to patērē ļoti nelielā apjomā, tādā veidā nenosedzot ar saņemtā pakalpojuma sniegšanu saistītās pilnās izmaksas. Jaunajai sadales sistēmas tarifu politikai jānodrošina arī efektīvāk</w:t>
      </w:r>
      <w:r>
        <w:rPr>
          <w:color w:val="000000"/>
          <w:sz w:val="26"/>
          <w:szCs w:val="26"/>
        </w:rPr>
        <w:t>a</w:t>
      </w:r>
      <w:r w:rsidRPr="00E55393">
        <w:rPr>
          <w:color w:val="000000"/>
          <w:sz w:val="26"/>
          <w:szCs w:val="26"/>
        </w:rPr>
        <w:t xml:space="preserve"> elektrotīkla jaud</w:t>
      </w:r>
      <w:r>
        <w:rPr>
          <w:color w:val="000000"/>
          <w:sz w:val="26"/>
          <w:szCs w:val="26"/>
        </w:rPr>
        <w:t>as</w:t>
      </w:r>
      <w:r w:rsidRPr="00E55393">
        <w:rPr>
          <w:color w:val="000000"/>
          <w:sz w:val="26"/>
          <w:szCs w:val="26"/>
        </w:rPr>
        <w:t xml:space="preserve"> izmantošan</w:t>
      </w:r>
      <w:r>
        <w:rPr>
          <w:color w:val="000000"/>
          <w:sz w:val="26"/>
          <w:szCs w:val="26"/>
        </w:rPr>
        <w:t>a</w:t>
      </w:r>
      <w:r w:rsidRPr="00E55393">
        <w:rPr>
          <w:color w:val="000000"/>
          <w:sz w:val="26"/>
          <w:szCs w:val="26"/>
        </w:rPr>
        <w:t>, veicinot klientu atteikšanos no nepamatoti lielas elektroenerģijas pieslēguma jaudas izmantošanas. Ņemot vērā apstākli, ka ar jaunajiem tarifiem, vienlaikus fiksētā maksājuma par pieslēguma jaudu ieviešanai, ir arī samazināta maksa par k</w:t>
      </w:r>
      <w:r w:rsidRPr="002A683C">
        <w:rPr>
          <w:color w:val="000000"/>
          <w:sz w:val="26"/>
          <w:szCs w:val="26"/>
        </w:rPr>
        <w:t>atru lietotājam piegādāto elektroenerģijas vienību, daļai elektroenerģijas lietotāju, kuru ikmēneša elektroenerģijas patēriņš pārsniedz noteiktu slieksni, kopējās izmaksas par elektroenerģijas sadales sistēmas operatora pakalpojumiem ir samazinājušās.</w:t>
      </w:r>
    </w:p>
    <w:p w14:paraId="104097FD" w14:textId="77777777" w:rsidR="00AD78D3" w:rsidRPr="00E55393" w:rsidRDefault="00AD78D3" w:rsidP="00AD78D3">
      <w:pPr>
        <w:pStyle w:val="Vstulesdatumsunnumurs"/>
        <w:widowControl/>
        <w:spacing w:before="0" w:after="0" w:line="240" w:lineRule="auto"/>
        <w:ind w:left="0"/>
        <w:rPr>
          <w:color w:val="000000"/>
          <w:sz w:val="26"/>
          <w:szCs w:val="26"/>
          <w:lang w:val="lv-LV"/>
        </w:rPr>
      </w:pPr>
      <w:r w:rsidRPr="00E55393">
        <w:rPr>
          <w:color w:val="000000"/>
          <w:sz w:val="26"/>
          <w:szCs w:val="26"/>
          <w:lang w:val="lv-LV"/>
        </w:rPr>
        <w:lastRenderedPageBreak/>
        <w:t xml:space="preserve">Vienlaikus, atbilstoši Ministru kabineta 2016.gada 12.jūlijā apstiprinātajam </w:t>
      </w:r>
      <w:r>
        <w:rPr>
          <w:color w:val="000000"/>
          <w:sz w:val="26"/>
          <w:szCs w:val="26"/>
          <w:lang w:val="lv-LV"/>
        </w:rPr>
        <w:t>n</w:t>
      </w:r>
      <w:r w:rsidRPr="002A683C">
        <w:rPr>
          <w:color w:val="000000"/>
          <w:sz w:val="26"/>
          <w:szCs w:val="26"/>
          <w:lang w:val="lv-LV"/>
        </w:rPr>
        <w:t>oteikumu projektam "Grozījumi Ministru kabineta 2015.gada 1.decembra noteikumos Nr.681 "Kārtība, kādā tiek nodrošināta aizsargātā lietotāja tirdzniecības pakalpojuma sniegšana un atbildīgās institūcijas sniedz informāciju par aizsargātā lietotāja statusu"", valsts ir apņēmusies ierobežot</w:t>
      </w:r>
      <w:r w:rsidRPr="00E55393">
        <w:rPr>
          <w:color w:val="000000"/>
          <w:sz w:val="26"/>
          <w:szCs w:val="26"/>
          <w:lang w:val="lv-LV"/>
        </w:rPr>
        <w:t xml:space="preserve"> iespējamo izmaksu pieaugumu aizsargātajiem lietotājiem, kuru vidējais elektroenerģijas patēriņš ir neliels, kompensējot sadārdzinājumu, kas saistīts ar 2016.gada 1.augusta elektroenerģijas sadales sistēmas tarifu izmaiņām. </w:t>
      </w:r>
    </w:p>
    <w:p w14:paraId="19137551" w14:textId="77777777" w:rsidR="00AD78D3" w:rsidRPr="00E55393" w:rsidRDefault="00AD78D3" w:rsidP="00AD78D3">
      <w:pPr>
        <w:pStyle w:val="Vstulesdatumsunnumurs"/>
        <w:widowControl/>
        <w:spacing w:before="0" w:after="0" w:line="240" w:lineRule="auto"/>
        <w:ind w:left="0"/>
        <w:rPr>
          <w:color w:val="000000"/>
          <w:sz w:val="26"/>
          <w:szCs w:val="26"/>
          <w:lang w:val="lv-LV"/>
        </w:rPr>
      </w:pPr>
      <w:r w:rsidRPr="00E55393">
        <w:rPr>
          <w:color w:val="000000"/>
          <w:sz w:val="26"/>
          <w:szCs w:val="26"/>
          <w:lang w:val="lv-LV"/>
        </w:rPr>
        <w:t>Lai iespējami vienkāršotu norēķinu par aizsargātā lietotāja pakalpojuma sniegšanu, noteikumu projekts paredz kompensēt tikai sadales sistēmas pakalpojuma maksas  fiksēto daļu (</w:t>
      </w:r>
      <w:r>
        <w:rPr>
          <w:color w:val="000000"/>
          <w:sz w:val="26"/>
          <w:szCs w:val="26"/>
          <w:lang w:val="lv-LV"/>
        </w:rPr>
        <w:t xml:space="preserve">1.24 </w:t>
      </w:r>
      <w:r w:rsidRPr="002A683C">
        <w:rPr>
          <w:color w:val="000000"/>
          <w:sz w:val="26"/>
          <w:szCs w:val="26"/>
          <w:lang w:val="lv-LV"/>
        </w:rPr>
        <w:t xml:space="preserve">euro, </w:t>
      </w:r>
      <w:r>
        <w:rPr>
          <w:color w:val="000000"/>
          <w:sz w:val="26"/>
          <w:szCs w:val="26"/>
          <w:lang w:val="lv-LV"/>
        </w:rPr>
        <w:t xml:space="preserve">0.20 </w:t>
      </w:r>
      <w:r w:rsidRPr="002A683C">
        <w:rPr>
          <w:color w:val="000000"/>
          <w:sz w:val="26"/>
          <w:szCs w:val="26"/>
          <w:lang w:val="lv-LV"/>
        </w:rPr>
        <w:t xml:space="preserve">euro par </w:t>
      </w:r>
      <w:r w:rsidRPr="002A683C">
        <w:rPr>
          <w:sz w:val="26"/>
          <w:szCs w:val="26"/>
          <w:lang w:val="lv-LV"/>
        </w:rPr>
        <w:t>ievadaizsardzības aparāta stiprumu ampēros,</w:t>
      </w:r>
      <w:r w:rsidRPr="002A683C">
        <w:rPr>
          <w:color w:val="000000"/>
          <w:sz w:val="26"/>
          <w:szCs w:val="26"/>
          <w:lang w:val="lv-LV"/>
        </w:rPr>
        <w:t xml:space="preserve"> vai </w:t>
      </w:r>
      <w:r>
        <w:rPr>
          <w:color w:val="000000"/>
          <w:sz w:val="26"/>
          <w:szCs w:val="26"/>
          <w:lang w:val="lv-LV"/>
        </w:rPr>
        <w:t xml:space="preserve"> 3.20 </w:t>
      </w:r>
      <w:r w:rsidRPr="002A683C">
        <w:rPr>
          <w:color w:val="000000"/>
          <w:sz w:val="26"/>
          <w:szCs w:val="26"/>
          <w:lang w:val="lv-LV"/>
        </w:rPr>
        <w:t>euro apmērā atkarībā no pieslēguma veida). Savukārt, lai saglabātu aizsargāto lietotāju elektroenerģijas izmaksas līdzšinējā apmērā un vienlaikus nerastu papildu finanšu slogu valsts budžetam, aizsargātā lietotāja (kurš pieslēgts sadales sistēmai,  kurai pieslēgti vairāk par simts tūkstošiem lietotāju) tirdzniecības pakalpojuma elektroenerģijas cena tiek palielināta par sadales pakalpojuma maksas mainīgās daļas samazinājumu.</w:t>
      </w:r>
      <w:r w:rsidRPr="00E55393">
        <w:rPr>
          <w:color w:val="000000"/>
          <w:sz w:val="26"/>
          <w:szCs w:val="26"/>
          <w:lang w:val="lv-LV"/>
        </w:rPr>
        <w:t xml:space="preserve"> Papildinājumi aizsargāto lietotāju atbalsta kārtībā stājās spēkā vienlaikus ar elektroenerģijas sadales sistēmas tarifu izmaiņām, no 2016.gada 1.augusta. </w:t>
      </w:r>
    </w:p>
    <w:p w14:paraId="1A8864F1" w14:textId="77777777" w:rsidR="00AD78D3" w:rsidRPr="00E55393" w:rsidRDefault="00AD78D3" w:rsidP="00AD78D3">
      <w:pPr>
        <w:pStyle w:val="Vstulesdatumsunnumurs"/>
        <w:widowControl/>
        <w:spacing w:before="0" w:after="0" w:line="240" w:lineRule="auto"/>
        <w:ind w:left="0"/>
        <w:rPr>
          <w:color w:val="000000"/>
          <w:sz w:val="26"/>
          <w:szCs w:val="26"/>
          <w:lang w:val="lv-LV"/>
        </w:rPr>
      </w:pPr>
    </w:p>
    <w:p w14:paraId="7D953415" w14:textId="77777777" w:rsidR="00AD78D3" w:rsidRPr="00E55393" w:rsidRDefault="00AD78D3" w:rsidP="00AD78D3">
      <w:pPr>
        <w:pStyle w:val="Vstulesdatumsunnumurs"/>
        <w:widowControl/>
        <w:spacing w:before="0" w:after="0" w:line="240" w:lineRule="auto"/>
        <w:ind w:left="0"/>
        <w:rPr>
          <w:color w:val="000000"/>
          <w:sz w:val="26"/>
          <w:szCs w:val="26"/>
          <w:lang w:val="lv-LV"/>
        </w:rPr>
      </w:pPr>
    </w:p>
    <w:p w14:paraId="5FFC1538" w14:textId="77777777" w:rsidR="00AD78D3" w:rsidRPr="00E55393" w:rsidRDefault="00AD78D3" w:rsidP="00AD78D3">
      <w:pPr>
        <w:pStyle w:val="Vstulesdatumsunnumurs"/>
        <w:widowControl/>
        <w:numPr>
          <w:ilvl w:val="0"/>
          <w:numId w:val="11"/>
        </w:numPr>
        <w:tabs>
          <w:tab w:val="left" w:pos="993"/>
        </w:tabs>
        <w:spacing w:before="0" w:after="0" w:line="240" w:lineRule="auto"/>
        <w:ind w:left="709" w:firstLine="0"/>
        <w:rPr>
          <w:b/>
          <w:color w:val="000000"/>
          <w:sz w:val="26"/>
          <w:szCs w:val="26"/>
          <w:lang w:val="lv-LV"/>
        </w:rPr>
      </w:pPr>
      <w:r w:rsidRPr="00E55393">
        <w:rPr>
          <w:b/>
          <w:color w:val="000000"/>
          <w:sz w:val="26"/>
          <w:szCs w:val="26"/>
          <w:lang w:val="lv-LV"/>
        </w:rPr>
        <w:t>Iepriekšējo un esošo tarifu ietekmes uz sociāli neaizsargātākajiem lietotājiem salīdzinājums</w:t>
      </w:r>
    </w:p>
    <w:p w14:paraId="64C6EE77" w14:textId="77777777" w:rsidR="00AD78D3" w:rsidRPr="00E55393" w:rsidRDefault="00AD78D3" w:rsidP="00AD78D3">
      <w:pPr>
        <w:ind w:firstLine="720"/>
        <w:jc w:val="both"/>
        <w:rPr>
          <w:rFonts w:cs="Times New Roman"/>
          <w:color w:val="000000"/>
          <w:sz w:val="26"/>
          <w:szCs w:val="26"/>
        </w:rPr>
      </w:pPr>
    </w:p>
    <w:p w14:paraId="3EB7455D" w14:textId="77777777" w:rsidR="00AD78D3" w:rsidRPr="00E55393" w:rsidRDefault="00AD78D3" w:rsidP="00AD78D3">
      <w:pPr>
        <w:ind w:firstLine="720"/>
        <w:jc w:val="both"/>
        <w:rPr>
          <w:rFonts w:cs="Times New Roman"/>
          <w:sz w:val="26"/>
          <w:szCs w:val="26"/>
        </w:rPr>
      </w:pPr>
      <w:r w:rsidRPr="00E55393">
        <w:rPr>
          <w:rFonts w:cs="Times New Roman"/>
          <w:color w:val="000000"/>
          <w:sz w:val="26"/>
          <w:szCs w:val="26"/>
        </w:rPr>
        <w:t xml:space="preserve">Līdz 2016.gada 1.augustam elektroenerģijas sadales sistēmas pakalpojumiem bija spēkā 2011.gada 12.janvārī apstiprinātie tarifi, kuri mājsaimniecībām, atkarībā no to pieslēguma jaudas un veida, paredzēja trīs </w:t>
      </w:r>
      <w:r w:rsidRPr="00AE18D3">
        <w:rPr>
          <w:rFonts w:cs="Times New Roman"/>
          <w:color w:val="000000"/>
          <w:sz w:val="26"/>
          <w:szCs w:val="26"/>
        </w:rPr>
        <w:t>tarifu</w:t>
      </w:r>
      <w:r>
        <w:rPr>
          <w:rFonts w:cs="Times New Roman"/>
          <w:color w:val="000000"/>
          <w:sz w:val="26"/>
          <w:szCs w:val="26"/>
        </w:rPr>
        <w:t xml:space="preserve"> </w:t>
      </w:r>
      <w:r w:rsidRPr="00A354E4">
        <w:rPr>
          <w:rFonts w:cs="Times New Roman"/>
          <w:color w:val="000000"/>
          <w:sz w:val="26"/>
          <w:szCs w:val="26"/>
        </w:rPr>
        <w:t>veidu</w:t>
      </w:r>
      <w:r>
        <w:rPr>
          <w:rFonts w:cs="Times New Roman"/>
          <w:color w:val="000000"/>
          <w:sz w:val="26"/>
          <w:szCs w:val="26"/>
        </w:rPr>
        <w:t>s</w:t>
      </w:r>
      <w:r w:rsidRPr="00A354E4">
        <w:rPr>
          <w:rFonts w:cs="Times New Roman"/>
          <w:color w:val="000000"/>
          <w:sz w:val="26"/>
          <w:szCs w:val="26"/>
        </w:rPr>
        <w:t xml:space="preserve">, iedalot lietotājus pēc </w:t>
      </w:r>
      <w:r w:rsidRPr="00E55393">
        <w:rPr>
          <w:rFonts w:cs="Times New Roman"/>
          <w:b/>
          <w:color w:val="000000"/>
          <w:sz w:val="26"/>
          <w:szCs w:val="26"/>
        </w:rPr>
        <w:t>divām</w:t>
      </w:r>
      <w:r w:rsidRPr="00E55393">
        <w:rPr>
          <w:rFonts w:cs="Times New Roman"/>
          <w:color w:val="000000"/>
          <w:sz w:val="26"/>
          <w:szCs w:val="26"/>
        </w:rPr>
        <w:t xml:space="preserve"> pazīmēm - </w:t>
      </w:r>
      <w:r w:rsidRPr="00E55393">
        <w:rPr>
          <w:rFonts w:cs="Times New Roman"/>
          <w:sz w:val="26"/>
          <w:szCs w:val="26"/>
        </w:rPr>
        <w:t xml:space="preserve">ievadaizsardzības aparāta (turpmāk - IAA) strāvas lieluma ampēros (A), kā arī pēc laika zonu skaita pieslēgumam (pieslēgums ar vienu laika zonu vai pieslēgums ar divām laika zonām, no kurām viena ir diena, bet otra - nakts un nedēļas nogale). </w:t>
      </w:r>
    </w:p>
    <w:p w14:paraId="17ECDD79" w14:textId="77777777" w:rsidR="00AD78D3" w:rsidRPr="00E55393" w:rsidRDefault="00AD78D3" w:rsidP="00AD78D3">
      <w:pPr>
        <w:ind w:firstLine="720"/>
        <w:jc w:val="both"/>
        <w:rPr>
          <w:rFonts w:cs="Times New Roman"/>
          <w:sz w:val="26"/>
          <w:szCs w:val="26"/>
        </w:rPr>
      </w:pPr>
      <w:r w:rsidRPr="00E55393">
        <w:rPr>
          <w:rFonts w:cs="Times New Roman"/>
          <w:sz w:val="26"/>
          <w:szCs w:val="26"/>
        </w:rPr>
        <w:t xml:space="preserve">Savukārt 2016.gada 1.augustā ieviestie </w:t>
      </w:r>
      <w:r w:rsidRPr="00E55393">
        <w:rPr>
          <w:rFonts w:cs="Times New Roman"/>
          <w:color w:val="000000"/>
          <w:sz w:val="26"/>
          <w:szCs w:val="26"/>
        </w:rPr>
        <w:t>elektroenerģijas sadales sistēmas pakalpojumi lietotājus</w:t>
      </w:r>
      <w:r>
        <w:rPr>
          <w:rFonts w:cs="Times New Roman"/>
          <w:color w:val="000000"/>
          <w:sz w:val="26"/>
          <w:szCs w:val="26"/>
        </w:rPr>
        <w:t>-</w:t>
      </w:r>
      <w:r w:rsidRPr="00A354E4">
        <w:rPr>
          <w:rFonts w:cs="Times New Roman"/>
          <w:color w:val="000000"/>
          <w:sz w:val="26"/>
          <w:szCs w:val="26"/>
        </w:rPr>
        <w:t xml:space="preserve"> mājsaimniecības iedala pēc </w:t>
      </w:r>
      <w:r w:rsidRPr="00A354E4">
        <w:rPr>
          <w:rFonts w:cs="Times New Roman"/>
          <w:b/>
          <w:color w:val="000000"/>
          <w:sz w:val="26"/>
          <w:szCs w:val="26"/>
        </w:rPr>
        <w:t>trijām</w:t>
      </w:r>
      <w:r w:rsidRPr="00A354E4">
        <w:rPr>
          <w:rFonts w:cs="Times New Roman"/>
          <w:color w:val="000000"/>
          <w:sz w:val="26"/>
          <w:szCs w:val="26"/>
        </w:rPr>
        <w:t xml:space="preserve"> pazīmēm. Pirmkārt, elektroenerģijas pieslēguma fāžu skaita, otrkārt – pēc IAA strāvas lieluma, treškārt – </w:t>
      </w:r>
      <w:r w:rsidRPr="00E55393">
        <w:rPr>
          <w:rFonts w:cs="Times New Roman"/>
          <w:sz w:val="26"/>
          <w:szCs w:val="26"/>
        </w:rPr>
        <w:t xml:space="preserve">pēc laika zonu skaita pieslēgumam. </w:t>
      </w:r>
    </w:p>
    <w:p w14:paraId="74F938E1" w14:textId="77777777" w:rsidR="00AD78D3" w:rsidRPr="004C36C8" w:rsidRDefault="00AD78D3" w:rsidP="00AD78D3">
      <w:pPr>
        <w:ind w:firstLine="720"/>
        <w:jc w:val="both"/>
        <w:rPr>
          <w:rFonts w:cs="Times New Roman"/>
          <w:sz w:val="26"/>
          <w:szCs w:val="26"/>
        </w:rPr>
      </w:pPr>
      <w:r w:rsidRPr="00E55393">
        <w:rPr>
          <w:rFonts w:cs="Times New Roman"/>
          <w:sz w:val="26"/>
          <w:szCs w:val="26"/>
        </w:rPr>
        <w:t xml:space="preserve">Spēkā esošie tarifi paredz, ka no mājsaimniecībām ar vienfāzes pieslēgumu IAA ar strāvas lielumu līdz 40A tiek iekasēta fiksēta maksa par pieslēguma nodrošināšanu </w:t>
      </w:r>
      <w:r>
        <w:rPr>
          <w:rFonts w:cs="Times New Roman"/>
          <w:sz w:val="26"/>
          <w:szCs w:val="26"/>
        </w:rPr>
        <w:t xml:space="preserve"> 14.88</w:t>
      </w:r>
      <w:r w:rsidRPr="00A354E4">
        <w:rPr>
          <w:rFonts w:cs="Times New Roman"/>
          <w:sz w:val="26"/>
          <w:szCs w:val="26"/>
        </w:rPr>
        <w:t xml:space="preserve"> EUR gadā bez pievienotās vērtības nodokļa (PVN), un maksa par elektrības piegādi – </w:t>
      </w:r>
      <w:r>
        <w:rPr>
          <w:rFonts w:cs="Times New Roman"/>
          <w:sz w:val="26"/>
          <w:szCs w:val="26"/>
        </w:rPr>
        <w:t xml:space="preserve"> 0.04408</w:t>
      </w:r>
      <w:r w:rsidRPr="00A354E4">
        <w:rPr>
          <w:rFonts w:cs="Times New Roman"/>
          <w:sz w:val="26"/>
          <w:szCs w:val="26"/>
        </w:rPr>
        <w:t xml:space="preserve"> EUR par kWh (bez PVN) . </w:t>
      </w:r>
      <w:r w:rsidRPr="004C36C8">
        <w:rPr>
          <w:rFonts w:cs="Times New Roman"/>
          <w:sz w:val="26"/>
          <w:szCs w:val="26"/>
        </w:rPr>
        <w:t xml:space="preserve">Šīs grupas lietotājiem </w:t>
      </w:r>
      <w:r w:rsidRPr="004C36C8">
        <w:rPr>
          <w:rFonts w:cs="Times New Roman"/>
          <w:b/>
          <w:sz w:val="26"/>
          <w:szCs w:val="26"/>
        </w:rPr>
        <w:t xml:space="preserve">maksimālais iespējamais elektroenerģijas izmaksu sadārdzinājums ir </w:t>
      </w:r>
      <w:r>
        <w:rPr>
          <w:rFonts w:cs="Times New Roman"/>
          <w:b/>
          <w:sz w:val="26"/>
          <w:szCs w:val="26"/>
        </w:rPr>
        <w:t xml:space="preserve"> 1.50</w:t>
      </w:r>
      <w:r w:rsidRPr="004C36C8">
        <w:rPr>
          <w:rFonts w:cs="Times New Roman"/>
          <w:b/>
          <w:sz w:val="26"/>
          <w:szCs w:val="26"/>
        </w:rPr>
        <w:t xml:space="preserve"> EUR (ieskaitot PVN) mēnesī</w:t>
      </w:r>
      <w:r w:rsidRPr="004C36C8">
        <w:rPr>
          <w:rFonts w:cs="Times New Roman"/>
          <w:sz w:val="26"/>
          <w:szCs w:val="26"/>
        </w:rPr>
        <w:t>, kas ir iespējams tad, ka mājsaimniecībām konkrētajā pārskata mēnesī elektroenerģija na</w:t>
      </w:r>
      <w:r w:rsidRPr="00E55393">
        <w:rPr>
          <w:rFonts w:cs="Times New Roman"/>
          <w:sz w:val="26"/>
          <w:szCs w:val="26"/>
        </w:rPr>
        <w:t xml:space="preserve">v patērēta vispār. Ja mājsaimniecībā elektroenerģijas patēriņš sasniedzis 85 kWh, uz </w:t>
      </w:r>
      <w:r w:rsidRPr="00E55393">
        <w:rPr>
          <w:rFonts w:cs="Times New Roman"/>
          <w:color w:val="000000"/>
          <w:sz w:val="26"/>
          <w:szCs w:val="26"/>
        </w:rPr>
        <w:t xml:space="preserve">elektroenerģijas sadales sistēmas tarifiem attiecināmais izmaksu kāpums sasniedz </w:t>
      </w:r>
      <w:r>
        <w:rPr>
          <w:rFonts w:cs="Times New Roman"/>
          <w:color w:val="000000"/>
          <w:sz w:val="26"/>
          <w:szCs w:val="26"/>
        </w:rPr>
        <w:t xml:space="preserve"> 0.23</w:t>
      </w:r>
      <w:r w:rsidRPr="004C36C8">
        <w:rPr>
          <w:rFonts w:cs="Times New Roman"/>
          <w:color w:val="000000"/>
          <w:sz w:val="26"/>
          <w:szCs w:val="26"/>
        </w:rPr>
        <w:t xml:space="preserve"> EUR mēnesī, savukārt</w:t>
      </w:r>
      <w:r>
        <w:rPr>
          <w:rFonts w:cs="Times New Roman"/>
          <w:color w:val="000000"/>
          <w:sz w:val="26"/>
          <w:szCs w:val="26"/>
        </w:rPr>
        <w:t>,</w:t>
      </w:r>
      <w:r w:rsidRPr="004C36C8">
        <w:rPr>
          <w:rFonts w:cs="Times New Roman"/>
          <w:color w:val="000000"/>
          <w:sz w:val="26"/>
          <w:szCs w:val="26"/>
        </w:rPr>
        <w:t xml:space="preserve"> patēriņam palielinoties, izmaksas samazinās, un, patērējot 150 kWh mēnesī, mājsaimniecības ietaupījums sasniedz jau </w:t>
      </w:r>
      <w:r>
        <w:rPr>
          <w:rFonts w:cs="Times New Roman"/>
          <w:color w:val="000000"/>
          <w:sz w:val="26"/>
          <w:szCs w:val="26"/>
        </w:rPr>
        <w:t xml:space="preserve"> 0.74</w:t>
      </w:r>
      <w:r w:rsidRPr="004C36C8">
        <w:rPr>
          <w:rFonts w:cs="Times New Roman"/>
          <w:color w:val="000000"/>
          <w:sz w:val="26"/>
          <w:szCs w:val="26"/>
        </w:rPr>
        <w:t xml:space="preserve"> EUR mēnesī. </w:t>
      </w:r>
    </w:p>
    <w:p w14:paraId="18080C59" w14:textId="77777777" w:rsidR="00AD78D3" w:rsidRPr="00E55393" w:rsidRDefault="00AD78D3" w:rsidP="00AD78D3">
      <w:pPr>
        <w:ind w:firstLine="720"/>
        <w:jc w:val="both"/>
        <w:rPr>
          <w:rFonts w:cs="Times New Roman"/>
          <w:sz w:val="26"/>
          <w:szCs w:val="26"/>
        </w:rPr>
      </w:pPr>
      <w:r w:rsidRPr="00E55393">
        <w:rPr>
          <w:rFonts w:cs="Times New Roman"/>
          <w:color w:val="000000"/>
          <w:sz w:val="26"/>
          <w:szCs w:val="26"/>
        </w:rPr>
        <w:t xml:space="preserve">Lietotāju grupai ar trīsfāžu pieslēgumu, kuram IAA strāvas lielums ir līdz 16A, ar esošo tarifu stāšanos spēkā tika piemērota fiksēta maksa </w:t>
      </w:r>
      <w:r>
        <w:rPr>
          <w:rFonts w:cs="Times New Roman"/>
          <w:color w:val="000000"/>
          <w:sz w:val="26"/>
          <w:szCs w:val="26"/>
        </w:rPr>
        <w:t xml:space="preserve"> 38.40</w:t>
      </w:r>
      <w:r w:rsidRPr="008A2E92">
        <w:rPr>
          <w:rFonts w:cs="Times New Roman"/>
          <w:color w:val="000000"/>
          <w:sz w:val="26"/>
          <w:szCs w:val="26"/>
        </w:rPr>
        <w:t xml:space="preserve"> EUR gadā, kura tiek </w:t>
      </w:r>
      <w:r w:rsidRPr="008A2E92">
        <w:rPr>
          <w:rFonts w:cs="Times New Roman"/>
          <w:color w:val="000000"/>
          <w:sz w:val="26"/>
          <w:szCs w:val="26"/>
        </w:rPr>
        <w:lastRenderedPageBreak/>
        <w:t xml:space="preserve">sadalīta divpadsmit maksājumos un iekasēta katru mēnesi, </w:t>
      </w:r>
      <w:r w:rsidRPr="008A2E92">
        <w:rPr>
          <w:rFonts w:cs="Times New Roman"/>
          <w:sz w:val="26"/>
          <w:szCs w:val="26"/>
        </w:rPr>
        <w:t xml:space="preserve">un maksa par elektrības piegādi – </w:t>
      </w:r>
      <w:r>
        <w:rPr>
          <w:rFonts w:cs="Times New Roman"/>
          <w:sz w:val="26"/>
          <w:szCs w:val="26"/>
        </w:rPr>
        <w:t xml:space="preserve"> 0.04408</w:t>
      </w:r>
      <w:r w:rsidRPr="008A2E92">
        <w:rPr>
          <w:rFonts w:cs="Times New Roman"/>
          <w:sz w:val="26"/>
          <w:szCs w:val="26"/>
        </w:rPr>
        <w:t xml:space="preserve"> EUR par kWh. T</w:t>
      </w:r>
      <w:r w:rsidRPr="008A2E92">
        <w:rPr>
          <w:rFonts w:cs="Times New Roman"/>
          <w:color w:val="000000"/>
          <w:sz w:val="26"/>
          <w:szCs w:val="26"/>
        </w:rPr>
        <w:t xml:space="preserve">ā rezultātā šis grupas lietotājiem </w:t>
      </w:r>
      <w:r w:rsidRPr="008A2E92">
        <w:rPr>
          <w:rFonts w:cs="Times New Roman"/>
          <w:b/>
          <w:sz w:val="26"/>
          <w:szCs w:val="26"/>
        </w:rPr>
        <w:t xml:space="preserve">maksimālais iespējamais elektroenerģijas izmaksu sadārdzinājums ir </w:t>
      </w:r>
      <w:r>
        <w:rPr>
          <w:rFonts w:cs="Times New Roman"/>
          <w:b/>
          <w:sz w:val="26"/>
          <w:szCs w:val="26"/>
        </w:rPr>
        <w:t xml:space="preserve"> 3.84</w:t>
      </w:r>
      <w:r w:rsidRPr="008A2E92">
        <w:rPr>
          <w:rFonts w:cs="Times New Roman"/>
          <w:b/>
          <w:sz w:val="26"/>
          <w:szCs w:val="26"/>
        </w:rPr>
        <w:t xml:space="preserve"> EUR (ieskaitot PVN) mēnesī</w:t>
      </w:r>
      <w:r w:rsidRPr="008A2E92">
        <w:rPr>
          <w:rFonts w:cs="Times New Roman"/>
          <w:sz w:val="26"/>
          <w:szCs w:val="26"/>
        </w:rPr>
        <w:t>, kas ir iespējams tad, ka mājsaimniecībām konkrētajā pārskata mēnesī elektroenerģija nav patērēta vispār.</w:t>
      </w:r>
      <w:r w:rsidRPr="00E55393">
        <w:rPr>
          <w:rFonts w:cs="Times New Roman"/>
          <w:sz w:val="26"/>
          <w:szCs w:val="26"/>
        </w:rPr>
        <w:t xml:space="preserve"> Šis grupas lietotāju izmaksas palielinās, ja patēriņš ir mazāks nekā 260 kWh mēnesī. </w:t>
      </w:r>
    </w:p>
    <w:p w14:paraId="07CE6882" w14:textId="77777777" w:rsidR="00AD78D3" w:rsidRPr="008A2E92" w:rsidRDefault="00AD78D3" w:rsidP="00AD78D3">
      <w:pPr>
        <w:ind w:firstLine="720"/>
        <w:jc w:val="both"/>
        <w:rPr>
          <w:rFonts w:cs="Times New Roman"/>
          <w:sz w:val="26"/>
          <w:szCs w:val="26"/>
        </w:rPr>
      </w:pPr>
      <w:r w:rsidRPr="00E55393">
        <w:rPr>
          <w:rFonts w:cs="Times New Roman"/>
          <w:sz w:val="26"/>
          <w:szCs w:val="26"/>
        </w:rPr>
        <w:t xml:space="preserve">Savukārt lietotāju grupai </w:t>
      </w:r>
      <w:r w:rsidRPr="00E55393">
        <w:rPr>
          <w:rFonts w:cs="Times New Roman"/>
          <w:color w:val="000000"/>
          <w:sz w:val="26"/>
          <w:szCs w:val="26"/>
        </w:rPr>
        <w:t xml:space="preserve">ar trīsfāžu pieslēgumu, kuram IAA strāvas lielums ir no 17A līdz 63A, no 2016.gada augusta tiek piemērota maksa </w:t>
      </w:r>
      <w:r>
        <w:rPr>
          <w:rFonts w:cs="Times New Roman"/>
          <w:color w:val="000000"/>
          <w:sz w:val="26"/>
          <w:szCs w:val="26"/>
        </w:rPr>
        <w:t xml:space="preserve"> 2.40</w:t>
      </w:r>
      <w:r w:rsidRPr="008A2E92">
        <w:rPr>
          <w:rFonts w:cs="Times New Roman"/>
          <w:color w:val="000000"/>
          <w:sz w:val="26"/>
          <w:szCs w:val="26"/>
        </w:rPr>
        <w:t xml:space="preserve"> EUR par vienu IIA strāvas lieluma vienību, </w:t>
      </w:r>
      <w:r w:rsidRPr="008A2E92">
        <w:rPr>
          <w:rFonts w:cs="Times New Roman"/>
          <w:sz w:val="26"/>
          <w:szCs w:val="26"/>
        </w:rPr>
        <w:t xml:space="preserve">maksa par elektrības piegādi – </w:t>
      </w:r>
      <w:r>
        <w:rPr>
          <w:rFonts w:cs="Times New Roman"/>
          <w:sz w:val="26"/>
          <w:szCs w:val="26"/>
        </w:rPr>
        <w:t xml:space="preserve"> 0.04408</w:t>
      </w:r>
      <w:r w:rsidRPr="008A2E92">
        <w:rPr>
          <w:rFonts w:cs="Times New Roman"/>
          <w:sz w:val="26"/>
          <w:szCs w:val="26"/>
        </w:rPr>
        <w:t xml:space="preserve"> EUR par kWh</w:t>
      </w:r>
      <w:r w:rsidRPr="008A2E92">
        <w:rPr>
          <w:rFonts w:cs="Times New Roman"/>
          <w:color w:val="000000"/>
          <w:sz w:val="26"/>
          <w:szCs w:val="26"/>
        </w:rPr>
        <w:t xml:space="preserve">. Tā rezultātā ar esošo tarifu stāšanos spēkā </w:t>
      </w:r>
      <w:r w:rsidRPr="008A2E92">
        <w:rPr>
          <w:rFonts w:cs="Times New Roman"/>
          <w:b/>
          <w:color w:val="000000"/>
          <w:sz w:val="26"/>
          <w:szCs w:val="26"/>
        </w:rPr>
        <w:t xml:space="preserve">maksimāli iespējamais sadārdzinājums šajā lietotāju grupā sasniedz </w:t>
      </w:r>
      <w:r>
        <w:rPr>
          <w:rFonts w:cs="Times New Roman"/>
          <w:b/>
          <w:color w:val="000000"/>
          <w:sz w:val="26"/>
          <w:szCs w:val="26"/>
        </w:rPr>
        <w:t xml:space="preserve"> 9.68</w:t>
      </w:r>
      <w:r w:rsidRPr="008A2E92">
        <w:rPr>
          <w:rFonts w:cs="Times New Roman"/>
          <w:b/>
          <w:color w:val="000000"/>
          <w:sz w:val="26"/>
          <w:szCs w:val="26"/>
        </w:rPr>
        <w:t xml:space="preserve"> EUR </w:t>
      </w:r>
      <w:r w:rsidRPr="008A2E92">
        <w:rPr>
          <w:rFonts w:cs="Times New Roman"/>
          <w:b/>
          <w:sz w:val="26"/>
          <w:szCs w:val="26"/>
        </w:rPr>
        <w:t xml:space="preserve">(ieskaitot PVN) </w:t>
      </w:r>
      <w:r w:rsidRPr="008A2E92">
        <w:rPr>
          <w:rFonts w:cs="Times New Roman"/>
          <w:b/>
          <w:color w:val="000000"/>
          <w:sz w:val="26"/>
          <w:szCs w:val="26"/>
        </w:rPr>
        <w:t xml:space="preserve">mēnesī, </w:t>
      </w:r>
      <w:r w:rsidRPr="008A2E92">
        <w:rPr>
          <w:rFonts w:cs="Times New Roman"/>
          <w:color w:val="000000"/>
          <w:sz w:val="26"/>
          <w:szCs w:val="26"/>
        </w:rPr>
        <w:t>kas ir iespējams, mājsaimniecībai pilnībā nepatērējot elektroenerģiju un ar nosacījumu, ka tās pieslēgumam IAA strāvas lielums ir 40A. Patērētājiem, ar pieslēguma IAA strāvas lielumu virs 40A, maksimāli iespējamais sadārdzi</w:t>
      </w:r>
      <w:r w:rsidRPr="00E55393">
        <w:rPr>
          <w:rFonts w:cs="Times New Roman"/>
          <w:color w:val="000000"/>
          <w:sz w:val="26"/>
          <w:szCs w:val="26"/>
        </w:rPr>
        <w:t xml:space="preserve">nājums ir mazāks, jo par šo patērētāju pieslēgumiem pieslēguma nodrošināšanas maksa </w:t>
      </w:r>
      <w:r>
        <w:rPr>
          <w:rFonts w:cs="Times New Roman"/>
          <w:color w:val="000000"/>
          <w:sz w:val="26"/>
          <w:szCs w:val="26"/>
        </w:rPr>
        <w:t xml:space="preserve"> 1.02</w:t>
      </w:r>
      <w:r w:rsidRPr="008A2E92">
        <w:rPr>
          <w:rFonts w:cs="Times New Roman"/>
          <w:color w:val="000000"/>
          <w:sz w:val="26"/>
          <w:szCs w:val="26"/>
        </w:rPr>
        <w:t xml:space="preserve"> eiro apjomā par vienu IAA strāvas lieluma vienību tika iekasēta arī līdz 2016.gada 1.augustam. </w:t>
      </w:r>
    </w:p>
    <w:p w14:paraId="148C0338"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Elektroenerģijas sadales sistēmas operators, AS “Sadales Tīkls” neapkopo precīzus datus par to, kāda veida pieslēgumus visbiežāk lieto aizsargātie lietotāji un kāds ir to vidējais patēriņš, kas ļautu ar augstu precizitāti novērtēt elektroenerģijas sadales pakalpojumu tarifu izmaiņas uz šīs grupas lietotāju ikmēneša tēriņiem par elektroenerģiju, bez tam jāņem vērā, ka šī ietekme dažādos mēnešos, piemēram, atkarībā no klimatisko apstākļu izmaiņām, var būtiski atšķirties. Lai noteiktu konkrētu skaitu mājsaimniecību, kurām ir pieaugušas izmaksas par elektroenerģiju, ir jāsalīdzina individuāli vairāk kā 700 tūkstoši mājsaimniecību izmaksas vairāk kā 1 miljonā pieslēgumu. AS “Sadales tīkls” nav veicis šādu analīzi. Kopējā statistika par mājsaimniecību pieslēgumiem norāda uz to, ka uz lietotājiem attiecināmā elektroenerģijas sadales pakalpojumu tarifu negatīvā finansiālā ietekme ir ierobežota </w:t>
      </w:r>
      <w:r>
        <w:rPr>
          <w:rFonts w:cs="Times New Roman"/>
          <w:color w:val="000000"/>
          <w:sz w:val="26"/>
          <w:szCs w:val="26"/>
        </w:rPr>
        <w:t xml:space="preserve"> 1.50</w:t>
      </w:r>
      <w:r w:rsidRPr="008A2E92">
        <w:rPr>
          <w:rFonts w:cs="Times New Roman"/>
          <w:color w:val="000000"/>
          <w:sz w:val="26"/>
          <w:szCs w:val="26"/>
        </w:rPr>
        <w:t xml:space="preserve"> EUR robežās, lielā daļā gadījumu tai esot būtiski mazākai vai pat izpaliekot</w:t>
      </w:r>
      <w:r w:rsidRPr="00E55393">
        <w:rPr>
          <w:rStyle w:val="FootnoteReference"/>
          <w:rFonts w:cs="Times New Roman"/>
          <w:color w:val="000000"/>
          <w:sz w:val="26"/>
          <w:szCs w:val="26"/>
        </w:rPr>
        <w:footnoteReference w:id="1"/>
      </w:r>
      <w:r w:rsidRPr="00E55393">
        <w:rPr>
          <w:rFonts w:cs="Times New Roman"/>
          <w:color w:val="000000"/>
          <w:sz w:val="26"/>
          <w:szCs w:val="26"/>
        </w:rPr>
        <w:t>. Uz to norāda apstāklis, ka mājsaimniecības ar vienas fāzes pieslēgumu veido “Sadales Tīkls” klientu vairāk</w:t>
      </w:r>
      <w:r w:rsidRPr="008A2E92">
        <w:rPr>
          <w:rFonts w:cs="Times New Roman"/>
          <w:color w:val="000000"/>
          <w:sz w:val="26"/>
          <w:szCs w:val="26"/>
        </w:rPr>
        <w:t xml:space="preserve">umu – kopumā to skaits ir 760 tūkstoši jeb 74% no kopējā pieslēgumu skaita. Vēsturiskie dati arī liecina, ka aptuveni pusē Latvijas mājsaimniecību elektroenerģijas patēriņš veido līdz 100 </w:t>
      </w:r>
      <w:r w:rsidRPr="00E55393">
        <w:rPr>
          <w:rFonts w:cs="Times New Roman"/>
          <w:color w:val="000000"/>
          <w:sz w:val="26"/>
          <w:szCs w:val="26"/>
        </w:rPr>
        <w:t>kWh mēnesī, un šo statistiku ietekmē arī liels tādu pieslēgumu skaits, kuros elektroenerģija netiek patērēta</w:t>
      </w:r>
      <w:r w:rsidRPr="00E55393">
        <w:rPr>
          <w:rStyle w:val="FootnoteReference"/>
          <w:rFonts w:cs="Times New Roman"/>
          <w:color w:val="000000"/>
          <w:sz w:val="26"/>
          <w:szCs w:val="26"/>
        </w:rPr>
        <w:footnoteReference w:id="2"/>
      </w:r>
      <w:r w:rsidRPr="00E55393">
        <w:rPr>
          <w:rFonts w:cs="Times New Roman"/>
          <w:color w:val="000000"/>
          <w:sz w:val="26"/>
          <w:szCs w:val="26"/>
        </w:rPr>
        <w:t>. Vislielākā elektroenerģijas lietotāju</w:t>
      </w:r>
      <w:r>
        <w:rPr>
          <w:rFonts w:cs="Times New Roman"/>
          <w:color w:val="000000"/>
          <w:sz w:val="26"/>
          <w:szCs w:val="26"/>
        </w:rPr>
        <w:t>-</w:t>
      </w:r>
      <w:r w:rsidRPr="00E55393">
        <w:rPr>
          <w:rFonts w:cs="Times New Roman"/>
          <w:color w:val="000000"/>
          <w:sz w:val="26"/>
          <w:szCs w:val="26"/>
        </w:rPr>
        <w:t xml:space="preserve">mājsaimniecību grupa ir patērētāji ar patēriņu robežās no 50 līdz 100 kWh mēnesī, kurā kopumā ietilpst gandrīz 30% mājsaimniecību. </w:t>
      </w:r>
      <w:r w:rsidRPr="008A2E92">
        <w:rPr>
          <w:rFonts w:cs="Times New Roman"/>
          <w:color w:val="000000"/>
          <w:sz w:val="26"/>
          <w:szCs w:val="26"/>
        </w:rPr>
        <w:t xml:space="preserve">Šajā patērētāju grupā ar “Sadales Tīkla” 2016.gadā ieviestajiem tarifiem saistāmais elektroenerģijas rēķinu pieaugums veido </w:t>
      </w:r>
      <w:r>
        <w:rPr>
          <w:rFonts w:cs="Times New Roman"/>
          <w:color w:val="000000"/>
          <w:sz w:val="26"/>
          <w:szCs w:val="26"/>
        </w:rPr>
        <w:t xml:space="preserve"> 0.01-0.75</w:t>
      </w:r>
      <w:r w:rsidRPr="008A2E92">
        <w:rPr>
          <w:rFonts w:cs="Times New Roman"/>
          <w:color w:val="000000"/>
          <w:sz w:val="26"/>
          <w:szCs w:val="26"/>
        </w:rPr>
        <w:t xml:space="preserve"> EUR mēnesī</w:t>
      </w:r>
      <w:r w:rsidRPr="00C81A10">
        <w:rPr>
          <w:rFonts w:cs="Times New Roman"/>
          <w:color w:val="000000"/>
          <w:sz w:val="26"/>
          <w:szCs w:val="26"/>
        </w:rPr>
        <w:t xml:space="preserve"> (skat.1.Attēlu), savukārt citās patēriņa grupās, kurās vidējais mēnesī patērētās elektroenerģijas patēriņš ir augstāks, tarifu izmaiņu ietekme uz kopējo ikmēneša rēķinu ir pozitīva</w:t>
      </w:r>
      <w:r w:rsidRPr="00E55393">
        <w:rPr>
          <w:rFonts w:cs="Times New Roman"/>
          <w:color w:val="000000"/>
          <w:sz w:val="26"/>
          <w:szCs w:val="26"/>
        </w:rPr>
        <w:t>, un attiecīgās izmaksas reformas rezultātā samazinājās.</w:t>
      </w:r>
    </w:p>
    <w:p w14:paraId="5A643377" w14:textId="77777777" w:rsidR="00AD78D3" w:rsidRPr="00E55393" w:rsidRDefault="00AD78D3" w:rsidP="00AD78D3">
      <w:pPr>
        <w:rPr>
          <w:rFonts w:cs="Times New Roman"/>
          <w:color w:val="000000"/>
          <w:sz w:val="26"/>
          <w:szCs w:val="26"/>
        </w:rPr>
      </w:pPr>
    </w:p>
    <w:p w14:paraId="511737F1" w14:textId="77777777" w:rsidR="00AD78D3" w:rsidRPr="00E55393" w:rsidRDefault="00AD78D3" w:rsidP="00AD78D3">
      <w:pPr>
        <w:ind w:firstLine="720"/>
        <w:jc w:val="both"/>
        <w:rPr>
          <w:rFonts w:cs="Times New Roman"/>
          <w:b/>
          <w:color w:val="000000"/>
          <w:sz w:val="26"/>
          <w:szCs w:val="26"/>
        </w:rPr>
      </w:pPr>
    </w:p>
    <w:p w14:paraId="02C9FEFB" w14:textId="77777777" w:rsidR="00AD78D3" w:rsidRPr="00E55393" w:rsidRDefault="00AD78D3" w:rsidP="00AD78D3">
      <w:pPr>
        <w:jc w:val="both"/>
        <w:rPr>
          <w:rFonts w:cs="Times New Roman"/>
          <w:b/>
          <w:color w:val="000000"/>
          <w:sz w:val="26"/>
          <w:szCs w:val="26"/>
        </w:rPr>
      </w:pPr>
      <w:r w:rsidRPr="00351AE6">
        <w:rPr>
          <w:noProof/>
          <w:lang w:eastAsia="lv-LV"/>
        </w:rPr>
        <w:drawing>
          <wp:inline distT="0" distB="0" distL="0" distR="0" wp14:anchorId="4F29D1E5" wp14:editId="12662BBD">
            <wp:extent cx="4842457" cy="3076155"/>
            <wp:effectExtent l="0" t="0" r="15875"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47A247" w14:textId="77777777" w:rsidR="00AD78D3" w:rsidRPr="00147C5F" w:rsidRDefault="00AD78D3" w:rsidP="00AD78D3">
      <w:pPr>
        <w:pStyle w:val="Vstulesdatumsunnumurs"/>
        <w:widowControl/>
        <w:spacing w:before="0" w:after="0" w:line="240" w:lineRule="auto"/>
        <w:ind w:left="0" w:firstLine="0"/>
        <w:jc w:val="left"/>
        <w:rPr>
          <w:b/>
          <w:color w:val="000000"/>
          <w:sz w:val="26"/>
          <w:szCs w:val="26"/>
        </w:rPr>
      </w:pPr>
      <w:r w:rsidRPr="00AE18D3">
        <w:rPr>
          <w:b/>
          <w:color w:val="000000"/>
          <w:sz w:val="26"/>
          <w:szCs w:val="26"/>
          <w:lang w:val="lv-LV"/>
        </w:rPr>
        <w:t>1.attēls</w:t>
      </w:r>
      <w:r>
        <w:rPr>
          <w:b/>
          <w:color w:val="000000"/>
          <w:sz w:val="26"/>
          <w:szCs w:val="26"/>
          <w:lang w:val="lv-LV"/>
        </w:rPr>
        <w:t>.</w:t>
      </w:r>
      <w:r w:rsidRPr="00046590">
        <w:rPr>
          <w:b/>
          <w:color w:val="000000"/>
          <w:sz w:val="26"/>
          <w:szCs w:val="26"/>
          <w:lang w:val="lv-LV"/>
        </w:rPr>
        <w:t>Izmaksas vienfāzes pieslēguma patērētājam atkarībā no patēriņa apjoma pirms un pēc "Sadales Tīkla" tarifu izmaiņām</w:t>
      </w:r>
      <w:r>
        <w:rPr>
          <w:b/>
          <w:color w:val="000000"/>
          <w:sz w:val="26"/>
          <w:szCs w:val="26"/>
          <w:lang w:val="lv-LV"/>
        </w:rPr>
        <w:t xml:space="preserve">. </w:t>
      </w:r>
    </w:p>
    <w:p w14:paraId="49292F06" w14:textId="77777777" w:rsidR="00AD78D3" w:rsidRPr="00351AE6" w:rsidRDefault="00AD78D3" w:rsidP="00AD78D3">
      <w:pPr>
        <w:pStyle w:val="Vstulesdatumsunnumurs"/>
        <w:widowControl/>
        <w:spacing w:before="0" w:after="0" w:line="240" w:lineRule="auto"/>
        <w:ind w:left="0" w:firstLine="0"/>
        <w:jc w:val="left"/>
        <w:rPr>
          <w:color w:val="000000"/>
          <w:sz w:val="20"/>
        </w:rPr>
      </w:pPr>
      <w:r w:rsidRPr="008A56D9">
        <w:rPr>
          <w:color w:val="000000"/>
          <w:sz w:val="20"/>
          <w:lang w:val="lv-LV"/>
        </w:rPr>
        <w:t>Avots: Ekonomikas ministrija, AS Sadales tīkls</w:t>
      </w:r>
    </w:p>
    <w:p w14:paraId="4BFDD09F" w14:textId="77777777" w:rsidR="00AD78D3" w:rsidRPr="00E55393" w:rsidRDefault="00AD78D3" w:rsidP="00AD78D3">
      <w:pPr>
        <w:ind w:firstLine="720"/>
        <w:jc w:val="both"/>
        <w:rPr>
          <w:rFonts w:cs="Times New Roman"/>
          <w:b/>
          <w:color w:val="000000"/>
          <w:sz w:val="26"/>
          <w:szCs w:val="26"/>
        </w:rPr>
      </w:pPr>
    </w:p>
    <w:p w14:paraId="63393CA0" w14:textId="77777777" w:rsidR="00AD78D3" w:rsidRPr="00E55393" w:rsidRDefault="00AD78D3" w:rsidP="00AD78D3">
      <w:pPr>
        <w:ind w:firstLine="720"/>
        <w:jc w:val="both"/>
        <w:rPr>
          <w:rFonts w:cs="Times New Roman"/>
          <w:color w:val="000000"/>
          <w:sz w:val="26"/>
          <w:szCs w:val="26"/>
        </w:rPr>
      </w:pPr>
    </w:p>
    <w:p w14:paraId="25D7B04D"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Mājsaimniecības ar trīs fāžu pieslēgumu Latvijā veido 26% jeb 269 000 mājsaimniecību, tostarp mājsaimniecību skaitam ar pieslēguma strāvas stiprumu līdz 16A ieskaitot sasniedzot 5 procentus, mājsaimniecībām ar pieslēguma strāvas stiprumu no 17A līdz 20A – 10 procentus, bet mājsaimniecībām ar pieslēguma strāvas stiprumu robežās no 21A līdz 32A – 9 procentus. No kopējā mājsaimniecību skaita, tikai 2 procentiem mājsaimniecību ir pieslēgumi ar strāvas stiprumu virs 33A. Trīsfāžu pieslēguma gadījumā lielākajai mājsaimniecību grupai, </w:t>
      </w:r>
      <w:r w:rsidRPr="00E55393">
        <w:rPr>
          <w:rFonts w:cs="Times New Roman"/>
          <w:b/>
          <w:color w:val="000000"/>
          <w:sz w:val="26"/>
          <w:szCs w:val="26"/>
        </w:rPr>
        <w:t xml:space="preserve">lietotājiem ar patēriņu robežās no 50 līdz 100 kWh mēnesī, ar “Sadales Tīkla” 2016.gadā ieviestajiem tarifiem </w:t>
      </w:r>
      <w:r>
        <w:rPr>
          <w:rFonts w:cs="Times New Roman"/>
          <w:b/>
          <w:color w:val="000000"/>
          <w:sz w:val="26"/>
          <w:szCs w:val="26"/>
        </w:rPr>
        <w:t xml:space="preserve">saistītais </w:t>
      </w:r>
      <w:r w:rsidRPr="009B1EDF">
        <w:rPr>
          <w:rFonts w:cs="Times New Roman"/>
          <w:b/>
          <w:color w:val="000000"/>
          <w:sz w:val="26"/>
          <w:szCs w:val="26"/>
        </w:rPr>
        <w:t>elektroenerģijas rēķinu pieaugums veido 3.13 – 2.38 EUR mēnesī</w:t>
      </w:r>
      <w:r w:rsidRPr="009B1EDF">
        <w:rPr>
          <w:rFonts w:cs="Times New Roman"/>
          <w:color w:val="000000"/>
          <w:sz w:val="26"/>
          <w:szCs w:val="26"/>
        </w:rPr>
        <w:t xml:space="preserve"> tad, ja to pieslēgumu strāvas stiprums ir līdz 16A (skat.2.Attēlu),, un </w:t>
      </w:r>
      <w:r w:rsidRPr="009B1EDF">
        <w:rPr>
          <w:rFonts w:cs="Times New Roman"/>
          <w:b/>
          <w:color w:val="000000"/>
          <w:sz w:val="26"/>
          <w:szCs w:val="26"/>
        </w:rPr>
        <w:t>no 7.00 līdz 6.25 EUR mēnesī tad, ja to pieslēgumu strāvas stiprums no 17A līdz 32A</w:t>
      </w:r>
      <w:r w:rsidRPr="00E55393">
        <w:rPr>
          <w:rFonts w:cs="Times New Roman"/>
          <w:color w:val="000000"/>
          <w:sz w:val="26"/>
          <w:szCs w:val="26"/>
        </w:rPr>
        <w:t xml:space="preserve">. </w:t>
      </w:r>
    </w:p>
    <w:p w14:paraId="5E933C35" w14:textId="77777777" w:rsidR="00AD78D3" w:rsidRPr="004B58F8" w:rsidRDefault="00AD78D3" w:rsidP="00AD78D3">
      <w:pPr>
        <w:ind w:firstLine="720"/>
        <w:jc w:val="both"/>
        <w:rPr>
          <w:rFonts w:cs="Times New Roman"/>
          <w:b/>
          <w:color w:val="000000"/>
          <w:sz w:val="26"/>
          <w:szCs w:val="26"/>
        </w:rPr>
      </w:pPr>
      <w:r w:rsidRPr="00E55393">
        <w:rPr>
          <w:rFonts w:cs="Times New Roman"/>
          <w:color w:val="000000"/>
          <w:sz w:val="26"/>
          <w:szCs w:val="26"/>
        </w:rPr>
        <w:t xml:space="preserve">Jāmin arī, ka patērētājiem, kuriem ir trīsfāžu pieslēgums ar divām laika joslām, elektroenerģijas izmaksu pieaugums ir mazāks, nekā citiem lietotājiem ar trīsfāžu pieslēgumu. Tostarp  </w:t>
      </w:r>
      <w:r w:rsidRPr="00E55393">
        <w:rPr>
          <w:rFonts w:cs="Times New Roman"/>
          <w:b/>
          <w:color w:val="000000"/>
          <w:sz w:val="26"/>
          <w:szCs w:val="26"/>
        </w:rPr>
        <w:t>lietotājiem ar patēriņu robežās no 50 līdz 100 kWh mēnesī</w:t>
      </w:r>
      <w:r w:rsidRPr="00E55393">
        <w:rPr>
          <w:rFonts w:cs="Times New Roman"/>
          <w:color w:val="000000"/>
          <w:sz w:val="26"/>
          <w:szCs w:val="26"/>
        </w:rPr>
        <w:t>, ja</w:t>
      </w:r>
      <w:r w:rsidRPr="00E55393">
        <w:rPr>
          <w:rFonts w:cs="Times New Roman"/>
          <w:b/>
          <w:color w:val="000000"/>
          <w:sz w:val="26"/>
          <w:szCs w:val="26"/>
        </w:rPr>
        <w:t xml:space="preserve"> </w:t>
      </w:r>
      <w:r w:rsidRPr="00E55393">
        <w:rPr>
          <w:rFonts w:cs="Times New Roman"/>
          <w:color w:val="000000"/>
          <w:sz w:val="26"/>
          <w:szCs w:val="26"/>
        </w:rPr>
        <w:t xml:space="preserve">pieslēgumu strāvas stiprums ir līdz 16A, tas </w:t>
      </w:r>
      <w:r w:rsidRPr="00E55393">
        <w:rPr>
          <w:rFonts w:cs="Times New Roman"/>
          <w:b/>
          <w:color w:val="000000"/>
          <w:sz w:val="26"/>
          <w:szCs w:val="26"/>
        </w:rPr>
        <w:t xml:space="preserve">veido </w:t>
      </w:r>
      <w:r>
        <w:rPr>
          <w:rFonts w:cs="Times New Roman"/>
          <w:b/>
          <w:color w:val="000000"/>
          <w:sz w:val="26"/>
          <w:szCs w:val="26"/>
        </w:rPr>
        <w:t xml:space="preserve"> 0.56</w:t>
      </w:r>
      <w:r w:rsidRPr="004B58F8">
        <w:rPr>
          <w:rFonts w:cs="Times New Roman"/>
          <w:b/>
          <w:color w:val="000000"/>
          <w:sz w:val="26"/>
          <w:szCs w:val="26"/>
        </w:rPr>
        <w:t xml:space="preserve"> – </w:t>
      </w:r>
      <w:r>
        <w:rPr>
          <w:rFonts w:cs="Times New Roman"/>
          <w:b/>
          <w:color w:val="000000"/>
          <w:sz w:val="26"/>
          <w:szCs w:val="26"/>
        </w:rPr>
        <w:t xml:space="preserve"> 0.40</w:t>
      </w:r>
      <w:r w:rsidRPr="004B58F8">
        <w:rPr>
          <w:rFonts w:cs="Times New Roman"/>
          <w:b/>
          <w:color w:val="000000"/>
          <w:sz w:val="26"/>
          <w:szCs w:val="26"/>
        </w:rPr>
        <w:t xml:space="preserve"> EUR</w:t>
      </w:r>
      <w:r w:rsidRPr="004B58F8">
        <w:rPr>
          <w:rFonts w:cs="Times New Roman"/>
          <w:color w:val="000000"/>
          <w:sz w:val="26"/>
          <w:szCs w:val="26"/>
        </w:rPr>
        <w:t xml:space="preserve">, bet lietotājiem ar pieslēguma stiprumu 32A – </w:t>
      </w:r>
      <w:r>
        <w:rPr>
          <w:rFonts w:cs="Times New Roman"/>
          <w:b/>
          <w:color w:val="000000"/>
          <w:sz w:val="26"/>
          <w:szCs w:val="26"/>
        </w:rPr>
        <w:t xml:space="preserve"> 1.26</w:t>
      </w:r>
      <w:r w:rsidRPr="004B58F8">
        <w:rPr>
          <w:rFonts w:cs="Times New Roman"/>
          <w:b/>
          <w:color w:val="000000"/>
          <w:sz w:val="26"/>
          <w:szCs w:val="26"/>
        </w:rPr>
        <w:t xml:space="preserve"> – </w:t>
      </w:r>
      <w:r>
        <w:rPr>
          <w:rFonts w:cs="Times New Roman"/>
          <w:b/>
          <w:color w:val="000000"/>
          <w:sz w:val="26"/>
          <w:szCs w:val="26"/>
        </w:rPr>
        <w:t xml:space="preserve"> 1.11</w:t>
      </w:r>
      <w:r w:rsidRPr="004B58F8">
        <w:rPr>
          <w:rFonts w:cs="Times New Roman"/>
          <w:b/>
          <w:color w:val="000000"/>
          <w:sz w:val="26"/>
          <w:szCs w:val="26"/>
        </w:rPr>
        <w:t xml:space="preserve"> EUR mēnesī.</w:t>
      </w:r>
    </w:p>
    <w:p w14:paraId="5179ACF9" w14:textId="77777777" w:rsidR="00AD78D3" w:rsidRPr="00E55393" w:rsidRDefault="00AD78D3" w:rsidP="00AD78D3">
      <w:pPr>
        <w:rPr>
          <w:rFonts w:cs="Times New Roman"/>
          <w:b/>
          <w:color w:val="000000"/>
          <w:sz w:val="26"/>
          <w:szCs w:val="26"/>
        </w:rPr>
      </w:pPr>
      <w:r w:rsidRPr="00E55393">
        <w:rPr>
          <w:rFonts w:cs="Times New Roman"/>
          <w:b/>
          <w:color w:val="000000"/>
          <w:sz w:val="26"/>
          <w:szCs w:val="26"/>
        </w:rPr>
        <w:br w:type="page"/>
      </w:r>
    </w:p>
    <w:p w14:paraId="43ED9FA1" w14:textId="77777777" w:rsidR="00AD78D3" w:rsidRPr="00E55393" w:rsidRDefault="00AD78D3" w:rsidP="00AD78D3">
      <w:pPr>
        <w:pStyle w:val="ListParagraph"/>
        <w:ind w:left="643"/>
        <w:jc w:val="both"/>
        <w:rPr>
          <w:rFonts w:cs="Times New Roman"/>
          <w:b/>
          <w:color w:val="000000"/>
          <w:sz w:val="26"/>
          <w:szCs w:val="26"/>
        </w:rPr>
      </w:pPr>
    </w:p>
    <w:p w14:paraId="0E11AECB" w14:textId="77777777" w:rsidR="00AD78D3" w:rsidRPr="00E55393" w:rsidRDefault="00AD78D3" w:rsidP="00AD78D3">
      <w:pPr>
        <w:jc w:val="both"/>
        <w:rPr>
          <w:rFonts w:cs="Times New Roman"/>
          <w:b/>
          <w:color w:val="000000"/>
          <w:sz w:val="26"/>
          <w:szCs w:val="26"/>
        </w:rPr>
      </w:pPr>
      <w:r w:rsidRPr="00351AE6">
        <w:rPr>
          <w:noProof/>
          <w:lang w:eastAsia="lv-LV"/>
        </w:rPr>
        <w:drawing>
          <wp:inline distT="0" distB="0" distL="0" distR="0" wp14:anchorId="74A8BA90" wp14:editId="080A1C67">
            <wp:extent cx="5750417" cy="3483610"/>
            <wp:effectExtent l="0" t="0" r="22225" b="215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6B6A47" w14:textId="77777777" w:rsidR="00AD78D3" w:rsidRPr="00F2103D" w:rsidRDefault="00AD78D3" w:rsidP="00AD78D3">
      <w:pPr>
        <w:pStyle w:val="ListParagraph"/>
        <w:ind w:left="0"/>
        <w:jc w:val="both"/>
        <w:rPr>
          <w:rFonts w:cs="Times New Roman"/>
          <w:color w:val="000000"/>
          <w:sz w:val="26"/>
          <w:szCs w:val="26"/>
        </w:rPr>
      </w:pPr>
      <w:r w:rsidRPr="00AE18D3">
        <w:rPr>
          <w:rFonts w:cs="Times New Roman"/>
          <w:b/>
          <w:color w:val="000000"/>
          <w:sz w:val="26"/>
          <w:szCs w:val="26"/>
        </w:rPr>
        <w:t>2.attēls</w:t>
      </w:r>
      <w:r>
        <w:rPr>
          <w:rFonts w:cs="Times New Roman"/>
          <w:b/>
          <w:color w:val="000000"/>
          <w:sz w:val="26"/>
          <w:szCs w:val="26"/>
        </w:rPr>
        <w:t>.</w:t>
      </w:r>
      <w:r w:rsidRPr="00046590">
        <w:rPr>
          <w:rFonts w:cs="Times New Roman"/>
          <w:b/>
          <w:color w:val="000000"/>
          <w:sz w:val="26"/>
          <w:szCs w:val="26"/>
        </w:rPr>
        <w:t xml:space="preserve"> Izmaksas trīsfāžu pieslēguma patērētājam ar pieslēguma strāvas stiprumu līdz 16A ieskaitot atkarībā no patēriņa apjoma pirms un pēc "Sadales Tīkla" tarifu izmaiņām</w:t>
      </w:r>
      <w:r w:rsidRPr="00AE18D3">
        <w:rPr>
          <w:rFonts w:cs="Times New Roman"/>
          <w:b/>
          <w:color w:val="000000"/>
          <w:sz w:val="26"/>
          <w:szCs w:val="26"/>
        </w:rPr>
        <w:t>.</w:t>
      </w:r>
      <w:r>
        <w:rPr>
          <w:rFonts w:cs="Times New Roman"/>
          <w:b/>
          <w:color w:val="000000"/>
          <w:sz w:val="26"/>
          <w:szCs w:val="26"/>
        </w:rPr>
        <w:t xml:space="preserve"> </w:t>
      </w:r>
    </w:p>
    <w:p w14:paraId="4ED8F90A" w14:textId="77777777" w:rsidR="00AD78D3" w:rsidRPr="00E55393" w:rsidRDefault="00AD78D3" w:rsidP="00AD78D3">
      <w:pPr>
        <w:jc w:val="both"/>
        <w:rPr>
          <w:rFonts w:cs="Times New Roman"/>
          <w:color w:val="000000"/>
          <w:sz w:val="20"/>
          <w:szCs w:val="20"/>
        </w:rPr>
      </w:pPr>
      <w:r w:rsidRPr="00F2103D">
        <w:rPr>
          <w:rFonts w:cs="Times New Roman"/>
          <w:color w:val="000000"/>
          <w:sz w:val="20"/>
          <w:szCs w:val="20"/>
        </w:rPr>
        <w:t>Avots: Ekonomikas ministrija</w:t>
      </w:r>
      <w:r w:rsidRPr="00E55393">
        <w:rPr>
          <w:rFonts w:cs="Times New Roman"/>
          <w:color w:val="000000"/>
          <w:sz w:val="20"/>
          <w:szCs w:val="20"/>
        </w:rPr>
        <w:t>, AS Sadales tīkls</w:t>
      </w:r>
    </w:p>
    <w:p w14:paraId="74D6C6E7" w14:textId="77777777" w:rsidR="00AD78D3" w:rsidRPr="00E55393" w:rsidRDefault="00AD78D3" w:rsidP="00AD78D3">
      <w:pPr>
        <w:ind w:firstLine="720"/>
        <w:jc w:val="both"/>
        <w:rPr>
          <w:rFonts w:cs="Times New Roman"/>
          <w:color w:val="000000"/>
          <w:sz w:val="26"/>
          <w:szCs w:val="26"/>
        </w:rPr>
      </w:pPr>
    </w:p>
    <w:p w14:paraId="6E9976B0" w14:textId="77777777" w:rsidR="00AD78D3" w:rsidRPr="00F8717F" w:rsidRDefault="00AD78D3" w:rsidP="00AD78D3">
      <w:pPr>
        <w:ind w:firstLine="720"/>
        <w:jc w:val="both"/>
        <w:rPr>
          <w:rFonts w:cs="Times New Roman"/>
          <w:color w:val="000000"/>
          <w:sz w:val="26"/>
          <w:szCs w:val="26"/>
        </w:rPr>
      </w:pPr>
      <w:r w:rsidRPr="00E55393">
        <w:rPr>
          <w:rFonts w:cs="Times New Roman"/>
          <w:color w:val="000000"/>
          <w:sz w:val="26"/>
          <w:szCs w:val="26"/>
        </w:rPr>
        <w:t xml:space="preserve">Vērtējot tarifu izmaiņu ietekmi uz sociāli neaizsargātākajiem iedzīvotājiem, jāņem vērā, ka Trūcīgā statusu pašvaldība nosaka saskaņā ar Ministru kabineta 2010.gada 30.marta noteikumiem Nr.299 "Noteikumi par ģimenes vai atsevišķi dzīvojošas personas atzīšanu par trūcīgu" un tajos paredzēto minimālo ienākumu vienam personai - </w:t>
      </w:r>
      <w:r>
        <w:rPr>
          <w:rFonts w:cs="Times New Roman"/>
          <w:color w:val="000000"/>
          <w:sz w:val="26"/>
          <w:szCs w:val="26"/>
        </w:rPr>
        <w:t xml:space="preserve"> 128.06</w:t>
      </w:r>
      <w:r w:rsidRPr="00F8717F">
        <w:rPr>
          <w:rFonts w:cs="Times New Roman"/>
          <w:color w:val="000000"/>
          <w:sz w:val="26"/>
          <w:szCs w:val="26"/>
        </w:rPr>
        <w:t xml:space="preserve"> EUR mēnesī. Savukārt maznodrošinātā statusa piešķiršanai ienākumu līmeni nosaka pašvaldības. Likumos nav noteikts, kā tas nosakāms. Latvijā maznodrošinātais var būt cilvēks, kura ienākumi ir 140</w:t>
      </w:r>
      <w:r>
        <w:rPr>
          <w:rFonts w:cs="Times New Roman"/>
          <w:color w:val="000000"/>
          <w:sz w:val="26"/>
          <w:szCs w:val="26"/>
        </w:rPr>
        <w:t>.00</w:t>
      </w:r>
      <w:r w:rsidRPr="00F8717F">
        <w:rPr>
          <w:rFonts w:cs="Times New Roman"/>
          <w:color w:val="000000"/>
          <w:sz w:val="26"/>
          <w:szCs w:val="26"/>
        </w:rPr>
        <w:t xml:space="preserve"> eiro mēnesī, bet var būt arī iedzīvotājs ar 360</w:t>
      </w:r>
      <w:r>
        <w:rPr>
          <w:rFonts w:cs="Times New Roman"/>
          <w:color w:val="000000"/>
          <w:sz w:val="26"/>
          <w:szCs w:val="26"/>
        </w:rPr>
        <w:t>.00</w:t>
      </w:r>
      <w:r w:rsidRPr="00F8717F">
        <w:rPr>
          <w:rFonts w:cs="Times New Roman"/>
          <w:color w:val="000000"/>
          <w:sz w:val="26"/>
          <w:szCs w:val="26"/>
        </w:rPr>
        <w:t xml:space="preserve"> eiro ienākumu mēnesī, kas ir atkarīgs no deklarētās dzīves vietas un attiecīgās pašvaldības noteiktajiem tiesību aktiem.</w:t>
      </w:r>
    </w:p>
    <w:p w14:paraId="106B3800"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Vērtējot </w:t>
      </w:r>
      <w:r w:rsidRPr="00E55393">
        <w:rPr>
          <w:rFonts w:cs="Times New Roman"/>
          <w:sz w:val="26"/>
          <w:szCs w:val="26"/>
        </w:rPr>
        <w:t xml:space="preserve">2016.gada 1.augustā ieviesto </w:t>
      </w:r>
      <w:r w:rsidRPr="00E55393">
        <w:rPr>
          <w:rFonts w:cs="Times New Roman"/>
          <w:color w:val="000000"/>
          <w:sz w:val="26"/>
          <w:szCs w:val="26"/>
        </w:rPr>
        <w:t xml:space="preserve">elektroenerģijas sadales sistēmas pakalpojumu tarifu iespējamo ietekmi uz sociāli neaizsargātajiem iedzīvotājiem, var secināt, ka mājsaimniecībās ar vienu iedzīvotāju, kuri lieto vienfāzes pieslēgumu gadījumā, maksimālais teorētiski iespējamais maksimālais sadārdzinājums veido aptuveni </w:t>
      </w:r>
      <w:r>
        <w:rPr>
          <w:rFonts w:cs="Times New Roman"/>
          <w:color w:val="000000"/>
          <w:sz w:val="26"/>
          <w:szCs w:val="26"/>
        </w:rPr>
        <w:t>1.2</w:t>
      </w:r>
      <w:r w:rsidRPr="009C2174">
        <w:rPr>
          <w:rFonts w:cs="Times New Roman"/>
          <w:color w:val="000000"/>
          <w:sz w:val="26"/>
          <w:szCs w:val="26"/>
        </w:rPr>
        <w:t>% no personas minimālajiem ienākumiem, tomēr ņemot vērā statistiku par vidējo patēriņa apjomu Latvijas mājsaimniecībās, lielākajai daļai lietotāju</w:t>
      </w:r>
      <w:r w:rsidRPr="00E55393">
        <w:rPr>
          <w:rFonts w:cs="Times New Roman"/>
          <w:color w:val="000000"/>
          <w:sz w:val="26"/>
          <w:szCs w:val="26"/>
        </w:rPr>
        <w:t xml:space="preserve">, kuriem atbilstoši likumam, pienāktos aizsargātā lietotāja statuss, ir pamats rēķināties ar procentuāli mazāku sadārdzinājumu, proti, no </w:t>
      </w:r>
      <w:r>
        <w:rPr>
          <w:rFonts w:cs="Times New Roman"/>
          <w:color w:val="000000"/>
          <w:sz w:val="26"/>
          <w:szCs w:val="26"/>
        </w:rPr>
        <w:t>0.6</w:t>
      </w:r>
      <w:r w:rsidRPr="009C2174">
        <w:rPr>
          <w:rFonts w:cs="Times New Roman"/>
          <w:color w:val="000000"/>
          <w:sz w:val="26"/>
          <w:szCs w:val="26"/>
        </w:rPr>
        <w:t>% un mazāk no personas ikmēneša ienākumu apjoma. Attiecīgi, pieaugot mājsaimniecībā dzīvojošo cilvēku skaitam un arī patēriņam, elektroenerģijas</w:t>
      </w:r>
      <w:r w:rsidRPr="00F2103D">
        <w:rPr>
          <w:rFonts w:cs="Times New Roman"/>
          <w:color w:val="000000"/>
          <w:sz w:val="26"/>
          <w:szCs w:val="26"/>
        </w:rPr>
        <w:t xml:space="preserve"> sadales tarifu ietekme uz kopējiem izdevumiem par elektroenerģija, un to īpatsvars no mājsaimniecības izdevumiem samazinās vēl vairāk vai arī kļūst pozitīva. </w:t>
      </w:r>
    </w:p>
    <w:p w14:paraId="7C50076D" w14:textId="77777777" w:rsidR="00AD78D3" w:rsidRPr="00E55393" w:rsidRDefault="00AD78D3" w:rsidP="00AD78D3">
      <w:pPr>
        <w:ind w:firstLine="720"/>
        <w:jc w:val="both"/>
        <w:rPr>
          <w:rFonts w:cs="Times New Roman"/>
          <w:b/>
          <w:color w:val="000000"/>
          <w:sz w:val="26"/>
          <w:szCs w:val="26"/>
        </w:rPr>
      </w:pPr>
      <w:r w:rsidRPr="00E55393">
        <w:rPr>
          <w:rFonts w:cs="Times New Roman"/>
          <w:color w:val="000000"/>
          <w:sz w:val="26"/>
          <w:szCs w:val="26"/>
        </w:rPr>
        <w:lastRenderedPageBreak/>
        <w:t xml:space="preserve">Savukārt mājsaimniecībās ar vienu iedzīvotāju, kuras izmanto trīsfāžu pieslēgumu, maksimāli iespējamais elektroenerģijas rēķina sadārdzinājums veido </w:t>
      </w:r>
      <w:r>
        <w:rPr>
          <w:rFonts w:cs="Times New Roman"/>
          <w:color w:val="000000"/>
          <w:sz w:val="26"/>
          <w:szCs w:val="26"/>
        </w:rPr>
        <w:t>3.1</w:t>
      </w:r>
      <w:r w:rsidRPr="001F3FEA">
        <w:rPr>
          <w:rFonts w:cs="Times New Roman"/>
          <w:color w:val="000000"/>
          <w:sz w:val="26"/>
          <w:szCs w:val="26"/>
        </w:rPr>
        <w:t xml:space="preserve">% no minimālo ieņēmumu apjoma, bet ņemot vērā statistiku par vidējo patēriņa apjomu Latvijas mājsaimniecībās, </w:t>
      </w:r>
      <w:r w:rsidRPr="00E55393">
        <w:rPr>
          <w:rFonts w:cs="Times New Roman"/>
          <w:color w:val="000000"/>
          <w:sz w:val="26"/>
          <w:szCs w:val="26"/>
        </w:rPr>
        <w:t xml:space="preserve">lielākajai daļai aizsargāto lietotāju ir pamats rēķināties ar procentuāli mazāku sadārdzinājumu, proti, no </w:t>
      </w:r>
      <w:r>
        <w:rPr>
          <w:rFonts w:cs="Times New Roman"/>
          <w:color w:val="000000"/>
          <w:sz w:val="26"/>
          <w:szCs w:val="26"/>
        </w:rPr>
        <w:t>2.4</w:t>
      </w:r>
      <w:r w:rsidRPr="001F3FEA">
        <w:rPr>
          <w:rFonts w:cs="Times New Roman"/>
          <w:color w:val="000000"/>
          <w:sz w:val="26"/>
          <w:szCs w:val="26"/>
        </w:rPr>
        <w:t>% un mazāk no personas minimālo ikmēneša ienākumu apjoma.</w:t>
      </w:r>
    </w:p>
    <w:p w14:paraId="2539DFFA"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Šīs aplēses arī ļauj secināt, ka ierobežotu negatīvu finansiālu ietekmi no 2016.gadā ieviestajiem elektroenerģijas sadales tarifiem potenciāli izjūt mājsaimniecības ar vienu trūcīgu iedzīvotāju un trīsfāžu pieslēgumu. Ņemot vērā uzņēmuma “Sadales Tīkls” statistiku par pieslēgumu veidiem, kuri liecina par to, ka vienfāzes pieslēgumi galvenokārt tiek izmantoti elektroenerģijas piegādēm pilsētu daudzdzīvokļu namos, savukārt trīsfāžu pieslēgumi – privātmāju elektroenerģijas piegādēm, var arī secināt, ka potenciāli lielākam elektroenerģijas izmaksu sadārdzinājuma riskam ir pakļauti mājsaimniecības, kuras izvietotas viensētās reģionos, un kurās ir tikai viens iedzīvotājs. Pieaugot iedzīvotāju skaitam mājsaimniecībā, un ar to saistītajam elektroenerģijas patēriņam, elektroenerģijas izmaksu pieauguma iespēja attiecīgi samazinās, savukārt atsevišķām aizsargāto lietotāju grupām, kurām ir augstāks elektroenerģijas patēriņš, piemēram, daudzbērnu ģimenēm, 2016.gadā ieviestie elektroenerģijas sadales tarifi var būt veicinājuši arī elektroenerģijas izmaksu samazināšanos. </w:t>
      </w:r>
    </w:p>
    <w:p w14:paraId="38524B91" w14:textId="77777777" w:rsidR="00AD78D3" w:rsidRPr="001F3FEA" w:rsidRDefault="00AD78D3" w:rsidP="00AD78D3">
      <w:pPr>
        <w:ind w:firstLine="720"/>
        <w:jc w:val="both"/>
        <w:rPr>
          <w:rFonts w:cs="Times New Roman"/>
          <w:b/>
          <w:color w:val="000000"/>
          <w:sz w:val="26"/>
          <w:szCs w:val="26"/>
        </w:rPr>
      </w:pPr>
      <w:r w:rsidRPr="00E55393">
        <w:rPr>
          <w:rFonts w:cs="Times New Roman"/>
          <w:color w:val="000000"/>
          <w:sz w:val="26"/>
          <w:szCs w:val="26"/>
        </w:rPr>
        <w:t xml:space="preserve">Vienlaikus jāatzīmē, ka ņemot vērā elektroenerģijas vairumcenu samazinājumu, elektroenerģijas tirgotāji ir samazinājuši elektroenerģijas cenas arī mājsaimniecībām. Piemēram, lielākā tirgotāja “Latvenergo” populārākajā tarifā “Universālais” elektrības komponente ir samazināta par </w:t>
      </w:r>
      <w:r>
        <w:rPr>
          <w:rFonts w:cs="Times New Roman"/>
          <w:color w:val="000000"/>
          <w:sz w:val="26"/>
          <w:szCs w:val="26"/>
        </w:rPr>
        <w:t>3.3</w:t>
      </w:r>
      <w:r w:rsidRPr="001F3FEA">
        <w:rPr>
          <w:rFonts w:cs="Times New Roman"/>
          <w:color w:val="000000"/>
          <w:sz w:val="26"/>
          <w:szCs w:val="26"/>
        </w:rPr>
        <w:t>% - no 0</w:t>
      </w:r>
      <w:r>
        <w:rPr>
          <w:rFonts w:cs="Times New Roman"/>
          <w:color w:val="000000"/>
          <w:sz w:val="26"/>
          <w:szCs w:val="26"/>
        </w:rPr>
        <w:t>.</w:t>
      </w:r>
      <w:r w:rsidRPr="001F3FEA">
        <w:rPr>
          <w:rFonts w:cs="Times New Roman"/>
          <w:color w:val="000000"/>
          <w:sz w:val="26"/>
          <w:szCs w:val="26"/>
        </w:rPr>
        <w:t>053 EUR līdz 0</w:t>
      </w:r>
      <w:r>
        <w:rPr>
          <w:rFonts w:cs="Times New Roman"/>
          <w:color w:val="000000"/>
          <w:sz w:val="26"/>
          <w:szCs w:val="26"/>
        </w:rPr>
        <w:t>.</w:t>
      </w:r>
      <w:r w:rsidRPr="001F3FEA">
        <w:rPr>
          <w:rFonts w:cs="Times New Roman"/>
          <w:color w:val="000000"/>
          <w:sz w:val="26"/>
          <w:szCs w:val="26"/>
        </w:rPr>
        <w:t>0512 EUR. Līdz ar to 2017.gad</w:t>
      </w:r>
      <w:r w:rsidRPr="00E55393">
        <w:rPr>
          <w:rFonts w:cs="Times New Roman"/>
          <w:color w:val="000000"/>
          <w:sz w:val="26"/>
          <w:szCs w:val="26"/>
        </w:rPr>
        <w:t>ā mājsaimniecībām, kuras izmanto vienfāzes pieslēgumu un kuras patērē no 50 līdz 100 kWh, izmantojot tarifu “Universālais” tarifu, rēķins samazināsies par aptuveni 1</w:t>
      </w:r>
      <w:r>
        <w:rPr>
          <w:rFonts w:cs="Times New Roman"/>
          <w:color w:val="000000"/>
          <w:sz w:val="26"/>
          <w:szCs w:val="26"/>
        </w:rPr>
        <w:t>.</w:t>
      </w:r>
      <w:r w:rsidRPr="001F3FEA">
        <w:rPr>
          <w:rFonts w:cs="Times New Roman"/>
          <w:color w:val="000000"/>
          <w:sz w:val="26"/>
          <w:szCs w:val="26"/>
        </w:rPr>
        <w:t>1-1</w:t>
      </w:r>
      <w:r>
        <w:rPr>
          <w:rFonts w:cs="Times New Roman"/>
          <w:color w:val="000000"/>
          <w:sz w:val="26"/>
          <w:szCs w:val="26"/>
        </w:rPr>
        <w:t>.</w:t>
      </w:r>
      <w:r w:rsidRPr="001F3FEA">
        <w:rPr>
          <w:rFonts w:cs="Times New Roman"/>
          <w:color w:val="000000"/>
          <w:sz w:val="26"/>
          <w:szCs w:val="26"/>
        </w:rPr>
        <w:t>3% procentiem jeb 0</w:t>
      </w:r>
      <w:r>
        <w:rPr>
          <w:rFonts w:cs="Times New Roman"/>
          <w:color w:val="000000"/>
          <w:sz w:val="26"/>
          <w:szCs w:val="26"/>
        </w:rPr>
        <w:t>.</w:t>
      </w:r>
      <w:r w:rsidRPr="001F3FEA">
        <w:rPr>
          <w:rFonts w:cs="Times New Roman"/>
          <w:color w:val="000000"/>
          <w:sz w:val="26"/>
          <w:szCs w:val="26"/>
        </w:rPr>
        <w:t>10-0</w:t>
      </w:r>
      <w:r>
        <w:rPr>
          <w:rFonts w:cs="Times New Roman"/>
          <w:color w:val="000000"/>
          <w:sz w:val="26"/>
          <w:szCs w:val="26"/>
        </w:rPr>
        <w:t>.</w:t>
      </w:r>
      <w:r w:rsidRPr="001F3FEA">
        <w:rPr>
          <w:rFonts w:cs="Times New Roman"/>
          <w:color w:val="000000"/>
          <w:sz w:val="26"/>
          <w:szCs w:val="26"/>
        </w:rPr>
        <w:t xml:space="preserve">11 EUR mēnesī. Savukārt klientiem, kuriem ir noslēgts līgums par citu tarifu plānu vai ar citu tirgotāju, ikmēneša </w:t>
      </w:r>
      <w:r w:rsidRPr="00E55393">
        <w:rPr>
          <w:rFonts w:cs="Times New Roman"/>
          <w:color w:val="000000"/>
          <w:sz w:val="26"/>
          <w:szCs w:val="26"/>
        </w:rPr>
        <w:t>rēķina samazinājums var būt arī lielāks</w:t>
      </w:r>
      <w:r>
        <w:rPr>
          <w:rFonts w:cs="Times New Roman"/>
          <w:color w:val="000000"/>
          <w:sz w:val="26"/>
          <w:szCs w:val="26"/>
        </w:rPr>
        <w:t xml:space="preserve">, </w:t>
      </w:r>
      <w:r w:rsidRPr="001F3FEA">
        <w:rPr>
          <w:rFonts w:cs="Times New Roman"/>
          <w:color w:val="000000"/>
          <w:sz w:val="26"/>
          <w:szCs w:val="26"/>
        </w:rPr>
        <w:t>sasnie</w:t>
      </w:r>
      <w:r>
        <w:rPr>
          <w:rFonts w:cs="Times New Roman"/>
          <w:color w:val="000000"/>
          <w:sz w:val="26"/>
          <w:szCs w:val="26"/>
        </w:rPr>
        <w:t>dzot</w:t>
      </w:r>
      <w:r w:rsidRPr="001F3FEA">
        <w:rPr>
          <w:rFonts w:cs="Times New Roman"/>
          <w:color w:val="000000"/>
          <w:sz w:val="26"/>
          <w:szCs w:val="26"/>
        </w:rPr>
        <w:t xml:space="preserve"> </w:t>
      </w:r>
      <w:r>
        <w:rPr>
          <w:rFonts w:cs="Times New Roman"/>
          <w:color w:val="000000"/>
          <w:sz w:val="26"/>
          <w:szCs w:val="26"/>
        </w:rPr>
        <w:t xml:space="preserve">līdz </w:t>
      </w:r>
      <w:r w:rsidRPr="001F3FEA">
        <w:rPr>
          <w:rFonts w:cs="Times New Roman"/>
          <w:color w:val="000000"/>
          <w:sz w:val="26"/>
          <w:szCs w:val="26"/>
        </w:rPr>
        <w:t>pat 5%.</w:t>
      </w:r>
      <w:r w:rsidRPr="001F3FEA">
        <w:rPr>
          <w:rFonts w:cs="Times New Roman"/>
          <w:b/>
          <w:color w:val="000000"/>
          <w:sz w:val="26"/>
          <w:szCs w:val="26"/>
        </w:rPr>
        <w:t xml:space="preserve"> </w:t>
      </w:r>
    </w:p>
    <w:p w14:paraId="4829DA09" w14:textId="77777777" w:rsidR="00AD78D3" w:rsidRPr="00506B93" w:rsidRDefault="00AD78D3" w:rsidP="00AD78D3">
      <w:pPr>
        <w:ind w:firstLine="720"/>
        <w:jc w:val="both"/>
        <w:rPr>
          <w:rFonts w:cs="Times New Roman"/>
          <w:b/>
          <w:color w:val="000000"/>
          <w:sz w:val="26"/>
          <w:szCs w:val="26"/>
        </w:rPr>
      </w:pPr>
      <w:r w:rsidRPr="00E55393">
        <w:rPr>
          <w:rFonts w:cs="Times New Roman"/>
          <w:color w:val="000000"/>
          <w:sz w:val="26"/>
          <w:szCs w:val="26"/>
        </w:rPr>
        <w:t>Attiecīgi kopumā, ņemot vērā ar elektroenerģijas izmaksu komponenšu izmaiņas, mājsaimniecībai ar vienfāzes pieslēgumu un elektroenerģijas patēriņu 50 kWh, kura izmanto “Latvenergo” tarifu plānu “Universālais”, elektroenerģijas izmaksas gada laikā kopš 2016.gada janvāra ir pieaugušas par 0</w:t>
      </w:r>
      <w:r>
        <w:rPr>
          <w:rFonts w:cs="Times New Roman"/>
          <w:color w:val="000000"/>
          <w:sz w:val="26"/>
          <w:szCs w:val="26"/>
        </w:rPr>
        <w:t>.</w:t>
      </w:r>
      <w:r w:rsidRPr="00506B93">
        <w:rPr>
          <w:rFonts w:cs="Times New Roman"/>
          <w:color w:val="000000"/>
          <w:sz w:val="26"/>
          <w:szCs w:val="26"/>
        </w:rPr>
        <w:t>65 EUR jeb 7</w:t>
      </w:r>
      <w:r>
        <w:rPr>
          <w:rFonts w:cs="Times New Roman"/>
          <w:color w:val="000000"/>
          <w:sz w:val="26"/>
          <w:szCs w:val="26"/>
        </w:rPr>
        <w:t>.</w:t>
      </w:r>
      <w:r w:rsidRPr="00506B93">
        <w:rPr>
          <w:rFonts w:cs="Times New Roman"/>
          <w:color w:val="000000"/>
          <w:sz w:val="26"/>
          <w:szCs w:val="26"/>
        </w:rPr>
        <w:t>88%, bet mājsaimniecībai ar vienfāzes pieslēgumu un elektroenerģijas patēriņu 100 kWh un analoģisku tarifu plānu – samazinājušās par 0</w:t>
      </w:r>
      <w:r>
        <w:rPr>
          <w:rFonts w:cs="Times New Roman"/>
          <w:color w:val="000000"/>
          <w:sz w:val="26"/>
          <w:szCs w:val="26"/>
        </w:rPr>
        <w:t>.</w:t>
      </w:r>
      <w:r w:rsidRPr="00506B93">
        <w:rPr>
          <w:rFonts w:cs="Times New Roman"/>
          <w:color w:val="000000"/>
          <w:sz w:val="26"/>
          <w:szCs w:val="26"/>
        </w:rPr>
        <w:t>22 EUR jeb 1</w:t>
      </w:r>
      <w:r>
        <w:rPr>
          <w:rFonts w:cs="Times New Roman"/>
          <w:color w:val="000000"/>
          <w:sz w:val="26"/>
          <w:szCs w:val="26"/>
        </w:rPr>
        <w:t>.</w:t>
      </w:r>
      <w:r w:rsidRPr="00506B93">
        <w:rPr>
          <w:rFonts w:cs="Times New Roman"/>
          <w:color w:val="000000"/>
          <w:sz w:val="26"/>
          <w:szCs w:val="26"/>
        </w:rPr>
        <w:t>33%.</w:t>
      </w:r>
      <w:r w:rsidRPr="00506B93">
        <w:rPr>
          <w:rFonts w:cs="Times New Roman"/>
          <w:b/>
          <w:color w:val="000000"/>
          <w:sz w:val="26"/>
          <w:szCs w:val="26"/>
        </w:rPr>
        <w:t xml:space="preserve"> </w:t>
      </w:r>
    </w:p>
    <w:p w14:paraId="089E5561" w14:textId="77777777" w:rsidR="00AD78D3" w:rsidRPr="00FD09F2" w:rsidRDefault="00AD78D3" w:rsidP="00AD78D3">
      <w:pPr>
        <w:ind w:firstLine="720"/>
        <w:jc w:val="both"/>
        <w:rPr>
          <w:rFonts w:cs="Times New Roman"/>
          <w:color w:val="000000"/>
          <w:sz w:val="26"/>
          <w:szCs w:val="26"/>
        </w:rPr>
      </w:pPr>
      <w:r w:rsidRPr="00E55393">
        <w:rPr>
          <w:rFonts w:cs="Times New Roman"/>
          <w:color w:val="000000"/>
          <w:sz w:val="26"/>
          <w:szCs w:val="26"/>
        </w:rPr>
        <w:t>Savukārt vērtējot lietotājiem jau faktiski piestādītos elektroenerģijas rēķinus, atbilstoši AS “Sadales Tīkls” sniegtajai informācijai, salīdzinot 2016. gada decembra mājsaimniecību vidējās izmaksas par elektroenerģiju ar 2015. gada decembra vidējām izmaksām, jāsecina, ka divām trešdaļām mājsaimniecību vidējās izmaksas ir samazinājušās. Vienai trešdaļai mājsaimniecību (mājsaimniecības, kas patērē līdz 1 000 kWh gadā) ir vidējā izmaksas ir pieaugušas. 2017.gada sākumā, saistībā ar elektroenerģijas vairumtirdzniecības cenu kritumu, un elektroenerģijas tirgotājiem pārskatot produktu cenas, būtiskai daļai patērētāju izmaksas par vienu patērēto kilovatstundu ir turpinājušas samazināties. Piemēram, mājsaimniecībai, kurai ir vienfāzes pieslēgums un kura patērē 100 kilovatstundas, izmantojot izplatītāko ''Elektrum'' Universālo produktu, rēķins samazinājies par aptuveni 1</w:t>
      </w:r>
      <w:r>
        <w:rPr>
          <w:rFonts w:cs="Times New Roman"/>
          <w:color w:val="000000"/>
          <w:sz w:val="26"/>
          <w:szCs w:val="26"/>
        </w:rPr>
        <w:t>.</w:t>
      </w:r>
      <w:r w:rsidRPr="00506B93">
        <w:rPr>
          <w:rFonts w:cs="Times New Roman"/>
          <w:color w:val="000000"/>
          <w:sz w:val="26"/>
          <w:szCs w:val="26"/>
        </w:rPr>
        <w:t xml:space="preserve">6%, savukārt, </w:t>
      </w:r>
      <w:r w:rsidRPr="00506B93">
        <w:rPr>
          <w:rFonts w:cs="Times New Roman"/>
          <w:color w:val="000000"/>
          <w:sz w:val="26"/>
          <w:szCs w:val="26"/>
        </w:rPr>
        <w:lastRenderedPageBreak/>
        <w:t>klientiem, kuriem ir nosl</w:t>
      </w:r>
      <w:r w:rsidRPr="00F2103D">
        <w:rPr>
          <w:rFonts w:cs="Times New Roman"/>
          <w:color w:val="000000"/>
          <w:sz w:val="26"/>
          <w:szCs w:val="26"/>
        </w:rPr>
        <w:t>ēgts līgums par citu tarifu plānu vai ar citu tirgotāju, ikmēneša rēķina samazinājums var būt arī lielāks</w:t>
      </w:r>
      <w:r>
        <w:rPr>
          <w:rFonts w:cs="Times New Roman"/>
          <w:color w:val="000000"/>
          <w:sz w:val="26"/>
          <w:szCs w:val="26"/>
        </w:rPr>
        <w:t>,</w:t>
      </w:r>
      <w:r w:rsidRPr="00FD09F2">
        <w:rPr>
          <w:rFonts w:cs="Times New Roman"/>
          <w:color w:val="000000"/>
          <w:sz w:val="26"/>
          <w:szCs w:val="26"/>
        </w:rPr>
        <w:t xml:space="preserve"> sasnie</w:t>
      </w:r>
      <w:r>
        <w:rPr>
          <w:rFonts w:cs="Times New Roman"/>
          <w:color w:val="000000"/>
          <w:sz w:val="26"/>
          <w:szCs w:val="26"/>
        </w:rPr>
        <w:t>dzot</w:t>
      </w:r>
      <w:r w:rsidRPr="00FD09F2">
        <w:rPr>
          <w:rFonts w:cs="Times New Roman"/>
          <w:color w:val="000000"/>
          <w:sz w:val="26"/>
          <w:szCs w:val="26"/>
        </w:rPr>
        <w:t xml:space="preserve"> </w:t>
      </w:r>
      <w:r>
        <w:rPr>
          <w:rFonts w:cs="Times New Roman"/>
          <w:color w:val="000000"/>
          <w:sz w:val="26"/>
          <w:szCs w:val="26"/>
        </w:rPr>
        <w:t xml:space="preserve">līdz </w:t>
      </w:r>
      <w:r w:rsidRPr="00FD09F2">
        <w:rPr>
          <w:rFonts w:cs="Times New Roman"/>
          <w:color w:val="000000"/>
          <w:sz w:val="26"/>
          <w:szCs w:val="26"/>
        </w:rPr>
        <w:t>pat 5%.</w:t>
      </w:r>
    </w:p>
    <w:p w14:paraId="3D3E1001" w14:textId="77777777" w:rsidR="00AD78D3" w:rsidRPr="00E55393" w:rsidRDefault="00AD78D3" w:rsidP="00AD78D3">
      <w:pPr>
        <w:ind w:firstLine="720"/>
        <w:jc w:val="both"/>
        <w:rPr>
          <w:rFonts w:cs="Times New Roman"/>
          <w:color w:val="000000"/>
          <w:sz w:val="26"/>
          <w:szCs w:val="26"/>
        </w:rPr>
      </w:pPr>
    </w:p>
    <w:p w14:paraId="10F8BED2" w14:textId="77777777" w:rsidR="00AD78D3" w:rsidRPr="00E55393" w:rsidRDefault="00AD78D3" w:rsidP="00AD78D3">
      <w:pPr>
        <w:rPr>
          <w:rFonts w:cs="Times New Roman"/>
          <w:b/>
          <w:color w:val="000000"/>
          <w:sz w:val="26"/>
          <w:szCs w:val="26"/>
        </w:rPr>
      </w:pPr>
    </w:p>
    <w:p w14:paraId="31BD4A91" w14:textId="77777777" w:rsidR="00AD78D3" w:rsidRPr="00E55393" w:rsidRDefault="00AD78D3" w:rsidP="00AD78D3">
      <w:pPr>
        <w:ind w:left="709"/>
        <w:jc w:val="both"/>
        <w:rPr>
          <w:rFonts w:cs="Times New Roman"/>
          <w:color w:val="000000"/>
          <w:sz w:val="26"/>
          <w:szCs w:val="26"/>
        </w:rPr>
      </w:pPr>
      <w:r w:rsidRPr="00E55393">
        <w:rPr>
          <w:rFonts w:cs="Times New Roman"/>
          <w:b/>
          <w:color w:val="000000"/>
          <w:sz w:val="26"/>
          <w:szCs w:val="26"/>
        </w:rPr>
        <w:t>2. Apkopojums par līdz šim īstenotajiem informatīvajiem pasākumiem elektroenerģijas lietotāju atbalstam, lai mazinātu iespējamo tarifu nelabvēlīgo sociālekonomisko ietekmi</w:t>
      </w:r>
    </w:p>
    <w:p w14:paraId="45E27311" w14:textId="77777777" w:rsidR="00AD78D3" w:rsidRPr="00E55393" w:rsidRDefault="00AD78D3" w:rsidP="00AD78D3">
      <w:pPr>
        <w:rPr>
          <w:rFonts w:cs="Times New Roman"/>
          <w:color w:val="000000"/>
          <w:sz w:val="26"/>
          <w:szCs w:val="26"/>
        </w:rPr>
      </w:pPr>
    </w:p>
    <w:p w14:paraId="1B653D94"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Ņemot vērā to, ka viens no elektroenerģijas sadales sistēmas tarifu pārskatīšanas mērķiem bija veicināt racionālu elektrotīklu jaudu izmantošanu, veicinot klientu atteikšanos no nepamatoti lielas elektroenerģijas pieslēguma jaudas izmantošanas, būtisks elektroenerģijas sadales sistēmas operatora uzdevums, ieviešot tarifus, bija arī klientu informēšana par pieslēguma strāvas lieluma ietekmi uz kopējām elektroenerģijas izmaksām un iespējām samazināt izmaksas, atsakoties no nepamatoti lielas jaudas pieslēgumiem. </w:t>
      </w:r>
    </w:p>
    <w:p w14:paraId="15F8078C"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Lai izskaidrotu sadales sistēmas pakalpojumu struktūras izmaiņas un nepieciešamību, Ekonomikas ministrija un AS “Sadales tīkls” tikās ar Latvijas Tirdzniecības un rūpniecības kameru, Latvijas Pensionāru federāciju, Lauksaimnieku organizāciju sadarbības padomi, Latvijas Pašvaldību savienību, Būvmateriālu ražotāju asociāciju, vairakkārt tika organizēti AS “Sadales tīkls” semināri ar Latvijas pašvaldībām, pašvaldību uzņēmumiem, juridisko personu organizācijām, kā arī visiem lielajiem juridiskiem klientiem. Tāpat AS “Sadales tīkls” par sadales sistēmas pakalpojumu tarifu izmaiņām individuāli informēja klientus, kuriem pēc 1.augusta objektā ir veikta sadales sistēmas pakalpojumu tarifu maiņa, kuru objektos elektrotīkla jauda tiek izmantota neefektīvi, kā arī par tarifu izmaiņām informēja valsts un pašvaldību izglītības un kultūras iestādes, medicīnas organizācijas u.c.  </w:t>
      </w:r>
    </w:p>
    <w:p w14:paraId="674642D9"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Saskaņā ar uzņēmuma komunikācijas plānu AS “Sadales tīkls” 2016.gadā veica iedzīvotāju informēšanu par energoefektivitāti un efektīvu jaudu izmantošanu, kā arī par izmaiņām sadales sistēmas pakalpojuma tarifu struktūrā, skaidrojot, ka šīs izmaiņas ir vērstas uz to, lai uzlabotu sadales sistēmas pakalpojuma kvalitāti, uzlabotu elektroenerģijas piegādes kvalitāti un drošumu, kā arī veicinātu optimālu un  efektīvu elektrotīkla atjaunošanu.</w:t>
      </w:r>
    </w:p>
    <w:p w14:paraId="0D7F797E"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Kā komunikācijas kanālus 2016.gadā AS “Sadales tīkls” izmantoja nacionālos laikrakstus “Dienas Bizness” (6 publikācijas), “Diena” (18 publikācijas), “Neatkarīgā Rīta Avīze” (12 publikācijas), “Latvijas Avīze” (5 publikācijas), laikrakstā “Vesti segodna” (1 publikācija), žurnālā “Telegraf” (2 publikācijas), kā arī ievietotas publikācijas vairāk kā 20 reģionālajos medijos visā Latvijā, kā arī komunikācijai tika izmantoti pašvaldību izdotie laikraksti. Vienlaicīgi, lai sasniegtu vēl plašāku mērķauditoriju, 44 publikācijas ievietotas populārākajā ziņu portālā  Delfi.lv un informācija atskaņota Latvijas Radio 2 (19 sižeti) un Latvijas Radio 4  (17 sižeti) informatīvā rubrikā "Elektrības jaunumi”, veidoti informatīvi TV sižeti (LNT, LTV7, TV24, u.c.).</w:t>
      </w:r>
    </w:p>
    <w:p w14:paraId="6E649782"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 xml:space="preserve">2016.gada laikā, papildinot AS “Sadales Tīkls” komunikāciju, būtisku loma patērētāju informēšanā par jaunieviestajiem elektroenerģijas sadales sistēmas tarifiem un iespējām samazināt izmaksas, atsakoties no nepamatoti lielas jaudas pieslēgumiem, bija arī Sabiedrisko Pakalpojumu Regulēšanas Komisijas (SPRK) komunikācijas </w:t>
      </w:r>
      <w:r w:rsidRPr="00E55393">
        <w:rPr>
          <w:rFonts w:cs="Times New Roman"/>
          <w:color w:val="000000"/>
          <w:sz w:val="26"/>
          <w:szCs w:val="26"/>
        </w:rPr>
        <w:lastRenderedPageBreak/>
        <w:t>aktivitātēm. Kopumā laika posmā no 2016.gada maija līdz 2016.</w:t>
      </w:r>
      <w:r>
        <w:rPr>
          <w:rFonts w:cs="Times New Roman"/>
          <w:color w:val="000000"/>
          <w:sz w:val="26"/>
          <w:szCs w:val="26"/>
        </w:rPr>
        <w:t xml:space="preserve">gada </w:t>
      </w:r>
      <w:r w:rsidRPr="008A2765">
        <w:rPr>
          <w:rFonts w:cs="Times New Roman"/>
          <w:color w:val="000000"/>
          <w:sz w:val="26"/>
          <w:szCs w:val="26"/>
        </w:rPr>
        <w:t>novembri</w:t>
      </w:r>
      <w:r>
        <w:rPr>
          <w:rFonts w:cs="Times New Roman"/>
          <w:color w:val="000000"/>
          <w:sz w:val="26"/>
          <w:szCs w:val="26"/>
        </w:rPr>
        <w:t>m</w:t>
      </w:r>
      <w:r w:rsidRPr="008A2765">
        <w:rPr>
          <w:rFonts w:cs="Times New Roman"/>
          <w:color w:val="000000"/>
          <w:sz w:val="26"/>
          <w:szCs w:val="26"/>
        </w:rPr>
        <w:t xml:space="preserve"> SPRK ir īstenojusi 7 komunikācijas aktivitātes, 4 reizes izplatot informatīvu materiālu medijiem, 6 reizes publicējot informatīvu paziņojumu SPRK administrētajos sociālajos tīklos, 2 reizes publicējot in</w:t>
      </w:r>
      <w:r w:rsidRPr="00E55393">
        <w:rPr>
          <w:rFonts w:cs="Times New Roman"/>
          <w:color w:val="000000"/>
          <w:sz w:val="26"/>
          <w:szCs w:val="26"/>
        </w:rPr>
        <w:t xml:space="preserve">formāciju SPRK interneta vietnē, kā arī visu pārskata periodu nodrošinot komentārus un atbildes uz mediju uzdotajiem jautājumiem.  Tāpat patērētāju informēšanā par elektroenerģijas sadales sistēmas tarifiem pēc to ieviešanas iesaistījās arī elektroenerģijas tirgotāji, kuri informāciju par tarifu izmaiņām saviem klientiem izsūtīja ar ikmēneša rēķinu, kā arī ievietojot informāciju par izmaiņām savās interneta vietnēs. </w:t>
      </w:r>
    </w:p>
    <w:p w14:paraId="24155408"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Papildus tam, Ekonomikas ministrija no 2016.gada jūlija ir sagatavojusi trīs elektroniskus informatīvos materiālus medijiem, vienu informatīvo pasākumu medijiem, kā arī divas tikšanās ar iesaistītajām pusēm un nevalstiskajām organizācijām, kas bija pieejamas arī medijiem. Tāpat arī sniegti 82 Ekonomikas ministrijas amatpersonu komentāri medijiem par tarifu izmaiņām un to ietekmi uz dažādām patērētāju grupām, kā arī valsts plānotajiem aizsargāto lietotāju atbalsta pasākumiem.</w:t>
      </w:r>
    </w:p>
    <w:p w14:paraId="61458FD8" w14:textId="77777777" w:rsidR="00AD78D3" w:rsidRPr="00E55393" w:rsidRDefault="00AD78D3" w:rsidP="00AD78D3">
      <w:pPr>
        <w:ind w:firstLine="720"/>
        <w:jc w:val="both"/>
        <w:rPr>
          <w:rFonts w:cs="Times New Roman"/>
          <w:color w:val="000000"/>
          <w:sz w:val="26"/>
          <w:szCs w:val="26"/>
        </w:rPr>
      </w:pPr>
      <w:r w:rsidRPr="00E55393">
        <w:rPr>
          <w:rFonts w:cs="Times New Roman"/>
          <w:color w:val="000000"/>
          <w:sz w:val="26"/>
          <w:szCs w:val="26"/>
        </w:rPr>
        <w:t>Komunikācijas efektivitāti raksturojošas uzņēmuma “Sadales Tīkla” ir uzņēmuma pasūtītās sabiedriskās domas aptaujas. Uzņēmums 2016.gada jūlijā veica ikgadējo klientu apmierinātības pētījumu par uzņēmuma sniegtajiem pakalpojumiem. Pētījuma ietvaros klientiem telefonintervijas laikā tika jautāts arī par informētību saistībā ar gaidāmajām sadales pakalpojumu tarifu izmaiņām. Aptaujas dati liecina, ka 62% no mājsaimniecību klientiem un 57% no juridiskajiem klientiem bija dzirdējuši par sadales tarifa izmaiņām. 57% no juridiskajiem klientiem ir informēti, ka par 25% tiks samazināta maksa par elektrības piegādi atbilstoši patērētajām kilovatstundām un, atkarībā no elektrotīkla pieslēguma jaudas, fiksētas ikmēneša maksas paaugstināšanu. Savukārt 62% mājsaimniecību atzīst, ka ir informētas ka par 22% samazināsies maksa par patērētajām kilovatstundām un tiks ieviesta fiksēta ikmēneša maksa par pieslēguma nodrošināšanu.</w:t>
      </w:r>
    </w:p>
    <w:p w14:paraId="44AC429C" w14:textId="77777777" w:rsidR="00AD78D3" w:rsidRPr="00E55393" w:rsidRDefault="00AD78D3" w:rsidP="00AD78D3">
      <w:pPr>
        <w:ind w:firstLine="720"/>
        <w:jc w:val="both"/>
        <w:rPr>
          <w:rFonts w:cs="Times New Roman"/>
          <w:color w:val="000000"/>
          <w:sz w:val="26"/>
          <w:szCs w:val="26"/>
        </w:rPr>
      </w:pPr>
      <w:r w:rsidRPr="00E55393">
        <w:rPr>
          <w:color w:val="000000"/>
          <w:sz w:val="26"/>
          <w:szCs w:val="26"/>
        </w:rPr>
        <w:t>Savukārt SKDS aptauja, kas “Sadales Tīkla” uzdevumā tika veikta 2016.gada decembrī, liecina, ka kopumā lielākā daļa aptaujāto jeb 91% iedzīvotāju zina, ka ar 2016.gada 1.augustu stājās spēkā jaunie, līdzsvarotie elektroenerģijas sadales tarifi. To skaitā, 54% iedzīvotāju norāda, ka ir labi informēti, bet 37% iedzīvotāju par izmaiņām elektroenerģijas sadales tarifos ir dzirdējuši. 22%  aptaujāto iedzīvotāju norāda, ka ir domājuši par jaudas samazināšanu savā mājsaimniecībā, saistībā ar pāreju uz jaunajiem (līdzsvarotajiem) elektroenerģijas sadales (jeb piegādes) tarifiem, kuri stājās spēkā no 2016. gada 1.augusta. Bet 6% atzīst, ka ir ne tikai domājuši, bet jau reāli samazinājuši vai pieprasījuši jaudas samazinājumu vai plāno to darīt. Savukārt 61% neplāno elektrotīkla pieslēguma jaudas samazināšanu savā mājsaimniecībā. Jautājumā par to, vai ir taisnīgi, ka iedzīvotāji līdz šim maksāja arī par tiem elektrotīkla pieslēgumiem, kuros elektrība netiek patērēta, 50% aptaujāto respondentu uzskata, ka izmaiņu rezultāts ir taisnīgs un  klientiem pašiem ir jāsedz sava pieslēguma uzturēšanas izmaksas.</w:t>
      </w:r>
    </w:p>
    <w:p w14:paraId="1F843F27" w14:textId="77777777" w:rsidR="00AD78D3" w:rsidRPr="00E55393" w:rsidRDefault="00AD78D3" w:rsidP="00AD78D3">
      <w:pPr>
        <w:pStyle w:val="Vstulesdatumsunnumurs"/>
        <w:spacing w:after="120"/>
        <w:ind w:left="0" w:firstLine="360"/>
        <w:rPr>
          <w:color w:val="000000"/>
          <w:sz w:val="26"/>
          <w:szCs w:val="26"/>
          <w:lang w:val="lv-LV"/>
        </w:rPr>
      </w:pPr>
    </w:p>
    <w:p w14:paraId="2F7784E6" w14:textId="77777777" w:rsidR="00AD78D3" w:rsidRPr="00E55393" w:rsidRDefault="00AD78D3" w:rsidP="00AD78D3">
      <w:pPr>
        <w:pStyle w:val="Vstulesdatumsunnumurs"/>
        <w:widowControl/>
        <w:spacing w:before="0" w:after="0" w:line="240" w:lineRule="auto"/>
        <w:ind w:left="851" w:firstLine="0"/>
        <w:rPr>
          <w:b/>
          <w:color w:val="000000"/>
          <w:sz w:val="26"/>
          <w:szCs w:val="26"/>
          <w:lang w:val="lv-LV"/>
        </w:rPr>
      </w:pPr>
      <w:r w:rsidRPr="00E55393">
        <w:rPr>
          <w:b/>
          <w:color w:val="000000"/>
          <w:sz w:val="26"/>
          <w:szCs w:val="26"/>
          <w:lang w:val="lv-LV"/>
        </w:rPr>
        <w:t>3.Tarifu ieviešanas rezultātu vērtējums</w:t>
      </w:r>
    </w:p>
    <w:p w14:paraId="17323B35" w14:textId="77777777" w:rsidR="00AD78D3" w:rsidRPr="00E55393" w:rsidRDefault="00AD78D3" w:rsidP="00AD78D3">
      <w:pPr>
        <w:pStyle w:val="Vstulesdatumsunnumurs"/>
        <w:widowControl/>
        <w:spacing w:before="0" w:after="0" w:line="240" w:lineRule="auto"/>
        <w:ind w:left="0" w:firstLine="0"/>
        <w:jc w:val="center"/>
        <w:rPr>
          <w:b/>
          <w:color w:val="000000"/>
          <w:sz w:val="26"/>
          <w:szCs w:val="26"/>
          <w:lang w:val="lv-LV"/>
        </w:rPr>
      </w:pPr>
    </w:p>
    <w:p w14:paraId="7D1616F3" w14:textId="77777777" w:rsidR="00AD78D3" w:rsidRPr="006A0D45" w:rsidRDefault="00AD78D3" w:rsidP="00AD78D3">
      <w:pPr>
        <w:pStyle w:val="Vstulesdatumsunnumurs"/>
        <w:spacing w:before="0" w:after="0" w:line="240" w:lineRule="auto"/>
        <w:ind w:left="0"/>
        <w:rPr>
          <w:color w:val="000000"/>
          <w:sz w:val="26"/>
          <w:szCs w:val="26"/>
          <w:lang w:val="lv-LV"/>
        </w:rPr>
      </w:pPr>
      <w:r w:rsidRPr="00E55393">
        <w:rPr>
          <w:color w:val="000000"/>
          <w:sz w:val="26"/>
          <w:szCs w:val="26"/>
          <w:lang w:val="lv-LV"/>
        </w:rPr>
        <w:t xml:space="preserve">AS “Sadales Tīkls”, balstoties uz uzņēmuma darbinieku novērojumiem un klientu aptaujām, secina, ka līdzsvaroto tarifu struktūra motivē klientus pievērst lielāku uzmanību efektīvai elektrotīkla jaudu izmantošanai. Pēc Sabiedrisko pakalpojumu regulēšanas komisijas lēmuma apstiprināt jaunos sadales tarifus gan mājsaimniecības, gan juridiskās personas analizē ikmēneša elektrības patēriņu, izvērtē pieejamos energoefektivitātes risinājumus, kā arī izvērtē, vai izvēlētā elektrotīkla pieslēguma jauda ir optimāla. </w:t>
      </w:r>
      <w:r w:rsidRPr="00E55393">
        <w:rPr>
          <w:b/>
          <w:color w:val="000000"/>
          <w:sz w:val="26"/>
          <w:szCs w:val="26"/>
          <w:lang w:val="lv-LV"/>
        </w:rPr>
        <w:t>No 2016.gada jūnija līdz 2017.gada janvārim savā objektā esošo elektrotīkla jaudu ir pārskatījuši vairāk nekā 35 000 objektu īpašnieki gan lauku apvidos, gan pilsētās.</w:t>
      </w:r>
      <w:r w:rsidRPr="00E55393">
        <w:rPr>
          <w:color w:val="000000"/>
          <w:sz w:val="26"/>
          <w:szCs w:val="26"/>
          <w:lang w:val="lv-LV"/>
        </w:rPr>
        <w:t xml:space="preserve"> Saņemto zvanu, e-pastu un pieteikumu skaits liecina, ka gan mājsaimniecību, gan arī juridisko klientu izpratne sadales sistēmas pakalpojumu tarifu struktūru, elektroenerģijas lietošanas paradumiem un energoefektivitātes iespējām pieaug un klienti turpina pārskatīt savos objektos esošās elektrotīkla jaudas, tādējādi samazinot kopējās izmaksas par elektroenerģiju. Informāciju par objekta tehniskajiem datiem un patēriņu klienti ērti var iegūt klientu portālā www.e-st.lv, </w:t>
      </w:r>
      <w:r>
        <w:rPr>
          <w:color w:val="000000"/>
          <w:sz w:val="26"/>
          <w:szCs w:val="26"/>
          <w:lang w:val="lv-LV"/>
        </w:rPr>
        <w:t xml:space="preserve"> kā arī</w:t>
      </w:r>
      <w:r w:rsidRPr="00831FE3">
        <w:rPr>
          <w:color w:val="000000"/>
          <w:sz w:val="26"/>
          <w:szCs w:val="26"/>
          <w:lang w:val="lv-LV"/>
        </w:rPr>
        <w:t xml:space="preserve"> tiešsaistē veikt pakalpojumu pieteikumus slodzes samazinājumam, paliecināšanai, skaitītāju apvienošanai vai arī atteikumam no pieslēguma, ja</w:t>
      </w:r>
      <w:r w:rsidRPr="00D96C06">
        <w:rPr>
          <w:color w:val="000000"/>
          <w:sz w:val="26"/>
          <w:szCs w:val="26"/>
          <w:lang w:val="lv-LV"/>
        </w:rPr>
        <w:t xml:space="preserve"> objektā elektroenerģijas patēriņš nenotiek un tuvākajā laikā arī nav plānots</w:t>
      </w:r>
      <w:r w:rsidRPr="006A0D45">
        <w:rPr>
          <w:color w:val="000000"/>
          <w:sz w:val="26"/>
          <w:szCs w:val="26"/>
          <w:lang w:val="lv-LV"/>
        </w:rPr>
        <w:t>.</w:t>
      </w:r>
    </w:p>
    <w:p w14:paraId="537B590B" w14:textId="77777777" w:rsidR="00AD78D3" w:rsidRDefault="00AD78D3" w:rsidP="00AD78D3">
      <w:pPr>
        <w:autoSpaceDE w:val="0"/>
        <w:autoSpaceDN w:val="0"/>
        <w:adjustRightInd w:val="0"/>
        <w:spacing w:before="240"/>
        <w:jc w:val="right"/>
        <w:rPr>
          <w:rFonts w:cs="Times New Roman"/>
          <w:b/>
          <w:color w:val="000000"/>
          <w:sz w:val="26"/>
          <w:szCs w:val="26"/>
        </w:rPr>
      </w:pPr>
      <w:r w:rsidRPr="006A0D45">
        <w:rPr>
          <w:rFonts w:cs="Times New Roman"/>
          <w:b/>
          <w:color w:val="000000"/>
          <w:sz w:val="26"/>
          <w:szCs w:val="26"/>
        </w:rPr>
        <w:t>1. tabula</w:t>
      </w:r>
      <w:r>
        <w:rPr>
          <w:rFonts w:cs="Times New Roman"/>
          <w:b/>
          <w:color w:val="000000"/>
          <w:sz w:val="26"/>
          <w:szCs w:val="26"/>
        </w:rPr>
        <w:t>.</w:t>
      </w:r>
      <w:r w:rsidRPr="00217CB9">
        <w:rPr>
          <w:rFonts w:cs="Times New Roman"/>
          <w:b/>
          <w:color w:val="000000"/>
          <w:sz w:val="26"/>
          <w:szCs w:val="26"/>
        </w:rPr>
        <w:t xml:space="preserve"> </w:t>
      </w:r>
    </w:p>
    <w:tbl>
      <w:tblPr>
        <w:tblW w:w="5003" w:type="pct"/>
        <w:tblInd w:w="-5" w:type="dxa"/>
        <w:tblLayout w:type="fixed"/>
        <w:tblLook w:val="04A0" w:firstRow="1" w:lastRow="0" w:firstColumn="1" w:lastColumn="0" w:noHBand="0" w:noVBand="1"/>
      </w:tblPr>
      <w:tblGrid>
        <w:gridCol w:w="2806"/>
        <w:gridCol w:w="585"/>
        <w:gridCol w:w="575"/>
        <w:gridCol w:w="597"/>
        <w:gridCol w:w="684"/>
        <w:gridCol w:w="847"/>
        <w:gridCol w:w="709"/>
        <w:gridCol w:w="852"/>
        <w:gridCol w:w="849"/>
        <w:gridCol w:w="562"/>
      </w:tblGrid>
      <w:tr w:rsidR="00AD78D3" w:rsidRPr="00E55393" w14:paraId="5F5F0AAF" w14:textId="77777777" w:rsidTr="008A56D9">
        <w:trPr>
          <w:trHeight w:val="255"/>
        </w:trPr>
        <w:tc>
          <w:tcPr>
            <w:tcW w:w="1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3E312"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795635">
              <w:rPr>
                <w:rFonts w:cs="Times New Roman"/>
                <w:b/>
                <w:color w:val="000000"/>
                <w:sz w:val="26"/>
                <w:szCs w:val="26"/>
              </w:rPr>
              <w:t>Mājsaimniecības klientu slodzes samazināšanas pieteikumu skaits pa mēnešiem norādīts.</w:t>
            </w:r>
            <w:r w:rsidRPr="00E55393">
              <w:rPr>
                <w:rFonts w:eastAsia="Times New Roman" w:cs="Times New Roman"/>
                <w:b/>
                <w:color w:val="000000"/>
                <w:sz w:val="20"/>
                <w:szCs w:val="20"/>
                <w:lang w:eastAsia="lv-LV"/>
              </w:rPr>
              <w:t>Pieteikumu veids</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1BFB0ED8"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Maijs</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09753E20"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Jūnijs</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71DD1A4D"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Jūlijs</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4A470385"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Augusts</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215ECF6C"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Septembris</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4D482E5C"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Oktobris</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5276E3D"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Novembris</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34BD0CCD"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Decembris</w:t>
            </w:r>
          </w:p>
        </w:tc>
        <w:tc>
          <w:tcPr>
            <w:tcW w:w="310" w:type="pct"/>
            <w:tcBorders>
              <w:top w:val="single" w:sz="4" w:space="0" w:color="auto"/>
              <w:left w:val="nil"/>
              <w:bottom w:val="single" w:sz="4" w:space="0" w:color="auto"/>
              <w:right w:val="single" w:sz="4" w:space="0" w:color="auto"/>
            </w:tcBorders>
            <w:vAlign w:val="center"/>
          </w:tcPr>
          <w:p w14:paraId="53A0EADD"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Kopā</w:t>
            </w:r>
          </w:p>
        </w:tc>
      </w:tr>
      <w:tr w:rsidR="00AD78D3" w:rsidRPr="00E55393" w14:paraId="3AA9CD18" w14:textId="77777777" w:rsidTr="008A56D9">
        <w:trPr>
          <w:trHeight w:val="255"/>
        </w:trPr>
        <w:tc>
          <w:tcPr>
            <w:tcW w:w="1548" w:type="pct"/>
            <w:tcBorders>
              <w:top w:val="nil"/>
              <w:left w:val="single" w:sz="4" w:space="0" w:color="auto"/>
              <w:bottom w:val="single" w:sz="4" w:space="0" w:color="auto"/>
              <w:right w:val="single" w:sz="4" w:space="0" w:color="auto"/>
            </w:tcBorders>
            <w:shd w:val="clear" w:color="auto" w:fill="auto"/>
            <w:noWrap/>
            <w:vAlign w:val="center"/>
            <w:hideMark/>
          </w:tcPr>
          <w:p w14:paraId="5C29B2B7"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Mājsaimniecības 1 fāze</w:t>
            </w:r>
          </w:p>
        </w:tc>
        <w:tc>
          <w:tcPr>
            <w:tcW w:w="323" w:type="pct"/>
            <w:tcBorders>
              <w:top w:val="nil"/>
              <w:left w:val="nil"/>
              <w:bottom w:val="single" w:sz="4" w:space="0" w:color="auto"/>
              <w:right w:val="single" w:sz="4" w:space="0" w:color="auto"/>
            </w:tcBorders>
            <w:shd w:val="clear" w:color="auto" w:fill="auto"/>
            <w:noWrap/>
            <w:vAlign w:val="center"/>
            <w:hideMark/>
          </w:tcPr>
          <w:p w14:paraId="46B9F9D6"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0</w:t>
            </w:r>
          </w:p>
        </w:tc>
        <w:tc>
          <w:tcPr>
            <w:tcW w:w="317" w:type="pct"/>
            <w:tcBorders>
              <w:top w:val="nil"/>
              <w:left w:val="nil"/>
              <w:bottom w:val="single" w:sz="4" w:space="0" w:color="auto"/>
              <w:right w:val="single" w:sz="4" w:space="0" w:color="auto"/>
            </w:tcBorders>
            <w:shd w:val="clear" w:color="auto" w:fill="auto"/>
            <w:noWrap/>
            <w:vAlign w:val="center"/>
            <w:hideMark/>
          </w:tcPr>
          <w:p w14:paraId="67B25B09"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30</w:t>
            </w:r>
          </w:p>
        </w:tc>
        <w:tc>
          <w:tcPr>
            <w:tcW w:w="329" w:type="pct"/>
            <w:tcBorders>
              <w:top w:val="nil"/>
              <w:left w:val="nil"/>
              <w:bottom w:val="single" w:sz="4" w:space="0" w:color="auto"/>
              <w:right w:val="single" w:sz="4" w:space="0" w:color="auto"/>
            </w:tcBorders>
            <w:shd w:val="clear" w:color="auto" w:fill="auto"/>
            <w:noWrap/>
            <w:vAlign w:val="center"/>
            <w:hideMark/>
          </w:tcPr>
          <w:p w14:paraId="405B4F5F"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64</w:t>
            </w:r>
          </w:p>
        </w:tc>
        <w:tc>
          <w:tcPr>
            <w:tcW w:w="377" w:type="pct"/>
            <w:tcBorders>
              <w:top w:val="nil"/>
              <w:left w:val="nil"/>
              <w:bottom w:val="single" w:sz="4" w:space="0" w:color="auto"/>
              <w:right w:val="single" w:sz="4" w:space="0" w:color="auto"/>
            </w:tcBorders>
            <w:shd w:val="clear" w:color="auto" w:fill="auto"/>
            <w:noWrap/>
            <w:vAlign w:val="center"/>
            <w:hideMark/>
          </w:tcPr>
          <w:p w14:paraId="0A00C6F5"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65</w:t>
            </w:r>
          </w:p>
        </w:tc>
        <w:tc>
          <w:tcPr>
            <w:tcW w:w="467" w:type="pct"/>
            <w:tcBorders>
              <w:top w:val="nil"/>
              <w:left w:val="nil"/>
              <w:bottom w:val="single" w:sz="4" w:space="0" w:color="auto"/>
              <w:right w:val="single" w:sz="4" w:space="0" w:color="auto"/>
            </w:tcBorders>
            <w:shd w:val="clear" w:color="auto" w:fill="auto"/>
            <w:noWrap/>
            <w:vAlign w:val="center"/>
            <w:hideMark/>
          </w:tcPr>
          <w:p w14:paraId="5ADD5781"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62</w:t>
            </w:r>
          </w:p>
        </w:tc>
        <w:tc>
          <w:tcPr>
            <w:tcW w:w="391" w:type="pct"/>
            <w:tcBorders>
              <w:top w:val="nil"/>
              <w:left w:val="nil"/>
              <w:bottom w:val="single" w:sz="4" w:space="0" w:color="auto"/>
              <w:right w:val="single" w:sz="4" w:space="0" w:color="auto"/>
            </w:tcBorders>
            <w:shd w:val="clear" w:color="auto" w:fill="auto"/>
            <w:noWrap/>
            <w:vAlign w:val="center"/>
            <w:hideMark/>
          </w:tcPr>
          <w:p w14:paraId="7872DA09"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87</w:t>
            </w:r>
          </w:p>
        </w:tc>
        <w:tc>
          <w:tcPr>
            <w:tcW w:w="470" w:type="pct"/>
            <w:tcBorders>
              <w:top w:val="nil"/>
              <w:left w:val="nil"/>
              <w:bottom w:val="single" w:sz="4" w:space="0" w:color="auto"/>
              <w:right w:val="single" w:sz="4" w:space="0" w:color="auto"/>
            </w:tcBorders>
            <w:shd w:val="clear" w:color="auto" w:fill="auto"/>
            <w:noWrap/>
            <w:vAlign w:val="center"/>
            <w:hideMark/>
          </w:tcPr>
          <w:p w14:paraId="692373DE"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69</w:t>
            </w:r>
          </w:p>
        </w:tc>
        <w:tc>
          <w:tcPr>
            <w:tcW w:w="468" w:type="pct"/>
            <w:tcBorders>
              <w:top w:val="nil"/>
              <w:left w:val="nil"/>
              <w:bottom w:val="single" w:sz="4" w:space="0" w:color="auto"/>
              <w:right w:val="single" w:sz="4" w:space="0" w:color="auto"/>
            </w:tcBorders>
            <w:shd w:val="clear" w:color="auto" w:fill="auto"/>
            <w:noWrap/>
            <w:vAlign w:val="center"/>
            <w:hideMark/>
          </w:tcPr>
          <w:p w14:paraId="1020FB5F"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41</w:t>
            </w:r>
          </w:p>
        </w:tc>
        <w:tc>
          <w:tcPr>
            <w:tcW w:w="310" w:type="pct"/>
            <w:tcBorders>
              <w:top w:val="nil"/>
              <w:left w:val="nil"/>
              <w:bottom w:val="single" w:sz="4" w:space="0" w:color="auto"/>
              <w:right w:val="single" w:sz="4" w:space="0" w:color="auto"/>
            </w:tcBorders>
            <w:vAlign w:val="center"/>
          </w:tcPr>
          <w:p w14:paraId="5C581851" w14:textId="77777777" w:rsidR="00AD78D3" w:rsidRPr="00E55393" w:rsidRDefault="00AD78D3" w:rsidP="008A56D9">
            <w:pPr>
              <w:spacing w:before="240"/>
              <w:ind w:left="-284" w:right="-285"/>
              <w:jc w:val="center"/>
              <w:rPr>
                <w:rFonts w:cs="Times New Roman"/>
                <w:b/>
                <w:sz w:val="20"/>
                <w:szCs w:val="20"/>
              </w:rPr>
            </w:pPr>
            <w:r w:rsidRPr="00E55393">
              <w:rPr>
                <w:rFonts w:cs="Times New Roman"/>
                <w:b/>
                <w:sz w:val="20"/>
                <w:szCs w:val="20"/>
              </w:rPr>
              <w:t>418</w:t>
            </w:r>
          </w:p>
        </w:tc>
      </w:tr>
      <w:tr w:rsidR="00AD78D3" w:rsidRPr="00E55393" w14:paraId="73A45512" w14:textId="77777777" w:rsidTr="008A56D9">
        <w:trPr>
          <w:trHeight w:val="255"/>
        </w:trPr>
        <w:tc>
          <w:tcPr>
            <w:tcW w:w="1548" w:type="pct"/>
            <w:tcBorders>
              <w:top w:val="nil"/>
              <w:left w:val="single" w:sz="4" w:space="0" w:color="auto"/>
              <w:bottom w:val="single" w:sz="4" w:space="0" w:color="auto"/>
              <w:right w:val="single" w:sz="4" w:space="0" w:color="auto"/>
            </w:tcBorders>
            <w:shd w:val="clear" w:color="auto" w:fill="auto"/>
            <w:noWrap/>
            <w:vAlign w:val="center"/>
            <w:hideMark/>
          </w:tcPr>
          <w:p w14:paraId="1F2DDA40"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Mājsaimniecības 3 fāzes uz 1 fāzi</w:t>
            </w:r>
          </w:p>
        </w:tc>
        <w:tc>
          <w:tcPr>
            <w:tcW w:w="323" w:type="pct"/>
            <w:tcBorders>
              <w:top w:val="nil"/>
              <w:left w:val="nil"/>
              <w:bottom w:val="single" w:sz="4" w:space="0" w:color="auto"/>
              <w:right w:val="single" w:sz="4" w:space="0" w:color="auto"/>
            </w:tcBorders>
            <w:shd w:val="clear" w:color="auto" w:fill="auto"/>
            <w:noWrap/>
            <w:vAlign w:val="center"/>
            <w:hideMark/>
          </w:tcPr>
          <w:p w14:paraId="3D1A9C7F"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107</w:t>
            </w:r>
          </w:p>
        </w:tc>
        <w:tc>
          <w:tcPr>
            <w:tcW w:w="317" w:type="pct"/>
            <w:tcBorders>
              <w:top w:val="nil"/>
              <w:left w:val="nil"/>
              <w:bottom w:val="single" w:sz="4" w:space="0" w:color="auto"/>
              <w:right w:val="single" w:sz="4" w:space="0" w:color="auto"/>
            </w:tcBorders>
            <w:shd w:val="clear" w:color="auto" w:fill="auto"/>
            <w:noWrap/>
            <w:vAlign w:val="center"/>
            <w:hideMark/>
          </w:tcPr>
          <w:p w14:paraId="40F28669"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503</w:t>
            </w:r>
          </w:p>
        </w:tc>
        <w:tc>
          <w:tcPr>
            <w:tcW w:w="329" w:type="pct"/>
            <w:tcBorders>
              <w:top w:val="nil"/>
              <w:left w:val="nil"/>
              <w:bottom w:val="single" w:sz="4" w:space="0" w:color="auto"/>
              <w:right w:val="single" w:sz="4" w:space="0" w:color="auto"/>
            </w:tcBorders>
            <w:shd w:val="clear" w:color="auto" w:fill="auto"/>
            <w:noWrap/>
            <w:vAlign w:val="center"/>
            <w:hideMark/>
          </w:tcPr>
          <w:p w14:paraId="331B2E8E"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2 650</w:t>
            </w:r>
          </w:p>
        </w:tc>
        <w:tc>
          <w:tcPr>
            <w:tcW w:w="377" w:type="pct"/>
            <w:tcBorders>
              <w:top w:val="nil"/>
              <w:left w:val="nil"/>
              <w:bottom w:val="single" w:sz="4" w:space="0" w:color="auto"/>
              <w:right w:val="single" w:sz="4" w:space="0" w:color="auto"/>
            </w:tcBorders>
            <w:shd w:val="clear" w:color="auto" w:fill="auto"/>
            <w:noWrap/>
            <w:vAlign w:val="center"/>
            <w:hideMark/>
          </w:tcPr>
          <w:p w14:paraId="34D5D135"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2 085</w:t>
            </w:r>
          </w:p>
        </w:tc>
        <w:tc>
          <w:tcPr>
            <w:tcW w:w="467" w:type="pct"/>
            <w:tcBorders>
              <w:top w:val="nil"/>
              <w:left w:val="nil"/>
              <w:bottom w:val="single" w:sz="4" w:space="0" w:color="auto"/>
              <w:right w:val="single" w:sz="4" w:space="0" w:color="auto"/>
            </w:tcBorders>
            <w:shd w:val="clear" w:color="auto" w:fill="auto"/>
            <w:noWrap/>
            <w:vAlign w:val="center"/>
            <w:hideMark/>
          </w:tcPr>
          <w:p w14:paraId="09C7AD02"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3 015</w:t>
            </w:r>
          </w:p>
        </w:tc>
        <w:tc>
          <w:tcPr>
            <w:tcW w:w="391" w:type="pct"/>
            <w:tcBorders>
              <w:top w:val="nil"/>
              <w:left w:val="nil"/>
              <w:bottom w:val="single" w:sz="4" w:space="0" w:color="auto"/>
              <w:right w:val="single" w:sz="4" w:space="0" w:color="auto"/>
            </w:tcBorders>
            <w:shd w:val="clear" w:color="auto" w:fill="auto"/>
            <w:noWrap/>
            <w:vAlign w:val="center"/>
            <w:hideMark/>
          </w:tcPr>
          <w:p w14:paraId="4C44D588"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2 100</w:t>
            </w:r>
          </w:p>
        </w:tc>
        <w:tc>
          <w:tcPr>
            <w:tcW w:w="470" w:type="pct"/>
            <w:tcBorders>
              <w:top w:val="nil"/>
              <w:left w:val="nil"/>
              <w:bottom w:val="single" w:sz="4" w:space="0" w:color="auto"/>
              <w:right w:val="single" w:sz="4" w:space="0" w:color="auto"/>
            </w:tcBorders>
            <w:shd w:val="clear" w:color="auto" w:fill="auto"/>
            <w:noWrap/>
            <w:vAlign w:val="center"/>
            <w:hideMark/>
          </w:tcPr>
          <w:p w14:paraId="07C097E7"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1 527</w:t>
            </w:r>
          </w:p>
        </w:tc>
        <w:tc>
          <w:tcPr>
            <w:tcW w:w="468" w:type="pct"/>
            <w:tcBorders>
              <w:top w:val="nil"/>
              <w:left w:val="nil"/>
              <w:bottom w:val="single" w:sz="4" w:space="0" w:color="auto"/>
              <w:right w:val="single" w:sz="4" w:space="0" w:color="auto"/>
            </w:tcBorders>
            <w:shd w:val="clear" w:color="auto" w:fill="auto"/>
            <w:noWrap/>
            <w:vAlign w:val="center"/>
            <w:hideMark/>
          </w:tcPr>
          <w:p w14:paraId="02903610"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933</w:t>
            </w:r>
          </w:p>
        </w:tc>
        <w:tc>
          <w:tcPr>
            <w:tcW w:w="310" w:type="pct"/>
            <w:tcBorders>
              <w:top w:val="nil"/>
              <w:left w:val="nil"/>
              <w:bottom w:val="single" w:sz="4" w:space="0" w:color="auto"/>
              <w:right w:val="single" w:sz="4" w:space="0" w:color="auto"/>
            </w:tcBorders>
            <w:vAlign w:val="center"/>
          </w:tcPr>
          <w:p w14:paraId="7176BFAD" w14:textId="77777777" w:rsidR="00AD78D3" w:rsidRPr="00E55393" w:rsidRDefault="00AD78D3" w:rsidP="008A56D9">
            <w:pPr>
              <w:spacing w:before="240"/>
              <w:ind w:left="-284" w:right="-285"/>
              <w:jc w:val="center"/>
              <w:rPr>
                <w:rFonts w:cs="Times New Roman"/>
                <w:b/>
                <w:sz w:val="20"/>
                <w:szCs w:val="20"/>
              </w:rPr>
            </w:pPr>
            <w:r w:rsidRPr="00E55393">
              <w:rPr>
                <w:rFonts w:cs="Times New Roman"/>
                <w:b/>
                <w:sz w:val="20"/>
                <w:szCs w:val="20"/>
              </w:rPr>
              <w:t>12 920</w:t>
            </w:r>
          </w:p>
        </w:tc>
      </w:tr>
      <w:tr w:rsidR="00AD78D3" w:rsidRPr="00E55393" w14:paraId="38DAC466" w14:textId="77777777" w:rsidTr="008A56D9">
        <w:trPr>
          <w:trHeight w:val="255"/>
        </w:trPr>
        <w:tc>
          <w:tcPr>
            <w:tcW w:w="1548" w:type="pct"/>
            <w:tcBorders>
              <w:top w:val="nil"/>
              <w:left w:val="single" w:sz="4" w:space="0" w:color="auto"/>
              <w:bottom w:val="single" w:sz="4" w:space="0" w:color="auto"/>
              <w:right w:val="single" w:sz="4" w:space="0" w:color="auto"/>
            </w:tcBorders>
            <w:shd w:val="clear" w:color="auto" w:fill="auto"/>
            <w:noWrap/>
            <w:vAlign w:val="center"/>
            <w:hideMark/>
          </w:tcPr>
          <w:p w14:paraId="026082D0"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Mājsaimniecības 3 fāzes</w:t>
            </w:r>
          </w:p>
        </w:tc>
        <w:tc>
          <w:tcPr>
            <w:tcW w:w="323" w:type="pct"/>
            <w:tcBorders>
              <w:top w:val="nil"/>
              <w:left w:val="nil"/>
              <w:bottom w:val="single" w:sz="4" w:space="0" w:color="auto"/>
              <w:right w:val="single" w:sz="4" w:space="0" w:color="auto"/>
            </w:tcBorders>
            <w:shd w:val="clear" w:color="auto" w:fill="auto"/>
            <w:noWrap/>
            <w:vAlign w:val="center"/>
            <w:hideMark/>
          </w:tcPr>
          <w:p w14:paraId="4B870EFF"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47</w:t>
            </w:r>
          </w:p>
        </w:tc>
        <w:tc>
          <w:tcPr>
            <w:tcW w:w="317" w:type="pct"/>
            <w:tcBorders>
              <w:top w:val="nil"/>
              <w:left w:val="nil"/>
              <w:bottom w:val="single" w:sz="4" w:space="0" w:color="auto"/>
              <w:right w:val="single" w:sz="4" w:space="0" w:color="auto"/>
            </w:tcBorders>
            <w:shd w:val="clear" w:color="auto" w:fill="auto"/>
            <w:noWrap/>
            <w:vAlign w:val="center"/>
            <w:hideMark/>
          </w:tcPr>
          <w:p w14:paraId="175737A4"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781</w:t>
            </w:r>
          </w:p>
        </w:tc>
        <w:tc>
          <w:tcPr>
            <w:tcW w:w="329" w:type="pct"/>
            <w:tcBorders>
              <w:top w:val="nil"/>
              <w:left w:val="nil"/>
              <w:bottom w:val="single" w:sz="4" w:space="0" w:color="auto"/>
              <w:right w:val="single" w:sz="4" w:space="0" w:color="auto"/>
            </w:tcBorders>
            <w:shd w:val="clear" w:color="auto" w:fill="auto"/>
            <w:noWrap/>
            <w:vAlign w:val="center"/>
            <w:hideMark/>
          </w:tcPr>
          <w:p w14:paraId="07FE4162"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3 469</w:t>
            </w:r>
          </w:p>
        </w:tc>
        <w:tc>
          <w:tcPr>
            <w:tcW w:w="377" w:type="pct"/>
            <w:tcBorders>
              <w:top w:val="nil"/>
              <w:left w:val="nil"/>
              <w:bottom w:val="single" w:sz="4" w:space="0" w:color="auto"/>
              <w:right w:val="single" w:sz="4" w:space="0" w:color="auto"/>
            </w:tcBorders>
            <w:shd w:val="clear" w:color="auto" w:fill="auto"/>
            <w:noWrap/>
            <w:vAlign w:val="center"/>
            <w:hideMark/>
          </w:tcPr>
          <w:p w14:paraId="401F05EC"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1 516</w:t>
            </w:r>
          </w:p>
        </w:tc>
        <w:tc>
          <w:tcPr>
            <w:tcW w:w="467" w:type="pct"/>
            <w:tcBorders>
              <w:top w:val="nil"/>
              <w:left w:val="nil"/>
              <w:bottom w:val="single" w:sz="4" w:space="0" w:color="auto"/>
              <w:right w:val="single" w:sz="4" w:space="0" w:color="auto"/>
            </w:tcBorders>
            <w:shd w:val="clear" w:color="auto" w:fill="auto"/>
            <w:noWrap/>
            <w:vAlign w:val="center"/>
            <w:hideMark/>
          </w:tcPr>
          <w:p w14:paraId="013306DB"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2 097</w:t>
            </w:r>
          </w:p>
        </w:tc>
        <w:tc>
          <w:tcPr>
            <w:tcW w:w="391" w:type="pct"/>
            <w:tcBorders>
              <w:top w:val="nil"/>
              <w:left w:val="nil"/>
              <w:bottom w:val="single" w:sz="4" w:space="0" w:color="auto"/>
              <w:right w:val="single" w:sz="4" w:space="0" w:color="auto"/>
            </w:tcBorders>
            <w:shd w:val="clear" w:color="auto" w:fill="auto"/>
            <w:noWrap/>
            <w:vAlign w:val="center"/>
            <w:hideMark/>
          </w:tcPr>
          <w:p w14:paraId="1D9AA40D"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1 726</w:t>
            </w:r>
          </w:p>
        </w:tc>
        <w:tc>
          <w:tcPr>
            <w:tcW w:w="470" w:type="pct"/>
            <w:tcBorders>
              <w:top w:val="nil"/>
              <w:left w:val="nil"/>
              <w:bottom w:val="single" w:sz="4" w:space="0" w:color="auto"/>
              <w:right w:val="single" w:sz="4" w:space="0" w:color="auto"/>
            </w:tcBorders>
            <w:shd w:val="clear" w:color="auto" w:fill="auto"/>
            <w:noWrap/>
            <w:vAlign w:val="center"/>
            <w:hideMark/>
          </w:tcPr>
          <w:p w14:paraId="50944BCF"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1 247</w:t>
            </w:r>
          </w:p>
        </w:tc>
        <w:tc>
          <w:tcPr>
            <w:tcW w:w="468" w:type="pct"/>
            <w:tcBorders>
              <w:top w:val="nil"/>
              <w:left w:val="nil"/>
              <w:bottom w:val="single" w:sz="4" w:space="0" w:color="auto"/>
              <w:right w:val="single" w:sz="4" w:space="0" w:color="auto"/>
            </w:tcBorders>
            <w:shd w:val="clear" w:color="auto" w:fill="auto"/>
            <w:noWrap/>
            <w:vAlign w:val="center"/>
            <w:hideMark/>
          </w:tcPr>
          <w:p w14:paraId="642D154F" w14:textId="77777777" w:rsidR="00AD78D3" w:rsidRPr="00E55393" w:rsidRDefault="00AD78D3" w:rsidP="008A56D9">
            <w:pPr>
              <w:spacing w:before="240"/>
              <w:ind w:left="-284" w:right="-285"/>
              <w:jc w:val="center"/>
              <w:rPr>
                <w:rFonts w:eastAsia="Times New Roman" w:cs="Times New Roman"/>
                <w:color w:val="000000"/>
                <w:sz w:val="20"/>
                <w:szCs w:val="20"/>
                <w:lang w:eastAsia="lv-LV"/>
              </w:rPr>
            </w:pPr>
            <w:r w:rsidRPr="00E55393">
              <w:rPr>
                <w:rFonts w:eastAsia="Times New Roman" w:cs="Times New Roman"/>
                <w:color w:val="000000"/>
                <w:sz w:val="20"/>
                <w:szCs w:val="20"/>
                <w:lang w:eastAsia="lv-LV"/>
              </w:rPr>
              <w:t>784</w:t>
            </w:r>
          </w:p>
        </w:tc>
        <w:tc>
          <w:tcPr>
            <w:tcW w:w="310" w:type="pct"/>
            <w:tcBorders>
              <w:top w:val="nil"/>
              <w:left w:val="nil"/>
              <w:bottom w:val="single" w:sz="4" w:space="0" w:color="auto"/>
              <w:right w:val="single" w:sz="4" w:space="0" w:color="auto"/>
            </w:tcBorders>
            <w:vAlign w:val="center"/>
          </w:tcPr>
          <w:p w14:paraId="30975669" w14:textId="77777777" w:rsidR="00AD78D3" w:rsidRPr="00E55393" w:rsidRDefault="00AD78D3" w:rsidP="008A56D9">
            <w:pPr>
              <w:spacing w:before="240"/>
              <w:ind w:left="-284" w:right="-285"/>
              <w:jc w:val="center"/>
              <w:rPr>
                <w:rFonts w:cs="Times New Roman"/>
                <w:b/>
                <w:sz w:val="20"/>
                <w:szCs w:val="20"/>
              </w:rPr>
            </w:pPr>
            <w:r w:rsidRPr="00E55393">
              <w:rPr>
                <w:rFonts w:cs="Times New Roman"/>
                <w:b/>
                <w:sz w:val="20"/>
                <w:szCs w:val="20"/>
              </w:rPr>
              <w:t>11 667</w:t>
            </w:r>
          </w:p>
        </w:tc>
      </w:tr>
      <w:tr w:rsidR="00AD78D3" w:rsidRPr="00E55393" w14:paraId="2AB6805B" w14:textId="77777777" w:rsidTr="008A56D9">
        <w:trPr>
          <w:trHeight w:val="255"/>
        </w:trPr>
        <w:tc>
          <w:tcPr>
            <w:tcW w:w="1548" w:type="pct"/>
            <w:tcBorders>
              <w:top w:val="nil"/>
              <w:left w:val="single" w:sz="4" w:space="0" w:color="auto"/>
              <w:bottom w:val="single" w:sz="4" w:space="0" w:color="auto"/>
              <w:right w:val="single" w:sz="4" w:space="0" w:color="auto"/>
            </w:tcBorders>
            <w:shd w:val="clear" w:color="auto" w:fill="auto"/>
            <w:noWrap/>
            <w:vAlign w:val="center"/>
            <w:hideMark/>
          </w:tcPr>
          <w:p w14:paraId="3BAD571E"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Kopā</w:t>
            </w:r>
          </w:p>
        </w:tc>
        <w:tc>
          <w:tcPr>
            <w:tcW w:w="323" w:type="pct"/>
            <w:tcBorders>
              <w:top w:val="nil"/>
              <w:left w:val="nil"/>
              <w:bottom w:val="single" w:sz="4" w:space="0" w:color="auto"/>
              <w:right w:val="single" w:sz="4" w:space="0" w:color="auto"/>
            </w:tcBorders>
            <w:shd w:val="clear" w:color="auto" w:fill="auto"/>
            <w:noWrap/>
            <w:vAlign w:val="center"/>
            <w:hideMark/>
          </w:tcPr>
          <w:p w14:paraId="03F4007B"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154</w:t>
            </w:r>
          </w:p>
        </w:tc>
        <w:tc>
          <w:tcPr>
            <w:tcW w:w="317" w:type="pct"/>
            <w:tcBorders>
              <w:top w:val="nil"/>
              <w:left w:val="nil"/>
              <w:bottom w:val="single" w:sz="4" w:space="0" w:color="auto"/>
              <w:right w:val="single" w:sz="4" w:space="0" w:color="auto"/>
            </w:tcBorders>
            <w:shd w:val="clear" w:color="auto" w:fill="auto"/>
            <w:noWrap/>
            <w:vAlign w:val="center"/>
            <w:hideMark/>
          </w:tcPr>
          <w:p w14:paraId="42C31559"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1 314</w:t>
            </w:r>
          </w:p>
        </w:tc>
        <w:tc>
          <w:tcPr>
            <w:tcW w:w="329" w:type="pct"/>
            <w:tcBorders>
              <w:top w:val="nil"/>
              <w:left w:val="nil"/>
              <w:bottom w:val="single" w:sz="4" w:space="0" w:color="auto"/>
              <w:right w:val="single" w:sz="4" w:space="0" w:color="auto"/>
            </w:tcBorders>
            <w:shd w:val="clear" w:color="auto" w:fill="auto"/>
            <w:noWrap/>
            <w:vAlign w:val="center"/>
            <w:hideMark/>
          </w:tcPr>
          <w:p w14:paraId="5116C6AE"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6 183</w:t>
            </w:r>
          </w:p>
        </w:tc>
        <w:tc>
          <w:tcPr>
            <w:tcW w:w="377" w:type="pct"/>
            <w:tcBorders>
              <w:top w:val="nil"/>
              <w:left w:val="nil"/>
              <w:bottom w:val="single" w:sz="4" w:space="0" w:color="auto"/>
              <w:right w:val="single" w:sz="4" w:space="0" w:color="auto"/>
            </w:tcBorders>
            <w:shd w:val="clear" w:color="auto" w:fill="auto"/>
            <w:noWrap/>
            <w:vAlign w:val="center"/>
            <w:hideMark/>
          </w:tcPr>
          <w:p w14:paraId="71D0E8C2"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3 666</w:t>
            </w:r>
          </w:p>
        </w:tc>
        <w:tc>
          <w:tcPr>
            <w:tcW w:w="467" w:type="pct"/>
            <w:tcBorders>
              <w:top w:val="nil"/>
              <w:left w:val="nil"/>
              <w:bottom w:val="single" w:sz="4" w:space="0" w:color="auto"/>
              <w:right w:val="single" w:sz="4" w:space="0" w:color="auto"/>
            </w:tcBorders>
            <w:shd w:val="clear" w:color="auto" w:fill="auto"/>
            <w:noWrap/>
            <w:vAlign w:val="center"/>
            <w:hideMark/>
          </w:tcPr>
          <w:p w14:paraId="767E5BBA"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5 174</w:t>
            </w:r>
          </w:p>
        </w:tc>
        <w:tc>
          <w:tcPr>
            <w:tcW w:w="391" w:type="pct"/>
            <w:tcBorders>
              <w:top w:val="nil"/>
              <w:left w:val="nil"/>
              <w:bottom w:val="single" w:sz="4" w:space="0" w:color="auto"/>
              <w:right w:val="single" w:sz="4" w:space="0" w:color="auto"/>
            </w:tcBorders>
            <w:shd w:val="clear" w:color="auto" w:fill="auto"/>
            <w:noWrap/>
            <w:vAlign w:val="center"/>
            <w:hideMark/>
          </w:tcPr>
          <w:p w14:paraId="6891D525"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3 913</w:t>
            </w:r>
          </w:p>
        </w:tc>
        <w:tc>
          <w:tcPr>
            <w:tcW w:w="470" w:type="pct"/>
            <w:tcBorders>
              <w:top w:val="nil"/>
              <w:left w:val="nil"/>
              <w:bottom w:val="single" w:sz="4" w:space="0" w:color="auto"/>
              <w:right w:val="single" w:sz="4" w:space="0" w:color="auto"/>
            </w:tcBorders>
            <w:shd w:val="clear" w:color="auto" w:fill="auto"/>
            <w:noWrap/>
            <w:vAlign w:val="center"/>
            <w:hideMark/>
          </w:tcPr>
          <w:p w14:paraId="3DAADFE8"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2 843</w:t>
            </w:r>
          </w:p>
        </w:tc>
        <w:tc>
          <w:tcPr>
            <w:tcW w:w="468" w:type="pct"/>
            <w:tcBorders>
              <w:top w:val="nil"/>
              <w:left w:val="nil"/>
              <w:bottom w:val="single" w:sz="4" w:space="0" w:color="auto"/>
              <w:right w:val="single" w:sz="4" w:space="0" w:color="auto"/>
            </w:tcBorders>
            <w:shd w:val="clear" w:color="auto" w:fill="auto"/>
            <w:noWrap/>
            <w:vAlign w:val="center"/>
            <w:hideMark/>
          </w:tcPr>
          <w:p w14:paraId="5F5C9D99" w14:textId="77777777" w:rsidR="00AD78D3" w:rsidRPr="00E55393" w:rsidRDefault="00AD78D3" w:rsidP="008A56D9">
            <w:pPr>
              <w:spacing w:before="240"/>
              <w:ind w:left="-284" w:right="-285"/>
              <w:jc w:val="center"/>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1 758</w:t>
            </w:r>
          </w:p>
        </w:tc>
        <w:tc>
          <w:tcPr>
            <w:tcW w:w="310" w:type="pct"/>
            <w:tcBorders>
              <w:top w:val="nil"/>
              <w:left w:val="nil"/>
              <w:bottom w:val="single" w:sz="4" w:space="0" w:color="auto"/>
              <w:right w:val="single" w:sz="4" w:space="0" w:color="auto"/>
            </w:tcBorders>
            <w:vAlign w:val="center"/>
          </w:tcPr>
          <w:p w14:paraId="7F16DA02" w14:textId="77777777" w:rsidR="00AD78D3" w:rsidRPr="00E55393" w:rsidRDefault="00AD78D3" w:rsidP="008A56D9">
            <w:pPr>
              <w:spacing w:before="240"/>
              <w:ind w:left="-284" w:right="-285"/>
              <w:jc w:val="center"/>
              <w:rPr>
                <w:rFonts w:cs="Times New Roman"/>
                <w:b/>
                <w:sz w:val="20"/>
                <w:szCs w:val="20"/>
              </w:rPr>
            </w:pPr>
            <w:r w:rsidRPr="00E55393">
              <w:rPr>
                <w:rFonts w:cs="Times New Roman"/>
                <w:b/>
                <w:sz w:val="20"/>
                <w:szCs w:val="20"/>
              </w:rPr>
              <w:t>25 005</w:t>
            </w:r>
          </w:p>
        </w:tc>
      </w:tr>
    </w:tbl>
    <w:p w14:paraId="3666DFD4" w14:textId="77777777" w:rsidR="00AD78D3" w:rsidRPr="00E55393" w:rsidRDefault="00AD78D3" w:rsidP="00AD78D3">
      <w:pPr>
        <w:rPr>
          <w:rFonts w:cs="Times New Roman"/>
          <w:color w:val="000000"/>
          <w:sz w:val="20"/>
          <w:szCs w:val="20"/>
        </w:rPr>
      </w:pPr>
      <w:r w:rsidRPr="00E55393">
        <w:rPr>
          <w:rFonts w:cs="Times New Roman"/>
          <w:color w:val="000000"/>
          <w:sz w:val="20"/>
          <w:szCs w:val="20"/>
        </w:rPr>
        <w:t>Avots: AS Sadales Tīkls</w:t>
      </w:r>
    </w:p>
    <w:p w14:paraId="23A58768" w14:textId="77777777" w:rsidR="00AD78D3" w:rsidRDefault="00AD78D3" w:rsidP="00AD78D3">
      <w:pPr>
        <w:autoSpaceDE w:val="0"/>
        <w:autoSpaceDN w:val="0"/>
        <w:adjustRightInd w:val="0"/>
        <w:spacing w:before="240"/>
        <w:jc w:val="right"/>
        <w:rPr>
          <w:rFonts w:cs="Times New Roman"/>
          <w:b/>
          <w:color w:val="000000"/>
          <w:sz w:val="26"/>
          <w:szCs w:val="26"/>
        </w:rPr>
      </w:pPr>
      <w:r w:rsidRPr="00E55393">
        <w:rPr>
          <w:rFonts w:cs="Times New Roman"/>
          <w:b/>
          <w:color w:val="000000"/>
          <w:sz w:val="26"/>
          <w:szCs w:val="26"/>
        </w:rPr>
        <w:t>2. tabula</w:t>
      </w:r>
      <w:r>
        <w:rPr>
          <w:rFonts w:cs="Times New Roman"/>
          <w:b/>
          <w:color w:val="000000"/>
          <w:sz w:val="26"/>
          <w:szCs w:val="26"/>
        </w:rPr>
        <w:t>.</w:t>
      </w:r>
      <w:r w:rsidRPr="00217CB9">
        <w:rPr>
          <w:rFonts w:cs="Times New Roman"/>
          <w:b/>
          <w:color w:val="000000"/>
          <w:sz w:val="26"/>
          <w:szCs w:val="26"/>
        </w:rPr>
        <w:t xml:space="preserve"> </w:t>
      </w:r>
    </w:p>
    <w:p w14:paraId="20486DE2" w14:textId="77777777" w:rsidR="00AD78D3" w:rsidRPr="006A0D45" w:rsidRDefault="00AD78D3" w:rsidP="00AD78D3">
      <w:pPr>
        <w:autoSpaceDE w:val="0"/>
        <w:autoSpaceDN w:val="0"/>
        <w:adjustRightInd w:val="0"/>
        <w:spacing w:before="240"/>
        <w:jc w:val="right"/>
        <w:rPr>
          <w:rFonts w:cs="Times New Roman"/>
          <w:color w:val="000000"/>
          <w:sz w:val="26"/>
          <w:szCs w:val="26"/>
        </w:rPr>
      </w:pPr>
      <w:r w:rsidRPr="00217CB9">
        <w:rPr>
          <w:rFonts w:cs="Times New Roman"/>
          <w:b/>
          <w:color w:val="000000"/>
          <w:sz w:val="26"/>
          <w:szCs w:val="26"/>
        </w:rPr>
        <w:t>Vidējais elektroenerģijas patēriņš gadā 1 mājsaimniecības pieslēgumā, kurā ir pieprasīts slodzes samazinājums, norādīts 2. tabulā.</w:t>
      </w:r>
    </w:p>
    <w:tbl>
      <w:tblPr>
        <w:tblW w:w="5082" w:type="pct"/>
        <w:jc w:val="right"/>
        <w:tblLayout w:type="fixed"/>
        <w:tblLook w:val="04A0" w:firstRow="1" w:lastRow="0" w:firstColumn="1" w:lastColumn="0" w:noHBand="0" w:noVBand="1"/>
      </w:tblPr>
      <w:tblGrid>
        <w:gridCol w:w="2267"/>
        <w:gridCol w:w="853"/>
        <w:gridCol w:w="709"/>
        <w:gridCol w:w="709"/>
        <w:gridCol w:w="705"/>
        <w:gridCol w:w="855"/>
        <w:gridCol w:w="707"/>
        <w:gridCol w:w="853"/>
        <w:gridCol w:w="847"/>
        <w:gridCol w:w="705"/>
      </w:tblGrid>
      <w:tr w:rsidR="00AD78D3" w:rsidRPr="00E55393" w14:paraId="6FE4A98C" w14:textId="77777777" w:rsidTr="008A56D9">
        <w:trPr>
          <w:trHeight w:val="255"/>
          <w:jc w:val="right"/>
        </w:trPr>
        <w:tc>
          <w:tcPr>
            <w:tcW w:w="1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4D6C" w14:textId="77777777" w:rsidR="00AD78D3" w:rsidRPr="00E55393" w:rsidRDefault="00AD78D3" w:rsidP="008A56D9">
            <w:pPr>
              <w:spacing w:before="240"/>
              <w:rPr>
                <w:rFonts w:eastAsia="Times New Roman" w:cs="Times New Roman"/>
                <w:b/>
                <w:color w:val="000000"/>
                <w:sz w:val="20"/>
                <w:szCs w:val="20"/>
                <w:lang w:eastAsia="lv-LV"/>
              </w:rPr>
            </w:pPr>
            <w:r w:rsidRPr="00E55393">
              <w:rPr>
                <w:rFonts w:eastAsia="Times New Roman" w:cs="Times New Roman"/>
                <w:b/>
                <w:color w:val="000000"/>
                <w:sz w:val="20"/>
                <w:szCs w:val="20"/>
                <w:lang w:eastAsia="lv-LV"/>
              </w:rPr>
              <w:t>Vidējais elektroenerģijas patēriņš (kWh) gadā 1 pieslēgumā</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0E22E54E" w14:textId="77777777" w:rsidR="00AD78D3" w:rsidRPr="00795635" w:rsidRDefault="00AD78D3" w:rsidP="008A56D9">
            <w:pPr>
              <w:spacing w:before="240"/>
              <w:jc w:val="right"/>
              <w:rPr>
                <w:rFonts w:eastAsia="Times New Roman" w:cs="Times New Roman"/>
                <w:color w:val="000000"/>
                <w:sz w:val="14"/>
                <w:szCs w:val="14"/>
                <w:lang w:eastAsia="lv-LV"/>
              </w:rPr>
            </w:pPr>
            <w:r w:rsidRPr="00795635">
              <w:rPr>
                <w:rFonts w:eastAsia="Times New Roman" w:cs="Times New Roman"/>
                <w:color w:val="000000"/>
                <w:sz w:val="14"/>
                <w:szCs w:val="14"/>
                <w:lang w:eastAsia="lv-LV"/>
              </w:rPr>
              <w:t>Maijs</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6BC3963C"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Jūnijs</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49675EC7"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Jūlijs</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1DABD030"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Augusts</w:t>
            </w: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14:paraId="635E7762"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Septembris</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3A16E26A"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Oktobris</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1AF8C0FF"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Novembris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5410AADC" w14:textId="77777777" w:rsidR="00AD78D3" w:rsidRPr="00E55393" w:rsidRDefault="00AD78D3" w:rsidP="008A56D9">
            <w:pPr>
              <w:spacing w:before="240"/>
              <w:jc w:val="right"/>
              <w:rPr>
                <w:rFonts w:eastAsia="Times New Roman" w:cs="Times New Roman"/>
                <w:color w:val="000000"/>
                <w:sz w:val="14"/>
                <w:szCs w:val="14"/>
                <w:lang w:eastAsia="lv-LV"/>
              </w:rPr>
            </w:pPr>
            <w:r w:rsidRPr="00E55393">
              <w:rPr>
                <w:rFonts w:eastAsia="Times New Roman" w:cs="Times New Roman"/>
                <w:color w:val="000000"/>
                <w:sz w:val="14"/>
                <w:szCs w:val="14"/>
                <w:lang w:eastAsia="lv-LV"/>
              </w:rPr>
              <w:t>Decembris</w:t>
            </w:r>
          </w:p>
        </w:tc>
        <w:tc>
          <w:tcPr>
            <w:tcW w:w="384" w:type="pct"/>
            <w:tcBorders>
              <w:top w:val="single" w:sz="4" w:space="0" w:color="auto"/>
              <w:left w:val="nil"/>
              <w:bottom w:val="single" w:sz="4" w:space="0" w:color="auto"/>
              <w:right w:val="single" w:sz="4" w:space="0" w:color="auto"/>
            </w:tcBorders>
            <w:vAlign w:val="center"/>
          </w:tcPr>
          <w:p w14:paraId="1E77AAEB" w14:textId="77777777" w:rsidR="00AD78D3" w:rsidRPr="00E55393" w:rsidRDefault="00AD78D3" w:rsidP="008A56D9">
            <w:pPr>
              <w:spacing w:before="240"/>
              <w:jc w:val="right"/>
              <w:rPr>
                <w:rFonts w:eastAsia="Times New Roman" w:cs="Times New Roman"/>
                <w:b/>
                <w:color w:val="000000"/>
                <w:sz w:val="14"/>
                <w:szCs w:val="14"/>
                <w:lang w:eastAsia="lv-LV"/>
              </w:rPr>
            </w:pPr>
            <w:r w:rsidRPr="00E55393">
              <w:rPr>
                <w:rFonts w:eastAsia="Times New Roman" w:cs="Times New Roman"/>
                <w:b/>
                <w:color w:val="000000"/>
                <w:sz w:val="14"/>
                <w:szCs w:val="14"/>
                <w:lang w:eastAsia="lv-LV"/>
              </w:rPr>
              <w:t>Vidēji</w:t>
            </w:r>
          </w:p>
        </w:tc>
      </w:tr>
      <w:tr w:rsidR="00AD78D3" w:rsidRPr="00E55393" w14:paraId="3E596299" w14:textId="77777777" w:rsidTr="008A56D9">
        <w:trPr>
          <w:trHeight w:val="255"/>
          <w:jc w:val="right"/>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32495832" w14:textId="77777777" w:rsidR="00AD78D3" w:rsidRPr="00E55393" w:rsidRDefault="00AD78D3" w:rsidP="008A56D9">
            <w:pPr>
              <w:spacing w:before="240"/>
              <w:rPr>
                <w:rFonts w:eastAsia="Times New Roman" w:cs="Times New Roman"/>
                <w:color w:val="000000"/>
                <w:sz w:val="20"/>
                <w:szCs w:val="20"/>
                <w:lang w:eastAsia="lv-LV"/>
              </w:rPr>
            </w:pPr>
            <w:r w:rsidRPr="00E55393">
              <w:rPr>
                <w:rFonts w:eastAsia="Times New Roman" w:cs="Times New Roman"/>
                <w:color w:val="000000"/>
                <w:sz w:val="20"/>
                <w:szCs w:val="20"/>
                <w:lang w:eastAsia="lv-LV"/>
              </w:rPr>
              <w:t>Mājsaimniecības no 1-f. uz 1-f.</w:t>
            </w:r>
          </w:p>
        </w:tc>
        <w:tc>
          <w:tcPr>
            <w:tcW w:w="463" w:type="pct"/>
            <w:tcBorders>
              <w:top w:val="nil"/>
              <w:left w:val="nil"/>
              <w:bottom w:val="single" w:sz="4" w:space="0" w:color="auto"/>
              <w:right w:val="single" w:sz="4" w:space="0" w:color="auto"/>
            </w:tcBorders>
            <w:shd w:val="clear" w:color="auto" w:fill="auto"/>
            <w:noWrap/>
            <w:vAlign w:val="center"/>
            <w:hideMark/>
          </w:tcPr>
          <w:p w14:paraId="42C94537"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 </w:t>
            </w:r>
          </w:p>
        </w:tc>
        <w:tc>
          <w:tcPr>
            <w:tcW w:w="385" w:type="pct"/>
            <w:tcBorders>
              <w:top w:val="nil"/>
              <w:left w:val="nil"/>
              <w:bottom w:val="single" w:sz="4" w:space="0" w:color="auto"/>
              <w:right w:val="single" w:sz="4" w:space="0" w:color="auto"/>
            </w:tcBorders>
            <w:shd w:val="clear" w:color="auto" w:fill="auto"/>
            <w:noWrap/>
            <w:vAlign w:val="center"/>
            <w:hideMark/>
          </w:tcPr>
          <w:p w14:paraId="3E711AA9"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1 914</w:t>
            </w:r>
          </w:p>
        </w:tc>
        <w:tc>
          <w:tcPr>
            <w:tcW w:w="385" w:type="pct"/>
            <w:tcBorders>
              <w:top w:val="nil"/>
              <w:left w:val="nil"/>
              <w:bottom w:val="single" w:sz="4" w:space="0" w:color="auto"/>
              <w:right w:val="single" w:sz="4" w:space="0" w:color="auto"/>
            </w:tcBorders>
            <w:shd w:val="clear" w:color="auto" w:fill="auto"/>
            <w:noWrap/>
            <w:vAlign w:val="center"/>
            <w:hideMark/>
          </w:tcPr>
          <w:p w14:paraId="14188A68"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1 001</w:t>
            </w:r>
          </w:p>
        </w:tc>
        <w:tc>
          <w:tcPr>
            <w:tcW w:w="383" w:type="pct"/>
            <w:tcBorders>
              <w:top w:val="nil"/>
              <w:left w:val="nil"/>
              <w:bottom w:val="single" w:sz="4" w:space="0" w:color="auto"/>
              <w:right w:val="single" w:sz="4" w:space="0" w:color="auto"/>
            </w:tcBorders>
            <w:shd w:val="clear" w:color="auto" w:fill="auto"/>
            <w:noWrap/>
            <w:vAlign w:val="center"/>
            <w:hideMark/>
          </w:tcPr>
          <w:p w14:paraId="0C82766D"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1 119</w:t>
            </w:r>
          </w:p>
        </w:tc>
        <w:tc>
          <w:tcPr>
            <w:tcW w:w="464" w:type="pct"/>
            <w:tcBorders>
              <w:top w:val="nil"/>
              <w:left w:val="nil"/>
              <w:bottom w:val="single" w:sz="4" w:space="0" w:color="auto"/>
              <w:right w:val="single" w:sz="4" w:space="0" w:color="auto"/>
            </w:tcBorders>
            <w:shd w:val="clear" w:color="auto" w:fill="auto"/>
            <w:noWrap/>
            <w:vAlign w:val="center"/>
            <w:hideMark/>
          </w:tcPr>
          <w:p w14:paraId="0405E162"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1 134</w:t>
            </w:r>
          </w:p>
        </w:tc>
        <w:tc>
          <w:tcPr>
            <w:tcW w:w="384" w:type="pct"/>
            <w:tcBorders>
              <w:top w:val="nil"/>
              <w:left w:val="nil"/>
              <w:bottom w:val="single" w:sz="4" w:space="0" w:color="auto"/>
              <w:right w:val="single" w:sz="4" w:space="0" w:color="auto"/>
            </w:tcBorders>
            <w:shd w:val="clear" w:color="auto" w:fill="auto"/>
            <w:noWrap/>
            <w:vAlign w:val="center"/>
            <w:hideMark/>
          </w:tcPr>
          <w:p w14:paraId="70A41F66"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844</w:t>
            </w:r>
          </w:p>
        </w:tc>
        <w:tc>
          <w:tcPr>
            <w:tcW w:w="463" w:type="pct"/>
            <w:tcBorders>
              <w:top w:val="nil"/>
              <w:left w:val="nil"/>
              <w:bottom w:val="single" w:sz="4" w:space="0" w:color="auto"/>
              <w:right w:val="single" w:sz="4" w:space="0" w:color="auto"/>
            </w:tcBorders>
            <w:shd w:val="clear" w:color="auto" w:fill="auto"/>
            <w:noWrap/>
            <w:vAlign w:val="center"/>
            <w:hideMark/>
          </w:tcPr>
          <w:p w14:paraId="63559219"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1 079</w:t>
            </w:r>
          </w:p>
        </w:tc>
        <w:tc>
          <w:tcPr>
            <w:tcW w:w="460" w:type="pct"/>
            <w:tcBorders>
              <w:top w:val="nil"/>
              <w:left w:val="nil"/>
              <w:bottom w:val="single" w:sz="4" w:space="0" w:color="auto"/>
              <w:right w:val="single" w:sz="4" w:space="0" w:color="auto"/>
            </w:tcBorders>
            <w:shd w:val="clear" w:color="auto" w:fill="auto"/>
            <w:noWrap/>
            <w:vAlign w:val="center"/>
            <w:hideMark/>
          </w:tcPr>
          <w:p w14:paraId="64D2C7A2"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612</w:t>
            </w:r>
          </w:p>
        </w:tc>
        <w:tc>
          <w:tcPr>
            <w:tcW w:w="384" w:type="pct"/>
            <w:tcBorders>
              <w:top w:val="nil"/>
              <w:left w:val="nil"/>
              <w:bottom w:val="single" w:sz="4" w:space="0" w:color="auto"/>
              <w:right w:val="single" w:sz="4" w:space="0" w:color="auto"/>
            </w:tcBorders>
            <w:vAlign w:val="center"/>
          </w:tcPr>
          <w:p w14:paraId="05418A0A" w14:textId="77777777" w:rsidR="00AD78D3" w:rsidRPr="00E55393" w:rsidRDefault="00AD78D3" w:rsidP="008A56D9">
            <w:pPr>
              <w:spacing w:before="240"/>
              <w:jc w:val="right"/>
              <w:rPr>
                <w:rFonts w:cs="Times New Roman"/>
                <w:b/>
                <w:sz w:val="20"/>
                <w:szCs w:val="20"/>
              </w:rPr>
            </w:pPr>
            <w:r w:rsidRPr="00E55393">
              <w:rPr>
                <w:rFonts w:cs="Times New Roman"/>
                <w:b/>
                <w:sz w:val="20"/>
                <w:szCs w:val="20"/>
              </w:rPr>
              <w:t>1 047</w:t>
            </w:r>
          </w:p>
        </w:tc>
      </w:tr>
      <w:tr w:rsidR="00AD78D3" w:rsidRPr="00E55393" w14:paraId="40722752" w14:textId="77777777" w:rsidTr="008A56D9">
        <w:trPr>
          <w:trHeight w:val="255"/>
          <w:jc w:val="right"/>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06284D92" w14:textId="77777777" w:rsidR="00AD78D3" w:rsidRPr="00E55393" w:rsidRDefault="00AD78D3" w:rsidP="008A56D9">
            <w:pPr>
              <w:spacing w:before="240"/>
              <w:rPr>
                <w:rFonts w:eastAsia="Times New Roman" w:cs="Times New Roman"/>
                <w:color w:val="000000"/>
                <w:sz w:val="20"/>
                <w:szCs w:val="20"/>
                <w:lang w:eastAsia="lv-LV"/>
              </w:rPr>
            </w:pPr>
            <w:r w:rsidRPr="00E55393">
              <w:rPr>
                <w:rFonts w:eastAsia="Times New Roman" w:cs="Times New Roman"/>
                <w:color w:val="000000"/>
                <w:sz w:val="20"/>
                <w:szCs w:val="20"/>
                <w:lang w:eastAsia="lv-LV"/>
              </w:rPr>
              <w:lastRenderedPageBreak/>
              <w:t>Mājsaimniecības no 3-f. uz 1-f.</w:t>
            </w:r>
          </w:p>
        </w:tc>
        <w:tc>
          <w:tcPr>
            <w:tcW w:w="463" w:type="pct"/>
            <w:tcBorders>
              <w:top w:val="nil"/>
              <w:left w:val="nil"/>
              <w:bottom w:val="single" w:sz="4" w:space="0" w:color="auto"/>
              <w:right w:val="single" w:sz="4" w:space="0" w:color="auto"/>
            </w:tcBorders>
            <w:shd w:val="clear" w:color="auto" w:fill="auto"/>
            <w:noWrap/>
            <w:vAlign w:val="center"/>
            <w:hideMark/>
          </w:tcPr>
          <w:p w14:paraId="5334802D"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245</w:t>
            </w:r>
          </w:p>
        </w:tc>
        <w:tc>
          <w:tcPr>
            <w:tcW w:w="385" w:type="pct"/>
            <w:tcBorders>
              <w:top w:val="nil"/>
              <w:left w:val="nil"/>
              <w:bottom w:val="single" w:sz="4" w:space="0" w:color="auto"/>
              <w:right w:val="single" w:sz="4" w:space="0" w:color="auto"/>
            </w:tcBorders>
            <w:shd w:val="clear" w:color="auto" w:fill="auto"/>
            <w:noWrap/>
            <w:vAlign w:val="center"/>
            <w:hideMark/>
          </w:tcPr>
          <w:p w14:paraId="202629A6"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509</w:t>
            </w:r>
          </w:p>
        </w:tc>
        <w:tc>
          <w:tcPr>
            <w:tcW w:w="385" w:type="pct"/>
            <w:tcBorders>
              <w:top w:val="nil"/>
              <w:left w:val="nil"/>
              <w:bottom w:val="single" w:sz="4" w:space="0" w:color="auto"/>
              <w:right w:val="single" w:sz="4" w:space="0" w:color="auto"/>
            </w:tcBorders>
            <w:shd w:val="clear" w:color="auto" w:fill="auto"/>
            <w:noWrap/>
            <w:vAlign w:val="center"/>
            <w:hideMark/>
          </w:tcPr>
          <w:p w14:paraId="73187CF9"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457</w:t>
            </w:r>
          </w:p>
        </w:tc>
        <w:tc>
          <w:tcPr>
            <w:tcW w:w="383" w:type="pct"/>
            <w:tcBorders>
              <w:top w:val="nil"/>
              <w:left w:val="nil"/>
              <w:bottom w:val="single" w:sz="4" w:space="0" w:color="auto"/>
              <w:right w:val="single" w:sz="4" w:space="0" w:color="auto"/>
            </w:tcBorders>
            <w:shd w:val="clear" w:color="auto" w:fill="auto"/>
            <w:noWrap/>
            <w:vAlign w:val="center"/>
            <w:hideMark/>
          </w:tcPr>
          <w:p w14:paraId="0D7F5B17"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505</w:t>
            </w:r>
          </w:p>
        </w:tc>
        <w:tc>
          <w:tcPr>
            <w:tcW w:w="464" w:type="pct"/>
            <w:tcBorders>
              <w:top w:val="nil"/>
              <w:left w:val="nil"/>
              <w:bottom w:val="single" w:sz="4" w:space="0" w:color="auto"/>
              <w:right w:val="single" w:sz="4" w:space="0" w:color="auto"/>
            </w:tcBorders>
            <w:shd w:val="clear" w:color="auto" w:fill="auto"/>
            <w:noWrap/>
            <w:vAlign w:val="center"/>
            <w:hideMark/>
          </w:tcPr>
          <w:p w14:paraId="69D633EE"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610</w:t>
            </w:r>
          </w:p>
        </w:tc>
        <w:tc>
          <w:tcPr>
            <w:tcW w:w="384" w:type="pct"/>
            <w:tcBorders>
              <w:top w:val="nil"/>
              <w:left w:val="nil"/>
              <w:bottom w:val="single" w:sz="4" w:space="0" w:color="auto"/>
              <w:right w:val="single" w:sz="4" w:space="0" w:color="auto"/>
            </w:tcBorders>
            <w:shd w:val="clear" w:color="auto" w:fill="auto"/>
            <w:noWrap/>
            <w:vAlign w:val="center"/>
            <w:hideMark/>
          </w:tcPr>
          <w:p w14:paraId="5993229A"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842</w:t>
            </w:r>
          </w:p>
        </w:tc>
        <w:tc>
          <w:tcPr>
            <w:tcW w:w="463" w:type="pct"/>
            <w:tcBorders>
              <w:top w:val="nil"/>
              <w:left w:val="nil"/>
              <w:bottom w:val="single" w:sz="4" w:space="0" w:color="auto"/>
              <w:right w:val="single" w:sz="4" w:space="0" w:color="auto"/>
            </w:tcBorders>
            <w:shd w:val="clear" w:color="auto" w:fill="auto"/>
            <w:noWrap/>
            <w:vAlign w:val="center"/>
            <w:hideMark/>
          </w:tcPr>
          <w:p w14:paraId="7CA3526C"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849</w:t>
            </w:r>
          </w:p>
        </w:tc>
        <w:tc>
          <w:tcPr>
            <w:tcW w:w="460" w:type="pct"/>
            <w:tcBorders>
              <w:top w:val="nil"/>
              <w:left w:val="nil"/>
              <w:bottom w:val="single" w:sz="4" w:space="0" w:color="auto"/>
              <w:right w:val="single" w:sz="4" w:space="0" w:color="auto"/>
            </w:tcBorders>
            <w:shd w:val="clear" w:color="auto" w:fill="auto"/>
            <w:noWrap/>
            <w:vAlign w:val="center"/>
            <w:hideMark/>
          </w:tcPr>
          <w:p w14:paraId="209DE954"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832</w:t>
            </w:r>
          </w:p>
        </w:tc>
        <w:tc>
          <w:tcPr>
            <w:tcW w:w="384" w:type="pct"/>
            <w:tcBorders>
              <w:top w:val="nil"/>
              <w:left w:val="nil"/>
              <w:bottom w:val="single" w:sz="4" w:space="0" w:color="auto"/>
              <w:right w:val="single" w:sz="4" w:space="0" w:color="auto"/>
            </w:tcBorders>
            <w:vAlign w:val="center"/>
          </w:tcPr>
          <w:p w14:paraId="650D0B2A" w14:textId="77777777" w:rsidR="00AD78D3" w:rsidRPr="00E55393" w:rsidRDefault="00AD78D3" w:rsidP="008A56D9">
            <w:pPr>
              <w:spacing w:before="240"/>
              <w:jc w:val="right"/>
              <w:rPr>
                <w:rFonts w:cs="Times New Roman"/>
                <w:b/>
                <w:sz w:val="20"/>
                <w:szCs w:val="20"/>
              </w:rPr>
            </w:pPr>
            <w:r w:rsidRPr="00E55393">
              <w:rPr>
                <w:rFonts w:cs="Times New Roman"/>
                <w:b/>
                <w:sz w:val="20"/>
                <w:szCs w:val="20"/>
              </w:rPr>
              <w:t>639</w:t>
            </w:r>
          </w:p>
        </w:tc>
      </w:tr>
      <w:tr w:rsidR="00AD78D3" w:rsidRPr="00E55393" w14:paraId="4F029E7A" w14:textId="77777777" w:rsidTr="008A56D9">
        <w:trPr>
          <w:trHeight w:val="255"/>
          <w:jc w:val="right"/>
        </w:trPr>
        <w:tc>
          <w:tcPr>
            <w:tcW w:w="1230" w:type="pct"/>
            <w:tcBorders>
              <w:top w:val="nil"/>
              <w:left w:val="single" w:sz="4" w:space="0" w:color="auto"/>
              <w:bottom w:val="single" w:sz="4" w:space="0" w:color="auto"/>
              <w:right w:val="single" w:sz="4" w:space="0" w:color="auto"/>
            </w:tcBorders>
            <w:shd w:val="clear" w:color="auto" w:fill="auto"/>
            <w:noWrap/>
            <w:vAlign w:val="center"/>
            <w:hideMark/>
          </w:tcPr>
          <w:p w14:paraId="765B3F31" w14:textId="77777777" w:rsidR="00AD78D3" w:rsidRPr="00E55393" w:rsidRDefault="00AD78D3" w:rsidP="008A56D9">
            <w:pPr>
              <w:spacing w:before="240"/>
              <w:rPr>
                <w:rFonts w:eastAsia="Times New Roman" w:cs="Times New Roman"/>
                <w:color w:val="000000"/>
                <w:sz w:val="20"/>
                <w:szCs w:val="20"/>
                <w:lang w:eastAsia="lv-LV"/>
              </w:rPr>
            </w:pPr>
            <w:r w:rsidRPr="00E55393">
              <w:rPr>
                <w:rFonts w:eastAsia="Times New Roman" w:cs="Times New Roman"/>
                <w:color w:val="000000"/>
                <w:sz w:val="20"/>
                <w:szCs w:val="20"/>
                <w:lang w:eastAsia="lv-LV"/>
              </w:rPr>
              <w:t>Mājsaimniecības no 3-f. uz 3-f.</w:t>
            </w:r>
          </w:p>
        </w:tc>
        <w:tc>
          <w:tcPr>
            <w:tcW w:w="463" w:type="pct"/>
            <w:tcBorders>
              <w:top w:val="nil"/>
              <w:left w:val="nil"/>
              <w:bottom w:val="single" w:sz="4" w:space="0" w:color="auto"/>
              <w:right w:val="single" w:sz="4" w:space="0" w:color="auto"/>
            </w:tcBorders>
            <w:shd w:val="clear" w:color="auto" w:fill="auto"/>
            <w:noWrap/>
            <w:vAlign w:val="center"/>
            <w:hideMark/>
          </w:tcPr>
          <w:p w14:paraId="259422CE"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2 035</w:t>
            </w:r>
          </w:p>
        </w:tc>
        <w:tc>
          <w:tcPr>
            <w:tcW w:w="385" w:type="pct"/>
            <w:tcBorders>
              <w:top w:val="nil"/>
              <w:left w:val="nil"/>
              <w:bottom w:val="single" w:sz="4" w:space="0" w:color="auto"/>
              <w:right w:val="single" w:sz="4" w:space="0" w:color="auto"/>
            </w:tcBorders>
            <w:shd w:val="clear" w:color="auto" w:fill="auto"/>
            <w:noWrap/>
            <w:vAlign w:val="center"/>
            <w:hideMark/>
          </w:tcPr>
          <w:p w14:paraId="3F07F0CF"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3 873</w:t>
            </w:r>
          </w:p>
        </w:tc>
        <w:tc>
          <w:tcPr>
            <w:tcW w:w="385" w:type="pct"/>
            <w:tcBorders>
              <w:top w:val="nil"/>
              <w:left w:val="nil"/>
              <w:bottom w:val="single" w:sz="4" w:space="0" w:color="auto"/>
              <w:right w:val="single" w:sz="4" w:space="0" w:color="auto"/>
            </w:tcBorders>
            <w:shd w:val="clear" w:color="auto" w:fill="auto"/>
            <w:noWrap/>
            <w:vAlign w:val="center"/>
            <w:hideMark/>
          </w:tcPr>
          <w:p w14:paraId="2EAE02FA"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3 402</w:t>
            </w:r>
          </w:p>
        </w:tc>
        <w:tc>
          <w:tcPr>
            <w:tcW w:w="383" w:type="pct"/>
            <w:tcBorders>
              <w:top w:val="nil"/>
              <w:left w:val="nil"/>
              <w:bottom w:val="single" w:sz="4" w:space="0" w:color="auto"/>
              <w:right w:val="single" w:sz="4" w:space="0" w:color="auto"/>
            </w:tcBorders>
            <w:shd w:val="clear" w:color="auto" w:fill="auto"/>
            <w:noWrap/>
            <w:vAlign w:val="center"/>
            <w:hideMark/>
          </w:tcPr>
          <w:p w14:paraId="64B4F920"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2 598</w:t>
            </w:r>
          </w:p>
        </w:tc>
        <w:tc>
          <w:tcPr>
            <w:tcW w:w="464" w:type="pct"/>
            <w:tcBorders>
              <w:top w:val="nil"/>
              <w:left w:val="nil"/>
              <w:bottom w:val="single" w:sz="4" w:space="0" w:color="auto"/>
              <w:right w:val="single" w:sz="4" w:space="0" w:color="auto"/>
            </w:tcBorders>
            <w:shd w:val="clear" w:color="auto" w:fill="auto"/>
            <w:noWrap/>
            <w:vAlign w:val="center"/>
            <w:hideMark/>
          </w:tcPr>
          <w:p w14:paraId="0DC62555"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5 906</w:t>
            </w:r>
          </w:p>
        </w:tc>
        <w:tc>
          <w:tcPr>
            <w:tcW w:w="384" w:type="pct"/>
            <w:tcBorders>
              <w:top w:val="nil"/>
              <w:left w:val="nil"/>
              <w:bottom w:val="single" w:sz="4" w:space="0" w:color="auto"/>
              <w:right w:val="single" w:sz="4" w:space="0" w:color="auto"/>
            </w:tcBorders>
            <w:shd w:val="clear" w:color="auto" w:fill="auto"/>
            <w:noWrap/>
            <w:vAlign w:val="center"/>
            <w:hideMark/>
          </w:tcPr>
          <w:p w14:paraId="0592E627"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4 065</w:t>
            </w:r>
          </w:p>
        </w:tc>
        <w:tc>
          <w:tcPr>
            <w:tcW w:w="463" w:type="pct"/>
            <w:tcBorders>
              <w:top w:val="nil"/>
              <w:left w:val="nil"/>
              <w:bottom w:val="single" w:sz="4" w:space="0" w:color="auto"/>
              <w:right w:val="single" w:sz="4" w:space="0" w:color="auto"/>
            </w:tcBorders>
            <w:shd w:val="clear" w:color="auto" w:fill="auto"/>
            <w:noWrap/>
            <w:vAlign w:val="center"/>
            <w:hideMark/>
          </w:tcPr>
          <w:p w14:paraId="6F942973"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4 971</w:t>
            </w:r>
          </w:p>
        </w:tc>
        <w:tc>
          <w:tcPr>
            <w:tcW w:w="460" w:type="pct"/>
            <w:tcBorders>
              <w:top w:val="nil"/>
              <w:left w:val="nil"/>
              <w:bottom w:val="single" w:sz="4" w:space="0" w:color="auto"/>
              <w:right w:val="single" w:sz="4" w:space="0" w:color="auto"/>
            </w:tcBorders>
            <w:shd w:val="clear" w:color="auto" w:fill="auto"/>
            <w:noWrap/>
            <w:vAlign w:val="center"/>
            <w:hideMark/>
          </w:tcPr>
          <w:p w14:paraId="22072554" w14:textId="77777777" w:rsidR="00AD78D3" w:rsidRPr="00E55393" w:rsidRDefault="00AD78D3" w:rsidP="008A56D9">
            <w:pPr>
              <w:spacing w:before="240"/>
              <w:jc w:val="right"/>
              <w:rPr>
                <w:rFonts w:eastAsia="Times New Roman" w:cs="Times New Roman"/>
                <w:color w:val="000000"/>
                <w:sz w:val="20"/>
                <w:szCs w:val="20"/>
                <w:lang w:eastAsia="lv-LV"/>
              </w:rPr>
            </w:pPr>
            <w:r w:rsidRPr="00E55393">
              <w:rPr>
                <w:rFonts w:eastAsia="Times New Roman" w:cs="Times New Roman"/>
                <w:color w:val="000000"/>
                <w:sz w:val="20"/>
                <w:szCs w:val="20"/>
                <w:lang w:eastAsia="lv-LV"/>
              </w:rPr>
              <w:t>5 713</w:t>
            </w:r>
          </w:p>
        </w:tc>
        <w:tc>
          <w:tcPr>
            <w:tcW w:w="384" w:type="pct"/>
            <w:tcBorders>
              <w:top w:val="nil"/>
              <w:left w:val="nil"/>
              <w:bottom w:val="single" w:sz="4" w:space="0" w:color="auto"/>
              <w:right w:val="single" w:sz="4" w:space="0" w:color="auto"/>
            </w:tcBorders>
            <w:vAlign w:val="center"/>
          </w:tcPr>
          <w:p w14:paraId="072FC76F" w14:textId="77777777" w:rsidR="00AD78D3" w:rsidRPr="00E55393" w:rsidRDefault="00AD78D3" w:rsidP="008A56D9">
            <w:pPr>
              <w:spacing w:before="240"/>
              <w:jc w:val="right"/>
              <w:rPr>
                <w:rFonts w:cs="Times New Roman"/>
                <w:b/>
                <w:sz w:val="20"/>
                <w:szCs w:val="20"/>
              </w:rPr>
            </w:pPr>
            <w:r w:rsidRPr="00E55393">
              <w:rPr>
                <w:rFonts w:cs="Times New Roman"/>
                <w:b/>
                <w:sz w:val="20"/>
                <w:szCs w:val="20"/>
              </w:rPr>
              <w:t>4 205</w:t>
            </w:r>
          </w:p>
        </w:tc>
      </w:tr>
    </w:tbl>
    <w:p w14:paraId="32868E28" w14:textId="77777777" w:rsidR="00AD78D3" w:rsidRPr="00E55393" w:rsidRDefault="00AD78D3" w:rsidP="00AD78D3">
      <w:pPr>
        <w:autoSpaceDE w:val="0"/>
        <w:autoSpaceDN w:val="0"/>
        <w:adjustRightInd w:val="0"/>
        <w:spacing w:before="240"/>
        <w:jc w:val="both"/>
        <w:rPr>
          <w:rFonts w:cs="Times New Roman"/>
          <w:color w:val="000000"/>
          <w:sz w:val="26"/>
          <w:szCs w:val="26"/>
        </w:rPr>
      </w:pPr>
      <w:r w:rsidRPr="00E55393">
        <w:rPr>
          <w:rFonts w:cs="Times New Roman"/>
          <w:color w:val="000000"/>
          <w:sz w:val="20"/>
          <w:szCs w:val="20"/>
        </w:rPr>
        <w:t>Avots: AS Sadales Tīkls</w:t>
      </w:r>
    </w:p>
    <w:p w14:paraId="6F085438" w14:textId="77777777" w:rsidR="00AD78D3" w:rsidRPr="00E55393" w:rsidRDefault="00AD78D3" w:rsidP="00AD78D3">
      <w:pPr>
        <w:autoSpaceDE w:val="0"/>
        <w:autoSpaceDN w:val="0"/>
        <w:adjustRightInd w:val="0"/>
        <w:spacing w:before="240"/>
        <w:ind w:firstLine="709"/>
        <w:jc w:val="both"/>
        <w:rPr>
          <w:rFonts w:cs="Times New Roman"/>
          <w:color w:val="000000"/>
          <w:sz w:val="26"/>
          <w:szCs w:val="26"/>
        </w:rPr>
      </w:pPr>
      <w:r w:rsidRPr="00E55393">
        <w:rPr>
          <w:rFonts w:cs="Times New Roman"/>
          <w:color w:val="000000"/>
          <w:sz w:val="26"/>
          <w:szCs w:val="26"/>
        </w:rPr>
        <w:t>Dinamika par mājsaimniecības klientu slodzes samazināšanas pieteikumu skaitu pa mēnešiem redzama 3. attēlā. Visvairāk pieteikumu saņemts jūlijā (mēnesī pirms jaunie tarifi stājās spēkā) un septembrī, kad saņemti pirmie rēķini ar jaunajiem tarifiem.</w:t>
      </w:r>
    </w:p>
    <w:p w14:paraId="2D93D152" w14:textId="77777777" w:rsidR="00AD78D3" w:rsidRPr="00E55393" w:rsidRDefault="00AD78D3" w:rsidP="00AD78D3">
      <w:pPr>
        <w:autoSpaceDE w:val="0"/>
        <w:autoSpaceDN w:val="0"/>
        <w:adjustRightInd w:val="0"/>
        <w:jc w:val="both"/>
        <w:rPr>
          <w:rFonts w:cs="Times New Roman"/>
          <w:color w:val="000000"/>
          <w:sz w:val="20"/>
          <w:szCs w:val="20"/>
        </w:rPr>
      </w:pPr>
      <w:r w:rsidRPr="00351AE6">
        <w:rPr>
          <w:rFonts w:cs="Times New Roman"/>
          <w:noProof/>
          <w:color w:val="000000"/>
          <w:sz w:val="26"/>
          <w:szCs w:val="26"/>
          <w:lang w:eastAsia="lv-LV"/>
        </w:rPr>
        <w:drawing>
          <wp:inline distT="0" distB="0" distL="0" distR="0" wp14:anchorId="06F05916" wp14:editId="4D966746">
            <wp:extent cx="5816932" cy="1091679"/>
            <wp:effectExtent l="0" t="0" r="1270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D1FCB3" w14:textId="77777777" w:rsidR="00AD78D3" w:rsidRPr="00AE18D3" w:rsidRDefault="00AD78D3" w:rsidP="00AD78D3">
      <w:pPr>
        <w:autoSpaceDE w:val="0"/>
        <w:autoSpaceDN w:val="0"/>
        <w:adjustRightInd w:val="0"/>
        <w:spacing w:before="240"/>
        <w:rPr>
          <w:rFonts w:cs="Times New Roman"/>
          <w:b/>
          <w:color w:val="000000"/>
          <w:sz w:val="26"/>
          <w:szCs w:val="26"/>
        </w:rPr>
      </w:pPr>
      <w:r w:rsidRPr="00AE18D3">
        <w:rPr>
          <w:rFonts w:cs="Times New Roman"/>
          <w:b/>
          <w:color w:val="000000"/>
          <w:sz w:val="26"/>
          <w:szCs w:val="26"/>
        </w:rPr>
        <w:t>3.attēls</w:t>
      </w:r>
      <w:r>
        <w:rPr>
          <w:rFonts w:cs="Times New Roman"/>
          <w:b/>
          <w:color w:val="000000"/>
          <w:sz w:val="26"/>
          <w:szCs w:val="26"/>
        </w:rPr>
        <w:t>.</w:t>
      </w:r>
      <w:r w:rsidRPr="003A261A">
        <w:rPr>
          <w:rFonts w:cs="Times New Roman"/>
          <w:b/>
          <w:color w:val="000000"/>
          <w:sz w:val="26"/>
          <w:szCs w:val="26"/>
        </w:rPr>
        <w:t xml:space="preserve"> Dinamika par mājsaimniecības klientu slodzes samazināšanas pieteikumu skaitu 2016.gadā pa mēnešiem. </w:t>
      </w:r>
    </w:p>
    <w:p w14:paraId="04D82491" w14:textId="77777777" w:rsidR="00AD78D3" w:rsidRPr="006A0D45" w:rsidRDefault="00AD78D3" w:rsidP="00AD78D3">
      <w:pPr>
        <w:autoSpaceDE w:val="0"/>
        <w:autoSpaceDN w:val="0"/>
        <w:adjustRightInd w:val="0"/>
        <w:jc w:val="both"/>
        <w:rPr>
          <w:rFonts w:cs="Times New Roman"/>
          <w:color w:val="000000"/>
          <w:sz w:val="20"/>
          <w:szCs w:val="20"/>
        </w:rPr>
      </w:pPr>
      <w:r w:rsidRPr="006A0D45">
        <w:rPr>
          <w:rFonts w:cs="Times New Roman"/>
          <w:color w:val="000000"/>
          <w:sz w:val="20"/>
          <w:szCs w:val="20"/>
        </w:rPr>
        <w:t>Avots: AS Sadales Tīkls</w:t>
      </w:r>
    </w:p>
    <w:p w14:paraId="72FF715D" w14:textId="77777777" w:rsidR="00AD78D3" w:rsidRPr="00E55393" w:rsidRDefault="00AD78D3" w:rsidP="00AD78D3">
      <w:pPr>
        <w:autoSpaceDE w:val="0"/>
        <w:autoSpaceDN w:val="0"/>
        <w:adjustRightInd w:val="0"/>
        <w:jc w:val="both"/>
        <w:rPr>
          <w:rFonts w:cs="Times New Roman"/>
          <w:color w:val="000000"/>
          <w:sz w:val="26"/>
          <w:szCs w:val="26"/>
        </w:rPr>
      </w:pPr>
    </w:p>
    <w:p w14:paraId="4CAD00CF" w14:textId="77777777" w:rsidR="00AD78D3" w:rsidRPr="00E55393" w:rsidRDefault="00AD78D3" w:rsidP="00AD78D3">
      <w:pPr>
        <w:autoSpaceDE w:val="0"/>
        <w:autoSpaceDN w:val="0"/>
        <w:adjustRightInd w:val="0"/>
        <w:spacing w:before="240"/>
        <w:jc w:val="right"/>
        <w:rPr>
          <w:rFonts w:cs="Times New Roman"/>
          <w:color w:val="000000"/>
          <w:sz w:val="26"/>
          <w:szCs w:val="26"/>
        </w:rPr>
      </w:pPr>
      <w:r w:rsidRPr="00351AE6">
        <w:rPr>
          <w:rFonts w:cs="Times New Roman"/>
          <w:noProof/>
          <w:color w:val="000000"/>
          <w:sz w:val="26"/>
          <w:szCs w:val="26"/>
          <w:lang w:eastAsia="lv-LV"/>
        </w:rPr>
        <w:drawing>
          <wp:inline distT="0" distB="0" distL="0" distR="0" wp14:anchorId="1E04D0CF" wp14:editId="39CB49A6">
            <wp:extent cx="5759450" cy="1869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869440"/>
                    </a:xfrm>
                    <a:prstGeom prst="rect">
                      <a:avLst/>
                    </a:prstGeom>
                    <a:noFill/>
                    <a:ln>
                      <a:noFill/>
                    </a:ln>
                  </pic:spPr>
                </pic:pic>
              </a:graphicData>
            </a:graphic>
          </wp:inline>
        </w:drawing>
      </w:r>
    </w:p>
    <w:p w14:paraId="2404E123" w14:textId="77777777" w:rsidR="00AD78D3" w:rsidRPr="00AE18D3" w:rsidRDefault="00AD78D3" w:rsidP="00AD78D3">
      <w:pPr>
        <w:rPr>
          <w:rFonts w:cs="Times New Roman"/>
          <w:b/>
          <w:color w:val="000000"/>
          <w:sz w:val="26"/>
          <w:szCs w:val="26"/>
        </w:rPr>
      </w:pPr>
      <w:r w:rsidRPr="00AE18D3">
        <w:rPr>
          <w:rFonts w:cs="Times New Roman"/>
          <w:b/>
          <w:color w:val="000000"/>
          <w:sz w:val="26"/>
          <w:szCs w:val="26"/>
        </w:rPr>
        <w:t>4. attēls</w:t>
      </w:r>
      <w:r>
        <w:rPr>
          <w:rFonts w:cs="Times New Roman"/>
          <w:b/>
          <w:color w:val="000000"/>
          <w:sz w:val="26"/>
          <w:szCs w:val="26"/>
        </w:rPr>
        <w:t>.</w:t>
      </w:r>
      <w:r w:rsidRPr="006D775A">
        <w:rPr>
          <w:rFonts w:cs="Times New Roman"/>
          <w:b/>
          <w:color w:val="000000"/>
          <w:sz w:val="26"/>
          <w:szCs w:val="26"/>
        </w:rPr>
        <w:t xml:space="preserve"> </w:t>
      </w:r>
      <w:r w:rsidRPr="00147C5F">
        <w:rPr>
          <w:rFonts w:cs="Times New Roman"/>
          <w:b/>
          <w:color w:val="000000"/>
          <w:sz w:val="26"/>
          <w:szCs w:val="26"/>
        </w:rPr>
        <w:t xml:space="preserve">Dinamika par mājsaimniecības klientu slodzes samazināšanas pieteikumu skaitu pa AS “Sadales Tīkls” reģioniem. </w:t>
      </w:r>
    </w:p>
    <w:p w14:paraId="6A3DD0AE" w14:textId="77777777" w:rsidR="00AD78D3" w:rsidRPr="00BD41C5" w:rsidRDefault="00AD78D3" w:rsidP="00AD78D3">
      <w:pPr>
        <w:autoSpaceDE w:val="0"/>
        <w:autoSpaceDN w:val="0"/>
        <w:adjustRightInd w:val="0"/>
        <w:jc w:val="both"/>
        <w:rPr>
          <w:rFonts w:cs="Times New Roman"/>
          <w:color w:val="000000"/>
          <w:sz w:val="20"/>
          <w:szCs w:val="20"/>
        </w:rPr>
      </w:pPr>
      <w:r w:rsidRPr="00BD41C5">
        <w:rPr>
          <w:rFonts w:cs="Times New Roman"/>
          <w:color w:val="000000"/>
          <w:sz w:val="20"/>
          <w:szCs w:val="20"/>
        </w:rPr>
        <w:t>Avots: AS Sadales Tīkls</w:t>
      </w:r>
    </w:p>
    <w:p w14:paraId="607BA2AA" w14:textId="77777777" w:rsidR="00AD78D3" w:rsidRPr="00E55393" w:rsidRDefault="00AD78D3" w:rsidP="00AD78D3">
      <w:pPr>
        <w:autoSpaceDE w:val="0"/>
        <w:autoSpaceDN w:val="0"/>
        <w:adjustRightInd w:val="0"/>
        <w:jc w:val="both"/>
        <w:rPr>
          <w:rFonts w:cs="Times New Roman"/>
          <w:color w:val="000000"/>
          <w:sz w:val="26"/>
          <w:szCs w:val="26"/>
        </w:rPr>
      </w:pPr>
    </w:p>
    <w:p w14:paraId="021C2C7A" w14:textId="77777777" w:rsidR="00AD78D3" w:rsidRPr="00E55393" w:rsidRDefault="00AD78D3" w:rsidP="00AD78D3">
      <w:pPr>
        <w:rPr>
          <w:rFonts w:cs="Times New Roman"/>
          <w:color w:val="000000"/>
          <w:sz w:val="26"/>
          <w:szCs w:val="26"/>
        </w:rPr>
      </w:pPr>
      <w:r w:rsidRPr="00E55393">
        <w:rPr>
          <w:rFonts w:cs="Times New Roman"/>
          <w:color w:val="000000"/>
          <w:sz w:val="26"/>
          <w:szCs w:val="26"/>
        </w:rPr>
        <w:br w:type="page"/>
      </w:r>
    </w:p>
    <w:p w14:paraId="0DE2FA32" w14:textId="77777777" w:rsidR="00AD78D3" w:rsidRPr="00E55393" w:rsidRDefault="00AD78D3" w:rsidP="00AD78D3">
      <w:pPr>
        <w:tabs>
          <w:tab w:val="left" w:pos="284"/>
        </w:tabs>
        <w:autoSpaceDE w:val="0"/>
        <w:autoSpaceDN w:val="0"/>
        <w:adjustRightInd w:val="0"/>
        <w:spacing w:before="240"/>
        <w:jc w:val="both"/>
        <w:rPr>
          <w:rFonts w:cs="Times New Roman"/>
          <w:color w:val="000000"/>
          <w:sz w:val="26"/>
          <w:szCs w:val="26"/>
        </w:rPr>
      </w:pPr>
      <w:r w:rsidRPr="00351AE6">
        <w:rPr>
          <w:rFonts w:cs="Times New Roman"/>
          <w:noProof/>
          <w:color w:val="000000"/>
          <w:sz w:val="26"/>
          <w:szCs w:val="26"/>
          <w:lang w:eastAsia="lv-LV"/>
        </w:rPr>
        <w:lastRenderedPageBreak/>
        <w:drawing>
          <wp:inline distT="0" distB="0" distL="0" distR="0" wp14:anchorId="46D544D7" wp14:editId="7EBEB648">
            <wp:extent cx="5841595" cy="3541594"/>
            <wp:effectExtent l="0" t="0" r="698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3436" cy="3542710"/>
                    </a:xfrm>
                    <a:prstGeom prst="rect">
                      <a:avLst/>
                    </a:prstGeom>
                    <a:noFill/>
                    <a:ln>
                      <a:noFill/>
                    </a:ln>
                  </pic:spPr>
                </pic:pic>
              </a:graphicData>
            </a:graphic>
          </wp:inline>
        </w:drawing>
      </w:r>
    </w:p>
    <w:p w14:paraId="57A51AA5" w14:textId="77777777" w:rsidR="00AD78D3" w:rsidRPr="00BD41C5" w:rsidRDefault="00AD78D3" w:rsidP="00AD78D3">
      <w:pPr>
        <w:pStyle w:val="ListParagraph"/>
        <w:autoSpaceDE w:val="0"/>
        <w:autoSpaceDN w:val="0"/>
        <w:adjustRightInd w:val="0"/>
        <w:spacing w:before="240"/>
        <w:ind w:left="0"/>
        <w:rPr>
          <w:rFonts w:cs="Times New Roman"/>
          <w:b/>
          <w:color w:val="000000"/>
          <w:sz w:val="26"/>
          <w:szCs w:val="26"/>
        </w:rPr>
      </w:pPr>
      <w:r w:rsidRPr="00AE18D3">
        <w:rPr>
          <w:rFonts w:cs="Times New Roman"/>
          <w:b/>
          <w:color w:val="000000"/>
          <w:sz w:val="26"/>
          <w:szCs w:val="26"/>
        </w:rPr>
        <w:t>5.attēls</w:t>
      </w:r>
      <w:r>
        <w:rPr>
          <w:rFonts w:cs="Times New Roman"/>
          <w:b/>
          <w:color w:val="000000"/>
          <w:sz w:val="26"/>
          <w:szCs w:val="26"/>
        </w:rPr>
        <w:t>.</w:t>
      </w:r>
      <w:r w:rsidRPr="006D775A">
        <w:rPr>
          <w:rFonts w:cs="Times New Roman"/>
          <w:b/>
          <w:color w:val="000000"/>
          <w:sz w:val="26"/>
          <w:szCs w:val="26"/>
        </w:rPr>
        <w:t xml:space="preserve"> </w:t>
      </w:r>
      <w:r w:rsidRPr="00147C5F">
        <w:rPr>
          <w:rFonts w:cs="Times New Roman"/>
          <w:b/>
          <w:color w:val="000000"/>
          <w:sz w:val="26"/>
          <w:szCs w:val="26"/>
        </w:rPr>
        <w:t>AS “Sadales Tīkls” klientu apkalpošanas reģionālais iedalījums</w:t>
      </w:r>
    </w:p>
    <w:p w14:paraId="73FC0B8C" w14:textId="77777777" w:rsidR="00AD78D3" w:rsidRPr="00BD41C5" w:rsidRDefault="00AD78D3" w:rsidP="00AD78D3">
      <w:pPr>
        <w:tabs>
          <w:tab w:val="left" w:pos="284"/>
        </w:tabs>
        <w:autoSpaceDE w:val="0"/>
        <w:autoSpaceDN w:val="0"/>
        <w:adjustRightInd w:val="0"/>
        <w:spacing w:before="240"/>
        <w:jc w:val="both"/>
        <w:rPr>
          <w:rFonts w:cs="Times New Roman"/>
          <w:color w:val="000000"/>
          <w:sz w:val="26"/>
          <w:szCs w:val="26"/>
        </w:rPr>
      </w:pPr>
      <w:r w:rsidRPr="00BD41C5">
        <w:rPr>
          <w:rFonts w:cs="Times New Roman"/>
          <w:color w:val="000000"/>
          <w:sz w:val="26"/>
          <w:szCs w:val="26"/>
        </w:rPr>
        <w:t>Avots: Sadales Tīkls</w:t>
      </w:r>
    </w:p>
    <w:p w14:paraId="2753F15F" w14:textId="77777777" w:rsidR="00AD78D3" w:rsidRPr="00E55393" w:rsidRDefault="00AD78D3" w:rsidP="00AD78D3">
      <w:pPr>
        <w:tabs>
          <w:tab w:val="left" w:pos="284"/>
        </w:tabs>
        <w:autoSpaceDE w:val="0"/>
        <w:autoSpaceDN w:val="0"/>
        <w:adjustRightInd w:val="0"/>
        <w:spacing w:before="240"/>
        <w:jc w:val="both"/>
        <w:rPr>
          <w:rFonts w:cs="Times New Roman"/>
          <w:color w:val="000000"/>
          <w:sz w:val="26"/>
          <w:szCs w:val="26"/>
        </w:rPr>
      </w:pPr>
    </w:p>
    <w:p w14:paraId="5A5F988F" w14:textId="77777777" w:rsidR="00AD78D3" w:rsidRPr="00E55393" w:rsidRDefault="00AD78D3" w:rsidP="00AD78D3">
      <w:pPr>
        <w:ind w:firstLine="709"/>
        <w:jc w:val="both"/>
        <w:rPr>
          <w:rFonts w:cs="Times New Roman"/>
          <w:color w:val="000000"/>
          <w:sz w:val="26"/>
          <w:szCs w:val="26"/>
        </w:rPr>
      </w:pPr>
      <w:r w:rsidRPr="00E55393">
        <w:rPr>
          <w:rFonts w:cs="Times New Roman"/>
          <w:color w:val="000000"/>
          <w:sz w:val="26"/>
          <w:szCs w:val="26"/>
        </w:rPr>
        <w:t xml:space="preserve">Kā </w:t>
      </w:r>
      <w:r w:rsidRPr="00E55393">
        <w:rPr>
          <w:rFonts w:cs="Times New Roman"/>
          <w:color w:val="000000"/>
          <w:szCs w:val="28"/>
        </w:rPr>
        <w:t>redzams 6. attēlā laika periodā no 2016.g maija līdz novembrim 13 331 pieslēgumos ir izbeigts saņemt elektroenerģijas sadales sistēmas pakalpojumus. Informācija par 2016. gada</w:t>
      </w:r>
      <w:r w:rsidRPr="00E55393">
        <w:rPr>
          <w:rFonts w:cs="Times New Roman"/>
          <w:color w:val="000000"/>
          <w:sz w:val="26"/>
          <w:szCs w:val="26"/>
        </w:rPr>
        <w:t xml:space="preserve"> decembrī lauztajiem līgumiem tiks apkopota martā, ja līdz februāra beigām pieslēgumā, kurā lauzts līgums nepieteiksies jauns elektroenerģijas lietotājs. Jāatzīmē, ka 66 % pieslēgumu elektroenerģijas patēriņš nepārsniedza 10 kWh/mēnesī. </w:t>
      </w:r>
    </w:p>
    <w:p w14:paraId="206C97FE" w14:textId="77777777" w:rsidR="00AD78D3" w:rsidRPr="00E55393" w:rsidRDefault="00AD78D3" w:rsidP="00AD78D3">
      <w:pPr>
        <w:tabs>
          <w:tab w:val="left" w:pos="284"/>
        </w:tabs>
        <w:autoSpaceDE w:val="0"/>
        <w:autoSpaceDN w:val="0"/>
        <w:adjustRightInd w:val="0"/>
        <w:spacing w:before="240"/>
        <w:jc w:val="center"/>
        <w:rPr>
          <w:rFonts w:cs="Times New Roman"/>
          <w:noProof/>
          <w:color w:val="000000"/>
          <w:sz w:val="26"/>
          <w:szCs w:val="26"/>
          <w:lang w:eastAsia="lv-LV"/>
        </w:rPr>
      </w:pPr>
      <w:r w:rsidRPr="00351AE6">
        <w:rPr>
          <w:rFonts w:cs="Times New Roman"/>
          <w:noProof/>
          <w:color w:val="000000"/>
          <w:sz w:val="26"/>
          <w:szCs w:val="26"/>
          <w:lang w:eastAsia="lv-LV"/>
        </w:rPr>
        <w:drawing>
          <wp:inline distT="0" distB="0" distL="0" distR="0" wp14:anchorId="7563E19D" wp14:editId="13D32ED0">
            <wp:extent cx="5762625" cy="1600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600200"/>
                    </a:xfrm>
                    <a:prstGeom prst="rect">
                      <a:avLst/>
                    </a:prstGeom>
                    <a:noFill/>
                    <a:ln>
                      <a:noFill/>
                    </a:ln>
                  </pic:spPr>
                </pic:pic>
              </a:graphicData>
            </a:graphic>
          </wp:inline>
        </w:drawing>
      </w:r>
    </w:p>
    <w:p w14:paraId="010FB049" w14:textId="77777777" w:rsidR="00AD78D3" w:rsidRPr="00AE18D3" w:rsidRDefault="00AD78D3" w:rsidP="00AD78D3">
      <w:pPr>
        <w:tabs>
          <w:tab w:val="left" w:pos="284"/>
        </w:tabs>
        <w:autoSpaceDE w:val="0"/>
        <w:autoSpaceDN w:val="0"/>
        <w:adjustRightInd w:val="0"/>
        <w:spacing w:before="240"/>
        <w:rPr>
          <w:rFonts w:cs="Times New Roman"/>
          <w:b/>
          <w:color w:val="000000"/>
          <w:sz w:val="26"/>
          <w:szCs w:val="26"/>
        </w:rPr>
      </w:pPr>
      <w:r w:rsidRPr="00AE18D3">
        <w:rPr>
          <w:rFonts w:cs="Times New Roman"/>
          <w:b/>
          <w:color w:val="000000"/>
          <w:sz w:val="26"/>
          <w:szCs w:val="26"/>
        </w:rPr>
        <w:t>6.attēls</w:t>
      </w:r>
      <w:r>
        <w:rPr>
          <w:rFonts w:cs="Times New Roman"/>
          <w:b/>
          <w:color w:val="000000"/>
          <w:sz w:val="26"/>
          <w:szCs w:val="26"/>
        </w:rPr>
        <w:t>.</w:t>
      </w:r>
      <w:r w:rsidRPr="00BD41C5">
        <w:rPr>
          <w:rFonts w:cs="Times New Roman"/>
          <w:b/>
          <w:color w:val="000000"/>
          <w:sz w:val="26"/>
          <w:szCs w:val="26"/>
        </w:rPr>
        <w:t xml:space="preserve"> </w:t>
      </w:r>
      <w:r w:rsidRPr="00AE18D3">
        <w:rPr>
          <w:rFonts w:cs="Times New Roman"/>
          <w:b/>
          <w:color w:val="000000"/>
          <w:sz w:val="26"/>
          <w:szCs w:val="26"/>
        </w:rPr>
        <w:t>Atteikumu no sadales sistēmas pakalpojumiem dinamika 2016.gadā.</w:t>
      </w:r>
    </w:p>
    <w:p w14:paraId="51EA9F29" w14:textId="77777777" w:rsidR="00AD78D3" w:rsidRPr="00E55393" w:rsidRDefault="00AD78D3" w:rsidP="00AD78D3">
      <w:pPr>
        <w:tabs>
          <w:tab w:val="left" w:pos="284"/>
        </w:tabs>
        <w:autoSpaceDE w:val="0"/>
        <w:autoSpaceDN w:val="0"/>
        <w:adjustRightInd w:val="0"/>
        <w:spacing w:before="240"/>
        <w:rPr>
          <w:rFonts w:cs="Times New Roman"/>
          <w:noProof/>
          <w:color w:val="000000"/>
          <w:sz w:val="26"/>
          <w:szCs w:val="26"/>
          <w:lang w:eastAsia="lv-LV"/>
        </w:rPr>
      </w:pPr>
      <w:r w:rsidRPr="00BD41C5">
        <w:rPr>
          <w:rFonts w:cs="Times New Roman"/>
          <w:noProof/>
          <w:color w:val="000000"/>
          <w:sz w:val="26"/>
          <w:szCs w:val="26"/>
          <w:lang w:eastAsia="lv-LV"/>
        </w:rPr>
        <w:t>Avots: AS Sadales Tīkls</w:t>
      </w:r>
    </w:p>
    <w:p w14:paraId="30E8BC0B" w14:textId="77777777" w:rsidR="00AD78D3" w:rsidRPr="00E55393" w:rsidRDefault="00AD78D3" w:rsidP="00AD78D3">
      <w:pPr>
        <w:tabs>
          <w:tab w:val="left" w:pos="284"/>
        </w:tabs>
        <w:autoSpaceDE w:val="0"/>
        <w:autoSpaceDN w:val="0"/>
        <w:adjustRightInd w:val="0"/>
        <w:spacing w:before="240"/>
        <w:ind w:firstLine="709"/>
        <w:jc w:val="both"/>
        <w:rPr>
          <w:rFonts w:cs="Times New Roman"/>
          <w:color w:val="000000"/>
          <w:sz w:val="26"/>
          <w:szCs w:val="26"/>
        </w:rPr>
      </w:pPr>
      <w:r w:rsidRPr="00E55393">
        <w:rPr>
          <w:rFonts w:cs="Times New Roman"/>
          <w:color w:val="000000"/>
          <w:sz w:val="26"/>
          <w:szCs w:val="26"/>
        </w:rPr>
        <w:t xml:space="preserve">Tāpat “Sadales Tīkls” veica juridisko klientu, kuriem neveicot esošās pieslēguma jaudas izmaiņas ir bija paredzams nozīmīgs izmaksu pieaugums, tiešo informēšanu </w:t>
      </w:r>
      <w:r w:rsidRPr="00E55393">
        <w:rPr>
          <w:rFonts w:cs="Times New Roman"/>
          <w:color w:val="000000"/>
          <w:sz w:val="26"/>
          <w:szCs w:val="26"/>
        </w:rPr>
        <w:lastRenderedPageBreak/>
        <w:t xml:space="preserve">(apzvanīšanu) par tarifu izmaiņām un veicamajiem pasākumiem. Ja klienti, kuriem ir jautājumi par tarifu izmaiņām un par viņu iespējām ietaupīt, atsakoties no liekās, neizmantotās jaudas, zvana uz uzņēmuma informatīvo tālruni 8403 - sarunas laikā, vienojoties par klientam vēlamajām izmainām, operators var reģistrēt pieteikumu nepieciešamajām izmaiņām. Arī šobrīd pēc sadales sistēmas pakalpojumu tarifu stāšanās spēkā AS “Sadales tīkls” turpina tikties ar lielākajiem elektroenerģijas lietotājiem, uzņēmumiem un pašvaldībām, lai ieteiktu optimālākos risinājumus, kā efektīvi izmantot esošā elektrotīkla pieslēguma jaudu, tomēr lēmums par elektrotīkla jaudu efektīvu izmantošanu un tās samazināšanu ir jāpieņem katram klientam pašam. Savukārt, mājsaimniecību klientus gan līdz šim, gan arī turpmāk par rēķina izmaiņām informēs elektroenerģijas tirgotāji. </w:t>
      </w:r>
    </w:p>
    <w:p w14:paraId="6B82B042" w14:textId="77777777" w:rsidR="00AD78D3" w:rsidRPr="00E55393" w:rsidRDefault="00AD78D3" w:rsidP="00AD78D3">
      <w:pPr>
        <w:rPr>
          <w:rFonts w:cs="Times New Roman"/>
          <w:color w:val="000000"/>
          <w:sz w:val="26"/>
          <w:szCs w:val="26"/>
        </w:rPr>
      </w:pPr>
    </w:p>
    <w:p w14:paraId="0FB0D202" w14:textId="77777777" w:rsidR="00AD78D3" w:rsidRPr="00E55393" w:rsidRDefault="00AD78D3" w:rsidP="00AD78D3">
      <w:pPr>
        <w:rPr>
          <w:rFonts w:cs="Times New Roman"/>
          <w:color w:val="000000"/>
          <w:sz w:val="26"/>
          <w:szCs w:val="26"/>
        </w:rPr>
      </w:pPr>
    </w:p>
    <w:p w14:paraId="0D755E49" w14:textId="77777777" w:rsidR="00AD78D3" w:rsidRPr="00E55393" w:rsidRDefault="00AD78D3" w:rsidP="00AD78D3">
      <w:pPr>
        <w:ind w:left="709"/>
        <w:jc w:val="both"/>
        <w:rPr>
          <w:rFonts w:cs="Times New Roman"/>
          <w:color w:val="000000"/>
          <w:sz w:val="26"/>
          <w:szCs w:val="26"/>
        </w:rPr>
      </w:pPr>
      <w:r w:rsidRPr="00E55393">
        <w:rPr>
          <w:rFonts w:cs="Times New Roman"/>
          <w:b/>
          <w:color w:val="000000"/>
          <w:sz w:val="26"/>
          <w:szCs w:val="26"/>
        </w:rPr>
        <w:t xml:space="preserve">4. </w:t>
      </w:r>
      <w:r w:rsidRPr="00E55393">
        <w:rPr>
          <w:b/>
          <w:color w:val="000000"/>
          <w:sz w:val="26"/>
          <w:szCs w:val="26"/>
        </w:rPr>
        <w:t>Iespējamo elektroenerģijas lietotāju papildus informatīvā atbalsta pasākumu vērtējums, ieteikumi tālākajai rīcībai</w:t>
      </w:r>
    </w:p>
    <w:p w14:paraId="6AAEDBE7" w14:textId="77777777" w:rsidR="00AD78D3" w:rsidRPr="00E55393" w:rsidRDefault="00AD78D3" w:rsidP="00AD78D3">
      <w:pPr>
        <w:pStyle w:val="Vstulesdatumsunnumurs"/>
        <w:widowControl/>
        <w:spacing w:before="0" w:after="120"/>
        <w:ind w:left="720" w:firstLine="0"/>
        <w:rPr>
          <w:b/>
          <w:color w:val="000000"/>
          <w:sz w:val="26"/>
          <w:szCs w:val="26"/>
          <w:lang w:val="lv-LV"/>
        </w:rPr>
      </w:pPr>
    </w:p>
    <w:p w14:paraId="51370E66"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2016.gada augustā ieviesto elektroenerģijas sadales sistēmas pakalpojumu tarifu ieviešanas rezultāti norāda uz to, ka tarifu politikas pārskatīšana un tarifu struktūras izmaiņas kopumā ir spējušas nodrošināt galvenā uzdevuma izpildi, mudinot elektroenerģijas sistēmas lietotājus ar lielāku atbildību un rūpīgāk izvērtēt savam patēriņam atbilstošo, faktiski nepieciešamo elektroenerģijas pieslēguma jaudu apjomu.</w:t>
      </w:r>
    </w:p>
    <w:p w14:paraId="483044F5"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Kopējā informatīvo pasākumu, kuriem pirms un pēc tarifu ieviešanas AS “Sadales Tīkls” bija jānodrošina mājsaimniecību informēšana par tarifu izmaiņām un iespējām ietekmēt savus izdevumus, intensitāte raksturojama kā ļoti augsta. To ir būtiski papildinājušas arī citu nozares uzņēmumu, Ekonomikas ministrijas un SPRK, komunikāciju aktivitātes. To rezultātā sasniegts ļoti augsts sabiedrības informētības līmeni – 91%. </w:t>
      </w:r>
    </w:p>
    <w:p w14:paraId="7ED2460A"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AS “Sadales Tīkls”, analizējot jaudas samazinājuma pieprasījumus un līgumu laušanas tendenci, var secināt, ka šobrīd mājsaimniecību klientu aktivitāte ir samazinājusies salīdzinājumā ar 2016.gada jūliju un septembri, taču tā joprojām ir vērtējama kā vidēji augsta. Tas, uzņēmuma vērtējumā, nozīmē, ka mājsaimniecības arī bez papildus informēšanas pasākumiem turpina analizēt savu pieslēgumu nepieciešamību un pieprasīto jaudu tajā. Šāds vērtējums saskan arī ar SKDS 2016.gada decembrī veiktās aptaujas rezultātiem. Lietotājiem, kuriem ir vislielākais sistēmas pakalpojumu izmaksu pieaugums, visbiežāk ir vienfāzes pieslēgums ar ļoti minimālu elektroenerģijas patēriņu, kas lielākajā daļā gadījumu liecina par to, ka elektroenerģijas pieslēgums neatrodas lietotāja pamata dzīves vietā un attiecīgi, elektroenerģijas pieslēguma izmantošana nav saistīta ar ikdienā nepieciešamo vajadzību nodrošināšanu. Šiem lietotājiem, uzņēmuma vērtējumā ir jāizdara izvēle – atteikties no pieslēguma vai turpināt to izmantot, sedzot pieslēguma nodrošināšanas maksu. </w:t>
      </w:r>
    </w:p>
    <w:p w14:paraId="63D5E212"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Gan līdzšinējo informatīvo pasākumu sasniegtie rezultatīvie rādītāji, gan elektroenerģijas tirgotāju secinājumi no komunikācijas ar klientiem ļauj secināt, ka </w:t>
      </w:r>
      <w:r w:rsidRPr="00E55393">
        <w:rPr>
          <w:rFonts w:eastAsia="Times New Roman" w:cs="Times New Roman"/>
          <w:b/>
          <w:color w:val="000000"/>
          <w:kern w:val="2"/>
          <w:sz w:val="26"/>
          <w:szCs w:val="26"/>
          <w:lang w:eastAsia="hi-IN" w:bidi="hi-IN"/>
        </w:rPr>
        <w:t>ir vēlams arī turpmāk organizēt informatīvos pasākumus par elektroenerģijas sadales sistēmas pakalpojumu tarifiem un iespējām mājsaimniecībām samazināt izmaksas par elektroenerģiju, izvēloties savam elektroenerģijas patēriņam piemērotāku jaudu.</w:t>
      </w:r>
      <w:r w:rsidRPr="00E55393">
        <w:rPr>
          <w:rFonts w:eastAsia="Times New Roman" w:cs="Times New Roman"/>
          <w:color w:val="000000"/>
          <w:kern w:val="2"/>
          <w:sz w:val="26"/>
          <w:szCs w:val="26"/>
          <w:lang w:eastAsia="hi-IN" w:bidi="hi-IN"/>
        </w:rPr>
        <w:t xml:space="preserve"> </w:t>
      </w:r>
    </w:p>
    <w:p w14:paraId="1F4EB0DF"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lastRenderedPageBreak/>
        <w:t xml:space="preserve">Vienlaikus ir svarīgi atzīmēt, ka nav iespējams precīzi noteikt administratīvo izmaksu pieaugumu  aizsargātā lietotāja pakalpojumu sniedzējiem  - AS “Sadales Tīkls” un AS “Latvenergo”. Tas ir izskaidrojams ar apstākli, ka papildus funkcijas, kas ir saistītas ar atbalsta sistēmas papildus administrēšanu, tiek  nodrošinātas esošo funkciju ietvaros. </w:t>
      </w:r>
    </w:p>
    <w:p w14:paraId="28E416CE"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Pakalpojumu sniedzēji norāda uz to, ka atbalsta mehānisma administrēšanas procesā daļu faktisko aprēķinu par atbalsta piemērošanu atbalstāmajiem lietotājiem konkrētā norēķinu periodā nākas veikt, izmantojot manuālu datu ievadīšanu, kas, piemēram, apgrūtina un padara laikietilpīgu visaptverošas analīzes veikšanu par tendencēm aizsargāto lietotāju elektroenerģijas patēriņā un elektroenerģijas pieslēguma izmantošanā. </w:t>
      </w:r>
    </w:p>
    <w:p w14:paraId="514BB4BA"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Tomēr esošajā </w:t>
      </w:r>
      <w:r w:rsidRPr="00E55393">
        <w:rPr>
          <w:rFonts w:eastAsia="Times New Roman" w:cs="Times New Roman"/>
          <w:b/>
          <w:color w:val="000000"/>
          <w:kern w:val="2"/>
          <w:sz w:val="26"/>
          <w:szCs w:val="26"/>
          <w:lang w:eastAsia="hi-IN" w:bidi="hi-IN"/>
        </w:rPr>
        <w:t xml:space="preserve">aizsargāto elektroenerģijas lietotāju atbalsta programmā ir vērojamas pretrunas ar 2016.gadā ieviestās elektroenerģijas sadales sistēmas pakalpojumu tarifu politikas mērķiem, </w:t>
      </w:r>
      <w:r w:rsidRPr="00E55393">
        <w:rPr>
          <w:rFonts w:eastAsia="Times New Roman" w:cs="Times New Roman"/>
          <w:color w:val="000000"/>
          <w:kern w:val="2"/>
          <w:sz w:val="26"/>
          <w:szCs w:val="26"/>
          <w:lang w:eastAsia="hi-IN" w:bidi="hi-IN"/>
        </w:rPr>
        <w:t xml:space="preserve">jo sistēmas darbība nedod elektroenerģijas patērētājiem – mājsaimniecībām stimulu atteikties no trīsfāžu elektroenerģijas pieslēguma ar pieslēguma stiprumu līdz 32A arī tad, ja mājsaimniecības patēriņa nodrošināšanai būtu pietiekams vienfāzes pieslēgums. </w:t>
      </w:r>
    </w:p>
    <w:p w14:paraId="60611FE1" w14:textId="77777777" w:rsidR="00AD78D3" w:rsidRPr="00147C5F" w:rsidRDefault="00AD78D3" w:rsidP="00AD78D3">
      <w:pPr>
        <w:ind w:firstLine="720"/>
        <w:jc w:val="both"/>
        <w:rPr>
          <w:rFonts w:eastAsia="Times New Roman" w:cs="Times New Roman"/>
          <w:color w:val="000000"/>
          <w:kern w:val="2"/>
          <w:sz w:val="26"/>
          <w:szCs w:val="26"/>
          <w:lang w:eastAsia="hi-IN" w:bidi="hi-IN"/>
        </w:rPr>
      </w:pPr>
      <w:r w:rsidRPr="00E55393">
        <w:rPr>
          <w:rFonts w:cs="Times New Roman"/>
          <w:sz w:val="26"/>
          <w:szCs w:val="26"/>
        </w:rPr>
        <w:t xml:space="preserve">Aprēķini liecina, ka lielākajai daļai aizsargājamo elektroenerģijas lietotāju – mājsaimniecībām ar elektroenerģijas vienfāzes pieslēgumu un ikmēneša patēriņu robežās no 50 līdz 100 kWh - </w:t>
      </w:r>
      <w:r w:rsidRPr="00E55393">
        <w:rPr>
          <w:rFonts w:cs="Times New Roman"/>
          <w:b/>
          <w:sz w:val="26"/>
          <w:szCs w:val="26"/>
        </w:rPr>
        <w:t xml:space="preserve">faktiskais saņemtais atbalsts </w:t>
      </w:r>
      <w:r w:rsidRPr="00E55393">
        <w:rPr>
          <w:rFonts w:cs="Times New Roman"/>
          <w:sz w:val="26"/>
          <w:szCs w:val="26"/>
        </w:rPr>
        <w:t>mēnesī veido no 2</w:t>
      </w:r>
      <w:r>
        <w:rPr>
          <w:rFonts w:cs="Times New Roman"/>
          <w:sz w:val="26"/>
          <w:szCs w:val="26"/>
        </w:rPr>
        <w:t>.</w:t>
      </w:r>
      <w:r w:rsidRPr="00BF33AE">
        <w:rPr>
          <w:rFonts w:cs="Times New Roman"/>
          <w:sz w:val="26"/>
          <w:szCs w:val="26"/>
        </w:rPr>
        <w:t>42 EUR līdz 3</w:t>
      </w:r>
      <w:r>
        <w:rPr>
          <w:rFonts w:cs="Times New Roman"/>
          <w:sz w:val="26"/>
          <w:szCs w:val="26"/>
        </w:rPr>
        <w:t>.</w:t>
      </w:r>
      <w:r w:rsidRPr="00BF33AE">
        <w:rPr>
          <w:rFonts w:cs="Times New Roman"/>
          <w:sz w:val="26"/>
          <w:szCs w:val="26"/>
        </w:rPr>
        <w:t xml:space="preserve">38 EUR mēnesī, jeb aptuveni </w:t>
      </w:r>
      <w:r w:rsidRPr="00BF33AE">
        <w:rPr>
          <w:rFonts w:cs="Times New Roman"/>
          <w:b/>
          <w:sz w:val="26"/>
          <w:szCs w:val="26"/>
        </w:rPr>
        <w:t>1</w:t>
      </w:r>
      <w:r>
        <w:rPr>
          <w:rFonts w:cs="Times New Roman"/>
          <w:b/>
          <w:sz w:val="26"/>
          <w:szCs w:val="26"/>
        </w:rPr>
        <w:t>.</w:t>
      </w:r>
      <w:r w:rsidRPr="00BF33AE">
        <w:rPr>
          <w:rFonts w:cs="Times New Roman"/>
          <w:b/>
          <w:sz w:val="26"/>
          <w:szCs w:val="26"/>
        </w:rPr>
        <w:t>9-2</w:t>
      </w:r>
      <w:r>
        <w:rPr>
          <w:rFonts w:cs="Times New Roman"/>
          <w:b/>
          <w:sz w:val="26"/>
          <w:szCs w:val="26"/>
        </w:rPr>
        <w:t>.</w:t>
      </w:r>
      <w:r w:rsidRPr="00BF33AE">
        <w:rPr>
          <w:rFonts w:cs="Times New Roman"/>
          <w:b/>
          <w:sz w:val="26"/>
          <w:szCs w:val="26"/>
        </w:rPr>
        <w:t>6%</w:t>
      </w:r>
      <w:r w:rsidRPr="00BF33AE">
        <w:rPr>
          <w:rFonts w:cs="Times New Roman"/>
          <w:sz w:val="26"/>
          <w:szCs w:val="26"/>
        </w:rPr>
        <w:t xml:space="preserve"> no 128</w:t>
      </w:r>
      <w:r>
        <w:rPr>
          <w:rFonts w:cs="Times New Roman"/>
          <w:sz w:val="26"/>
          <w:szCs w:val="26"/>
        </w:rPr>
        <w:t>.</w:t>
      </w:r>
      <w:r w:rsidRPr="00BF33AE">
        <w:rPr>
          <w:rFonts w:cs="Times New Roman"/>
          <w:sz w:val="26"/>
          <w:szCs w:val="26"/>
        </w:rPr>
        <w:t>06 EUR, ienākumu līmeņa uz vienu mājsaimniecībā mītošo iedzīvotāju, kas atbilstoši normatīviem</w:t>
      </w:r>
      <w:r>
        <w:rPr>
          <w:rFonts w:cs="Times New Roman"/>
          <w:sz w:val="26"/>
          <w:szCs w:val="26"/>
        </w:rPr>
        <w:t xml:space="preserve"> aktiem</w:t>
      </w:r>
      <w:r w:rsidRPr="00BF33AE">
        <w:rPr>
          <w:rFonts w:cs="Times New Roman"/>
          <w:sz w:val="26"/>
          <w:szCs w:val="26"/>
        </w:rPr>
        <w:t xml:space="preserve"> ļauj personu vai mājsaimniecību uzskatīt par trūcīgu. Attiecīgi var secināt, ka mājsaimniecībās ar vairāk iedzīvotājiem, va</w:t>
      </w:r>
      <w:r w:rsidRPr="00E55393">
        <w:rPr>
          <w:rFonts w:cs="Times New Roman"/>
          <w:sz w:val="26"/>
          <w:szCs w:val="26"/>
        </w:rPr>
        <w:t>i arī mājsaimniecībās, kuras, atbilstoši likumam, ir atzītas par mazturīgām, bet kuru ienākumu līmenis pārsniedz 128</w:t>
      </w:r>
      <w:r>
        <w:rPr>
          <w:rFonts w:cs="Times New Roman"/>
          <w:sz w:val="26"/>
          <w:szCs w:val="26"/>
        </w:rPr>
        <w:t>.</w:t>
      </w:r>
      <w:r w:rsidRPr="00BF33AE">
        <w:rPr>
          <w:rFonts w:cs="Times New Roman"/>
          <w:sz w:val="26"/>
          <w:szCs w:val="26"/>
        </w:rPr>
        <w:t xml:space="preserve">06 EUR slieksni, saņemtā atbalsta apjoms veido vēl mazāku daļu pret mājsaimniecības ieņēmumiem. </w:t>
      </w:r>
      <w:r w:rsidRPr="00E55393">
        <w:rPr>
          <w:rFonts w:cs="Times New Roman"/>
          <w:b/>
          <w:sz w:val="26"/>
          <w:szCs w:val="26"/>
        </w:rPr>
        <w:t xml:space="preserve">Nelielais faktiski saņemtā atbalsta apjoms aizsargātajam elektroenerģijas lietotājam nodrošina ļoti ierobežotas iespējas palielināt citu ikdienā lietojamu preču vai pakalpojumu patēriņu, šī iemesla dēļ atstājot neapmierinoši zemu pozitīvo ietekmi uz palīdzības saņēmēja dzīves kvalitāti. </w:t>
      </w:r>
      <w:r w:rsidRPr="00E55393">
        <w:rPr>
          <w:rFonts w:cs="Times New Roman"/>
          <w:sz w:val="26"/>
          <w:szCs w:val="26"/>
        </w:rPr>
        <w:t>Viena no pazīmēm, kas rada aizdomas par esošās atbalsta sistēmas zemo efektivitāti, ir apstāklis, ka 2016.gada decembrī aizsargātā lietotāja pakalpojumam bija pieteikušies tikai 49% (83 008 no 169 294) iespējamā aizsargāto lietotāju skaita. Jāmin arī, ka laika posmā no 2016.gada jūlija lietotāju skaits, kuri bija pieteikušies, aizsargātā lietotāja pakalpojumam audzis maznozīmīgi – par 1540 lietotājiem jeb 1</w:t>
      </w:r>
      <w:r>
        <w:rPr>
          <w:rFonts w:cs="Times New Roman"/>
          <w:sz w:val="26"/>
          <w:szCs w:val="26"/>
        </w:rPr>
        <w:t>.</w:t>
      </w:r>
      <w:r w:rsidRPr="00BF33AE">
        <w:rPr>
          <w:rFonts w:cs="Times New Roman"/>
          <w:sz w:val="26"/>
          <w:szCs w:val="26"/>
        </w:rPr>
        <w:t>9%.</w:t>
      </w:r>
    </w:p>
    <w:p w14:paraId="0910F28D" w14:textId="77777777" w:rsidR="00AD78D3" w:rsidRPr="00E55393" w:rsidRDefault="00AD78D3" w:rsidP="00AD78D3">
      <w:pPr>
        <w:ind w:firstLine="720"/>
        <w:jc w:val="both"/>
        <w:rPr>
          <w:rFonts w:cs="Times New Roman"/>
          <w:sz w:val="26"/>
          <w:szCs w:val="26"/>
        </w:rPr>
      </w:pPr>
      <w:r w:rsidRPr="00E55393">
        <w:rPr>
          <w:rFonts w:cs="Times New Roman"/>
          <w:sz w:val="26"/>
          <w:szCs w:val="26"/>
        </w:rPr>
        <w:t xml:space="preserve">Būtisks šobrīd spēkā esošās elektroenerģijas lietotāju atbalsta sistēmas trūkums ir arī apstāklis, ka ir </w:t>
      </w:r>
      <w:r w:rsidRPr="00E55393">
        <w:rPr>
          <w:rFonts w:cs="Times New Roman"/>
          <w:b/>
          <w:sz w:val="26"/>
          <w:szCs w:val="26"/>
        </w:rPr>
        <w:t>grūti izvērtēt tās sasniegto rezultātu atbilstību sistēmas darbības mērķim – enerģētiskās nabadzības ierobežošanai</w:t>
      </w:r>
      <w:r w:rsidRPr="00E55393">
        <w:rPr>
          <w:rFonts w:cs="Times New Roman"/>
          <w:sz w:val="26"/>
          <w:szCs w:val="26"/>
        </w:rPr>
        <w:t>.  Galvenokārt tas ir saistīts ar faktu, ka esošā atbalsta sistēma ir veidota, ņemot vērā aizsargātā lietotāja elektroenerģijas patēriņu, bet tā neņem vērā lietotāja izdevumu slogu par citu enerģijas resursu, piemēram siltumenerģijas, dabasgāzes vai cita kurināmā, patēriņa – iespēja saņemt ierobežotu elektroenerģijas apjomu par cenu, kas ir zemāka par tirgus cenu, nenovērš enerģētiskās nabadzības sekas, kam par iemeslu ir, piemēram, siltumenerģijas izmaksu kāpums.</w:t>
      </w:r>
    </w:p>
    <w:p w14:paraId="6A35CFB4" w14:textId="77777777" w:rsidR="00AD78D3" w:rsidRPr="00E55393" w:rsidRDefault="00AD78D3" w:rsidP="00AD78D3">
      <w:pPr>
        <w:ind w:firstLine="720"/>
        <w:jc w:val="both"/>
        <w:rPr>
          <w:rFonts w:cs="Times New Roman"/>
          <w:sz w:val="26"/>
          <w:szCs w:val="26"/>
        </w:rPr>
      </w:pPr>
    </w:p>
    <w:p w14:paraId="2D6E2D58" w14:textId="77777777" w:rsidR="00AD78D3" w:rsidRPr="00E55393" w:rsidRDefault="00AD78D3" w:rsidP="00AD78D3">
      <w:pPr>
        <w:ind w:firstLine="720"/>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lastRenderedPageBreak/>
        <w:t xml:space="preserve">Izvērtējot elektroenerģijas sadales tīklu ieviešanas gaitu un ar to saistīto informatīvo kampaņu efektivitāti, kā arī tarifu politikas efektivitāti, veicinot elektroenerģijas pieslēgumu un tīklu infrastruktūras racionālu un saimniecisku izmantošanu, Ekonomikas ministrija nonāca pie </w:t>
      </w:r>
      <w:r w:rsidRPr="00E55393">
        <w:rPr>
          <w:rFonts w:eastAsia="Times New Roman" w:cs="Times New Roman"/>
          <w:b/>
          <w:color w:val="000000"/>
          <w:kern w:val="2"/>
          <w:sz w:val="26"/>
          <w:szCs w:val="26"/>
          <w:lang w:eastAsia="hi-IN" w:bidi="hi-IN"/>
        </w:rPr>
        <w:t>sekojošiem secinājumiem</w:t>
      </w:r>
      <w:r w:rsidRPr="00E55393">
        <w:rPr>
          <w:rFonts w:eastAsia="Times New Roman" w:cs="Times New Roman"/>
          <w:color w:val="000000"/>
          <w:kern w:val="2"/>
          <w:sz w:val="26"/>
          <w:szCs w:val="26"/>
          <w:lang w:eastAsia="hi-IN" w:bidi="hi-IN"/>
        </w:rPr>
        <w:t>:</w:t>
      </w:r>
    </w:p>
    <w:p w14:paraId="76CE5398" w14:textId="77777777" w:rsidR="00AD78D3" w:rsidRPr="00E55393" w:rsidRDefault="00AD78D3" w:rsidP="00AD78D3">
      <w:pPr>
        <w:jc w:val="both"/>
        <w:rPr>
          <w:rFonts w:eastAsia="Times New Roman" w:cs="Times New Roman"/>
          <w:color w:val="000000"/>
          <w:kern w:val="2"/>
          <w:sz w:val="26"/>
          <w:szCs w:val="26"/>
          <w:lang w:eastAsia="hi-IN" w:bidi="hi-IN"/>
        </w:rPr>
      </w:pPr>
    </w:p>
    <w:p w14:paraId="6469EB1F" w14:textId="77777777" w:rsidR="00AD78D3" w:rsidRPr="00D85AF4"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Elektroenerģijas sadales sistēmas pakalpojumu tarifu politikas pārskatīšana un ar to saistītā tarifu līdzsvarošana ir sasniegusi vēlamo mērķi, un pamudinājusi būtisku skaitu elektroenerģijas lietotāju atteikties no pieslēg</w:t>
      </w:r>
      <w:r w:rsidRPr="00D85AF4">
        <w:rPr>
          <w:rFonts w:eastAsia="Times New Roman" w:cs="Times New Roman"/>
          <w:color w:val="000000"/>
          <w:kern w:val="2"/>
          <w:sz w:val="26"/>
          <w:szCs w:val="26"/>
          <w:lang w:eastAsia="hi-IN" w:bidi="hi-IN"/>
        </w:rPr>
        <w:t xml:space="preserve">umu ar nepamatoti lielu jaudu uzturēšanas. </w:t>
      </w:r>
    </w:p>
    <w:p w14:paraId="4E6DFCAC" w14:textId="77777777" w:rsidR="00AD78D3" w:rsidRPr="00A24753"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5323CB">
        <w:rPr>
          <w:rFonts w:eastAsia="Times New Roman" w:cs="Times New Roman"/>
          <w:color w:val="000000"/>
          <w:kern w:val="2"/>
          <w:sz w:val="26"/>
          <w:szCs w:val="26"/>
          <w:lang w:eastAsia="hi-IN" w:bidi="hi-IN"/>
        </w:rPr>
        <w:t xml:space="preserve">Laika posmā no 2016.gada maija līdz 2017.gada janvārim pakalpojuma </w:t>
      </w:r>
      <w:r w:rsidRPr="00E55393">
        <w:rPr>
          <w:rFonts w:eastAsia="Times New Roman" w:cs="Times New Roman"/>
          <w:color w:val="000000"/>
          <w:kern w:val="2"/>
          <w:sz w:val="26"/>
          <w:szCs w:val="26"/>
          <w:lang w:eastAsia="hi-IN" w:bidi="hi-IN"/>
        </w:rPr>
        <w:t>sniedzēja AS “Sadales Tīkls”, kā arī citu iesaistīto pušu aktivitātes ir nodrošinājušas augstu sabiedrības informētību par  elektroenerģijas sadales sistēmas pakalpojumu tarifu un iespējām ierobežot elektroenerģijas izmaksu kāpumu vai pat panākt izmaksu samazinājumu, racionāli izvēloties nepieciešamās elektroenerģijas pieslēguma jaud</w:t>
      </w:r>
      <w:r>
        <w:rPr>
          <w:rFonts w:eastAsia="Times New Roman" w:cs="Times New Roman"/>
          <w:color w:val="000000"/>
          <w:kern w:val="2"/>
          <w:sz w:val="26"/>
          <w:szCs w:val="26"/>
          <w:lang w:eastAsia="hi-IN" w:bidi="hi-IN"/>
        </w:rPr>
        <w:t>u</w:t>
      </w:r>
      <w:r w:rsidRPr="00764BC4">
        <w:rPr>
          <w:rFonts w:eastAsia="Times New Roman" w:cs="Times New Roman"/>
          <w:color w:val="000000"/>
          <w:kern w:val="2"/>
          <w:sz w:val="26"/>
          <w:szCs w:val="26"/>
          <w:lang w:eastAsia="hi-IN" w:bidi="hi-IN"/>
        </w:rPr>
        <w:t xml:space="preserve">.  </w:t>
      </w:r>
    </w:p>
    <w:p w14:paraId="6C83285A" w14:textId="77777777" w:rsidR="00AD78D3" w:rsidRPr="00E55393"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A24753">
        <w:rPr>
          <w:rFonts w:eastAsia="Times New Roman" w:cs="Times New Roman"/>
          <w:color w:val="000000"/>
          <w:kern w:val="2"/>
          <w:sz w:val="26"/>
          <w:szCs w:val="26"/>
          <w:lang w:eastAsia="hi-IN" w:bidi="hi-IN"/>
        </w:rPr>
        <w:t xml:space="preserve">Pozitīvi vērtējams apstāklis, ka būtiskam apjomam iedzīvotāju, </w:t>
      </w:r>
      <w:r>
        <w:rPr>
          <w:rFonts w:eastAsia="Times New Roman" w:cs="Times New Roman"/>
          <w:color w:val="000000"/>
          <w:kern w:val="2"/>
          <w:sz w:val="26"/>
          <w:szCs w:val="26"/>
          <w:lang w:eastAsia="hi-IN" w:bidi="hi-IN"/>
        </w:rPr>
        <w:t xml:space="preserve">t.i., </w:t>
      </w:r>
      <w:r w:rsidRPr="00A24753">
        <w:rPr>
          <w:rFonts w:eastAsia="Times New Roman" w:cs="Times New Roman"/>
          <w:color w:val="000000"/>
          <w:kern w:val="2"/>
          <w:sz w:val="26"/>
          <w:szCs w:val="26"/>
          <w:lang w:eastAsia="hi-IN" w:bidi="hi-IN"/>
        </w:rPr>
        <w:t xml:space="preserve">50%, ir izveidojies viedoklis </w:t>
      </w:r>
      <w:r w:rsidRPr="00E55393">
        <w:rPr>
          <w:rFonts w:eastAsia="Times New Roman" w:cs="Times New Roman"/>
          <w:color w:val="000000"/>
          <w:kern w:val="2"/>
          <w:sz w:val="26"/>
          <w:szCs w:val="26"/>
          <w:lang w:eastAsia="hi-IN" w:bidi="hi-IN"/>
        </w:rPr>
        <w:t xml:space="preserve">par to, ka ir taisnīgi, ka tarifu izmaiņu rezultātā par tīkla pieslēgumiem ir jāmaksā arī tiem tīkla lietotājiem, kuru pieslēgumos elektroenerģija netiek patērēta. </w:t>
      </w:r>
    </w:p>
    <w:p w14:paraId="7EAFE4AD" w14:textId="77777777" w:rsidR="00AD78D3" w:rsidRPr="00E55393"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Vienlaikus AS “Sadales Tīkls” tarifu pārskatīšana ir padarījusi komplicētāku esošās aizsargāto elektroenerģijas lietotāju atbalsta sistēmas administrēšanu. Prognozējams arī, ka sistēmas darbības nodrošināšana kļūs vēl darbietilpīgāka un komplicētāka, no 2018.gada stājoties spēkā izmaiņām obligātā iepirkuma komponentes iekasēšanas sistēmā un ieviešot ar to saistīto izmaksu kāpuma kompensēšanas mehānismu. </w:t>
      </w:r>
    </w:p>
    <w:p w14:paraId="3CE4B4E9" w14:textId="77777777" w:rsidR="00AD78D3" w:rsidRPr="00E55393"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Mainoties elektroenerģijas izmaksu faktiskajai struktūrai, kas saistīta gan ar regulēto tarifu un maksājumu izmaiņām, gan arī elektroenerģijas vairumcenas samazināšanos, ir jāizvērtē iespējas esošā finansējuma ietvaros pārskatīt esošo  aizsargāto elektroenerģijas lietotāju atbalsta sistēmu, meklējot iespējas samazināt administratīvo slogu uz atbalsta nodrošināšanā iesaistītajām valsts un pašvaldību institūcijām un komersantiem, un apsverot iespējas saņemto atbalstu pēc lietotāja ieskatiem izmantot arī citu ar enerģijas apgādi saistīto izmaksu segšanai.</w:t>
      </w:r>
    </w:p>
    <w:p w14:paraId="2CFD366C" w14:textId="7EE5676E" w:rsidR="00AD78D3" w:rsidRPr="00E55393"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2016.gada augustā ieviesto elektroenerģijas sadales sistēmas pakalpojumu tarifu ietekme un faktiskie aizsargāto elektroenerģijas lietotāju atbalsta programmas izpildes rādītāji norāda uz vairākām būtiskām tendencēm, kuras liecina par nepieciešamību atkārtoti izvērtēt kopējo aizsargāto elektroenerģijas lietotāju atbalsta programmas efektivitāti un atbilstību tās sākotnēji izvirzītajam mērķim – ierobežot enerģētisko nabadzību un samazināt enerģētiskajai nabadzībai pakļauto iedzīvotāju skaitu. </w:t>
      </w:r>
    </w:p>
    <w:p w14:paraId="091D96AB" w14:textId="4776928C" w:rsidR="00AD78D3" w:rsidRPr="00E55393" w:rsidRDefault="00AD78D3" w:rsidP="00AD78D3">
      <w:pPr>
        <w:pStyle w:val="ListParagraph"/>
        <w:numPr>
          <w:ilvl w:val="0"/>
          <w:numId w:val="10"/>
        </w:numPr>
        <w:jc w:val="both"/>
        <w:rPr>
          <w:rFonts w:eastAsia="Times New Roman" w:cs="Times New Roman"/>
          <w:color w:val="000000"/>
          <w:kern w:val="2"/>
          <w:sz w:val="26"/>
          <w:szCs w:val="26"/>
          <w:lang w:eastAsia="hi-IN" w:bidi="hi-IN"/>
        </w:rPr>
      </w:pPr>
      <w:r w:rsidRPr="00E55393">
        <w:rPr>
          <w:rFonts w:eastAsia="Times New Roman" w:cs="Times New Roman"/>
          <w:color w:val="000000"/>
          <w:kern w:val="2"/>
          <w:sz w:val="26"/>
          <w:szCs w:val="26"/>
          <w:lang w:eastAsia="hi-IN" w:bidi="hi-IN"/>
        </w:rPr>
        <w:t xml:space="preserve">Saistībā ar 2016.gadā vērojamo elektroenerģijas vairumtirdzniecības cenu kritumu, elektroenerģijas lietotājiem 2017.gada sākumā jau ir pieejama elektroenerģija par cenu, </w:t>
      </w:r>
      <w:r>
        <w:rPr>
          <w:rFonts w:eastAsia="Times New Roman" w:cs="Times New Roman"/>
          <w:color w:val="000000"/>
          <w:kern w:val="2"/>
          <w:sz w:val="26"/>
          <w:szCs w:val="26"/>
          <w:lang w:eastAsia="hi-IN" w:bidi="hi-IN"/>
        </w:rPr>
        <w:t>kas</w:t>
      </w:r>
      <w:r w:rsidRPr="00141985">
        <w:rPr>
          <w:rFonts w:eastAsia="Times New Roman" w:cs="Times New Roman"/>
          <w:color w:val="000000"/>
          <w:kern w:val="2"/>
          <w:sz w:val="26"/>
          <w:szCs w:val="26"/>
          <w:lang w:eastAsia="hi-IN" w:bidi="hi-IN"/>
        </w:rPr>
        <w:t xml:space="preserve"> par vienu enerģijas vienību ir zemāka, nekā regulētās elektroenerģijas cena (“Pamata Tarifs”)</w:t>
      </w:r>
      <w:r w:rsidRPr="00E55393">
        <w:rPr>
          <w:rFonts w:eastAsia="Times New Roman" w:cs="Times New Roman"/>
          <w:color w:val="000000"/>
          <w:kern w:val="2"/>
          <w:sz w:val="26"/>
          <w:szCs w:val="26"/>
          <w:lang w:eastAsia="hi-IN" w:bidi="hi-IN"/>
        </w:rPr>
        <w:t xml:space="preserve">, kas bija spēkā līdz elektroenerģijas tirgus atvēršanai 2015.gada janvārī. </w:t>
      </w:r>
      <w:r>
        <w:rPr>
          <w:rFonts w:eastAsia="Times New Roman" w:cs="Times New Roman"/>
          <w:color w:val="000000"/>
          <w:kern w:val="2"/>
          <w:sz w:val="26"/>
          <w:szCs w:val="26"/>
          <w:lang w:eastAsia="hi-IN" w:bidi="hi-IN"/>
        </w:rPr>
        <w:t xml:space="preserve">Tā piemēram, </w:t>
      </w:r>
      <w:r w:rsidRPr="00E55393">
        <w:rPr>
          <w:rFonts w:eastAsia="Times New Roman" w:cs="Times New Roman"/>
          <w:color w:val="000000"/>
          <w:kern w:val="2"/>
          <w:sz w:val="26"/>
          <w:szCs w:val="26"/>
          <w:lang w:eastAsia="hi-IN" w:bidi="hi-IN"/>
        </w:rPr>
        <w:t>2017.gada janvārī, izmantojot uzņēmuma AS “Latvenergo” tarifu plānu “Dinamiskais”, patērētājam ar vienfāzes pieslēguma par 100 kWh bija jāmaksā 14</w:t>
      </w:r>
      <w:r>
        <w:rPr>
          <w:rFonts w:eastAsia="Times New Roman" w:cs="Times New Roman"/>
          <w:color w:val="000000"/>
          <w:kern w:val="2"/>
          <w:sz w:val="26"/>
          <w:szCs w:val="26"/>
          <w:lang w:eastAsia="hi-IN" w:bidi="hi-IN"/>
        </w:rPr>
        <w:t>.</w:t>
      </w:r>
      <w:r w:rsidRPr="00141985">
        <w:rPr>
          <w:rFonts w:eastAsia="Times New Roman" w:cs="Times New Roman"/>
          <w:color w:val="000000"/>
          <w:kern w:val="2"/>
          <w:sz w:val="26"/>
          <w:szCs w:val="26"/>
          <w:lang w:eastAsia="hi-IN" w:bidi="hi-IN"/>
        </w:rPr>
        <w:t xml:space="preserve">60 EUR, kas </w:t>
      </w:r>
      <w:r w:rsidRPr="00141985">
        <w:rPr>
          <w:rFonts w:eastAsia="Times New Roman" w:cs="Times New Roman"/>
          <w:color w:val="000000"/>
          <w:kern w:val="2"/>
          <w:sz w:val="26"/>
          <w:szCs w:val="26"/>
          <w:lang w:eastAsia="hi-IN" w:bidi="hi-IN"/>
        </w:rPr>
        <w:lastRenderedPageBreak/>
        <w:t>ir par aptuveni 3</w:t>
      </w:r>
      <w:r>
        <w:rPr>
          <w:rFonts w:eastAsia="Times New Roman" w:cs="Times New Roman"/>
          <w:color w:val="000000"/>
          <w:kern w:val="2"/>
          <w:sz w:val="26"/>
          <w:szCs w:val="26"/>
          <w:lang w:eastAsia="hi-IN" w:bidi="hi-IN"/>
        </w:rPr>
        <w:t>.</w:t>
      </w:r>
      <w:r w:rsidRPr="00141985">
        <w:rPr>
          <w:rFonts w:eastAsia="Times New Roman" w:cs="Times New Roman"/>
          <w:color w:val="000000"/>
          <w:kern w:val="2"/>
          <w:sz w:val="26"/>
          <w:szCs w:val="26"/>
          <w:lang w:eastAsia="hi-IN" w:bidi="hi-IN"/>
        </w:rPr>
        <w:t>6% procentiem jeb 0</w:t>
      </w:r>
      <w:r>
        <w:rPr>
          <w:rFonts w:eastAsia="Times New Roman" w:cs="Times New Roman"/>
          <w:color w:val="000000"/>
          <w:kern w:val="2"/>
          <w:sz w:val="26"/>
          <w:szCs w:val="26"/>
          <w:lang w:eastAsia="hi-IN" w:bidi="hi-IN"/>
        </w:rPr>
        <w:t>.</w:t>
      </w:r>
      <w:r w:rsidRPr="00141985">
        <w:rPr>
          <w:rFonts w:eastAsia="Times New Roman" w:cs="Times New Roman"/>
          <w:color w:val="000000"/>
          <w:kern w:val="2"/>
          <w:sz w:val="26"/>
          <w:szCs w:val="26"/>
          <w:lang w:eastAsia="hi-IN" w:bidi="hi-IN"/>
        </w:rPr>
        <w:t xml:space="preserve">55 EUR mazāk, nekā izmaksas analoģiska elektroenerģijas apjoma cena 2014.gada decembrī. 2016.gadā, atbilstoši EM datiem, bijis vērojams vidējais bruto algas kāpums par 5%, kas ir veicinājis iedzīvotāju pirktspējas kāpumu. </w:t>
      </w:r>
      <w:r w:rsidRPr="00E55393">
        <w:rPr>
          <w:rFonts w:eastAsia="Times New Roman" w:cs="Times New Roman"/>
          <w:color w:val="000000"/>
          <w:kern w:val="2"/>
          <w:sz w:val="26"/>
          <w:szCs w:val="26"/>
          <w:lang w:eastAsia="hi-IN" w:bidi="hi-IN"/>
        </w:rPr>
        <w:t xml:space="preserve">Tāpēc kopumā var secināt, ka elektroenerģijas vairumtirgus cenu krituma tendenču iespaidā, un iedzīvotāju pirktspējas kāpuma rezultātā, elektroenerģijas izmaksu slogs uz būtisku daļu mājsaimniecību kopš tirgus atvēršanas konkurencei ir samazinājies. </w:t>
      </w:r>
    </w:p>
    <w:p w14:paraId="77E056F6" w14:textId="5C8E0ECE" w:rsidR="0099241B" w:rsidRDefault="00CF5C73" w:rsidP="00AD78D3">
      <w:pPr>
        <w:pStyle w:val="ListParagraph"/>
        <w:jc w:val="both"/>
        <w:rPr>
          <w:rFonts w:eastAsia="Times New Roman" w:cs="Times New Roman"/>
          <w:color w:val="000000"/>
          <w:kern w:val="2"/>
          <w:sz w:val="26"/>
          <w:szCs w:val="26"/>
          <w:lang w:eastAsia="hi-IN" w:bidi="hi-IN"/>
        </w:rPr>
      </w:pPr>
      <w:r>
        <w:rPr>
          <w:rFonts w:eastAsia="Times New Roman" w:cs="Times New Roman"/>
          <w:color w:val="000000"/>
          <w:kern w:val="2"/>
          <w:sz w:val="26"/>
          <w:szCs w:val="26"/>
          <w:lang w:eastAsia="hi-IN" w:bidi="hi-IN"/>
        </w:rPr>
        <w:t xml:space="preserve"> </w:t>
      </w:r>
    </w:p>
    <w:p w14:paraId="747506E3" w14:textId="77777777" w:rsidR="00CF5C73" w:rsidRDefault="00CF5C73" w:rsidP="00563D65">
      <w:pPr>
        <w:pStyle w:val="ListParagraph"/>
        <w:jc w:val="both"/>
        <w:rPr>
          <w:rFonts w:eastAsia="Times New Roman" w:cs="Times New Roman"/>
          <w:color w:val="000000"/>
          <w:kern w:val="2"/>
          <w:sz w:val="26"/>
          <w:szCs w:val="26"/>
          <w:lang w:eastAsia="hi-IN" w:bidi="hi-IN"/>
        </w:rPr>
      </w:pPr>
    </w:p>
    <w:p w14:paraId="4896257B" w14:textId="77777777" w:rsidR="00CF5C73" w:rsidRDefault="00CF5C73" w:rsidP="00563D65">
      <w:pPr>
        <w:pStyle w:val="ListParagraph"/>
        <w:jc w:val="both"/>
        <w:rPr>
          <w:rFonts w:eastAsia="Times New Roman" w:cs="Times New Roman"/>
          <w:color w:val="000000"/>
          <w:kern w:val="2"/>
          <w:sz w:val="26"/>
          <w:szCs w:val="26"/>
          <w:lang w:eastAsia="hi-IN" w:bidi="hi-IN"/>
        </w:rPr>
      </w:pPr>
    </w:p>
    <w:p w14:paraId="4328B2A1" w14:textId="77777777" w:rsidR="00A7256C" w:rsidRDefault="00A7256C" w:rsidP="00A7256C">
      <w:pPr>
        <w:jc w:val="both"/>
        <w:rPr>
          <w:bCs/>
          <w:szCs w:val="28"/>
        </w:rPr>
      </w:pPr>
      <w:r w:rsidRPr="00640FFB">
        <w:rPr>
          <w:bCs/>
          <w:szCs w:val="28"/>
        </w:rPr>
        <w:t xml:space="preserve">Iesniedzējs: </w:t>
      </w:r>
    </w:p>
    <w:p w14:paraId="6CFFEF74" w14:textId="31921B32" w:rsidR="00D8107F" w:rsidRPr="00640FFB" w:rsidRDefault="00D8107F" w:rsidP="00A7256C">
      <w:pPr>
        <w:jc w:val="both"/>
        <w:rPr>
          <w:szCs w:val="28"/>
        </w:rPr>
      </w:pPr>
      <w:r>
        <w:rPr>
          <w:bCs/>
          <w:szCs w:val="28"/>
        </w:rPr>
        <w:t>Ministru prezidenta biedrs,</w:t>
      </w:r>
    </w:p>
    <w:p w14:paraId="0B59A741" w14:textId="61B1CADE" w:rsidR="0099241B" w:rsidRDefault="00D8107F" w:rsidP="00A7256C">
      <w:pPr>
        <w:rPr>
          <w:color w:val="000000"/>
          <w:szCs w:val="28"/>
        </w:rPr>
      </w:pPr>
      <w:r>
        <w:rPr>
          <w:color w:val="000000"/>
          <w:szCs w:val="28"/>
        </w:rPr>
        <w:t>e</w:t>
      </w:r>
      <w:r w:rsidR="0099241B">
        <w:rPr>
          <w:color w:val="000000"/>
          <w:szCs w:val="28"/>
        </w:rPr>
        <w:t xml:space="preserve">konomikas ministrs  </w:t>
      </w:r>
      <w:r w:rsidR="0099241B">
        <w:rPr>
          <w:color w:val="000000"/>
          <w:szCs w:val="28"/>
        </w:rPr>
        <w:tab/>
      </w:r>
      <w:r w:rsidR="0099241B">
        <w:rPr>
          <w:color w:val="000000"/>
          <w:szCs w:val="28"/>
        </w:rPr>
        <w:tab/>
      </w:r>
      <w:r w:rsidR="0099241B">
        <w:rPr>
          <w:color w:val="000000"/>
          <w:szCs w:val="28"/>
        </w:rPr>
        <w:tab/>
      </w:r>
      <w:r w:rsidR="0099241B">
        <w:rPr>
          <w:color w:val="000000"/>
          <w:szCs w:val="28"/>
        </w:rPr>
        <w:tab/>
      </w:r>
      <w:r w:rsidR="0099241B">
        <w:rPr>
          <w:color w:val="000000"/>
          <w:szCs w:val="28"/>
        </w:rPr>
        <w:tab/>
      </w:r>
      <w:r w:rsidR="0099241B">
        <w:rPr>
          <w:color w:val="000000"/>
          <w:szCs w:val="28"/>
        </w:rPr>
        <w:tab/>
      </w:r>
      <w:r w:rsidR="0099241B">
        <w:rPr>
          <w:color w:val="000000"/>
          <w:szCs w:val="28"/>
        </w:rPr>
        <w:tab/>
        <w:t>A.Ašeradens</w:t>
      </w:r>
    </w:p>
    <w:p w14:paraId="09721726" w14:textId="77777777" w:rsidR="0099241B" w:rsidRDefault="0099241B" w:rsidP="00A7256C">
      <w:pPr>
        <w:rPr>
          <w:color w:val="000000"/>
        </w:rPr>
      </w:pPr>
    </w:p>
    <w:p w14:paraId="78EEB88F" w14:textId="77777777" w:rsidR="0099241B" w:rsidRPr="00DA699C" w:rsidRDefault="0099241B" w:rsidP="00A7256C">
      <w:pPr>
        <w:rPr>
          <w:color w:val="000000"/>
        </w:rPr>
      </w:pPr>
      <w:r w:rsidRPr="00DA699C">
        <w:rPr>
          <w:color w:val="000000"/>
        </w:rPr>
        <w:t xml:space="preserve">Vīza: </w:t>
      </w:r>
    </w:p>
    <w:p w14:paraId="792B4925" w14:textId="77777777" w:rsidR="0099241B" w:rsidRPr="006E5AFA" w:rsidRDefault="0099241B" w:rsidP="00A7256C">
      <w:pPr>
        <w:pStyle w:val="BodyTextIndent2"/>
        <w:spacing w:after="0" w:line="240" w:lineRule="auto"/>
        <w:ind w:left="0"/>
        <w:rPr>
          <w:color w:val="000000"/>
          <w:szCs w:val="28"/>
        </w:rPr>
      </w:pPr>
      <w:r>
        <w:rPr>
          <w:color w:val="000000"/>
          <w:szCs w:val="28"/>
        </w:rPr>
        <w:t>V</w:t>
      </w:r>
      <w:r w:rsidRPr="006E5AFA">
        <w:rPr>
          <w:color w:val="000000"/>
          <w:szCs w:val="28"/>
        </w:rPr>
        <w:t>alsts sekretār</w:t>
      </w:r>
      <w:r>
        <w:rPr>
          <w:color w:val="000000"/>
          <w:szCs w:val="28"/>
        </w:rPr>
        <w:t>s</w:t>
      </w:r>
      <w:r w:rsidRPr="006E5AFA">
        <w:rPr>
          <w:color w:val="000000"/>
          <w:szCs w:val="28"/>
        </w:rPr>
        <w:tab/>
      </w:r>
      <w:r w:rsidRPr="006E5AFA">
        <w:rPr>
          <w:color w:val="000000"/>
          <w:szCs w:val="28"/>
        </w:rPr>
        <w:tab/>
      </w:r>
      <w:r w:rsidRPr="006E5AFA">
        <w:rPr>
          <w:color w:val="000000"/>
          <w:szCs w:val="28"/>
        </w:rPr>
        <w:tab/>
      </w:r>
      <w:r w:rsidRPr="006E5AFA">
        <w:rPr>
          <w:color w:val="000000"/>
          <w:szCs w:val="28"/>
        </w:rPr>
        <w:tab/>
      </w:r>
      <w:r w:rsidR="00E0014D">
        <w:rPr>
          <w:color w:val="000000"/>
          <w:szCs w:val="28"/>
        </w:rPr>
        <w:tab/>
      </w:r>
      <w:r w:rsidRPr="006E5AFA">
        <w:rPr>
          <w:color w:val="000000"/>
          <w:szCs w:val="28"/>
        </w:rPr>
        <w:t xml:space="preserve">          </w:t>
      </w:r>
      <w:r w:rsidRPr="006E5AFA">
        <w:rPr>
          <w:color w:val="000000"/>
          <w:szCs w:val="28"/>
        </w:rPr>
        <w:tab/>
      </w:r>
      <w:r w:rsidRPr="006E5AFA">
        <w:rPr>
          <w:color w:val="000000"/>
          <w:szCs w:val="28"/>
        </w:rPr>
        <w:tab/>
      </w:r>
      <w:r w:rsidRPr="006E5AFA">
        <w:rPr>
          <w:color w:val="000000"/>
          <w:szCs w:val="28"/>
        </w:rPr>
        <w:tab/>
        <w:t xml:space="preserve">       </w:t>
      </w:r>
      <w:r>
        <w:rPr>
          <w:color w:val="000000"/>
          <w:szCs w:val="28"/>
        </w:rPr>
        <w:t>J.Stinka</w:t>
      </w:r>
    </w:p>
    <w:p w14:paraId="0CA212BF" w14:textId="77777777" w:rsidR="0099241B" w:rsidRDefault="0099241B" w:rsidP="0099241B">
      <w:pPr>
        <w:jc w:val="both"/>
        <w:rPr>
          <w:color w:val="000000"/>
          <w:sz w:val="20"/>
          <w:szCs w:val="20"/>
        </w:rPr>
      </w:pPr>
    </w:p>
    <w:p w14:paraId="40B5D811" w14:textId="77777777" w:rsidR="0099241B" w:rsidRDefault="0099241B" w:rsidP="0099241B">
      <w:pPr>
        <w:jc w:val="both"/>
        <w:rPr>
          <w:color w:val="000000"/>
          <w:sz w:val="20"/>
          <w:szCs w:val="20"/>
        </w:rPr>
      </w:pPr>
    </w:p>
    <w:p w14:paraId="1B2EE43D" w14:textId="308FD9BE" w:rsidR="00E0014D" w:rsidRDefault="00AD78D3" w:rsidP="00E0014D">
      <w:pPr>
        <w:jc w:val="both"/>
        <w:rPr>
          <w:bCs/>
          <w:sz w:val="16"/>
          <w:szCs w:val="16"/>
        </w:rPr>
      </w:pPr>
      <w:r>
        <w:rPr>
          <w:bCs/>
          <w:sz w:val="16"/>
          <w:szCs w:val="16"/>
        </w:rPr>
        <w:t>07</w:t>
      </w:r>
      <w:r w:rsidR="00E0014D">
        <w:rPr>
          <w:bCs/>
          <w:sz w:val="16"/>
          <w:szCs w:val="16"/>
        </w:rPr>
        <w:t>.03.2017. 1</w:t>
      </w:r>
      <w:r>
        <w:rPr>
          <w:bCs/>
          <w:sz w:val="16"/>
          <w:szCs w:val="16"/>
        </w:rPr>
        <w:t>5:45</w:t>
      </w:r>
      <w:bookmarkStart w:id="0" w:name="_GoBack"/>
      <w:bookmarkEnd w:id="0"/>
    </w:p>
    <w:p w14:paraId="70F6A663" w14:textId="114A9981" w:rsidR="00E0014D" w:rsidRPr="00767D24" w:rsidRDefault="008977B4" w:rsidP="00E0014D">
      <w:pPr>
        <w:jc w:val="both"/>
        <w:rPr>
          <w:bCs/>
          <w:sz w:val="16"/>
          <w:szCs w:val="16"/>
        </w:rPr>
      </w:pPr>
      <w:r>
        <w:rPr>
          <w:bCs/>
          <w:sz w:val="16"/>
          <w:szCs w:val="16"/>
        </w:rPr>
        <w:t>453</w:t>
      </w:r>
      <w:r w:rsidR="00AD78D3">
        <w:rPr>
          <w:bCs/>
          <w:sz w:val="16"/>
          <w:szCs w:val="16"/>
        </w:rPr>
        <w:t>3</w:t>
      </w:r>
    </w:p>
    <w:p w14:paraId="415A26F1" w14:textId="77777777" w:rsidR="00E0014D" w:rsidRPr="00767D24" w:rsidRDefault="00E0014D" w:rsidP="00E0014D">
      <w:pPr>
        <w:jc w:val="both"/>
        <w:rPr>
          <w:bCs/>
          <w:sz w:val="16"/>
          <w:szCs w:val="16"/>
        </w:rPr>
      </w:pPr>
      <w:r>
        <w:rPr>
          <w:bCs/>
          <w:sz w:val="16"/>
          <w:szCs w:val="16"/>
        </w:rPr>
        <w:t>Valdmanis</w:t>
      </w:r>
    </w:p>
    <w:p w14:paraId="3A94B282" w14:textId="77777777" w:rsidR="00E0014D" w:rsidRPr="00767D24" w:rsidRDefault="00E0014D" w:rsidP="00E0014D">
      <w:pPr>
        <w:jc w:val="both"/>
        <w:rPr>
          <w:bCs/>
          <w:sz w:val="16"/>
          <w:szCs w:val="16"/>
        </w:rPr>
      </w:pPr>
      <w:r w:rsidRPr="00767D24">
        <w:rPr>
          <w:bCs/>
          <w:sz w:val="16"/>
          <w:szCs w:val="16"/>
        </w:rPr>
        <w:t>67013</w:t>
      </w:r>
      <w:r>
        <w:rPr>
          <w:bCs/>
          <w:sz w:val="16"/>
          <w:szCs w:val="16"/>
        </w:rPr>
        <w:t>194</w:t>
      </w:r>
    </w:p>
    <w:p w14:paraId="7590FF96" w14:textId="77777777" w:rsidR="0099241B" w:rsidRPr="00E0014D" w:rsidRDefault="00D4437B" w:rsidP="00C928A2">
      <w:pPr>
        <w:jc w:val="both"/>
        <w:rPr>
          <w:sz w:val="16"/>
          <w:szCs w:val="16"/>
        </w:rPr>
      </w:pPr>
      <w:hyperlink r:id="rId14" w:history="1">
        <w:r w:rsidR="00E0014D" w:rsidRPr="0061173B">
          <w:rPr>
            <w:rStyle w:val="Hyperlink"/>
            <w:bCs/>
            <w:sz w:val="16"/>
            <w:szCs w:val="16"/>
          </w:rPr>
          <w:t>Gunars.Valdmanis@em.gov.lv</w:t>
        </w:r>
      </w:hyperlink>
    </w:p>
    <w:p w14:paraId="56AA1FF1" w14:textId="77777777" w:rsidR="00CB6A0E" w:rsidRPr="00C928A2" w:rsidRDefault="00CB6A0E" w:rsidP="00C928A2">
      <w:pPr>
        <w:pStyle w:val="ListParagraph"/>
        <w:rPr>
          <w:rFonts w:cs="Times New Roman"/>
          <w:sz w:val="20"/>
          <w:szCs w:val="20"/>
        </w:rPr>
      </w:pPr>
    </w:p>
    <w:sectPr w:rsidR="00CB6A0E" w:rsidRPr="00C928A2" w:rsidSect="00E0014D">
      <w:headerReference w:type="default" r:id="rId15"/>
      <w:footerReference w:type="default" r:id="rId16"/>
      <w:footerReference w:type="first" r:id="rId17"/>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2B50C" w14:textId="77777777" w:rsidR="00BC5837" w:rsidRDefault="00BC5837" w:rsidP="0084230B">
      <w:r>
        <w:separator/>
      </w:r>
    </w:p>
  </w:endnote>
  <w:endnote w:type="continuationSeparator" w:id="0">
    <w:p w14:paraId="4B875021" w14:textId="77777777" w:rsidR="00BC5837" w:rsidRDefault="00BC5837" w:rsidP="0084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72F3" w14:textId="77777777" w:rsidR="00935640" w:rsidRPr="00E0014D" w:rsidRDefault="00E0014D" w:rsidP="00E0014D">
    <w:pPr>
      <w:pStyle w:val="Vstulesdatumsunnumurs"/>
      <w:widowControl/>
      <w:spacing w:before="0" w:after="0" w:line="240" w:lineRule="auto"/>
      <w:ind w:left="0" w:firstLine="0"/>
      <w:rPr>
        <w:color w:val="000000"/>
        <w:sz w:val="20"/>
        <w:lang w:val="lv-LV"/>
      </w:rPr>
    </w:pPr>
    <w:r w:rsidRPr="00E0014D">
      <w:rPr>
        <w:color w:val="000000"/>
        <w:sz w:val="20"/>
        <w:lang w:val="lv-LV"/>
      </w:rPr>
      <w:t>EMZino_</w:t>
    </w:r>
    <w:r w:rsidR="0002576C">
      <w:rPr>
        <w:color w:val="000000"/>
        <w:sz w:val="20"/>
        <w:lang w:val="lv-LV"/>
      </w:rPr>
      <w:t>S</w:t>
    </w:r>
    <w:r w:rsidRPr="00E0014D">
      <w:rPr>
        <w:color w:val="000000"/>
        <w:sz w:val="20"/>
        <w:lang w:val="lv-LV"/>
      </w:rPr>
      <w:t>T</w:t>
    </w:r>
    <w:r w:rsidR="0002576C">
      <w:rPr>
        <w:color w:val="000000"/>
        <w:sz w:val="20"/>
        <w:lang w:val="lv-LV"/>
      </w:rPr>
      <w:t>t</w:t>
    </w:r>
    <w:r w:rsidRPr="00E0014D">
      <w:rPr>
        <w:color w:val="000000"/>
        <w:sz w:val="20"/>
        <w:lang w:val="lv-LV"/>
      </w:rPr>
      <w:t>arifi_020317;</w:t>
    </w:r>
    <w:r w:rsidR="00935640" w:rsidRPr="00E0014D">
      <w:rPr>
        <w:color w:val="000000"/>
        <w:sz w:val="20"/>
        <w:lang w:val="lv-LV"/>
      </w:rPr>
      <w:t xml:space="preserve"> Informatīvais ziņojums “</w:t>
    </w:r>
    <w:r w:rsidRPr="00E0014D">
      <w:rPr>
        <w:color w:val="000000"/>
        <w:sz w:val="20"/>
        <w:lang w:val="lv-LV"/>
      </w:rPr>
      <w:t>Par elektroenerģijas sadales tīkla tarifu ietekmi uz aizsargātajiem elektroenerģijas lietotājiem un veiktajiem informatīvajiem pasākumiem lietotāju izmaksu kāpuma ierobežošanai</w:t>
    </w:r>
    <w:r w:rsidR="00935640" w:rsidRPr="00E0014D">
      <w:rPr>
        <w:color w:val="000000"/>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F554" w14:textId="77777777" w:rsidR="00E0014D" w:rsidRPr="00E0014D" w:rsidRDefault="00E0014D" w:rsidP="00E0014D">
    <w:pPr>
      <w:pStyle w:val="Vstulesdatumsunnumurs"/>
      <w:widowControl/>
      <w:spacing w:before="0" w:after="0" w:line="240" w:lineRule="auto"/>
      <w:ind w:left="0" w:firstLine="0"/>
      <w:rPr>
        <w:color w:val="000000"/>
        <w:sz w:val="20"/>
        <w:lang w:val="lv-LV"/>
      </w:rPr>
    </w:pPr>
    <w:r w:rsidRPr="00E0014D">
      <w:rPr>
        <w:color w:val="000000"/>
        <w:sz w:val="20"/>
        <w:lang w:val="lv-LV"/>
      </w:rPr>
      <w:t>EMZino_</w:t>
    </w:r>
    <w:r w:rsidR="0002576C">
      <w:rPr>
        <w:color w:val="000000"/>
        <w:sz w:val="20"/>
        <w:lang w:val="lv-LV"/>
      </w:rPr>
      <w:t>S</w:t>
    </w:r>
    <w:r w:rsidRPr="00E0014D">
      <w:rPr>
        <w:color w:val="000000"/>
        <w:sz w:val="20"/>
        <w:lang w:val="lv-LV"/>
      </w:rPr>
      <w:t>T</w:t>
    </w:r>
    <w:r w:rsidR="0002576C">
      <w:rPr>
        <w:color w:val="000000"/>
        <w:sz w:val="20"/>
        <w:lang w:val="lv-LV"/>
      </w:rPr>
      <w:t>t</w:t>
    </w:r>
    <w:r w:rsidRPr="00E0014D">
      <w:rPr>
        <w:color w:val="000000"/>
        <w:sz w:val="20"/>
        <w:lang w:val="lv-LV"/>
      </w:rPr>
      <w:t>arifi_020317; Informatīvais ziņojums “Par elektroenerģijas sadales tīkla tarifu ietekmi uz aizsargātajiem elektroenerģijas lietotājiem un veiktajiem informatīvajiem pasākumiem lietotāju izmaksu kāpuma ierobežošanai”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F4DCE" w14:textId="77777777" w:rsidR="00BC5837" w:rsidRDefault="00BC5837" w:rsidP="0084230B">
      <w:r>
        <w:separator/>
      </w:r>
    </w:p>
  </w:footnote>
  <w:footnote w:type="continuationSeparator" w:id="0">
    <w:p w14:paraId="3A2D245A" w14:textId="77777777" w:rsidR="00BC5837" w:rsidRDefault="00BC5837" w:rsidP="0084230B">
      <w:r>
        <w:continuationSeparator/>
      </w:r>
    </w:p>
  </w:footnote>
  <w:footnote w:id="1">
    <w:p w14:paraId="27B78EE5" w14:textId="77777777" w:rsidR="00AD78D3" w:rsidRDefault="00AD78D3" w:rsidP="00AD78D3">
      <w:pPr>
        <w:pStyle w:val="FootnoteText"/>
        <w:jc w:val="both"/>
      </w:pPr>
      <w:r>
        <w:rPr>
          <w:rStyle w:val="FootnoteReference"/>
        </w:rPr>
        <w:footnoteRef/>
      </w:r>
      <w:r>
        <w:t xml:space="preserve"> AS “Sadales tīkls” elektroenerģijas sadales sistēmas pakalpojumu diferencētie tarifi no 2016.gada 1.augusta (bez PVN); pieejams: </w:t>
      </w:r>
      <w:r w:rsidRPr="007E21E4">
        <w:t>https://www.sadalestikls.lv/files/tarifi/Jaunie_tarifi_LV.pdf</w:t>
      </w:r>
      <w:r>
        <w:t xml:space="preserve"> </w:t>
      </w:r>
    </w:p>
  </w:footnote>
  <w:footnote w:id="2">
    <w:p w14:paraId="47F1BCE9" w14:textId="77777777" w:rsidR="00AD78D3" w:rsidRDefault="00AD78D3" w:rsidP="00AD78D3">
      <w:pPr>
        <w:pStyle w:val="FootnoteText"/>
        <w:jc w:val="both"/>
      </w:pPr>
      <w:r>
        <w:rPr>
          <w:rStyle w:val="FootnoteReference"/>
        </w:rPr>
        <w:footnoteRef/>
      </w:r>
      <w:r>
        <w:t xml:space="preserve"> </w:t>
      </w:r>
      <w:r w:rsidRPr="007E21E4">
        <w:t>AS „Latvenergo”: visvairāk elektroenerģiju patērē Pierīgas novados</w:t>
      </w:r>
      <w:r>
        <w:t xml:space="preserve">; pieejams: </w:t>
      </w:r>
      <w:r w:rsidRPr="007560F1">
        <w:t>http://www.latvenergo.lv/lat/Jaunumi/preses_relizes/1372-as-latvenergo-visvairak-elektroenergiju-patere-pierigas-novados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323638207"/>
      <w:docPartObj>
        <w:docPartGallery w:val="Page Numbers (Top of Page)"/>
        <w:docPartUnique/>
      </w:docPartObj>
    </w:sdtPr>
    <w:sdtEndPr>
      <w:rPr>
        <w:noProof/>
      </w:rPr>
    </w:sdtEndPr>
    <w:sdtContent>
      <w:p w14:paraId="76F9725C" w14:textId="77777777" w:rsidR="00E0014D" w:rsidRPr="00E0014D" w:rsidRDefault="00E0014D" w:rsidP="00E0014D">
        <w:pPr>
          <w:pStyle w:val="Header"/>
          <w:jc w:val="center"/>
          <w:rPr>
            <w:sz w:val="26"/>
            <w:szCs w:val="26"/>
          </w:rPr>
        </w:pPr>
        <w:r w:rsidRPr="00E0014D">
          <w:rPr>
            <w:sz w:val="26"/>
            <w:szCs w:val="26"/>
          </w:rPr>
          <w:fldChar w:fldCharType="begin"/>
        </w:r>
        <w:r w:rsidRPr="00E0014D">
          <w:rPr>
            <w:sz w:val="26"/>
            <w:szCs w:val="26"/>
          </w:rPr>
          <w:instrText xml:space="preserve"> PAGE   \* MERGEFORMAT </w:instrText>
        </w:r>
        <w:r w:rsidRPr="00E0014D">
          <w:rPr>
            <w:sz w:val="26"/>
            <w:szCs w:val="26"/>
          </w:rPr>
          <w:fldChar w:fldCharType="separate"/>
        </w:r>
        <w:r w:rsidR="00D4437B">
          <w:rPr>
            <w:noProof/>
            <w:sz w:val="26"/>
            <w:szCs w:val="26"/>
          </w:rPr>
          <w:t>15</w:t>
        </w:r>
        <w:r w:rsidRPr="00E0014D">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67C"/>
    <w:multiLevelType w:val="hybridMultilevel"/>
    <w:tmpl w:val="CD2E0BA2"/>
    <w:lvl w:ilvl="0" w:tplc="74ECFFEC">
      <w:start w:val="1"/>
      <w:numFmt w:val="decimal"/>
      <w:lvlText w:val="%1."/>
      <w:lvlJc w:val="left"/>
      <w:pPr>
        <w:ind w:left="644" w:hanging="360"/>
      </w:pPr>
      <w:rPr>
        <w:rFonts w:hint="default"/>
        <w:b/>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00710CC1"/>
    <w:multiLevelType w:val="hybridMultilevel"/>
    <w:tmpl w:val="6152FB2E"/>
    <w:lvl w:ilvl="0" w:tplc="E02A32E2">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71D0C9B"/>
    <w:multiLevelType w:val="hybridMultilevel"/>
    <w:tmpl w:val="6152FB2E"/>
    <w:lvl w:ilvl="0" w:tplc="E02A32E2">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0EEA4AA5"/>
    <w:multiLevelType w:val="hybridMultilevel"/>
    <w:tmpl w:val="BA807A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942565"/>
    <w:multiLevelType w:val="hybridMultilevel"/>
    <w:tmpl w:val="34865B24"/>
    <w:lvl w:ilvl="0" w:tplc="557861D8">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5" w15:restartNumberingAfterBreak="0">
    <w:nsid w:val="35E00B61"/>
    <w:multiLevelType w:val="hybridMultilevel"/>
    <w:tmpl w:val="2F8EA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EB6852"/>
    <w:multiLevelType w:val="hybridMultilevel"/>
    <w:tmpl w:val="E5E4D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585B1E"/>
    <w:multiLevelType w:val="hybridMultilevel"/>
    <w:tmpl w:val="245E6E26"/>
    <w:lvl w:ilvl="0" w:tplc="DEB462FC">
      <w:start w:val="2"/>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580040D9"/>
    <w:multiLevelType w:val="hybridMultilevel"/>
    <w:tmpl w:val="F308FDE8"/>
    <w:lvl w:ilvl="0" w:tplc="81DE8ED6">
      <w:start w:val="1"/>
      <w:numFmt w:val="bullet"/>
      <w:lvlText w:val="-"/>
      <w:lvlJc w:val="left"/>
      <w:pPr>
        <w:ind w:left="720" w:hanging="360"/>
      </w:pPr>
      <w:rPr>
        <w:rFonts w:ascii="Tahoma" w:eastAsiaTheme="minorHAns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A06C68"/>
    <w:multiLevelType w:val="hybridMultilevel"/>
    <w:tmpl w:val="9BBE3D0A"/>
    <w:lvl w:ilvl="0" w:tplc="DEB462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F3276"/>
    <w:multiLevelType w:val="hybridMultilevel"/>
    <w:tmpl w:val="7526A4A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8A0729"/>
    <w:multiLevelType w:val="hybridMultilevel"/>
    <w:tmpl w:val="B7746D70"/>
    <w:lvl w:ilvl="0" w:tplc="0426000F">
      <w:start w:val="1"/>
      <w:numFmt w:val="decimal"/>
      <w:lvlText w:val="%1."/>
      <w:lvlJc w:val="left"/>
      <w:pPr>
        <w:ind w:left="3600" w:hanging="360"/>
      </w:p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num w:numId="1">
    <w:abstractNumId w:val="0"/>
  </w:num>
  <w:num w:numId="2">
    <w:abstractNumId w:val="8"/>
  </w:num>
  <w:num w:numId="3">
    <w:abstractNumId w:val="6"/>
  </w:num>
  <w:num w:numId="4">
    <w:abstractNumId w:val="3"/>
  </w:num>
  <w:num w:numId="5">
    <w:abstractNumId w:val="10"/>
  </w:num>
  <w:num w:numId="6">
    <w:abstractNumId w:val="11"/>
  </w:num>
  <w:num w:numId="7">
    <w:abstractNumId w:val="4"/>
  </w:num>
  <w:num w:numId="8">
    <w:abstractNumId w:val="5"/>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rawingGridHorizontalSpacing w:val="140"/>
  <w:drawingGridVerticalSpacing w:val="381"/>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98"/>
    <w:rsid w:val="0000302B"/>
    <w:rsid w:val="00024290"/>
    <w:rsid w:val="0002576C"/>
    <w:rsid w:val="00033B98"/>
    <w:rsid w:val="00053853"/>
    <w:rsid w:val="000610C5"/>
    <w:rsid w:val="00094029"/>
    <w:rsid w:val="00094C8D"/>
    <w:rsid w:val="000B2DF5"/>
    <w:rsid w:val="000C1412"/>
    <w:rsid w:val="00136933"/>
    <w:rsid w:val="0013767F"/>
    <w:rsid w:val="00160AD5"/>
    <w:rsid w:val="001746CD"/>
    <w:rsid w:val="001871CD"/>
    <w:rsid w:val="0019059B"/>
    <w:rsid w:val="001B2C20"/>
    <w:rsid w:val="001C3048"/>
    <w:rsid w:val="001C7F5E"/>
    <w:rsid w:val="001D7B64"/>
    <w:rsid w:val="001F62C0"/>
    <w:rsid w:val="00201ECB"/>
    <w:rsid w:val="00213EB5"/>
    <w:rsid w:val="00236020"/>
    <w:rsid w:val="002364A0"/>
    <w:rsid w:val="00247758"/>
    <w:rsid w:val="00276E40"/>
    <w:rsid w:val="00282E11"/>
    <w:rsid w:val="002909C0"/>
    <w:rsid w:val="00313EFD"/>
    <w:rsid w:val="00315EA7"/>
    <w:rsid w:val="003207B6"/>
    <w:rsid w:val="00323FD4"/>
    <w:rsid w:val="00335467"/>
    <w:rsid w:val="00346F61"/>
    <w:rsid w:val="00355F17"/>
    <w:rsid w:val="00395F0F"/>
    <w:rsid w:val="003D1DBF"/>
    <w:rsid w:val="003E5C70"/>
    <w:rsid w:val="0040418B"/>
    <w:rsid w:val="00406150"/>
    <w:rsid w:val="0042047E"/>
    <w:rsid w:val="00481AD0"/>
    <w:rsid w:val="00492763"/>
    <w:rsid w:val="00550586"/>
    <w:rsid w:val="005557FE"/>
    <w:rsid w:val="00563D65"/>
    <w:rsid w:val="005756F8"/>
    <w:rsid w:val="00576FA8"/>
    <w:rsid w:val="00590B46"/>
    <w:rsid w:val="00610CC6"/>
    <w:rsid w:val="00644C9B"/>
    <w:rsid w:val="006B13E6"/>
    <w:rsid w:val="006E7B05"/>
    <w:rsid w:val="006F656E"/>
    <w:rsid w:val="00736AA3"/>
    <w:rsid w:val="007512F3"/>
    <w:rsid w:val="007560F1"/>
    <w:rsid w:val="00781933"/>
    <w:rsid w:val="007E21E4"/>
    <w:rsid w:val="007E7BCC"/>
    <w:rsid w:val="007F0683"/>
    <w:rsid w:val="00830A18"/>
    <w:rsid w:val="0084230B"/>
    <w:rsid w:val="0084519A"/>
    <w:rsid w:val="0085589A"/>
    <w:rsid w:val="00857BDC"/>
    <w:rsid w:val="008977B4"/>
    <w:rsid w:val="008C6AAB"/>
    <w:rsid w:val="008D3D9A"/>
    <w:rsid w:val="008F4302"/>
    <w:rsid w:val="00900342"/>
    <w:rsid w:val="00911E53"/>
    <w:rsid w:val="00916960"/>
    <w:rsid w:val="00916ABA"/>
    <w:rsid w:val="009329AC"/>
    <w:rsid w:val="00935640"/>
    <w:rsid w:val="009739C7"/>
    <w:rsid w:val="00977B4A"/>
    <w:rsid w:val="0099241B"/>
    <w:rsid w:val="009E1260"/>
    <w:rsid w:val="009E2849"/>
    <w:rsid w:val="009E6FA2"/>
    <w:rsid w:val="00A24B2C"/>
    <w:rsid w:val="00A32EE7"/>
    <w:rsid w:val="00A332A8"/>
    <w:rsid w:val="00A7256C"/>
    <w:rsid w:val="00A8702B"/>
    <w:rsid w:val="00AA4A84"/>
    <w:rsid w:val="00AB7768"/>
    <w:rsid w:val="00AC551C"/>
    <w:rsid w:val="00AD78D3"/>
    <w:rsid w:val="00B30B76"/>
    <w:rsid w:val="00B57E5F"/>
    <w:rsid w:val="00BC5837"/>
    <w:rsid w:val="00BC6853"/>
    <w:rsid w:val="00BE01C0"/>
    <w:rsid w:val="00BE076A"/>
    <w:rsid w:val="00BE5228"/>
    <w:rsid w:val="00BE6BAD"/>
    <w:rsid w:val="00C25F88"/>
    <w:rsid w:val="00C36D71"/>
    <w:rsid w:val="00C67364"/>
    <w:rsid w:val="00C928A2"/>
    <w:rsid w:val="00CB5EA2"/>
    <w:rsid w:val="00CB6A0E"/>
    <w:rsid w:val="00CD4C4A"/>
    <w:rsid w:val="00CF5C73"/>
    <w:rsid w:val="00D052F7"/>
    <w:rsid w:val="00D4437B"/>
    <w:rsid w:val="00D5177A"/>
    <w:rsid w:val="00D76399"/>
    <w:rsid w:val="00D80015"/>
    <w:rsid w:val="00D8107F"/>
    <w:rsid w:val="00D865DB"/>
    <w:rsid w:val="00D8745D"/>
    <w:rsid w:val="00D95DC1"/>
    <w:rsid w:val="00DA3EE4"/>
    <w:rsid w:val="00DD405E"/>
    <w:rsid w:val="00DF2E9D"/>
    <w:rsid w:val="00E0014D"/>
    <w:rsid w:val="00E07273"/>
    <w:rsid w:val="00E17050"/>
    <w:rsid w:val="00E32BA7"/>
    <w:rsid w:val="00E35899"/>
    <w:rsid w:val="00E446FB"/>
    <w:rsid w:val="00E74031"/>
    <w:rsid w:val="00E806FB"/>
    <w:rsid w:val="00E87558"/>
    <w:rsid w:val="00EC0902"/>
    <w:rsid w:val="00ED3EF9"/>
    <w:rsid w:val="00F31EC1"/>
    <w:rsid w:val="00F349B6"/>
    <w:rsid w:val="00F43AEB"/>
    <w:rsid w:val="00F7302A"/>
    <w:rsid w:val="00F848C8"/>
    <w:rsid w:val="00FB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7EFB1"/>
  <w15:chartTrackingRefBased/>
  <w15:docId w15:val="{DC86FC88-31EC-4430-A346-B13EA63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8"/>
  </w:style>
  <w:style w:type="paragraph" w:styleId="Heading1">
    <w:name w:val="heading 1"/>
    <w:basedOn w:val="Normal"/>
    <w:next w:val="Normal"/>
    <w:link w:val="Heading1Char"/>
    <w:uiPriority w:val="9"/>
    <w:qFormat/>
    <w:rsid w:val="00213E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tulesdatumsunnumurs">
    <w:name w:val="Vçstules datums un numurs"/>
    <w:basedOn w:val="Normal"/>
    <w:rsid w:val="00033B98"/>
    <w:pPr>
      <w:keepNext/>
      <w:keepLines/>
      <w:widowControl w:val="0"/>
      <w:suppressAutoHyphens/>
      <w:spacing w:before="60" w:after="60" w:line="100" w:lineRule="atLeast"/>
      <w:ind w:left="4820" w:firstLine="720"/>
      <w:jc w:val="both"/>
    </w:pPr>
    <w:rPr>
      <w:rFonts w:eastAsia="Times New Roman" w:cs="Times New Roman"/>
      <w:kern w:val="2"/>
      <w:sz w:val="24"/>
      <w:szCs w:val="20"/>
      <w:lang w:val="en-US" w:eastAsia="hi-IN" w:bidi="hi-IN"/>
    </w:rPr>
  </w:style>
  <w:style w:type="paragraph" w:styleId="ListParagraph">
    <w:name w:val="List Paragraph"/>
    <w:basedOn w:val="Normal"/>
    <w:uiPriority w:val="34"/>
    <w:qFormat/>
    <w:rsid w:val="00236020"/>
    <w:pPr>
      <w:ind w:left="720"/>
      <w:contextualSpacing/>
    </w:pPr>
  </w:style>
  <w:style w:type="table" w:styleId="TableGrid">
    <w:name w:val="Table Grid"/>
    <w:basedOn w:val="TableNormal"/>
    <w:uiPriority w:val="39"/>
    <w:rsid w:val="00E74031"/>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Char">
    <w:name w:val="Tahoma Char"/>
    <w:link w:val="Tahoma"/>
    <w:locked/>
    <w:rsid w:val="00E74031"/>
    <w:rPr>
      <w:rFonts w:ascii="Tahoma" w:eastAsia="Calibri" w:hAnsi="Tahoma"/>
      <w:sz w:val="22"/>
      <w:lang w:val="ru-RU"/>
    </w:rPr>
  </w:style>
  <w:style w:type="paragraph" w:customStyle="1" w:styleId="Tahoma">
    <w:name w:val="Tahoma"/>
    <w:basedOn w:val="Normal"/>
    <w:link w:val="TahomaChar"/>
    <w:qFormat/>
    <w:rsid w:val="00E74031"/>
    <w:pPr>
      <w:spacing w:after="160" w:line="256" w:lineRule="auto"/>
    </w:pPr>
    <w:rPr>
      <w:rFonts w:ascii="Tahoma" w:eastAsia="Calibri" w:hAnsi="Tahoma"/>
      <w:sz w:val="22"/>
      <w:lang w:val="ru-RU"/>
    </w:rPr>
  </w:style>
  <w:style w:type="character" w:customStyle="1" w:styleId="apple-converted-space">
    <w:name w:val="apple-converted-space"/>
    <w:basedOn w:val="DefaultParagraphFont"/>
    <w:rsid w:val="00E74031"/>
  </w:style>
  <w:style w:type="paragraph" w:styleId="Header">
    <w:name w:val="header"/>
    <w:basedOn w:val="Normal"/>
    <w:link w:val="HeaderChar"/>
    <w:uiPriority w:val="99"/>
    <w:unhideWhenUsed/>
    <w:rsid w:val="0084230B"/>
    <w:pPr>
      <w:tabs>
        <w:tab w:val="center" w:pos="4153"/>
        <w:tab w:val="right" w:pos="8306"/>
      </w:tabs>
    </w:pPr>
  </w:style>
  <w:style w:type="character" w:customStyle="1" w:styleId="HeaderChar">
    <w:name w:val="Header Char"/>
    <w:basedOn w:val="DefaultParagraphFont"/>
    <w:link w:val="Header"/>
    <w:uiPriority w:val="99"/>
    <w:rsid w:val="0084230B"/>
  </w:style>
  <w:style w:type="paragraph" w:styleId="Footer">
    <w:name w:val="footer"/>
    <w:basedOn w:val="Normal"/>
    <w:link w:val="FooterChar"/>
    <w:uiPriority w:val="99"/>
    <w:unhideWhenUsed/>
    <w:rsid w:val="0084230B"/>
    <w:pPr>
      <w:tabs>
        <w:tab w:val="center" w:pos="4153"/>
        <w:tab w:val="right" w:pos="8306"/>
      </w:tabs>
    </w:pPr>
  </w:style>
  <w:style w:type="character" w:customStyle="1" w:styleId="FooterChar">
    <w:name w:val="Footer Char"/>
    <w:basedOn w:val="DefaultParagraphFont"/>
    <w:link w:val="Footer"/>
    <w:uiPriority w:val="99"/>
    <w:rsid w:val="0084230B"/>
  </w:style>
  <w:style w:type="paragraph" w:styleId="NormalWeb">
    <w:name w:val="Normal (Web)"/>
    <w:basedOn w:val="Normal"/>
    <w:uiPriority w:val="99"/>
    <w:semiHidden/>
    <w:unhideWhenUsed/>
    <w:rsid w:val="00BC6853"/>
    <w:pPr>
      <w:spacing w:before="100" w:beforeAutospacing="1" w:after="100" w:afterAutospacing="1"/>
    </w:pPr>
    <w:rPr>
      <w:rFonts w:eastAsia="Times New Roman" w:cs="Times New Roman"/>
      <w:sz w:val="24"/>
      <w:szCs w:val="24"/>
      <w:lang w:eastAsia="lv-LV"/>
    </w:rPr>
  </w:style>
  <w:style w:type="character" w:styleId="Strong">
    <w:name w:val="Strong"/>
    <w:basedOn w:val="DefaultParagraphFont"/>
    <w:uiPriority w:val="22"/>
    <w:qFormat/>
    <w:rsid w:val="001D7B64"/>
    <w:rPr>
      <w:b/>
      <w:bCs/>
    </w:rPr>
  </w:style>
  <w:style w:type="paragraph" w:styleId="BalloonText">
    <w:name w:val="Balloon Text"/>
    <w:basedOn w:val="Normal"/>
    <w:link w:val="BalloonTextChar"/>
    <w:uiPriority w:val="99"/>
    <w:semiHidden/>
    <w:unhideWhenUsed/>
    <w:rsid w:val="00BE5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28"/>
    <w:rPr>
      <w:rFonts w:ascii="Segoe UI" w:hAnsi="Segoe UI" w:cs="Segoe UI"/>
      <w:sz w:val="18"/>
      <w:szCs w:val="18"/>
    </w:rPr>
  </w:style>
  <w:style w:type="character" w:customStyle="1" w:styleId="Heading1Char">
    <w:name w:val="Heading 1 Char"/>
    <w:basedOn w:val="DefaultParagraphFont"/>
    <w:link w:val="Heading1"/>
    <w:uiPriority w:val="9"/>
    <w:rsid w:val="00213EB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9"/>
    <w:unhideWhenUsed/>
    <w:qFormat/>
    <w:rsid w:val="00213EB5"/>
    <w:pPr>
      <w:spacing w:before="480" w:line="276" w:lineRule="auto"/>
      <w:outlineLvl w:val="9"/>
    </w:pPr>
    <w:rPr>
      <w:rFonts w:ascii="Cambria" w:eastAsia="Times New Roman" w:hAnsi="Cambria" w:cs="Times New Roman"/>
      <w:b/>
      <w:bCs/>
      <w:color w:val="365F91"/>
      <w:sz w:val="28"/>
      <w:szCs w:val="28"/>
      <w:lang w:eastAsia="ja-JP"/>
    </w:rPr>
  </w:style>
  <w:style w:type="paragraph" w:styleId="TOC1">
    <w:name w:val="toc 1"/>
    <w:basedOn w:val="Normal"/>
    <w:next w:val="Normal"/>
    <w:autoRedefine/>
    <w:uiPriority w:val="39"/>
    <w:unhideWhenUsed/>
    <w:rsid w:val="00213EB5"/>
    <w:pPr>
      <w:spacing w:after="100"/>
    </w:pPr>
    <w:rPr>
      <w:rFonts w:eastAsia="Times New Roman" w:cs="Times New Roman"/>
      <w:szCs w:val="24"/>
    </w:rPr>
  </w:style>
  <w:style w:type="paragraph" w:styleId="TOC2">
    <w:name w:val="toc 2"/>
    <w:basedOn w:val="Normal"/>
    <w:next w:val="Normal"/>
    <w:autoRedefine/>
    <w:uiPriority w:val="39"/>
    <w:unhideWhenUsed/>
    <w:rsid w:val="00213EB5"/>
    <w:pPr>
      <w:spacing w:after="100"/>
      <w:ind w:left="240"/>
    </w:pPr>
    <w:rPr>
      <w:rFonts w:eastAsia="Times New Roman" w:cs="Times New Roman"/>
      <w:szCs w:val="24"/>
    </w:rPr>
  </w:style>
  <w:style w:type="character" w:styleId="Hyperlink">
    <w:name w:val="Hyperlink"/>
    <w:uiPriority w:val="99"/>
    <w:unhideWhenUsed/>
    <w:rsid w:val="00213EB5"/>
    <w:rPr>
      <w:color w:val="0000FF"/>
      <w:u w:val="single"/>
    </w:rPr>
  </w:style>
  <w:style w:type="paragraph" w:styleId="BodyTextIndent2">
    <w:name w:val="Body Text Indent 2"/>
    <w:basedOn w:val="Normal"/>
    <w:link w:val="BodyTextIndent2Char"/>
    <w:uiPriority w:val="99"/>
    <w:semiHidden/>
    <w:unhideWhenUsed/>
    <w:rsid w:val="0099241B"/>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99241B"/>
    <w:rPr>
      <w:rFonts w:eastAsia="Times New Roman" w:cs="Times New Roman"/>
      <w:szCs w:val="24"/>
    </w:rPr>
  </w:style>
  <w:style w:type="character" w:styleId="CommentReference">
    <w:name w:val="annotation reference"/>
    <w:basedOn w:val="DefaultParagraphFont"/>
    <w:uiPriority w:val="99"/>
    <w:semiHidden/>
    <w:unhideWhenUsed/>
    <w:rsid w:val="000B2DF5"/>
    <w:rPr>
      <w:sz w:val="16"/>
      <w:szCs w:val="16"/>
    </w:rPr>
  </w:style>
  <w:style w:type="paragraph" w:styleId="CommentText">
    <w:name w:val="annotation text"/>
    <w:basedOn w:val="Normal"/>
    <w:link w:val="CommentTextChar"/>
    <w:uiPriority w:val="99"/>
    <w:semiHidden/>
    <w:unhideWhenUsed/>
    <w:rsid w:val="000B2DF5"/>
    <w:rPr>
      <w:sz w:val="20"/>
      <w:szCs w:val="20"/>
    </w:rPr>
  </w:style>
  <w:style w:type="character" w:customStyle="1" w:styleId="CommentTextChar">
    <w:name w:val="Comment Text Char"/>
    <w:basedOn w:val="DefaultParagraphFont"/>
    <w:link w:val="CommentText"/>
    <w:uiPriority w:val="99"/>
    <w:semiHidden/>
    <w:rsid w:val="000B2DF5"/>
    <w:rPr>
      <w:sz w:val="20"/>
      <w:szCs w:val="20"/>
    </w:rPr>
  </w:style>
  <w:style w:type="paragraph" w:styleId="CommentSubject">
    <w:name w:val="annotation subject"/>
    <w:basedOn w:val="CommentText"/>
    <w:next w:val="CommentText"/>
    <w:link w:val="CommentSubjectChar"/>
    <w:uiPriority w:val="99"/>
    <w:semiHidden/>
    <w:unhideWhenUsed/>
    <w:rsid w:val="000B2DF5"/>
    <w:rPr>
      <w:b/>
      <w:bCs/>
    </w:rPr>
  </w:style>
  <w:style w:type="character" w:customStyle="1" w:styleId="CommentSubjectChar">
    <w:name w:val="Comment Subject Char"/>
    <w:basedOn w:val="CommentTextChar"/>
    <w:link w:val="CommentSubject"/>
    <w:uiPriority w:val="99"/>
    <w:semiHidden/>
    <w:rsid w:val="000B2DF5"/>
    <w:rPr>
      <w:b/>
      <w:bCs/>
      <w:sz w:val="20"/>
      <w:szCs w:val="20"/>
    </w:rPr>
  </w:style>
  <w:style w:type="paragraph" w:styleId="EndnoteText">
    <w:name w:val="endnote text"/>
    <w:basedOn w:val="Normal"/>
    <w:link w:val="EndnoteTextChar"/>
    <w:uiPriority w:val="99"/>
    <w:semiHidden/>
    <w:unhideWhenUsed/>
    <w:rsid w:val="007E21E4"/>
    <w:rPr>
      <w:sz w:val="20"/>
      <w:szCs w:val="20"/>
    </w:rPr>
  </w:style>
  <w:style w:type="character" w:customStyle="1" w:styleId="EndnoteTextChar">
    <w:name w:val="Endnote Text Char"/>
    <w:basedOn w:val="DefaultParagraphFont"/>
    <w:link w:val="EndnoteText"/>
    <w:uiPriority w:val="99"/>
    <w:semiHidden/>
    <w:rsid w:val="007E21E4"/>
    <w:rPr>
      <w:sz w:val="20"/>
      <w:szCs w:val="20"/>
    </w:rPr>
  </w:style>
  <w:style w:type="character" w:styleId="EndnoteReference">
    <w:name w:val="endnote reference"/>
    <w:basedOn w:val="DefaultParagraphFont"/>
    <w:uiPriority w:val="99"/>
    <w:semiHidden/>
    <w:unhideWhenUsed/>
    <w:rsid w:val="007E21E4"/>
    <w:rPr>
      <w:vertAlign w:val="superscript"/>
    </w:rPr>
  </w:style>
  <w:style w:type="paragraph" w:styleId="FootnoteText">
    <w:name w:val="footnote text"/>
    <w:basedOn w:val="Normal"/>
    <w:link w:val="FootnoteTextChar"/>
    <w:uiPriority w:val="99"/>
    <w:semiHidden/>
    <w:unhideWhenUsed/>
    <w:rsid w:val="007E21E4"/>
    <w:rPr>
      <w:sz w:val="20"/>
      <w:szCs w:val="20"/>
    </w:rPr>
  </w:style>
  <w:style w:type="character" w:customStyle="1" w:styleId="FootnoteTextChar">
    <w:name w:val="Footnote Text Char"/>
    <w:basedOn w:val="DefaultParagraphFont"/>
    <w:link w:val="FootnoteText"/>
    <w:uiPriority w:val="99"/>
    <w:semiHidden/>
    <w:rsid w:val="007E21E4"/>
    <w:rPr>
      <w:sz w:val="20"/>
      <w:szCs w:val="20"/>
    </w:rPr>
  </w:style>
  <w:style w:type="character" w:styleId="FootnoteReference">
    <w:name w:val="footnote reference"/>
    <w:basedOn w:val="DefaultParagraphFont"/>
    <w:uiPriority w:val="99"/>
    <w:semiHidden/>
    <w:unhideWhenUsed/>
    <w:rsid w:val="007E2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08015">
      <w:bodyDiv w:val="1"/>
      <w:marLeft w:val="0"/>
      <w:marRight w:val="0"/>
      <w:marTop w:val="0"/>
      <w:marBottom w:val="0"/>
      <w:divBdr>
        <w:top w:val="none" w:sz="0" w:space="0" w:color="auto"/>
        <w:left w:val="none" w:sz="0" w:space="0" w:color="auto"/>
        <w:bottom w:val="none" w:sz="0" w:space="0" w:color="auto"/>
        <w:right w:val="none" w:sz="0" w:space="0" w:color="auto"/>
      </w:divBdr>
    </w:div>
    <w:div w:id="1225724751">
      <w:bodyDiv w:val="1"/>
      <w:marLeft w:val="0"/>
      <w:marRight w:val="0"/>
      <w:marTop w:val="0"/>
      <w:marBottom w:val="0"/>
      <w:divBdr>
        <w:top w:val="none" w:sz="0" w:space="0" w:color="auto"/>
        <w:left w:val="none" w:sz="0" w:space="0" w:color="auto"/>
        <w:bottom w:val="none" w:sz="0" w:space="0" w:color="auto"/>
        <w:right w:val="none" w:sz="0" w:space="0" w:color="auto"/>
      </w:divBdr>
    </w:div>
    <w:div w:id="1784493961">
      <w:bodyDiv w:val="1"/>
      <w:marLeft w:val="0"/>
      <w:marRight w:val="0"/>
      <w:marTop w:val="0"/>
      <w:marBottom w:val="0"/>
      <w:divBdr>
        <w:top w:val="none" w:sz="0" w:space="0" w:color="auto"/>
        <w:left w:val="none" w:sz="0" w:space="0" w:color="auto"/>
        <w:bottom w:val="none" w:sz="0" w:space="0" w:color="auto"/>
        <w:right w:val="none" w:sz="0" w:space="0" w:color="auto"/>
      </w:divBdr>
    </w:div>
    <w:div w:id="19827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Gunars.Valdmanis@em.gov.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dmanisG\AppData\Local\Microsoft\Windows\Temporary%20Internet%20Files\Content.Outlook\LK4796O7\2016.gada_statistika_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dmanisG\AppData\Local\Microsoft\Windows\Temporary%20Internet%20Files\Content.Outlook\LK4796O7\2016.gada_statistika_EM.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'[2016.gada_statistika_EM.xlsx]Sheet1'!$B$2</c:f>
              <c:strCache>
                <c:ptCount val="1"/>
                <c:pt idx="0">
                  <c:v>Izmaksas līdz 31.07.2016 (EUR)</c:v>
                </c:pt>
              </c:strCache>
            </c:strRef>
          </c:tx>
          <c:spPr>
            <a:ln w="28575" cap="rnd">
              <a:solidFill>
                <a:schemeClr val="accent1"/>
              </a:solidFill>
              <a:round/>
            </a:ln>
            <a:effectLst/>
          </c:spPr>
          <c:marker>
            <c:symbol val="none"/>
          </c:marker>
          <c:val>
            <c:numRef>
              <c:f>'[2016.gada_statistika_EM.xlsx]Sheet1'!$B$3:$B$200</c:f>
              <c:numCache>
                <c:formatCode>0.00</c:formatCode>
                <c:ptCount val="198"/>
                <c:pt idx="0">
                  <c:v>0</c:v>
                </c:pt>
                <c:pt idx="1">
                  <c:v>0.16500000000000001</c:v>
                </c:pt>
                <c:pt idx="2">
                  <c:v>0.33</c:v>
                </c:pt>
                <c:pt idx="3">
                  <c:v>0.495</c:v>
                </c:pt>
                <c:pt idx="4">
                  <c:v>0.66</c:v>
                </c:pt>
                <c:pt idx="5">
                  <c:v>0.82500000000000007</c:v>
                </c:pt>
                <c:pt idx="6">
                  <c:v>0.99</c:v>
                </c:pt>
                <c:pt idx="7">
                  <c:v>1.155</c:v>
                </c:pt>
                <c:pt idx="8">
                  <c:v>1.32</c:v>
                </c:pt>
                <c:pt idx="9">
                  <c:v>1.4850000000000001</c:v>
                </c:pt>
                <c:pt idx="10">
                  <c:v>1.6500000000000001</c:v>
                </c:pt>
                <c:pt idx="11">
                  <c:v>1.8150000000000002</c:v>
                </c:pt>
                <c:pt idx="12">
                  <c:v>1.98</c:v>
                </c:pt>
                <c:pt idx="13">
                  <c:v>2.145</c:v>
                </c:pt>
                <c:pt idx="14">
                  <c:v>2.31</c:v>
                </c:pt>
                <c:pt idx="15">
                  <c:v>2.4750000000000001</c:v>
                </c:pt>
                <c:pt idx="16">
                  <c:v>2.64</c:v>
                </c:pt>
                <c:pt idx="17">
                  <c:v>2.8050000000000002</c:v>
                </c:pt>
                <c:pt idx="18">
                  <c:v>2.97</c:v>
                </c:pt>
                <c:pt idx="19">
                  <c:v>3.1350000000000002</c:v>
                </c:pt>
                <c:pt idx="20">
                  <c:v>3.3000000000000003</c:v>
                </c:pt>
                <c:pt idx="21">
                  <c:v>3.4650000000000003</c:v>
                </c:pt>
                <c:pt idx="22">
                  <c:v>3.6300000000000003</c:v>
                </c:pt>
                <c:pt idx="23">
                  <c:v>3.7950000000000004</c:v>
                </c:pt>
                <c:pt idx="24">
                  <c:v>3.96</c:v>
                </c:pt>
                <c:pt idx="25">
                  <c:v>4.125</c:v>
                </c:pt>
                <c:pt idx="26">
                  <c:v>4.29</c:v>
                </c:pt>
                <c:pt idx="27">
                  <c:v>4.4550000000000001</c:v>
                </c:pt>
                <c:pt idx="28">
                  <c:v>4.62</c:v>
                </c:pt>
                <c:pt idx="29">
                  <c:v>4.7850000000000001</c:v>
                </c:pt>
                <c:pt idx="30">
                  <c:v>4.95</c:v>
                </c:pt>
                <c:pt idx="31">
                  <c:v>5.1150000000000002</c:v>
                </c:pt>
                <c:pt idx="32">
                  <c:v>5.28</c:v>
                </c:pt>
                <c:pt idx="33">
                  <c:v>5.4450000000000003</c:v>
                </c:pt>
                <c:pt idx="34">
                  <c:v>5.61</c:v>
                </c:pt>
                <c:pt idx="35">
                  <c:v>5.7750000000000004</c:v>
                </c:pt>
                <c:pt idx="36">
                  <c:v>5.94</c:v>
                </c:pt>
                <c:pt idx="37">
                  <c:v>6.1050000000000004</c:v>
                </c:pt>
                <c:pt idx="38">
                  <c:v>6.2700000000000005</c:v>
                </c:pt>
                <c:pt idx="39">
                  <c:v>6.4350000000000005</c:v>
                </c:pt>
                <c:pt idx="40">
                  <c:v>6.6000000000000005</c:v>
                </c:pt>
                <c:pt idx="41">
                  <c:v>6.7650000000000006</c:v>
                </c:pt>
                <c:pt idx="42">
                  <c:v>6.9300000000000006</c:v>
                </c:pt>
                <c:pt idx="43">
                  <c:v>7.0950000000000006</c:v>
                </c:pt>
                <c:pt idx="44">
                  <c:v>7.2600000000000007</c:v>
                </c:pt>
                <c:pt idx="45">
                  <c:v>7.4250000000000007</c:v>
                </c:pt>
                <c:pt idx="46">
                  <c:v>7.5900000000000007</c:v>
                </c:pt>
                <c:pt idx="47">
                  <c:v>7.7550000000000008</c:v>
                </c:pt>
                <c:pt idx="48">
                  <c:v>7.92</c:v>
                </c:pt>
                <c:pt idx="49">
                  <c:v>8.0850000000000009</c:v>
                </c:pt>
                <c:pt idx="50">
                  <c:v>8.25</c:v>
                </c:pt>
                <c:pt idx="51">
                  <c:v>8.4150000000000009</c:v>
                </c:pt>
                <c:pt idx="52">
                  <c:v>8.58</c:v>
                </c:pt>
                <c:pt idx="53">
                  <c:v>8.745000000000001</c:v>
                </c:pt>
                <c:pt idx="54">
                  <c:v>8.91</c:v>
                </c:pt>
                <c:pt idx="55">
                  <c:v>9.0750000000000011</c:v>
                </c:pt>
                <c:pt idx="56">
                  <c:v>9.24</c:v>
                </c:pt>
                <c:pt idx="57">
                  <c:v>9.4050000000000011</c:v>
                </c:pt>
                <c:pt idx="58">
                  <c:v>9.57</c:v>
                </c:pt>
                <c:pt idx="59">
                  <c:v>9.7350000000000012</c:v>
                </c:pt>
                <c:pt idx="60">
                  <c:v>9.9</c:v>
                </c:pt>
                <c:pt idx="61">
                  <c:v>10.065000000000001</c:v>
                </c:pt>
                <c:pt idx="62">
                  <c:v>10.23</c:v>
                </c:pt>
                <c:pt idx="63">
                  <c:v>10.395000000000001</c:v>
                </c:pt>
                <c:pt idx="64">
                  <c:v>10.56</c:v>
                </c:pt>
                <c:pt idx="65">
                  <c:v>10.725</c:v>
                </c:pt>
                <c:pt idx="66">
                  <c:v>10.89</c:v>
                </c:pt>
                <c:pt idx="67">
                  <c:v>11.055</c:v>
                </c:pt>
                <c:pt idx="68">
                  <c:v>11.22</c:v>
                </c:pt>
                <c:pt idx="69">
                  <c:v>11.385</c:v>
                </c:pt>
                <c:pt idx="70">
                  <c:v>11.55</c:v>
                </c:pt>
                <c:pt idx="71">
                  <c:v>11.715</c:v>
                </c:pt>
                <c:pt idx="72">
                  <c:v>11.88</c:v>
                </c:pt>
                <c:pt idx="73">
                  <c:v>12.045</c:v>
                </c:pt>
                <c:pt idx="74">
                  <c:v>12.21</c:v>
                </c:pt>
                <c:pt idx="75">
                  <c:v>12.375</c:v>
                </c:pt>
                <c:pt idx="76">
                  <c:v>12.540000000000001</c:v>
                </c:pt>
                <c:pt idx="77">
                  <c:v>12.705</c:v>
                </c:pt>
                <c:pt idx="78">
                  <c:v>12.870000000000001</c:v>
                </c:pt>
                <c:pt idx="79">
                  <c:v>13.035</c:v>
                </c:pt>
                <c:pt idx="80">
                  <c:v>13.200000000000001</c:v>
                </c:pt>
                <c:pt idx="81">
                  <c:v>13.365</c:v>
                </c:pt>
                <c:pt idx="82">
                  <c:v>13.530000000000001</c:v>
                </c:pt>
                <c:pt idx="83">
                  <c:v>13.695</c:v>
                </c:pt>
                <c:pt idx="84">
                  <c:v>13.860000000000001</c:v>
                </c:pt>
                <c:pt idx="85">
                  <c:v>14.025</c:v>
                </c:pt>
                <c:pt idx="86">
                  <c:v>14.190000000000001</c:v>
                </c:pt>
                <c:pt idx="87">
                  <c:v>14.355</c:v>
                </c:pt>
                <c:pt idx="88">
                  <c:v>14.520000000000001</c:v>
                </c:pt>
                <c:pt idx="89">
                  <c:v>14.685</c:v>
                </c:pt>
                <c:pt idx="90">
                  <c:v>14.850000000000001</c:v>
                </c:pt>
                <c:pt idx="91">
                  <c:v>15.015000000000001</c:v>
                </c:pt>
                <c:pt idx="92">
                  <c:v>15.180000000000001</c:v>
                </c:pt>
                <c:pt idx="93">
                  <c:v>15.345000000000001</c:v>
                </c:pt>
                <c:pt idx="94">
                  <c:v>15.510000000000002</c:v>
                </c:pt>
                <c:pt idx="95">
                  <c:v>15.675000000000001</c:v>
                </c:pt>
                <c:pt idx="96">
                  <c:v>15.84</c:v>
                </c:pt>
                <c:pt idx="97">
                  <c:v>16.004999999999999</c:v>
                </c:pt>
                <c:pt idx="98">
                  <c:v>16.170000000000002</c:v>
                </c:pt>
                <c:pt idx="99">
                  <c:v>16.335000000000001</c:v>
                </c:pt>
                <c:pt idx="100">
                  <c:v>16.5</c:v>
                </c:pt>
                <c:pt idx="101">
                  <c:v>16.664999999999999</c:v>
                </c:pt>
                <c:pt idx="102">
                  <c:v>16.830000000000002</c:v>
                </c:pt>
                <c:pt idx="103">
                  <c:v>16.995000000000001</c:v>
                </c:pt>
                <c:pt idx="104">
                  <c:v>17.16</c:v>
                </c:pt>
                <c:pt idx="105">
                  <c:v>17.324999999999999</c:v>
                </c:pt>
                <c:pt idx="106">
                  <c:v>17.490000000000002</c:v>
                </c:pt>
                <c:pt idx="107">
                  <c:v>17.655000000000001</c:v>
                </c:pt>
                <c:pt idx="108">
                  <c:v>17.82</c:v>
                </c:pt>
                <c:pt idx="109">
                  <c:v>17.984999999999999</c:v>
                </c:pt>
                <c:pt idx="110">
                  <c:v>18.150000000000002</c:v>
                </c:pt>
                <c:pt idx="111">
                  <c:v>18.315000000000001</c:v>
                </c:pt>
                <c:pt idx="112">
                  <c:v>18.48</c:v>
                </c:pt>
                <c:pt idx="113">
                  <c:v>18.645</c:v>
                </c:pt>
                <c:pt idx="114">
                  <c:v>18.810000000000002</c:v>
                </c:pt>
                <c:pt idx="115">
                  <c:v>18.975000000000001</c:v>
                </c:pt>
                <c:pt idx="116">
                  <c:v>19.14</c:v>
                </c:pt>
                <c:pt idx="117">
                  <c:v>19.305</c:v>
                </c:pt>
                <c:pt idx="118">
                  <c:v>19.470000000000002</c:v>
                </c:pt>
                <c:pt idx="119">
                  <c:v>19.635000000000002</c:v>
                </c:pt>
                <c:pt idx="120">
                  <c:v>19.8</c:v>
                </c:pt>
                <c:pt idx="121">
                  <c:v>19.965</c:v>
                </c:pt>
                <c:pt idx="122">
                  <c:v>20.130000000000003</c:v>
                </c:pt>
                <c:pt idx="123">
                  <c:v>20.295000000000002</c:v>
                </c:pt>
                <c:pt idx="124">
                  <c:v>20.46</c:v>
                </c:pt>
                <c:pt idx="125">
                  <c:v>20.625</c:v>
                </c:pt>
                <c:pt idx="126">
                  <c:v>20.790000000000003</c:v>
                </c:pt>
                <c:pt idx="127">
                  <c:v>20.955000000000002</c:v>
                </c:pt>
                <c:pt idx="128">
                  <c:v>21.12</c:v>
                </c:pt>
                <c:pt idx="129">
                  <c:v>21.285</c:v>
                </c:pt>
                <c:pt idx="130">
                  <c:v>21.45</c:v>
                </c:pt>
                <c:pt idx="131">
                  <c:v>21.615000000000002</c:v>
                </c:pt>
                <c:pt idx="132">
                  <c:v>21.78</c:v>
                </c:pt>
                <c:pt idx="133">
                  <c:v>21.945</c:v>
                </c:pt>
                <c:pt idx="134">
                  <c:v>22.11</c:v>
                </c:pt>
                <c:pt idx="135">
                  <c:v>22.275000000000002</c:v>
                </c:pt>
                <c:pt idx="136">
                  <c:v>22.44</c:v>
                </c:pt>
                <c:pt idx="137">
                  <c:v>22.605</c:v>
                </c:pt>
                <c:pt idx="138">
                  <c:v>22.77</c:v>
                </c:pt>
                <c:pt idx="139">
                  <c:v>22.935000000000002</c:v>
                </c:pt>
                <c:pt idx="140">
                  <c:v>23.1</c:v>
                </c:pt>
                <c:pt idx="141">
                  <c:v>23.265000000000001</c:v>
                </c:pt>
                <c:pt idx="142">
                  <c:v>23.43</c:v>
                </c:pt>
                <c:pt idx="143">
                  <c:v>23.595000000000002</c:v>
                </c:pt>
                <c:pt idx="144">
                  <c:v>23.76</c:v>
                </c:pt>
                <c:pt idx="145">
                  <c:v>23.925000000000001</c:v>
                </c:pt>
                <c:pt idx="146">
                  <c:v>24.09</c:v>
                </c:pt>
                <c:pt idx="147">
                  <c:v>24.255000000000003</c:v>
                </c:pt>
                <c:pt idx="148">
                  <c:v>24.42</c:v>
                </c:pt>
                <c:pt idx="149">
                  <c:v>24.585000000000001</c:v>
                </c:pt>
                <c:pt idx="150">
                  <c:v>24.75</c:v>
                </c:pt>
                <c:pt idx="151">
                  <c:v>24.915000000000003</c:v>
                </c:pt>
                <c:pt idx="152">
                  <c:v>25.080000000000002</c:v>
                </c:pt>
                <c:pt idx="153">
                  <c:v>25.245000000000001</c:v>
                </c:pt>
                <c:pt idx="154">
                  <c:v>25.41</c:v>
                </c:pt>
                <c:pt idx="155">
                  <c:v>25.575000000000003</c:v>
                </c:pt>
                <c:pt idx="156">
                  <c:v>25.740000000000002</c:v>
                </c:pt>
                <c:pt idx="157">
                  <c:v>25.905000000000001</c:v>
                </c:pt>
                <c:pt idx="158">
                  <c:v>26.07</c:v>
                </c:pt>
                <c:pt idx="159">
                  <c:v>26.235000000000003</c:v>
                </c:pt>
                <c:pt idx="160">
                  <c:v>26.400000000000002</c:v>
                </c:pt>
                <c:pt idx="161">
                  <c:v>26.565000000000001</c:v>
                </c:pt>
                <c:pt idx="162">
                  <c:v>26.73</c:v>
                </c:pt>
                <c:pt idx="163">
                  <c:v>26.895</c:v>
                </c:pt>
                <c:pt idx="164">
                  <c:v>27.060000000000002</c:v>
                </c:pt>
                <c:pt idx="165">
                  <c:v>27.225000000000001</c:v>
                </c:pt>
                <c:pt idx="166">
                  <c:v>27.39</c:v>
                </c:pt>
                <c:pt idx="167">
                  <c:v>27.555</c:v>
                </c:pt>
                <c:pt idx="168">
                  <c:v>27.720000000000002</c:v>
                </c:pt>
                <c:pt idx="169">
                  <c:v>27.885000000000002</c:v>
                </c:pt>
                <c:pt idx="170">
                  <c:v>28.05</c:v>
                </c:pt>
                <c:pt idx="171">
                  <c:v>28.215</c:v>
                </c:pt>
                <c:pt idx="172">
                  <c:v>28.380000000000003</c:v>
                </c:pt>
                <c:pt idx="173">
                  <c:v>28.545000000000002</c:v>
                </c:pt>
                <c:pt idx="174">
                  <c:v>28.71</c:v>
                </c:pt>
                <c:pt idx="175">
                  <c:v>28.875</c:v>
                </c:pt>
                <c:pt idx="176">
                  <c:v>29.040000000000003</c:v>
                </c:pt>
                <c:pt idx="177">
                  <c:v>29.205000000000002</c:v>
                </c:pt>
                <c:pt idx="178">
                  <c:v>29.37</c:v>
                </c:pt>
                <c:pt idx="179">
                  <c:v>29.535</c:v>
                </c:pt>
                <c:pt idx="180">
                  <c:v>29.700000000000003</c:v>
                </c:pt>
                <c:pt idx="181">
                  <c:v>29.865000000000002</c:v>
                </c:pt>
                <c:pt idx="182">
                  <c:v>30.03</c:v>
                </c:pt>
                <c:pt idx="183">
                  <c:v>30.195</c:v>
                </c:pt>
                <c:pt idx="184">
                  <c:v>30.360000000000003</c:v>
                </c:pt>
                <c:pt idx="185">
                  <c:v>30.525000000000002</c:v>
                </c:pt>
                <c:pt idx="186">
                  <c:v>30.69</c:v>
                </c:pt>
                <c:pt idx="187">
                  <c:v>30.855</c:v>
                </c:pt>
                <c:pt idx="188">
                  <c:v>31.020000000000003</c:v>
                </c:pt>
                <c:pt idx="189">
                  <c:v>31.185000000000002</c:v>
                </c:pt>
                <c:pt idx="190">
                  <c:v>31.35</c:v>
                </c:pt>
                <c:pt idx="191">
                  <c:v>31.515000000000001</c:v>
                </c:pt>
                <c:pt idx="192">
                  <c:v>31.68</c:v>
                </c:pt>
                <c:pt idx="193">
                  <c:v>31.845000000000002</c:v>
                </c:pt>
                <c:pt idx="194">
                  <c:v>32.01</c:v>
                </c:pt>
                <c:pt idx="195">
                  <c:v>32.175000000000004</c:v>
                </c:pt>
                <c:pt idx="196">
                  <c:v>32.340000000000003</c:v>
                </c:pt>
                <c:pt idx="197">
                  <c:v>32.505000000000003</c:v>
                </c:pt>
              </c:numCache>
            </c:numRef>
          </c:val>
          <c:smooth val="0"/>
        </c:ser>
        <c:ser>
          <c:idx val="1"/>
          <c:order val="1"/>
          <c:tx>
            <c:strRef>
              <c:f>'[2016.gada_statistika_EM.xlsx]Sheet1'!$C$2</c:f>
              <c:strCache>
                <c:ptCount val="1"/>
                <c:pt idx="0">
                  <c:v>Izmaksas no 01.08.2016 (EUR)</c:v>
                </c:pt>
              </c:strCache>
            </c:strRef>
          </c:tx>
          <c:spPr>
            <a:ln w="28575" cap="rnd">
              <a:solidFill>
                <a:schemeClr val="accent2"/>
              </a:solidFill>
              <a:round/>
            </a:ln>
            <a:effectLst/>
          </c:spPr>
          <c:marker>
            <c:symbol val="none"/>
          </c:marker>
          <c:val>
            <c:numRef>
              <c:f>'[2016.gada_statistika_EM.xlsx]Sheet1'!$C$3:$C$200</c:f>
              <c:numCache>
                <c:formatCode>0.00</c:formatCode>
                <c:ptCount val="198"/>
                <c:pt idx="0">
                  <c:v>1.5004</c:v>
                </c:pt>
                <c:pt idx="1">
                  <c:v>1.6502948</c:v>
                </c:pt>
                <c:pt idx="2">
                  <c:v>1.8001895999999999</c:v>
                </c:pt>
                <c:pt idx="3">
                  <c:v>1.9500843999999999</c:v>
                </c:pt>
                <c:pt idx="4">
                  <c:v>2.0999791999999999</c:v>
                </c:pt>
                <c:pt idx="5">
                  <c:v>2.2498739999999997</c:v>
                </c:pt>
                <c:pt idx="6">
                  <c:v>2.3997687999999999</c:v>
                </c:pt>
                <c:pt idx="7">
                  <c:v>2.5496635999999997</c:v>
                </c:pt>
                <c:pt idx="8">
                  <c:v>2.6995583999999999</c:v>
                </c:pt>
                <c:pt idx="9">
                  <c:v>2.8494531999999997</c:v>
                </c:pt>
                <c:pt idx="10">
                  <c:v>2.9993479999999999</c:v>
                </c:pt>
                <c:pt idx="11">
                  <c:v>3.1492428000000001</c:v>
                </c:pt>
                <c:pt idx="12">
                  <c:v>3.2991375999999999</c:v>
                </c:pt>
                <c:pt idx="13">
                  <c:v>3.4490323999999997</c:v>
                </c:pt>
                <c:pt idx="14">
                  <c:v>3.5989271999999999</c:v>
                </c:pt>
                <c:pt idx="15">
                  <c:v>3.7488220000000001</c:v>
                </c:pt>
                <c:pt idx="16">
                  <c:v>3.8987167999999999</c:v>
                </c:pt>
                <c:pt idx="17">
                  <c:v>4.0486116000000001</c:v>
                </c:pt>
                <c:pt idx="18">
                  <c:v>4.1985064000000003</c:v>
                </c:pt>
                <c:pt idx="19">
                  <c:v>4.3484012000000005</c:v>
                </c:pt>
                <c:pt idx="20">
                  <c:v>4.4982959999999999</c:v>
                </c:pt>
                <c:pt idx="21">
                  <c:v>4.6481907999999992</c:v>
                </c:pt>
                <c:pt idx="22">
                  <c:v>4.7980856000000003</c:v>
                </c:pt>
                <c:pt idx="23">
                  <c:v>4.9479804000000005</c:v>
                </c:pt>
                <c:pt idx="24">
                  <c:v>5.0978751999999998</c:v>
                </c:pt>
                <c:pt idx="25">
                  <c:v>5.2477699999999992</c:v>
                </c:pt>
                <c:pt idx="26">
                  <c:v>5.3976648000000003</c:v>
                </c:pt>
                <c:pt idx="27">
                  <c:v>5.5475596000000005</c:v>
                </c:pt>
                <c:pt idx="28">
                  <c:v>5.6974543999999998</c:v>
                </c:pt>
                <c:pt idx="29">
                  <c:v>5.8473491999999991</c:v>
                </c:pt>
                <c:pt idx="30">
                  <c:v>5.9972440000000002</c:v>
                </c:pt>
                <c:pt idx="31">
                  <c:v>6.1471387999999996</c:v>
                </c:pt>
                <c:pt idx="32">
                  <c:v>6.2970335999999998</c:v>
                </c:pt>
                <c:pt idx="33">
                  <c:v>6.4469284000000009</c:v>
                </c:pt>
                <c:pt idx="34">
                  <c:v>6.5968232000000002</c:v>
                </c:pt>
                <c:pt idx="35">
                  <c:v>6.7467179999999995</c:v>
                </c:pt>
                <c:pt idx="36">
                  <c:v>6.8966128000000007</c:v>
                </c:pt>
                <c:pt idx="37">
                  <c:v>7.0465076</c:v>
                </c:pt>
                <c:pt idx="38">
                  <c:v>7.1964024000000002</c:v>
                </c:pt>
                <c:pt idx="39">
                  <c:v>7.3462971999999995</c:v>
                </c:pt>
                <c:pt idx="40">
                  <c:v>7.4961920000000006</c:v>
                </c:pt>
                <c:pt idx="41">
                  <c:v>7.6460868</c:v>
                </c:pt>
                <c:pt idx="42">
                  <c:v>7.7959816000000002</c:v>
                </c:pt>
                <c:pt idx="43">
                  <c:v>7.9458763999999995</c:v>
                </c:pt>
                <c:pt idx="44">
                  <c:v>8.0957711999999997</c:v>
                </c:pt>
                <c:pt idx="45">
                  <c:v>8.2456659999999999</c:v>
                </c:pt>
                <c:pt idx="46">
                  <c:v>8.3955608000000002</c:v>
                </c:pt>
                <c:pt idx="47">
                  <c:v>8.5454556000000004</c:v>
                </c:pt>
                <c:pt idx="48">
                  <c:v>8.6953504000000006</c:v>
                </c:pt>
                <c:pt idx="49">
                  <c:v>8.8452452000000008</c:v>
                </c:pt>
                <c:pt idx="50">
                  <c:v>8.9951399999999992</c:v>
                </c:pt>
                <c:pt idx="51">
                  <c:v>9.1450348000000012</c:v>
                </c:pt>
                <c:pt idx="52">
                  <c:v>9.2949295999999997</c:v>
                </c:pt>
                <c:pt idx="53">
                  <c:v>9.4448243999999999</c:v>
                </c:pt>
                <c:pt idx="54">
                  <c:v>9.5947192000000001</c:v>
                </c:pt>
                <c:pt idx="55">
                  <c:v>9.7446140000000003</c:v>
                </c:pt>
                <c:pt idx="56">
                  <c:v>9.8945087999999988</c:v>
                </c:pt>
                <c:pt idx="57">
                  <c:v>10.044403599999999</c:v>
                </c:pt>
                <c:pt idx="58">
                  <c:v>10.194298399999999</c:v>
                </c:pt>
                <c:pt idx="59">
                  <c:v>10.344193200000001</c:v>
                </c:pt>
                <c:pt idx="60">
                  <c:v>10.494088</c:v>
                </c:pt>
                <c:pt idx="61">
                  <c:v>10.6439828</c:v>
                </c:pt>
                <c:pt idx="62">
                  <c:v>10.7938776</c:v>
                </c:pt>
                <c:pt idx="63">
                  <c:v>10.9437724</c:v>
                </c:pt>
                <c:pt idx="64">
                  <c:v>11.093667199999999</c:v>
                </c:pt>
                <c:pt idx="65">
                  <c:v>11.243562000000001</c:v>
                </c:pt>
                <c:pt idx="66">
                  <c:v>11.393456800000001</c:v>
                </c:pt>
                <c:pt idx="67">
                  <c:v>11.543351600000001</c:v>
                </c:pt>
                <c:pt idx="68">
                  <c:v>11.6932464</c:v>
                </c:pt>
                <c:pt idx="69">
                  <c:v>11.8431412</c:v>
                </c:pt>
                <c:pt idx="70">
                  <c:v>11.993036</c:v>
                </c:pt>
                <c:pt idx="71">
                  <c:v>12.142930799999998</c:v>
                </c:pt>
                <c:pt idx="72">
                  <c:v>12.2928256</c:v>
                </c:pt>
                <c:pt idx="73">
                  <c:v>12.442720400000001</c:v>
                </c:pt>
                <c:pt idx="74">
                  <c:v>12.592615200000001</c:v>
                </c:pt>
                <c:pt idx="75">
                  <c:v>12.742510000000001</c:v>
                </c:pt>
                <c:pt idx="76">
                  <c:v>12.8924048</c:v>
                </c:pt>
                <c:pt idx="77">
                  <c:v>13.0422996</c:v>
                </c:pt>
                <c:pt idx="78">
                  <c:v>13.1921944</c:v>
                </c:pt>
                <c:pt idx="79">
                  <c:v>13.342089199999998</c:v>
                </c:pt>
                <c:pt idx="80">
                  <c:v>13.491984</c:v>
                </c:pt>
                <c:pt idx="81">
                  <c:v>13.641878800000001</c:v>
                </c:pt>
                <c:pt idx="82">
                  <c:v>13.791773600000001</c:v>
                </c:pt>
                <c:pt idx="83">
                  <c:v>13.941668400000001</c:v>
                </c:pt>
                <c:pt idx="84">
                  <c:v>14.0915632</c:v>
                </c:pt>
                <c:pt idx="85">
                  <c:v>14.241458</c:v>
                </c:pt>
                <c:pt idx="86">
                  <c:v>14.3913528</c:v>
                </c:pt>
                <c:pt idx="87">
                  <c:v>14.541247600000002</c:v>
                </c:pt>
                <c:pt idx="88">
                  <c:v>14.6911424</c:v>
                </c:pt>
                <c:pt idx="89">
                  <c:v>14.841037200000001</c:v>
                </c:pt>
                <c:pt idx="90">
                  <c:v>14.990932000000001</c:v>
                </c:pt>
                <c:pt idx="91">
                  <c:v>15.140826799999999</c:v>
                </c:pt>
                <c:pt idx="92">
                  <c:v>15.290721599999999</c:v>
                </c:pt>
                <c:pt idx="93">
                  <c:v>15.4406164</c:v>
                </c:pt>
                <c:pt idx="94">
                  <c:v>15.5905112</c:v>
                </c:pt>
                <c:pt idx="95">
                  <c:v>15.740406000000002</c:v>
                </c:pt>
                <c:pt idx="96">
                  <c:v>15.8903008</c:v>
                </c:pt>
                <c:pt idx="97">
                  <c:v>16.040195600000001</c:v>
                </c:pt>
                <c:pt idx="98">
                  <c:v>16.190090399999999</c:v>
                </c:pt>
                <c:pt idx="99">
                  <c:v>16.339985200000001</c:v>
                </c:pt>
                <c:pt idx="100">
                  <c:v>16.489879999999999</c:v>
                </c:pt>
                <c:pt idx="101">
                  <c:v>16.639774799999998</c:v>
                </c:pt>
                <c:pt idx="102">
                  <c:v>16.7896696</c:v>
                </c:pt>
                <c:pt idx="103">
                  <c:v>16.939564400000002</c:v>
                </c:pt>
                <c:pt idx="104">
                  <c:v>17.0894592</c:v>
                </c:pt>
                <c:pt idx="105">
                  <c:v>17.239353999999999</c:v>
                </c:pt>
                <c:pt idx="106">
                  <c:v>17.389248800000001</c:v>
                </c:pt>
                <c:pt idx="107">
                  <c:v>17.539143599999999</c:v>
                </c:pt>
                <c:pt idx="108">
                  <c:v>17.689038400000001</c:v>
                </c:pt>
                <c:pt idx="109">
                  <c:v>17.8389332</c:v>
                </c:pt>
                <c:pt idx="110">
                  <c:v>17.988828000000002</c:v>
                </c:pt>
                <c:pt idx="111">
                  <c:v>18.1387228</c:v>
                </c:pt>
                <c:pt idx="112">
                  <c:v>18.288617600000002</c:v>
                </c:pt>
                <c:pt idx="113">
                  <c:v>18.4385124</c:v>
                </c:pt>
                <c:pt idx="114">
                  <c:v>18.588407199999999</c:v>
                </c:pt>
                <c:pt idx="115">
                  <c:v>18.738302000000001</c:v>
                </c:pt>
                <c:pt idx="116">
                  <c:v>18.888196799999999</c:v>
                </c:pt>
                <c:pt idx="117">
                  <c:v>19.038091600000001</c:v>
                </c:pt>
                <c:pt idx="118">
                  <c:v>19.1879864</c:v>
                </c:pt>
                <c:pt idx="119">
                  <c:v>19.337881200000002</c:v>
                </c:pt>
                <c:pt idx="120">
                  <c:v>19.487775999999997</c:v>
                </c:pt>
                <c:pt idx="121">
                  <c:v>19.637670799999999</c:v>
                </c:pt>
                <c:pt idx="122">
                  <c:v>19.787565599999997</c:v>
                </c:pt>
                <c:pt idx="123">
                  <c:v>19.937460399999999</c:v>
                </c:pt>
                <c:pt idx="124">
                  <c:v>20.087355199999998</c:v>
                </c:pt>
                <c:pt idx="125">
                  <c:v>20.23725</c:v>
                </c:pt>
                <c:pt idx="126">
                  <c:v>20.387144800000002</c:v>
                </c:pt>
                <c:pt idx="127">
                  <c:v>20.5370396</c:v>
                </c:pt>
                <c:pt idx="128">
                  <c:v>20.686934400000002</c:v>
                </c:pt>
                <c:pt idx="129">
                  <c:v>20.8368292</c:v>
                </c:pt>
                <c:pt idx="130">
                  <c:v>20.986723999999999</c:v>
                </c:pt>
                <c:pt idx="131">
                  <c:v>21.136618800000001</c:v>
                </c:pt>
                <c:pt idx="132">
                  <c:v>21.286513599999999</c:v>
                </c:pt>
                <c:pt idx="133">
                  <c:v>21.436408399999998</c:v>
                </c:pt>
                <c:pt idx="134">
                  <c:v>21.5863032</c:v>
                </c:pt>
                <c:pt idx="135">
                  <c:v>21.736197999999998</c:v>
                </c:pt>
                <c:pt idx="136">
                  <c:v>21.886092799999997</c:v>
                </c:pt>
                <c:pt idx="137">
                  <c:v>22.035987599999999</c:v>
                </c:pt>
                <c:pt idx="138">
                  <c:v>22.185882399999997</c:v>
                </c:pt>
                <c:pt idx="139">
                  <c:v>22.335777199999995</c:v>
                </c:pt>
                <c:pt idx="140">
                  <c:v>22.485671999999997</c:v>
                </c:pt>
                <c:pt idx="141">
                  <c:v>22.635566799999996</c:v>
                </c:pt>
                <c:pt idx="142">
                  <c:v>22.785461599999998</c:v>
                </c:pt>
                <c:pt idx="143">
                  <c:v>22.935356399999996</c:v>
                </c:pt>
                <c:pt idx="144">
                  <c:v>23.085251199999998</c:v>
                </c:pt>
                <c:pt idx="145">
                  <c:v>23.235146</c:v>
                </c:pt>
                <c:pt idx="146">
                  <c:v>23.385040799999999</c:v>
                </c:pt>
                <c:pt idx="147">
                  <c:v>23.534935600000001</c:v>
                </c:pt>
                <c:pt idx="148">
                  <c:v>23.684830399999999</c:v>
                </c:pt>
                <c:pt idx="149">
                  <c:v>23.834725199999998</c:v>
                </c:pt>
                <c:pt idx="150">
                  <c:v>23.98462</c:v>
                </c:pt>
                <c:pt idx="151">
                  <c:v>24.134514799999998</c:v>
                </c:pt>
                <c:pt idx="152">
                  <c:v>24.284409599999996</c:v>
                </c:pt>
                <c:pt idx="153">
                  <c:v>24.434304399999998</c:v>
                </c:pt>
                <c:pt idx="154">
                  <c:v>24.584199199999997</c:v>
                </c:pt>
                <c:pt idx="155">
                  <c:v>24.734093999999995</c:v>
                </c:pt>
                <c:pt idx="156">
                  <c:v>24.883988799999997</c:v>
                </c:pt>
                <c:pt idx="157">
                  <c:v>25.033883599999996</c:v>
                </c:pt>
                <c:pt idx="158">
                  <c:v>25.183778399999998</c:v>
                </c:pt>
                <c:pt idx="159">
                  <c:v>25.3336732</c:v>
                </c:pt>
                <c:pt idx="160">
                  <c:v>25.483567999999998</c:v>
                </c:pt>
                <c:pt idx="161">
                  <c:v>25.6334628</c:v>
                </c:pt>
                <c:pt idx="162">
                  <c:v>25.783357599999999</c:v>
                </c:pt>
                <c:pt idx="163">
                  <c:v>25.933252400000001</c:v>
                </c:pt>
                <c:pt idx="164">
                  <c:v>26.083147199999999</c:v>
                </c:pt>
                <c:pt idx="165">
                  <c:v>26.233041999999998</c:v>
                </c:pt>
                <c:pt idx="166">
                  <c:v>26.3829368</c:v>
                </c:pt>
                <c:pt idx="167">
                  <c:v>26.532831599999998</c:v>
                </c:pt>
                <c:pt idx="168">
                  <c:v>26.682726399999996</c:v>
                </c:pt>
                <c:pt idx="169">
                  <c:v>26.832621199999998</c:v>
                </c:pt>
                <c:pt idx="170">
                  <c:v>26.982515999999997</c:v>
                </c:pt>
                <c:pt idx="171">
                  <c:v>27.132410799999995</c:v>
                </c:pt>
                <c:pt idx="172">
                  <c:v>27.282305599999997</c:v>
                </c:pt>
                <c:pt idx="173">
                  <c:v>27.432200399999996</c:v>
                </c:pt>
                <c:pt idx="174">
                  <c:v>27.582095200000001</c:v>
                </c:pt>
                <c:pt idx="175">
                  <c:v>27.73199</c:v>
                </c:pt>
                <c:pt idx="176">
                  <c:v>27.881884799999998</c:v>
                </c:pt>
                <c:pt idx="177">
                  <c:v>28.0317796</c:v>
                </c:pt>
                <c:pt idx="178">
                  <c:v>28.181674399999999</c:v>
                </c:pt>
                <c:pt idx="179">
                  <c:v>28.331569199999997</c:v>
                </c:pt>
                <c:pt idx="180">
                  <c:v>28.481463999999999</c:v>
                </c:pt>
                <c:pt idx="181">
                  <c:v>28.631358799999997</c:v>
                </c:pt>
                <c:pt idx="182">
                  <c:v>28.781253599999999</c:v>
                </c:pt>
                <c:pt idx="183">
                  <c:v>28.931148399999998</c:v>
                </c:pt>
                <c:pt idx="184">
                  <c:v>29.081043199999996</c:v>
                </c:pt>
                <c:pt idx="185">
                  <c:v>29.230937999999998</c:v>
                </c:pt>
                <c:pt idx="186">
                  <c:v>29.380832799999997</c:v>
                </c:pt>
                <c:pt idx="187">
                  <c:v>29.530727599999995</c:v>
                </c:pt>
                <c:pt idx="188">
                  <c:v>29.680622399999997</c:v>
                </c:pt>
                <c:pt idx="189">
                  <c:v>29.830517199999999</c:v>
                </c:pt>
                <c:pt idx="190">
                  <c:v>29.980412000000001</c:v>
                </c:pt>
                <c:pt idx="191">
                  <c:v>30.1303068</c:v>
                </c:pt>
                <c:pt idx="192">
                  <c:v>30.280201599999998</c:v>
                </c:pt>
                <c:pt idx="193">
                  <c:v>30.4300964</c:v>
                </c:pt>
                <c:pt idx="194">
                  <c:v>30.579991199999998</c:v>
                </c:pt>
                <c:pt idx="195">
                  <c:v>30.729885999999997</c:v>
                </c:pt>
                <c:pt idx="196">
                  <c:v>30.879780799999999</c:v>
                </c:pt>
                <c:pt idx="197">
                  <c:v>31.029675599999997</c:v>
                </c:pt>
              </c:numCache>
            </c:numRef>
          </c:val>
          <c:smooth val="0"/>
        </c:ser>
        <c:dLbls>
          <c:showLegendKey val="0"/>
          <c:showVal val="0"/>
          <c:showCatName val="0"/>
          <c:showSerName val="0"/>
          <c:showPercent val="0"/>
          <c:showBubbleSize val="0"/>
        </c:dLbls>
        <c:smooth val="0"/>
        <c:axId val="316938072"/>
        <c:axId val="316938464"/>
      </c:lineChart>
      <c:catAx>
        <c:axId val="316938072"/>
        <c:scaling>
          <c:orientation val="minMax"/>
        </c:scaling>
        <c:delete val="0"/>
        <c:axPos val="b"/>
        <c:title>
          <c:tx>
            <c:rich>
              <a:bodyPr rot="0" vert="horz"/>
              <a:lstStyle/>
              <a:p>
                <a:pPr>
                  <a:defRPr/>
                </a:pPr>
                <a:r>
                  <a:rPr lang="lv-LV"/>
                  <a:t>Patēriņa apjoms kWh</a:t>
                </a:r>
              </a:p>
            </c:rich>
          </c:tx>
          <c:layout/>
          <c:overlay val="0"/>
          <c:spPr>
            <a:noFill/>
            <a:ln>
              <a:noFill/>
            </a:ln>
            <a:effectLst/>
          </c:spPr>
        </c:title>
        <c:majorTickMark val="in"/>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316938464"/>
        <c:crosses val="autoZero"/>
        <c:auto val="1"/>
        <c:lblAlgn val="ctr"/>
        <c:lblOffset val="100"/>
        <c:tickMarkSkip val="10"/>
        <c:noMultiLvlLbl val="0"/>
      </c:catAx>
      <c:valAx>
        <c:axId val="316938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Izmaksas (EUR)</a:t>
                </a:r>
              </a:p>
            </c:rich>
          </c:tx>
          <c:layout>
            <c:manualLayout>
              <c:xMode val="edge"/>
              <c:yMode val="edge"/>
              <c:x val="2.8852459016393443E-2"/>
              <c:y val="0.1186996495380274"/>
            </c:manualLayout>
          </c:layout>
          <c:overlay val="0"/>
          <c:spPr>
            <a:noFill/>
            <a:ln>
              <a:noFill/>
            </a:ln>
            <a:effectLst/>
          </c:spPr>
        </c:title>
        <c:numFmt formatCode="0.00" sourceLinked="1"/>
        <c:majorTickMark val="none"/>
        <c:minorTickMark val="none"/>
        <c:tickLblPos val="nextTo"/>
        <c:spPr>
          <a:noFill/>
          <a:ln>
            <a:noFill/>
          </a:ln>
          <a:effectLst/>
        </c:spPr>
        <c:txPr>
          <a:bodyPr rot="-60000000" vert="horz"/>
          <a:lstStyle/>
          <a:p>
            <a:pPr>
              <a:defRPr/>
            </a:pPr>
            <a:endParaRPr lang="lv-LV"/>
          </a:p>
        </c:txPr>
        <c:crossAx val="316938072"/>
        <c:crosses val="autoZero"/>
        <c:crossBetween val="between"/>
      </c:valAx>
      <c:spPr>
        <a:noFill/>
        <a:ln>
          <a:noFill/>
        </a:ln>
        <a:effectLst/>
      </c:spPr>
    </c:plotArea>
    <c:legend>
      <c:legendPos val="b"/>
      <c:layout/>
      <c:overlay val="0"/>
      <c:spPr>
        <a:noFill/>
        <a:ln>
          <a:noFill/>
        </a:ln>
        <a:effectLst/>
      </c:spPr>
      <c:txPr>
        <a:bodyPr rot="0" vert="horz"/>
        <a:lstStyle/>
        <a:p>
          <a:pPr>
            <a:defRPr/>
          </a:pPr>
          <a:endParaRPr lang="lv-LV"/>
        </a:p>
      </c:txPr>
    </c:legend>
    <c:plotVisOnly val="1"/>
    <c:dispBlanksAs val="gap"/>
    <c:showDLblsOverMax val="0"/>
  </c:chart>
  <c:spPr>
    <a:solidFill>
      <a:schemeClr val="bg2"/>
    </a:solidFill>
    <a:ln w="9525" cap="flat" cmpd="sng" algn="ctr">
      <a:solidFill>
        <a:schemeClr val="accent1"/>
      </a:solidFill>
      <a:round/>
    </a:ln>
    <a:effectLst/>
  </c:spPr>
  <c:txPr>
    <a:bodyPr/>
    <a:lstStyle/>
    <a:p>
      <a:pPr>
        <a:defRPr>
          <a:solidFill>
            <a:schemeClr val="tx1"/>
          </a:solidFill>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'[2016.gada_statistika_EM.xlsx]Sheet1 (2)'!$B$2</c:f>
              <c:strCache>
                <c:ptCount val="1"/>
                <c:pt idx="0">
                  <c:v>Izmaksas līdz 31.07.2016 (EUR)</c:v>
                </c:pt>
              </c:strCache>
            </c:strRef>
          </c:tx>
          <c:spPr>
            <a:ln w="28575" cap="rnd">
              <a:solidFill>
                <a:schemeClr val="accent1"/>
              </a:solidFill>
              <a:round/>
            </a:ln>
            <a:effectLst/>
          </c:spPr>
          <c:marker>
            <c:symbol val="none"/>
          </c:marker>
          <c:val>
            <c:numRef>
              <c:f>'[2016.gada_statistika_EM.xlsx]Sheet1 (2)'!$B$3:$B$303</c:f>
              <c:numCache>
                <c:formatCode>0.00</c:formatCode>
                <c:ptCount val="301"/>
                <c:pt idx="0">
                  <c:v>0</c:v>
                </c:pt>
                <c:pt idx="1">
                  <c:v>0.16500000000000001</c:v>
                </c:pt>
                <c:pt idx="2">
                  <c:v>0.33</c:v>
                </c:pt>
                <c:pt idx="3">
                  <c:v>0.495</c:v>
                </c:pt>
                <c:pt idx="4">
                  <c:v>0.66</c:v>
                </c:pt>
                <c:pt idx="5">
                  <c:v>0.82500000000000007</c:v>
                </c:pt>
                <c:pt idx="6">
                  <c:v>0.99</c:v>
                </c:pt>
                <c:pt idx="7">
                  <c:v>1.155</c:v>
                </c:pt>
                <c:pt idx="8">
                  <c:v>1.32</c:v>
                </c:pt>
                <c:pt idx="9">
                  <c:v>1.4850000000000001</c:v>
                </c:pt>
                <c:pt idx="10">
                  <c:v>1.6500000000000001</c:v>
                </c:pt>
                <c:pt idx="11">
                  <c:v>1.8150000000000002</c:v>
                </c:pt>
                <c:pt idx="12">
                  <c:v>1.98</c:v>
                </c:pt>
                <c:pt idx="13">
                  <c:v>2.145</c:v>
                </c:pt>
                <c:pt idx="14">
                  <c:v>2.31</c:v>
                </c:pt>
                <c:pt idx="15">
                  <c:v>2.4750000000000001</c:v>
                </c:pt>
                <c:pt idx="16">
                  <c:v>2.64</c:v>
                </c:pt>
                <c:pt idx="17">
                  <c:v>2.8050000000000002</c:v>
                </c:pt>
                <c:pt idx="18">
                  <c:v>2.97</c:v>
                </c:pt>
                <c:pt idx="19">
                  <c:v>3.1350000000000002</c:v>
                </c:pt>
                <c:pt idx="20">
                  <c:v>3.3000000000000003</c:v>
                </c:pt>
                <c:pt idx="21">
                  <c:v>3.4650000000000003</c:v>
                </c:pt>
                <c:pt idx="22">
                  <c:v>3.6300000000000003</c:v>
                </c:pt>
                <c:pt idx="23">
                  <c:v>3.7950000000000004</c:v>
                </c:pt>
                <c:pt idx="24">
                  <c:v>3.96</c:v>
                </c:pt>
                <c:pt idx="25">
                  <c:v>4.125</c:v>
                </c:pt>
                <c:pt idx="26">
                  <c:v>4.29</c:v>
                </c:pt>
                <c:pt idx="27">
                  <c:v>4.4550000000000001</c:v>
                </c:pt>
                <c:pt idx="28">
                  <c:v>4.62</c:v>
                </c:pt>
                <c:pt idx="29">
                  <c:v>4.7850000000000001</c:v>
                </c:pt>
                <c:pt idx="30">
                  <c:v>4.95</c:v>
                </c:pt>
                <c:pt idx="31">
                  <c:v>5.1150000000000002</c:v>
                </c:pt>
                <c:pt idx="32">
                  <c:v>5.28</c:v>
                </c:pt>
                <c:pt idx="33">
                  <c:v>5.4450000000000003</c:v>
                </c:pt>
                <c:pt idx="34">
                  <c:v>5.61</c:v>
                </c:pt>
                <c:pt idx="35">
                  <c:v>5.7750000000000004</c:v>
                </c:pt>
                <c:pt idx="36">
                  <c:v>5.94</c:v>
                </c:pt>
                <c:pt idx="37">
                  <c:v>6.1050000000000004</c:v>
                </c:pt>
                <c:pt idx="38">
                  <c:v>6.2700000000000005</c:v>
                </c:pt>
                <c:pt idx="39">
                  <c:v>6.4350000000000005</c:v>
                </c:pt>
                <c:pt idx="40">
                  <c:v>6.6000000000000005</c:v>
                </c:pt>
                <c:pt idx="41">
                  <c:v>6.7650000000000006</c:v>
                </c:pt>
                <c:pt idx="42">
                  <c:v>6.9300000000000006</c:v>
                </c:pt>
                <c:pt idx="43">
                  <c:v>7.0950000000000006</c:v>
                </c:pt>
                <c:pt idx="44">
                  <c:v>7.2600000000000007</c:v>
                </c:pt>
                <c:pt idx="45">
                  <c:v>7.4250000000000007</c:v>
                </c:pt>
                <c:pt idx="46">
                  <c:v>7.5900000000000007</c:v>
                </c:pt>
                <c:pt idx="47">
                  <c:v>7.7550000000000008</c:v>
                </c:pt>
                <c:pt idx="48">
                  <c:v>7.92</c:v>
                </c:pt>
                <c:pt idx="49">
                  <c:v>8.0850000000000009</c:v>
                </c:pt>
                <c:pt idx="50">
                  <c:v>8.25</c:v>
                </c:pt>
                <c:pt idx="51">
                  <c:v>8.4150000000000009</c:v>
                </c:pt>
                <c:pt idx="52">
                  <c:v>8.58</c:v>
                </c:pt>
                <c:pt idx="53">
                  <c:v>8.745000000000001</c:v>
                </c:pt>
                <c:pt idx="54">
                  <c:v>8.91</c:v>
                </c:pt>
                <c:pt idx="55">
                  <c:v>9.0750000000000011</c:v>
                </c:pt>
                <c:pt idx="56">
                  <c:v>9.24</c:v>
                </c:pt>
                <c:pt idx="57">
                  <c:v>9.4050000000000011</c:v>
                </c:pt>
                <c:pt idx="58">
                  <c:v>9.57</c:v>
                </c:pt>
                <c:pt idx="59">
                  <c:v>9.7350000000000012</c:v>
                </c:pt>
                <c:pt idx="60">
                  <c:v>9.9</c:v>
                </c:pt>
                <c:pt idx="61">
                  <c:v>10.065000000000001</c:v>
                </c:pt>
                <c:pt idx="62">
                  <c:v>10.23</c:v>
                </c:pt>
                <c:pt idx="63">
                  <c:v>10.395000000000001</c:v>
                </c:pt>
                <c:pt idx="64">
                  <c:v>10.56</c:v>
                </c:pt>
                <c:pt idx="65">
                  <c:v>10.725</c:v>
                </c:pt>
                <c:pt idx="66">
                  <c:v>10.89</c:v>
                </c:pt>
                <c:pt idx="67">
                  <c:v>11.055</c:v>
                </c:pt>
                <c:pt idx="68">
                  <c:v>11.22</c:v>
                </c:pt>
                <c:pt idx="69">
                  <c:v>11.385</c:v>
                </c:pt>
                <c:pt idx="70">
                  <c:v>11.55</c:v>
                </c:pt>
                <c:pt idx="71">
                  <c:v>11.715</c:v>
                </c:pt>
                <c:pt idx="72">
                  <c:v>11.88</c:v>
                </c:pt>
                <c:pt idx="73">
                  <c:v>12.045</c:v>
                </c:pt>
                <c:pt idx="74">
                  <c:v>12.21</c:v>
                </c:pt>
                <c:pt idx="75">
                  <c:v>12.375</c:v>
                </c:pt>
                <c:pt idx="76">
                  <c:v>12.540000000000001</c:v>
                </c:pt>
                <c:pt idx="77">
                  <c:v>12.705</c:v>
                </c:pt>
                <c:pt idx="78">
                  <c:v>12.870000000000001</c:v>
                </c:pt>
                <c:pt idx="79">
                  <c:v>13.035</c:v>
                </c:pt>
                <c:pt idx="80">
                  <c:v>13.200000000000001</c:v>
                </c:pt>
                <c:pt idx="81">
                  <c:v>13.365</c:v>
                </c:pt>
                <c:pt idx="82">
                  <c:v>13.530000000000001</c:v>
                </c:pt>
                <c:pt idx="83">
                  <c:v>13.695</c:v>
                </c:pt>
                <c:pt idx="84">
                  <c:v>13.860000000000001</c:v>
                </c:pt>
                <c:pt idx="85">
                  <c:v>14.025</c:v>
                </c:pt>
                <c:pt idx="86">
                  <c:v>14.190000000000001</c:v>
                </c:pt>
                <c:pt idx="87">
                  <c:v>14.355</c:v>
                </c:pt>
                <c:pt idx="88">
                  <c:v>14.520000000000001</c:v>
                </c:pt>
                <c:pt idx="89">
                  <c:v>14.685</c:v>
                </c:pt>
                <c:pt idx="90">
                  <c:v>14.850000000000001</c:v>
                </c:pt>
                <c:pt idx="91">
                  <c:v>15.015000000000001</c:v>
                </c:pt>
                <c:pt idx="92">
                  <c:v>15.180000000000001</c:v>
                </c:pt>
                <c:pt idx="93">
                  <c:v>15.345000000000001</c:v>
                </c:pt>
                <c:pt idx="94">
                  <c:v>15.510000000000002</c:v>
                </c:pt>
                <c:pt idx="95">
                  <c:v>15.675000000000001</c:v>
                </c:pt>
                <c:pt idx="96">
                  <c:v>15.84</c:v>
                </c:pt>
                <c:pt idx="97">
                  <c:v>16.004999999999999</c:v>
                </c:pt>
                <c:pt idx="98">
                  <c:v>16.170000000000002</c:v>
                </c:pt>
                <c:pt idx="99">
                  <c:v>16.335000000000001</c:v>
                </c:pt>
                <c:pt idx="100">
                  <c:v>16.5</c:v>
                </c:pt>
                <c:pt idx="101">
                  <c:v>16.664999999999999</c:v>
                </c:pt>
                <c:pt idx="102">
                  <c:v>16.830000000000002</c:v>
                </c:pt>
                <c:pt idx="103">
                  <c:v>16.995000000000001</c:v>
                </c:pt>
                <c:pt idx="104">
                  <c:v>17.16</c:v>
                </c:pt>
                <c:pt idx="105">
                  <c:v>17.324999999999999</c:v>
                </c:pt>
                <c:pt idx="106">
                  <c:v>17.490000000000002</c:v>
                </c:pt>
                <c:pt idx="107">
                  <c:v>17.655000000000001</c:v>
                </c:pt>
                <c:pt idx="108">
                  <c:v>17.82</c:v>
                </c:pt>
                <c:pt idx="109">
                  <c:v>17.984999999999999</c:v>
                </c:pt>
                <c:pt idx="110">
                  <c:v>18.150000000000002</c:v>
                </c:pt>
                <c:pt idx="111">
                  <c:v>18.315000000000001</c:v>
                </c:pt>
                <c:pt idx="112">
                  <c:v>18.48</c:v>
                </c:pt>
                <c:pt idx="113">
                  <c:v>18.645</c:v>
                </c:pt>
                <c:pt idx="114">
                  <c:v>18.810000000000002</c:v>
                </c:pt>
                <c:pt idx="115">
                  <c:v>18.975000000000001</c:v>
                </c:pt>
                <c:pt idx="116">
                  <c:v>19.14</c:v>
                </c:pt>
                <c:pt idx="117">
                  <c:v>19.305</c:v>
                </c:pt>
                <c:pt idx="118">
                  <c:v>19.470000000000002</c:v>
                </c:pt>
                <c:pt idx="119">
                  <c:v>19.635000000000002</c:v>
                </c:pt>
                <c:pt idx="120">
                  <c:v>19.8</c:v>
                </c:pt>
                <c:pt idx="121">
                  <c:v>19.965</c:v>
                </c:pt>
                <c:pt idx="122">
                  <c:v>20.130000000000003</c:v>
                </c:pt>
                <c:pt idx="123">
                  <c:v>20.295000000000002</c:v>
                </c:pt>
                <c:pt idx="124">
                  <c:v>20.46</c:v>
                </c:pt>
                <c:pt idx="125">
                  <c:v>20.625</c:v>
                </c:pt>
                <c:pt idx="126">
                  <c:v>20.790000000000003</c:v>
                </c:pt>
                <c:pt idx="127">
                  <c:v>20.955000000000002</c:v>
                </c:pt>
                <c:pt idx="128">
                  <c:v>21.12</c:v>
                </c:pt>
                <c:pt idx="129">
                  <c:v>21.285</c:v>
                </c:pt>
                <c:pt idx="130">
                  <c:v>21.45</c:v>
                </c:pt>
                <c:pt idx="131">
                  <c:v>21.615000000000002</c:v>
                </c:pt>
                <c:pt idx="132">
                  <c:v>21.78</c:v>
                </c:pt>
                <c:pt idx="133">
                  <c:v>21.945</c:v>
                </c:pt>
                <c:pt idx="134">
                  <c:v>22.11</c:v>
                </c:pt>
                <c:pt idx="135">
                  <c:v>22.275000000000002</c:v>
                </c:pt>
                <c:pt idx="136">
                  <c:v>22.44</c:v>
                </c:pt>
                <c:pt idx="137">
                  <c:v>22.605</c:v>
                </c:pt>
                <c:pt idx="138">
                  <c:v>22.77</c:v>
                </c:pt>
                <c:pt idx="139">
                  <c:v>22.935000000000002</c:v>
                </c:pt>
                <c:pt idx="140">
                  <c:v>23.1</c:v>
                </c:pt>
                <c:pt idx="141">
                  <c:v>23.265000000000001</c:v>
                </c:pt>
                <c:pt idx="142">
                  <c:v>23.43</c:v>
                </c:pt>
                <c:pt idx="143">
                  <c:v>23.595000000000002</c:v>
                </c:pt>
                <c:pt idx="144">
                  <c:v>23.76</c:v>
                </c:pt>
                <c:pt idx="145">
                  <c:v>23.925000000000001</c:v>
                </c:pt>
                <c:pt idx="146">
                  <c:v>24.09</c:v>
                </c:pt>
                <c:pt idx="147">
                  <c:v>24.255000000000003</c:v>
                </c:pt>
                <c:pt idx="148">
                  <c:v>24.42</c:v>
                </c:pt>
                <c:pt idx="149">
                  <c:v>24.585000000000001</c:v>
                </c:pt>
                <c:pt idx="150">
                  <c:v>24.75</c:v>
                </c:pt>
                <c:pt idx="151">
                  <c:v>24.915000000000003</c:v>
                </c:pt>
                <c:pt idx="152">
                  <c:v>25.080000000000002</c:v>
                </c:pt>
                <c:pt idx="153">
                  <c:v>25.245000000000001</c:v>
                </c:pt>
                <c:pt idx="154">
                  <c:v>25.41</c:v>
                </c:pt>
                <c:pt idx="155">
                  <c:v>25.575000000000003</c:v>
                </c:pt>
                <c:pt idx="156">
                  <c:v>25.740000000000002</c:v>
                </c:pt>
                <c:pt idx="157">
                  <c:v>25.905000000000001</c:v>
                </c:pt>
                <c:pt idx="158">
                  <c:v>26.07</c:v>
                </c:pt>
                <c:pt idx="159">
                  <c:v>26.235000000000003</c:v>
                </c:pt>
                <c:pt idx="160">
                  <c:v>26.400000000000002</c:v>
                </c:pt>
                <c:pt idx="161">
                  <c:v>26.565000000000001</c:v>
                </c:pt>
                <c:pt idx="162">
                  <c:v>26.73</c:v>
                </c:pt>
                <c:pt idx="163">
                  <c:v>26.895</c:v>
                </c:pt>
                <c:pt idx="164">
                  <c:v>27.060000000000002</c:v>
                </c:pt>
                <c:pt idx="165">
                  <c:v>27.225000000000001</c:v>
                </c:pt>
                <c:pt idx="166">
                  <c:v>27.39</c:v>
                </c:pt>
                <c:pt idx="167">
                  <c:v>27.555</c:v>
                </c:pt>
                <c:pt idx="168">
                  <c:v>27.720000000000002</c:v>
                </c:pt>
                <c:pt idx="169">
                  <c:v>27.885000000000002</c:v>
                </c:pt>
                <c:pt idx="170">
                  <c:v>28.05</c:v>
                </c:pt>
                <c:pt idx="171">
                  <c:v>28.215</c:v>
                </c:pt>
                <c:pt idx="172">
                  <c:v>28.380000000000003</c:v>
                </c:pt>
                <c:pt idx="173">
                  <c:v>28.545000000000002</c:v>
                </c:pt>
                <c:pt idx="174">
                  <c:v>28.71</c:v>
                </c:pt>
                <c:pt idx="175">
                  <c:v>28.875</c:v>
                </c:pt>
                <c:pt idx="176">
                  <c:v>29.040000000000003</c:v>
                </c:pt>
                <c:pt idx="177">
                  <c:v>29.205000000000002</c:v>
                </c:pt>
                <c:pt idx="178">
                  <c:v>29.37</c:v>
                </c:pt>
                <c:pt idx="179">
                  <c:v>29.535</c:v>
                </c:pt>
                <c:pt idx="180">
                  <c:v>29.700000000000003</c:v>
                </c:pt>
                <c:pt idx="181">
                  <c:v>29.865000000000002</c:v>
                </c:pt>
                <c:pt idx="182">
                  <c:v>30.03</c:v>
                </c:pt>
                <c:pt idx="183">
                  <c:v>30.195</c:v>
                </c:pt>
                <c:pt idx="184">
                  <c:v>30.360000000000003</c:v>
                </c:pt>
                <c:pt idx="185">
                  <c:v>30.525000000000002</c:v>
                </c:pt>
                <c:pt idx="186">
                  <c:v>30.69</c:v>
                </c:pt>
                <c:pt idx="187">
                  <c:v>30.855</c:v>
                </c:pt>
                <c:pt idx="188">
                  <c:v>31.020000000000003</c:v>
                </c:pt>
                <c:pt idx="189">
                  <c:v>31.185000000000002</c:v>
                </c:pt>
                <c:pt idx="190">
                  <c:v>31.35</c:v>
                </c:pt>
                <c:pt idx="191">
                  <c:v>31.515000000000001</c:v>
                </c:pt>
                <c:pt idx="192">
                  <c:v>31.68</c:v>
                </c:pt>
                <c:pt idx="193">
                  <c:v>31.845000000000002</c:v>
                </c:pt>
                <c:pt idx="194">
                  <c:v>32.01</c:v>
                </c:pt>
                <c:pt idx="195">
                  <c:v>32.175000000000004</c:v>
                </c:pt>
                <c:pt idx="196">
                  <c:v>32.340000000000003</c:v>
                </c:pt>
                <c:pt idx="197">
                  <c:v>32.505000000000003</c:v>
                </c:pt>
                <c:pt idx="198">
                  <c:v>32.67</c:v>
                </c:pt>
                <c:pt idx="199">
                  <c:v>32.835000000000001</c:v>
                </c:pt>
                <c:pt idx="200">
                  <c:v>33</c:v>
                </c:pt>
                <c:pt idx="201">
                  <c:v>33.164999999999999</c:v>
                </c:pt>
                <c:pt idx="202">
                  <c:v>33.33</c:v>
                </c:pt>
                <c:pt idx="203">
                  <c:v>33.495000000000005</c:v>
                </c:pt>
                <c:pt idx="204">
                  <c:v>33.660000000000004</c:v>
                </c:pt>
                <c:pt idx="205">
                  <c:v>33.825000000000003</c:v>
                </c:pt>
                <c:pt idx="206">
                  <c:v>33.99</c:v>
                </c:pt>
                <c:pt idx="207">
                  <c:v>34.155000000000001</c:v>
                </c:pt>
                <c:pt idx="208">
                  <c:v>34.32</c:v>
                </c:pt>
                <c:pt idx="209">
                  <c:v>34.484999999999999</c:v>
                </c:pt>
                <c:pt idx="210">
                  <c:v>34.65</c:v>
                </c:pt>
                <c:pt idx="211">
                  <c:v>34.815000000000005</c:v>
                </c:pt>
                <c:pt idx="212">
                  <c:v>34.980000000000004</c:v>
                </c:pt>
                <c:pt idx="213">
                  <c:v>35.145000000000003</c:v>
                </c:pt>
                <c:pt idx="214">
                  <c:v>35.31</c:v>
                </c:pt>
                <c:pt idx="215">
                  <c:v>35.475000000000001</c:v>
                </c:pt>
                <c:pt idx="216">
                  <c:v>35.64</c:v>
                </c:pt>
                <c:pt idx="217">
                  <c:v>35.805</c:v>
                </c:pt>
                <c:pt idx="218">
                  <c:v>35.97</c:v>
                </c:pt>
                <c:pt idx="219">
                  <c:v>36.135000000000005</c:v>
                </c:pt>
                <c:pt idx="220">
                  <c:v>36.300000000000004</c:v>
                </c:pt>
                <c:pt idx="221">
                  <c:v>36.465000000000003</c:v>
                </c:pt>
                <c:pt idx="222">
                  <c:v>36.630000000000003</c:v>
                </c:pt>
                <c:pt idx="223">
                  <c:v>36.795000000000002</c:v>
                </c:pt>
                <c:pt idx="224">
                  <c:v>36.96</c:v>
                </c:pt>
                <c:pt idx="225">
                  <c:v>37.125</c:v>
                </c:pt>
                <c:pt idx="226">
                  <c:v>37.29</c:v>
                </c:pt>
                <c:pt idx="227">
                  <c:v>37.454999999999998</c:v>
                </c:pt>
                <c:pt idx="228">
                  <c:v>37.620000000000005</c:v>
                </c:pt>
                <c:pt idx="229">
                  <c:v>37.785000000000004</c:v>
                </c:pt>
                <c:pt idx="230">
                  <c:v>37.950000000000003</c:v>
                </c:pt>
                <c:pt idx="231">
                  <c:v>38.115000000000002</c:v>
                </c:pt>
                <c:pt idx="232">
                  <c:v>38.28</c:v>
                </c:pt>
                <c:pt idx="233">
                  <c:v>38.445</c:v>
                </c:pt>
                <c:pt idx="234">
                  <c:v>38.61</c:v>
                </c:pt>
                <c:pt idx="235">
                  <c:v>38.774999999999999</c:v>
                </c:pt>
                <c:pt idx="236">
                  <c:v>38.940000000000005</c:v>
                </c:pt>
                <c:pt idx="237">
                  <c:v>39.105000000000004</c:v>
                </c:pt>
                <c:pt idx="238">
                  <c:v>39.270000000000003</c:v>
                </c:pt>
                <c:pt idx="239">
                  <c:v>39.435000000000002</c:v>
                </c:pt>
                <c:pt idx="240">
                  <c:v>39.6</c:v>
                </c:pt>
                <c:pt idx="241">
                  <c:v>39.765000000000001</c:v>
                </c:pt>
                <c:pt idx="242">
                  <c:v>39.93</c:v>
                </c:pt>
                <c:pt idx="243">
                  <c:v>40.094999999999999</c:v>
                </c:pt>
                <c:pt idx="244">
                  <c:v>40.260000000000005</c:v>
                </c:pt>
                <c:pt idx="245">
                  <c:v>40.425000000000004</c:v>
                </c:pt>
                <c:pt idx="246">
                  <c:v>40.590000000000003</c:v>
                </c:pt>
                <c:pt idx="247">
                  <c:v>40.755000000000003</c:v>
                </c:pt>
                <c:pt idx="248">
                  <c:v>40.92</c:v>
                </c:pt>
                <c:pt idx="249">
                  <c:v>41.085000000000001</c:v>
                </c:pt>
                <c:pt idx="250">
                  <c:v>41.25</c:v>
                </c:pt>
                <c:pt idx="251">
                  <c:v>41.414999999999999</c:v>
                </c:pt>
                <c:pt idx="252">
                  <c:v>41.580000000000005</c:v>
                </c:pt>
                <c:pt idx="253">
                  <c:v>41.745000000000005</c:v>
                </c:pt>
                <c:pt idx="254">
                  <c:v>41.910000000000004</c:v>
                </c:pt>
                <c:pt idx="255">
                  <c:v>42.075000000000003</c:v>
                </c:pt>
                <c:pt idx="256">
                  <c:v>42.24</c:v>
                </c:pt>
                <c:pt idx="257">
                  <c:v>42.405000000000001</c:v>
                </c:pt>
                <c:pt idx="258">
                  <c:v>42.57</c:v>
                </c:pt>
                <c:pt idx="259">
                  <c:v>42.734999999999999</c:v>
                </c:pt>
                <c:pt idx="260">
                  <c:v>42.9</c:v>
                </c:pt>
                <c:pt idx="261">
                  <c:v>43.065000000000005</c:v>
                </c:pt>
                <c:pt idx="262">
                  <c:v>43.230000000000004</c:v>
                </c:pt>
                <c:pt idx="263">
                  <c:v>43.395000000000003</c:v>
                </c:pt>
                <c:pt idx="264">
                  <c:v>43.56</c:v>
                </c:pt>
                <c:pt idx="265">
                  <c:v>43.725000000000001</c:v>
                </c:pt>
                <c:pt idx="266">
                  <c:v>43.89</c:v>
                </c:pt>
                <c:pt idx="267">
                  <c:v>44.055</c:v>
                </c:pt>
                <c:pt idx="268">
                  <c:v>44.22</c:v>
                </c:pt>
                <c:pt idx="269">
                  <c:v>44.385000000000005</c:v>
                </c:pt>
                <c:pt idx="270">
                  <c:v>44.550000000000004</c:v>
                </c:pt>
                <c:pt idx="271">
                  <c:v>44.715000000000003</c:v>
                </c:pt>
                <c:pt idx="272">
                  <c:v>44.88</c:v>
                </c:pt>
                <c:pt idx="273">
                  <c:v>45.045000000000002</c:v>
                </c:pt>
                <c:pt idx="274">
                  <c:v>45.21</c:v>
                </c:pt>
                <c:pt idx="275">
                  <c:v>45.375</c:v>
                </c:pt>
                <c:pt idx="276">
                  <c:v>45.54</c:v>
                </c:pt>
                <c:pt idx="277">
                  <c:v>45.705000000000005</c:v>
                </c:pt>
                <c:pt idx="278">
                  <c:v>45.870000000000005</c:v>
                </c:pt>
                <c:pt idx="279">
                  <c:v>46.035000000000004</c:v>
                </c:pt>
                <c:pt idx="280">
                  <c:v>46.2</c:v>
                </c:pt>
                <c:pt idx="281">
                  <c:v>46.365000000000002</c:v>
                </c:pt>
                <c:pt idx="282">
                  <c:v>46.53</c:v>
                </c:pt>
                <c:pt idx="283">
                  <c:v>46.695</c:v>
                </c:pt>
                <c:pt idx="284">
                  <c:v>46.86</c:v>
                </c:pt>
                <c:pt idx="285">
                  <c:v>47.025000000000006</c:v>
                </c:pt>
                <c:pt idx="286">
                  <c:v>47.190000000000005</c:v>
                </c:pt>
                <c:pt idx="287">
                  <c:v>47.355000000000004</c:v>
                </c:pt>
                <c:pt idx="288">
                  <c:v>47.52</c:v>
                </c:pt>
                <c:pt idx="289">
                  <c:v>47.685000000000002</c:v>
                </c:pt>
                <c:pt idx="290">
                  <c:v>47.85</c:v>
                </c:pt>
                <c:pt idx="291">
                  <c:v>48.015000000000001</c:v>
                </c:pt>
                <c:pt idx="292">
                  <c:v>48.18</c:v>
                </c:pt>
                <c:pt idx="293">
                  <c:v>48.344999999999999</c:v>
                </c:pt>
                <c:pt idx="294">
                  <c:v>48.510000000000005</c:v>
                </c:pt>
                <c:pt idx="295">
                  <c:v>48.675000000000004</c:v>
                </c:pt>
                <c:pt idx="296">
                  <c:v>48.84</c:v>
                </c:pt>
                <c:pt idx="297">
                  <c:v>49.005000000000003</c:v>
                </c:pt>
                <c:pt idx="298">
                  <c:v>49.17</c:v>
                </c:pt>
                <c:pt idx="299">
                  <c:v>49.335000000000001</c:v>
                </c:pt>
                <c:pt idx="300">
                  <c:v>49.5</c:v>
                </c:pt>
              </c:numCache>
            </c:numRef>
          </c:val>
          <c:smooth val="0"/>
        </c:ser>
        <c:ser>
          <c:idx val="1"/>
          <c:order val="1"/>
          <c:tx>
            <c:strRef>
              <c:f>'[2016.gada_statistika_EM.xlsx]Sheet1 (2)'!$C$2</c:f>
              <c:strCache>
                <c:ptCount val="1"/>
                <c:pt idx="0">
                  <c:v>Izmaksas no 01.08.2016 (EUR)</c:v>
                </c:pt>
              </c:strCache>
            </c:strRef>
          </c:tx>
          <c:spPr>
            <a:ln w="28575" cap="rnd">
              <a:solidFill>
                <a:schemeClr val="accent2"/>
              </a:solidFill>
              <a:round/>
            </a:ln>
            <a:effectLst/>
          </c:spPr>
          <c:marker>
            <c:symbol val="none"/>
          </c:marker>
          <c:val>
            <c:numRef>
              <c:f>'[2016.gada_statistika_EM.xlsx]Sheet1 (2)'!$C$3:$C$303</c:f>
              <c:numCache>
                <c:formatCode>0.00</c:formatCode>
                <c:ptCount val="301"/>
                <c:pt idx="0">
                  <c:v>3.8719999999999999</c:v>
                </c:pt>
                <c:pt idx="1">
                  <c:v>4.0218948000000001</c:v>
                </c:pt>
                <c:pt idx="2">
                  <c:v>4.1717896000000003</c:v>
                </c:pt>
                <c:pt idx="3">
                  <c:v>4.3216844000000005</c:v>
                </c:pt>
                <c:pt idx="4">
                  <c:v>4.4715791999999999</c:v>
                </c:pt>
                <c:pt idx="5">
                  <c:v>4.6214740000000001</c:v>
                </c:pt>
                <c:pt idx="6">
                  <c:v>4.7713688000000003</c:v>
                </c:pt>
                <c:pt idx="7">
                  <c:v>4.9212636000000005</c:v>
                </c:pt>
                <c:pt idx="8">
                  <c:v>5.0711583999999998</c:v>
                </c:pt>
                <c:pt idx="9">
                  <c:v>5.2210532000000009</c:v>
                </c:pt>
                <c:pt idx="10">
                  <c:v>5.3709480000000003</c:v>
                </c:pt>
                <c:pt idx="11">
                  <c:v>5.5208428000000005</c:v>
                </c:pt>
                <c:pt idx="12">
                  <c:v>5.6707375999999998</c:v>
                </c:pt>
                <c:pt idx="13">
                  <c:v>5.8206324</c:v>
                </c:pt>
                <c:pt idx="14">
                  <c:v>5.9705272000000003</c:v>
                </c:pt>
                <c:pt idx="15">
                  <c:v>6.1204220000000005</c:v>
                </c:pt>
                <c:pt idx="16">
                  <c:v>6.2703167999999998</c:v>
                </c:pt>
                <c:pt idx="17">
                  <c:v>6.4202116000000009</c:v>
                </c:pt>
                <c:pt idx="18">
                  <c:v>6.5701064000000002</c:v>
                </c:pt>
                <c:pt idx="19">
                  <c:v>6.7200012000000005</c:v>
                </c:pt>
                <c:pt idx="20">
                  <c:v>6.8698959999999998</c:v>
                </c:pt>
                <c:pt idx="21">
                  <c:v>7.0197907999999991</c:v>
                </c:pt>
                <c:pt idx="22">
                  <c:v>7.1696856000000002</c:v>
                </c:pt>
                <c:pt idx="23">
                  <c:v>7.3195804000000004</c:v>
                </c:pt>
                <c:pt idx="24">
                  <c:v>7.4694752000000006</c:v>
                </c:pt>
                <c:pt idx="25">
                  <c:v>7.6193700000000009</c:v>
                </c:pt>
                <c:pt idx="26">
                  <c:v>7.7692648000000002</c:v>
                </c:pt>
                <c:pt idx="27">
                  <c:v>7.9191595999999995</c:v>
                </c:pt>
                <c:pt idx="28">
                  <c:v>8.0690543999999989</c:v>
                </c:pt>
                <c:pt idx="29">
                  <c:v>8.2189491999999991</c:v>
                </c:pt>
                <c:pt idx="30">
                  <c:v>8.3688439999999993</c:v>
                </c:pt>
                <c:pt idx="31">
                  <c:v>8.5187387999999995</c:v>
                </c:pt>
                <c:pt idx="32">
                  <c:v>8.6686336000000015</c:v>
                </c:pt>
                <c:pt idx="33">
                  <c:v>8.8185283999999999</c:v>
                </c:pt>
                <c:pt idx="34">
                  <c:v>8.9684232000000002</c:v>
                </c:pt>
                <c:pt idx="35">
                  <c:v>9.1183180000000004</c:v>
                </c:pt>
                <c:pt idx="36">
                  <c:v>9.2682128000000006</c:v>
                </c:pt>
                <c:pt idx="37">
                  <c:v>9.4181076000000008</c:v>
                </c:pt>
                <c:pt idx="38">
                  <c:v>9.5680023999999992</c:v>
                </c:pt>
                <c:pt idx="39">
                  <c:v>9.7178972000000012</c:v>
                </c:pt>
                <c:pt idx="40">
                  <c:v>9.8677919999999997</c:v>
                </c:pt>
                <c:pt idx="41">
                  <c:v>10.0176868</c:v>
                </c:pt>
                <c:pt idx="42">
                  <c:v>10.1675816</c:v>
                </c:pt>
                <c:pt idx="43">
                  <c:v>10.3174764</c:v>
                </c:pt>
                <c:pt idx="44">
                  <c:v>10.467371199999999</c:v>
                </c:pt>
                <c:pt idx="45">
                  <c:v>10.617265999999999</c:v>
                </c:pt>
                <c:pt idx="46">
                  <c:v>10.767160799999999</c:v>
                </c:pt>
                <c:pt idx="47">
                  <c:v>10.917055599999998</c:v>
                </c:pt>
                <c:pt idx="48">
                  <c:v>11.0669504</c:v>
                </c:pt>
                <c:pt idx="49">
                  <c:v>11.2168452</c:v>
                </c:pt>
                <c:pt idx="50">
                  <c:v>11.36674</c:v>
                </c:pt>
                <c:pt idx="51">
                  <c:v>11.516634800000002</c:v>
                </c:pt>
                <c:pt idx="52">
                  <c:v>11.666529600000002</c:v>
                </c:pt>
                <c:pt idx="53">
                  <c:v>11.816424400000001</c:v>
                </c:pt>
                <c:pt idx="54">
                  <c:v>11.966319200000001</c:v>
                </c:pt>
                <c:pt idx="55">
                  <c:v>12.116214000000001</c:v>
                </c:pt>
                <c:pt idx="56">
                  <c:v>12.2661088</c:v>
                </c:pt>
                <c:pt idx="57">
                  <c:v>12.4160036</c:v>
                </c:pt>
                <c:pt idx="58">
                  <c:v>12.5658984</c:v>
                </c:pt>
                <c:pt idx="59">
                  <c:v>12.7157932</c:v>
                </c:pt>
                <c:pt idx="60">
                  <c:v>12.865687999999999</c:v>
                </c:pt>
                <c:pt idx="61">
                  <c:v>13.015582799999999</c:v>
                </c:pt>
                <c:pt idx="62">
                  <c:v>13.165477599999999</c:v>
                </c:pt>
                <c:pt idx="63">
                  <c:v>13.315372400000001</c:v>
                </c:pt>
                <c:pt idx="64">
                  <c:v>13.4652672</c:v>
                </c:pt>
                <c:pt idx="65">
                  <c:v>13.615162000000002</c:v>
                </c:pt>
                <c:pt idx="66">
                  <c:v>13.765056800000002</c:v>
                </c:pt>
                <c:pt idx="67">
                  <c:v>13.914951600000002</c:v>
                </c:pt>
                <c:pt idx="68">
                  <c:v>14.0648464</c:v>
                </c:pt>
                <c:pt idx="69">
                  <c:v>14.214741200000001</c:v>
                </c:pt>
                <c:pt idx="70">
                  <c:v>14.364636000000001</c:v>
                </c:pt>
                <c:pt idx="71">
                  <c:v>14.514530800000001</c:v>
                </c:pt>
                <c:pt idx="72">
                  <c:v>14.6644256</c:v>
                </c:pt>
                <c:pt idx="73">
                  <c:v>14.8143204</c:v>
                </c:pt>
                <c:pt idx="74">
                  <c:v>14.9642152</c:v>
                </c:pt>
                <c:pt idx="75">
                  <c:v>15.114109999999998</c:v>
                </c:pt>
                <c:pt idx="76">
                  <c:v>15.264004799999999</c:v>
                </c:pt>
                <c:pt idx="77">
                  <c:v>15.413899599999999</c:v>
                </c:pt>
                <c:pt idx="78">
                  <c:v>15.563794399999999</c:v>
                </c:pt>
                <c:pt idx="79">
                  <c:v>15.713689199999997</c:v>
                </c:pt>
                <c:pt idx="80">
                  <c:v>15.863584000000001</c:v>
                </c:pt>
                <c:pt idx="81">
                  <c:v>16.013478800000001</c:v>
                </c:pt>
                <c:pt idx="82">
                  <c:v>16.1633736</c:v>
                </c:pt>
                <c:pt idx="83">
                  <c:v>16.313268400000002</c:v>
                </c:pt>
                <c:pt idx="84">
                  <c:v>16.4631632</c:v>
                </c:pt>
                <c:pt idx="85">
                  <c:v>16.613058000000002</c:v>
                </c:pt>
                <c:pt idx="86">
                  <c:v>16.762952800000001</c:v>
                </c:pt>
                <c:pt idx="87">
                  <c:v>16.912847599999999</c:v>
                </c:pt>
                <c:pt idx="88">
                  <c:v>17.062742400000001</c:v>
                </c:pt>
                <c:pt idx="89">
                  <c:v>17.2126372</c:v>
                </c:pt>
                <c:pt idx="90">
                  <c:v>17.362531999999998</c:v>
                </c:pt>
                <c:pt idx="91">
                  <c:v>17.5124268</c:v>
                </c:pt>
                <c:pt idx="92">
                  <c:v>17.662321599999999</c:v>
                </c:pt>
                <c:pt idx="93">
                  <c:v>17.812216399999997</c:v>
                </c:pt>
                <c:pt idx="94">
                  <c:v>17.962111199999999</c:v>
                </c:pt>
                <c:pt idx="95">
                  <c:v>18.112006000000001</c:v>
                </c:pt>
                <c:pt idx="96">
                  <c:v>18.261900800000003</c:v>
                </c:pt>
                <c:pt idx="97">
                  <c:v>18.411795600000001</c:v>
                </c:pt>
                <c:pt idx="98">
                  <c:v>18.5616904</c:v>
                </c:pt>
                <c:pt idx="99">
                  <c:v>18.711585200000002</c:v>
                </c:pt>
                <c:pt idx="100">
                  <c:v>18.86148</c:v>
                </c:pt>
                <c:pt idx="101">
                  <c:v>19.011374799999999</c:v>
                </c:pt>
                <c:pt idx="102">
                  <c:v>19.161269600000001</c:v>
                </c:pt>
                <c:pt idx="103">
                  <c:v>19.311164399999999</c:v>
                </c:pt>
                <c:pt idx="104">
                  <c:v>19.461059200000001</c:v>
                </c:pt>
                <c:pt idx="105">
                  <c:v>19.610954</c:v>
                </c:pt>
                <c:pt idx="106">
                  <c:v>19.760848799999998</c:v>
                </c:pt>
                <c:pt idx="107">
                  <c:v>19.9107436</c:v>
                </c:pt>
                <c:pt idx="108">
                  <c:v>20.060638399999998</c:v>
                </c:pt>
                <c:pt idx="109">
                  <c:v>20.210533199999997</c:v>
                </c:pt>
                <c:pt idx="110">
                  <c:v>20.360428000000002</c:v>
                </c:pt>
                <c:pt idx="111">
                  <c:v>20.510322800000001</c:v>
                </c:pt>
                <c:pt idx="112">
                  <c:v>20.660217600000003</c:v>
                </c:pt>
                <c:pt idx="113">
                  <c:v>20.810112400000001</c:v>
                </c:pt>
                <c:pt idx="114">
                  <c:v>20.9600072</c:v>
                </c:pt>
                <c:pt idx="115">
                  <c:v>21.109902000000002</c:v>
                </c:pt>
                <c:pt idx="116">
                  <c:v>21.2597968</c:v>
                </c:pt>
                <c:pt idx="117">
                  <c:v>21.409691599999999</c:v>
                </c:pt>
                <c:pt idx="118">
                  <c:v>21.559586400000001</c:v>
                </c:pt>
                <c:pt idx="119">
                  <c:v>21.709481199999999</c:v>
                </c:pt>
                <c:pt idx="120">
                  <c:v>21.859375999999997</c:v>
                </c:pt>
                <c:pt idx="121">
                  <c:v>22.009270799999999</c:v>
                </c:pt>
                <c:pt idx="122">
                  <c:v>22.159165599999998</c:v>
                </c:pt>
                <c:pt idx="123">
                  <c:v>22.3090604</c:v>
                </c:pt>
                <c:pt idx="124">
                  <c:v>22.458955199999998</c:v>
                </c:pt>
                <c:pt idx="125">
                  <c:v>22.60885</c:v>
                </c:pt>
                <c:pt idx="126">
                  <c:v>22.758744800000002</c:v>
                </c:pt>
                <c:pt idx="127">
                  <c:v>22.908639600000001</c:v>
                </c:pt>
                <c:pt idx="128">
                  <c:v>23.058534400000003</c:v>
                </c:pt>
                <c:pt idx="129">
                  <c:v>23.208429200000001</c:v>
                </c:pt>
                <c:pt idx="130">
                  <c:v>23.358324</c:v>
                </c:pt>
                <c:pt idx="131">
                  <c:v>23.508218800000002</c:v>
                </c:pt>
                <c:pt idx="132">
                  <c:v>23.6581136</c:v>
                </c:pt>
                <c:pt idx="133">
                  <c:v>23.808008399999999</c:v>
                </c:pt>
                <c:pt idx="134">
                  <c:v>23.957903200000001</c:v>
                </c:pt>
                <c:pt idx="135">
                  <c:v>24.107797999999999</c:v>
                </c:pt>
                <c:pt idx="136">
                  <c:v>24.257692799999997</c:v>
                </c:pt>
                <c:pt idx="137">
                  <c:v>24.407587599999999</c:v>
                </c:pt>
                <c:pt idx="138">
                  <c:v>24.557482399999998</c:v>
                </c:pt>
                <c:pt idx="139">
                  <c:v>24.7073772</c:v>
                </c:pt>
                <c:pt idx="140">
                  <c:v>24.857271999999998</c:v>
                </c:pt>
                <c:pt idx="141">
                  <c:v>25.007166799999997</c:v>
                </c:pt>
                <c:pt idx="142">
                  <c:v>25.157061599999999</c:v>
                </c:pt>
                <c:pt idx="143">
                  <c:v>25.306956399999997</c:v>
                </c:pt>
                <c:pt idx="144">
                  <c:v>25.456851200000003</c:v>
                </c:pt>
                <c:pt idx="145">
                  <c:v>25.606746000000001</c:v>
                </c:pt>
                <c:pt idx="146">
                  <c:v>25.7566408</c:v>
                </c:pt>
                <c:pt idx="147">
                  <c:v>25.906535600000002</c:v>
                </c:pt>
                <c:pt idx="148">
                  <c:v>26.0564304</c:v>
                </c:pt>
                <c:pt idx="149">
                  <c:v>26.206325199999998</c:v>
                </c:pt>
                <c:pt idx="150">
                  <c:v>26.35622</c:v>
                </c:pt>
                <c:pt idx="151">
                  <c:v>26.506114799999999</c:v>
                </c:pt>
                <c:pt idx="152">
                  <c:v>26.656009599999997</c:v>
                </c:pt>
                <c:pt idx="153">
                  <c:v>26.805904399999999</c:v>
                </c:pt>
                <c:pt idx="154">
                  <c:v>26.955799199999998</c:v>
                </c:pt>
                <c:pt idx="155">
                  <c:v>27.105693999999996</c:v>
                </c:pt>
                <c:pt idx="156">
                  <c:v>27.255588799999998</c:v>
                </c:pt>
                <c:pt idx="157">
                  <c:v>27.405483599999997</c:v>
                </c:pt>
                <c:pt idx="158">
                  <c:v>27.555378399999999</c:v>
                </c:pt>
                <c:pt idx="159">
                  <c:v>27.705273200000001</c:v>
                </c:pt>
                <c:pt idx="160">
                  <c:v>27.855167999999999</c:v>
                </c:pt>
                <c:pt idx="161">
                  <c:v>28.005062800000001</c:v>
                </c:pt>
                <c:pt idx="162">
                  <c:v>28.154957599999999</c:v>
                </c:pt>
                <c:pt idx="163">
                  <c:v>28.304852400000001</c:v>
                </c:pt>
                <c:pt idx="164">
                  <c:v>28.4547472</c:v>
                </c:pt>
                <c:pt idx="165">
                  <c:v>28.604641999999998</c:v>
                </c:pt>
                <c:pt idx="166">
                  <c:v>28.7545368</c:v>
                </c:pt>
                <c:pt idx="167">
                  <c:v>28.904431599999999</c:v>
                </c:pt>
                <c:pt idx="168">
                  <c:v>29.054326399999997</c:v>
                </c:pt>
                <c:pt idx="169">
                  <c:v>29.204221199999999</c:v>
                </c:pt>
                <c:pt idx="170">
                  <c:v>29.354115999999998</c:v>
                </c:pt>
                <c:pt idx="171">
                  <c:v>29.504010799999996</c:v>
                </c:pt>
                <c:pt idx="172">
                  <c:v>29.653905599999998</c:v>
                </c:pt>
                <c:pt idx="173">
                  <c:v>29.803800399999997</c:v>
                </c:pt>
                <c:pt idx="174">
                  <c:v>29.953695200000002</c:v>
                </c:pt>
                <c:pt idx="175">
                  <c:v>30.103590000000001</c:v>
                </c:pt>
                <c:pt idx="176">
                  <c:v>30.253484799999999</c:v>
                </c:pt>
                <c:pt idx="177">
                  <c:v>30.403379600000001</c:v>
                </c:pt>
                <c:pt idx="178">
                  <c:v>30.553274399999999</c:v>
                </c:pt>
                <c:pt idx="179">
                  <c:v>30.703169199999998</c:v>
                </c:pt>
                <c:pt idx="180">
                  <c:v>30.853064</c:v>
                </c:pt>
                <c:pt idx="181">
                  <c:v>31.002958799999998</c:v>
                </c:pt>
                <c:pt idx="182">
                  <c:v>31.1528536</c:v>
                </c:pt>
                <c:pt idx="183">
                  <c:v>31.302748399999999</c:v>
                </c:pt>
                <c:pt idx="184">
                  <c:v>31.452643199999997</c:v>
                </c:pt>
                <c:pt idx="185">
                  <c:v>31.602537999999999</c:v>
                </c:pt>
                <c:pt idx="186">
                  <c:v>31.752432799999998</c:v>
                </c:pt>
                <c:pt idx="187">
                  <c:v>31.902327599999996</c:v>
                </c:pt>
                <c:pt idx="188">
                  <c:v>32.052222399999998</c:v>
                </c:pt>
                <c:pt idx="189">
                  <c:v>32.202117200000004</c:v>
                </c:pt>
                <c:pt idx="190">
                  <c:v>32.352012000000002</c:v>
                </c:pt>
                <c:pt idx="191">
                  <c:v>32.5019068</c:v>
                </c:pt>
                <c:pt idx="192">
                  <c:v>32.651801599999999</c:v>
                </c:pt>
                <c:pt idx="193">
                  <c:v>32.801696399999997</c:v>
                </c:pt>
                <c:pt idx="194">
                  <c:v>32.951591200000003</c:v>
                </c:pt>
                <c:pt idx="195">
                  <c:v>33.101486000000001</c:v>
                </c:pt>
                <c:pt idx="196">
                  <c:v>33.2513808</c:v>
                </c:pt>
                <c:pt idx="197">
                  <c:v>33.401275599999998</c:v>
                </c:pt>
                <c:pt idx="198">
                  <c:v>33.551170399999997</c:v>
                </c:pt>
                <c:pt idx="199">
                  <c:v>33.701065199999995</c:v>
                </c:pt>
                <c:pt idx="200">
                  <c:v>33.850960000000001</c:v>
                </c:pt>
                <c:pt idx="201">
                  <c:v>34.000854799999999</c:v>
                </c:pt>
                <c:pt idx="202">
                  <c:v>34.150749599999997</c:v>
                </c:pt>
                <c:pt idx="203">
                  <c:v>34.300644399999996</c:v>
                </c:pt>
                <c:pt idx="204">
                  <c:v>34.450539200000001</c:v>
                </c:pt>
                <c:pt idx="205">
                  <c:v>34.600434</c:v>
                </c:pt>
                <c:pt idx="206">
                  <c:v>34.750328799999998</c:v>
                </c:pt>
                <c:pt idx="207">
                  <c:v>34.900223599999997</c:v>
                </c:pt>
                <c:pt idx="208">
                  <c:v>35.050118400000002</c:v>
                </c:pt>
                <c:pt idx="209">
                  <c:v>35.200013200000001</c:v>
                </c:pt>
                <c:pt idx="210">
                  <c:v>35.349907999999999</c:v>
                </c:pt>
                <c:pt idx="211">
                  <c:v>35.499802799999998</c:v>
                </c:pt>
                <c:pt idx="212">
                  <c:v>35.649697599999996</c:v>
                </c:pt>
                <c:pt idx="213">
                  <c:v>35.799592400000002</c:v>
                </c:pt>
                <c:pt idx="214">
                  <c:v>35.9494872</c:v>
                </c:pt>
                <c:pt idx="215">
                  <c:v>36.099381999999999</c:v>
                </c:pt>
                <c:pt idx="216">
                  <c:v>36.249276799999997</c:v>
                </c:pt>
                <c:pt idx="217">
                  <c:v>36.399171599999995</c:v>
                </c:pt>
                <c:pt idx="218">
                  <c:v>36.549066399999994</c:v>
                </c:pt>
                <c:pt idx="219">
                  <c:v>36.698961199999999</c:v>
                </c:pt>
                <c:pt idx="220">
                  <c:v>36.848855999999998</c:v>
                </c:pt>
                <c:pt idx="221">
                  <c:v>36.998750800000003</c:v>
                </c:pt>
                <c:pt idx="222">
                  <c:v>37.148645600000002</c:v>
                </c:pt>
                <c:pt idx="223">
                  <c:v>37.2985404</c:v>
                </c:pt>
                <c:pt idx="224">
                  <c:v>37.448435199999999</c:v>
                </c:pt>
                <c:pt idx="225">
                  <c:v>37.598329999999997</c:v>
                </c:pt>
                <c:pt idx="226">
                  <c:v>37.748224799999996</c:v>
                </c:pt>
                <c:pt idx="227">
                  <c:v>37.898119600000001</c:v>
                </c:pt>
                <c:pt idx="228">
                  <c:v>38.0480144</c:v>
                </c:pt>
                <c:pt idx="229">
                  <c:v>38.197909199999998</c:v>
                </c:pt>
                <c:pt idx="230">
                  <c:v>38.347803999999996</c:v>
                </c:pt>
                <c:pt idx="231">
                  <c:v>38.497698799999995</c:v>
                </c:pt>
                <c:pt idx="232">
                  <c:v>38.6475936</c:v>
                </c:pt>
                <c:pt idx="233">
                  <c:v>38.797488399999999</c:v>
                </c:pt>
                <c:pt idx="234">
                  <c:v>38.947383200000004</c:v>
                </c:pt>
                <c:pt idx="235">
                  <c:v>39.097278000000003</c:v>
                </c:pt>
                <c:pt idx="236">
                  <c:v>39.247172800000001</c:v>
                </c:pt>
                <c:pt idx="237">
                  <c:v>39.397067600000007</c:v>
                </c:pt>
                <c:pt idx="238">
                  <c:v>39.546962400000005</c:v>
                </c:pt>
                <c:pt idx="239">
                  <c:v>39.696857200000004</c:v>
                </c:pt>
                <c:pt idx="240">
                  <c:v>39.846752000000002</c:v>
                </c:pt>
                <c:pt idx="241">
                  <c:v>39.996646800000001</c:v>
                </c:pt>
                <c:pt idx="242">
                  <c:v>40.146541600000006</c:v>
                </c:pt>
                <c:pt idx="243">
                  <c:v>40.296436400000005</c:v>
                </c:pt>
                <c:pt idx="244">
                  <c:v>40.446331200000003</c:v>
                </c:pt>
                <c:pt idx="245">
                  <c:v>40.596226000000001</c:v>
                </c:pt>
                <c:pt idx="246">
                  <c:v>40.7461208</c:v>
                </c:pt>
                <c:pt idx="247">
                  <c:v>40.896015599999998</c:v>
                </c:pt>
                <c:pt idx="248">
                  <c:v>41.045910400000004</c:v>
                </c:pt>
                <c:pt idx="249">
                  <c:v>41.195805200000002</c:v>
                </c:pt>
                <c:pt idx="250">
                  <c:v>41.345700000000001</c:v>
                </c:pt>
                <c:pt idx="251">
                  <c:v>41.495594799999999</c:v>
                </c:pt>
                <c:pt idx="252">
                  <c:v>41.645489599999998</c:v>
                </c:pt>
                <c:pt idx="253">
                  <c:v>41.795384400000003</c:v>
                </c:pt>
                <c:pt idx="254">
                  <c:v>41.945279200000002</c:v>
                </c:pt>
                <c:pt idx="255">
                  <c:v>42.095174</c:v>
                </c:pt>
                <c:pt idx="256">
                  <c:v>42.245068799999999</c:v>
                </c:pt>
                <c:pt idx="257">
                  <c:v>42.394963599999997</c:v>
                </c:pt>
                <c:pt idx="258">
                  <c:v>42.544858399999995</c:v>
                </c:pt>
                <c:pt idx="259">
                  <c:v>42.694753200000008</c:v>
                </c:pt>
                <c:pt idx="260">
                  <c:v>42.844648000000007</c:v>
                </c:pt>
                <c:pt idx="261">
                  <c:v>42.994542800000005</c:v>
                </c:pt>
                <c:pt idx="262">
                  <c:v>43.144437600000003</c:v>
                </c:pt>
                <c:pt idx="263">
                  <c:v>43.294332400000009</c:v>
                </c:pt>
                <c:pt idx="264">
                  <c:v>43.444227200000007</c:v>
                </c:pt>
                <c:pt idx="265">
                  <c:v>43.594122000000006</c:v>
                </c:pt>
                <c:pt idx="266">
                  <c:v>43.744016800000004</c:v>
                </c:pt>
                <c:pt idx="267">
                  <c:v>43.893911600000003</c:v>
                </c:pt>
                <c:pt idx="268">
                  <c:v>44.043806400000001</c:v>
                </c:pt>
                <c:pt idx="269">
                  <c:v>44.193701200000007</c:v>
                </c:pt>
                <c:pt idx="270">
                  <c:v>44.343596000000005</c:v>
                </c:pt>
                <c:pt idx="271">
                  <c:v>44.493490800000004</c:v>
                </c:pt>
                <c:pt idx="272">
                  <c:v>44.643385600000002</c:v>
                </c:pt>
                <c:pt idx="273">
                  <c:v>44.7932804</c:v>
                </c:pt>
                <c:pt idx="274">
                  <c:v>44.943175200000006</c:v>
                </c:pt>
                <c:pt idx="275">
                  <c:v>45.093070000000004</c:v>
                </c:pt>
                <c:pt idx="276">
                  <c:v>45.242964800000003</c:v>
                </c:pt>
                <c:pt idx="277">
                  <c:v>45.392859600000001</c:v>
                </c:pt>
                <c:pt idx="278">
                  <c:v>45.5427544</c:v>
                </c:pt>
                <c:pt idx="279">
                  <c:v>45.692649199999998</c:v>
                </c:pt>
                <c:pt idx="280">
                  <c:v>45.842544000000004</c:v>
                </c:pt>
                <c:pt idx="281">
                  <c:v>45.992438800000002</c:v>
                </c:pt>
                <c:pt idx="282">
                  <c:v>46.142333600000001</c:v>
                </c:pt>
                <c:pt idx="283">
                  <c:v>46.292228399999999</c:v>
                </c:pt>
                <c:pt idx="284">
                  <c:v>46.442123199999997</c:v>
                </c:pt>
                <c:pt idx="285">
                  <c:v>46.592017999999996</c:v>
                </c:pt>
                <c:pt idx="286">
                  <c:v>46.741912800000001</c:v>
                </c:pt>
                <c:pt idx="287">
                  <c:v>46.891807600000007</c:v>
                </c:pt>
                <c:pt idx="288">
                  <c:v>47.041702400000005</c:v>
                </c:pt>
                <c:pt idx="289">
                  <c:v>47.191597200000004</c:v>
                </c:pt>
                <c:pt idx="290">
                  <c:v>47.341492000000009</c:v>
                </c:pt>
                <c:pt idx="291">
                  <c:v>47.491386800000008</c:v>
                </c:pt>
                <c:pt idx="292">
                  <c:v>47.641281600000006</c:v>
                </c:pt>
                <c:pt idx="293">
                  <c:v>47.791176400000005</c:v>
                </c:pt>
                <c:pt idx="294">
                  <c:v>47.941071200000003</c:v>
                </c:pt>
                <c:pt idx="295">
                  <c:v>48.090966000000009</c:v>
                </c:pt>
                <c:pt idx="296">
                  <c:v>48.240860800000007</c:v>
                </c:pt>
                <c:pt idx="297">
                  <c:v>48.390755600000006</c:v>
                </c:pt>
                <c:pt idx="298">
                  <c:v>48.540650400000004</c:v>
                </c:pt>
                <c:pt idx="299">
                  <c:v>48.690545200000003</c:v>
                </c:pt>
                <c:pt idx="300">
                  <c:v>48.840440000000001</c:v>
                </c:pt>
              </c:numCache>
            </c:numRef>
          </c:val>
          <c:smooth val="0"/>
        </c:ser>
        <c:dLbls>
          <c:showLegendKey val="0"/>
          <c:showVal val="0"/>
          <c:showCatName val="0"/>
          <c:showSerName val="0"/>
          <c:showPercent val="0"/>
          <c:showBubbleSize val="0"/>
        </c:dLbls>
        <c:smooth val="0"/>
        <c:axId val="316936896"/>
        <c:axId val="410142416"/>
      </c:lineChart>
      <c:catAx>
        <c:axId val="316936896"/>
        <c:scaling>
          <c:orientation val="minMax"/>
        </c:scaling>
        <c:delete val="0"/>
        <c:axPos val="b"/>
        <c:title>
          <c:tx>
            <c:rich>
              <a:bodyPr rot="0" vert="horz"/>
              <a:lstStyle/>
              <a:p>
                <a:pPr>
                  <a:defRPr/>
                </a:pPr>
                <a:r>
                  <a:rPr lang="lv-LV"/>
                  <a:t>Patēriņa apjoms kWh</a:t>
                </a:r>
              </a:p>
            </c:rich>
          </c:tx>
          <c:layout/>
          <c:overlay val="0"/>
          <c:spPr>
            <a:noFill/>
            <a:ln>
              <a:noFill/>
            </a:ln>
            <a:effectLst/>
          </c:spPr>
        </c:title>
        <c:majorTickMark val="in"/>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410142416"/>
        <c:crosses val="autoZero"/>
        <c:auto val="1"/>
        <c:lblAlgn val="ctr"/>
        <c:lblOffset val="100"/>
        <c:tickMarkSkip val="10"/>
        <c:noMultiLvlLbl val="0"/>
      </c:catAx>
      <c:valAx>
        <c:axId val="41014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lv-LV"/>
                  <a:t>Izmaksas (EUR)</a:t>
                </a:r>
              </a:p>
            </c:rich>
          </c:tx>
          <c:layout/>
          <c:overlay val="0"/>
          <c:spPr>
            <a:noFill/>
            <a:ln>
              <a:noFill/>
            </a:ln>
            <a:effectLst/>
          </c:spPr>
        </c:title>
        <c:numFmt formatCode="0.00" sourceLinked="1"/>
        <c:majorTickMark val="none"/>
        <c:minorTickMark val="none"/>
        <c:tickLblPos val="nextTo"/>
        <c:spPr>
          <a:noFill/>
          <a:ln>
            <a:noFill/>
          </a:ln>
          <a:effectLst/>
        </c:spPr>
        <c:txPr>
          <a:bodyPr rot="-60000000" vert="horz"/>
          <a:lstStyle/>
          <a:p>
            <a:pPr>
              <a:defRPr/>
            </a:pPr>
            <a:endParaRPr lang="lv-LV"/>
          </a:p>
        </c:txPr>
        <c:crossAx val="316936896"/>
        <c:crosses val="autoZero"/>
        <c:crossBetween val="between"/>
      </c:valAx>
      <c:spPr>
        <a:noFill/>
        <a:ln>
          <a:noFill/>
        </a:ln>
        <a:effectLst/>
      </c:spPr>
    </c:plotArea>
    <c:legend>
      <c:legendPos val="b"/>
      <c:layout/>
      <c:overlay val="0"/>
      <c:spPr>
        <a:noFill/>
        <a:ln>
          <a:noFill/>
        </a:ln>
        <a:effectLst/>
      </c:spPr>
      <c:txPr>
        <a:bodyPr rot="0" vert="horz"/>
        <a:lstStyle/>
        <a:p>
          <a:pPr>
            <a:defRPr/>
          </a:pPr>
          <a:endParaRPr lang="lv-LV"/>
        </a:p>
      </c:txPr>
    </c:legend>
    <c:plotVisOnly val="1"/>
    <c:dispBlanksAs val="gap"/>
    <c:showDLblsOverMax val="0"/>
  </c:chart>
  <c:spPr>
    <a:solidFill>
      <a:schemeClr val="bg2"/>
    </a:solidFill>
    <a:ln w="9525" cap="flat" cmpd="sng" algn="ctr">
      <a:solidFill>
        <a:schemeClr val="accent1"/>
      </a:solidFill>
      <a:round/>
    </a:ln>
    <a:effectLst/>
  </c:spPr>
  <c:txPr>
    <a:bodyPr/>
    <a:lstStyle/>
    <a:p>
      <a:pPr>
        <a:defRPr>
          <a:solidFill>
            <a:schemeClr val="tx1"/>
          </a:solidFill>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Pieteikumu skaits</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Maijs</c:v>
                </c:pt>
                <c:pt idx="1">
                  <c:v>Jūnijs</c:v>
                </c:pt>
                <c:pt idx="2">
                  <c:v>Jūlijs</c:v>
                </c:pt>
                <c:pt idx="3">
                  <c:v>Augusts</c:v>
                </c:pt>
                <c:pt idx="4">
                  <c:v>Septembris</c:v>
                </c:pt>
                <c:pt idx="5">
                  <c:v>Oktobris</c:v>
                </c:pt>
                <c:pt idx="6">
                  <c:v>Novembris</c:v>
                </c:pt>
                <c:pt idx="7">
                  <c:v>Decembris</c:v>
                </c:pt>
              </c:strCache>
            </c:strRef>
          </c:cat>
          <c:val>
            <c:numRef>
              <c:f>Sheet1!$B$2:$B$9</c:f>
              <c:numCache>
                <c:formatCode>General</c:formatCode>
                <c:ptCount val="8"/>
                <c:pt idx="0">
                  <c:v>154</c:v>
                </c:pt>
                <c:pt idx="1">
                  <c:v>1314</c:v>
                </c:pt>
                <c:pt idx="2">
                  <c:v>6183</c:v>
                </c:pt>
                <c:pt idx="3">
                  <c:v>3666</c:v>
                </c:pt>
                <c:pt idx="4">
                  <c:v>5174</c:v>
                </c:pt>
                <c:pt idx="5">
                  <c:v>3913</c:v>
                </c:pt>
                <c:pt idx="6">
                  <c:v>2843</c:v>
                </c:pt>
                <c:pt idx="7">
                  <c:v>1758</c:v>
                </c:pt>
              </c:numCache>
            </c:numRef>
          </c:val>
        </c:ser>
        <c:dLbls>
          <c:showLegendKey val="0"/>
          <c:showVal val="0"/>
          <c:showCatName val="0"/>
          <c:showSerName val="0"/>
          <c:showPercent val="0"/>
          <c:showBubbleSize val="0"/>
        </c:dLbls>
        <c:gapWidth val="150"/>
        <c:axId val="410141632"/>
        <c:axId val="410139280"/>
      </c:barChart>
      <c:catAx>
        <c:axId val="4101416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v-LV"/>
          </a:p>
        </c:txPr>
        <c:crossAx val="410139280"/>
        <c:crosses val="autoZero"/>
        <c:auto val="1"/>
        <c:lblAlgn val="ctr"/>
        <c:lblOffset val="100"/>
        <c:noMultiLvlLbl val="0"/>
      </c:catAx>
      <c:valAx>
        <c:axId val="410139280"/>
        <c:scaling>
          <c:orientation val="minMax"/>
        </c:scaling>
        <c:delete val="1"/>
        <c:axPos val="l"/>
        <c:numFmt formatCode="#,##0" sourceLinked="0"/>
        <c:majorTickMark val="out"/>
        <c:minorTickMark val="none"/>
        <c:tickLblPos val="nextTo"/>
        <c:crossAx val="410141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78F2-B900-409F-B23C-A5D52764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4513</Words>
  <Characters>31894</Characters>
  <Application>Microsoft Office Word</Application>
  <DocSecurity>0</DocSecurity>
  <Lines>622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Valdmanis</dc:creator>
  <cp:keywords/>
  <dc:description/>
  <cp:lastModifiedBy>Olga Bogdanova</cp:lastModifiedBy>
  <cp:revision>11</cp:revision>
  <dcterms:created xsi:type="dcterms:W3CDTF">2017-03-03T09:08:00Z</dcterms:created>
  <dcterms:modified xsi:type="dcterms:W3CDTF">2017-03-07T13:45:00Z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