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C1B4B" w14:textId="77777777" w:rsidR="005E59FD" w:rsidRDefault="005E59FD" w:rsidP="00A0648A">
      <w:pPr>
        <w:spacing w:before="240" w:after="120"/>
        <w:jc w:val="center"/>
        <w:rPr>
          <w:b/>
        </w:rPr>
      </w:pPr>
      <w:r>
        <w:rPr>
          <w:b/>
        </w:rPr>
        <w:t>INFORMATĪVAIS ZIŅOJUMS</w:t>
      </w:r>
    </w:p>
    <w:p w14:paraId="7281539B" w14:textId="217034BD" w:rsidR="005E59FD" w:rsidRDefault="005E59FD" w:rsidP="00A418B3">
      <w:pPr>
        <w:pStyle w:val="BodyText"/>
        <w:spacing w:after="120"/>
        <w:rPr>
          <w:szCs w:val="24"/>
        </w:rPr>
      </w:pPr>
      <w:r>
        <w:rPr>
          <w:szCs w:val="24"/>
        </w:rPr>
        <w:t xml:space="preserve">par Eiropas Savienības Konkurētspējas </w:t>
      </w:r>
      <w:r w:rsidR="002D3677">
        <w:rPr>
          <w:szCs w:val="24"/>
        </w:rPr>
        <w:t>ministru padomes 2017. gada 29.maija</w:t>
      </w:r>
      <w:r>
        <w:rPr>
          <w:szCs w:val="24"/>
        </w:rPr>
        <w:t xml:space="preserve"> sanāksmē izskatāmajiem jautājumiem</w:t>
      </w:r>
    </w:p>
    <w:p w14:paraId="667161CF" w14:textId="7EA0F47D" w:rsidR="005E59FD" w:rsidRDefault="002D3677" w:rsidP="005E59FD">
      <w:pPr>
        <w:keepNext/>
        <w:keepLines/>
        <w:spacing w:after="120"/>
        <w:ind w:firstLine="567"/>
        <w:jc w:val="both"/>
      </w:pPr>
      <w:r>
        <w:t>2017. gada 29.</w:t>
      </w:r>
      <w:r w:rsidR="005E59FD">
        <w:t>maijā Briselē (Beļģijā) notiks kārtējā Eiropas Savienības (turpmāk – ES) Konkurētspējas ministru padomes sanāksme iekšējā tirgus un rūpniecības jautājumos. Sanāksmē tiks izskatīti šādi Ekonomikas ministrijas, Satiksmes ministrijas</w:t>
      </w:r>
      <w:r w:rsidR="00C65C2E">
        <w:t>, Izglītības un zinātnes ministrijas</w:t>
      </w:r>
      <w:r w:rsidR="006B3525">
        <w:t xml:space="preserve">, </w:t>
      </w:r>
      <w:r w:rsidR="005E59FD">
        <w:t xml:space="preserve"> </w:t>
      </w:r>
      <w:r w:rsidR="006B3525" w:rsidRPr="006B3525">
        <w:t>Vides aizsardzības un reģionālās attīstības ministrija</w:t>
      </w:r>
      <w:r w:rsidR="006B3525">
        <w:t>s</w:t>
      </w:r>
      <w:r w:rsidR="00A40642">
        <w:t>, Kultūras ministrijas</w:t>
      </w:r>
      <w:r w:rsidR="006B3525" w:rsidRPr="006B3525">
        <w:t xml:space="preserve"> </w:t>
      </w:r>
      <w:r w:rsidR="005E59FD">
        <w:t>un Tieslietu ministrijas kompetencē esoši jautājumi:</w:t>
      </w:r>
    </w:p>
    <w:p w14:paraId="26C22FD2" w14:textId="77777777" w:rsidR="004900E8" w:rsidRPr="007F593C" w:rsidRDefault="007F593C" w:rsidP="007F593C">
      <w:pPr>
        <w:pStyle w:val="ListParagraph"/>
        <w:numPr>
          <w:ilvl w:val="0"/>
          <w:numId w:val="2"/>
        </w:numPr>
        <w:jc w:val="both"/>
        <w:rPr>
          <w:b/>
        </w:rPr>
      </w:pPr>
      <w:r w:rsidRPr="007F593C">
        <w:rPr>
          <w:b/>
        </w:rPr>
        <w:t>Priekšlikums Eiropas Parlamenta un Padomes Regulai par mehānisko transportlīdzekļu un to piekabju, kā arī tādiem transportlīdzekļiem paredzētu sistēmu, sastāvdaļu un atsevišķu tehnisku vienību apstiprināšanu un tirgus uzraudzību</w:t>
      </w:r>
      <w:r w:rsidR="007C5125">
        <w:rPr>
          <w:b/>
        </w:rPr>
        <w:t xml:space="preserve"> </w:t>
      </w:r>
      <w:r w:rsidR="007C5125" w:rsidRPr="007C5125">
        <w:t>(Satiksmes ministrijas jautājums)</w:t>
      </w:r>
    </w:p>
    <w:p w14:paraId="02B15B2B" w14:textId="77777777" w:rsidR="007F593C" w:rsidRDefault="007F593C" w:rsidP="007F593C">
      <w:pPr>
        <w:pStyle w:val="DashEqual1"/>
        <w:numPr>
          <w:ilvl w:val="0"/>
          <w:numId w:val="0"/>
        </w:numPr>
        <w:ind w:left="360" w:firstLine="360"/>
        <w:rPr>
          <w:i/>
          <w:lang w:val="lv-LV"/>
        </w:rPr>
      </w:pPr>
      <w:r>
        <w:rPr>
          <w:i/>
          <w:lang w:val="lv-LV"/>
        </w:rPr>
        <w:t>= Vispārējās pieejas apstiprināšana</w:t>
      </w:r>
    </w:p>
    <w:p w14:paraId="690325DC" w14:textId="77777777" w:rsidR="00FF1738" w:rsidRDefault="00FF1738" w:rsidP="00FF1738">
      <w:pPr>
        <w:spacing w:after="120"/>
        <w:ind w:firstLine="357"/>
        <w:jc w:val="both"/>
      </w:pPr>
      <w:r>
        <w:t>Regulas projekta</w:t>
      </w:r>
      <w:r>
        <w:rPr>
          <w:b/>
        </w:rPr>
        <w:t xml:space="preserve"> </w:t>
      </w:r>
      <w:r>
        <w:t xml:space="preserve">mērķis ir pārskatīt mehānisko transportlīdzekļu un to piekabju tipa apstiprināšanas tiesisko regulējumu, prioritāri pārskatot Pamatdirektīvu (Eiropas Parlamenta un Padomes Direktīva 2007/46/EK (2007. gada 5. septembris), ar ko izveido sistēmu mehānisko transportlīdzekļu un to piekabju, kā arī tādiem transportlīdzekļiem paredzētu sistēmu, sastāvdaļu un atsevišķu tehnisku vienību apstiprināšanai). </w:t>
      </w:r>
    </w:p>
    <w:p w14:paraId="38D04D54" w14:textId="77777777" w:rsidR="00587BDB" w:rsidRDefault="00FF1738" w:rsidP="00FF1738">
      <w:pPr>
        <w:spacing w:after="120"/>
        <w:ind w:firstLine="357"/>
        <w:jc w:val="both"/>
      </w:pPr>
      <w:r>
        <w:t>Galvenā uzmanība pievērsta šādiem aspektiem, kā tirgus uzraudzības noteikumu ieviešana, lai papildinātu tipa apstiprināšanas prasības; atsaukšanas un aizsardzības procedūru precizēšana, kā arī to nosacījumu precizēšana, kas jāievēro, piešķirot paplašinājumus apstiprinājumiem, kas izsniegti esošiem transportlīdzekļu tipiem; tipa apstiprināšanas regulējuma izpildes uzlabošana, saskaņojot un uzlabojot tipa apstiprināšanas un ražošanas atbilstības nodrošināšanas procedūras, ko piemēro dalībvalstu iestādes un tehniskie dienesti u.c. aspekti.</w:t>
      </w:r>
      <w:r w:rsidR="00713E65">
        <w:t xml:space="preserve"> </w:t>
      </w:r>
    </w:p>
    <w:p w14:paraId="50B46D08" w14:textId="5408974B" w:rsidR="00BA2FAC" w:rsidRDefault="00A40642" w:rsidP="00BA2FAC">
      <w:pPr>
        <w:spacing w:after="120"/>
        <w:ind w:firstLine="357"/>
        <w:jc w:val="both"/>
      </w:pPr>
      <w:r>
        <w:t>Konkurētspējas m</w:t>
      </w:r>
      <w:r w:rsidR="00BA2FAC">
        <w:t>inistru padomē ir plānota vienošanās par atsevišķiem priekšlikuma elementiem, lai vienotos par vispārējo pieeju.</w:t>
      </w:r>
    </w:p>
    <w:p w14:paraId="59CC6DEF" w14:textId="77777777" w:rsidR="002D3677" w:rsidRDefault="002D3677" w:rsidP="002D3677">
      <w:pPr>
        <w:keepNext/>
        <w:keepLines/>
        <w:shd w:val="clear" w:color="auto" w:fill="FFFFFF"/>
        <w:spacing w:before="120" w:after="120"/>
        <w:ind w:firstLine="357"/>
        <w:jc w:val="both"/>
        <w:rPr>
          <w:color w:val="000000"/>
        </w:rPr>
      </w:pPr>
      <w:r w:rsidRPr="002D3677">
        <w:rPr>
          <w:b/>
          <w:color w:val="000000"/>
          <w:u w:val="single"/>
        </w:rPr>
        <w:t>Latvijas nostāja:</w:t>
      </w:r>
    </w:p>
    <w:p w14:paraId="34C7ABBE" w14:textId="1E912AD6" w:rsidR="00BA2FAC" w:rsidRDefault="00BA2FAC" w:rsidP="00BA2FAC">
      <w:pPr>
        <w:spacing w:after="120"/>
        <w:ind w:firstLine="357"/>
        <w:jc w:val="both"/>
      </w:pPr>
      <w:r>
        <w:t>Latvija kopumā atbalsta Regulas priekšlikuma mērķi, kas paredz atvieglot mehānisko transportlīdzekļu un to piekabju brīvu apriti iekšējā tirgū, izvirzot saskaņotas prasības, kas izstrādātas, lai tiktu sasniegti kopējie vides un drošības mērķi. Latvi</w:t>
      </w:r>
      <w:r w:rsidR="00A40642">
        <w:t>ja uzver Maltas un iepriekšējo p</w:t>
      </w:r>
      <w:r>
        <w:t xml:space="preserve">rezidentūru darbu pie priekšlikuma, lai rastu sabalansētu priekšlikumu, tāpēc sarunās ar Eiropas Parlamentu būtiski ņemt vērā, ka šis ir trausls kompromiss. Latvija kopumā atbalstīs vispārējo pieeju vienlaikus paužot bažas par vairākiem priekšlikuma elementiem, kas tiks izklāstīti pievienotajā deklarācijā. </w:t>
      </w:r>
    </w:p>
    <w:p w14:paraId="6A32122C" w14:textId="77777777" w:rsidR="007F593C" w:rsidRDefault="007F593C" w:rsidP="007F593C">
      <w:pPr>
        <w:pStyle w:val="DashEqual1"/>
        <w:numPr>
          <w:ilvl w:val="0"/>
          <w:numId w:val="0"/>
        </w:numPr>
        <w:rPr>
          <w:lang w:val="lv-LV"/>
        </w:rPr>
      </w:pPr>
    </w:p>
    <w:p w14:paraId="1DF017A0" w14:textId="77777777" w:rsidR="007F593C" w:rsidRPr="00BF389E" w:rsidRDefault="007F593C" w:rsidP="007F593C">
      <w:pPr>
        <w:pStyle w:val="DashEqual1"/>
        <w:numPr>
          <w:ilvl w:val="0"/>
          <w:numId w:val="2"/>
        </w:numPr>
        <w:rPr>
          <w:i/>
          <w:lang w:val="lv-LV"/>
        </w:rPr>
      </w:pPr>
      <w:r w:rsidRPr="007F593C">
        <w:rPr>
          <w:b/>
          <w:lang w:val="lv-LV"/>
        </w:rPr>
        <w:t>Priekšlikums - Eiropas Parlamenta un Padomes Direktīva par samērības novērtējumu pirms jauna profesiju regulējuma pieņemšanas</w:t>
      </w:r>
      <w:r w:rsidR="00BF389E">
        <w:rPr>
          <w:b/>
          <w:lang w:val="lv-LV"/>
        </w:rPr>
        <w:t xml:space="preserve"> </w:t>
      </w:r>
      <w:r w:rsidR="00BF389E" w:rsidRPr="00BF389E">
        <w:rPr>
          <w:lang w:val="lv-LV"/>
        </w:rPr>
        <w:t>(Izglītības un zinātnes ministrijas jautājums)</w:t>
      </w:r>
    </w:p>
    <w:p w14:paraId="1EC70F59" w14:textId="77777777" w:rsidR="00F152C1" w:rsidRDefault="00F152C1" w:rsidP="00F152C1">
      <w:pPr>
        <w:pStyle w:val="DashEqual1"/>
        <w:numPr>
          <w:ilvl w:val="0"/>
          <w:numId w:val="0"/>
        </w:numPr>
        <w:ind w:left="720"/>
        <w:rPr>
          <w:i/>
          <w:lang w:val="lv-LV"/>
        </w:rPr>
      </w:pPr>
      <w:r>
        <w:rPr>
          <w:i/>
          <w:lang w:val="lv-LV"/>
        </w:rPr>
        <w:t>= Vispārējās pieejas apstiprināšana</w:t>
      </w:r>
    </w:p>
    <w:p w14:paraId="352BFC39" w14:textId="77777777" w:rsidR="007B5060" w:rsidRDefault="007B5060" w:rsidP="007B5060">
      <w:pPr>
        <w:pStyle w:val="DashEqual1"/>
        <w:numPr>
          <w:ilvl w:val="0"/>
          <w:numId w:val="0"/>
        </w:numPr>
        <w:tabs>
          <w:tab w:val="left" w:pos="720"/>
        </w:tabs>
        <w:ind w:firstLine="720"/>
        <w:jc w:val="both"/>
        <w:rPr>
          <w:lang w:val="lv-LV"/>
        </w:rPr>
      </w:pPr>
      <w:r>
        <w:rPr>
          <w:lang w:val="lv-LV"/>
        </w:rPr>
        <w:t xml:space="preserve">EK 2017. gada 10. janvārī t.s. “Pakalpojumu </w:t>
      </w:r>
      <w:proofErr w:type="spellStart"/>
      <w:r>
        <w:rPr>
          <w:lang w:val="lv-LV"/>
        </w:rPr>
        <w:t>pakotnes</w:t>
      </w:r>
      <w:proofErr w:type="spellEnd"/>
      <w:r>
        <w:rPr>
          <w:lang w:val="lv-LV"/>
        </w:rPr>
        <w:t xml:space="preserve">” ietvaros publicēja priekšlikumu Eiropas Parlamenta un Padomes direktīvai par samērības novērtējumu pirms jauna profesiju regulējuma pieņemšanas (turpmāk – Samērības novērtējuma </w:t>
      </w:r>
      <w:r>
        <w:rPr>
          <w:lang w:val="lv-LV"/>
        </w:rPr>
        <w:lastRenderedPageBreak/>
        <w:t xml:space="preserve">direktīva), kura mērķis ir nodrošināt labākas profesiju reglamentācijas attīstību, izmantojot </w:t>
      </w:r>
      <w:proofErr w:type="spellStart"/>
      <w:r>
        <w:rPr>
          <w:lang w:val="lv-LV"/>
        </w:rPr>
        <w:t>ex-ante</w:t>
      </w:r>
      <w:proofErr w:type="spellEnd"/>
      <w:r>
        <w:rPr>
          <w:lang w:val="lv-LV"/>
        </w:rPr>
        <w:t xml:space="preserve"> analīzi un caurskatāmību, kā arī profesijas reglamentācijā veikto izmaiņu ietekmes monitoringu (izmantojot </w:t>
      </w:r>
      <w:proofErr w:type="spellStart"/>
      <w:r>
        <w:rPr>
          <w:lang w:val="lv-LV"/>
        </w:rPr>
        <w:t>ex</w:t>
      </w:r>
      <w:proofErr w:type="spellEnd"/>
      <w:r>
        <w:rPr>
          <w:lang w:val="lv-LV"/>
        </w:rPr>
        <w:t>-post analīzi), lai radītu pretestību nevajadzīgu ierobežojumu ieviešanai, identificētu nesamērīgas profesionālās reglamentācijas gadījumus, novērstu ekonomisko ierobežojumu veidošanos ES Vienotā tirgus īstenošanā, palīdzētu dalībvalstīm īstenot ES pieņemtos tiesību aktus un veicinātu vienotu pieeju izmantošanu profesionālās darbības reglamentācijā ES dalībvalstu vidū.</w:t>
      </w:r>
    </w:p>
    <w:p w14:paraId="7377D844" w14:textId="77777777" w:rsidR="007B5060" w:rsidRDefault="007B5060" w:rsidP="007B5060">
      <w:pPr>
        <w:pStyle w:val="DashEqual1"/>
        <w:numPr>
          <w:ilvl w:val="0"/>
          <w:numId w:val="0"/>
        </w:numPr>
        <w:tabs>
          <w:tab w:val="left" w:pos="720"/>
        </w:tabs>
        <w:ind w:firstLine="357"/>
        <w:jc w:val="both"/>
        <w:rPr>
          <w:lang w:val="lv-LV"/>
        </w:rPr>
      </w:pPr>
      <w:r>
        <w:rPr>
          <w:lang w:val="lv-LV"/>
        </w:rPr>
        <w:t>Samērības direktīvas priekšlikuma uzdevums ir ES uzlabot profesionālo pakalpojumu sniegšanu un pielaišanu (“</w:t>
      </w:r>
      <w:proofErr w:type="spellStart"/>
      <w:r>
        <w:rPr>
          <w:lang w:val="lv-LV"/>
        </w:rPr>
        <w:t>access</w:t>
      </w:r>
      <w:proofErr w:type="spellEnd"/>
      <w:r>
        <w:rPr>
          <w:lang w:val="lv-LV"/>
        </w:rPr>
        <w:t xml:space="preserve">”) šo pakalpojumu sniegšanai, lai novērstu nesamērīgas reglamentācijas ieviešanu, ja tiek veidoti jauni vai grozīti pastāvošās reglamentācijas nosacījumi, īstenojot šādus </w:t>
      </w:r>
      <w:proofErr w:type="spellStart"/>
      <w:r>
        <w:rPr>
          <w:lang w:val="lv-LV"/>
        </w:rPr>
        <w:t>apakšuzdevumus</w:t>
      </w:r>
      <w:proofErr w:type="spellEnd"/>
      <w:r>
        <w:rPr>
          <w:lang w:val="lv-LV"/>
        </w:rPr>
        <w:t>: precizēt un sistematizēt Samērības novērtējuma kritērijus, veicināt caurskatāmu, objektīvu, salīdzināmu un visaptverošu samērības analīzi, nodrošināt vienādu noteikumu piemērošanu visās dalībvalstīs.</w:t>
      </w:r>
    </w:p>
    <w:p w14:paraId="57B0A66F" w14:textId="77777777" w:rsidR="007B5060" w:rsidRDefault="007B5060" w:rsidP="007B5060">
      <w:pPr>
        <w:keepNext/>
        <w:keepLines/>
        <w:shd w:val="clear" w:color="auto" w:fill="FFFFFF"/>
        <w:spacing w:before="120" w:after="120"/>
        <w:ind w:firstLine="357"/>
        <w:jc w:val="both"/>
        <w:rPr>
          <w:b/>
          <w:color w:val="000000"/>
          <w:u w:val="single"/>
        </w:rPr>
      </w:pPr>
      <w:r w:rsidRPr="00AC12EB">
        <w:rPr>
          <w:b/>
          <w:color w:val="000000"/>
          <w:u w:val="single"/>
        </w:rPr>
        <w:t>Latvijas nostāja:</w:t>
      </w:r>
    </w:p>
    <w:p w14:paraId="2EEDC25F" w14:textId="77777777" w:rsidR="007B5060" w:rsidRDefault="007B5060" w:rsidP="007B5060">
      <w:pPr>
        <w:ind w:firstLine="720"/>
        <w:jc w:val="both"/>
      </w:pPr>
      <w:r>
        <w:t xml:space="preserve">Ministru kabinets 2017. gada 4. aprīlī ir apstiprinājis Latvijas Republikas nacionālo pozīciju "Par priekšlikumu Eiropas Parlamenta un Padomes direktīvai par samērības novērtējumu pirms jauna profesiju regulējuma pieņemšanas" (prot. Nr. 18 </w:t>
      </w:r>
      <w:bookmarkStart w:id="0" w:name="48"/>
      <w:r>
        <w:t>48.§</w:t>
      </w:r>
      <w:bookmarkEnd w:id="0"/>
      <w:r>
        <w:t xml:space="preserve">). Latvija kopumā atbalsta Samērības direktīvas priekšlikumu kā Pakalpojumu </w:t>
      </w:r>
      <w:proofErr w:type="spellStart"/>
      <w:r>
        <w:t>pakotnes</w:t>
      </w:r>
      <w:proofErr w:type="spellEnd"/>
      <w:r>
        <w:t xml:space="preserve"> sastāvdaļu un atzinīgi vērtē priekšlikumu izstrādāt un veidot vienotu izpratni, pieeju un analītisko ietvaru profesionālās darbības reglamentācijai, lai tā visās ES dalībvalstīs notiktu saskaņoti un pamatoti, kas svarīgi pilnveidojot pakalpojumu jomu, rodot tautsaimniecības izaugsmi un veicinot nodarbinātību un konkurenci.</w:t>
      </w:r>
    </w:p>
    <w:p w14:paraId="72468C60" w14:textId="77777777" w:rsidR="007B5060" w:rsidRDefault="007B5060" w:rsidP="007B5060">
      <w:pPr>
        <w:ind w:firstLine="360"/>
        <w:jc w:val="both"/>
        <w:rPr>
          <w:bCs/>
        </w:rPr>
      </w:pPr>
      <w:r>
        <w:rPr>
          <w:bCs/>
        </w:rPr>
        <w:t>Vienlaikus Latvija uzskata, ka Samērības direktīvas priekšlikums nosaka nepieciešamību veikt ļoti apjomīgu uz pierādījumiem un datiem balstītu samērības novērtējumu. Lai arī kopumā tas radīs ievērojamu administratīvo slogu, tomēr samērības novērtējums paaugstinās profesiju reglamentācijas jomas pārvaldības kopējo līmeni, vairojot kompetenci un nodrošinot pamatotu lēmumu pieņemšanu.</w:t>
      </w:r>
    </w:p>
    <w:p w14:paraId="7A1401A1" w14:textId="77777777" w:rsidR="002B1FC9" w:rsidRPr="0038615C" w:rsidRDefault="002B1FC9" w:rsidP="00F152C1">
      <w:pPr>
        <w:pStyle w:val="DashEqual1"/>
        <w:numPr>
          <w:ilvl w:val="0"/>
          <w:numId w:val="0"/>
        </w:numPr>
        <w:ind w:left="720"/>
        <w:rPr>
          <w:b/>
          <w:i/>
          <w:lang w:val="lv-LV"/>
        </w:rPr>
      </w:pPr>
    </w:p>
    <w:p w14:paraId="6C8F8927" w14:textId="77777777" w:rsidR="00F152C1" w:rsidRPr="00C65C2E" w:rsidRDefault="002B1FC9" w:rsidP="006B3525">
      <w:pPr>
        <w:pStyle w:val="DashEqual1"/>
        <w:numPr>
          <w:ilvl w:val="0"/>
          <w:numId w:val="2"/>
        </w:numPr>
        <w:jc w:val="both"/>
        <w:rPr>
          <w:b/>
          <w:lang w:val="lv-LV"/>
        </w:rPr>
      </w:pPr>
      <w:r w:rsidRPr="00C65C2E">
        <w:rPr>
          <w:b/>
          <w:lang w:val="lv-LV"/>
        </w:rPr>
        <w:t xml:space="preserve">Priekšlikums - Eiropas Parlamenta un Padomes Direktīva, kas attiecas uz to, kā īstenot Direktīvu 2006/123/EK par pakalpojumiem iekšējā tirgū, ar ko nosaka ar pakalpojumiem saistītu atļauju piešķiršanas sistēmu un prasību paziņošanas procedūru un ar ko groza Direktīvu 2006/123/EK un Regulu (ES) Nr. 1024/2012 par administratīvo sadarbību, izmantojot Iekšējā tirgus informācijas sistēmu </w:t>
      </w:r>
    </w:p>
    <w:p w14:paraId="598D8D2F" w14:textId="77777777" w:rsidR="002B1FC9" w:rsidRDefault="002B1FC9" w:rsidP="002B1FC9">
      <w:pPr>
        <w:pStyle w:val="DashEqual1"/>
        <w:numPr>
          <w:ilvl w:val="0"/>
          <w:numId w:val="0"/>
        </w:numPr>
        <w:ind w:left="720"/>
        <w:rPr>
          <w:i/>
          <w:lang w:val="lv-LV"/>
        </w:rPr>
      </w:pPr>
      <w:r>
        <w:rPr>
          <w:i/>
          <w:lang w:val="lv-LV"/>
        </w:rPr>
        <w:t>= Vispārējās pieejas apstiprināšana</w:t>
      </w:r>
    </w:p>
    <w:p w14:paraId="266E3332" w14:textId="77777777" w:rsidR="00166F5D" w:rsidRDefault="00166F5D" w:rsidP="009C6E54">
      <w:pPr>
        <w:pStyle w:val="DashEqual1"/>
        <w:numPr>
          <w:ilvl w:val="0"/>
          <w:numId w:val="0"/>
        </w:numPr>
        <w:rPr>
          <w:lang w:val="lv-LV"/>
        </w:rPr>
      </w:pPr>
    </w:p>
    <w:p w14:paraId="5984C32E" w14:textId="2848F916" w:rsidR="00076E90" w:rsidRDefault="00076E90" w:rsidP="003F2389">
      <w:pPr>
        <w:pStyle w:val="DashEqual1"/>
        <w:numPr>
          <w:ilvl w:val="0"/>
          <w:numId w:val="0"/>
        </w:numPr>
        <w:ind w:firstLine="357"/>
        <w:jc w:val="both"/>
        <w:rPr>
          <w:lang w:val="lv-LV"/>
        </w:rPr>
      </w:pPr>
      <w:r>
        <w:rPr>
          <w:lang w:val="lv-LV"/>
        </w:rPr>
        <w:t>EK</w:t>
      </w:r>
      <w:r w:rsidRPr="009C6E54">
        <w:rPr>
          <w:lang w:val="lv-LV"/>
        </w:rPr>
        <w:t xml:space="preserve"> 2015. gada 28. oktobra paziņojumā </w:t>
      </w:r>
      <w:r w:rsidRPr="009C6E54">
        <w:rPr>
          <w:i/>
          <w:lang w:val="lv-LV"/>
        </w:rPr>
        <w:t>Vienotā tirgus pilnīgošana — plašākas iespējas cilvēkiem un uzņēmējdarbībai</w:t>
      </w:r>
      <w:r w:rsidRPr="000A2AF2">
        <w:rPr>
          <w:rStyle w:val="FootnoteReference"/>
        </w:rPr>
        <w:footnoteReference w:id="1"/>
      </w:r>
      <w:r w:rsidRPr="009C6E54">
        <w:rPr>
          <w:lang w:val="lv-LV"/>
        </w:rPr>
        <w:t xml:space="preserve"> (turpmāk – ES Vienotā tirgus stratēģija), cita starpā, ir paredzēti pasākumi, kuru mērķis ir pilnveidot Vienoto t</w:t>
      </w:r>
      <w:r>
        <w:rPr>
          <w:lang w:val="lv-LV"/>
        </w:rPr>
        <w:t xml:space="preserve">irgu attiecībā uz pakalpojumiem, ņemot vērā, </w:t>
      </w:r>
      <w:r w:rsidRPr="009C6E54">
        <w:rPr>
          <w:lang w:val="lv-LV"/>
        </w:rPr>
        <w:t xml:space="preserve">ka </w:t>
      </w:r>
      <w:r>
        <w:rPr>
          <w:lang w:val="lv-LV"/>
        </w:rPr>
        <w:t>ES</w:t>
      </w:r>
      <w:r w:rsidRPr="009C6E54">
        <w:rPr>
          <w:lang w:val="lv-LV"/>
        </w:rPr>
        <w:t xml:space="preserve"> ekonomika primāri ir balstīta uz pakalpojumiem. Viens no pasākumiem ir Eiropas Parlamenta un Padomes 2006. gada 12. decembra Direktīvas Nr. 2006/123/ES </w:t>
      </w:r>
      <w:r w:rsidRPr="009C6E54">
        <w:rPr>
          <w:i/>
          <w:lang w:val="lv-LV"/>
        </w:rPr>
        <w:t>par pakalpojumiem iekšējā tirgū</w:t>
      </w:r>
      <w:r w:rsidRPr="009C6E54">
        <w:rPr>
          <w:lang w:val="lv-LV"/>
        </w:rPr>
        <w:t xml:space="preserve"> (turpmāk – Pakalpojumu direktīva) īstenošanas uzlabošana un tehnisko noteikumu paziņošanas</w:t>
      </w:r>
      <w:r>
        <w:rPr>
          <w:lang w:val="lv-LV"/>
        </w:rPr>
        <w:t xml:space="preserve"> </w:t>
      </w:r>
      <w:r w:rsidRPr="00166F5D">
        <w:rPr>
          <w:lang w:val="lv-LV"/>
        </w:rPr>
        <w:t xml:space="preserve">procedūras </w:t>
      </w:r>
      <w:r w:rsidRPr="00166F5D">
        <w:rPr>
          <w:lang w:val="lv-LV"/>
        </w:rPr>
        <w:lastRenderedPageBreak/>
        <w:t>reforma.</w:t>
      </w:r>
      <w:r w:rsidR="003F2389">
        <w:rPr>
          <w:lang w:val="lv-LV"/>
        </w:rPr>
        <w:t xml:space="preserve"> Līdz ar to, </w:t>
      </w:r>
      <w:r w:rsidR="003F2389">
        <w:rPr>
          <w:rFonts w:eastAsia="Times New Roman"/>
          <w:bCs/>
          <w:lang w:val="lv-LV"/>
        </w:rPr>
        <w:t xml:space="preserve">priekšlikums </w:t>
      </w:r>
      <w:r w:rsidR="003F2389" w:rsidRPr="00D204CC">
        <w:rPr>
          <w:rFonts w:eastAsia="Times New Roman"/>
          <w:bCs/>
          <w:lang w:val="lv-LV"/>
        </w:rPr>
        <w:t>paredz paziņošanas procedūr</w:t>
      </w:r>
      <w:r w:rsidR="00CD28AB">
        <w:rPr>
          <w:rFonts w:eastAsia="Times New Roman"/>
          <w:bCs/>
          <w:lang w:val="lv-LV"/>
        </w:rPr>
        <w:t>u</w:t>
      </w:r>
      <w:r w:rsidR="003F2389" w:rsidRPr="00D204CC">
        <w:rPr>
          <w:rFonts w:eastAsia="Times New Roman"/>
          <w:bCs/>
          <w:lang w:val="lv-LV"/>
        </w:rPr>
        <w:t xml:space="preserve"> par dalībvalstu tehniskajiem noteikumiem uzlabošanu un pilnveidošanu, kā arī dalībvalstu administratīvās sadarbības stiprināšanu Iekšējā tirgus informācijas (turpmāk - IMI) sistēmas ietvaros.</w:t>
      </w:r>
    </w:p>
    <w:p w14:paraId="5540A090" w14:textId="77777777" w:rsidR="00076E90" w:rsidRDefault="00076E90" w:rsidP="003F2389">
      <w:pPr>
        <w:spacing w:after="60"/>
        <w:ind w:firstLine="357"/>
        <w:jc w:val="both"/>
      </w:pPr>
      <w:r>
        <w:t>ES Pakalpojumu sektorā ir nodarbināti</w:t>
      </w:r>
      <w:r w:rsidRPr="00795AA6">
        <w:t xml:space="preserve"> 68% no</w:t>
      </w:r>
      <w:r>
        <w:t xml:space="preserve"> tās iedzīvotājiem, un pakalpojumu sektors</w:t>
      </w:r>
      <w:r w:rsidRPr="00795AA6">
        <w:t xml:space="preserve"> </w:t>
      </w:r>
      <w:r>
        <w:t xml:space="preserve">sastāda </w:t>
      </w:r>
      <w:r w:rsidRPr="00795AA6">
        <w:t>71% no ES IKP. Pakalpojum</w:t>
      </w:r>
      <w:r>
        <w:t>u</w:t>
      </w:r>
      <w:r w:rsidRPr="00795AA6">
        <w:t xml:space="preserve"> sektori, kuri ietilpst Pakalpojumu direktīvas darbībā (no kuras piemērošanas jomas ir izslēgti tādi sektori kā finanšu, transporta, telekomunikāciju</w:t>
      </w:r>
      <w:r>
        <w:t>,</w:t>
      </w:r>
      <w:r w:rsidRPr="00795AA6">
        <w:t xml:space="preserve"> veselības</w:t>
      </w:r>
      <w:r>
        <w:t>, azartspēļu, drošības, darba aģentūru, sociālie, ar tiesu varu saistītie</w:t>
      </w:r>
      <w:r w:rsidRPr="00795AA6">
        <w:t xml:space="preserve"> pakalpojumi) sastāda </w:t>
      </w:r>
      <w:r w:rsidRPr="006E268B">
        <w:t>46</w:t>
      </w:r>
      <w:r w:rsidRPr="00795AA6">
        <w:t>% no ES IKP.</w:t>
      </w:r>
      <w:r w:rsidRPr="00795AA6">
        <w:rPr>
          <w:rStyle w:val="FootnoteReference"/>
        </w:rPr>
        <w:footnoteReference w:id="2"/>
      </w:r>
      <w:r w:rsidRPr="00795AA6">
        <w:t xml:space="preserve"> </w:t>
      </w:r>
    </w:p>
    <w:p w14:paraId="2B5CA0E3" w14:textId="66C7A01F" w:rsidR="00076E90" w:rsidRPr="00076E90" w:rsidRDefault="00076E90" w:rsidP="00076E90">
      <w:pPr>
        <w:spacing w:after="60"/>
        <w:ind w:firstLine="357"/>
        <w:jc w:val="both"/>
      </w:pPr>
      <w:r w:rsidRPr="005356D3">
        <w:t>Līdz šim priekšlikums tehniski apspriests septiņās ES Padomes Konkurētspējas un izaugsmes darba grupas (iekšējais tirgus) sanāksmē</w:t>
      </w:r>
      <w:r>
        <w:t>s, kur pēdējā no tām notika 12.</w:t>
      </w:r>
      <w:r w:rsidRPr="005356D3">
        <w:t xml:space="preserve">maijā. </w:t>
      </w:r>
      <w:r w:rsidR="00CD28AB">
        <w:t>Ņ</w:t>
      </w:r>
      <w:r w:rsidRPr="005356D3">
        <w:t xml:space="preserve">emot vērā dalībvalstu nostājas, kas </w:t>
      </w:r>
      <w:r>
        <w:t xml:space="preserve">nosacīti </w:t>
      </w:r>
      <w:r w:rsidR="00950438" w:rsidRPr="005356D3">
        <w:t>dal</w:t>
      </w:r>
      <w:r w:rsidR="00950438">
        <w:t>ījās</w:t>
      </w:r>
      <w:r w:rsidRPr="005356D3">
        <w:t xml:space="preserve"> divās grupās, kur viena daļa vēl</w:t>
      </w:r>
      <w:r w:rsidR="00CD28AB">
        <w:t>ējās</w:t>
      </w:r>
      <w:r w:rsidRPr="005356D3">
        <w:t xml:space="preserve"> saglabāt priekšlikuma augsto ambīciju līmeni</w:t>
      </w:r>
      <w:r>
        <w:t xml:space="preserve"> un virzīties uz Padomes vispārējās </w:t>
      </w:r>
      <w:r w:rsidRPr="00076E90">
        <w:t>nostājas apstiprināšanu, bet otra tieši pretēji - mazināt priekšlikuma ambīcijas un vājināt tekstu,</w:t>
      </w:r>
      <w:r w:rsidR="00CD28AB">
        <w:t xml:space="preserve"> priekšlikums tika skatīts 19. maija COREPER sanāksmē, lai izvērtētu kompromisa priekšlikuma redakciju galveno politisko jautājumu atrisināšanai, ar skatu uz š.g. 29.maija ES Konkurētspējas ministru padomi (COMPET), kuras laikā plānots panākt vispārējo pieeju. </w:t>
      </w:r>
      <w:r w:rsidRPr="00076E90">
        <w:t xml:space="preserve"> </w:t>
      </w:r>
      <w:r w:rsidR="00CD28AB">
        <w:t>Ņemot vērā panākto vienošanos COREPER līmenī atjaunota Latvijas nacionālā pozīcija.</w:t>
      </w:r>
    </w:p>
    <w:p w14:paraId="394F5D29" w14:textId="77777777" w:rsidR="00076E90" w:rsidRDefault="00076E90" w:rsidP="00076E90">
      <w:pPr>
        <w:keepNext/>
        <w:keepLines/>
        <w:shd w:val="clear" w:color="auto" w:fill="FFFFFF"/>
        <w:spacing w:before="120" w:after="120"/>
        <w:ind w:firstLine="357"/>
        <w:jc w:val="both"/>
        <w:rPr>
          <w:color w:val="000000"/>
        </w:rPr>
      </w:pPr>
      <w:r w:rsidRPr="00076E90">
        <w:rPr>
          <w:b/>
          <w:color w:val="000000"/>
          <w:u w:val="single"/>
        </w:rPr>
        <w:t>Latvijas nostāja:</w:t>
      </w:r>
    </w:p>
    <w:p w14:paraId="34B5CD0E" w14:textId="5B1DCBD6" w:rsidR="00076E90" w:rsidRPr="004C25F0" w:rsidRDefault="00CD28AB" w:rsidP="00076E90">
      <w:pPr>
        <w:spacing w:after="60"/>
        <w:ind w:firstLine="357"/>
        <w:jc w:val="both"/>
      </w:pPr>
      <w:r>
        <w:t>Latvija kopumā atbalsta direktīvas projekta mērķi veicināt ES Vienotā tirgus darbību, uzlabojot tehnisko noteikumu paziņošanas procedūras darbību, paplašinot paziņojamo prasību klāstu. Latvijai svarīgi  saglabāt</w:t>
      </w:r>
      <w:r w:rsidR="00076E90" w:rsidRPr="004C25F0">
        <w:t xml:space="preserve"> augstu ambīciju līmeņa uzturēšanu priekšlikuma kontekstā un kompromisa vārdā </w:t>
      </w:r>
      <w:r w:rsidR="00C86D2F">
        <w:t>atbalsta</w:t>
      </w:r>
      <w:r w:rsidR="00076E90" w:rsidRPr="004C25F0">
        <w:t xml:space="preserve"> Maltas prezidentūras</w:t>
      </w:r>
      <w:r w:rsidR="003C7D3B">
        <w:t xml:space="preserve"> 19.maija COREPER I sanāksmē</w:t>
      </w:r>
      <w:r w:rsidR="00076E90" w:rsidRPr="004C25F0">
        <w:t xml:space="preserve"> </w:t>
      </w:r>
      <w:r w:rsidR="003C7D3B">
        <w:t>panākto</w:t>
      </w:r>
      <w:r w:rsidR="003C7D3B" w:rsidRPr="004C25F0">
        <w:t xml:space="preserve"> </w:t>
      </w:r>
      <w:r w:rsidR="00076E90" w:rsidRPr="004C25F0">
        <w:t>kompromisa redakciju, ja priekšlikuma teksts netiek tālāk vājināts.</w:t>
      </w:r>
      <w:r w:rsidR="00D800C0">
        <w:t xml:space="preserve"> </w:t>
      </w:r>
    </w:p>
    <w:p w14:paraId="4E0A21F5" w14:textId="77777777" w:rsidR="002B1FC9" w:rsidRDefault="002B1FC9" w:rsidP="002B1FC9">
      <w:pPr>
        <w:pStyle w:val="DashEqual1"/>
        <w:numPr>
          <w:ilvl w:val="0"/>
          <w:numId w:val="0"/>
        </w:numPr>
        <w:ind w:left="720"/>
        <w:rPr>
          <w:i/>
          <w:lang w:val="lv-LV"/>
        </w:rPr>
      </w:pPr>
    </w:p>
    <w:p w14:paraId="75C5902A" w14:textId="77777777" w:rsidR="002B1FC9" w:rsidRPr="003D2DD5" w:rsidRDefault="002B1FC9" w:rsidP="002B1FC9">
      <w:pPr>
        <w:pStyle w:val="DashEqual1"/>
        <w:numPr>
          <w:ilvl w:val="0"/>
          <w:numId w:val="2"/>
        </w:numPr>
        <w:rPr>
          <w:i/>
          <w:lang w:val="lv-LV"/>
        </w:rPr>
      </w:pPr>
      <w:r w:rsidRPr="003D2DD5">
        <w:rPr>
          <w:b/>
          <w:lang w:val="lv-LV"/>
        </w:rPr>
        <w:t>Konkurētspējas pārbaude: aktuālā situācija par ekonomiku</w:t>
      </w:r>
    </w:p>
    <w:p w14:paraId="37388522" w14:textId="77777777" w:rsidR="002B1FC9" w:rsidRPr="003D2DD5" w:rsidRDefault="002B1FC9" w:rsidP="002B1FC9">
      <w:pPr>
        <w:pStyle w:val="DashEqual1"/>
        <w:numPr>
          <w:ilvl w:val="0"/>
          <w:numId w:val="0"/>
        </w:numPr>
        <w:ind w:left="720"/>
        <w:rPr>
          <w:i/>
          <w:lang w:val="lv-LV"/>
        </w:rPr>
      </w:pPr>
      <w:r w:rsidRPr="003D2DD5">
        <w:rPr>
          <w:i/>
          <w:lang w:val="lv-LV"/>
        </w:rPr>
        <w:t>= EK prezentācija</w:t>
      </w:r>
    </w:p>
    <w:p w14:paraId="0E583628" w14:textId="77777777" w:rsidR="002B1FC9" w:rsidRDefault="002B1FC9" w:rsidP="002B1FC9">
      <w:pPr>
        <w:pStyle w:val="DashEqual1"/>
        <w:numPr>
          <w:ilvl w:val="0"/>
          <w:numId w:val="0"/>
        </w:numPr>
        <w:ind w:left="720"/>
        <w:rPr>
          <w:i/>
          <w:lang w:val="lv-LV"/>
        </w:rPr>
      </w:pPr>
      <w:r w:rsidRPr="003D2DD5">
        <w:rPr>
          <w:i/>
          <w:lang w:val="lv-LV"/>
        </w:rPr>
        <w:t>= Viedokļu apmaiņa</w:t>
      </w:r>
    </w:p>
    <w:p w14:paraId="01167F25" w14:textId="4B119E9C" w:rsidR="002D3677" w:rsidRPr="00A40642" w:rsidRDefault="002D3677" w:rsidP="002D3677">
      <w:pPr>
        <w:pStyle w:val="BodyA"/>
        <w:spacing w:line="240" w:lineRule="auto"/>
        <w:ind w:firstLine="567"/>
        <w:jc w:val="both"/>
        <w:rPr>
          <w:rFonts w:ascii="Times New Roman" w:hAnsi="Times New Roman" w:cs="Times New Roman"/>
          <w:color w:val="auto"/>
          <w:sz w:val="24"/>
          <w:szCs w:val="24"/>
          <w:lang w:val="lv-LV"/>
        </w:rPr>
      </w:pPr>
      <w:r w:rsidRPr="00A40642">
        <w:rPr>
          <w:rFonts w:ascii="Times New Roman" w:hAnsi="Times New Roman" w:cs="Times New Roman"/>
          <w:color w:val="auto"/>
          <w:sz w:val="24"/>
          <w:szCs w:val="24"/>
          <w:lang w:val="lv-LV"/>
        </w:rPr>
        <w:t xml:space="preserve">Indikatīvi diskusijas par ES </w:t>
      </w:r>
      <w:r w:rsidR="00D800C0">
        <w:rPr>
          <w:rFonts w:ascii="Times New Roman" w:hAnsi="Times New Roman" w:cs="Times New Roman"/>
          <w:color w:val="auto"/>
          <w:sz w:val="24"/>
          <w:szCs w:val="24"/>
          <w:lang w:val="lv-LV"/>
        </w:rPr>
        <w:t>V</w:t>
      </w:r>
      <w:r w:rsidRPr="00A40642">
        <w:rPr>
          <w:rFonts w:ascii="Times New Roman" w:hAnsi="Times New Roman" w:cs="Times New Roman"/>
          <w:color w:val="auto"/>
          <w:sz w:val="24"/>
          <w:szCs w:val="24"/>
          <w:lang w:val="lv-LV"/>
        </w:rPr>
        <w:t>ienotā tirgus sniegumu tiks vērtētas no globālo vērtību ķēžu aspekta.</w:t>
      </w:r>
    </w:p>
    <w:p w14:paraId="5718546E" w14:textId="430F7BE0" w:rsidR="002D3677" w:rsidRPr="00A40642" w:rsidRDefault="002D3677" w:rsidP="002D3677">
      <w:pPr>
        <w:pStyle w:val="BodyA"/>
        <w:spacing w:line="240" w:lineRule="auto"/>
        <w:ind w:firstLine="567"/>
        <w:jc w:val="both"/>
        <w:rPr>
          <w:rFonts w:ascii="Times New Roman" w:hAnsi="Times New Roman" w:cs="Times New Roman"/>
          <w:color w:val="auto"/>
          <w:sz w:val="24"/>
          <w:szCs w:val="24"/>
          <w:lang w:val="lv-LV"/>
        </w:rPr>
      </w:pPr>
      <w:r w:rsidRPr="00A40642">
        <w:rPr>
          <w:rFonts w:ascii="Times New Roman" w:hAnsi="Times New Roman" w:cs="Times New Roman"/>
          <w:color w:val="auto"/>
          <w:sz w:val="24"/>
          <w:szCs w:val="24"/>
          <w:lang w:val="lv-LV"/>
        </w:rPr>
        <w:t xml:space="preserve">Tehnoloģiju attīstība un jaunu globālo spēlētāju ienākšana ir mainījusi starptautisko tirdzniecību un ekonomiskās attiecības starp ES un citiem pasaules partneriem, kā arī ES valstu starpā. </w:t>
      </w:r>
      <w:r w:rsidR="00A40642">
        <w:rPr>
          <w:rFonts w:ascii="Times New Roman" w:hAnsi="Times New Roman" w:cs="Times New Roman"/>
          <w:color w:val="auto"/>
          <w:sz w:val="24"/>
          <w:szCs w:val="24"/>
          <w:lang w:val="lv-LV"/>
        </w:rPr>
        <w:t>EK</w:t>
      </w:r>
      <w:r w:rsidRPr="00A40642">
        <w:rPr>
          <w:rFonts w:ascii="Times New Roman" w:hAnsi="Times New Roman" w:cs="Times New Roman"/>
          <w:color w:val="auto"/>
          <w:sz w:val="24"/>
          <w:szCs w:val="24"/>
          <w:lang w:val="lv-LV"/>
        </w:rPr>
        <w:t xml:space="preserve"> apkopotie dati liecina, ka lai gan absolūtos rādītājos ES tirdzniecības daļa krītas, globālo vērtību ķēžu rādītājos, kas ir produktu pievienotā vērtību dalot ar kopējo eksporta apjomu, ES joprojām saglabā savu konkurētspēju, lai gan kopumā konkurētspējas izaugsme krītas. ES tirgus daļas samazinājums ir vērojams 2,5 procentu punktos (2000.-2014.).</w:t>
      </w:r>
    </w:p>
    <w:p w14:paraId="5B6BDD52" w14:textId="62719344" w:rsidR="002D3677" w:rsidRPr="00A40642" w:rsidRDefault="002D3677" w:rsidP="002D3677">
      <w:pPr>
        <w:pStyle w:val="BodyA"/>
        <w:spacing w:line="240" w:lineRule="auto"/>
        <w:ind w:firstLine="567"/>
        <w:jc w:val="both"/>
        <w:rPr>
          <w:rFonts w:ascii="Times New Roman" w:hAnsi="Times New Roman" w:cs="Times New Roman"/>
          <w:color w:val="auto"/>
          <w:sz w:val="24"/>
          <w:szCs w:val="24"/>
          <w:lang w:val="lv-LV"/>
        </w:rPr>
      </w:pPr>
      <w:r w:rsidRPr="00A40642">
        <w:rPr>
          <w:rFonts w:ascii="Times New Roman" w:hAnsi="Times New Roman" w:cs="Times New Roman"/>
          <w:color w:val="auto"/>
          <w:sz w:val="24"/>
          <w:szCs w:val="24"/>
          <w:lang w:val="lv-LV"/>
        </w:rPr>
        <w:t xml:space="preserve">Jāatzīmē, ka joprojām ES eksportā preču īpatsvars pārsniedz pakalpojumu sektoru īpatsvaru. Tiek norādīts, ka ES konkurētspējas samazinājumu ietekmē tieši pievienotās vērtības indikatoru samazinājums rūpniecības sektoros. Iemesls tam ir ģeogrāfiskā industrijas pieprasījuma izmaiņas, globālā ražošanas segmentācija un citu </w:t>
      </w:r>
      <w:r w:rsidRPr="00A40642">
        <w:rPr>
          <w:rFonts w:ascii="Times New Roman" w:hAnsi="Times New Roman" w:cs="Times New Roman"/>
          <w:color w:val="auto"/>
          <w:sz w:val="24"/>
          <w:szCs w:val="24"/>
          <w:lang w:val="lv-LV"/>
        </w:rPr>
        <w:lastRenderedPageBreak/>
        <w:t xml:space="preserve">reģionu daudz ātrāka izaugsme. Turklāt zemas pievienotās vērtības </w:t>
      </w:r>
      <w:r w:rsidRPr="00A40642">
        <w:rPr>
          <w:rFonts w:ascii="Times New Roman" w:hAnsi="Times New Roman" w:cs="Times New Roman"/>
          <w:i/>
          <w:color w:val="auto"/>
          <w:sz w:val="24"/>
          <w:szCs w:val="24"/>
          <w:lang w:val="lv-LV"/>
        </w:rPr>
        <w:t>(</w:t>
      </w:r>
      <w:proofErr w:type="spellStart"/>
      <w:r w:rsidRPr="00A40642">
        <w:rPr>
          <w:rFonts w:ascii="Times New Roman" w:hAnsi="Times New Roman" w:cs="Times New Roman"/>
          <w:i/>
          <w:color w:val="auto"/>
          <w:sz w:val="24"/>
          <w:szCs w:val="24"/>
          <w:lang w:val="lv-LV"/>
        </w:rPr>
        <w:t>low</w:t>
      </w:r>
      <w:proofErr w:type="spellEnd"/>
      <w:r w:rsidRPr="00A40642">
        <w:rPr>
          <w:rFonts w:ascii="Times New Roman" w:hAnsi="Times New Roman" w:cs="Times New Roman"/>
          <w:i/>
          <w:color w:val="auto"/>
          <w:sz w:val="24"/>
          <w:szCs w:val="24"/>
          <w:lang w:val="lv-LV"/>
        </w:rPr>
        <w:t xml:space="preserve"> </w:t>
      </w:r>
      <w:proofErr w:type="spellStart"/>
      <w:r w:rsidRPr="00A40642">
        <w:rPr>
          <w:rFonts w:ascii="Times New Roman" w:hAnsi="Times New Roman" w:cs="Times New Roman"/>
          <w:i/>
          <w:color w:val="auto"/>
          <w:sz w:val="24"/>
          <w:szCs w:val="24"/>
          <w:lang w:val="lv-LV"/>
        </w:rPr>
        <w:t>tech</w:t>
      </w:r>
      <w:proofErr w:type="spellEnd"/>
      <w:r w:rsidRPr="00A40642">
        <w:rPr>
          <w:rFonts w:ascii="Times New Roman" w:hAnsi="Times New Roman" w:cs="Times New Roman"/>
          <w:i/>
          <w:color w:val="auto"/>
          <w:sz w:val="24"/>
          <w:szCs w:val="24"/>
          <w:lang w:val="lv-LV"/>
        </w:rPr>
        <w:t xml:space="preserve">) </w:t>
      </w:r>
      <w:r w:rsidRPr="00A40642">
        <w:rPr>
          <w:rFonts w:ascii="Times New Roman" w:hAnsi="Times New Roman" w:cs="Times New Roman"/>
          <w:color w:val="auto"/>
          <w:sz w:val="24"/>
          <w:szCs w:val="24"/>
          <w:lang w:val="lv-LV"/>
        </w:rPr>
        <w:t>produkti ir viena no lielākajām E</w:t>
      </w:r>
      <w:r w:rsidR="00D800C0">
        <w:rPr>
          <w:rFonts w:ascii="Times New Roman" w:hAnsi="Times New Roman" w:cs="Times New Roman"/>
          <w:color w:val="auto"/>
          <w:sz w:val="24"/>
          <w:szCs w:val="24"/>
          <w:lang w:val="lv-LV"/>
        </w:rPr>
        <w:t>S</w:t>
      </w:r>
      <w:r w:rsidRPr="00A40642">
        <w:rPr>
          <w:rFonts w:ascii="Times New Roman" w:hAnsi="Times New Roman" w:cs="Times New Roman"/>
          <w:color w:val="auto"/>
          <w:sz w:val="24"/>
          <w:szCs w:val="24"/>
          <w:lang w:val="lv-LV"/>
        </w:rPr>
        <w:t xml:space="preserve"> konkurētspējas samazināšanās komponentēm.</w:t>
      </w:r>
    </w:p>
    <w:p w14:paraId="54168488" w14:textId="1724DE3B" w:rsidR="002D3677" w:rsidRPr="00A40642" w:rsidRDefault="00A40642" w:rsidP="002D3677">
      <w:pPr>
        <w:pStyle w:val="BodyA"/>
        <w:spacing w:line="240" w:lineRule="auto"/>
        <w:ind w:firstLine="567"/>
        <w:jc w:val="both"/>
        <w:rPr>
          <w:sz w:val="24"/>
          <w:szCs w:val="24"/>
          <w:lang w:val="lv-LV"/>
        </w:rPr>
      </w:pPr>
      <w:r>
        <w:rPr>
          <w:rFonts w:ascii="Times New Roman" w:hAnsi="Times New Roman" w:cs="Times New Roman"/>
          <w:color w:val="auto"/>
          <w:sz w:val="24"/>
          <w:szCs w:val="24"/>
          <w:lang w:val="lv-LV"/>
        </w:rPr>
        <w:t>EK</w:t>
      </w:r>
      <w:r w:rsidR="002D3677" w:rsidRPr="00A40642">
        <w:rPr>
          <w:rFonts w:ascii="Times New Roman" w:hAnsi="Times New Roman" w:cs="Times New Roman"/>
          <w:color w:val="auto"/>
          <w:sz w:val="24"/>
          <w:szCs w:val="24"/>
          <w:lang w:val="lv-LV"/>
        </w:rPr>
        <w:t xml:space="preserve"> skatījumā r</w:t>
      </w:r>
      <w:r w:rsidR="002D3677" w:rsidRPr="00A40642">
        <w:rPr>
          <w:rFonts w:ascii="Times New Roman" w:hAnsi="Times New Roman" w:cs="Times New Roman"/>
          <w:sz w:val="24"/>
          <w:szCs w:val="24"/>
          <w:lang w:val="lv-LV"/>
        </w:rPr>
        <w:t xml:space="preserve">egulējuma ierobežojumu ietekme uz </w:t>
      </w:r>
      <w:r w:rsidR="002D3677" w:rsidRPr="00A40642">
        <w:rPr>
          <w:rFonts w:ascii="Times New Roman" w:hAnsi="Times New Roman" w:cs="Times New Roman"/>
          <w:color w:val="auto"/>
          <w:sz w:val="24"/>
          <w:szCs w:val="24"/>
          <w:lang w:val="lv-LV"/>
        </w:rPr>
        <w:t xml:space="preserve">tirdzniecību </w:t>
      </w:r>
      <w:r w:rsidR="002D3677" w:rsidRPr="00A40642">
        <w:rPr>
          <w:rFonts w:ascii="Times New Roman" w:hAnsi="Times New Roman" w:cs="Times New Roman"/>
          <w:sz w:val="24"/>
          <w:szCs w:val="24"/>
          <w:lang w:val="lv-LV"/>
        </w:rPr>
        <w:t>ir daudz</w:t>
      </w:r>
      <w:r w:rsidR="002D3677" w:rsidRPr="00A40642">
        <w:rPr>
          <w:rFonts w:ascii="Times New Roman" w:hAnsi="Times New Roman" w:cs="Times New Roman"/>
          <w:color w:val="auto"/>
          <w:sz w:val="24"/>
          <w:szCs w:val="24"/>
          <w:lang w:val="lv-LV"/>
        </w:rPr>
        <w:t xml:space="preserve"> lielāka nek</w:t>
      </w:r>
      <w:r w:rsidR="002D3677" w:rsidRPr="00A40642">
        <w:rPr>
          <w:rFonts w:ascii="Times New Roman" w:hAnsi="Times New Roman" w:cs="Times New Roman"/>
          <w:sz w:val="24"/>
          <w:szCs w:val="24"/>
          <w:lang w:val="lv-LV"/>
        </w:rPr>
        <w:t xml:space="preserve">ā </w:t>
      </w:r>
      <w:r w:rsidR="002D3677" w:rsidRPr="00A40642">
        <w:rPr>
          <w:rFonts w:ascii="Times New Roman" w:hAnsi="Times New Roman" w:cs="Times New Roman"/>
          <w:color w:val="auto"/>
          <w:sz w:val="24"/>
          <w:szCs w:val="24"/>
          <w:lang w:val="lv-LV"/>
        </w:rPr>
        <w:t>to varētu iedomāties</w:t>
      </w:r>
      <w:r w:rsidR="002D3677" w:rsidRPr="00A40642">
        <w:rPr>
          <w:rFonts w:ascii="Times New Roman" w:hAnsi="Times New Roman" w:cs="Times New Roman"/>
          <w:sz w:val="24"/>
          <w:szCs w:val="24"/>
          <w:lang w:val="lv-LV"/>
        </w:rPr>
        <w:t>.</w:t>
      </w:r>
      <w:r w:rsidR="002D3677" w:rsidRPr="00A40642">
        <w:rPr>
          <w:rFonts w:ascii="Times New Roman" w:hAnsi="Times New Roman" w:cs="Times New Roman"/>
          <w:color w:val="auto"/>
          <w:sz w:val="24"/>
          <w:szCs w:val="24"/>
          <w:lang w:val="lv-LV"/>
        </w:rPr>
        <w:t xml:space="preserve"> </w:t>
      </w:r>
    </w:p>
    <w:p w14:paraId="7EE724E7" w14:textId="77777777" w:rsidR="002D3677" w:rsidRPr="00A40642" w:rsidRDefault="002D3677" w:rsidP="002D3677">
      <w:pPr>
        <w:keepNext/>
        <w:keepLines/>
        <w:shd w:val="clear" w:color="auto" w:fill="FFFFFF"/>
        <w:spacing w:before="120" w:after="120"/>
        <w:ind w:firstLine="567"/>
        <w:jc w:val="both"/>
        <w:rPr>
          <w:color w:val="000000"/>
        </w:rPr>
      </w:pPr>
      <w:r w:rsidRPr="00A40642">
        <w:rPr>
          <w:b/>
          <w:color w:val="000000"/>
          <w:u w:val="single"/>
        </w:rPr>
        <w:t>Latvijas nostāja:</w:t>
      </w:r>
    </w:p>
    <w:p w14:paraId="047FA769" w14:textId="0755BB8D" w:rsidR="002D3677" w:rsidRPr="00A40642" w:rsidRDefault="002D3677" w:rsidP="002D3677">
      <w:pPr>
        <w:pStyle w:val="BodyA"/>
        <w:spacing w:line="240" w:lineRule="auto"/>
        <w:ind w:firstLine="567"/>
        <w:jc w:val="both"/>
        <w:rPr>
          <w:sz w:val="24"/>
          <w:szCs w:val="24"/>
          <w:lang w:val="lv-LV"/>
        </w:rPr>
      </w:pPr>
      <w:r w:rsidRPr="00A40642">
        <w:rPr>
          <w:rFonts w:ascii="Times New Roman" w:hAnsi="Times New Roman" w:cs="Times New Roman"/>
          <w:color w:val="auto"/>
          <w:sz w:val="24"/>
          <w:szCs w:val="24"/>
          <w:lang w:val="lv-LV"/>
        </w:rPr>
        <w:t xml:space="preserve">Latvija atzinīgi novērtē Eiropas Komisijas veikto analīzi. Uzskata, ka ir jāturpina sekot globālo vērtību rādītāju izmaiņām, jo tas palīdz labāk izprast izmaiņas globālās ražošanas segmentācijā. Vienlaikus Latvija uzskata, ka ES dalībvalstu regulatīvie ierobežojumiem ir tendence izsaukt protekcionisma vilni (piemēram, darbinieku nosūtīšana) un kavēt ciešāku savstarpējo integrāciju, kā arī ES </w:t>
      </w:r>
      <w:r w:rsidR="00D800C0">
        <w:rPr>
          <w:rFonts w:ascii="Times New Roman" w:hAnsi="Times New Roman" w:cs="Times New Roman"/>
          <w:color w:val="auto"/>
          <w:sz w:val="24"/>
          <w:szCs w:val="24"/>
          <w:lang w:val="lv-LV"/>
        </w:rPr>
        <w:t>V</w:t>
      </w:r>
      <w:r w:rsidRPr="00A40642">
        <w:rPr>
          <w:rFonts w:ascii="Times New Roman" w:hAnsi="Times New Roman" w:cs="Times New Roman"/>
          <w:color w:val="auto"/>
          <w:sz w:val="24"/>
          <w:szCs w:val="24"/>
          <w:lang w:val="lv-LV"/>
        </w:rPr>
        <w:t>ienotā tirgus potenciāla tālāku atraisīšanu.</w:t>
      </w:r>
    </w:p>
    <w:p w14:paraId="656F825E" w14:textId="77777777" w:rsidR="002B1FC9" w:rsidRPr="00262D7B" w:rsidRDefault="002B1FC9" w:rsidP="00262D7B">
      <w:pPr>
        <w:pStyle w:val="DashEqual1"/>
        <w:numPr>
          <w:ilvl w:val="0"/>
          <w:numId w:val="0"/>
        </w:numPr>
        <w:rPr>
          <w:b/>
          <w:lang w:val="lv-LV"/>
        </w:rPr>
      </w:pPr>
    </w:p>
    <w:p w14:paraId="01E95048" w14:textId="62D8971B" w:rsidR="002B1FC9" w:rsidRPr="00C65C2E" w:rsidRDefault="002B1FC9" w:rsidP="006B3525">
      <w:pPr>
        <w:pStyle w:val="DashEqual1"/>
        <w:numPr>
          <w:ilvl w:val="0"/>
          <w:numId w:val="2"/>
        </w:numPr>
        <w:jc w:val="both"/>
        <w:rPr>
          <w:b/>
          <w:lang w:val="lv-LV"/>
        </w:rPr>
      </w:pPr>
      <w:r w:rsidRPr="00C65C2E">
        <w:rPr>
          <w:b/>
          <w:lang w:val="lv-LV"/>
        </w:rPr>
        <w:t xml:space="preserve">Pārskats par progresu </w:t>
      </w:r>
      <w:r w:rsidR="00D800C0">
        <w:rPr>
          <w:b/>
          <w:lang w:val="lv-LV"/>
        </w:rPr>
        <w:t>D</w:t>
      </w:r>
      <w:r w:rsidRPr="00C65C2E">
        <w:rPr>
          <w:b/>
          <w:lang w:val="lv-LV"/>
        </w:rPr>
        <w:t xml:space="preserve">igitālā vienotā tirgus stratēģijas un </w:t>
      </w:r>
      <w:r w:rsidR="00D800C0">
        <w:rPr>
          <w:b/>
          <w:lang w:val="lv-LV"/>
        </w:rPr>
        <w:t>V</w:t>
      </w:r>
      <w:r w:rsidRPr="00C65C2E">
        <w:rPr>
          <w:b/>
          <w:lang w:val="lv-LV"/>
        </w:rPr>
        <w:t>ienotā tirgus stratēģijas īstenošanai</w:t>
      </w:r>
      <w:r w:rsidR="006B3525">
        <w:rPr>
          <w:b/>
          <w:lang w:val="lv-LV"/>
        </w:rPr>
        <w:t xml:space="preserve"> </w:t>
      </w:r>
      <w:r w:rsidR="006B3525" w:rsidRPr="006B3525">
        <w:rPr>
          <w:lang w:val="lv-LV"/>
        </w:rPr>
        <w:t>(</w:t>
      </w:r>
      <w:r w:rsidR="000B273C">
        <w:rPr>
          <w:lang w:val="lv-LV"/>
        </w:rPr>
        <w:t xml:space="preserve">Ekonomikas ministrijas un </w:t>
      </w:r>
      <w:r w:rsidR="006B3525" w:rsidRPr="006B3525">
        <w:rPr>
          <w:lang w:val="lv-LV"/>
        </w:rPr>
        <w:t>Vides aizsardzības un reģionālās attīstības ministrijas</w:t>
      </w:r>
      <w:r w:rsidR="006B3525">
        <w:rPr>
          <w:lang w:val="lv-LV"/>
        </w:rPr>
        <w:t xml:space="preserve"> jautājums)</w:t>
      </w:r>
    </w:p>
    <w:p w14:paraId="6EB97E7E" w14:textId="77777777" w:rsidR="002B1FC9" w:rsidRDefault="002B1FC9" w:rsidP="002B1FC9">
      <w:pPr>
        <w:pStyle w:val="DashEqual1"/>
        <w:numPr>
          <w:ilvl w:val="0"/>
          <w:numId w:val="0"/>
        </w:numPr>
        <w:ind w:left="720"/>
        <w:rPr>
          <w:i/>
          <w:lang w:val="lv-LV"/>
        </w:rPr>
      </w:pPr>
      <w:r>
        <w:rPr>
          <w:i/>
          <w:lang w:val="lv-LV"/>
        </w:rPr>
        <w:t>= EK prezentācija</w:t>
      </w:r>
    </w:p>
    <w:p w14:paraId="5D36ABA6" w14:textId="77777777" w:rsidR="00AB2522" w:rsidRDefault="002B1FC9" w:rsidP="00AB2522">
      <w:pPr>
        <w:pStyle w:val="DashEqual1"/>
        <w:numPr>
          <w:ilvl w:val="0"/>
          <w:numId w:val="0"/>
        </w:numPr>
        <w:ind w:left="720"/>
        <w:rPr>
          <w:i/>
          <w:lang w:val="lv-LV"/>
        </w:rPr>
      </w:pPr>
      <w:r>
        <w:rPr>
          <w:i/>
          <w:lang w:val="lv-LV"/>
        </w:rPr>
        <w:t>= Viedokļu apmaiņa</w:t>
      </w:r>
    </w:p>
    <w:p w14:paraId="1563E43C" w14:textId="77777777" w:rsidR="007522AE" w:rsidRDefault="007522AE" w:rsidP="007522AE">
      <w:pPr>
        <w:pStyle w:val="DashEqual1"/>
        <w:numPr>
          <w:ilvl w:val="0"/>
          <w:numId w:val="0"/>
        </w:numPr>
        <w:rPr>
          <w:lang w:val="lv-LV"/>
        </w:rPr>
      </w:pPr>
    </w:p>
    <w:p w14:paraId="247E711A" w14:textId="4EF20142" w:rsidR="00076E90" w:rsidRDefault="00076E90" w:rsidP="00076E90">
      <w:pPr>
        <w:pStyle w:val="DashEqual1"/>
        <w:numPr>
          <w:ilvl w:val="0"/>
          <w:numId w:val="0"/>
        </w:numPr>
        <w:ind w:firstLine="720"/>
        <w:jc w:val="both"/>
        <w:rPr>
          <w:lang w:val="lv-LV"/>
        </w:rPr>
      </w:pPr>
      <w:r w:rsidRPr="0002036D">
        <w:rPr>
          <w:lang w:val="lv-LV"/>
        </w:rPr>
        <w:t xml:space="preserve">Taisnīgs un padziļināts </w:t>
      </w:r>
      <w:r>
        <w:rPr>
          <w:lang w:val="lv-LV"/>
        </w:rPr>
        <w:t>ES</w:t>
      </w:r>
      <w:r w:rsidRPr="0002036D">
        <w:rPr>
          <w:lang w:val="lv-LV"/>
        </w:rPr>
        <w:t xml:space="preserve"> Vienotais tirgus ir viens no </w:t>
      </w:r>
      <w:r>
        <w:rPr>
          <w:lang w:val="lv-LV"/>
        </w:rPr>
        <w:t xml:space="preserve">ES </w:t>
      </w:r>
      <w:r w:rsidRPr="0002036D">
        <w:rPr>
          <w:lang w:val="lv-LV"/>
        </w:rPr>
        <w:t xml:space="preserve">sasniegumiem, kas </w:t>
      </w:r>
      <w:r>
        <w:rPr>
          <w:lang w:val="lv-LV"/>
        </w:rPr>
        <w:t>gandrīz 6</w:t>
      </w:r>
      <w:r w:rsidRPr="0002036D">
        <w:rPr>
          <w:lang w:val="lv-LV"/>
        </w:rPr>
        <w:t xml:space="preserve">0 gadus ir palīdzējies stiprināt uzņēmēju konkurētspēju, kā arī nodrošinājis patērētājiem iespēju iegādāties plašāku pakalpojumu un preču klāstu par zemākām cenām. </w:t>
      </w:r>
    </w:p>
    <w:p w14:paraId="21C5CA7D" w14:textId="77777777" w:rsidR="00076E90" w:rsidRDefault="00076E90" w:rsidP="00076E90">
      <w:pPr>
        <w:pStyle w:val="CommentText"/>
        <w:spacing w:before="120"/>
        <w:ind w:firstLine="720"/>
        <w:jc w:val="both"/>
        <w:rPr>
          <w:sz w:val="24"/>
          <w:szCs w:val="24"/>
        </w:rPr>
      </w:pPr>
      <w:r>
        <w:rPr>
          <w:sz w:val="24"/>
          <w:szCs w:val="24"/>
        </w:rPr>
        <w:t>Taču, lai arī cik liels progress attiecībā uz ES Vienotā tirgus īstenošanu ir panākts, joprojām uzņēmēji un iedzīvotāji ikdienā saskaras ar dažādiem regulatīviem un neregulatīviem šķēršļiem, kas liedz pilnībā izmantot ES Vienotā tirgus sniegtās priekšrocības, piemēram, pēc Eiropas Komisijas sniegtajiem aprēķiniem Pakalpojumu direktīvas</w:t>
      </w:r>
      <w:r>
        <w:rPr>
          <w:rStyle w:val="FootnoteReference"/>
          <w:sz w:val="24"/>
          <w:szCs w:val="24"/>
        </w:rPr>
        <w:footnoteReference w:id="3"/>
      </w:r>
      <w:r>
        <w:rPr>
          <w:sz w:val="24"/>
          <w:szCs w:val="24"/>
        </w:rPr>
        <w:t xml:space="preserve"> pilnīga īstenošana sniegtu ES IKP papildus 1,8% izaugsmi.</w:t>
      </w:r>
      <w:r>
        <w:rPr>
          <w:rStyle w:val="FootnoteReference"/>
          <w:sz w:val="24"/>
          <w:szCs w:val="24"/>
        </w:rPr>
        <w:footnoteReference w:id="4"/>
      </w:r>
      <w:r>
        <w:rPr>
          <w:sz w:val="24"/>
          <w:szCs w:val="24"/>
        </w:rPr>
        <w:t xml:space="preserve"> </w:t>
      </w:r>
    </w:p>
    <w:p w14:paraId="3BF5E14C" w14:textId="77777777" w:rsidR="00076E90" w:rsidRPr="003450AE" w:rsidRDefault="00076E90" w:rsidP="00076E90">
      <w:pPr>
        <w:pStyle w:val="DashEqual1"/>
        <w:numPr>
          <w:ilvl w:val="0"/>
          <w:numId w:val="0"/>
        </w:numPr>
        <w:ind w:firstLine="720"/>
        <w:jc w:val="both"/>
        <w:rPr>
          <w:lang w:val="lv-LV"/>
        </w:rPr>
      </w:pPr>
      <w:r>
        <w:rPr>
          <w:lang w:val="lv-LV"/>
        </w:rPr>
        <w:t>Kā risinājums no Eiropas Komisijas puses sekoja ES Vienotā tirgus stratēģijas</w:t>
      </w:r>
      <w:r>
        <w:rPr>
          <w:rStyle w:val="FootnoteReference"/>
          <w:lang w:val="lv-LV"/>
        </w:rPr>
        <w:footnoteReference w:id="5"/>
      </w:r>
      <w:r>
        <w:rPr>
          <w:lang w:val="lv-LV"/>
        </w:rPr>
        <w:t xml:space="preserve"> izstrāde un publicēšana 2015. gada 28. oktobrī</w:t>
      </w:r>
      <w:r w:rsidRPr="003450AE">
        <w:rPr>
          <w:lang w:val="lv-LV"/>
        </w:rPr>
        <w:t>. Stratēģiju veido trīs darbību jomas: radīt iespēju patērētājiem, profesionāļiem un uzņēmumiem; veicināt modernizāciju un jauninājumu attīstību; nodrošināt praktisku piegādi, kas uzlabotu patērētāju un uzņēmumu ikdienas dzīvi.</w:t>
      </w:r>
    </w:p>
    <w:p w14:paraId="62D0E9D0" w14:textId="71C6C515" w:rsidR="00076E90" w:rsidRPr="003450AE" w:rsidRDefault="00076E90" w:rsidP="00076E90">
      <w:pPr>
        <w:pStyle w:val="DashEqual1"/>
        <w:numPr>
          <w:ilvl w:val="0"/>
          <w:numId w:val="0"/>
        </w:numPr>
        <w:ind w:firstLine="720"/>
        <w:jc w:val="both"/>
        <w:rPr>
          <w:lang w:val="lv-LV"/>
        </w:rPr>
      </w:pPr>
      <w:r>
        <w:rPr>
          <w:noProof/>
          <w:spacing w:val="4"/>
          <w:lang w:val="lv-LV"/>
        </w:rPr>
        <w:t>Secīgi</w:t>
      </w:r>
      <w:r w:rsidRPr="003450AE">
        <w:rPr>
          <w:noProof/>
          <w:spacing w:val="4"/>
          <w:lang w:val="lv-LV"/>
        </w:rPr>
        <w:t xml:space="preserve"> </w:t>
      </w:r>
      <w:r w:rsidR="00703924">
        <w:rPr>
          <w:noProof/>
          <w:spacing w:val="4"/>
          <w:lang w:val="lv-LV"/>
        </w:rPr>
        <w:t>D</w:t>
      </w:r>
      <w:r>
        <w:rPr>
          <w:noProof/>
          <w:spacing w:val="4"/>
          <w:lang w:val="lv-LV"/>
        </w:rPr>
        <w:t>igitālā vienotā tirgus attīstības nolūkos</w:t>
      </w:r>
      <w:r>
        <w:rPr>
          <w:lang w:val="lv-LV"/>
        </w:rPr>
        <w:t xml:space="preserve"> EK 2015. gada 6.maijā pieņēma ES Digitālā V</w:t>
      </w:r>
      <w:r w:rsidRPr="003450AE">
        <w:rPr>
          <w:lang w:val="lv-LV"/>
        </w:rPr>
        <w:t xml:space="preserve">ienotā tirgus stratēģiju, kurā ietverti 16 pasākumi, kā priekšnoteikumi, lai izveidotu iekļaujošu digitālo kontinentu, kas balstīts uz </w:t>
      </w:r>
      <w:proofErr w:type="spellStart"/>
      <w:r w:rsidRPr="003450AE">
        <w:rPr>
          <w:lang w:val="lv-LV"/>
        </w:rPr>
        <w:t>atvērtību</w:t>
      </w:r>
      <w:proofErr w:type="spellEnd"/>
      <w:r w:rsidRPr="003450AE">
        <w:rPr>
          <w:lang w:val="lv-LV"/>
        </w:rPr>
        <w:t xml:space="preserve"> un kopējām Eiropas vērtībām.</w:t>
      </w:r>
      <w:r>
        <w:rPr>
          <w:lang w:val="lv-LV"/>
        </w:rPr>
        <w:t xml:space="preserve"> </w:t>
      </w:r>
      <w:r w:rsidR="00703924">
        <w:rPr>
          <w:noProof/>
          <w:spacing w:val="4"/>
          <w:lang w:val="lv-LV"/>
        </w:rPr>
        <w:t>D</w:t>
      </w:r>
      <w:r w:rsidRPr="003450AE">
        <w:rPr>
          <w:noProof/>
          <w:spacing w:val="4"/>
          <w:lang w:val="lv-LV"/>
        </w:rPr>
        <w:t>igitālā vienotā tirgū patērētājiem un uzņēmējiem būs labāki nosacījumi piekļuvei tiešsaistes precēm un pakalpojumiem, savukārt atbilstoši noteikumi sakaru tīkliem ļaus palielināt Eiropas digitālās ekonomikas izaugsmes potenciālu.</w:t>
      </w:r>
    </w:p>
    <w:p w14:paraId="03A6BC2A" w14:textId="77777777" w:rsidR="00076E90" w:rsidRDefault="00076E90" w:rsidP="00076E90">
      <w:pPr>
        <w:pStyle w:val="DashEqual1"/>
        <w:numPr>
          <w:ilvl w:val="0"/>
          <w:numId w:val="0"/>
        </w:numPr>
        <w:ind w:firstLine="357"/>
        <w:jc w:val="both"/>
        <w:rPr>
          <w:lang w:val="lv-LV"/>
        </w:rPr>
      </w:pPr>
      <w:r>
        <w:rPr>
          <w:lang w:val="lv-LV"/>
        </w:rPr>
        <w:lastRenderedPageBreak/>
        <w:t>Pēdējos gados Eirop</w:t>
      </w:r>
      <w:r w:rsidRPr="003450AE">
        <w:rPr>
          <w:lang w:val="lv-LV"/>
        </w:rPr>
        <w:t>adome ir atkārtoti vēr</w:t>
      </w:r>
      <w:r>
        <w:rPr>
          <w:lang w:val="lv-LV"/>
        </w:rPr>
        <w:t>susies, lai pabeigtu darbu pie V</w:t>
      </w:r>
      <w:r w:rsidRPr="003450AE">
        <w:rPr>
          <w:lang w:val="lv-LV"/>
        </w:rPr>
        <w:t>ienotā tirgus</w:t>
      </w:r>
      <w:r>
        <w:rPr>
          <w:lang w:val="lv-LV"/>
        </w:rPr>
        <w:t xml:space="preserve"> efektīvas darbības</w:t>
      </w:r>
      <w:r w:rsidRPr="003450AE">
        <w:rPr>
          <w:lang w:val="lv-LV"/>
        </w:rPr>
        <w:t xml:space="preserve">. 2016. gada jūnijā Eiropadomē tika pieņemta programma, </w:t>
      </w:r>
      <w:r>
        <w:rPr>
          <w:lang w:val="lv-LV"/>
        </w:rPr>
        <w:t>lai īstenotu visus V</w:t>
      </w:r>
      <w:r w:rsidRPr="003450AE">
        <w:rPr>
          <w:lang w:val="lv-LV"/>
        </w:rPr>
        <w:t>ienotā tirgus aspektus, tostarp īstenojot EK Vienotā tirgus, Digitālā vienotā tirgus un Kapitāla tirgus savienības stratēģiju. EK ir ierosinājusi, ka ES Padome katru gadu ziņos jūnija Eiropadomei par sasniegto progr</w:t>
      </w:r>
      <w:r>
        <w:rPr>
          <w:lang w:val="lv-LV"/>
        </w:rPr>
        <w:t>esu V</w:t>
      </w:r>
      <w:r w:rsidRPr="003450AE">
        <w:rPr>
          <w:lang w:val="lv-LV"/>
        </w:rPr>
        <w:t>ienotā tirgus padziļināšanā visos tā aspektos.</w:t>
      </w:r>
      <w:r>
        <w:rPr>
          <w:lang w:val="lv-LV"/>
        </w:rPr>
        <w:t xml:space="preserve"> Arī 2017.gada jūnija Eiropadomē ir plānots izvērtēt sasniegto progresu Digitālā vienotā tirgus un Vienotā tirgus ieviešanā.</w:t>
      </w:r>
    </w:p>
    <w:p w14:paraId="2E8D4471" w14:textId="5E155DFE" w:rsidR="00076E90" w:rsidRDefault="00076E90" w:rsidP="00076E90">
      <w:pPr>
        <w:pStyle w:val="DashEqual1"/>
        <w:numPr>
          <w:ilvl w:val="0"/>
          <w:numId w:val="0"/>
        </w:numPr>
        <w:ind w:firstLine="357"/>
        <w:jc w:val="both"/>
        <w:rPr>
          <w:lang w:val="lv-LV"/>
        </w:rPr>
      </w:pPr>
      <w:r>
        <w:rPr>
          <w:lang w:val="lv-LV"/>
        </w:rPr>
        <w:t xml:space="preserve">Šobrīd pēc Vienotā tirgus un Digitālā </w:t>
      </w:r>
      <w:r w:rsidR="00304C38">
        <w:rPr>
          <w:lang w:val="lv-LV"/>
        </w:rPr>
        <w:t>v</w:t>
      </w:r>
      <w:r w:rsidRPr="003450AE">
        <w:rPr>
          <w:lang w:val="lv-LV"/>
        </w:rPr>
        <w:t>ienotā tirgus</w:t>
      </w:r>
      <w:r>
        <w:rPr>
          <w:lang w:val="lv-LV"/>
        </w:rPr>
        <w:t xml:space="preserve"> stratēģiju apstiprināšanas EK ir apstiprinājusi lielāko daļu plānoto iniciatīvu un atlikušās tiks apstiprinātas līdz 2017. gada beigām, tādejādi īstenojot sākotnējos politiskos uzstādījumus.  </w:t>
      </w:r>
    </w:p>
    <w:p w14:paraId="7C876AD4" w14:textId="39A0302A" w:rsidR="00076E90" w:rsidRDefault="00076E90" w:rsidP="00076E90">
      <w:pPr>
        <w:pStyle w:val="DashEqual1"/>
        <w:numPr>
          <w:ilvl w:val="0"/>
          <w:numId w:val="0"/>
        </w:numPr>
        <w:ind w:firstLine="357"/>
        <w:jc w:val="both"/>
        <w:rPr>
          <w:lang w:val="lv-LV"/>
        </w:rPr>
      </w:pPr>
      <w:r>
        <w:rPr>
          <w:lang w:val="lv-LV"/>
        </w:rPr>
        <w:t xml:space="preserve">Attiecībā par tālākajiem soļiem jāapzinās, ka Vienotā tirgus padziļināšana neaprobežojas tikai ar jaunas likumdošanas izstrādi, jo nepieciešams domāt daudz plašāk. Vienotais tirgus saskaras pamatā ar diviem izaicinājumiem globalizāciju un </w:t>
      </w:r>
      <w:proofErr w:type="spellStart"/>
      <w:r>
        <w:rPr>
          <w:lang w:val="lv-LV"/>
        </w:rPr>
        <w:t>digitalizāciju</w:t>
      </w:r>
      <w:proofErr w:type="spellEnd"/>
      <w:r>
        <w:rPr>
          <w:lang w:val="lv-LV"/>
        </w:rPr>
        <w:t xml:space="preserve">. Eiropai ir stipra rūpnieciskā bāze un konkurētspējīgas priekšrocības vairākos sektoros un lai tas saglabātos un attīstītos nākotnē EK ir nākusi klajā šogad ar konkrētām iniciatīvām, kā piemēram Pakalpojumu </w:t>
      </w:r>
      <w:proofErr w:type="spellStart"/>
      <w:r>
        <w:rPr>
          <w:lang w:val="lv-LV"/>
        </w:rPr>
        <w:t>pak</w:t>
      </w:r>
      <w:r w:rsidR="00304C38">
        <w:rPr>
          <w:lang w:val="lv-LV"/>
        </w:rPr>
        <w:t>otne</w:t>
      </w:r>
      <w:proofErr w:type="spellEnd"/>
      <w:r>
        <w:rPr>
          <w:lang w:val="lv-LV"/>
        </w:rPr>
        <w:t xml:space="preserve"> janvārī un Atbilstības un palīdzības </w:t>
      </w:r>
      <w:proofErr w:type="spellStart"/>
      <w:r>
        <w:rPr>
          <w:lang w:val="lv-LV"/>
        </w:rPr>
        <w:t>pak</w:t>
      </w:r>
      <w:r w:rsidR="00304C38">
        <w:rPr>
          <w:lang w:val="lv-LV"/>
        </w:rPr>
        <w:t>otne</w:t>
      </w:r>
      <w:proofErr w:type="spellEnd"/>
      <w:r>
        <w:rPr>
          <w:lang w:val="lv-LV"/>
        </w:rPr>
        <w:t xml:space="preserve"> maija sākumā. Savukārt preču tirgus pilnveidošanas nolūkos EK plāno vasarās beigās nākt klajā arī ar iniciatīvām Savstarpējās atzīšanas un tirgus uzraudzības jautājumos.</w:t>
      </w:r>
    </w:p>
    <w:p w14:paraId="721A47AA" w14:textId="77777777" w:rsidR="00076E90" w:rsidRPr="00076E90" w:rsidRDefault="00076E90" w:rsidP="00076E90">
      <w:pPr>
        <w:pStyle w:val="DashEqual1"/>
        <w:numPr>
          <w:ilvl w:val="0"/>
          <w:numId w:val="0"/>
        </w:numPr>
        <w:ind w:left="567"/>
        <w:jc w:val="both"/>
        <w:rPr>
          <w:color w:val="000000"/>
          <w:lang w:val="lv-LV"/>
        </w:rPr>
      </w:pPr>
      <w:r w:rsidRPr="00076E90">
        <w:rPr>
          <w:b/>
          <w:color w:val="000000"/>
          <w:u w:val="single"/>
          <w:lang w:val="lv-LV"/>
        </w:rPr>
        <w:t>Latvijas nostāja:</w:t>
      </w:r>
    </w:p>
    <w:p w14:paraId="753C4050" w14:textId="77777777" w:rsidR="00076E90" w:rsidRPr="00553D22" w:rsidRDefault="00076E90" w:rsidP="00076E90">
      <w:pPr>
        <w:spacing w:before="120"/>
        <w:ind w:firstLine="567"/>
        <w:jc w:val="both"/>
      </w:pPr>
      <w:r w:rsidRPr="00553D22">
        <w:t>Latvija kopumā pozitīvi vērtē un atbalsta ES Vienotā tirgus un Digitālā vienotā tirgus stratēģijās paredzēto pasākumu kopumu un sasniegtos rezultātus, taču šobrīd vēl pāragri spriest par tūlītēju ieguvumu, jo darba grupās norit aktīvs darbs pie pirmajiem Eiropas Komisijas priekšlikumiem, kur Latvijai svarīgi, lai plānoto pasākumu kopums un priekšlikumu nosacījumi reāli stiprinātu uzņēmēju konkurētspēju, gan Eiropā, gan globālajā tirgū, un netiktu pieņemti pasākumi, kas mazina ES konkurētspēju.</w:t>
      </w:r>
    </w:p>
    <w:p w14:paraId="237C2B22" w14:textId="1D750737" w:rsidR="00076E90" w:rsidRDefault="00076E90" w:rsidP="00076E90">
      <w:pPr>
        <w:spacing w:before="120"/>
        <w:ind w:firstLine="567"/>
        <w:jc w:val="both"/>
      </w:pPr>
      <w:r w:rsidRPr="00553D22">
        <w:t xml:space="preserve">Atzinīgi vērtējam Komisijas </w:t>
      </w:r>
      <w:r>
        <w:t xml:space="preserve">līdz šim </w:t>
      </w:r>
      <w:r w:rsidRPr="00553D22">
        <w:t>paveikto</w:t>
      </w:r>
      <w:r>
        <w:t>, kā arī ieguldījumu</w:t>
      </w:r>
      <w:r w:rsidRPr="00553D22">
        <w:t xml:space="preserve"> tikko iznākušās iniciatīvas Atbilstības un palīdzības </w:t>
      </w:r>
      <w:proofErr w:type="spellStart"/>
      <w:r w:rsidRPr="00553D22">
        <w:t>pak</w:t>
      </w:r>
      <w:r w:rsidR="00304C38">
        <w:t>otnes</w:t>
      </w:r>
      <w:proofErr w:type="spellEnd"/>
      <w:r w:rsidRPr="00553D22">
        <w:t xml:space="preserve"> ietvaros</w:t>
      </w:r>
      <w:r>
        <w:t xml:space="preserve">. Šīs paketes ietvaros iznākušos </w:t>
      </w:r>
      <w:r w:rsidRPr="00553D22">
        <w:t>SOLVIT rīcības plān</w:t>
      </w:r>
      <w:r>
        <w:t>a</w:t>
      </w:r>
      <w:r w:rsidRPr="00553D22">
        <w:t xml:space="preserve"> un Digitālo vārtejas priekšlikum</w:t>
      </w:r>
      <w:r>
        <w:t>us iepretim Vienotā tirgus informācijas pieprasījuma rīka priekšlikumam kopumā vērtējam pozitīvi</w:t>
      </w:r>
      <w:r w:rsidRPr="00553D22">
        <w:t>.</w:t>
      </w:r>
      <w:r>
        <w:t xml:space="preserve"> Šobrīd norit darbs pie sākotnējo nacionālo pozīciju izstrādes.</w:t>
      </w:r>
    </w:p>
    <w:p w14:paraId="6D8F8ABF" w14:textId="77777777" w:rsidR="00076E90" w:rsidRPr="00553D22" w:rsidRDefault="00076E90" w:rsidP="00076E90">
      <w:pPr>
        <w:spacing w:before="120"/>
        <w:ind w:firstLine="567"/>
        <w:jc w:val="both"/>
      </w:pPr>
      <w:r>
        <w:t xml:space="preserve">Papildus ļoti atzinīgi vērtējam pakalpojumu </w:t>
      </w:r>
      <w:proofErr w:type="spellStart"/>
      <w:r>
        <w:t>pakotnes</w:t>
      </w:r>
      <w:proofErr w:type="spellEnd"/>
      <w:r>
        <w:t xml:space="preserve"> iniciatīvas, kur svarīgi nemazināt uzstādīto ambīciju līmeni.</w:t>
      </w:r>
    </w:p>
    <w:p w14:paraId="36CAA198" w14:textId="5F70BD82" w:rsidR="00076E90" w:rsidRPr="00502E6A" w:rsidRDefault="00076E90" w:rsidP="00950438">
      <w:pPr>
        <w:spacing w:after="120"/>
        <w:ind w:firstLine="567"/>
        <w:jc w:val="both"/>
      </w:pPr>
      <w:r w:rsidRPr="00553D22">
        <w:t xml:space="preserve">Vienlaikus Latvijas ieskatā ir svarīgi </w:t>
      </w:r>
      <w:r>
        <w:t xml:space="preserve">kopumā </w:t>
      </w:r>
      <w:r w:rsidRPr="00553D22">
        <w:t>panākt politikas iniciatīvu saprotamību un vienādu piemērošanu visās ES dalībvalstīs, tādejādi izvairoties no atšķirīgām interpretācijas iespējām</w:t>
      </w:r>
      <w:r w:rsidRPr="00502E6A">
        <w:t>, kas varētu negatīvi ietekmē ES Vienotā tirgus darbību.</w:t>
      </w:r>
      <w:r w:rsidR="00B6011A">
        <w:t xml:space="preserve"> Mūs satrauc atsevišķās </w:t>
      </w:r>
      <w:r w:rsidR="00BE50AD">
        <w:t>tendences ES regulās un direktīvās, kas atstāj būtisku ietekmi uz konkrētiem ekonomiskajiem sektoriem.</w:t>
      </w:r>
      <w:r w:rsidR="00B6011A">
        <w:t xml:space="preserve"> Latvijas skatījumā ES ilgtermiņā būs ieguvēja no ES Vienotā tirgus stiprināšanas, nevis protekcionisma politikas īstenošanas nacionālā līmenī</w:t>
      </w:r>
      <w:r w:rsidR="00BE50AD">
        <w:t>, t.sk. vienpusēji pieņemot normatīvus, kas rada papildus administratīvo un finansiālo slogu</w:t>
      </w:r>
      <w:r w:rsidR="00B6011A">
        <w:t xml:space="preserve">. </w:t>
      </w:r>
      <w:r w:rsidR="00E426C8">
        <w:t>ES Vienotā tirgus darboties spēja un integr</w:t>
      </w:r>
      <w:r w:rsidR="00ED1D18">
        <w:t>itātes saglabāšana ir būtiska</w:t>
      </w:r>
      <w:bookmarkStart w:id="1" w:name="_GoBack"/>
      <w:bookmarkEnd w:id="1"/>
      <w:r w:rsidR="00E426C8">
        <w:t xml:space="preserve"> Latvijas sociālekonomiskai konverģencei.</w:t>
      </w:r>
      <w:r w:rsidR="00B575D7">
        <w:t xml:space="preserve"> Saredzam, ka sociālo aspektu kontekstā, svarīgi sekmēt sociāli atbildīgu uzņēmējdarbību, vienlaikus strādājot pie konkurences veicināšanas un </w:t>
      </w:r>
      <w:proofErr w:type="spellStart"/>
      <w:r w:rsidR="00B575D7">
        <w:t>tirpinot</w:t>
      </w:r>
      <w:proofErr w:type="spellEnd"/>
      <w:r w:rsidR="00B575D7">
        <w:t xml:space="preserve"> šķēršļu novēršanu uzņēmējdarbībā (piemēram, cīnoties pret dažādām negodīgām praks</w:t>
      </w:r>
      <w:r w:rsidR="008966C4">
        <w:t>ēm</w:t>
      </w:r>
      <w:r w:rsidR="00B575D7">
        <w:t xml:space="preserve"> kā </w:t>
      </w:r>
      <w:r w:rsidR="008966C4">
        <w:t xml:space="preserve">“pastkastīšu uzņēmumiem”, nodokļu </w:t>
      </w:r>
      <w:proofErr w:type="spellStart"/>
      <w:r w:rsidR="008966C4">
        <w:t>krāpniecības</w:t>
      </w:r>
      <w:proofErr w:type="spellEnd"/>
      <w:r w:rsidR="008966C4">
        <w:t>, nedeklarēto darbu</w:t>
      </w:r>
      <w:r w:rsidR="00B575D7">
        <w:t>)</w:t>
      </w:r>
      <w:r w:rsidR="008966C4">
        <w:t>.</w:t>
      </w:r>
      <w:r w:rsidR="00E426C8">
        <w:t xml:space="preserve">   </w:t>
      </w:r>
    </w:p>
    <w:p w14:paraId="16A626C1" w14:textId="77777777" w:rsidR="00076E90" w:rsidRDefault="00076E90" w:rsidP="00076E90">
      <w:pPr>
        <w:spacing w:before="120"/>
        <w:ind w:firstLine="567"/>
        <w:jc w:val="both"/>
      </w:pPr>
      <w:r w:rsidRPr="00502E6A">
        <w:lastRenderedPageBreak/>
        <w:t>Latvija vislielāko ieguvumu Vienotā tirgus attīstībā saskata attiecībā uz iniciatīvām pakalpojumu jomas pilnveidošanai un savstarpējās atzīšanas principa ievērošanas uzlabošanai, tai skaitā preču jomā. Latvijai svarīgi, lai savstarpējās atzīšanas princips tiktu attīstīts un piemērots jomās, kur tas ir visvairāk nepieciešams, lai sekmētu pārrobežu darbību īstenošanu, lai novērstu šķēršļus brīvai preču un pakalpojumu apritei ES, kā arī tiešu vai netiešu diskrimināciju pēc valsts piederības.</w:t>
      </w:r>
    </w:p>
    <w:p w14:paraId="7F29681E" w14:textId="78D91668" w:rsidR="00076E90" w:rsidRDefault="00076E90" w:rsidP="00076E90">
      <w:pPr>
        <w:spacing w:before="120"/>
        <w:ind w:firstLine="567"/>
        <w:jc w:val="both"/>
      </w:pPr>
      <w:r>
        <w:t>Savukārt, ES Digitālā vienotā tirgus attīstības veicināšanai</w:t>
      </w:r>
      <w:r w:rsidRPr="001E75C2">
        <w:t xml:space="preserve"> svarīgi ir attīstīt digitālās prasmes, lai nodrošinātu, ka iedzīvotāji un uzņēmēji </w:t>
      </w:r>
      <w:r>
        <w:t xml:space="preserve">neiepaliek un </w:t>
      </w:r>
      <w:r w:rsidRPr="001E75C2">
        <w:t>pilnvērtīgi izmanto digitālā laikmeta sniegtās iespējas</w:t>
      </w:r>
      <w:r>
        <w:t>. Latvijai nacionālā līmenī prioritāte ir virzība uz datiem balstītu sabiedrību (</w:t>
      </w:r>
      <w:proofErr w:type="spellStart"/>
      <w:r w:rsidRPr="002030BF">
        <w:rPr>
          <w:i/>
        </w:rPr>
        <w:t>data</w:t>
      </w:r>
      <w:proofErr w:type="spellEnd"/>
      <w:r w:rsidRPr="002030BF">
        <w:rPr>
          <w:i/>
        </w:rPr>
        <w:t xml:space="preserve"> </w:t>
      </w:r>
      <w:proofErr w:type="spellStart"/>
      <w:r w:rsidRPr="002030BF">
        <w:rPr>
          <w:i/>
        </w:rPr>
        <w:t>driven</w:t>
      </w:r>
      <w:proofErr w:type="spellEnd"/>
      <w:r w:rsidRPr="002030BF">
        <w:rPr>
          <w:i/>
        </w:rPr>
        <w:t xml:space="preserve"> </w:t>
      </w:r>
      <w:proofErr w:type="spellStart"/>
      <w:r w:rsidRPr="002030BF">
        <w:rPr>
          <w:i/>
        </w:rPr>
        <w:t>nation</w:t>
      </w:r>
      <w:proofErr w:type="spellEnd"/>
      <w:r>
        <w:t>), kur iedzīvotāji un uzņēmēji lēmumus pieņem, balstoties uz datiem</w:t>
      </w:r>
      <w:r w:rsidRPr="001E75C2">
        <w:t xml:space="preserve">. Latvija atbalsta </w:t>
      </w:r>
      <w:r>
        <w:t xml:space="preserve">nepieciešamību ES līmeņa regulējam </w:t>
      </w:r>
      <w:r w:rsidRPr="001E75C2">
        <w:t>datu brīv</w:t>
      </w:r>
      <w:r>
        <w:t>ai</w:t>
      </w:r>
      <w:r w:rsidRPr="001E75C2">
        <w:t xml:space="preserve"> plūsm</w:t>
      </w:r>
      <w:r>
        <w:t>ai</w:t>
      </w:r>
      <w:r w:rsidRPr="001E75C2">
        <w:t>, kas novērstu nepamatotas barjeras piekļuve</w:t>
      </w:r>
      <w:r>
        <w:t>i datiem. Latvijas skatījumā šis</w:t>
      </w:r>
      <w:r w:rsidRPr="001E75C2">
        <w:t xml:space="preserve"> priekšlikums sniegs būtisku ieguldījumu datu ekonomikas attīstībā ES.</w:t>
      </w:r>
      <w:r w:rsidR="00D768A6">
        <w:t xml:space="preserve"> Līdz ar to Latvija uzsver, ka šeit ir</w:t>
      </w:r>
      <w:r w:rsidR="00D768A6" w:rsidRPr="00D768A6">
        <w:t xml:space="preserve"> svarīgas investīcijas arī cilvēkresursos (mūžizglītībā, prasmēs, kvalifikācijās)</w:t>
      </w:r>
      <w:r w:rsidR="00D768A6">
        <w:t>, kas ir nozīmīgs faktors produktivitātes un konkurētspējas celšanai.</w:t>
      </w:r>
    </w:p>
    <w:p w14:paraId="3B3D7AF5" w14:textId="7830D9BA" w:rsidR="00BA4DDB" w:rsidRPr="001E75C2" w:rsidRDefault="00BA4DDB" w:rsidP="00076E90">
      <w:pPr>
        <w:spacing w:before="120"/>
        <w:ind w:firstLine="567"/>
        <w:jc w:val="both"/>
      </w:pPr>
      <w:r w:rsidRPr="00950438">
        <w:t xml:space="preserve">Atzinīgi vērtējam Komisijas apņemšanos atjaunināt </w:t>
      </w:r>
      <w:proofErr w:type="spellStart"/>
      <w:r w:rsidRPr="00950438">
        <w:t>ePārvaldes</w:t>
      </w:r>
      <w:proofErr w:type="spellEnd"/>
      <w:r w:rsidRPr="00950438">
        <w:t xml:space="preserve"> pasākumu plānu, papildinot pasākumu sarakstu, lai ieviestu  “</w:t>
      </w:r>
      <w:proofErr w:type="spellStart"/>
      <w:r w:rsidRPr="00950438">
        <w:rPr>
          <w:i/>
        </w:rPr>
        <w:t>once</w:t>
      </w:r>
      <w:proofErr w:type="spellEnd"/>
      <w:r w:rsidRPr="00950438">
        <w:rPr>
          <w:i/>
        </w:rPr>
        <w:t xml:space="preserve"> </w:t>
      </w:r>
      <w:proofErr w:type="spellStart"/>
      <w:r w:rsidRPr="00950438">
        <w:rPr>
          <w:i/>
        </w:rPr>
        <w:t>only</w:t>
      </w:r>
      <w:proofErr w:type="spellEnd"/>
      <w:r w:rsidRPr="00950438">
        <w:t>” principu un uzsverot tā saskaņošanu ar personas datu aizsardzības regulējumu. Atzinīgi vērtējama apņemšanās rudenī nākt klajā ar iniciatīvu par brīvu datu plūsmu, kā arī apņemšanās nākt klajā ar tiesību akta priekšlikumu par sadarbības satvaru datu brīvai apritei ES.</w:t>
      </w:r>
    </w:p>
    <w:p w14:paraId="728C34F7" w14:textId="1923E59A" w:rsidR="00076E90" w:rsidRPr="002030BF" w:rsidRDefault="00076E90" w:rsidP="00076E90">
      <w:pPr>
        <w:spacing w:before="120"/>
        <w:ind w:firstLine="567"/>
        <w:jc w:val="both"/>
        <w:rPr>
          <w:i/>
        </w:rPr>
      </w:pPr>
      <w:r w:rsidRPr="00502E6A">
        <w:t>Attiecībā uz turpmāko procesu</w:t>
      </w:r>
      <w:r w:rsidRPr="002030BF">
        <w:rPr>
          <w:i/>
        </w:rPr>
        <w:t xml:space="preserve"> </w:t>
      </w:r>
      <w:r w:rsidRPr="00502E6A">
        <w:t>ES Vienotā tirgus stratēģijas ieviešanā Latvija ir atvērta sadarbībai un darbam pie Eiropas Komisijas priekšlikumu izskatīšanas un vadlīniju ievērošanas nacionālās likumdošanas izstrādē, taču perspektīvā, kad vienlaicīgi norit darbs pie visu priekšlikumu izskatīšanas Padomē, būtu lietderīgi izvērtēt visu publicēto priekšlikumu reālo pienesumu un priekšrocības ES kopējās konkurētspējas celšanai, lai prioritāri virzītu uz apstiprināšanu priekšlikumus ar lielāko pievienoto vērtību.</w:t>
      </w:r>
      <w:r w:rsidR="007971E3">
        <w:t xml:space="preserve"> Vienlaikus </w:t>
      </w:r>
      <w:r w:rsidR="004173AE">
        <w:t>Latvija</w:t>
      </w:r>
      <w:r w:rsidR="004A363D">
        <w:t xml:space="preserve"> atbalsta</w:t>
      </w:r>
      <w:r w:rsidR="007971E3">
        <w:t xml:space="preserve"> ES Vienotā tirgus un Digitālā vienotā tirgus stratēģiju iniciatīvu ievie</w:t>
      </w:r>
      <w:r w:rsidR="004A363D">
        <w:t xml:space="preserve">šanu </w:t>
      </w:r>
      <w:r w:rsidR="007971E3">
        <w:t>ar 2018.gadu.</w:t>
      </w:r>
    </w:p>
    <w:p w14:paraId="03AD29DA" w14:textId="1B62587F" w:rsidR="008D22FE" w:rsidRDefault="008D22FE" w:rsidP="00AB2522">
      <w:pPr>
        <w:pStyle w:val="DashEqual1"/>
        <w:numPr>
          <w:ilvl w:val="0"/>
          <w:numId w:val="0"/>
        </w:numPr>
        <w:rPr>
          <w:i/>
          <w:lang w:val="lv-LV"/>
        </w:rPr>
      </w:pPr>
    </w:p>
    <w:p w14:paraId="573963B8" w14:textId="77777777" w:rsidR="002B1FC9" w:rsidRPr="00076E90" w:rsidRDefault="002B1FC9" w:rsidP="002B1FC9">
      <w:pPr>
        <w:pStyle w:val="DashEqual1"/>
        <w:numPr>
          <w:ilvl w:val="0"/>
          <w:numId w:val="2"/>
        </w:numPr>
        <w:rPr>
          <w:b/>
          <w:lang w:val="lv-LV"/>
        </w:rPr>
      </w:pPr>
      <w:r w:rsidRPr="00076E90">
        <w:rPr>
          <w:b/>
          <w:lang w:val="lv-LV"/>
        </w:rPr>
        <w:t>Rūpniecības politika Eiropā</w:t>
      </w:r>
    </w:p>
    <w:p w14:paraId="4FB3610F" w14:textId="77777777" w:rsidR="00D771E1" w:rsidRDefault="00D771E1" w:rsidP="00D771E1">
      <w:pPr>
        <w:pStyle w:val="DashEqual1"/>
        <w:numPr>
          <w:ilvl w:val="0"/>
          <w:numId w:val="3"/>
        </w:numPr>
        <w:rPr>
          <w:lang w:val="lv-LV"/>
        </w:rPr>
      </w:pPr>
      <w:r w:rsidRPr="00D771E1">
        <w:rPr>
          <w:lang w:val="lv-LV"/>
        </w:rPr>
        <w:t xml:space="preserve">ES rūpniecības </w:t>
      </w:r>
      <w:r>
        <w:rPr>
          <w:lang w:val="lv-LV"/>
        </w:rPr>
        <w:t xml:space="preserve">politikas </w:t>
      </w:r>
      <w:r w:rsidRPr="00D771E1">
        <w:rPr>
          <w:lang w:val="lv-LV"/>
        </w:rPr>
        <w:t>nākotne</w:t>
      </w:r>
    </w:p>
    <w:p w14:paraId="2F9F66C6" w14:textId="77777777" w:rsidR="00CB2678" w:rsidRDefault="00CB2678" w:rsidP="007E1396">
      <w:pPr>
        <w:pStyle w:val="DashEqual1"/>
        <w:numPr>
          <w:ilvl w:val="0"/>
          <w:numId w:val="0"/>
        </w:numPr>
        <w:ind w:left="1080"/>
        <w:rPr>
          <w:i/>
          <w:lang w:val="lv-LV"/>
        </w:rPr>
      </w:pPr>
      <w:r>
        <w:rPr>
          <w:i/>
          <w:lang w:val="lv-LV"/>
        </w:rPr>
        <w:t>= Viedokļu apmaiņa</w:t>
      </w:r>
    </w:p>
    <w:p w14:paraId="11368A1B" w14:textId="77777777" w:rsidR="00CB2678" w:rsidRDefault="00CB2678" w:rsidP="007E1396">
      <w:pPr>
        <w:pStyle w:val="DashEqual1"/>
        <w:numPr>
          <w:ilvl w:val="0"/>
          <w:numId w:val="0"/>
        </w:numPr>
        <w:ind w:left="1080"/>
        <w:rPr>
          <w:lang w:val="lv-LV"/>
        </w:rPr>
      </w:pPr>
    </w:p>
    <w:p w14:paraId="745CEEEB" w14:textId="77777777" w:rsidR="00D771E1" w:rsidRDefault="00D771E1" w:rsidP="00D771E1">
      <w:pPr>
        <w:pStyle w:val="DashEqual1"/>
        <w:numPr>
          <w:ilvl w:val="0"/>
          <w:numId w:val="3"/>
        </w:numPr>
        <w:rPr>
          <w:lang w:val="lv-LV"/>
        </w:rPr>
      </w:pPr>
      <w:r>
        <w:rPr>
          <w:lang w:val="lv-LV"/>
        </w:rPr>
        <w:t xml:space="preserve">Padomes secinājumu projekts </w:t>
      </w:r>
      <w:r w:rsidRPr="00D771E1">
        <w:rPr>
          <w:lang w:val="lv-LV"/>
        </w:rPr>
        <w:t>“ES rūpniecības politikas stratēģijas nākotne”</w:t>
      </w:r>
    </w:p>
    <w:p w14:paraId="2C46A7A8" w14:textId="77777777" w:rsidR="007E1396" w:rsidRDefault="007E1396" w:rsidP="007E1396">
      <w:pPr>
        <w:pStyle w:val="DashEqual1"/>
        <w:numPr>
          <w:ilvl w:val="0"/>
          <w:numId w:val="0"/>
        </w:numPr>
        <w:ind w:left="1080"/>
        <w:rPr>
          <w:i/>
          <w:lang w:val="lv-LV"/>
        </w:rPr>
      </w:pPr>
      <w:r>
        <w:rPr>
          <w:i/>
          <w:lang w:val="lv-LV"/>
        </w:rPr>
        <w:t>= Pieņemšana</w:t>
      </w:r>
    </w:p>
    <w:p w14:paraId="2D9A9C4B" w14:textId="77777777" w:rsidR="00FF1738" w:rsidRDefault="00FF1738" w:rsidP="00010974">
      <w:pPr>
        <w:pStyle w:val="BodyText2"/>
        <w:spacing w:line="240" w:lineRule="auto"/>
        <w:ind w:firstLine="720"/>
        <w:jc w:val="both"/>
      </w:pPr>
    </w:p>
    <w:p w14:paraId="1F6AAEEF" w14:textId="77777777" w:rsidR="00010974" w:rsidRPr="003E483E" w:rsidRDefault="00010974" w:rsidP="00010974">
      <w:pPr>
        <w:pStyle w:val="BodyText2"/>
        <w:spacing w:line="240" w:lineRule="auto"/>
        <w:ind w:firstLine="720"/>
        <w:jc w:val="both"/>
      </w:pPr>
      <w:r w:rsidRPr="003E483E">
        <w:t xml:space="preserve">2016.gada 15.decembra Eiropadomes secinājumos </w:t>
      </w:r>
      <w:r w:rsidR="00FF1738">
        <w:t>EK</w:t>
      </w:r>
      <w:r w:rsidRPr="003E483E">
        <w:t xml:space="preserve"> ir aicināta apsvērt nepieciešamo rīcību ES rūpniecības stiprināšanai un rūpnieciskās b</w:t>
      </w:r>
      <w:r>
        <w:t>āze</w:t>
      </w:r>
      <w:r w:rsidRPr="003E483E">
        <w:t>s modernizācijai.</w:t>
      </w:r>
    </w:p>
    <w:p w14:paraId="5AC5B774" w14:textId="77777777" w:rsidR="00010974" w:rsidRPr="003E483E" w:rsidRDefault="00010974" w:rsidP="00010974">
      <w:pPr>
        <w:pStyle w:val="BodyText2"/>
        <w:spacing w:line="240" w:lineRule="auto"/>
        <w:ind w:firstLine="720"/>
        <w:jc w:val="both"/>
        <w:rPr>
          <w:b/>
        </w:rPr>
      </w:pPr>
      <w:r w:rsidRPr="003E483E">
        <w:t>2017.gada 28.februārī EK organizēja rūpniecībai veltītu konferenci, kuras ietvaros norādīja uz rūpniecības interešu ievērošanu visās politikas iniciatīvās (</w:t>
      </w:r>
      <w:proofErr w:type="spellStart"/>
      <w:r w:rsidRPr="00843938">
        <w:rPr>
          <w:i/>
        </w:rPr>
        <w:t>mainstreaming</w:t>
      </w:r>
      <w:proofErr w:type="spellEnd"/>
      <w:r w:rsidRPr="003E483E">
        <w:t>), kā arī norādīja, ka neplāno izstrādāt atsevišķus rūpniecības politiskos dokumentus.</w:t>
      </w:r>
    </w:p>
    <w:p w14:paraId="6E1BB28E" w14:textId="1A43BACC" w:rsidR="00010974" w:rsidRPr="00A40642" w:rsidRDefault="00010974" w:rsidP="00010974">
      <w:pPr>
        <w:pStyle w:val="BodyText2"/>
        <w:spacing w:line="240" w:lineRule="auto"/>
        <w:ind w:firstLine="720"/>
        <w:jc w:val="both"/>
      </w:pPr>
      <w:r w:rsidRPr="003E483E">
        <w:t xml:space="preserve">Ņemot vērā Eiropadomes, kā arī </w:t>
      </w:r>
      <w:r w:rsidR="0022468E">
        <w:t xml:space="preserve">ES </w:t>
      </w:r>
      <w:r w:rsidRPr="003E483E">
        <w:t xml:space="preserve">Konkurētspējas ministru aicinājumus nākt klajā ar jaunu rūpniecības politiku, Maltas Prezidentūra izvēlējās izstrādāt īsus </w:t>
      </w:r>
      <w:r w:rsidR="0022468E">
        <w:lastRenderedPageBreak/>
        <w:t>P</w:t>
      </w:r>
      <w:r w:rsidRPr="003E483E">
        <w:t xml:space="preserve">adomes secinājumus, kuros EK tiktu aicināta vēlreiz apsvērt iespēju nākt klajā ar </w:t>
      </w:r>
      <w:r>
        <w:t xml:space="preserve">apkopojošu </w:t>
      </w:r>
      <w:r w:rsidRPr="00A40642">
        <w:t>rūpniecības politikas iniciatīvu dokumentu.</w:t>
      </w:r>
    </w:p>
    <w:p w14:paraId="379DF47D" w14:textId="77777777" w:rsidR="00FF1738" w:rsidRPr="00A40642" w:rsidRDefault="0038615C" w:rsidP="007278BE">
      <w:pPr>
        <w:keepNext/>
        <w:keepLines/>
        <w:shd w:val="clear" w:color="auto" w:fill="FFFFFF"/>
        <w:spacing w:before="120" w:after="120"/>
        <w:jc w:val="both"/>
        <w:rPr>
          <w:b/>
          <w:color w:val="000000"/>
          <w:u w:val="single"/>
        </w:rPr>
      </w:pPr>
      <w:r w:rsidRPr="00A40642">
        <w:rPr>
          <w:b/>
          <w:color w:val="000000"/>
          <w:u w:val="single"/>
        </w:rPr>
        <w:t>Latvijas nostāja:</w:t>
      </w:r>
    </w:p>
    <w:p w14:paraId="14D1CA22" w14:textId="3A0D4414" w:rsidR="007278BE" w:rsidRDefault="007278BE" w:rsidP="0021287A">
      <w:pPr>
        <w:ind w:right="216" w:firstLine="720"/>
        <w:jc w:val="both"/>
        <w:rPr>
          <w:bCs/>
        </w:rPr>
      </w:pPr>
      <w:r w:rsidRPr="00A40642">
        <w:rPr>
          <w:bCs/>
        </w:rPr>
        <w:t>Latvija atbalsta Padomes secinājumu pieņemšanu ES Konkurētspējas ministru padomē.</w:t>
      </w:r>
      <w:r w:rsidRPr="007278BE">
        <w:rPr>
          <w:bCs/>
        </w:rPr>
        <w:t xml:space="preserve"> Padomes secinājumi </w:t>
      </w:r>
      <w:r>
        <w:rPr>
          <w:bCs/>
        </w:rPr>
        <w:t>aptver vēstījumu par būtiskākajiem</w:t>
      </w:r>
      <w:r w:rsidRPr="007278BE">
        <w:rPr>
          <w:bCs/>
        </w:rPr>
        <w:t xml:space="preserve"> </w:t>
      </w:r>
      <w:r w:rsidR="00CA5DBA">
        <w:rPr>
          <w:bCs/>
        </w:rPr>
        <w:t>jautājumiem un izaicinājumiem</w:t>
      </w:r>
      <w:r>
        <w:rPr>
          <w:bCs/>
        </w:rPr>
        <w:t xml:space="preserve">, ar kuriem </w:t>
      </w:r>
      <w:r w:rsidRPr="007278BE">
        <w:rPr>
          <w:bCs/>
        </w:rPr>
        <w:t>saskaras ES rūpniecība, gan aicinājumus rīcībām ES un dalībvalstu līmenī.</w:t>
      </w:r>
      <w:r w:rsidR="00CA5DBA">
        <w:rPr>
          <w:bCs/>
        </w:rPr>
        <w:t xml:space="preserve"> Piekrītam izteiktajam aicinājumam Eiropas Komisijai </w:t>
      </w:r>
      <w:r w:rsidR="00CA5DBA" w:rsidRPr="00CA5DBA">
        <w:rPr>
          <w:bCs/>
        </w:rPr>
        <w:t xml:space="preserve">nākt klajā ar visaptverošu </w:t>
      </w:r>
      <w:r w:rsidR="00CA5DBA">
        <w:rPr>
          <w:bCs/>
        </w:rPr>
        <w:t xml:space="preserve">ES rūpniecības politikas </w:t>
      </w:r>
      <w:r w:rsidR="00CA5DBA" w:rsidRPr="00CA5DBA">
        <w:rPr>
          <w:bCs/>
        </w:rPr>
        <w:t>ietvardokumentu.</w:t>
      </w:r>
    </w:p>
    <w:p w14:paraId="0EFA211E" w14:textId="6877B3CB" w:rsidR="007278BE" w:rsidRPr="00A40642" w:rsidRDefault="007278BE" w:rsidP="0021287A">
      <w:pPr>
        <w:ind w:right="216" w:firstLine="720"/>
        <w:jc w:val="both"/>
        <w:rPr>
          <w:bCs/>
        </w:rPr>
      </w:pPr>
      <w:r w:rsidRPr="007278BE">
        <w:rPr>
          <w:bCs/>
        </w:rPr>
        <w:t>Latvija atzinīgi</w:t>
      </w:r>
      <w:r>
        <w:rPr>
          <w:bCs/>
        </w:rPr>
        <w:t xml:space="preserve"> novērtē izvirzītās prioritātes. Īpaši izceļami</w:t>
      </w:r>
      <w:r w:rsidRPr="007278BE">
        <w:rPr>
          <w:bCs/>
        </w:rPr>
        <w:t xml:space="preserve"> </w:t>
      </w:r>
      <w:r w:rsidRPr="00A40642">
        <w:rPr>
          <w:bCs/>
        </w:rPr>
        <w:t>šādi galvenie rīcības virzieni ES rūpniecības izaugsmei:</w:t>
      </w:r>
    </w:p>
    <w:p w14:paraId="775615E0" w14:textId="58707A94" w:rsidR="00CA5DBA" w:rsidRPr="0021287A" w:rsidRDefault="00CA5DBA" w:rsidP="002C6D92">
      <w:pPr>
        <w:pStyle w:val="ListParagraph"/>
        <w:numPr>
          <w:ilvl w:val="0"/>
          <w:numId w:val="11"/>
        </w:numPr>
        <w:ind w:right="216"/>
        <w:jc w:val="both"/>
        <w:rPr>
          <w:b/>
          <w:bCs/>
        </w:rPr>
      </w:pPr>
      <w:r w:rsidRPr="0021287A">
        <w:rPr>
          <w:b/>
          <w:bCs/>
        </w:rPr>
        <w:t xml:space="preserve">Nozaru dialogs. </w:t>
      </w:r>
      <w:r w:rsidRPr="0021287A">
        <w:rPr>
          <w:bCs/>
        </w:rPr>
        <w:t>Svarīgs elements rūpniecības nozarēm aktuālu jautājumu risināšanā ir regul</w:t>
      </w:r>
      <w:r>
        <w:rPr>
          <w:bCs/>
        </w:rPr>
        <w:t>ā</w:t>
      </w:r>
      <w:r w:rsidRPr="0021287A">
        <w:rPr>
          <w:bCs/>
        </w:rPr>
        <w:t>rs nozaru dialogs</w:t>
      </w:r>
      <w:r w:rsidRPr="00CA5DBA">
        <w:rPr>
          <w:bCs/>
        </w:rPr>
        <w:t>. Na</w:t>
      </w:r>
      <w:r>
        <w:rPr>
          <w:bCs/>
        </w:rPr>
        <w:t>cionālā līmenī esam aktualizējuši šo jautājumu un ieviesuši sistēmisku pieeju regulāram dialogam ar nozarēm</w:t>
      </w:r>
      <w:r w:rsidR="002C6D92">
        <w:rPr>
          <w:bCs/>
        </w:rPr>
        <w:t xml:space="preserve"> (</w:t>
      </w:r>
      <w:r w:rsidRPr="00CA5DBA">
        <w:rPr>
          <w:bCs/>
        </w:rPr>
        <w:t>mikro līmeņa analīze</w:t>
      </w:r>
      <w:r w:rsidR="002C6D92">
        <w:rPr>
          <w:bCs/>
        </w:rPr>
        <w:t>)</w:t>
      </w:r>
      <w:r w:rsidRPr="00CA5DBA">
        <w:rPr>
          <w:bCs/>
        </w:rPr>
        <w:t xml:space="preserve">. Šis dialogs tiek īstenots ar nolūku identificēt pastāvošos attīstības šķēršļus </w:t>
      </w:r>
      <w:r w:rsidR="002C6D92">
        <w:rPr>
          <w:bCs/>
        </w:rPr>
        <w:t>nozaru attīstībai</w:t>
      </w:r>
      <w:r w:rsidRPr="00CA5DBA">
        <w:rPr>
          <w:bCs/>
        </w:rPr>
        <w:t>,</w:t>
      </w:r>
      <w:r w:rsidR="002C6D92">
        <w:rPr>
          <w:bCs/>
        </w:rPr>
        <w:t xml:space="preserve"> piemēram,</w:t>
      </w:r>
      <w:r w:rsidRPr="00CA5DBA">
        <w:rPr>
          <w:bCs/>
        </w:rPr>
        <w:t xml:space="preserve"> novērtētu esošo resursu bāzi (cilvēkresursi, infrastruktūra), veiktu padziļinātu ražotāju analīzi, </w:t>
      </w:r>
      <w:r w:rsidR="002C6D92">
        <w:rPr>
          <w:bCs/>
        </w:rPr>
        <w:t xml:space="preserve">t.sk. </w:t>
      </w:r>
      <w:r w:rsidR="002C6D92" w:rsidRPr="002C6D92">
        <w:rPr>
          <w:bCs/>
        </w:rPr>
        <w:t>produktu/ nišu līmenī</w:t>
      </w:r>
      <w:r w:rsidR="002C6D92" w:rsidRPr="00CA5DBA">
        <w:rPr>
          <w:bCs/>
        </w:rPr>
        <w:t xml:space="preserve"> </w:t>
      </w:r>
      <w:r w:rsidRPr="00CA5DBA">
        <w:rPr>
          <w:bCs/>
        </w:rPr>
        <w:t>noskaidrojot izaicinājumus, kas kavē uzņēmumu attīstības iespējas un produktu ar augstāku pievienoto vērtību izstrādi un ražošanu</w:t>
      </w:r>
      <w:r w:rsidR="002C6D92">
        <w:rPr>
          <w:bCs/>
        </w:rPr>
        <w:t>.</w:t>
      </w:r>
    </w:p>
    <w:p w14:paraId="2AD1C9C0" w14:textId="69E95444" w:rsidR="007278BE" w:rsidRDefault="007278BE" w:rsidP="0021287A">
      <w:pPr>
        <w:pStyle w:val="ListParagraph"/>
        <w:numPr>
          <w:ilvl w:val="0"/>
          <w:numId w:val="11"/>
        </w:numPr>
        <w:ind w:right="216"/>
        <w:jc w:val="both"/>
        <w:rPr>
          <w:bCs/>
        </w:rPr>
      </w:pPr>
      <w:r w:rsidRPr="0021287A">
        <w:rPr>
          <w:b/>
          <w:bCs/>
        </w:rPr>
        <w:t>Industriālo klasteru veidošanās.</w:t>
      </w:r>
      <w:r>
        <w:rPr>
          <w:bCs/>
        </w:rPr>
        <w:t xml:space="preserve"> </w:t>
      </w:r>
      <w:r w:rsidR="002C6D92">
        <w:rPr>
          <w:bCs/>
        </w:rPr>
        <w:t>Esam novērtējuši k</w:t>
      </w:r>
      <w:r w:rsidR="00CA5DBA">
        <w:rPr>
          <w:bCs/>
        </w:rPr>
        <w:t>lasteru</w:t>
      </w:r>
      <w:r>
        <w:rPr>
          <w:bCs/>
        </w:rPr>
        <w:t xml:space="preserve"> </w:t>
      </w:r>
      <w:r w:rsidR="002C6D92">
        <w:rPr>
          <w:bCs/>
        </w:rPr>
        <w:t xml:space="preserve">pieeju kā instrumentu un platformu nozaru eksportspējas kāpināšanai, jo īpaši </w:t>
      </w:r>
      <w:r>
        <w:rPr>
          <w:bCs/>
        </w:rPr>
        <w:t xml:space="preserve"> </w:t>
      </w:r>
      <w:r w:rsidRPr="007278BE">
        <w:rPr>
          <w:bCs/>
        </w:rPr>
        <w:t>uzņēmumu</w:t>
      </w:r>
      <w:r w:rsidR="002C6D92">
        <w:rPr>
          <w:bCs/>
        </w:rPr>
        <w:t xml:space="preserve"> (</w:t>
      </w:r>
      <w:r w:rsidRPr="007278BE">
        <w:rPr>
          <w:bCs/>
        </w:rPr>
        <w:t xml:space="preserve">galvenokārt </w:t>
      </w:r>
      <w:proofErr w:type="spellStart"/>
      <w:r w:rsidR="00CA5DBA">
        <w:rPr>
          <w:bCs/>
        </w:rPr>
        <w:t>jaunuzņēmumu</w:t>
      </w:r>
      <w:proofErr w:type="spellEnd"/>
      <w:r w:rsidR="0022468E">
        <w:rPr>
          <w:bCs/>
        </w:rPr>
        <w:t xml:space="preserve"> (</w:t>
      </w:r>
      <w:r w:rsidR="0022468E" w:rsidRPr="00950438">
        <w:rPr>
          <w:bCs/>
          <w:i/>
        </w:rPr>
        <w:t>start-</w:t>
      </w:r>
      <w:proofErr w:type="spellStart"/>
      <w:r w:rsidR="0022468E" w:rsidRPr="00950438">
        <w:rPr>
          <w:bCs/>
          <w:i/>
        </w:rPr>
        <w:t>up</w:t>
      </w:r>
      <w:proofErr w:type="spellEnd"/>
      <w:r w:rsidR="0022468E">
        <w:rPr>
          <w:bCs/>
        </w:rPr>
        <w:t>)</w:t>
      </w:r>
      <w:r w:rsidR="00CA5DBA">
        <w:rPr>
          <w:bCs/>
        </w:rPr>
        <w:t xml:space="preserve">, mikro un </w:t>
      </w:r>
      <w:r w:rsidRPr="007278BE">
        <w:rPr>
          <w:bCs/>
        </w:rPr>
        <w:t>MVU</w:t>
      </w:r>
      <w:r w:rsidR="002C6D92">
        <w:rPr>
          <w:bCs/>
        </w:rPr>
        <w:t>)</w:t>
      </w:r>
      <w:r w:rsidRPr="007278BE">
        <w:rPr>
          <w:bCs/>
        </w:rPr>
        <w:t xml:space="preserve"> </w:t>
      </w:r>
      <w:r>
        <w:rPr>
          <w:bCs/>
        </w:rPr>
        <w:t>potenci</w:t>
      </w:r>
      <w:r w:rsidR="002C6D92">
        <w:rPr>
          <w:bCs/>
        </w:rPr>
        <w:t>ālam</w:t>
      </w:r>
      <w:r>
        <w:rPr>
          <w:bCs/>
        </w:rPr>
        <w:t xml:space="preserve"> iekļauties </w:t>
      </w:r>
      <w:r w:rsidRPr="007278BE">
        <w:rPr>
          <w:bCs/>
        </w:rPr>
        <w:t xml:space="preserve">globālo piegāžu un produktu attīstības vērtību ķēdēs. </w:t>
      </w:r>
      <w:r>
        <w:rPr>
          <w:bCs/>
        </w:rPr>
        <w:t>Latvijā aktīvi strādājam pie iesaistes iniciatīvās, kas vērstas uz nacionāla līmeņa un p</w:t>
      </w:r>
      <w:r w:rsidRPr="007278BE">
        <w:rPr>
          <w:bCs/>
        </w:rPr>
        <w:t xml:space="preserve">ārrobežu klasteru </w:t>
      </w:r>
      <w:r>
        <w:rPr>
          <w:bCs/>
        </w:rPr>
        <w:t xml:space="preserve">attīstīšanu, </w:t>
      </w:r>
      <w:r w:rsidRPr="007278BE">
        <w:rPr>
          <w:bCs/>
        </w:rPr>
        <w:t xml:space="preserve"> </w:t>
      </w:r>
      <w:r>
        <w:rPr>
          <w:bCs/>
        </w:rPr>
        <w:t>ar nolūku paaugstināt</w:t>
      </w:r>
      <w:r w:rsidRPr="007278BE">
        <w:rPr>
          <w:bCs/>
        </w:rPr>
        <w:t xml:space="preserve"> ES uzņēmumu ekspo</w:t>
      </w:r>
      <w:r>
        <w:rPr>
          <w:bCs/>
        </w:rPr>
        <w:t>rtspēju</w:t>
      </w:r>
      <w:r w:rsidRPr="007278BE">
        <w:rPr>
          <w:bCs/>
        </w:rPr>
        <w:t xml:space="preserve"> un </w:t>
      </w:r>
      <w:r>
        <w:rPr>
          <w:bCs/>
        </w:rPr>
        <w:t>konkurētspēju.</w:t>
      </w:r>
    </w:p>
    <w:p w14:paraId="0E350890" w14:textId="220C75EF" w:rsidR="007278BE" w:rsidRDefault="00CA5DBA" w:rsidP="0021287A">
      <w:pPr>
        <w:pStyle w:val="ListParagraph"/>
        <w:numPr>
          <w:ilvl w:val="0"/>
          <w:numId w:val="11"/>
        </w:numPr>
        <w:ind w:right="216"/>
        <w:jc w:val="both"/>
        <w:rPr>
          <w:bCs/>
        </w:rPr>
      </w:pPr>
      <w:r w:rsidRPr="0021287A">
        <w:rPr>
          <w:b/>
          <w:bCs/>
        </w:rPr>
        <w:t>Finanšu instrumentu vienkāršošana un piekļuves finansējumam nodrošināšana</w:t>
      </w:r>
      <w:r>
        <w:rPr>
          <w:bCs/>
        </w:rPr>
        <w:t xml:space="preserve">. </w:t>
      </w:r>
      <w:r w:rsidRPr="00CA5DBA">
        <w:rPr>
          <w:bCs/>
        </w:rPr>
        <w:t>Būtiska loma ir vieglai uzņēmumu piekļ</w:t>
      </w:r>
      <w:r>
        <w:rPr>
          <w:bCs/>
        </w:rPr>
        <w:t>uvei finansējumam – gan uzņēmuma</w:t>
      </w:r>
      <w:r w:rsidRPr="00CA5DBA">
        <w:rPr>
          <w:bCs/>
        </w:rPr>
        <w:t xml:space="preserve"> izveides, gan attīstības stadijās, kā arī augsta riska, inovatīvu projektu īstenošanai. Turklāt atbilstošu finanšu resursu pieejamība ir nozīmīga ES rūpniecības spējai, piemēram, modernizēt rūpniecības infrastruktūru, komercializēt pētnieciskās iestrādnes un radīt jaunas darba vietas.</w:t>
      </w:r>
      <w:r>
        <w:rPr>
          <w:bCs/>
        </w:rPr>
        <w:t xml:space="preserve"> Latvijā īstenojam virkni pasākumu, lai nodrošinātu ērtu un vienkāršu piekļuvi plaša, finanšu instrumentu lokam.</w:t>
      </w:r>
    </w:p>
    <w:p w14:paraId="4EF2980C" w14:textId="1F0573F7" w:rsidR="00CA5DBA" w:rsidRPr="00CA5DBA" w:rsidRDefault="00CA5DBA" w:rsidP="0021287A">
      <w:pPr>
        <w:pStyle w:val="ListParagraph"/>
        <w:numPr>
          <w:ilvl w:val="0"/>
          <w:numId w:val="11"/>
        </w:numPr>
        <w:jc w:val="both"/>
        <w:rPr>
          <w:bCs/>
        </w:rPr>
      </w:pPr>
      <w:r w:rsidRPr="0021287A">
        <w:rPr>
          <w:b/>
          <w:bCs/>
        </w:rPr>
        <w:t>Rūpniecības konkurētspējas integrēšana (</w:t>
      </w:r>
      <w:proofErr w:type="spellStart"/>
      <w:r w:rsidRPr="00A40642">
        <w:rPr>
          <w:b/>
          <w:bCs/>
          <w:i/>
        </w:rPr>
        <w:t>mainstreaming</w:t>
      </w:r>
      <w:proofErr w:type="spellEnd"/>
      <w:r w:rsidRPr="0021287A">
        <w:rPr>
          <w:b/>
          <w:bCs/>
        </w:rPr>
        <w:t>).</w:t>
      </w:r>
      <w:r w:rsidRPr="00CA5DBA">
        <w:rPr>
          <w:bCs/>
        </w:rPr>
        <w:t xml:space="preserve"> ES rūpniecības politikas veiksmīgai īstenošanai ir nepieciešama integrēta politiska pieeja, vērtējot visus aspektus, kas ietekmē ES rūpniecības uzņēmumu konkurētspēju, piemēram, saskaņotība un atbilstība mērķiem, kas izvirzīti ES vides un klimata, </w:t>
      </w:r>
      <w:proofErr w:type="spellStart"/>
      <w:r w:rsidRPr="00CA5DBA">
        <w:rPr>
          <w:bCs/>
        </w:rPr>
        <w:t>digitalizācijas</w:t>
      </w:r>
      <w:proofErr w:type="spellEnd"/>
      <w:r w:rsidRPr="00CA5DBA">
        <w:rPr>
          <w:bCs/>
        </w:rPr>
        <w:t xml:space="preserve">, enerģētikas, pētniecības, attīstības un inovācijas, konkurences un valsts atbalsta, ārējās tirdzniecības, </w:t>
      </w:r>
      <w:r w:rsidR="002C6D92">
        <w:rPr>
          <w:bCs/>
        </w:rPr>
        <w:t>transporta u.c. politiku jomās. Šo procesu vislabāk vadīt nozaru dialoga ietv</w:t>
      </w:r>
      <w:r w:rsidR="004A7182">
        <w:rPr>
          <w:bCs/>
        </w:rPr>
        <w:t>a</w:t>
      </w:r>
      <w:r w:rsidR="002C6D92">
        <w:rPr>
          <w:bCs/>
        </w:rPr>
        <w:t>ros.</w:t>
      </w:r>
    </w:p>
    <w:p w14:paraId="03DE6EE0" w14:textId="77777777" w:rsidR="007278BE" w:rsidRDefault="007278BE" w:rsidP="007278BE">
      <w:pPr>
        <w:ind w:right="216"/>
        <w:jc w:val="both"/>
        <w:rPr>
          <w:bCs/>
        </w:rPr>
      </w:pPr>
    </w:p>
    <w:p w14:paraId="588CF05D" w14:textId="3FF1217C" w:rsidR="004A7182" w:rsidRDefault="004A7182" w:rsidP="00A40642">
      <w:pPr>
        <w:ind w:right="216" w:firstLine="360"/>
        <w:jc w:val="both"/>
        <w:rPr>
          <w:bCs/>
        </w:rPr>
      </w:pPr>
      <w:r>
        <w:rPr>
          <w:bCs/>
        </w:rPr>
        <w:t xml:space="preserve">Latvija pievienojās aicinājumam skaidri iezīmēt rūpniecības politikas aktivitātes un instrumentus, pieļaujot iespēju, ka tiek apkopotas </w:t>
      </w:r>
      <w:r w:rsidR="009B51B2">
        <w:rPr>
          <w:bCs/>
        </w:rPr>
        <w:t>integrēšanas (</w:t>
      </w:r>
      <w:proofErr w:type="spellStart"/>
      <w:r>
        <w:rPr>
          <w:bCs/>
          <w:i/>
        </w:rPr>
        <w:t>mainstreaming</w:t>
      </w:r>
      <w:proofErr w:type="spellEnd"/>
      <w:r w:rsidR="009B51B2">
        <w:rPr>
          <w:bCs/>
          <w:i/>
        </w:rPr>
        <w:t>)</w:t>
      </w:r>
      <w:r>
        <w:rPr>
          <w:bCs/>
        </w:rPr>
        <w:t xml:space="preserve"> ietvaros veiktās aktivitātes. Ir nepieciešams skaidri identificēt ka Eiropas rūpniecība ir svarīgs priekšnoteikums kopējai ES konkurētspējai globālā mērogā.</w:t>
      </w:r>
    </w:p>
    <w:p w14:paraId="18534B1B" w14:textId="77777777" w:rsidR="004A7182" w:rsidRDefault="004A7182" w:rsidP="007278BE">
      <w:pPr>
        <w:ind w:right="216"/>
        <w:jc w:val="both"/>
        <w:rPr>
          <w:bCs/>
        </w:rPr>
      </w:pPr>
    </w:p>
    <w:p w14:paraId="31EE05FD" w14:textId="03CD5DA7" w:rsidR="004A7182" w:rsidRDefault="004A7182" w:rsidP="00950438">
      <w:pPr>
        <w:ind w:right="216" w:firstLine="360"/>
        <w:jc w:val="both"/>
        <w:rPr>
          <w:bCs/>
        </w:rPr>
      </w:pPr>
      <w:proofErr w:type="spellStart"/>
      <w:r>
        <w:rPr>
          <w:bCs/>
        </w:rPr>
        <w:lastRenderedPageBreak/>
        <w:t>Debatei</w:t>
      </w:r>
      <w:proofErr w:type="spellEnd"/>
      <w:r>
        <w:rPr>
          <w:bCs/>
        </w:rPr>
        <w:t xml:space="preserve"> būtu jābūt kā papildus ieguldījumam diskusijās par ES nākotni, kur ar bažām raugāmies, ka rūpniecības politika un iekšējais tirgus nav izdalīti starp skaidrām prioritātēm. Uzņēmējiem ir tieši ieguvumi no vienota ES tirgus, kas norāda uz nepieciešamību sekmēt ES vienotā tirgus stiprināšanu, īpaši akcentējot virkni šķēršļu un jaunos EK priekšlikumus, kas uzliek papildus administratīvo un finansiālo slogu valstu administrācijām. Vienlaikus jānorāda, ka netiek pietiekami ieviesti esošie instrumenti.</w:t>
      </w:r>
    </w:p>
    <w:p w14:paraId="77A875BC" w14:textId="77777777" w:rsidR="00FF1738" w:rsidRPr="00FF1738" w:rsidRDefault="00FF1738" w:rsidP="002D3677">
      <w:pPr>
        <w:keepNext/>
        <w:keepLines/>
        <w:shd w:val="clear" w:color="auto" w:fill="FFFFFF"/>
        <w:spacing w:before="120" w:after="120"/>
        <w:ind w:firstLine="720"/>
        <w:jc w:val="both"/>
        <w:rPr>
          <w:b/>
          <w:color w:val="000000"/>
          <w:u w:val="single"/>
        </w:rPr>
      </w:pPr>
      <w:r w:rsidRPr="003E483E">
        <w:rPr>
          <w:bCs/>
        </w:rPr>
        <w:t xml:space="preserve">Diskusiju gaitā Latvija var pievienoties teksta stiprināšanas priekšlikumiem un atbalsta ambiciozākus termiņus Eiropas Komisijas uzdevumiem (tai skaitā </w:t>
      </w:r>
      <w:proofErr w:type="spellStart"/>
      <w:r w:rsidRPr="003E483E">
        <w:rPr>
          <w:bCs/>
        </w:rPr>
        <w:t>izvērtējuma</w:t>
      </w:r>
      <w:proofErr w:type="spellEnd"/>
      <w:r w:rsidRPr="003E483E">
        <w:rPr>
          <w:bCs/>
        </w:rPr>
        <w:t xml:space="preserve"> un stratēģijas vai rīcības plāna izstrādei).</w:t>
      </w:r>
    </w:p>
    <w:p w14:paraId="14B9942D" w14:textId="77777777" w:rsidR="0038615C" w:rsidRDefault="0038615C" w:rsidP="0038615C">
      <w:pPr>
        <w:pStyle w:val="DashEqual1"/>
        <w:numPr>
          <w:ilvl w:val="0"/>
          <w:numId w:val="0"/>
        </w:numPr>
        <w:ind w:left="720"/>
        <w:rPr>
          <w:lang w:val="lv-LV"/>
        </w:rPr>
      </w:pPr>
    </w:p>
    <w:p w14:paraId="2E7644F6" w14:textId="77777777" w:rsidR="00D771E1" w:rsidRPr="00A40642" w:rsidRDefault="00A0648A" w:rsidP="006B3525">
      <w:pPr>
        <w:pStyle w:val="DashEqual1"/>
        <w:numPr>
          <w:ilvl w:val="0"/>
          <w:numId w:val="2"/>
        </w:numPr>
        <w:jc w:val="both"/>
        <w:rPr>
          <w:b/>
          <w:lang w:val="lv-LV"/>
        </w:rPr>
      </w:pPr>
      <w:r w:rsidRPr="00A40642">
        <w:rPr>
          <w:b/>
          <w:lang w:val="lv-LV"/>
        </w:rPr>
        <w:t>Atbilstība</w:t>
      </w:r>
      <w:r w:rsidR="00D771E1" w:rsidRPr="00A40642">
        <w:rPr>
          <w:b/>
          <w:lang w:val="lv-LV"/>
        </w:rPr>
        <w:t xml:space="preserve"> par ES patērētāju un mārketinga likumdošanu</w:t>
      </w:r>
    </w:p>
    <w:p w14:paraId="0A405734" w14:textId="77777777" w:rsidR="00E07601" w:rsidRDefault="00E07601" w:rsidP="00E07601">
      <w:pPr>
        <w:pStyle w:val="DashEqual1"/>
        <w:numPr>
          <w:ilvl w:val="0"/>
          <w:numId w:val="0"/>
        </w:numPr>
        <w:ind w:left="720"/>
        <w:rPr>
          <w:i/>
          <w:lang w:val="lv-LV"/>
        </w:rPr>
      </w:pPr>
      <w:r>
        <w:rPr>
          <w:i/>
          <w:lang w:val="lv-LV"/>
        </w:rPr>
        <w:t>= EK prezentācija</w:t>
      </w:r>
    </w:p>
    <w:p w14:paraId="615E2474" w14:textId="77777777" w:rsidR="00E07601" w:rsidRDefault="00E07601" w:rsidP="00E07601">
      <w:pPr>
        <w:pStyle w:val="DashEqual1"/>
        <w:numPr>
          <w:ilvl w:val="0"/>
          <w:numId w:val="0"/>
        </w:numPr>
        <w:ind w:left="720"/>
        <w:rPr>
          <w:i/>
          <w:lang w:val="lv-LV"/>
        </w:rPr>
      </w:pPr>
      <w:r>
        <w:rPr>
          <w:i/>
          <w:lang w:val="lv-LV"/>
        </w:rPr>
        <w:t>= Viedokļu apmaiņa</w:t>
      </w:r>
    </w:p>
    <w:p w14:paraId="5243559F" w14:textId="77777777" w:rsidR="00950438" w:rsidRDefault="00950438" w:rsidP="00950438">
      <w:pPr>
        <w:ind w:right="216" w:firstLine="720"/>
        <w:jc w:val="both"/>
        <w:rPr>
          <w:sz w:val="22"/>
          <w:szCs w:val="22"/>
        </w:rPr>
      </w:pPr>
      <w:r>
        <w:t xml:space="preserve">EK strādā pie tiesību aktu ietvara izvērtēšanas, vērtējot, vai tas noteiktos politikas sektoros ir piemērots politikas mērķu sasniegšanai. Atbilstības pārbaudes jeb </w:t>
      </w:r>
      <w:proofErr w:type="spellStart"/>
      <w:r>
        <w:rPr>
          <w:i/>
          <w:iCs/>
        </w:rPr>
        <w:t>fitness</w:t>
      </w:r>
      <w:proofErr w:type="spellEnd"/>
      <w:r>
        <w:rPr>
          <w:i/>
          <w:iCs/>
        </w:rPr>
        <w:t xml:space="preserve"> </w:t>
      </w:r>
      <w:proofErr w:type="spellStart"/>
      <w:r>
        <w:rPr>
          <w:i/>
          <w:iCs/>
        </w:rPr>
        <w:t>checks</w:t>
      </w:r>
      <w:proofErr w:type="spellEnd"/>
      <w:r>
        <w:t xml:space="preserve"> sniedz uz pierādījumiem balstītu, kritisku analīzi par ES veikto pasākumu samērību ar to mērķiem un mērķu sasniegšanu. Atbilstības pārbaudes ir daļa no EK veiktās REFIT programmas.</w:t>
      </w:r>
    </w:p>
    <w:p w14:paraId="7C38A18E" w14:textId="77777777" w:rsidR="00950438" w:rsidRDefault="00950438" w:rsidP="00950438">
      <w:pPr>
        <w:ind w:right="216" w:firstLine="720"/>
        <w:jc w:val="both"/>
      </w:pPr>
      <w:r>
        <w:t>Minētās programmas ietvaros EK veic arī patērētāju aizsardzības politikas tiesību aktu izpēti, vērtējot sešas direktīvas:</w:t>
      </w:r>
    </w:p>
    <w:p w14:paraId="239ABAE6" w14:textId="77777777" w:rsidR="00950438" w:rsidRDefault="00950438" w:rsidP="00950438">
      <w:pPr>
        <w:pStyle w:val="ListParagraph"/>
        <w:numPr>
          <w:ilvl w:val="0"/>
          <w:numId w:val="19"/>
        </w:numPr>
        <w:ind w:right="216"/>
        <w:jc w:val="both"/>
      </w:pPr>
      <w:r>
        <w:t xml:space="preserve">Negodīgas </w:t>
      </w:r>
      <w:proofErr w:type="spellStart"/>
      <w:r>
        <w:t>komercprakses</w:t>
      </w:r>
      <w:proofErr w:type="spellEnd"/>
      <w:r>
        <w:t xml:space="preserve"> direktīva 2005/29/EK;</w:t>
      </w:r>
    </w:p>
    <w:p w14:paraId="0200DC34" w14:textId="77777777" w:rsidR="00950438" w:rsidRDefault="00950438" w:rsidP="00950438">
      <w:pPr>
        <w:pStyle w:val="ListParagraph"/>
        <w:numPr>
          <w:ilvl w:val="0"/>
          <w:numId w:val="19"/>
        </w:numPr>
        <w:ind w:right="216"/>
        <w:jc w:val="both"/>
      </w:pPr>
      <w:r>
        <w:t>Preču pārdošanas un garantiju direktīva 1999/44/EK;</w:t>
      </w:r>
    </w:p>
    <w:p w14:paraId="760C77C7" w14:textId="77777777" w:rsidR="00950438" w:rsidRDefault="00950438" w:rsidP="00950438">
      <w:pPr>
        <w:pStyle w:val="ListParagraph"/>
        <w:numPr>
          <w:ilvl w:val="0"/>
          <w:numId w:val="19"/>
        </w:numPr>
        <w:ind w:right="216"/>
        <w:jc w:val="both"/>
      </w:pPr>
      <w:r>
        <w:t>Negodīgu līguma noteikumu direktīva 93/13/EK;</w:t>
      </w:r>
    </w:p>
    <w:p w14:paraId="575BF2AC" w14:textId="77777777" w:rsidR="00950438" w:rsidRDefault="00950438" w:rsidP="00950438">
      <w:pPr>
        <w:pStyle w:val="ListParagraph"/>
        <w:numPr>
          <w:ilvl w:val="0"/>
          <w:numId w:val="19"/>
        </w:numPr>
        <w:ind w:right="216"/>
        <w:jc w:val="both"/>
      </w:pPr>
      <w:r>
        <w:t>Cenu norādīšanas direktīva 98/6/EK;</w:t>
      </w:r>
    </w:p>
    <w:p w14:paraId="7D79981B" w14:textId="77777777" w:rsidR="00950438" w:rsidRDefault="00950438" w:rsidP="00950438">
      <w:pPr>
        <w:pStyle w:val="ListParagraph"/>
        <w:numPr>
          <w:ilvl w:val="0"/>
          <w:numId w:val="19"/>
        </w:numPr>
        <w:ind w:right="216"/>
        <w:jc w:val="both"/>
      </w:pPr>
      <w:r>
        <w:t>Maldinošās un salīdzinošās reklāmas direktīva 2006/114/EK;</w:t>
      </w:r>
    </w:p>
    <w:p w14:paraId="3CCD4C07" w14:textId="77777777" w:rsidR="00950438" w:rsidRDefault="00950438" w:rsidP="00950438">
      <w:pPr>
        <w:pStyle w:val="ListParagraph"/>
        <w:numPr>
          <w:ilvl w:val="0"/>
          <w:numId w:val="19"/>
        </w:numPr>
        <w:ind w:right="216"/>
        <w:jc w:val="both"/>
      </w:pPr>
      <w:r>
        <w:t>Direktīva par aizliegumiem saistībā ar patērētāju interešu aizsardzību 2009/22/EK.</w:t>
      </w:r>
    </w:p>
    <w:p w14:paraId="2AEA8B13" w14:textId="77777777" w:rsidR="00950438" w:rsidRDefault="00950438" w:rsidP="00950438">
      <w:pPr>
        <w:ind w:right="216" w:firstLine="720"/>
        <w:jc w:val="both"/>
      </w:pPr>
      <w:r>
        <w:t xml:space="preserve">Atsevišķs </w:t>
      </w:r>
      <w:proofErr w:type="spellStart"/>
      <w:r>
        <w:t>izvērtējums</w:t>
      </w:r>
      <w:proofErr w:type="spellEnd"/>
      <w:r>
        <w:t xml:space="preserve"> paredzēts arī par Patērētāju tiesību direktīvu 2011/83/ES.</w:t>
      </w:r>
    </w:p>
    <w:p w14:paraId="02E62C47" w14:textId="77777777" w:rsidR="00950438" w:rsidRDefault="00950438" w:rsidP="00950438">
      <w:pPr>
        <w:ind w:right="216" w:firstLine="720"/>
        <w:jc w:val="both"/>
      </w:pPr>
      <w:r>
        <w:t>2016.gadā norisinājās publiskā konsultācija, kā arī diskusijas par patērētāju politikas nākotni Eiropas Patērētāju Samitā. 2017.gada 23.maijā plānots publicēt izpētes rezultātus, kurus EK prezentēs arī COMPET sēdē.</w:t>
      </w:r>
    </w:p>
    <w:p w14:paraId="533D4123" w14:textId="77777777" w:rsidR="00950438" w:rsidRDefault="00950438" w:rsidP="00950438">
      <w:pPr>
        <w:keepNext/>
        <w:shd w:val="clear" w:color="auto" w:fill="FFFFFF"/>
        <w:spacing w:before="120" w:after="120"/>
        <w:ind w:firstLine="357"/>
        <w:jc w:val="both"/>
        <w:rPr>
          <w:color w:val="000000"/>
        </w:rPr>
      </w:pPr>
      <w:r w:rsidRPr="00950438">
        <w:rPr>
          <w:b/>
          <w:bCs/>
          <w:color w:val="000000"/>
          <w:u w:val="single"/>
        </w:rPr>
        <w:t>Latvijas nostāja:</w:t>
      </w:r>
    </w:p>
    <w:p w14:paraId="6FF8AF09" w14:textId="77777777" w:rsidR="00950438" w:rsidRDefault="00950438" w:rsidP="00950438">
      <w:pPr>
        <w:ind w:right="216" w:firstLine="720"/>
        <w:jc w:val="both"/>
      </w:pPr>
      <w:r>
        <w:t>Latvija pozitīvi vērtē iniciatīvu pārskatīt pastāvošo patērētāju tiesību aizsardzības un reklāmas regulējumu, jo daļa no tā ir tapusi vēl pagājušajā gadsimtā un ir novecojusi un atpalikusi no mūsdienu tirgus tendencēm. Piekrītam arī izdarītajiem secinājumiem, ka gan patērētāji, gan uzņēmēji būtu jāturpina izglītot par patērētāju tiesībām. Latvija piekrīt viedoklim, ka jāstrādā ar regulējuma ieviešanas un piemērošanas efektivitāti, lai nepārregulētu jomas, kurās patērētāju tiesības ir pietiekami aizsargātas un saglabāts tirgus līdzsvars. Vienlaikus no patērētāju jomas likumdošanas pārskatīšanas sagaidām daudz augstāku tiesību aktu harmonizācijas līmeni, lai nodrošinātu gan lielāku tiesiskās noteiktības līmeni, gan veicinātu pārrobežu darījumus un patērētāju tiesību īstenošanu tajos.</w:t>
      </w:r>
    </w:p>
    <w:p w14:paraId="4548157F" w14:textId="77777777" w:rsidR="0038615C" w:rsidRDefault="0038615C" w:rsidP="00E07601">
      <w:pPr>
        <w:pStyle w:val="DashEqual1"/>
        <w:numPr>
          <w:ilvl w:val="0"/>
          <w:numId w:val="0"/>
        </w:numPr>
        <w:ind w:left="720"/>
        <w:rPr>
          <w:i/>
          <w:lang w:val="lv-LV"/>
        </w:rPr>
      </w:pPr>
    </w:p>
    <w:p w14:paraId="796D8884" w14:textId="47447A8F" w:rsidR="00E07601" w:rsidRPr="00A40642" w:rsidRDefault="00ED0F6B" w:rsidP="002F251C">
      <w:pPr>
        <w:pStyle w:val="DashEqual1"/>
        <w:numPr>
          <w:ilvl w:val="0"/>
          <w:numId w:val="2"/>
        </w:numPr>
        <w:rPr>
          <w:b/>
          <w:lang w:val="lv-LV"/>
        </w:rPr>
      </w:pPr>
      <w:r w:rsidRPr="00A40642">
        <w:rPr>
          <w:b/>
          <w:lang w:val="lv-LV"/>
        </w:rPr>
        <w:t xml:space="preserve">Uzņēmumu pārņemšanas konference </w:t>
      </w:r>
      <w:r w:rsidR="002F251C" w:rsidRPr="002F251C">
        <w:rPr>
          <w:b/>
          <w:lang w:val="lv-LV"/>
        </w:rPr>
        <w:t>(2017.gada 17. marts, Malta)</w:t>
      </w:r>
    </w:p>
    <w:p w14:paraId="7A1B38EB" w14:textId="5C73FC42" w:rsidR="00E07601" w:rsidRPr="00ED0F6B" w:rsidRDefault="00E07601" w:rsidP="00E07601">
      <w:pPr>
        <w:pStyle w:val="DashEqual1"/>
        <w:numPr>
          <w:ilvl w:val="0"/>
          <w:numId w:val="0"/>
        </w:numPr>
        <w:ind w:left="720"/>
        <w:rPr>
          <w:i/>
          <w:lang w:val="lv-LV"/>
        </w:rPr>
      </w:pPr>
      <w:r>
        <w:rPr>
          <w:i/>
          <w:lang w:val="lv-LV"/>
        </w:rPr>
        <w:t xml:space="preserve">= </w:t>
      </w:r>
      <w:r w:rsidR="002F251C">
        <w:rPr>
          <w:i/>
          <w:lang w:val="lv-LV"/>
        </w:rPr>
        <w:t>Informācija par konferences rezultātiem</w:t>
      </w:r>
      <w:r w:rsidR="00ED0F6B" w:rsidRPr="00ED0F6B">
        <w:rPr>
          <w:i/>
          <w:lang w:val="lv-LV"/>
        </w:rPr>
        <w:t xml:space="preserve"> </w:t>
      </w:r>
    </w:p>
    <w:p w14:paraId="37FDF38D" w14:textId="77777777" w:rsidR="00076E90" w:rsidRDefault="00076E90" w:rsidP="00076E90">
      <w:pPr>
        <w:pStyle w:val="DashEqual1"/>
        <w:numPr>
          <w:ilvl w:val="0"/>
          <w:numId w:val="0"/>
        </w:numPr>
        <w:ind w:firstLine="567"/>
        <w:jc w:val="both"/>
        <w:rPr>
          <w:lang w:val="lv-LV"/>
        </w:rPr>
      </w:pPr>
    </w:p>
    <w:p w14:paraId="79A0340C" w14:textId="73B31372" w:rsidR="00076E90" w:rsidRDefault="00076E90" w:rsidP="00076E90">
      <w:pPr>
        <w:pStyle w:val="DashEqual1"/>
        <w:numPr>
          <w:ilvl w:val="0"/>
          <w:numId w:val="0"/>
        </w:numPr>
        <w:ind w:firstLine="567"/>
        <w:jc w:val="both"/>
        <w:rPr>
          <w:lang w:val="lv-LV"/>
        </w:rPr>
      </w:pPr>
      <w:r>
        <w:rPr>
          <w:lang w:val="lv-LV"/>
        </w:rPr>
        <w:t>Saskaņā ar Zviedrijas ekspertu pētījumiem</w:t>
      </w:r>
      <w:r>
        <w:rPr>
          <w:rStyle w:val="FootnoteReference"/>
          <w:lang w:val="lv-LV"/>
        </w:rPr>
        <w:footnoteReference w:id="6"/>
      </w:r>
      <w:r>
        <w:rPr>
          <w:lang w:val="lv-LV"/>
        </w:rPr>
        <w:t>, ik gadu 450 tūkst. ES uzņēmumu ar vairāk nekā 2 miljoniem darbinieku tiek nodoti jauniem īpašniekiem, taču trešā daļa no uzņēmuma pārņemšanas gadījumiem cieš neveiksmi.</w:t>
      </w:r>
    </w:p>
    <w:p w14:paraId="11F9BB5B" w14:textId="77777777" w:rsidR="00076E90" w:rsidRDefault="00076E90" w:rsidP="00076E90">
      <w:pPr>
        <w:pStyle w:val="DashEqual1"/>
        <w:numPr>
          <w:ilvl w:val="0"/>
          <w:numId w:val="0"/>
        </w:numPr>
        <w:ind w:firstLine="567"/>
        <w:jc w:val="both"/>
        <w:rPr>
          <w:lang w:val="lv-LV"/>
        </w:rPr>
      </w:pPr>
      <w:r>
        <w:rPr>
          <w:lang w:val="lv-LV"/>
        </w:rPr>
        <w:t>2017.gada 17.marta uzņēmumu pārņemšanas konferencē tika izvērtēta uzņēmumu pārņemšanas nozīmība, akcentējot to kā alternatīvu uzņēmējdarbības uzsākšanas veidu. Uzņēmumu pārņemšanas konferences mērķis bija izvērtēt un apzināt:</w:t>
      </w:r>
    </w:p>
    <w:p w14:paraId="34954370" w14:textId="77777777" w:rsidR="00076E90" w:rsidRDefault="00076E90" w:rsidP="00076E90">
      <w:pPr>
        <w:pStyle w:val="DashEqual1"/>
        <w:numPr>
          <w:ilvl w:val="0"/>
          <w:numId w:val="14"/>
        </w:numPr>
        <w:ind w:left="1080"/>
        <w:jc w:val="both"/>
        <w:rPr>
          <w:lang w:val="lv-LV"/>
        </w:rPr>
      </w:pPr>
      <w:r>
        <w:rPr>
          <w:lang w:val="lv-LV"/>
        </w:rPr>
        <w:t xml:space="preserve">galvenos šķēršļus </w:t>
      </w:r>
      <w:r w:rsidRPr="00B4654C">
        <w:rPr>
          <w:lang w:val="lv-LV"/>
        </w:rPr>
        <w:t>sekmīgai uzņēmuma īpašumtiesību nodošanai</w:t>
      </w:r>
      <w:r>
        <w:rPr>
          <w:lang w:val="lv-LV"/>
        </w:rPr>
        <w:t>;</w:t>
      </w:r>
    </w:p>
    <w:p w14:paraId="5D48EE10" w14:textId="77777777" w:rsidR="00076E90" w:rsidRDefault="00076E90" w:rsidP="00076E90">
      <w:pPr>
        <w:pStyle w:val="DashEqual1"/>
        <w:numPr>
          <w:ilvl w:val="0"/>
          <w:numId w:val="14"/>
        </w:numPr>
        <w:ind w:left="1080"/>
        <w:jc w:val="both"/>
        <w:rPr>
          <w:lang w:val="lv-LV"/>
        </w:rPr>
      </w:pPr>
      <w:r>
        <w:rPr>
          <w:lang w:val="lv-LV"/>
        </w:rPr>
        <w:t xml:space="preserve">galvenos cēloņus, kāpēc  </w:t>
      </w:r>
      <w:r w:rsidRPr="00B4654C">
        <w:rPr>
          <w:lang w:val="lv-LV"/>
        </w:rPr>
        <w:t>uzņēmumu pārņemšana neizdodas</w:t>
      </w:r>
      <w:r>
        <w:rPr>
          <w:lang w:val="lv-LV"/>
        </w:rPr>
        <w:t>;</w:t>
      </w:r>
    </w:p>
    <w:p w14:paraId="51E1B580" w14:textId="77777777" w:rsidR="00076E90" w:rsidRDefault="00076E90" w:rsidP="00076E90">
      <w:pPr>
        <w:pStyle w:val="DashEqual1"/>
        <w:numPr>
          <w:ilvl w:val="0"/>
          <w:numId w:val="14"/>
        </w:numPr>
        <w:ind w:left="1080"/>
        <w:jc w:val="both"/>
        <w:rPr>
          <w:lang w:val="lv-LV"/>
        </w:rPr>
      </w:pPr>
      <w:r>
        <w:rPr>
          <w:lang w:val="lv-LV"/>
        </w:rPr>
        <w:t xml:space="preserve">kādi uzņēmumi  </w:t>
      </w:r>
      <w:r w:rsidRPr="004A7E97">
        <w:rPr>
          <w:lang w:val="lv-LV"/>
        </w:rPr>
        <w:t>ir visneaizsargātākie pret neveiksmīgu pārņemšanu</w:t>
      </w:r>
      <w:r>
        <w:rPr>
          <w:lang w:val="lv-LV"/>
        </w:rPr>
        <w:t>;</w:t>
      </w:r>
    </w:p>
    <w:p w14:paraId="5AFCD999" w14:textId="77777777" w:rsidR="00076E90" w:rsidRDefault="00076E90" w:rsidP="00076E90">
      <w:pPr>
        <w:pStyle w:val="DashEqual1"/>
        <w:numPr>
          <w:ilvl w:val="0"/>
          <w:numId w:val="14"/>
        </w:numPr>
        <w:ind w:left="1080"/>
        <w:jc w:val="both"/>
        <w:rPr>
          <w:lang w:val="lv-LV"/>
        </w:rPr>
      </w:pPr>
      <w:r w:rsidRPr="005B2CC9">
        <w:rPr>
          <w:lang w:val="lv-LV"/>
        </w:rPr>
        <w:t>atbalsta pasākumus un politiskos risinājumus</w:t>
      </w:r>
      <w:r>
        <w:rPr>
          <w:lang w:val="lv-LV"/>
        </w:rPr>
        <w:t xml:space="preserve">, lai </w:t>
      </w:r>
      <w:r w:rsidRPr="005B2CC9">
        <w:rPr>
          <w:lang w:val="lv-LV"/>
        </w:rPr>
        <w:t xml:space="preserve"> varētu reaģētu uz </w:t>
      </w:r>
      <w:r>
        <w:rPr>
          <w:lang w:val="lv-LV"/>
        </w:rPr>
        <w:t>identificētajiem</w:t>
      </w:r>
      <w:r w:rsidRPr="005B2CC9">
        <w:rPr>
          <w:lang w:val="lv-LV"/>
        </w:rPr>
        <w:t xml:space="preserve"> </w:t>
      </w:r>
      <w:proofErr w:type="spellStart"/>
      <w:r>
        <w:rPr>
          <w:lang w:val="lv-LV"/>
        </w:rPr>
        <w:t>problēmjautājumiem</w:t>
      </w:r>
      <w:proofErr w:type="spellEnd"/>
      <w:r>
        <w:rPr>
          <w:lang w:val="lv-LV"/>
        </w:rPr>
        <w:t>.</w:t>
      </w:r>
    </w:p>
    <w:p w14:paraId="7FF9094A" w14:textId="77777777" w:rsidR="00076E90" w:rsidRDefault="00076E90" w:rsidP="00076E90">
      <w:pPr>
        <w:pStyle w:val="DashEqual1"/>
        <w:numPr>
          <w:ilvl w:val="0"/>
          <w:numId w:val="0"/>
        </w:numPr>
        <w:ind w:left="567"/>
        <w:jc w:val="both"/>
        <w:rPr>
          <w:b/>
          <w:lang w:val="lv-LV"/>
        </w:rPr>
      </w:pPr>
    </w:p>
    <w:p w14:paraId="3134A437" w14:textId="0160F739" w:rsidR="00076E90" w:rsidRPr="00076E90" w:rsidRDefault="00076E90" w:rsidP="00076E90">
      <w:pPr>
        <w:pStyle w:val="DashEqual1"/>
        <w:numPr>
          <w:ilvl w:val="0"/>
          <w:numId w:val="0"/>
        </w:numPr>
        <w:ind w:left="567"/>
        <w:jc w:val="both"/>
        <w:rPr>
          <w:b/>
          <w:u w:val="single"/>
          <w:lang w:val="lv-LV"/>
        </w:rPr>
      </w:pPr>
      <w:r w:rsidRPr="00076E90">
        <w:rPr>
          <w:b/>
          <w:u w:val="single"/>
          <w:lang w:val="lv-LV"/>
        </w:rPr>
        <w:t>Latvijas nostāja:</w:t>
      </w:r>
    </w:p>
    <w:p w14:paraId="4B8C9F75" w14:textId="77777777" w:rsidR="00076E90" w:rsidRPr="00FE19E7" w:rsidRDefault="00076E90" w:rsidP="00076E90">
      <w:pPr>
        <w:pStyle w:val="DashEqual1"/>
        <w:numPr>
          <w:ilvl w:val="0"/>
          <w:numId w:val="0"/>
        </w:numPr>
        <w:ind w:firstLine="567"/>
        <w:jc w:val="both"/>
        <w:rPr>
          <w:lang w:val="lv-LV"/>
        </w:rPr>
      </w:pPr>
      <w:r w:rsidRPr="00FE19E7">
        <w:rPr>
          <w:lang w:val="lv-LV"/>
        </w:rPr>
        <w:t xml:space="preserve">Latvija kopumā atzinīgi vērtē un atzīst nepieciešamību atvieglot uzņēmumu pārņemšanu, jo uzņēmējdarbība ir pamats visas ekonomikas izaugsmei. Vienlaikus </w:t>
      </w:r>
      <w:r>
        <w:rPr>
          <w:lang w:val="lv-LV"/>
        </w:rPr>
        <w:t>uzskata</w:t>
      </w:r>
      <w:r w:rsidRPr="00FE19E7">
        <w:rPr>
          <w:lang w:val="lv-LV"/>
        </w:rPr>
        <w:t xml:space="preserve">, ka ir būtiski nodrošināt </w:t>
      </w:r>
      <w:r w:rsidRPr="00FE19E7">
        <w:rPr>
          <w:rFonts w:ascii="inherit" w:hAnsi="inherit" w:cs="Courier New"/>
          <w:color w:val="212121"/>
          <w:lang w:val="lv-LV"/>
        </w:rPr>
        <w:t>līdzsvarotu tiesisko regulējumu</w:t>
      </w:r>
      <w:r w:rsidRPr="003A6D75">
        <w:rPr>
          <w:rFonts w:ascii="inherit" w:hAnsi="inherit" w:cs="Courier New"/>
          <w:color w:val="212121"/>
          <w:lang w:val="lv-LV"/>
        </w:rPr>
        <w:t xml:space="preserve"> uzņēmumu pārņemšanas gadījumos</w:t>
      </w:r>
      <w:r w:rsidRPr="00FE19E7">
        <w:rPr>
          <w:rFonts w:ascii="inherit" w:hAnsi="inherit" w:cs="Courier New"/>
          <w:color w:val="212121"/>
          <w:lang w:val="lv-LV"/>
        </w:rPr>
        <w:t>, kas rada vienlīdzīgus tirgus apstākļus un nodrošina godīgu uzņēmējdarbību</w:t>
      </w:r>
      <w:r w:rsidRPr="003A6D75">
        <w:rPr>
          <w:rFonts w:ascii="inherit" w:hAnsi="inherit" w:cs="Courier New"/>
          <w:color w:val="212121"/>
          <w:lang w:val="lv-LV"/>
        </w:rPr>
        <w:t xml:space="preserve">. </w:t>
      </w:r>
    </w:p>
    <w:p w14:paraId="01639113" w14:textId="77777777" w:rsidR="00166F5D" w:rsidRDefault="00166F5D" w:rsidP="00E07601">
      <w:pPr>
        <w:pStyle w:val="DashEqual1"/>
        <w:numPr>
          <w:ilvl w:val="0"/>
          <w:numId w:val="0"/>
        </w:numPr>
        <w:ind w:left="720"/>
        <w:rPr>
          <w:i/>
          <w:lang w:val="lv-LV"/>
        </w:rPr>
      </w:pPr>
    </w:p>
    <w:p w14:paraId="63C14990" w14:textId="77777777" w:rsidR="002B1FC9" w:rsidRPr="00E07601" w:rsidRDefault="00E07601" w:rsidP="00E07601">
      <w:pPr>
        <w:pStyle w:val="DashEqual1"/>
        <w:numPr>
          <w:ilvl w:val="0"/>
          <w:numId w:val="2"/>
        </w:numPr>
        <w:rPr>
          <w:lang w:val="lv-LV"/>
        </w:rPr>
      </w:pPr>
      <w:r>
        <w:rPr>
          <w:b/>
        </w:rPr>
        <w:t xml:space="preserve">Citi </w:t>
      </w:r>
      <w:proofErr w:type="spellStart"/>
      <w:r>
        <w:rPr>
          <w:b/>
        </w:rPr>
        <w:t>jautājumi</w:t>
      </w:r>
      <w:proofErr w:type="spellEnd"/>
      <w:r>
        <w:rPr>
          <w:b/>
        </w:rPr>
        <w:t>:</w:t>
      </w:r>
    </w:p>
    <w:p w14:paraId="092FF3FB" w14:textId="77777777" w:rsidR="00E07601" w:rsidRPr="002B1FC9" w:rsidRDefault="00E07601" w:rsidP="00E07601">
      <w:pPr>
        <w:pStyle w:val="DashEqual1"/>
        <w:numPr>
          <w:ilvl w:val="0"/>
          <w:numId w:val="4"/>
        </w:numPr>
        <w:rPr>
          <w:lang w:val="lv-LV"/>
        </w:rPr>
      </w:pPr>
      <w:proofErr w:type="spellStart"/>
      <w:r>
        <w:rPr>
          <w:b/>
        </w:rPr>
        <w:t>Marakešas</w:t>
      </w:r>
      <w:proofErr w:type="spellEnd"/>
      <w:r>
        <w:rPr>
          <w:b/>
        </w:rPr>
        <w:t xml:space="preserve"> </w:t>
      </w:r>
      <w:proofErr w:type="spellStart"/>
      <w:r>
        <w:rPr>
          <w:b/>
        </w:rPr>
        <w:t>līguma</w:t>
      </w:r>
      <w:proofErr w:type="spellEnd"/>
      <w:r>
        <w:rPr>
          <w:b/>
        </w:rPr>
        <w:t xml:space="preserve"> </w:t>
      </w:r>
      <w:proofErr w:type="spellStart"/>
      <w:r>
        <w:rPr>
          <w:b/>
        </w:rPr>
        <w:t>īstenošana</w:t>
      </w:r>
      <w:proofErr w:type="spellEnd"/>
    </w:p>
    <w:p w14:paraId="0FAF9AE2" w14:textId="77777777" w:rsidR="007F593C" w:rsidRDefault="00E07601" w:rsidP="00166F5D">
      <w:pPr>
        <w:pStyle w:val="DashEqual1"/>
        <w:numPr>
          <w:ilvl w:val="0"/>
          <w:numId w:val="6"/>
        </w:numPr>
        <w:jc w:val="both"/>
        <w:rPr>
          <w:b/>
          <w:lang w:val="lv-LV"/>
        </w:rPr>
      </w:pPr>
      <w:r w:rsidRPr="00E07601">
        <w:rPr>
          <w:b/>
          <w:lang w:val="lv-LV"/>
        </w:rPr>
        <w:t xml:space="preserve">Priekšlikums </w:t>
      </w:r>
      <w:r w:rsidRPr="007F593C">
        <w:rPr>
          <w:b/>
          <w:lang w:val="lv-LV"/>
        </w:rPr>
        <w:t>Eiropas Parlamenta un Padomes Direktīva</w:t>
      </w:r>
      <w:r w:rsidRPr="00E07601">
        <w:rPr>
          <w:b/>
          <w:lang w:val="lv-LV"/>
        </w:rPr>
        <w:t xml:space="preserve"> par noteiktiem atļautiem ar autortiesībām un blakustiesībām aizsargātu darbu un citu tiesību objektu lietojumiem tādu personu interesēs, kas ir neredzīgas, ar redzes traucējumiem vai ar citu </w:t>
      </w:r>
      <w:proofErr w:type="spellStart"/>
      <w:r w:rsidRPr="00E07601">
        <w:rPr>
          <w:b/>
          <w:lang w:val="lv-LV"/>
        </w:rPr>
        <w:t>iespiedtekstu</w:t>
      </w:r>
      <w:proofErr w:type="spellEnd"/>
      <w:r w:rsidRPr="00E07601">
        <w:rPr>
          <w:b/>
          <w:lang w:val="lv-LV"/>
        </w:rPr>
        <w:t xml:space="preserve"> lasīšanas invaliditāti, un ar kuru groza Direktīvu 2001/29/EK par dažu autortiesību un blakustiesību aspektu saskaņošanu informācijas sabiedrībā</w:t>
      </w:r>
    </w:p>
    <w:p w14:paraId="5ED59A81" w14:textId="77777777" w:rsidR="00E07601" w:rsidRDefault="00E07601" w:rsidP="00166F5D">
      <w:pPr>
        <w:pStyle w:val="DashEqual1"/>
        <w:numPr>
          <w:ilvl w:val="0"/>
          <w:numId w:val="6"/>
        </w:numPr>
        <w:jc w:val="both"/>
        <w:rPr>
          <w:b/>
          <w:lang w:val="lv-LV"/>
        </w:rPr>
      </w:pPr>
      <w:proofErr w:type="spellStart"/>
      <w:r w:rsidRPr="00E07601">
        <w:rPr>
          <w:b/>
          <w:lang w:val="lv-LV"/>
        </w:rPr>
        <w:t>Piekšlikums</w:t>
      </w:r>
      <w:proofErr w:type="spellEnd"/>
      <w:r w:rsidRPr="00E07601">
        <w:rPr>
          <w:b/>
          <w:lang w:val="lv-LV"/>
        </w:rPr>
        <w:t xml:space="preserve"> Eiropas Parlamenta un Padomes Regula par to, kā tādu personu interesēs, kas ir neredzīgas, ar redzes traucējumiem vai ar citu </w:t>
      </w:r>
      <w:proofErr w:type="spellStart"/>
      <w:r w:rsidRPr="00E07601">
        <w:rPr>
          <w:b/>
          <w:lang w:val="lv-LV"/>
        </w:rPr>
        <w:t>iespiedtekstu</w:t>
      </w:r>
      <w:proofErr w:type="spellEnd"/>
      <w:r w:rsidRPr="00E07601">
        <w:rPr>
          <w:b/>
          <w:lang w:val="lv-LV"/>
        </w:rPr>
        <w:t xml:space="preserve"> lasīšanas invaliditāti, notiek Savienības un trešu valstu pārrobežu apmaiņa ar noteiktu, autortiesību un blakustiesību aizsargātu darbu un citu tiesību objektu eksemplāriem piekļūstamā formā</w:t>
      </w:r>
    </w:p>
    <w:p w14:paraId="43952EDD" w14:textId="77777777" w:rsidR="00C65C2E" w:rsidRDefault="00C65C2E" w:rsidP="00C65C2E">
      <w:pPr>
        <w:pStyle w:val="DashEqual1"/>
        <w:numPr>
          <w:ilvl w:val="0"/>
          <w:numId w:val="0"/>
        </w:numPr>
        <w:ind w:left="1080"/>
        <w:rPr>
          <w:i/>
          <w:lang w:val="lv-LV"/>
        </w:rPr>
      </w:pPr>
      <w:r>
        <w:rPr>
          <w:i/>
          <w:lang w:val="lv-LV"/>
        </w:rPr>
        <w:t xml:space="preserve">= Prezidējošās valsts informācija </w:t>
      </w:r>
    </w:p>
    <w:p w14:paraId="3FE49FA8" w14:textId="77777777" w:rsidR="00AC12EB" w:rsidRDefault="00AC12EB" w:rsidP="00AC12EB">
      <w:pPr>
        <w:spacing w:after="120"/>
        <w:ind w:firstLine="720"/>
        <w:jc w:val="both"/>
        <w:rPr>
          <w:bCs/>
        </w:rPr>
      </w:pPr>
      <w:r>
        <w:rPr>
          <w:bCs/>
        </w:rPr>
        <w:t xml:space="preserve">Abu priekšlikumu mērķis ir Pasaules Intelektuālā īpašuma organizācijas (WIPO) Marrākešas līguma, ar ko atvieglo piekļuvi iespieddarbiem personām, kuras ir neredzīgas, ar redzes traucējumiem vai drukas </w:t>
      </w:r>
      <w:proofErr w:type="spellStart"/>
      <w:r>
        <w:rPr>
          <w:bCs/>
        </w:rPr>
        <w:t>lasītnespēju</w:t>
      </w:r>
      <w:proofErr w:type="spellEnd"/>
      <w:r>
        <w:rPr>
          <w:bCs/>
        </w:rPr>
        <w:t xml:space="preserve"> citu iemeslu dēļ (turpmāk – Marrākešas līgums), īstenošana.</w:t>
      </w:r>
    </w:p>
    <w:p w14:paraId="40CDCF6A" w14:textId="77777777" w:rsidR="00AC12EB" w:rsidRDefault="00AC12EB" w:rsidP="00AC12EB">
      <w:pPr>
        <w:spacing w:after="120"/>
        <w:ind w:firstLine="720"/>
        <w:jc w:val="both"/>
        <w:rPr>
          <w:bCs/>
        </w:rPr>
      </w:pPr>
      <w:r>
        <w:rPr>
          <w:bCs/>
        </w:rPr>
        <w:t xml:space="preserve">Priekšlikums direktīvai paredz jaunu, obligāti ieviešamu autortiesību un blakustiesību izņēmumu, lai personas, kuras ir neredzīgas, ar redzes traucējumiem vai drukas </w:t>
      </w:r>
      <w:proofErr w:type="spellStart"/>
      <w:r>
        <w:rPr>
          <w:bCs/>
        </w:rPr>
        <w:t>lasītnespēju</w:t>
      </w:r>
      <w:proofErr w:type="spellEnd"/>
      <w:r>
        <w:rPr>
          <w:bCs/>
        </w:rPr>
        <w:t xml:space="preserve"> citu iemeslu dēļ (turpmāk – neredzīgas personas), un organizācijas, kas darbojas viņu labā bezpeļņas nolūkā, būtu tiesīgas veidot un izplatīt „pieejamā </w:t>
      </w:r>
      <w:r>
        <w:rPr>
          <w:bCs/>
        </w:rPr>
        <w:lastRenderedPageBreak/>
        <w:t xml:space="preserve">formāta eksemplārus” (piemēram, grāmatas </w:t>
      </w:r>
      <w:proofErr w:type="spellStart"/>
      <w:r>
        <w:rPr>
          <w:bCs/>
        </w:rPr>
        <w:t>Braila</w:t>
      </w:r>
      <w:proofErr w:type="spellEnd"/>
      <w:r>
        <w:rPr>
          <w:bCs/>
        </w:rPr>
        <w:t xml:space="preserve"> rakstā vai </w:t>
      </w:r>
      <w:proofErr w:type="spellStart"/>
      <w:r>
        <w:rPr>
          <w:bCs/>
        </w:rPr>
        <w:t>audiogrāmatas</w:t>
      </w:r>
      <w:proofErr w:type="spellEnd"/>
      <w:r>
        <w:rPr>
          <w:bCs/>
        </w:rPr>
        <w:t xml:space="preserve"> ar navigācijas iespējām) bez atļaujas saņemšanas no autortiesību un blakustiesību īpašniekiem. Šis izņēmums papildinās ES Informācijas sabiedrības direktīvas (2001/29/EK) 5.pantā paredzēto vispārīgo izvēles izņēmumu personu ar invaliditāti labā. Līdz ar to priekšlikumā direktīvai iekļautais izņēmums būs spēkā visās ES dalībvalstīs, nodrošinot iespēju izplatīt pieejamā formāta kopijas visā ES teritorijā.</w:t>
      </w:r>
    </w:p>
    <w:p w14:paraId="329AF81D" w14:textId="77777777" w:rsidR="00AC12EB" w:rsidRDefault="00AC12EB" w:rsidP="00AC12EB">
      <w:pPr>
        <w:spacing w:after="120"/>
        <w:ind w:firstLine="357"/>
        <w:jc w:val="both"/>
        <w:rPr>
          <w:bCs/>
        </w:rPr>
      </w:pPr>
      <w:r>
        <w:rPr>
          <w:bCs/>
        </w:rPr>
        <w:t xml:space="preserve">Priekšlikums regulai paredz tiesības organizācijām, kas darbojas neredzīgo personu labā, izplatīt pieejamā formāta kopijas neredzīgām personām vai organizācijām, kas darbojas neredzīgo personu labā, trešās valstīs, kas ir Marrākešas līguma dalībvalstis, kā arī saņemt šādas kopijas no attiecīgajām organizācijām, kas atrodas šajās trešās valstīs. Tādējādi priekšlikums regulai nodrošinās pieejamā formāta kopiju apmaiņu starp ES dalībvalstīm un </w:t>
      </w:r>
      <w:proofErr w:type="spellStart"/>
      <w:r>
        <w:rPr>
          <w:bCs/>
        </w:rPr>
        <w:t>trešām</w:t>
      </w:r>
      <w:proofErr w:type="spellEnd"/>
      <w:r>
        <w:rPr>
          <w:bCs/>
        </w:rPr>
        <w:t xml:space="preserve"> valstīm, kas ir Marrākešas līguma dalībvalstis.</w:t>
      </w:r>
    </w:p>
    <w:p w14:paraId="7E2D4BDF" w14:textId="77777777" w:rsidR="00AC12EB" w:rsidRDefault="00AC12EB" w:rsidP="00AC12EB">
      <w:pPr>
        <w:keepNext/>
        <w:keepLines/>
        <w:shd w:val="clear" w:color="auto" w:fill="FFFFFF"/>
        <w:spacing w:before="120" w:after="120"/>
        <w:ind w:firstLine="357"/>
        <w:jc w:val="both"/>
        <w:rPr>
          <w:b/>
          <w:color w:val="000000"/>
          <w:u w:val="single"/>
        </w:rPr>
      </w:pPr>
      <w:r>
        <w:rPr>
          <w:b/>
          <w:color w:val="000000"/>
          <w:u w:val="single"/>
        </w:rPr>
        <w:t>Latvijas nostāja:</w:t>
      </w:r>
    </w:p>
    <w:p w14:paraId="2AC493F6" w14:textId="77777777" w:rsidR="00AC12EB" w:rsidRDefault="00AC12EB" w:rsidP="00AC12EB">
      <w:pPr>
        <w:pStyle w:val="mt-translation1"/>
        <w:shd w:val="clear" w:color="auto" w:fill="FFFFFF"/>
        <w:jc w:val="both"/>
        <w:rPr>
          <w:rFonts w:ascii="Times New Roman" w:hAnsi="Times New Roman" w:cs="Times New Roman"/>
          <w:sz w:val="24"/>
          <w:szCs w:val="24"/>
        </w:rPr>
      </w:pPr>
      <w:r>
        <w:rPr>
          <w:rFonts w:ascii="Times New Roman" w:hAnsi="Times New Roman" w:cs="Times New Roman"/>
          <w:b/>
          <w:sz w:val="24"/>
          <w:szCs w:val="24"/>
        </w:rPr>
        <w:t>Latvija kopumā atbalsta</w:t>
      </w:r>
      <w:r>
        <w:rPr>
          <w:rFonts w:ascii="Times New Roman" w:hAnsi="Times New Roman" w:cs="Times New Roman"/>
          <w:sz w:val="24"/>
          <w:szCs w:val="24"/>
        </w:rPr>
        <w:t xml:space="preserve"> abu priekšlikumu mērķus un nepieciešamību pēc iespējas ātrāk nodrošināt Marrākešas līguma īstenošanu.</w:t>
      </w:r>
    </w:p>
    <w:p w14:paraId="526D1836" w14:textId="77777777" w:rsidR="00AC12EB" w:rsidRDefault="00AC12EB" w:rsidP="00AC12EB">
      <w:pPr>
        <w:jc w:val="both"/>
      </w:pPr>
      <w:r>
        <w:rPr>
          <w:b/>
        </w:rPr>
        <w:t xml:space="preserve">Latvija var atbalstīt </w:t>
      </w:r>
      <w:r>
        <w:t xml:space="preserve">direktīvas un regulas kompromisa tekstus, par kuriem panākta vienošanās </w:t>
      </w:r>
      <w:proofErr w:type="spellStart"/>
      <w:r>
        <w:t>trialogos</w:t>
      </w:r>
      <w:proofErr w:type="spellEnd"/>
      <w:r>
        <w:t xml:space="preserve">. </w:t>
      </w:r>
    </w:p>
    <w:p w14:paraId="53584B89" w14:textId="77777777" w:rsidR="00C65C2E" w:rsidRDefault="00C65C2E" w:rsidP="00C65C2E">
      <w:pPr>
        <w:pStyle w:val="DashEqual1"/>
        <w:numPr>
          <w:ilvl w:val="0"/>
          <w:numId w:val="0"/>
        </w:numPr>
        <w:ind w:left="1080"/>
        <w:rPr>
          <w:b/>
          <w:lang w:val="lv-LV"/>
        </w:rPr>
      </w:pPr>
    </w:p>
    <w:p w14:paraId="7D56B56F" w14:textId="77777777" w:rsidR="00E07601" w:rsidRPr="00E07601" w:rsidRDefault="00C65C2E" w:rsidP="00C65C2E">
      <w:pPr>
        <w:pStyle w:val="DashEqual1"/>
        <w:numPr>
          <w:ilvl w:val="0"/>
          <w:numId w:val="4"/>
        </w:numPr>
        <w:rPr>
          <w:b/>
          <w:lang w:val="lv-LV"/>
        </w:rPr>
      </w:pPr>
      <w:proofErr w:type="spellStart"/>
      <w:r>
        <w:rPr>
          <w:b/>
        </w:rPr>
        <w:t>Vienotā</w:t>
      </w:r>
      <w:proofErr w:type="spellEnd"/>
      <w:r>
        <w:rPr>
          <w:b/>
        </w:rPr>
        <w:t xml:space="preserve"> </w:t>
      </w:r>
      <w:proofErr w:type="spellStart"/>
      <w:r>
        <w:rPr>
          <w:b/>
        </w:rPr>
        <w:t>patenta</w:t>
      </w:r>
      <w:proofErr w:type="spellEnd"/>
      <w:r>
        <w:rPr>
          <w:b/>
        </w:rPr>
        <w:t xml:space="preserve"> </w:t>
      </w:r>
      <w:proofErr w:type="spellStart"/>
      <w:r>
        <w:rPr>
          <w:b/>
        </w:rPr>
        <w:t>sistēmas</w:t>
      </w:r>
      <w:proofErr w:type="spellEnd"/>
      <w:r>
        <w:rPr>
          <w:b/>
        </w:rPr>
        <w:t xml:space="preserve"> un </w:t>
      </w:r>
      <w:proofErr w:type="spellStart"/>
      <w:r>
        <w:rPr>
          <w:b/>
        </w:rPr>
        <w:t>Vienotās</w:t>
      </w:r>
      <w:proofErr w:type="spellEnd"/>
      <w:r>
        <w:rPr>
          <w:b/>
        </w:rPr>
        <w:t xml:space="preserve"> </w:t>
      </w:r>
      <w:proofErr w:type="spellStart"/>
      <w:r>
        <w:rPr>
          <w:b/>
        </w:rPr>
        <w:t>patenta</w:t>
      </w:r>
      <w:proofErr w:type="spellEnd"/>
      <w:r>
        <w:rPr>
          <w:b/>
        </w:rPr>
        <w:t xml:space="preserve"> </w:t>
      </w:r>
      <w:proofErr w:type="spellStart"/>
      <w:r>
        <w:rPr>
          <w:b/>
        </w:rPr>
        <w:t>tiesas</w:t>
      </w:r>
      <w:proofErr w:type="spellEnd"/>
      <w:r>
        <w:rPr>
          <w:b/>
        </w:rPr>
        <w:t xml:space="preserve"> </w:t>
      </w:r>
      <w:r>
        <w:t>(</w:t>
      </w:r>
      <w:proofErr w:type="spellStart"/>
      <w:r>
        <w:t>Tieslietu</w:t>
      </w:r>
      <w:proofErr w:type="spellEnd"/>
      <w:r>
        <w:t xml:space="preserve"> </w:t>
      </w:r>
      <w:proofErr w:type="spellStart"/>
      <w:r>
        <w:t>ministrijas</w:t>
      </w:r>
      <w:proofErr w:type="spellEnd"/>
      <w:r>
        <w:t xml:space="preserve"> </w:t>
      </w:r>
      <w:proofErr w:type="spellStart"/>
      <w:r>
        <w:t>jautājums</w:t>
      </w:r>
      <w:proofErr w:type="spellEnd"/>
      <w:r>
        <w:t>)</w:t>
      </w:r>
    </w:p>
    <w:p w14:paraId="027B6E65" w14:textId="77777777" w:rsidR="00C65C2E" w:rsidRDefault="00C65C2E" w:rsidP="00C65C2E">
      <w:pPr>
        <w:pStyle w:val="DashEqual1"/>
        <w:numPr>
          <w:ilvl w:val="0"/>
          <w:numId w:val="0"/>
        </w:numPr>
        <w:ind w:left="1080"/>
        <w:rPr>
          <w:i/>
          <w:lang w:val="lv-LV"/>
        </w:rPr>
      </w:pPr>
      <w:r>
        <w:rPr>
          <w:i/>
          <w:lang w:val="lv-LV"/>
        </w:rPr>
        <w:t>= Informācija no Prezidējošās valsts un Luksemburgas, Beļģijas un Zviedrijas delegācijas</w:t>
      </w:r>
    </w:p>
    <w:p w14:paraId="5446D0F6" w14:textId="77777777" w:rsidR="00EA31F2" w:rsidRDefault="00EA31F2" w:rsidP="00EA31F2">
      <w:pPr>
        <w:pStyle w:val="DashEqual1"/>
        <w:numPr>
          <w:ilvl w:val="0"/>
          <w:numId w:val="0"/>
        </w:numPr>
        <w:rPr>
          <w:lang w:val="lv-LV"/>
        </w:rPr>
      </w:pPr>
    </w:p>
    <w:p w14:paraId="3EE0C904" w14:textId="77777777" w:rsidR="00950438" w:rsidRDefault="00BA770D" w:rsidP="00950438">
      <w:pPr>
        <w:spacing w:before="120" w:after="120"/>
        <w:ind w:firstLine="357"/>
        <w:jc w:val="both"/>
      </w:pPr>
      <w:r>
        <w:t>Jautājums iekļauts ES Konkurētspējas ministru padomes darba kārtībā pēc Beļģijas, Luksemburgas un Zviedrijas delegāciju aicinājuma, lai visas dalībvalstis, kas vēl nav izteikušas savu viedokli par protokolu par Vienotās patentu tiesas izveides nolīguma stāšanos spēkā tiek aicinātas pievienoties un parakstītu to.</w:t>
      </w:r>
    </w:p>
    <w:p w14:paraId="273BAC13" w14:textId="77777777" w:rsidR="00950438" w:rsidRDefault="00BA770D" w:rsidP="00950438">
      <w:pPr>
        <w:spacing w:before="120" w:after="120"/>
        <w:ind w:firstLine="357"/>
        <w:jc w:val="both"/>
      </w:pPr>
      <w:r>
        <w:rPr>
          <w:b/>
          <w:color w:val="000000"/>
          <w:u w:val="single"/>
        </w:rPr>
        <w:t>Latvijas nostāja:</w:t>
      </w:r>
    </w:p>
    <w:p w14:paraId="7CA76D07" w14:textId="27FCC5C4" w:rsidR="00BA770D" w:rsidRPr="00BA770D" w:rsidRDefault="00BA770D" w:rsidP="00950438">
      <w:pPr>
        <w:spacing w:before="120" w:after="120"/>
        <w:ind w:firstLine="357"/>
        <w:jc w:val="both"/>
      </w:pPr>
      <w:r w:rsidRPr="00BA770D">
        <w:t>Pieņemt zināšanai sniegto informāciju un dalībvalstu aicinājumu. 2017.gada 30.martā Saeima ir pieņēmusi likumu “Par Vienotās Patentu tiesas izveides nolīgumu”, ar kuru tiek ratificēts 2013. gada 19. februārī Briselē parakstītais Vienotās patentu tiesas izveides nolīgums (turpmāk – Nolīgums. Likums stāsies spēkā 2018.gada 1.janvārī. Tāpat Saeimā izskatīšanā ir likumprojekts “Par Vienotās patentu tiesas Ziemeļvalstu-Baltijas valstu reģionālās nodaļas izveides nolīgumu”, kura izskatīšana var tikt pabeigta rudenī.</w:t>
      </w:r>
    </w:p>
    <w:p w14:paraId="05B5B047" w14:textId="011CB9F7" w:rsidR="00BA770D" w:rsidRPr="00950438" w:rsidRDefault="00BA770D" w:rsidP="00950438">
      <w:pPr>
        <w:keepNext/>
        <w:keepLines/>
        <w:shd w:val="clear" w:color="auto" w:fill="FFFFFF"/>
        <w:spacing w:before="120" w:after="120"/>
        <w:ind w:firstLine="357"/>
        <w:jc w:val="both"/>
      </w:pPr>
      <w:r w:rsidRPr="00BA770D">
        <w:t>Attiecībā uz protokolu par Vienotās patentu tiesas izveides nolīguma stāšanos spēkā informējam, ka, lai Latvijai varētu pievienoties protokola, atbilstoši valsts tiesību sistēmai, ir nepieciešams veikt attiecīgā protokola ratifikācijas procesu nacionālajā līmenī. Ņemot vērā, ka ratifikācijas procesā ir iesaistīts parlaments, ratifikācijas process var ilgt gadu vai vairāk.</w:t>
      </w:r>
    </w:p>
    <w:p w14:paraId="1F258C28" w14:textId="77777777" w:rsidR="00C65C2E" w:rsidRPr="00C65C2E" w:rsidRDefault="00C65C2E" w:rsidP="00C65C2E">
      <w:pPr>
        <w:pStyle w:val="ListParagraph"/>
        <w:numPr>
          <w:ilvl w:val="0"/>
          <w:numId w:val="4"/>
        </w:numPr>
        <w:spacing w:after="120"/>
        <w:jc w:val="both"/>
        <w:rPr>
          <w:b/>
          <w:iCs/>
        </w:rPr>
      </w:pPr>
      <w:r w:rsidRPr="00C65C2E">
        <w:rPr>
          <w:b/>
          <w:iCs/>
        </w:rPr>
        <w:t>Nākamās prezidējošās valsts darba programma</w:t>
      </w:r>
    </w:p>
    <w:p w14:paraId="7E7E90DA" w14:textId="77777777" w:rsidR="00C65C2E" w:rsidRDefault="00C65C2E" w:rsidP="00C65C2E">
      <w:pPr>
        <w:pStyle w:val="ListParagraph"/>
        <w:spacing w:after="120"/>
        <w:ind w:left="1709"/>
        <w:jc w:val="both"/>
        <w:rPr>
          <w:b/>
          <w:iCs/>
        </w:rPr>
      </w:pPr>
      <w:r>
        <w:rPr>
          <w:i/>
          <w:iCs/>
        </w:rPr>
        <w:t>= Igaunijas delegācijas sniegtā informācija</w:t>
      </w:r>
    </w:p>
    <w:p w14:paraId="5887EF7C" w14:textId="77777777" w:rsidR="00C65C2E" w:rsidRDefault="00C65C2E" w:rsidP="00C65C2E">
      <w:pPr>
        <w:spacing w:after="120"/>
        <w:ind w:firstLine="720"/>
      </w:pPr>
      <w:r>
        <w:t>Igaunijas delegācija sniegs informāciju par prioritātēm konkurētspējas jomā 2017.gada otrajā pusgadā.</w:t>
      </w:r>
    </w:p>
    <w:p w14:paraId="71FB3E49" w14:textId="1AF6B281" w:rsidR="00C65C2E" w:rsidRDefault="00496D25" w:rsidP="00950438">
      <w:pPr>
        <w:spacing w:after="120"/>
      </w:pPr>
      <w:r w:rsidRPr="00950438">
        <w:rPr>
          <w:b/>
        </w:rPr>
        <w:t>Latvija</w:t>
      </w:r>
      <w:r w:rsidR="00B62DB1">
        <w:rPr>
          <w:b/>
        </w:rPr>
        <w:t>s</w:t>
      </w:r>
      <w:r w:rsidRPr="00950438">
        <w:rPr>
          <w:b/>
        </w:rPr>
        <w:t xml:space="preserve"> nostāja:</w:t>
      </w:r>
      <w:r>
        <w:t xml:space="preserve"> Latvija pieņem zināšanai sniegto informāciju.</w:t>
      </w:r>
    </w:p>
    <w:p w14:paraId="7FA787E5" w14:textId="77777777" w:rsidR="00496D25" w:rsidRDefault="00496D25" w:rsidP="00950438">
      <w:pPr>
        <w:spacing w:after="120"/>
      </w:pPr>
    </w:p>
    <w:p w14:paraId="4E917958" w14:textId="77777777" w:rsidR="00C65C2E" w:rsidRDefault="00C65C2E" w:rsidP="00C65C2E">
      <w:pPr>
        <w:spacing w:line="276" w:lineRule="auto"/>
        <w:jc w:val="both"/>
        <w:rPr>
          <w:b/>
        </w:rPr>
      </w:pPr>
      <w:r>
        <w:rPr>
          <w:b/>
        </w:rPr>
        <w:t>Latvijas delegācija</w:t>
      </w:r>
    </w:p>
    <w:p w14:paraId="3DE90481" w14:textId="3B226AB4" w:rsidR="00C65C2E" w:rsidRPr="00076E90" w:rsidRDefault="00C65C2E" w:rsidP="00C65C2E">
      <w:pPr>
        <w:spacing w:line="276" w:lineRule="auto"/>
        <w:ind w:left="2552" w:hanging="2552"/>
        <w:jc w:val="both"/>
      </w:pPr>
      <w:r w:rsidRPr="00076E90">
        <w:t>Delegācijas vadītājs:</w:t>
      </w:r>
      <w:r w:rsidR="00950438">
        <w:tab/>
      </w:r>
      <w:r w:rsidR="00950438" w:rsidRPr="00950438">
        <w:rPr>
          <w:b/>
        </w:rPr>
        <w:t xml:space="preserve">Juris </w:t>
      </w:r>
      <w:proofErr w:type="spellStart"/>
      <w:r w:rsidR="00950438" w:rsidRPr="00950438">
        <w:rPr>
          <w:b/>
        </w:rPr>
        <w:t>Štālmeistars</w:t>
      </w:r>
      <w:proofErr w:type="spellEnd"/>
      <w:r w:rsidR="00950438" w:rsidRPr="00950438">
        <w:t>, vēstnieks, Latvijas Republikas pastāvīgā pārstāvja Eiropas Savienībā vietnieks.</w:t>
      </w:r>
    </w:p>
    <w:p w14:paraId="2F5E930B" w14:textId="77777777" w:rsidR="00C65C2E" w:rsidRPr="00076E90" w:rsidRDefault="00C65C2E" w:rsidP="00C65C2E">
      <w:pPr>
        <w:spacing w:line="276" w:lineRule="auto"/>
        <w:ind w:left="2552" w:hanging="2552"/>
        <w:jc w:val="both"/>
      </w:pPr>
    </w:p>
    <w:p w14:paraId="5A3BE017" w14:textId="0BDF00CD" w:rsidR="00C65C2E" w:rsidRDefault="00C65C2E" w:rsidP="00C65C2E">
      <w:pPr>
        <w:spacing w:line="276" w:lineRule="auto"/>
        <w:ind w:left="2552" w:hanging="2552"/>
        <w:jc w:val="both"/>
      </w:pPr>
      <w:r w:rsidRPr="00076E90">
        <w:t>Delegācijas dalībnieki:</w:t>
      </w:r>
      <w:r w:rsidRPr="00076E90">
        <w:tab/>
      </w:r>
      <w:r w:rsidRPr="00076E90">
        <w:rPr>
          <w:b/>
        </w:rPr>
        <w:t>Zaiga Liepiņa</w:t>
      </w:r>
      <w:r w:rsidRPr="00076E90">
        <w:t>, Ekonomikas ministrijas valsts sekretāra vietniece;</w:t>
      </w:r>
    </w:p>
    <w:p w14:paraId="052E7CE3" w14:textId="6AD4D49B" w:rsidR="00F57EDF" w:rsidRPr="00076E90" w:rsidRDefault="00F57EDF" w:rsidP="00F57EDF">
      <w:pPr>
        <w:spacing w:line="276" w:lineRule="auto"/>
        <w:ind w:left="2552"/>
        <w:jc w:val="both"/>
      </w:pPr>
      <w:r w:rsidRPr="004C25F0">
        <w:rPr>
          <w:b/>
        </w:rPr>
        <w:t>Lita Stauvere</w:t>
      </w:r>
      <w:r w:rsidRPr="004C25F0">
        <w:t>, Ekonomikas ministrijas ES un ārējo ekonomisko attiecību departamenta direktora vietniece;</w:t>
      </w:r>
    </w:p>
    <w:p w14:paraId="4610BD0E" w14:textId="77777777" w:rsidR="00C65C2E" w:rsidRPr="00076E90" w:rsidRDefault="00C65C2E" w:rsidP="00C65C2E">
      <w:pPr>
        <w:spacing w:line="276" w:lineRule="auto"/>
        <w:ind w:left="2552"/>
        <w:jc w:val="both"/>
      </w:pPr>
      <w:r w:rsidRPr="00076E90">
        <w:rPr>
          <w:b/>
          <w:bCs/>
        </w:rPr>
        <w:t>Rinalds Celmiņš</w:t>
      </w:r>
      <w:r w:rsidRPr="00076E90">
        <w:rPr>
          <w:bCs/>
        </w:rPr>
        <w:t xml:space="preserve">, </w:t>
      </w:r>
      <w:r w:rsidRPr="00076E90">
        <w:t>Ekonomikas ministrijas nozares padomnieks Latvijas Republikas Pastāvīgajā pārstāvniecībā Eiropas Savienībā;</w:t>
      </w:r>
    </w:p>
    <w:p w14:paraId="0B318EBE" w14:textId="77777777" w:rsidR="00C65C2E" w:rsidRPr="00076E90" w:rsidRDefault="00C65C2E" w:rsidP="00C65C2E">
      <w:pPr>
        <w:spacing w:line="276" w:lineRule="auto"/>
        <w:ind w:left="2552"/>
        <w:jc w:val="both"/>
      </w:pPr>
      <w:r w:rsidRPr="00076E90">
        <w:rPr>
          <w:b/>
        </w:rPr>
        <w:t>Anna Upena</w:t>
      </w:r>
      <w:r w:rsidRPr="00076E90">
        <w:t>, Ekonomikas ministrijas nozares padomniece Latvijas Republikas Pastāvīgajā pārstāvniecībā Eiropas Savienībā;</w:t>
      </w:r>
    </w:p>
    <w:p w14:paraId="52C5CC7E" w14:textId="32A3F35F" w:rsidR="00BA4DDB" w:rsidRDefault="00C65C2E" w:rsidP="00C65C2E">
      <w:pPr>
        <w:spacing w:line="276" w:lineRule="auto"/>
        <w:ind w:left="2552"/>
        <w:jc w:val="both"/>
      </w:pPr>
      <w:r w:rsidRPr="00076E90">
        <w:rPr>
          <w:b/>
        </w:rPr>
        <w:t xml:space="preserve">Ieva Riekstiņa, </w:t>
      </w:r>
      <w:r w:rsidRPr="00076E90">
        <w:t>Satiksmes ministrijas nozares atašejs Latvijas Republikas Pastāvīgajā pārstāvniecībā Eiropas Savienībā</w:t>
      </w:r>
      <w:r w:rsidR="00950438">
        <w:t>;</w:t>
      </w:r>
    </w:p>
    <w:p w14:paraId="2BD64B8B" w14:textId="48B02F08" w:rsidR="00C65C2E" w:rsidRDefault="00BA4DDB" w:rsidP="00950438">
      <w:pPr>
        <w:spacing w:line="276" w:lineRule="auto"/>
        <w:ind w:left="2552"/>
        <w:jc w:val="both"/>
      </w:pPr>
      <w:r w:rsidRPr="00950438">
        <w:rPr>
          <w:b/>
        </w:rPr>
        <w:t xml:space="preserve">Elita Zvaigzne, </w:t>
      </w:r>
      <w:r w:rsidRPr="00950438">
        <w:t>Vides aizsardzības un reģionālās attīstības ministrijas Informācijas sabiedrības politikas nodaļas vecākā konsultante.</w:t>
      </w:r>
      <w:r>
        <w:rPr>
          <w:b/>
        </w:rPr>
        <w:t xml:space="preserve"> </w:t>
      </w:r>
    </w:p>
    <w:p w14:paraId="571CE53E" w14:textId="77777777" w:rsidR="00C65C2E" w:rsidRDefault="00C65C2E" w:rsidP="00C65C2E">
      <w:pPr>
        <w:jc w:val="both"/>
        <w:rPr>
          <w:sz w:val="28"/>
          <w:szCs w:val="28"/>
        </w:rPr>
      </w:pPr>
    </w:p>
    <w:p w14:paraId="71CBEA10" w14:textId="77777777" w:rsidR="00950438" w:rsidRDefault="00950438" w:rsidP="00C65C2E">
      <w:pPr>
        <w:tabs>
          <w:tab w:val="right" w:pos="8931"/>
        </w:tabs>
      </w:pPr>
    </w:p>
    <w:p w14:paraId="0A935BE3" w14:textId="1EB3C652" w:rsidR="00C65C2E" w:rsidRDefault="00C65C2E" w:rsidP="00C65C2E">
      <w:pPr>
        <w:tabs>
          <w:tab w:val="right" w:pos="8931"/>
        </w:tabs>
      </w:pPr>
      <w:r>
        <w:t xml:space="preserve">Iesniedzējs: </w:t>
      </w:r>
      <w:r>
        <w:tab/>
      </w:r>
    </w:p>
    <w:p w14:paraId="5238B734" w14:textId="77777777" w:rsidR="00C65C2E" w:rsidRDefault="00C65C2E" w:rsidP="00C65C2E">
      <w:pPr>
        <w:pStyle w:val="Header"/>
        <w:tabs>
          <w:tab w:val="clear" w:pos="4153"/>
          <w:tab w:val="clear" w:pos="8306"/>
          <w:tab w:val="right" w:pos="9214"/>
        </w:tabs>
      </w:pPr>
    </w:p>
    <w:p w14:paraId="64D93861" w14:textId="77777777" w:rsidR="00C65C2E" w:rsidRDefault="00C65C2E" w:rsidP="00C65C2E">
      <w:pPr>
        <w:tabs>
          <w:tab w:val="right" w:pos="9072"/>
        </w:tabs>
      </w:pPr>
      <w:r>
        <w:t>M</w:t>
      </w:r>
      <w:r w:rsidRPr="00E6510B">
        <w:t xml:space="preserve">inistru prezidenta biedrs, </w:t>
      </w:r>
    </w:p>
    <w:p w14:paraId="7C54D00E" w14:textId="77777777" w:rsidR="00C65C2E" w:rsidRPr="00E6510B" w:rsidRDefault="00C65C2E" w:rsidP="00C65C2E">
      <w:pPr>
        <w:tabs>
          <w:tab w:val="right" w:pos="9072"/>
        </w:tabs>
      </w:pPr>
      <w:r>
        <w:t>e</w:t>
      </w:r>
      <w:r w:rsidRPr="00E6510B">
        <w:t>konomikas ministrs</w:t>
      </w:r>
      <w:r w:rsidRPr="00E6510B">
        <w:tab/>
        <w:t>A. Ašeradens</w:t>
      </w:r>
    </w:p>
    <w:p w14:paraId="5CBE9BBA" w14:textId="77777777" w:rsidR="00C65C2E" w:rsidRDefault="00C65C2E" w:rsidP="00C65C2E">
      <w:pPr>
        <w:jc w:val="both"/>
      </w:pPr>
      <w:r>
        <w:tab/>
      </w:r>
    </w:p>
    <w:p w14:paraId="1769051E" w14:textId="77777777" w:rsidR="00C65C2E" w:rsidRDefault="00C65C2E" w:rsidP="00C65C2E">
      <w:pPr>
        <w:jc w:val="both"/>
      </w:pPr>
    </w:p>
    <w:p w14:paraId="32F5FB82" w14:textId="77777777" w:rsidR="00C65C2E" w:rsidRDefault="00C65C2E" w:rsidP="00C65C2E">
      <w:pPr>
        <w:tabs>
          <w:tab w:val="right" w:pos="8931"/>
        </w:tabs>
      </w:pPr>
      <w:r>
        <w:t>Vīza:</w:t>
      </w:r>
    </w:p>
    <w:p w14:paraId="629C1315" w14:textId="2FDDEE6F" w:rsidR="00A418B3" w:rsidRDefault="00A418B3" w:rsidP="00A0648A">
      <w:pPr>
        <w:tabs>
          <w:tab w:val="right" w:pos="8931"/>
        </w:tabs>
      </w:pPr>
      <w:r>
        <w:t xml:space="preserve">Valsts sekretāra pienākumu izpildītāja – </w:t>
      </w:r>
    </w:p>
    <w:p w14:paraId="21BE7921" w14:textId="7DF03B17" w:rsidR="00C65C2E" w:rsidRPr="00A0648A" w:rsidRDefault="00A418B3" w:rsidP="00A0648A">
      <w:pPr>
        <w:tabs>
          <w:tab w:val="right" w:pos="8931"/>
        </w:tabs>
      </w:pPr>
      <w:r>
        <w:t>Administrācijas vadītāja</w:t>
      </w:r>
      <w:r w:rsidR="00C65C2E">
        <w:tab/>
      </w:r>
      <w:proofErr w:type="spellStart"/>
      <w:r>
        <w:t>I.Jaunzeme</w:t>
      </w:r>
      <w:proofErr w:type="spellEnd"/>
    </w:p>
    <w:p w14:paraId="2339A4BB" w14:textId="01464F9E" w:rsidR="00C65C2E" w:rsidRDefault="00C65C2E" w:rsidP="00C65C2E">
      <w:pPr>
        <w:jc w:val="both"/>
        <w:rPr>
          <w:sz w:val="20"/>
          <w:szCs w:val="28"/>
        </w:rPr>
      </w:pPr>
    </w:p>
    <w:p w14:paraId="01691FF1" w14:textId="782850C5" w:rsidR="00950438" w:rsidRDefault="00950438" w:rsidP="00C65C2E">
      <w:pPr>
        <w:jc w:val="both"/>
        <w:rPr>
          <w:sz w:val="20"/>
          <w:szCs w:val="28"/>
        </w:rPr>
      </w:pPr>
    </w:p>
    <w:p w14:paraId="3DAF87FB" w14:textId="5088A8C2" w:rsidR="00950438" w:rsidRDefault="00950438" w:rsidP="00C65C2E">
      <w:pPr>
        <w:jc w:val="both"/>
        <w:rPr>
          <w:sz w:val="20"/>
          <w:szCs w:val="28"/>
        </w:rPr>
      </w:pPr>
    </w:p>
    <w:p w14:paraId="25BEF31E" w14:textId="096A17FB" w:rsidR="00950438" w:rsidRDefault="00950438" w:rsidP="00C65C2E">
      <w:pPr>
        <w:jc w:val="both"/>
        <w:rPr>
          <w:sz w:val="20"/>
          <w:szCs w:val="28"/>
        </w:rPr>
      </w:pPr>
    </w:p>
    <w:p w14:paraId="46269CA3" w14:textId="77777777" w:rsidR="00950438" w:rsidRDefault="00950438" w:rsidP="00C65C2E">
      <w:pPr>
        <w:jc w:val="both"/>
        <w:rPr>
          <w:sz w:val="20"/>
          <w:szCs w:val="28"/>
        </w:rPr>
      </w:pPr>
    </w:p>
    <w:p w14:paraId="7571672F" w14:textId="671B45B7" w:rsidR="00C65C2E" w:rsidRPr="00EA7731" w:rsidRDefault="00950438" w:rsidP="00C65C2E">
      <w:pPr>
        <w:jc w:val="both"/>
        <w:rPr>
          <w:sz w:val="20"/>
          <w:szCs w:val="28"/>
        </w:rPr>
      </w:pPr>
      <w:r>
        <w:rPr>
          <w:sz w:val="20"/>
          <w:szCs w:val="28"/>
        </w:rPr>
        <w:t>22</w:t>
      </w:r>
      <w:r w:rsidR="00A0648A" w:rsidRPr="00EA7731">
        <w:rPr>
          <w:sz w:val="20"/>
          <w:szCs w:val="28"/>
        </w:rPr>
        <w:t>.05</w:t>
      </w:r>
      <w:r w:rsidR="00C65C2E" w:rsidRPr="00EA7731">
        <w:rPr>
          <w:sz w:val="20"/>
          <w:szCs w:val="28"/>
        </w:rPr>
        <w:t xml:space="preserve">.2017. </w:t>
      </w:r>
    </w:p>
    <w:p w14:paraId="1A905A55" w14:textId="68882D3F" w:rsidR="00C65C2E" w:rsidRDefault="00A418B3" w:rsidP="00A0648A">
      <w:pPr>
        <w:jc w:val="both"/>
        <w:rPr>
          <w:sz w:val="20"/>
          <w:szCs w:val="28"/>
        </w:rPr>
      </w:pPr>
      <w:r>
        <w:rPr>
          <w:sz w:val="20"/>
          <w:szCs w:val="28"/>
        </w:rPr>
        <w:t>3778</w:t>
      </w:r>
    </w:p>
    <w:p w14:paraId="11F69AD8" w14:textId="7B52A517" w:rsidR="00622415" w:rsidRDefault="00622415" w:rsidP="00622415">
      <w:pPr>
        <w:tabs>
          <w:tab w:val="left" w:pos="7230"/>
        </w:tabs>
        <w:rPr>
          <w:sz w:val="20"/>
          <w:szCs w:val="20"/>
        </w:rPr>
      </w:pPr>
      <w:proofErr w:type="spellStart"/>
      <w:r>
        <w:rPr>
          <w:sz w:val="20"/>
          <w:szCs w:val="20"/>
        </w:rPr>
        <w:t>A.Strautmane</w:t>
      </w:r>
      <w:proofErr w:type="spellEnd"/>
    </w:p>
    <w:p w14:paraId="2EE623DB" w14:textId="39EDB001" w:rsidR="007F593C" w:rsidRDefault="00622415" w:rsidP="00950438">
      <w:pPr>
        <w:tabs>
          <w:tab w:val="left" w:pos="7230"/>
        </w:tabs>
      </w:pPr>
      <w:r>
        <w:rPr>
          <w:sz w:val="20"/>
          <w:szCs w:val="20"/>
        </w:rPr>
        <w:t xml:space="preserve">67013114, </w:t>
      </w:r>
      <w:r>
        <w:rPr>
          <w:sz w:val="20"/>
          <w:szCs w:val="20"/>
          <w:u w:val="single"/>
        </w:rPr>
        <w:t>aneta.strautmane</w:t>
      </w:r>
      <w:r w:rsidRPr="007D6AE3">
        <w:rPr>
          <w:sz w:val="20"/>
          <w:szCs w:val="20"/>
          <w:u w:val="single"/>
        </w:rPr>
        <w:t>@em.gov.lv</w:t>
      </w:r>
    </w:p>
    <w:sectPr w:rsidR="007F593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0CE6" w14:textId="77777777" w:rsidR="00E430B6" w:rsidRDefault="00E430B6" w:rsidP="00C65C2E">
      <w:r>
        <w:separator/>
      </w:r>
    </w:p>
  </w:endnote>
  <w:endnote w:type="continuationSeparator" w:id="0">
    <w:p w14:paraId="4B0F85DD" w14:textId="77777777" w:rsidR="00E430B6" w:rsidRDefault="00E430B6" w:rsidP="00C6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Helvetica">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58915"/>
      <w:docPartObj>
        <w:docPartGallery w:val="Page Numbers (Bottom of Page)"/>
        <w:docPartUnique/>
      </w:docPartObj>
    </w:sdtPr>
    <w:sdtEndPr>
      <w:rPr>
        <w:noProof/>
      </w:rPr>
    </w:sdtEndPr>
    <w:sdtContent>
      <w:p w14:paraId="27A37466" w14:textId="57408E94" w:rsidR="00C65C2E" w:rsidRPr="00575AD6" w:rsidRDefault="00C65C2E" w:rsidP="00C65C2E">
        <w:pPr>
          <w:pStyle w:val="Header"/>
          <w:rPr>
            <w:sz w:val="20"/>
          </w:rPr>
        </w:pPr>
        <w:r w:rsidRPr="00575AD6">
          <w:rPr>
            <w:sz w:val="20"/>
          </w:rPr>
          <w:t>EMzino_</w:t>
        </w:r>
        <w:r w:rsidR="00E96672">
          <w:rPr>
            <w:sz w:val="20"/>
          </w:rPr>
          <w:t>29</w:t>
        </w:r>
        <w:r w:rsidR="00001F55">
          <w:rPr>
            <w:sz w:val="20"/>
          </w:rPr>
          <w:t>052017</w:t>
        </w:r>
        <w:r w:rsidRPr="00575AD6">
          <w:rPr>
            <w:sz w:val="20"/>
          </w:rPr>
          <w:t>_Konkuretspejas_padome; Informatīvais ziņojums par Eiropas Savienības Konk</w:t>
        </w:r>
        <w:r w:rsidR="00001F55">
          <w:rPr>
            <w:sz w:val="20"/>
          </w:rPr>
          <w:t>urētspējas ministru padomes 2017</w:t>
        </w:r>
        <w:r w:rsidRPr="00575AD6">
          <w:rPr>
            <w:sz w:val="20"/>
          </w:rPr>
          <w:t xml:space="preserve">. gada </w:t>
        </w:r>
        <w:r w:rsidR="00E96672">
          <w:rPr>
            <w:sz w:val="20"/>
          </w:rPr>
          <w:t>29</w:t>
        </w:r>
        <w:r w:rsidR="00001F55">
          <w:rPr>
            <w:sz w:val="20"/>
          </w:rPr>
          <w:t>.maija</w:t>
        </w:r>
        <w:r w:rsidRPr="00575AD6">
          <w:rPr>
            <w:sz w:val="20"/>
          </w:rPr>
          <w:t xml:space="preserve"> sanāksmē izskatāmajiem jautājumiem</w:t>
        </w:r>
      </w:p>
      <w:p w14:paraId="44B522A1" w14:textId="15159E0F" w:rsidR="00C65C2E" w:rsidRDefault="00C65C2E" w:rsidP="00C65C2E">
        <w:pPr>
          <w:pStyle w:val="Footer"/>
          <w:jc w:val="right"/>
        </w:pPr>
        <w:r>
          <w:fldChar w:fldCharType="begin"/>
        </w:r>
        <w:r>
          <w:instrText xml:space="preserve"> PAGE   \* MERGEFORMAT </w:instrText>
        </w:r>
        <w:r>
          <w:fldChar w:fldCharType="separate"/>
        </w:r>
        <w:r w:rsidR="00ED1D18">
          <w:rPr>
            <w:noProof/>
          </w:rPr>
          <w:t>6</w:t>
        </w:r>
        <w:r>
          <w:rPr>
            <w:noProof/>
          </w:rPr>
          <w:fldChar w:fldCharType="end"/>
        </w:r>
      </w:p>
    </w:sdtContent>
  </w:sdt>
  <w:p w14:paraId="73FE4F74" w14:textId="77777777" w:rsidR="00C65C2E" w:rsidRDefault="00C6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3E2A" w14:textId="77777777" w:rsidR="00E430B6" w:rsidRDefault="00E430B6" w:rsidP="00C65C2E">
      <w:r>
        <w:separator/>
      </w:r>
    </w:p>
  </w:footnote>
  <w:footnote w:type="continuationSeparator" w:id="0">
    <w:p w14:paraId="00E7328D" w14:textId="77777777" w:rsidR="00E430B6" w:rsidRDefault="00E430B6" w:rsidP="00C65C2E">
      <w:r>
        <w:continuationSeparator/>
      </w:r>
    </w:p>
  </w:footnote>
  <w:footnote w:id="1">
    <w:p w14:paraId="3BE340AB" w14:textId="77777777" w:rsidR="00076E90" w:rsidRPr="002E64EC" w:rsidRDefault="00076E90" w:rsidP="00076E90">
      <w:pPr>
        <w:pStyle w:val="FootnoteText"/>
        <w:rPr>
          <w:lang w:val="lv-LV"/>
        </w:rPr>
      </w:pPr>
      <w:r>
        <w:rPr>
          <w:rStyle w:val="FootnoteReference"/>
        </w:rPr>
        <w:footnoteRef/>
      </w:r>
      <w:r>
        <w:t xml:space="preserve"> </w:t>
      </w:r>
      <w:r>
        <w:rPr>
          <w:lang w:val="lv-LV"/>
        </w:rPr>
        <w:t>EK paziņojums "Vienotā tirgus pilnīgošana – plašākas iespējas cilvēkiem un uzņēmējdarbībai", 2015.gada 28.oktobris;</w:t>
      </w:r>
      <w:r>
        <w:t xml:space="preserve"> </w:t>
      </w:r>
      <w:hyperlink r:id="rId1" w:history="1">
        <w:r>
          <w:rPr>
            <w:rStyle w:val="Hyperlink"/>
          </w:rPr>
          <w:t>http://ec.europa.eu/DocsRoom/documents/14007/attachments/1/translations/lv/renditions/pdf</w:t>
        </w:r>
      </w:hyperlink>
    </w:p>
  </w:footnote>
  <w:footnote w:id="2">
    <w:p w14:paraId="1834BE62" w14:textId="77777777" w:rsidR="00076E90" w:rsidRPr="00076E90" w:rsidRDefault="00076E90" w:rsidP="00076E90">
      <w:pPr>
        <w:pStyle w:val="FootnoteText"/>
        <w:rPr>
          <w:lang w:val="lv-LV"/>
        </w:rPr>
      </w:pPr>
      <w:r>
        <w:rPr>
          <w:rStyle w:val="FootnoteReference"/>
        </w:rPr>
        <w:footnoteRef/>
      </w:r>
      <w:r w:rsidRPr="00076E90">
        <w:rPr>
          <w:lang w:val="lv-LV"/>
        </w:rPr>
        <w:t xml:space="preserve"> </w:t>
      </w:r>
      <w:proofErr w:type="spellStart"/>
      <w:r w:rsidRPr="00076E90">
        <w:rPr>
          <w:lang w:val="lv-LV"/>
        </w:rPr>
        <w:t>Eurostat</w:t>
      </w:r>
      <w:proofErr w:type="spellEnd"/>
      <w:r w:rsidRPr="00076E90">
        <w:rPr>
          <w:lang w:val="lv-LV"/>
        </w:rPr>
        <w:t xml:space="preserve">, National </w:t>
      </w:r>
      <w:proofErr w:type="spellStart"/>
      <w:r w:rsidRPr="00076E90">
        <w:rPr>
          <w:lang w:val="lv-LV"/>
        </w:rPr>
        <w:t>Accounts</w:t>
      </w:r>
      <w:proofErr w:type="spellEnd"/>
      <w:r w:rsidRPr="00076E90">
        <w:rPr>
          <w:lang w:val="lv-LV"/>
        </w:rPr>
        <w:t xml:space="preserve"> </w:t>
      </w:r>
      <w:proofErr w:type="spellStart"/>
      <w:r w:rsidRPr="00076E90">
        <w:rPr>
          <w:lang w:val="lv-LV"/>
        </w:rPr>
        <w:t>Statistics</w:t>
      </w:r>
      <w:proofErr w:type="spellEnd"/>
      <w:r w:rsidRPr="00076E90">
        <w:rPr>
          <w:lang w:val="lv-LV"/>
        </w:rPr>
        <w:t>, 2013</w:t>
      </w:r>
    </w:p>
  </w:footnote>
  <w:footnote w:id="3">
    <w:p w14:paraId="264F58B2" w14:textId="77777777" w:rsidR="00076E90" w:rsidRPr="00076E90" w:rsidRDefault="00076E90" w:rsidP="00076E90">
      <w:pPr>
        <w:pStyle w:val="FootnoteText"/>
        <w:jc w:val="both"/>
        <w:rPr>
          <w:lang w:val="lv-LV"/>
        </w:rPr>
      </w:pPr>
      <w:r>
        <w:rPr>
          <w:rStyle w:val="FootnoteReference"/>
        </w:rPr>
        <w:footnoteRef/>
      </w:r>
      <w:r w:rsidRPr="00076E90">
        <w:rPr>
          <w:lang w:val="lv-LV"/>
        </w:rPr>
        <w:t xml:space="preserve"> Eiropas Parlamenta un Padomes 2006.gada 12.decembra direktīva 2006/123/E par pakalpojumiem iekšējā tirgū.</w:t>
      </w:r>
    </w:p>
  </w:footnote>
  <w:footnote w:id="4">
    <w:p w14:paraId="4D0A67CD" w14:textId="77777777" w:rsidR="00076E90" w:rsidRPr="000B77D9" w:rsidRDefault="00076E90" w:rsidP="00076E90">
      <w:pPr>
        <w:pStyle w:val="FootnoteText"/>
        <w:jc w:val="both"/>
        <w:rPr>
          <w:lang w:val="de-DE"/>
        </w:rPr>
      </w:pPr>
      <w:r>
        <w:rPr>
          <w:rStyle w:val="FootnoteReference"/>
        </w:rPr>
        <w:footnoteRef/>
      </w:r>
      <w:r w:rsidRPr="00076E90">
        <w:rPr>
          <w:lang w:val="lv-LV"/>
        </w:rPr>
        <w:t xml:space="preserve"> Komisijas 2012.gada pētījums “Pakalpojumu direktīvas ekonomiskā ietekme: pirmais novērtējums pēc īstenošanas”. </w:t>
      </w:r>
      <w:proofErr w:type="spellStart"/>
      <w:r w:rsidRPr="000B77D9">
        <w:rPr>
          <w:lang w:val="de-DE"/>
        </w:rPr>
        <w:t>Pieejams</w:t>
      </w:r>
      <w:proofErr w:type="spellEnd"/>
      <w:r w:rsidRPr="000B77D9">
        <w:rPr>
          <w:lang w:val="de-DE"/>
        </w:rPr>
        <w:t xml:space="preserve"> (EN):</w:t>
      </w:r>
    </w:p>
    <w:p w14:paraId="233CF3B9" w14:textId="77777777" w:rsidR="00076E90" w:rsidRPr="000B77D9" w:rsidRDefault="00076E90" w:rsidP="00076E90">
      <w:pPr>
        <w:pStyle w:val="FootnoteText"/>
        <w:jc w:val="both"/>
        <w:rPr>
          <w:lang w:val="de-DE"/>
        </w:rPr>
      </w:pPr>
      <w:r w:rsidRPr="000B77D9">
        <w:rPr>
          <w:lang w:val="de-DE"/>
        </w:rPr>
        <w:t xml:space="preserve"> </w:t>
      </w:r>
      <w:r w:rsidR="00ED1D18">
        <w:fldChar w:fldCharType="begin"/>
      </w:r>
      <w:r w:rsidR="00ED1D18" w:rsidRPr="00ED1D18">
        <w:rPr>
          <w:lang w:val="de-DE"/>
        </w:rPr>
        <w:instrText xml:space="preserve"> HYPERLINK "http://ec.europa.eu/economy_finance/publications/economic_paper/2012/pdf/ecp_456_en.pdf" </w:instrText>
      </w:r>
      <w:r w:rsidR="00ED1D18">
        <w:fldChar w:fldCharType="separate"/>
      </w:r>
      <w:r w:rsidRPr="000B77D9">
        <w:rPr>
          <w:rStyle w:val="Hyperlink"/>
          <w:lang w:val="de-DE"/>
        </w:rPr>
        <w:t>http://ec.europa.eu/economy_finance/publications/economic_paper/2012/pdf/ecp_456_en.pdf</w:t>
      </w:r>
      <w:r w:rsidR="00ED1D18">
        <w:rPr>
          <w:rStyle w:val="Hyperlink"/>
          <w:lang w:val="de-DE"/>
        </w:rPr>
        <w:fldChar w:fldCharType="end"/>
      </w:r>
      <w:r w:rsidRPr="000B77D9">
        <w:rPr>
          <w:lang w:val="de-DE"/>
        </w:rPr>
        <w:t xml:space="preserve"> </w:t>
      </w:r>
    </w:p>
  </w:footnote>
  <w:footnote w:id="5">
    <w:p w14:paraId="745EC849" w14:textId="77777777" w:rsidR="00076E90" w:rsidRDefault="00076E90" w:rsidP="00076E90">
      <w:pPr>
        <w:jc w:val="both"/>
      </w:pPr>
      <w:r>
        <w:rPr>
          <w:rStyle w:val="FootnoteReference"/>
        </w:rPr>
        <w:footnoteRef/>
      </w:r>
      <w:r>
        <w:t xml:space="preserve"> </w:t>
      </w:r>
      <w:r w:rsidRPr="009C2C9F">
        <w:rPr>
          <w:sz w:val="20"/>
          <w:szCs w:val="20"/>
        </w:rPr>
        <w:t xml:space="preserve">Doc. 13370/15, Eiropas Komisijas Paziņojumu  Eiropas Parlamenta, Padomei, Eiropas Sociālo lietu komitejai un Reģionālajai komitejai </w:t>
      </w:r>
      <w:hyperlink r:id="rId2" w:history="1">
        <w:r w:rsidRPr="009C2C9F">
          <w:rPr>
            <w:rStyle w:val="Hyperlink"/>
            <w:sz w:val="20"/>
            <w:szCs w:val="20"/>
          </w:rPr>
          <w:t>“Vienotā tirgus pilnīgošana – plašākas iespējas cilvēkiem un uzņēmumiem”</w:t>
        </w:r>
      </w:hyperlink>
      <w:r>
        <w:rPr>
          <w:sz w:val="20"/>
          <w:szCs w:val="20"/>
        </w:rPr>
        <w:t>.</w:t>
      </w:r>
    </w:p>
  </w:footnote>
  <w:footnote w:id="6">
    <w:p w14:paraId="6CCE1E4C" w14:textId="413BCFEA" w:rsidR="00076E90" w:rsidRPr="009E4F1B" w:rsidRDefault="00076E90" w:rsidP="00076E90">
      <w:pPr>
        <w:pStyle w:val="FootnoteText"/>
        <w:rPr>
          <w:lang w:val="lv-LV"/>
        </w:rPr>
      </w:pPr>
      <w:r>
        <w:rPr>
          <w:rStyle w:val="FootnoteReference"/>
        </w:rPr>
        <w:footnoteRef/>
      </w:r>
      <w:r w:rsidR="00C07400">
        <w:rPr>
          <w:lang w:val="lv-LV"/>
        </w:rPr>
        <w:t>“</w:t>
      </w:r>
      <w:proofErr w:type="spellStart"/>
      <w:r w:rsidR="00C07400">
        <w:rPr>
          <w:lang w:val="lv-LV"/>
        </w:rPr>
        <w:t>Business</w:t>
      </w:r>
      <w:proofErr w:type="spellEnd"/>
      <w:r w:rsidR="00C07400">
        <w:rPr>
          <w:lang w:val="lv-LV"/>
        </w:rPr>
        <w:t xml:space="preserve"> </w:t>
      </w:r>
      <w:proofErr w:type="spellStart"/>
      <w:r w:rsidR="00C07400">
        <w:rPr>
          <w:lang w:val="lv-LV"/>
        </w:rPr>
        <w:t>transfer</w:t>
      </w:r>
      <w:proofErr w:type="spellEnd"/>
      <w:r w:rsidR="00C07400">
        <w:rPr>
          <w:lang w:val="lv-LV"/>
        </w:rPr>
        <w:t xml:space="preserve"> </w:t>
      </w:r>
      <w:proofErr w:type="spellStart"/>
      <w:r w:rsidR="00C07400">
        <w:rPr>
          <w:lang w:val="lv-LV"/>
        </w:rPr>
        <w:t>ecosystems</w:t>
      </w:r>
      <w:proofErr w:type="spellEnd"/>
      <w:r w:rsidR="00C07400">
        <w:rPr>
          <w:lang w:val="lv-LV"/>
        </w:rPr>
        <w:t xml:space="preserve"> </w:t>
      </w:r>
      <w:proofErr w:type="spellStart"/>
      <w:r w:rsidR="00C07400">
        <w:rPr>
          <w:lang w:val="lv-LV"/>
        </w:rPr>
        <w:t>and</w:t>
      </w:r>
      <w:proofErr w:type="spellEnd"/>
      <w:r w:rsidR="00C07400">
        <w:rPr>
          <w:lang w:val="lv-LV"/>
        </w:rPr>
        <w:t xml:space="preserve"> </w:t>
      </w:r>
      <w:proofErr w:type="spellStart"/>
      <w:r w:rsidR="00C07400">
        <w:rPr>
          <w:lang w:val="lv-LV"/>
        </w:rPr>
        <w:t>awareness</w:t>
      </w:r>
      <w:proofErr w:type="spellEnd"/>
      <w:r w:rsidR="00C07400">
        <w:rPr>
          <w:lang w:val="lv-LV"/>
        </w:rPr>
        <w:t xml:space="preserve"> </w:t>
      </w:r>
      <w:proofErr w:type="spellStart"/>
      <w:r w:rsidR="00C07400">
        <w:rPr>
          <w:lang w:val="lv-LV"/>
        </w:rPr>
        <w:t>raising</w:t>
      </w:r>
      <w:proofErr w:type="spellEnd"/>
      <w:r w:rsidR="00C07400">
        <w:rPr>
          <w:lang w:val="lv-LV"/>
        </w:rPr>
        <w:t xml:space="preserve"> </w:t>
      </w:r>
      <w:proofErr w:type="spellStart"/>
      <w:r w:rsidR="00C07400">
        <w:rPr>
          <w:lang w:val="lv-LV"/>
        </w:rPr>
        <w:t>activities</w:t>
      </w:r>
      <w:proofErr w:type="spellEnd"/>
      <w:r w:rsidR="00C07400">
        <w:rPr>
          <w:lang w:val="lv-LV"/>
        </w:rPr>
        <w:t xml:space="preserve">”, </w:t>
      </w:r>
      <w:proofErr w:type="spellStart"/>
      <w:r w:rsidR="00C07400">
        <w:rPr>
          <w:lang w:val="lv-LV"/>
        </w:rPr>
        <w:t>situation</w:t>
      </w:r>
      <w:proofErr w:type="spellEnd"/>
      <w:r w:rsidR="00C07400">
        <w:rPr>
          <w:lang w:val="lv-LV"/>
        </w:rPr>
        <w:t xml:space="preserve"> </w:t>
      </w:r>
      <w:proofErr w:type="spellStart"/>
      <w:r w:rsidR="00C07400">
        <w:rPr>
          <w:lang w:val="lv-LV"/>
        </w:rPr>
        <w:t>analysis</w:t>
      </w:r>
      <w:proofErr w:type="spellEnd"/>
      <w:r w:rsidR="00C07400">
        <w:rPr>
          <w:lang w:val="lv-LV"/>
        </w:rPr>
        <w:t xml:space="preserve"> </w:t>
      </w:r>
      <w:proofErr w:type="spellStart"/>
      <w:r w:rsidR="00C07400">
        <w:rPr>
          <w:lang w:val="lv-LV"/>
        </w:rPr>
        <w:t>of</w:t>
      </w:r>
      <w:proofErr w:type="spellEnd"/>
      <w:r w:rsidR="00C07400">
        <w:rPr>
          <w:lang w:val="lv-LV"/>
        </w:rPr>
        <w:t xml:space="preserve"> </w:t>
      </w:r>
      <w:proofErr w:type="spellStart"/>
      <w:r w:rsidR="00C07400">
        <w:rPr>
          <w:lang w:val="lv-LV"/>
        </w:rPr>
        <w:t>five</w:t>
      </w:r>
      <w:proofErr w:type="spellEnd"/>
      <w:r w:rsidR="00C07400">
        <w:rPr>
          <w:lang w:val="lv-LV"/>
        </w:rPr>
        <w:t xml:space="preserve"> </w:t>
      </w:r>
      <w:proofErr w:type="spellStart"/>
      <w:r w:rsidR="00C07400">
        <w:rPr>
          <w:lang w:val="lv-LV"/>
        </w:rPr>
        <w:t>European</w:t>
      </w:r>
      <w:proofErr w:type="spellEnd"/>
      <w:r w:rsidR="00C07400">
        <w:rPr>
          <w:lang w:val="lv-LV"/>
        </w:rPr>
        <w:t xml:space="preserve"> </w:t>
      </w:r>
      <w:proofErr w:type="spellStart"/>
      <w:r w:rsidR="00C07400">
        <w:rPr>
          <w:lang w:val="lv-LV"/>
        </w:rPr>
        <w:t>countries</w:t>
      </w:r>
      <w:proofErr w:type="spellEnd"/>
      <w:r w:rsidR="00C07400">
        <w:rPr>
          <w:lang w:val="lv-LV"/>
        </w:rPr>
        <w:t xml:space="preserve">, </w:t>
      </w:r>
      <w:proofErr w:type="spellStart"/>
      <w:r w:rsidR="00C07400">
        <w:rPr>
          <w:lang w:val="lv-LV"/>
        </w:rPr>
        <w:t>Publications</w:t>
      </w:r>
      <w:proofErr w:type="spellEnd"/>
      <w:r w:rsidR="00C07400">
        <w:rPr>
          <w:lang w:val="lv-LV"/>
        </w:rPr>
        <w:t xml:space="preserve"> </w:t>
      </w:r>
      <w:proofErr w:type="spellStart"/>
      <w:r w:rsidR="00C07400">
        <w:rPr>
          <w:lang w:val="lv-LV"/>
        </w:rPr>
        <w:t>of</w:t>
      </w:r>
      <w:proofErr w:type="spellEnd"/>
      <w:r w:rsidR="00C07400">
        <w:rPr>
          <w:lang w:val="lv-LV"/>
        </w:rPr>
        <w:t xml:space="preserve"> </w:t>
      </w:r>
      <w:proofErr w:type="spellStart"/>
      <w:r w:rsidR="00C07400">
        <w:rPr>
          <w:lang w:val="lv-LV"/>
        </w:rPr>
        <w:t>Seinajoki</w:t>
      </w:r>
      <w:proofErr w:type="spellEnd"/>
      <w:r w:rsidR="00C07400">
        <w:rPr>
          <w:lang w:val="lv-LV"/>
        </w:rPr>
        <w:t xml:space="preserve"> </w:t>
      </w:r>
      <w:proofErr w:type="spellStart"/>
      <w:r w:rsidR="00C07400">
        <w:rPr>
          <w:lang w:val="lv-LV"/>
        </w:rPr>
        <w:t>University</w:t>
      </w:r>
      <w:proofErr w:type="spellEnd"/>
      <w:r w:rsidR="00C07400">
        <w:rPr>
          <w:lang w:val="lv-LV"/>
        </w:rPr>
        <w:t xml:space="preserve"> </w:t>
      </w:r>
      <w:proofErr w:type="spellStart"/>
      <w:r w:rsidR="00C07400">
        <w:rPr>
          <w:lang w:val="lv-LV"/>
        </w:rPr>
        <w:t>of</w:t>
      </w:r>
      <w:proofErr w:type="spellEnd"/>
      <w:r w:rsidR="00C07400">
        <w:rPr>
          <w:lang w:val="lv-LV"/>
        </w:rPr>
        <w:t xml:space="preserve"> </w:t>
      </w:r>
      <w:proofErr w:type="spellStart"/>
      <w:r w:rsidR="00C07400">
        <w:rPr>
          <w:lang w:val="lv-LV"/>
        </w:rPr>
        <w:t>Applied</w:t>
      </w:r>
      <w:proofErr w:type="spellEnd"/>
      <w:r w:rsidR="00C07400">
        <w:rPr>
          <w:lang w:val="lv-LV"/>
        </w:rPr>
        <w:t xml:space="preserve"> </w:t>
      </w:r>
      <w:proofErr w:type="spellStart"/>
      <w:r w:rsidR="00C07400">
        <w:rPr>
          <w:lang w:val="lv-LV"/>
        </w:rPr>
        <w:t>Sciences</w:t>
      </w:r>
      <w:proofErr w:type="spellEnd"/>
      <w:r w:rsidR="00C07400">
        <w:rPr>
          <w:lang w:val="lv-LV"/>
        </w:rPr>
        <w:t xml:space="preserve">: </w:t>
      </w:r>
      <w:r w:rsidRPr="004C25F0">
        <w:rPr>
          <w:lang w:val="lv-LV"/>
        </w:rPr>
        <w:t>https://www.his.se/PageFiles/31607/B108.pdf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4D2"/>
    <w:multiLevelType w:val="hybridMultilevel"/>
    <w:tmpl w:val="30DCCA42"/>
    <w:lvl w:ilvl="0" w:tplc="FA6C9B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B6DF6"/>
    <w:multiLevelType w:val="hybridMultilevel"/>
    <w:tmpl w:val="5388F4DC"/>
    <w:lvl w:ilvl="0" w:tplc="FB08167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19B236C"/>
    <w:multiLevelType w:val="hybridMultilevel"/>
    <w:tmpl w:val="4766A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840CC3"/>
    <w:multiLevelType w:val="hybridMultilevel"/>
    <w:tmpl w:val="D9C87584"/>
    <w:lvl w:ilvl="0" w:tplc="322C0BB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40E73"/>
    <w:multiLevelType w:val="hybridMultilevel"/>
    <w:tmpl w:val="24B20E20"/>
    <w:lvl w:ilvl="0" w:tplc="04348D5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5F79CA"/>
    <w:multiLevelType w:val="hybridMultilevel"/>
    <w:tmpl w:val="3D485CE2"/>
    <w:lvl w:ilvl="0" w:tplc="68201350">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4A5675F"/>
    <w:multiLevelType w:val="hybridMultilevel"/>
    <w:tmpl w:val="4EC09278"/>
    <w:lvl w:ilvl="0" w:tplc="06A2BDA6">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83072E"/>
    <w:multiLevelType w:val="hybridMultilevel"/>
    <w:tmpl w:val="3174A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9A3400"/>
    <w:multiLevelType w:val="hybridMultilevel"/>
    <w:tmpl w:val="1D9A02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CDE1718"/>
    <w:multiLevelType w:val="hybridMultilevel"/>
    <w:tmpl w:val="399EB182"/>
    <w:lvl w:ilvl="0" w:tplc="04348D5A">
      <w:start w:val="1"/>
      <w:numFmt w:val="lowerLetter"/>
      <w:lvlText w:val="%1)"/>
      <w:lvlJc w:val="left"/>
      <w:pPr>
        <w:ind w:left="1647" w:hanging="360"/>
      </w:pPr>
      <w:rPr>
        <w:rFonts w:hint="default"/>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DCC621E"/>
    <w:multiLevelType w:val="singleLevel"/>
    <w:tmpl w:val="2CD8C9DC"/>
    <w:name w:val="Dash Equal 1"/>
    <w:lvl w:ilvl="0">
      <w:start w:val="1"/>
      <w:numFmt w:val="bullet"/>
      <w:pStyle w:val="DashEqual1"/>
      <w:lvlText w:val="="/>
      <w:lvlJc w:val="left"/>
      <w:pPr>
        <w:tabs>
          <w:tab w:val="num" w:pos="1134"/>
        </w:tabs>
        <w:ind w:left="1134" w:hanging="567"/>
      </w:pPr>
    </w:lvl>
  </w:abstractNum>
  <w:abstractNum w:abstractNumId="11" w15:restartNumberingAfterBreak="0">
    <w:nsid w:val="52A3735D"/>
    <w:multiLevelType w:val="hybridMultilevel"/>
    <w:tmpl w:val="27543E0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46339A6"/>
    <w:multiLevelType w:val="hybridMultilevel"/>
    <w:tmpl w:val="AB869D48"/>
    <w:lvl w:ilvl="0" w:tplc="0426001B">
      <w:start w:val="1"/>
      <w:numFmt w:val="low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6C94629"/>
    <w:multiLevelType w:val="hybridMultilevel"/>
    <w:tmpl w:val="94F4E372"/>
    <w:lvl w:ilvl="0" w:tplc="04260017">
      <w:start w:val="1"/>
      <w:numFmt w:val="lowerLetter"/>
      <w:lvlText w:val="%1)"/>
      <w:lvlJc w:val="left"/>
      <w:pPr>
        <w:ind w:left="1709" w:hanging="360"/>
      </w:pPr>
    </w:lvl>
    <w:lvl w:ilvl="1" w:tplc="04260019">
      <w:start w:val="1"/>
      <w:numFmt w:val="lowerLetter"/>
      <w:lvlText w:val="%2."/>
      <w:lvlJc w:val="left"/>
      <w:pPr>
        <w:ind w:left="2429" w:hanging="360"/>
      </w:pPr>
    </w:lvl>
    <w:lvl w:ilvl="2" w:tplc="0426001B">
      <w:start w:val="1"/>
      <w:numFmt w:val="lowerRoman"/>
      <w:lvlText w:val="%3."/>
      <w:lvlJc w:val="right"/>
      <w:pPr>
        <w:ind w:left="3149" w:hanging="180"/>
      </w:pPr>
    </w:lvl>
    <w:lvl w:ilvl="3" w:tplc="0426000F">
      <w:start w:val="1"/>
      <w:numFmt w:val="decimal"/>
      <w:lvlText w:val="%4."/>
      <w:lvlJc w:val="left"/>
      <w:pPr>
        <w:ind w:left="3869" w:hanging="360"/>
      </w:pPr>
    </w:lvl>
    <w:lvl w:ilvl="4" w:tplc="04260019">
      <w:start w:val="1"/>
      <w:numFmt w:val="lowerLetter"/>
      <w:lvlText w:val="%5."/>
      <w:lvlJc w:val="left"/>
      <w:pPr>
        <w:ind w:left="4589" w:hanging="360"/>
      </w:pPr>
    </w:lvl>
    <w:lvl w:ilvl="5" w:tplc="0426001B">
      <w:start w:val="1"/>
      <w:numFmt w:val="lowerRoman"/>
      <w:lvlText w:val="%6."/>
      <w:lvlJc w:val="right"/>
      <w:pPr>
        <w:ind w:left="5309" w:hanging="180"/>
      </w:pPr>
    </w:lvl>
    <w:lvl w:ilvl="6" w:tplc="0426000F">
      <w:start w:val="1"/>
      <w:numFmt w:val="decimal"/>
      <w:lvlText w:val="%7."/>
      <w:lvlJc w:val="left"/>
      <w:pPr>
        <w:ind w:left="6029" w:hanging="360"/>
      </w:pPr>
    </w:lvl>
    <w:lvl w:ilvl="7" w:tplc="04260019">
      <w:start w:val="1"/>
      <w:numFmt w:val="lowerLetter"/>
      <w:lvlText w:val="%8."/>
      <w:lvlJc w:val="left"/>
      <w:pPr>
        <w:ind w:left="6749" w:hanging="360"/>
      </w:pPr>
    </w:lvl>
    <w:lvl w:ilvl="8" w:tplc="0426001B">
      <w:start w:val="1"/>
      <w:numFmt w:val="lowerRoman"/>
      <w:lvlText w:val="%9."/>
      <w:lvlJc w:val="right"/>
      <w:pPr>
        <w:ind w:left="7469" w:hanging="180"/>
      </w:pPr>
    </w:lvl>
  </w:abstractNum>
  <w:abstractNum w:abstractNumId="14" w15:restartNumberingAfterBreak="0">
    <w:nsid w:val="7E4914C3"/>
    <w:multiLevelType w:val="hybridMultilevel"/>
    <w:tmpl w:val="F93C18FA"/>
    <w:lvl w:ilvl="0" w:tplc="30E4FC2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1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9"/>
  </w:num>
  <w:num w:numId="11">
    <w:abstractNumId w:val="0"/>
  </w:num>
  <w:num w:numId="12">
    <w:abstractNumId w:val="14"/>
  </w:num>
  <w:num w:numId="13">
    <w:abstractNumId w:val="11"/>
  </w:num>
  <w:num w:numId="14">
    <w:abstractNumId w:val="8"/>
  </w:num>
  <w:num w:numId="15">
    <w:abstractNumId w:val="7"/>
  </w:num>
  <w:num w:numId="16">
    <w:abstractNumId w:val="10"/>
  </w:num>
  <w:num w:numId="17">
    <w:abstractNumId w:val="10"/>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FD"/>
    <w:rsid w:val="00001F55"/>
    <w:rsid w:val="0000388E"/>
    <w:rsid w:val="00010974"/>
    <w:rsid w:val="00034FD6"/>
    <w:rsid w:val="00036ADF"/>
    <w:rsid w:val="000379D3"/>
    <w:rsid w:val="00076E90"/>
    <w:rsid w:val="000B273C"/>
    <w:rsid w:val="000E3EE7"/>
    <w:rsid w:val="000F2E13"/>
    <w:rsid w:val="000F6268"/>
    <w:rsid w:val="00166F5D"/>
    <w:rsid w:val="00176B91"/>
    <w:rsid w:val="001A22E1"/>
    <w:rsid w:val="001C1246"/>
    <w:rsid w:val="0021287A"/>
    <w:rsid w:val="00217703"/>
    <w:rsid w:val="0021798A"/>
    <w:rsid w:val="002230AB"/>
    <w:rsid w:val="0022468E"/>
    <w:rsid w:val="00236796"/>
    <w:rsid w:val="0024180B"/>
    <w:rsid w:val="00244CBC"/>
    <w:rsid w:val="00262D7B"/>
    <w:rsid w:val="00271E95"/>
    <w:rsid w:val="002904D7"/>
    <w:rsid w:val="002925BC"/>
    <w:rsid w:val="002B1FC9"/>
    <w:rsid w:val="002C6D92"/>
    <w:rsid w:val="002D3677"/>
    <w:rsid w:val="002F0216"/>
    <w:rsid w:val="002F251C"/>
    <w:rsid w:val="00304C38"/>
    <w:rsid w:val="003450AE"/>
    <w:rsid w:val="00345204"/>
    <w:rsid w:val="00360573"/>
    <w:rsid w:val="003635ED"/>
    <w:rsid w:val="00370E37"/>
    <w:rsid w:val="0038615C"/>
    <w:rsid w:val="003C7D3B"/>
    <w:rsid w:val="003D2DD5"/>
    <w:rsid w:val="003E7ECA"/>
    <w:rsid w:val="003F2389"/>
    <w:rsid w:val="004173AE"/>
    <w:rsid w:val="00424217"/>
    <w:rsid w:val="00432B1C"/>
    <w:rsid w:val="004900E8"/>
    <w:rsid w:val="00496D25"/>
    <w:rsid w:val="004A0C1E"/>
    <w:rsid w:val="004A363D"/>
    <w:rsid w:val="004A7182"/>
    <w:rsid w:val="004C234B"/>
    <w:rsid w:val="004D307A"/>
    <w:rsid w:val="00587BDB"/>
    <w:rsid w:val="005C1E65"/>
    <w:rsid w:val="005E05D5"/>
    <w:rsid w:val="005E59FD"/>
    <w:rsid w:val="00622415"/>
    <w:rsid w:val="00625453"/>
    <w:rsid w:val="006402D7"/>
    <w:rsid w:val="00641E5B"/>
    <w:rsid w:val="006B3525"/>
    <w:rsid w:val="006F4E16"/>
    <w:rsid w:val="0070163D"/>
    <w:rsid w:val="00702C29"/>
    <w:rsid w:val="00703924"/>
    <w:rsid w:val="00713E65"/>
    <w:rsid w:val="007278BE"/>
    <w:rsid w:val="007522AE"/>
    <w:rsid w:val="00765131"/>
    <w:rsid w:val="007816DD"/>
    <w:rsid w:val="007971E3"/>
    <w:rsid w:val="007B5060"/>
    <w:rsid w:val="007C1A22"/>
    <w:rsid w:val="007C5125"/>
    <w:rsid w:val="007E1396"/>
    <w:rsid w:val="007F593C"/>
    <w:rsid w:val="007F7B80"/>
    <w:rsid w:val="008059FC"/>
    <w:rsid w:val="00832120"/>
    <w:rsid w:val="008634FC"/>
    <w:rsid w:val="00883E33"/>
    <w:rsid w:val="008966C4"/>
    <w:rsid w:val="008A659F"/>
    <w:rsid w:val="008B233C"/>
    <w:rsid w:val="008D22FE"/>
    <w:rsid w:val="008D443F"/>
    <w:rsid w:val="0092389D"/>
    <w:rsid w:val="00940DF4"/>
    <w:rsid w:val="00950438"/>
    <w:rsid w:val="009B51B2"/>
    <w:rsid w:val="009C6E54"/>
    <w:rsid w:val="009D327D"/>
    <w:rsid w:val="00A0648A"/>
    <w:rsid w:val="00A40642"/>
    <w:rsid w:val="00A418B3"/>
    <w:rsid w:val="00A51CF8"/>
    <w:rsid w:val="00A52E9E"/>
    <w:rsid w:val="00A77BCE"/>
    <w:rsid w:val="00AB2522"/>
    <w:rsid w:val="00AC12EB"/>
    <w:rsid w:val="00AF2AA2"/>
    <w:rsid w:val="00B01691"/>
    <w:rsid w:val="00B307C4"/>
    <w:rsid w:val="00B32691"/>
    <w:rsid w:val="00B575D7"/>
    <w:rsid w:val="00B6011A"/>
    <w:rsid w:val="00B62DB1"/>
    <w:rsid w:val="00B64C61"/>
    <w:rsid w:val="00B819E6"/>
    <w:rsid w:val="00BA2FAC"/>
    <w:rsid w:val="00BA4DDB"/>
    <w:rsid w:val="00BA770D"/>
    <w:rsid w:val="00BE50AD"/>
    <w:rsid w:val="00BF389E"/>
    <w:rsid w:val="00BF4A0E"/>
    <w:rsid w:val="00C07400"/>
    <w:rsid w:val="00C33C6B"/>
    <w:rsid w:val="00C35424"/>
    <w:rsid w:val="00C53F1D"/>
    <w:rsid w:val="00C65C2E"/>
    <w:rsid w:val="00C84463"/>
    <w:rsid w:val="00C86D2F"/>
    <w:rsid w:val="00C9477C"/>
    <w:rsid w:val="00CA5DBA"/>
    <w:rsid w:val="00CA7F39"/>
    <w:rsid w:val="00CB2678"/>
    <w:rsid w:val="00CD28AB"/>
    <w:rsid w:val="00CF25B0"/>
    <w:rsid w:val="00CF3879"/>
    <w:rsid w:val="00D30B90"/>
    <w:rsid w:val="00D368B1"/>
    <w:rsid w:val="00D70357"/>
    <w:rsid w:val="00D723F9"/>
    <w:rsid w:val="00D768A6"/>
    <w:rsid w:val="00D771E1"/>
    <w:rsid w:val="00D800C0"/>
    <w:rsid w:val="00D96557"/>
    <w:rsid w:val="00DC25F6"/>
    <w:rsid w:val="00DC469C"/>
    <w:rsid w:val="00E0139D"/>
    <w:rsid w:val="00E022FF"/>
    <w:rsid w:val="00E05CD0"/>
    <w:rsid w:val="00E07601"/>
    <w:rsid w:val="00E34CF4"/>
    <w:rsid w:val="00E426C8"/>
    <w:rsid w:val="00E430B6"/>
    <w:rsid w:val="00E4634B"/>
    <w:rsid w:val="00E60B29"/>
    <w:rsid w:val="00E73BF2"/>
    <w:rsid w:val="00E84AE9"/>
    <w:rsid w:val="00E9491E"/>
    <w:rsid w:val="00E957E7"/>
    <w:rsid w:val="00E96672"/>
    <w:rsid w:val="00EA31F2"/>
    <w:rsid w:val="00EA7731"/>
    <w:rsid w:val="00EB4E58"/>
    <w:rsid w:val="00ED0F6B"/>
    <w:rsid w:val="00ED1D18"/>
    <w:rsid w:val="00F003A9"/>
    <w:rsid w:val="00F152C1"/>
    <w:rsid w:val="00F57EDF"/>
    <w:rsid w:val="00F745BE"/>
    <w:rsid w:val="00FA3923"/>
    <w:rsid w:val="00FB7C66"/>
    <w:rsid w:val="00FF1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59F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5E59FD"/>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5E59FD"/>
    <w:rPr>
      <w:rFonts w:ascii="Times New Roman" w:eastAsia="Times New Roman" w:hAnsi="Times New Roman" w:cs="Times New Roman"/>
      <w:b/>
      <w:sz w:val="24"/>
      <w:szCs w:val="20"/>
    </w:rPr>
  </w:style>
  <w:style w:type="paragraph" w:customStyle="1" w:styleId="DashEqual1">
    <w:name w:val="Dash Equal 1"/>
    <w:basedOn w:val="Normal"/>
    <w:rsid w:val="007F593C"/>
    <w:pPr>
      <w:numPr>
        <w:numId w:val="1"/>
      </w:numPr>
    </w:pPr>
    <w:rPr>
      <w:rFonts w:eastAsiaTheme="minorHAnsi"/>
      <w:lang w:val="en-US" w:eastAsia="en-US"/>
    </w:rPr>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Bull"/>
    <w:basedOn w:val="Normal"/>
    <w:link w:val="ListParagraphChar"/>
    <w:uiPriority w:val="34"/>
    <w:qFormat/>
    <w:rsid w:val="007F593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Bull Char"/>
    <w:link w:val="ListParagraph"/>
    <w:uiPriority w:val="34"/>
    <w:qFormat/>
    <w:locked/>
    <w:rsid w:val="00C65C2E"/>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C65C2E"/>
    <w:pPr>
      <w:tabs>
        <w:tab w:val="center" w:pos="4153"/>
        <w:tab w:val="right" w:pos="8306"/>
      </w:tabs>
    </w:pPr>
  </w:style>
  <w:style w:type="character" w:customStyle="1" w:styleId="HeaderChar">
    <w:name w:val="Header Char"/>
    <w:basedOn w:val="DefaultParagraphFont"/>
    <w:link w:val="Header"/>
    <w:uiPriority w:val="99"/>
    <w:rsid w:val="00C65C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5C2E"/>
    <w:pPr>
      <w:tabs>
        <w:tab w:val="center" w:pos="4153"/>
        <w:tab w:val="right" w:pos="8306"/>
      </w:tabs>
    </w:pPr>
  </w:style>
  <w:style w:type="character" w:customStyle="1" w:styleId="FooterChar">
    <w:name w:val="Footer Char"/>
    <w:basedOn w:val="DefaultParagraphFont"/>
    <w:link w:val="Footer"/>
    <w:uiPriority w:val="99"/>
    <w:rsid w:val="00C65C2E"/>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010974"/>
    <w:pPr>
      <w:spacing w:after="120" w:line="480" w:lineRule="auto"/>
    </w:pPr>
  </w:style>
  <w:style w:type="character" w:customStyle="1" w:styleId="BodyText2Char">
    <w:name w:val="Body Text 2 Char"/>
    <w:basedOn w:val="DefaultParagraphFont"/>
    <w:link w:val="BodyText2"/>
    <w:uiPriority w:val="99"/>
    <w:semiHidden/>
    <w:rsid w:val="00010974"/>
    <w:rPr>
      <w:rFonts w:ascii="Times New Roman" w:eastAsia="Times New Roman" w:hAnsi="Times New Roman" w:cs="Times New Roman"/>
      <w:sz w:val="24"/>
      <w:szCs w:val="24"/>
      <w:lang w:eastAsia="lv-LV"/>
    </w:rPr>
  </w:style>
  <w:style w:type="character" w:styleId="Hyperlink">
    <w:name w:val="Hyperlink"/>
    <w:uiPriority w:val="99"/>
    <w:rsid w:val="009C6E54"/>
    <w:rPr>
      <w:color w:val="0000FF"/>
      <w:u w:val="singl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Char"/>
    <w:basedOn w:val="Normal"/>
    <w:link w:val="FootnoteTextChar"/>
    <w:qFormat/>
    <w:rsid w:val="009C6E54"/>
    <w:rPr>
      <w:sz w:val="20"/>
      <w:szCs w:val="20"/>
      <w:lang w:val="en-GB" w:eastAsia="en-US"/>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rsid w:val="009C6E54"/>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Footnote Reference Superscript,note TESI,Ref,de nota al pie,fr,SUPERS,Footnote number,o,Source Reference,number,Footnote reference number,-E Fußnotenzeichen,Times 10 Point,Exposant 3 Point"/>
    <w:link w:val="16Point"/>
    <w:qFormat/>
    <w:rsid w:val="009C6E54"/>
    <w:rPr>
      <w:vertAlign w:val="superscript"/>
    </w:rPr>
  </w:style>
  <w:style w:type="paragraph" w:styleId="NormalWeb">
    <w:name w:val="Normal (Web)"/>
    <w:basedOn w:val="Normal"/>
    <w:uiPriority w:val="99"/>
    <w:rsid w:val="00432B1C"/>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6B3525"/>
    <w:rPr>
      <w:sz w:val="16"/>
      <w:szCs w:val="16"/>
    </w:rPr>
  </w:style>
  <w:style w:type="paragraph" w:styleId="CommentText">
    <w:name w:val="annotation text"/>
    <w:basedOn w:val="Normal"/>
    <w:link w:val="CommentTextChar"/>
    <w:uiPriority w:val="99"/>
    <w:unhideWhenUsed/>
    <w:rsid w:val="006B3525"/>
    <w:rPr>
      <w:sz w:val="20"/>
      <w:szCs w:val="20"/>
    </w:rPr>
  </w:style>
  <w:style w:type="character" w:customStyle="1" w:styleId="CommentTextChar">
    <w:name w:val="Comment Text Char"/>
    <w:basedOn w:val="DefaultParagraphFont"/>
    <w:link w:val="CommentText"/>
    <w:uiPriority w:val="99"/>
    <w:rsid w:val="006B352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525"/>
    <w:rPr>
      <w:b/>
      <w:bCs/>
    </w:rPr>
  </w:style>
  <w:style w:type="character" w:customStyle="1" w:styleId="CommentSubjectChar">
    <w:name w:val="Comment Subject Char"/>
    <w:basedOn w:val="CommentTextChar"/>
    <w:link w:val="CommentSubject"/>
    <w:uiPriority w:val="99"/>
    <w:semiHidden/>
    <w:rsid w:val="006B352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B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25"/>
    <w:rPr>
      <w:rFonts w:ascii="Segoe UI" w:eastAsia="Times New Roman" w:hAnsi="Segoe UI" w:cs="Segoe UI"/>
      <w:sz w:val="18"/>
      <w:szCs w:val="18"/>
      <w:lang w:eastAsia="lv-LV"/>
    </w:rPr>
  </w:style>
  <w:style w:type="paragraph" w:customStyle="1" w:styleId="BodyA">
    <w:name w:val="Body A"/>
    <w:rsid w:val="00424217"/>
    <w:pPr>
      <w:spacing w:before="120" w:after="120" w:line="360" w:lineRule="auto"/>
    </w:pPr>
    <w:rPr>
      <w:rFonts w:ascii="Helvetica" w:eastAsia="Arial Unicode MS" w:hAnsi="Helvetica" w:cs="Arial Unicode MS"/>
      <w:color w:val="000000"/>
      <w:u w:color="000000"/>
      <w:lang w:val="en-US" w:eastAsia="nl-NL"/>
    </w:rPr>
  </w:style>
  <w:style w:type="paragraph" w:customStyle="1" w:styleId="16Point">
    <w:name w:val="16 Point"/>
    <w:aliases w:val="Superscript 6 Point,Odwołanie przypisu,footnote ref,2001+ Fußnotenzeichen"/>
    <w:basedOn w:val="Normal"/>
    <w:link w:val="FootnoteReference"/>
    <w:rsid w:val="004A0C1E"/>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mt-translation1">
    <w:name w:val="mt-translation1"/>
    <w:basedOn w:val="Normal"/>
    <w:rsid w:val="00AC12EB"/>
    <w:rPr>
      <w:rFonts w:ascii="Segoe UI" w:hAnsi="Segoe UI" w:cs="Segoe UI"/>
      <w:sz w:val="22"/>
      <w:szCs w:val="22"/>
    </w:rPr>
  </w:style>
  <w:style w:type="character" w:customStyle="1" w:styleId="spelle">
    <w:name w:val="spelle"/>
    <w:basedOn w:val="DefaultParagraphFont"/>
    <w:rsid w:val="00BA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7415">
      <w:bodyDiv w:val="1"/>
      <w:marLeft w:val="0"/>
      <w:marRight w:val="0"/>
      <w:marTop w:val="0"/>
      <w:marBottom w:val="0"/>
      <w:divBdr>
        <w:top w:val="none" w:sz="0" w:space="0" w:color="auto"/>
        <w:left w:val="none" w:sz="0" w:space="0" w:color="auto"/>
        <w:bottom w:val="none" w:sz="0" w:space="0" w:color="auto"/>
        <w:right w:val="none" w:sz="0" w:space="0" w:color="auto"/>
      </w:divBdr>
    </w:div>
    <w:div w:id="158009328">
      <w:bodyDiv w:val="1"/>
      <w:marLeft w:val="0"/>
      <w:marRight w:val="0"/>
      <w:marTop w:val="0"/>
      <w:marBottom w:val="0"/>
      <w:divBdr>
        <w:top w:val="none" w:sz="0" w:space="0" w:color="auto"/>
        <w:left w:val="none" w:sz="0" w:space="0" w:color="auto"/>
        <w:bottom w:val="none" w:sz="0" w:space="0" w:color="auto"/>
        <w:right w:val="none" w:sz="0" w:space="0" w:color="auto"/>
      </w:divBdr>
    </w:div>
    <w:div w:id="243339177">
      <w:bodyDiv w:val="1"/>
      <w:marLeft w:val="0"/>
      <w:marRight w:val="0"/>
      <w:marTop w:val="0"/>
      <w:marBottom w:val="0"/>
      <w:divBdr>
        <w:top w:val="none" w:sz="0" w:space="0" w:color="auto"/>
        <w:left w:val="none" w:sz="0" w:space="0" w:color="auto"/>
        <w:bottom w:val="none" w:sz="0" w:space="0" w:color="auto"/>
        <w:right w:val="none" w:sz="0" w:space="0" w:color="auto"/>
      </w:divBdr>
    </w:div>
    <w:div w:id="336612777">
      <w:bodyDiv w:val="1"/>
      <w:marLeft w:val="0"/>
      <w:marRight w:val="0"/>
      <w:marTop w:val="0"/>
      <w:marBottom w:val="0"/>
      <w:divBdr>
        <w:top w:val="none" w:sz="0" w:space="0" w:color="auto"/>
        <w:left w:val="none" w:sz="0" w:space="0" w:color="auto"/>
        <w:bottom w:val="none" w:sz="0" w:space="0" w:color="auto"/>
        <w:right w:val="none" w:sz="0" w:space="0" w:color="auto"/>
      </w:divBdr>
    </w:div>
    <w:div w:id="525367686">
      <w:bodyDiv w:val="1"/>
      <w:marLeft w:val="0"/>
      <w:marRight w:val="0"/>
      <w:marTop w:val="0"/>
      <w:marBottom w:val="0"/>
      <w:divBdr>
        <w:top w:val="none" w:sz="0" w:space="0" w:color="auto"/>
        <w:left w:val="none" w:sz="0" w:space="0" w:color="auto"/>
        <w:bottom w:val="none" w:sz="0" w:space="0" w:color="auto"/>
        <w:right w:val="none" w:sz="0" w:space="0" w:color="auto"/>
      </w:divBdr>
    </w:div>
    <w:div w:id="911740125">
      <w:bodyDiv w:val="1"/>
      <w:marLeft w:val="0"/>
      <w:marRight w:val="0"/>
      <w:marTop w:val="0"/>
      <w:marBottom w:val="0"/>
      <w:divBdr>
        <w:top w:val="none" w:sz="0" w:space="0" w:color="auto"/>
        <w:left w:val="none" w:sz="0" w:space="0" w:color="auto"/>
        <w:bottom w:val="none" w:sz="0" w:space="0" w:color="auto"/>
        <w:right w:val="none" w:sz="0" w:space="0" w:color="auto"/>
      </w:divBdr>
    </w:div>
    <w:div w:id="1073546352">
      <w:bodyDiv w:val="1"/>
      <w:marLeft w:val="0"/>
      <w:marRight w:val="0"/>
      <w:marTop w:val="0"/>
      <w:marBottom w:val="0"/>
      <w:divBdr>
        <w:top w:val="none" w:sz="0" w:space="0" w:color="auto"/>
        <w:left w:val="none" w:sz="0" w:space="0" w:color="auto"/>
        <w:bottom w:val="none" w:sz="0" w:space="0" w:color="auto"/>
        <w:right w:val="none" w:sz="0" w:space="0" w:color="auto"/>
      </w:divBdr>
    </w:div>
    <w:div w:id="1409420919">
      <w:bodyDiv w:val="1"/>
      <w:marLeft w:val="0"/>
      <w:marRight w:val="0"/>
      <w:marTop w:val="0"/>
      <w:marBottom w:val="0"/>
      <w:divBdr>
        <w:top w:val="none" w:sz="0" w:space="0" w:color="auto"/>
        <w:left w:val="none" w:sz="0" w:space="0" w:color="auto"/>
        <w:bottom w:val="none" w:sz="0" w:space="0" w:color="auto"/>
        <w:right w:val="none" w:sz="0" w:space="0" w:color="auto"/>
      </w:divBdr>
    </w:div>
    <w:div w:id="1522430036">
      <w:bodyDiv w:val="1"/>
      <w:marLeft w:val="0"/>
      <w:marRight w:val="0"/>
      <w:marTop w:val="0"/>
      <w:marBottom w:val="0"/>
      <w:divBdr>
        <w:top w:val="none" w:sz="0" w:space="0" w:color="auto"/>
        <w:left w:val="none" w:sz="0" w:space="0" w:color="auto"/>
        <w:bottom w:val="none" w:sz="0" w:space="0" w:color="auto"/>
        <w:right w:val="none" w:sz="0" w:space="0" w:color="auto"/>
      </w:divBdr>
    </w:div>
    <w:div w:id="1724207967">
      <w:bodyDiv w:val="1"/>
      <w:marLeft w:val="0"/>
      <w:marRight w:val="0"/>
      <w:marTop w:val="0"/>
      <w:marBottom w:val="0"/>
      <w:divBdr>
        <w:top w:val="none" w:sz="0" w:space="0" w:color="auto"/>
        <w:left w:val="none" w:sz="0" w:space="0" w:color="auto"/>
        <w:bottom w:val="none" w:sz="0" w:space="0" w:color="auto"/>
        <w:right w:val="none" w:sz="0" w:space="0" w:color="auto"/>
      </w:divBdr>
    </w:div>
    <w:div w:id="1885215887">
      <w:bodyDiv w:val="1"/>
      <w:marLeft w:val="0"/>
      <w:marRight w:val="0"/>
      <w:marTop w:val="0"/>
      <w:marBottom w:val="0"/>
      <w:divBdr>
        <w:top w:val="none" w:sz="0" w:space="0" w:color="auto"/>
        <w:left w:val="none" w:sz="0" w:space="0" w:color="auto"/>
        <w:bottom w:val="none" w:sz="0" w:space="0" w:color="auto"/>
        <w:right w:val="none" w:sz="0" w:space="0" w:color="auto"/>
      </w:divBdr>
    </w:div>
    <w:div w:id="1895700126">
      <w:bodyDiv w:val="1"/>
      <w:marLeft w:val="0"/>
      <w:marRight w:val="0"/>
      <w:marTop w:val="0"/>
      <w:marBottom w:val="0"/>
      <w:divBdr>
        <w:top w:val="none" w:sz="0" w:space="0" w:color="auto"/>
        <w:left w:val="none" w:sz="0" w:space="0" w:color="auto"/>
        <w:bottom w:val="none" w:sz="0" w:space="0" w:color="auto"/>
        <w:right w:val="none" w:sz="0" w:space="0" w:color="auto"/>
      </w:divBdr>
    </w:div>
    <w:div w:id="21348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arency/regdoc/rep/1/2015/EN/1-2015-550-EN-F1-1.PDF" TargetMode="External"/><Relationship Id="rId1" Type="http://schemas.openxmlformats.org/officeDocument/2006/relationships/hyperlink" Target="http://ec.europa.eu/DocsRoom/documents/14007/attachments/1/translations/lv/re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54D3-BB8F-40EB-9425-6400E79C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19428</Words>
  <Characters>11074</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2017-05-22T11:46:00Z</dcterms:created>
  <dcterms:modified xsi:type="dcterms:W3CDTF">2017-05-23T06:03:00Z</dcterms:modified>
</cp:coreProperties>
</file>