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1F4BD5" w:rsidRPr="00C04FBF" w:rsidP="003E1562">
      <w:pPr>
        <w:spacing w:after="0" w:line="240" w:lineRule="auto"/>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sz w:val="24"/>
          <w:szCs w:val="24"/>
        </w:rPr>
        <w:t>Ministru kabineta rīkojuma projekta</w:t>
      </w:r>
    </w:p>
    <w:p w:rsidR="006718C5" w:rsidRPr="00C04FBF" w:rsidP="003E1562">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D67507" w:rsidRPr="00C04FBF" w:rsidP="003E1562">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F51C93" w:rsidRPr="00C04FBF"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3261"/>
        <w:gridCol w:w="5351"/>
      </w:tblGrid>
      <w:tr w:rsidTr="00B355CE">
        <w:tblPrEx>
          <w:tblW w:w="0" w:type="auto"/>
          <w:tblLook w:val="04A0"/>
        </w:tblPrEx>
        <w:tc>
          <w:tcPr>
            <w:tcW w:w="9287" w:type="dxa"/>
            <w:gridSpan w:val="3"/>
          </w:tcPr>
          <w:p w:rsidR="00C96854" w:rsidRPr="00C04FBF" w:rsidP="00B355CE">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Tr="00C96854">
        <w:tblPrEx>
          <w:tblW w:w="0" w:type="auto"/>
          <w:tblLook w:val="04A0"/>
        </w:tblPrEx>
        <w:tc>
          <w:tcPr>
            <w:tcW w:w="675"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261" w:type="dxa"/>
          </w:tcPr>
          <w:p w:rsidR="00C96854" w:rsidRPr="00C04FBF" w:rsidP="00B355CE">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351" w:type="dxa"/>
            <w:vAlign w:val="center"/>
          </w:tcPr>
          <w:p w:rsidR="00C96854" w:rsidRPr="00FE3C3C" w:rsidP="00B355CE">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FE3C3C">
              <w:rPr>
                <w:rFonts w:ascii="Times New Roman" w:eastAsia="Times New Roman" w:hAnsi="Times New Roman" w:cs="Times New Roman"/>
                <w:sz w:val="24"/>
                <w:szCs w:val="24"/>
                <w:lang w:eastAsia="lv-LV"/>
              </w:rPr>
              <w:t xml:space="preserve">Ministru kabineta 2016. gada 20. septembra </w:t>
            </w:r>
            <w:r w:rsidRPr="00FE3C3C">
              <w:rPr>
                <w:rFonts w:ascii="Times New Roman" w:eastAsia="Times New Roman" w:hAnsi="Times New Roman" w:cs="Times New Roman"/>
                <w:sz w:val="24"/>
                <w:szCs w:val="24"/>
                <w:lang w:eastAsia="lv-LV"/>
              </w:rPr>
              <w:t>protokollēmuma</w:t>
            </w:r>
            <w:r w:rsidRPr="00FE3C3C">
              <w:rPr>
                <w:rFonts w:ascii="Times New Roman" w:eastAsia="Times New Roman" w:hAnsi="Times New Roman" w:cs="Times New Roman"/>
                <w:sz w:val="24"/>
                <w:szCs w:val="24"/>
                <w:lang w:eastAsia="lv-LV"/>
              </w:rPr>
              <w:t xml:space="preserve"> (protokols Nr. 46, 40.§) “Informatīvais ziņojums "Par bēgļu un personu ar alternatīvo statusu uzņemšanas un sociālekonomiskās iekļaušanas pasākumu ietekmi uz pašvaldību budžetiem"” (turpmāk – Ministru kabineta </w:t>
            </w:r>
            <w:r w:rsidRPr="00FE3C3C">
              <w:rPr>
                <w:rFonts w:ascii="Times New Roman" w:eastAsia="Times New Roman" w:hAnsi="Times New Roman" w:cs="Times New Roman"/>
                <w:sz w:val="24"/>
                <w:szCs w:val="24"/>
                <w:lang w:eastAsia="lv-LV"/>
              </w:rPr>
              <w:t>protokollēmums</w:t>
            </w:r>
            <w:r w:rsidRPr="00FE3C3C">
              <w:rPr>
                <w:rFonts w:ascii="Times New Roman" w:eastAsia="Times New Roman" w:hAnsi="Times New Roman" w:cs="Times New Roman"/>
                <w:sz w:val="24"/>
                <w:szCs w:val="24"/>
                <w:lang w:eastAsia="lv-LV"/>
              </w:rPr>
              <w:t xml:space="preserve">) 2. punkts nosaka, ka pašvaldībām ne retāk kā reizi gadā no valsts budžeta programmas "Līdzekļi neparedzētiem gadījumiem" kompensējami faktiskie izdevumi, kas radušies, sniedzot finansiālo un materiālo palīdzību bēgļu un personu ar alternatīvo statusu uzņemšanas un sociālekonomiskās iekļaušanas pasākumiem (turpmāk - faktiskie izdevumi) par laika periodu no 2016.gada 1.janvāra. </w:t>
            </w:r>
          </w:p>
          <w:p w:rsidR="00C96854" w:rsidRPr="00FE3C3C" w:rsidP="00B355CE">
            <w:pPr>
              <w:jc w:val="both"/>
              <w:rPr>
                <w:rFonts w:ascii="Times New Roman" w:eastAsia="Times New Roman" w:hAnsi="Times New Roman" w:cs="Times New Roman"/>
                <w:sz w:val="24"/>
                <w:szCs w:val="24"/>
                <w:lang w:eastAsia="lv-LV"/>
              </w:rPr>
            </w:pPr>
            <w:r w:rsidRPr="00FE3C3C">
              <w:rPr>
                <w:rFonts w:ascii="Times New Roman" w:eastAsia="Times New Roman" w:hAnsi="Times New Roman" w:cs="Times New Roman"/>
                <w:sz w:val="24"/>
                <w:szCs w:val="24"/>
                <w:lang w:eastAsia="lv-LV"/>
              </w:rPr>
              <w:t xml:space="preserve">     Ministru kabineta </w:t>
            </w:r>
            <w:r w:rsidRPr="00FE3C3C">
              <w:rPr>
                <w:rFonts w:ascii="Times New Roman" w:eastAsia="Times New Roman" w:hAnsi="Times New Roman" w:cs="Times New Roman"/>
                <w:sz w:val="24"/>
                <w:szCs w:val="24"/>
                <w:lang w:eastAsia="lv-LV"/>
              </w:rPr>
              <w:t>protokollēmum</w:t>
            </w:r>
            <w:r>
              <w:rPr>
                <w:rFonts w:ascii="Times New Roman" w:eastAsia="Times New Roman" w:hAnsi="Times New Roman" w:cs="Times New Roman"/>
                <w:sz w:val="24"/>
                <w:szCs w:val="24"/>
                <w:lang w:eastAsia="lv-LV"/>
              </w:rPr>
              <w:t xml:space="preserve"> 3. punkts nosaka</w:t>
            </w:r>
            <w:r w:rsidRPr="00FE3C3C">
              <w:rPr>
                <w:rFonts w:ascii="Times New Roman" w:eastAsia="Times New Roman" w:hAnsi="Times New Roman" w:cs="Times New Roman"/>
                <w:sz w:val="24"/>
                <w:szCs w:val="24"/>
                <w:lang w:eastAsia="lv-LV"/>
              </w:rPr>
              <w:t>, ka pašvaldībām no valsts budžeta programmas "Līdzekļi neparedzētiem gadījumiem" kompensējami faktiskie izdevumi, kas pašvaldībām radušies, sniedzot sociālos pakalpojumus, sociālo palīdzību un atbalstu, kas noteikti Sociālo pakalpojumu un sociālās palīdzības likumā, Bērnu tiesību aizsardzības likumā un citos normatīvajos aktos un attiecīgās pašvaldības saistošajos noteikumos.</w:t>
            </w:r>
          </w:p>
          <w:p w:rsidR="00C96854" w:rsidRPr="00FE3C3C" w:rsidP="00B355CE">
            <w:pPr>
              <w:jc w:val="both"/>
              <w:rPr>
                <w:rFonts w:ascii="Times New Roman" w:eastAsia="Times New Roman" w:hAnsi="Times New Roman" w:cs="Times New Roman"/>
                <w:sz w:val="24"/>
                <w:szCs w:val="24"/>
                <w:lang w:eastAsia="lv-LV"/>
              </w:rPr>
            </w:pPr>
            <w:r w:rsidRPr="00FE3C3C">
              <w:rPr>
                <w:rFonts w:ascii="Times New Roman" w:eastAsia="Times New Roman" w:hAnsi="Times New Roman" w:cs="Times New Roman"/>
                <w:sz w:val="24"/>
                <w:szCs w:val="24"/>
                <w:lang w:eastAsia="lv-LV"/>
              </w:rPr>
              <w:t xml:space="preserve">     Ministru kabineta </w:t>
            </w:r>
            <w:r w:rsidRPr="00FE3C3C">
              <w:rPr>
                <w:rFonts w:ascii="Times New Roman" w:eastAsia="Times New Roman" w:hAnsi="Times New Roman" w:cs="Times New Roman"/>
                <w:sz w:val="24"/>
                <w:szCs w:val="24"/>
                <w:lang w:eastAsia="lv-LV"/>
              </w:rPr>
              <w:t>protokollēmum</w:t>
            </w:r>
            <w:r>
              <w:rPr>
                <w:rFonts w:ascii="Times New Roman" w:eastAsia="Times New Roman" w:hAnsi="Times New Roman" w:cs="Times New Roman"/>
                <w:sz w:val="24"/>
                <w:szCs w:val="24"/>
                <w:lang w:eastAsia="lv-LV"/>
              </w:rPr>
              <w:t xml:space="preserve"> 4. punkts nosaka</w:t>
            </w:r>
            <w:r w:rsidRPr="00FE3C3C">
              <w:rPr>
                <w:rFonts w:ascii="Times New Roman" w:eastAsia="Times New Roman" w:hAnsi="Times New Roman" w:cs="Times New Roman"/>
                <w:sz w:val="24"/>
                <w:szCs w:val="24"/>
                <w:lang w:eastAsia="lv-LV"/>
              </w:rPr>
              <w:t xml:space="preserve">, ka pašvaldībām radušies faktiskie izdevumi kompensējami no valsts budžeta programmas "Līdzekļi neparedzētiem gadījumiem" divu gadu laika periodā no bēgļa vai personas ar alternatīvo statusu statusa iegūšanas brīža, bet par nepilngadīgiem bēgļiem un personām ar alternatīvo statusu bez pavadības faktiskie izdevumi kompensējami līdz viņu 24 gadu vecumam. </w:t>
            </w:r>
          </w:p>
          <w:p w:rsidR="00C96854" w:rsidP="00B355CE">
            <w:pPr>
              <w:ind w:firstLine="318"/>
              <w:jc w:val="both"/>
              <w:rPr>
                <w:rFonts w:ascii="Times New Roman" w:eastAsia="Times New Roman" w:hAnsi="Times New Roman" w:cs="Times New Roman"/>
                <w:sz w:val="24"/>
                <w:szCs w:val="24"/>
                <w:lang w:eastAsia="lv-LV"/>
              </w:rPr>
            </w:pPr>
            <w:r w:rsidRPr="00FE3C3C">
              <w:rPr>
                <w:rFonts w:ascii="Times New Roman" w:eastAsia="Times New Roman" w:hAnsi="Times New Roman" w:cs="Times New Roman"/>
                <w:sz w:val="24"/>
                <w:szCs w:val="24"/>
                <w:lang w:eastAsia="lv-LV"/>
              </w:rPr>
              <w:t xml:space="preserve">Ministru kabineta </w:t>
            </w:r>
            <w:r w:rsidRPr="00FE3C3C">
              <w:rPr>
                <w:rFonts w:ascii="Times New Roman" w:eastAsia="Times New Roman" w:hAnsi="Times New Roman" w:cs="Times New Roman"/>
                <w:sz w:val="24"/>
                <w:szCs w:val="24"/>
                <w:lang w:eastAsia="lv-LV"/>
              </w:rPr>
              <w:t>protokollēmum</w:t>
            </w:r>
            <w:r>
              <w:rPr>
                <w:rFonts w:ascii="Times New Roman" w:eastAsia="Times New Roman" w:hAnsi="Times New Roman" w:cs="Times New Roman"/>
                <w:sz w:val="24"/>
                <w:szCs w:val="24"/>
                <w:lang w:eastAsia="lv-LV"/>
              </w:rPr>
              <w:t xml:space="preserve"> 5. punkts nosaka</w:t>
            </w:r>
            <w:r w:rsidRPr="00FE3C3C">
              <w:rPr>
                <w:rFonts w:ascii="Times New Roman" w:eastAsia="Times New Roman" w:hAnsi="Times New Roman" w:cs="Times New Roman"/>
                <w:sz w:val="24"/>
                <w:szCs w:val="24"/>
                <w:lang w:eastAsia="lv-LV"/>
              </w:rPr>
              <w:t xml:space="preserve"> Vides aizsardzības un reģionālās attīstības ministrijai</w:t>
            </w:r>
            <w:r>
              <w:rPr>
                <w:rFonts w:ascii="Times New Roman" w:eastAsia="Times New Roman" w:hAnsi="Times New Roman" w:cs="Times New Roman"/>
                <w:sz w:val="24"/>
                <w:szCs w:val="24"/>
                <w:lang w:eastAsia="lv-LV"/>
              </w:rPr>
              <w:t xml:space="preserve"> (turpmāk – VARAM)</w:t>
            </w:r>
            <w:r w:rsidRPr="00FE3C3C">
              <w:rPr>
                <w:rFonts w:ascii="Times New Roman" w:eastAsia="Times New Roman" w:hAnsi="Times New Roman" w:cs="Times New Roman"/>
                <w:sz w:val="24"/>
                <w:szCs w:val="24"/>
                <w:lang w:eastAsia="lv-LV"/>
              </w:rPr>
              <w:t xml:space="preserve"> izvērtēt pašvaldību iesniegtos pieprasījumus par pašvaldībām kompensējamiem faktiskajiem izdevumiem, sagatavot un noteiktā kārtībā iesniegt izskatīšanai Ministru kabinetā rīkojuma projektu par līdzekļu piešķiršanu no valsts budžeta programmas "Līdzekļi neparedzētiem gadījumiem".</w:t>
            </w:r>
          </w:p>
          <w:p w:rsidR="00C96854" w:rsidP="00B355CE">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Jūrmalas pilsētas domes 2017. gada 3. marta vēstule Nr. 1.1-19/1019 “Par līdzekļu piešķiršanu no </w:t>
            </w:r>
            <w:r>
              <w:rPr>
                <w:rFonts w:ascii="Times New Roman" w:eastAsia="Times New Roman" w:hAnsi="Times New Roman" w:cs="Times New Roman"/>
                <w:sz w:val="24"/>
                <w:szCs w:val="24"/>
                <w:lang w:eastAsia="lv-LV"/>
              </w:rPr>
              <w:t>valsts budžeta programmas “Līdzekļi neparedzētiem gadījumiem””.</w:t>
            </w:r>
          </w:p>
          <w:p w:rsidR="00C96854" w:rsidRPr="00C04FBF" w:rsidP="00B355CE">
            <w:pPr>
              <w:ind w:firstLine="318"/>
              <w:jc w:val="both"/>
              <w:rPr>
                <w:bCs/>
                <w:sz w:val="24"/>
                <w:szCs w:val="24"/>
              </w:rPr>
            </w:pPr>
            <w:r>
              <w:rPr>
                <w:rFonts w:ascii="Times New Roman" w:eastAsia="Times New Roman" w:hAnsi="Times New Roman" w:cs="Times New Roman"/>
                <w:sz w:val="24"/>
                <w:szCs w:val="24"/>
                <w:lang w:eastAsia="lv-LV"/>
              </w:rPr>
              <w:t xml:space="preserve">3. Rīgas domes Labklājības departamenta 2017. gada 6. marta vēstule </w:t>
            </w:r>
            <w:r>
              <w:rPr>
                <w:rFonts w:ascii="Times New Roman" w:eastAsia="Times New Roman" w:hAnsi="Times New Roman" w:cs="Times New Roman"/>
                <w:sz w:val="24"/>
                <w:szCs w:val="24"/>
                <w:lang w:eastAsia="lv-LV"/>
              </w:rPr>
              <w:t>Nr.DL-17-195</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nd</w:t>
            </w:r>
            <w:r>
              <w:rPr>
                <w:rFonts w:ascii="Times New Roman" w:eastAsia="Times New Roman" w:hAnsi="Times New Roman" w:cs="Times New Roman"/>
                <w:sz w:val="24"/>
                <w:szCs w:val="24"/>
                <w:lang w:eastAsia="lv-LV"/>
              </w:rPr>
              <w:t xml:space="preserve"> “Par līdzekļu piešķiršanu no valsts budžeta programmas “Līdzekļi neparedzētiem gadījumiem””.</w:t>
            </w:r>
          </w:p>
        </w:tc>
      </w:tr>
      <w:tr w:rsidTr="00C96854">
        <w:tblPrEx>
          <w:tblW w:w="0" w:type="auto"/>
          <w:tblLook w:val="04A0"/>
        </w:tblPrEx>
        <w:tc>
          <w:tcPr>
            <w:tcW w:w="675"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26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351" w:type="dxa"/>
            <w:shd w:val="clear" w:color="auto" w:fill="auto"/>
          </w:tcPr>
          <w:p w:rsidR="00C96854" w:rsidRPr="002D2196" w:rsidP="00B355CE">
            <w:pPr>
              <w:ind w:firstLine="318"/>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VARAM dokumentus par faktiskajiem </w:t>
            </w:r>
            <w:r w:rsidRPr="002D2196">
              <w:rPr>
                <w:rFonts w:ascii="Times New Roman" w:eastAsia="Times New Roman" w:hAnsi="Times New Roman" w:cs="Times New Roman"/>
                <w:sz w:val="24"/>
                <w:szCs w:val="24"/>
                <w:lang w:eastAsia="lv-LV"/>
              </w:rPr>
              <w:t xml:space="preserve">izdevumiem, lai kompensētu faktiskos izdevumus, kas radušies, sniedzot finansiālo un materiālo palīdzību bēgļu un personu ar alternatīvo statusu uzņemšanas un sociālekonomiskās iekļaušanas pasākumiem 2016. </w:t>
            </w:r>
            <w:r>
              <w:rPr>
                <w:rFonts w:ascii="Times New Roman" w:eastAsia="Times New Roman" w:hAnsi="Times New Roman" w:cs="Times New Roman"/>
                <w:sz w:val="24"/>
                <w:szCs w:val="24"/>
                <w:lang w:eastAsia="lv-LV"/>
              </w:rPr>
              <w:t>g</w:t>
            </w:r>
            <w:r w:rsidRPr="002D2196">
              <w:rPr>
                <w:rFonts w:ascii="Times New Roman" w:eastAsia="Times New Roman" w:hAnsi="Times New Roman" w:cs="Times New Roman"/>
                <w:sz w:val="24"/>
                <w:szCs w:val="24"/>
                <w:lang w:eastAsia="lv-LV"/>
              </w:rPr>
              <w:t xml:space="preserve">adā iesniedza </w:t>
            </w:r>
            <w:r w:rsidR="00BE0D46">
              <w:rPr>
                <w:rFonts w:ascii="Times New Roman" w:eastAsia="Times New Roman" w:hAnsi="Times New Roman" w:cs="Times New Roman"/>
                <w:sz w:val="24"/>
                <w:szCs w:val="24"/>
                <w:lang w:eastAsia="lv-LV"/>
              </w:rPr>
              <w:t>divas</w:t>
            </w:r>
            <w:r w:rsidRPr="002D2196">
              <w:rPr>
                <w:rFonts w:ascii="Times New Roman" w:eastAsia="Times New Roman" w:hAnsi="Times New Roman" w:cs="Times New Roman"/>
                <w:sz w:val="24"/>
                <w:szCs w:val="24"/>
                <w:lang w:eastAsia="lv-LV"/>
              </w:rPr>
              <w:t xml:space="preserve"> pašvaldības par kopējo summu </w:t>
            </w:r>
            <w:r>
              <w:rPr>
                <w:rFonts w:ascii="Times New Roman" w:eastAsia="Times New Roman" w:hAnsi="Times New Roman" w:cs="Times New Roman"/>
                <w:sz w:val="24"/>
                <w:szCs w:val="24"/>
                <w:lang w:eastAsia="lv-LV"/>
              </w:rPr>
              <w:t>10 170</w:t>
            </w:r>
            <w:r w:rsidRPr="002D2196">
              <w:rPr>
                <w:rFonts w:ascii="Times New Roman" w:eastAsia="Times New Roman" w:hAnsi="Times New Roman" w:cs="Times New Roman"/>
                <w:sz w:val="24"/>
                <w:szCs w:val="24"/>
                <w:lang w:eastAsia="lv-LV"/>
              </w:rPr>
              <w:t xml:space="preserve"> </w:t>
            </w:r>
            <w:r w:rsidRPr="002D2196">
              <w:rPr>
                <w:rFonts w:ascii="Times New Roman" w:eastAsia="Times New Roman" w:hAnsi="Times New Roman" w:cs="Times New Roman"/>
                <w:i/>
                <w:sz w:val="24"/>
                <w:szCs w:val="24"/>
                <w:lang w:eastAsia="lv-LV"/>
              </w:rPr>
              <w:t>euro</w:t>
            </w:r>
            <w:r w:rsidRPr="002D2196">
              <w:rPr>
                <w:rFonts w:ascii="Times New Roman" w:eastAsia="Times New Roman" w:hAnsi="Times New Roman" w:cs="Times New Roman"/>
                <w:sz w:val="24"/>
                <w:szCs w:val="24"/>
                <w:lang w:eastAsia="lv-LV"/>
              </w:rPr>
              <w:t xml:space="preserve"> apmērā.</w:t>
            </w:r>
          </w:p>
          <w:p w:rsidR="00C96854" w:rsidP="00B355CE">
            <w:pPr>
              <w:ind w:firstLine="318"/>
              <w:jc w:val="both"/>
              <w:rPr>
                <w:rFonts w:ascii="Times New Roman" w:eastAsia="Times New Roman" w:hAnsi="Times New Roman" w:cs="Times New Roman"/>
                <w:sz w:val="24"/>
                <w:szCs w:val="24"/>
                <w:lang w:eastAsia="lv-LV"/>
              </w:rPr>
            </w:pPr>
            <w:r w:rsidRPr="002D2196">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 xml:space="preserve">Pamatojoties uz Jūrmalas pilsētas pašvaldības iesniegto informāciju, 2016. gadā uz patstāvīgu dzīvi Jūrmalas pilsētā apmetās četru personu ar alternatīvo statusu ģimene. Minētajai ģimenei, pamatojoties </w:t>
            </w:r>
            <w:r>
              <w:rPr>
                <w:rFonts w:ascii="Times New Roman" w:eastAsia="Times New Roman" w:hAnsi="Times New Roman" w:cs="Times New Roman"/>
                <w:sz w:val="24"/>
                <w:szCs w:val="24"/>
                <w:lang w:eastAsia="lv-LV"/>
              </w:rPr>
              <w:t xml:space="preserve">uz Sociālo pakalpojumu un sociālās palīdzības likuma 3. panta pirmo </w:t>
            </w:r>
            <w:r>
              <w:rPr>
                <w:rFonts w:ascii="Times New Roman" w:eastAsia="Times New Roman" w:hAnsi="Times New Roman" w:cs="Times New Roman"/>
                <w:sz w:val="24"/>
                <w:szCs w:val="24"/>
                <w:lang w:eastAsia="lv-LV"/>
              </w:rPr>
              <w:t>prim</w:t>
            </w:r>
            <w:r>
              <w:rPr>
                <w:rFonts w:ascii="Times New Roman" w:eastAsia="Times New Roman" w:hAnsi="Times New Roman" w:cs="Times New Roman"/>
                <w:sz w:val="24"/>
                <w:szCs w:val="24"/>
                <w:lang w:eastAsia="lv-LV"/>
              </w:rPr>
              <w:t xml:space="preserve"> daļu un Jūrmalas pilsētas domes saistošo noteikumu Nr. 66 “Par Jūrmalas pilsētas pašvaldības sociālo un pašvaldības palīdzību” III daļu, Jūrmalas pilsētas Labklājības pārvalde izmaksāja pabalstu garantētā minimālā ienākumu līmeņa nodrošināšanai 244 </w:t>
            </w:r>
            <w:r w:rsidRPr="006C5E26">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par 2016. gada decembri.</w:t>
            </w:r>
          </w:p>
          <w:p w:rsidR="00C96854" w:rsidP="00B355CE">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Pamatojoties uz Rīgas pilsētas pašvaldības iesniegto informāciju, 2016. gadā Rīgas pilsētas pašvaldība ir nodrošinājusi sociālos pakalpojumus un sociālo palīdzību bēgļiem un personām ar alternatīvo statusu. Saskaņā ar Sociālo pakalpojumu un sociālās palīdzības likuma 3. panta </w:t>
            </w:r>
            <w:r>
              <w:rPr>
                <w:rFonts w:ascii="Times New Roman" w:eastAsia="Times New Roman" w:hAnsi="Times New Roman" w:cs="Times New Roman"/>
                <w:sz w:val="24"/>
                <w:szCs w:val="24"/>
                <w:lang w:eastAsia="lv-LV"/>
              </w:rPr>
              <w:t xml:space="preserve">pirmo </w:t>
            </w:r>
            <w:r>
              <w:rPr>
                <w:rFonts w:ascii="Times New Roman" w:eastAsia="Times New Roman" w:hAnsi="Times New Roman" w:cs="Times New Roman"/>
                <w:sz w:val="24"/>
                <w:szCs w:val="24"/>
                <w:lang w:eastAsia="lv-LV"/>
              </w:rPr>
              <w:t>prim</w:t>
            </w:r>
            <w:r>
              <w:rPr>
                <w:rFonts w:ascii="Times New Roman" w:eastAsia="Times New Roman" w:hAnsi="Times New Roman" w:cs="Times New Roman"/>
                <w:sz w:val="24"/>
                <w:szCs w:val="24"/>
                <w:lang w:eastAsia="lv-LV"/>
              </w:rPr>
              <w:t xml:space="preserve"> daļu un Rīgas </w:t>
            </w:r>
            <w:r w:rsidRPr="00F35EDF">
              <w:rPr>
                <w:rFonts w:ascii="Times New Roman" w:eastAsia="Times New Roman" w:hAnsi="Times New Roman" w:cs="Times New Roman"/>
                <w:sz w:val="24"/>
                <w:szCs w:val="24"/>
                <w:lang w:eastAsia="lv-LV"/>
              </w:rPr>
              <w:t xml:space="preserve">domes </w:t>
            </w:r>
            <w:r>
              <w:rPr>
                <w:rFonts w:ascii="Times New Roman" w:eastAsia="Times New Roman" w:hAnsi="Times New Roman" w:cs="Times New Roman"/>
                <w:sz w:val="24"/>
                <w:szCs w:val="24"/>
                <w:lang w:eastAsia="lv-LV"/>
              </w:rPr>
              <w:t>saistošo noteikumu Nr. 202 “</w:t>
            </w:r>
            <w:r w:rsidRPr="00F35EDF">
              <w:rPr>
                <w:rFonts w:ascii="Times New Roman" w:eastAsia="Times New Roman" w:hAnsi="Times New Roman" w:cs="Times New Roman"/>
                <w:sz w:val="24"/>
                <w:szCs w:val="24"/>
                <w:lang w:eastAsia="lv-LV"/>
              </w:rPr>
              <w:t>Par ģimenes vai atsevišķi dzīvojošas personas atzīšanu par trūcīgu vai maznodrošinātu un sociālajiem pabalstiem Rīgas pilsēt</w:t>
            </w:r>
            <w:r>
              <w:rPr>
                <w:rFonts w:ascii="Times New Roman" w:eastAsia="Times New Roman" w:hAnsi="Times New Roman" w:cs="Times New Roman"/>
                <w:sz w:val="24"/>
                <w:szCs w:val="24"/>
                <w:lang w:eastAsia="lv-LV"/>
              </w:rPr>
              <w:t>as pašvaldībā” 19. punktu, kā arī saistošo noteikumu Nr.184 “</w:t>
            </w:r>
            <w:r w:rsidRPr="00F35EDF">
              <w:rPr>
                <w:rFonts w:ascii="Times New Roman" w:eastAsia="Times New Roman" w:hAnsi="Times New Roman" w:cs="Times New Roman"/>
                <w:sz w:val="24"/>
                <w:szCs w:val="24"/>
                <w:lang w:eastAsia="lv-LV"/>
              </w:rPr>
              <w:t>Rīgas pilsētas pašvaldības sniegto sociālo pakalpojumu saņemšanas un samaksas kārtība</w:t>
            </w:r>
            <w:r>
              <w:rPr>
                <w:rFonts w:ascii="Times New Roman" w:eastAsia="Times New Roman" w:hAnsi="Times New Roman" w:cs="Times New Roman"/>
                <w:sz w:val="24"/>
                <w:szCs w:val="24"/>
                <w:lang w:eastAsia="lv-LV"/>
              </w:rPr>
              <w:t xml:space="preserve">” 6. punktu Rīgas pilsētas pašvaldība izmaksājusi pabalstu izglītības ieguves atbalstam, pabalstu garantētā minimālā ienākumu līmeņa nodrošināšanai, dzīvokļa pabalstus un sniegusi krīzes centra, dienas centra, kā arī patversmes pakalpojumus par kopējo summu 9 926 </w:t>
            </w:r>
            <w:r w:rsidRPr="000D1BE3">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C96854" w:rsidRPr="00836E87" w:rsidP="00B355CE">
            <w:pPr>
              <w:ind w:firstLine="567"/>
              <w:jc w:val="both"/>
              <w:rPr>
                <w:rFonts w:ascii="Times New Roman" w:eastAsia="Times New Roman" w:hAnsi="Times New Roman" w:cs="Times New Roman"/>
                <w:sz w:val="24"/>
                <w:szCs w:val="24"/>
                <w:lang w:eastAsia="lv-LV"/>
              </w:rPr>
            </w:pPr>
            <w:r w:rsidRPr="00836E87">
              <w:rPr>
                <w:rFonts w:ascii="Times New Roman" w:eastAsia="Times New Roman" w:hAnsi="Times New Roman" w:cs="Times New Roman"/>
                <w:sz w:val="24"/>
                <w:szCs w:val="24"/>
                <w:lang w:eastAsia="lv-LV"/>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w:t>
            </w:r>
            <w:r>
              <w:rPr>
                <w:rFonts w:ascii="Times New Roman" w:eastAsia="Times New Roman" w:hAnsi="Times New Roman" w:cs="Times New Roman"/>
                <w:sz w:val="24"/>
                <w:szCs w:val="24"/>
                <w:lang w:eastAsia="lv-LV"/>
              </w:rPr>
              <w:t>VARAM</w:t>
            </w:r>
            <w:r w:rsidRPr="00836E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10 170</w:t>
            </w:r>
            <w:r w:rsidRPr="00836E87">
              <w:rPr>
                <w:rFonts w:ascii="Times New Roman" w:eastAsia="Times New Roman" w:hAnsi="Times New Roman" w:cs="Times New Roman"/>
                <w:sz w:val="24"/>
                <w:szCs w:val="24"/>
                <w:lang w:eastAsia="lv-LV"/>
              </w:rPr>
              <w:t xml:space="preserve"> </w:t>
            </w:r>
            <w:r w:rsidRPr="00836E87">
              <w:rPr>
                <w:rFonts w:ascii="Times New Roman" w:eastAsia="Times New Roman" w:hAnsi="Times New Roman" w:cs="Times New Roman"/>
                <w:i/>
                <w:sz w:val="24"/>
                <w:szCs w:val="24"/>
                <w:lang w:eastAsia="lv-LV"/>
              </w:rPr>
              <w:t>euro</w:t>
            </w:r>
            <w:r w:rsidRPr="00836E87">
              <w:rPr>
                <w:rFonts w:ascii="Times New Roman" w:eastAsia="Times New Roman" w:hAnsi="Times New Roman" w:cs="Times New Roman"/>
                <w:sz w:val="24"/>
                <w:szCs w:val="24"/>
                <w:lang w:eastAsia="lv-LV"/>
              </w:rPr>
              <w:t xml:space="preserve"> pārskaitīšanai pašvaldībām, lai kompensētu faktiskos </w:t>
            </w:r>
            <w:r w:rsidRPr="00836E87">
              <w:rPr>
                <w:rFonts w:ascii="Times New Roman" w:eastAsia="Times New Roman" w:hAnsi="Times New Roman" w:cs="Times New Roman"/>
                <w:sz w:val="24"/>
                <w:szCs w:val="24"/>
                <w:lang w:eastAsia="lv-LV"/>
              </w:rPr>
              <w:t>izdevumus, kas radušies, sniedzot finansiālo un materiālo palīdzību bēgļu un personu ar alternatīvo statusu uzņemšanas un sociālekonomiskās iekļaušanas pasākumiem 2016. gadā, tai skaitā:</w:t>
            </w:r>
          </w:p>
          <w:p w:rsidR="00C96854" w:rsidRPr="00836E87" w:rsidP="00C96854">
            <w:pPr>
              <w:numPr>
                <w:ilvl w:val="0"/>
                <w:numId w:val="5"/>
              </w:numPr>
              <w:jc w:val="both"/>
              <w:rPr>
                <w:rFonts w:ascii="Times New Roman" w:eastAsia="Times New Roman" w:hAnsi="Times New Roman" w:cs="Times New Roman"/>
                <w:sz w:val="24"/>
                <w:szCs w:val="24"/>
                <w:lang w:eastAsia="lv-LV"/>
              </w:rPr>
            </w:pPr>
            <w:r w:rsidRPr="00836E87">
              <w:rPr>
                <w:rFonts w:ascii="Times New Roman" w:eastAsia="Times New Roman" w:hAnsi="Times New Roman" w:cs="Times New Roman"/>
                <w:sz w:val="24"/>
                <w:szCs w:val="24"/>
                <w:lang w:eastAsia="lv-LV"/>
              </w:rPr>
              <w:t xml:space="preserve">Jūrmalas pilsētas pašvaldībai – 244 </w:t>
            </w:r>
            <w:r w:rsidRPr="00836E87">
              <w:rPr>
                <w:rFonts w:ascii="Times New Roman" w:eastAsia="Times New Roman" w:hAnsi="Times New Roman" w:cs="Times New Roman"/>
                <w:i/>
                <w:sz w:val="24"/>
                <w:szCs w:val="24"/>
                <w:lang w:eastAsia="lv-LV"/>
              </w:rPr>
              <w:t>euro</w:t>
            </w:r>
            <w:r w:rsidRPr="00836E87">
              <w:rPr>
                <w:rFonts w:ascii="Times New Roman" w:eastAsia="Times New Roman" w:hAnsi="Times New Roman" w:cs="Times New Roman"/>
                <w:sz w:val="24"/>
                <w:szCs w:val="24"/>
                <w:lang w:eastAsia="lv-LV"/>
              </w:rPr>
              <w:t>,</w:t>
            </w:r>
          </w:p>
          <w:p w:rsidR="00C96854" w:rsidRPr="00C96854" w:rsidP="00C96854">
            <w:pPr>
              <w:numPr>
                <w:ilvl w:val="0"/>
                <w:numId w:val="5"/>
              </w:numPr>
              <w:ind w:left="924" w:hanging="357"/>
              <w:jc w:val="both"/>
              <w:rPr>
                <w:rFonts w:ascii="Times New Roman" w:eastAsia="Times New Roman" w:hAnsi="Times New Roman" w:cs="Times New Roman"/>
                <w:sz w:val="24"/>
                <w:szCs w:val="24"/>
                <w:lang w:eastAsia="lv-LV"/>
              </w:rPr>
            </w:pPr>
            <w:r w:rsidRPr="00836E87">
              <w:rPr>
                <w:rFonts w:ascii="Times New Roman" w:eastAsia="Times New Roman" w:hAnsi="Times New Roman" w:cs="Times New Roman"/>
                <w:sz w:val="24"/>
                <w:szCs w:val="24"/>
                <w:lang w:eastAsia="lv-LV"/>
              </w:rPr>
              <w:t xml:space="preserve">Rīgas pilsētas pašvaldībai – 9 926 </w:t>
            </w:r>
            <w:r w:rsidRPr="00836E87">
              <w:rPr>
                <w:rFonts w:ascii="Times New Roman" w:eastAsia="Times New Roman" w:hAnsi="Times New Roman" w:cs="Times New Roman"/>
                <w:i/>
                <w:sz w:val="24"/>
                <w:szCs w:val="24"/>
                <w:lang w:eastAsia="lv-LV"/>
              </w:rPr>
              <w:t>euro</w:t>
            </w:r>
            <w:r w:rsidRPr="00C96854">
              <w:rPr>
                <w:rFonts w:ascii="Times New Roman" w:eastAsia="Times New Roman" w:hAnsi="Times New Roman" w:cs="Times New Roman"/>
                <w:sz w:val="24"/>
                <w:szCs w:val="24"/>
                <w:lang w:eastAsia="lv-LV"/>
              </w:rPr>
              <w:t>.</w:t>
            </w:r>
          </w:p>
        </w:tc>
      </w:tr>
      <w:tr w:rsidTr="00C96854">
        <w:tblPrEx>
          <w:tblW w:w="0" w:type="auto"/>
          <w:tblLook w:val="04A0"/>
        </w:tblPrEx>
        <w:tc>
          <w:tcPr>
            <w:tcW w:w="675"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26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351" w:type="dxa"/>
            <w:shd w:val="clear" w:color="auto" w:fill="auto"/>
          </w:tcPr>
          <w:p w:rsidR="00C96854" w:rsidRPr="00C04FBF" w:rsidP="00B355CE">
            <w:pPr>
              <w:rPr>
                <w:rFonts w:ascii="Times New Roman" w:hAnsi="Times New Roman" w:cs="Times New Roman"/>
                <w:sz w:val="24"/>
                <w:szCs w:val="24"/>
              </w:rPr>
            </w:pPr>
            <w:r>
              <w:rPr>
                <w:rFonts w:ascii="Times New Roman" w:hAnsi="Times New Roman" w:cs="Times New Roman"/>
                <w:sz w:val="24"/>
                <w:szCs w:val="24"/>
              </w:rPr>
              <w:t>VARAM, Finanšu ministrija.</w:t>
            </w:r>
          </w:p>
        </w:tc>
      </w:tr>
      <w:tr w:rsidTr="00C96854">
        <w:tblPrEx>
          <w:tblW w:w="0" w:type="auto"/>
          <w:tblLook w:val="04A0"/>
        </w:tblPrEx>
        <w:tc>
          <w:tcPr>
            <w:tcW w:w="675"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26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35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Nav.</w:t>
            </w:r>
          </w:p>
        </w:tc>
      </w:tr>
    </w:tbl>
    <w:p w:rsidR="00C96854" w:rsidRPr="00C04FBF" w:rsidP="00C96854">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Tr="00B355CE">
        <w:tblPrEx>
          <w:tblW w:w="9287" w:type="dxa"/>
          <w:tblLayout w:type="fixed"/>
          <w:tblLook w:val="04A0"/>
        </w:tblPrEx>
        <w:tc>
          <w:tcPr>
            <w:tcW w:w="9287" w:type="dxa"/>
            <w:gridSpan w:val="6"/>
            <w:vAlign w:val="center"/>
          </w:tcPr>
          <w:p w:rsidR="00C96854" w:rsidRPr="00C04FBF" w:rsidP="00B355CE">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rsidTr="00B355CE">
        <w:tblPrEx>
          <w:tblW w:w="9287" w:type="dxa"/>
          <w:tblLayout w:type="fixed"/>
          <w:tblLook w:val="04A0"/>
        </w:tblPrEx>
        <w:tc>
          <w:tcPr>
            <w:tcW w:w="2791" w:type="dxa"/>
            <w:vMerge w:val="restart"/>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w:t>
            </w:r>
            <w:r w:rsidRPr="00C04FBF">
              <w:rPr>
                <w:rFonts w:ascii="Times New Roman" w:hAnsi="Times New Roman" w:cs="Times New Roman"/>
                <w:b/>
                <w:sz w:val="24"/>
                <w:szCs w:val="24"/>
              </w:rPr>
              <w:t>euro</w:t>
            </w:r>
            <w:r w:rsidRPr="00C04FBF">
              <w:rPr>
                <w:rFonts w:ascii="Times New Roman" w:hAnsi="Times New Roman" w:cs="Times New Roman"/>
                <w:b/>
                <w:sz w:val="24"/>
                <w:szCs w:val="24"/>
              </w:rPr>
              <w:t>)</w:t>
            </w:r>
          </w:p>
        </w:tc>
      </w:tr>
      <w:tr w:rsidTr="00B355CE">
        <w:tblPrEx>
          <w:tblW w:w="9287" w:type="dxa"/>
          <w:tblLayout w:type="fixed"/>
          <w:tblLook w:val="04A0"/>
        </w:tblPrEx>
        <w:tc>
          <w:tcPr>
            <w:tcW w:w="2791" w:type="dxa"/>
            <w:vMerge/>
            <w:vAlign w:val="center"/>
          </w:tcPr>
          <w:p w:rsidR="00C96854" w:rsidRPr="00C04FBF" w:rsidP="00B355CE">
            <w:pPr>
              <w:jc w:val="center"/>
              <w:rPr>
                <w:rFonts w:ascii="Times New Roman" w:hAnsi="Times New Roman" w:cs="Times New Roman"/>
                <w:sz w:val="24"/>
                <w:szCs w:val="24"/>
              </w:rPr>
            </w:pPr>
          </w:p>
        </w:tc>
        <w:tc>
          <w:tcPr>
            <w:tcW w:w="2704" w:type="dxa"/>
            <w:gridSpan w:val="2"/>
            <w:vMerge/>
            <w:vAlign w:val="center"/>
          </w:tcPr>
          <w:p w:rsidR="00C96854" w:rsidRPr="00C04FBF" w:rsidP="00B355CE">
            <w:pPr>
              <w:jc w:val="center"/>
              <w:rPr>
                <w:rFonts w:ascii="Times New Roman" w:hAnsi="Times New Roman" w:cs="Times New Roman"/>
                <w:sz w:val="24"/>
                <w:szCs w:val="24"/>
              </w:rPr>
            </w:pPr>
          </w:p>
        </w:tc>
        <w:tc>
          <w:tcPr>
            <w:tcW w:w="1276"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rsidTr="00B355CE">
        <w:tblPrEx>
          <w:tblW w:w="9287" w:type="dxa"/>
          <w:tblLayout w:type="fixed"/>
          <w:tblLook w:val="04A0"/>
        </w:tblPrEx>
        <w:tc>
          <w:tcPr>
            <w:tcW w:w="2791" w:type="dxa"/>
            <w:vMerge/>
            <w:vAlign w:val="center"/>
          </w:tcPr>
          <w:p w:rsidR="00C96854" w:rsidRPr="00C04FBF" w:rsidP="00B355CE">
            <w:pPr>
              <w:jc w:val="center"/>
              <w:rPr>
                <w:rFonts w:ascii="Times New Roman" w:hAnsi="Times New Roman" w:cs="Times New Roman"/>
                <w:sz w:val="24"/>
                <w:szCs w:val="24"/>
              </w:rPr>
            </w:pPr>
          </w:p>
        </w:tc>
        <w:tc>
          <w:tcPr>
            <w:tcW w:w="1266"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C96854" w:rsidRPr="00C04FBF" w:rsidP="00B355CE">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rsidTr="00B355CE">
        <w:tblPrEx>
          <w:tblW w:w="9287" w:type="dxa"/>
          <w:tblLayout w:type="fixed"/>
          <w:tblLook w:val="04A0"/>
        </w:tblPrEx>
        <w:tc>
          <w:tcPr>
            <w:tcW w:w="2791" w:type="dxa"/>
            <w:vAlign w:val="center"/>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C96854">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10 170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10 170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10 170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10 170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p>
        </w:tc>
        <w:tc>
          <w:tcPr>
            <w:tcW w:w="1275" w:type="dxa"/>
            <w:vAlign w:val="center"/>
          </w:tcPr>
          <w:p w:rsidR="00C96854" w:rsidRPr="00C04FBF" w:rsidP="00B355CE">
            <w:pPr>
              <w:jc w:val="right"/>
              <w:rPr>
                <w:rFonts w:ascii="Times New Roman" w:hAnsi="Times New Roman" w:cs="Times New Roman"/>
                <w:sz w:val="24"/>
                <w:szCs w:val="24"/>
              </w:rPr>
            </w:pPr>
          </w:p>
        </w:tc>
        <w:tc>
          <w:tcPr>
            <w:tcW w:w="1241" w:type="dxa"/>
            <w:vAlign w:val="center"/>
          </w:tcPr>
          <w:p w:rsidR="00C96854" w:rsidRPr="00C04FBF" w:rsidP="00B355CE">
            <w:pPr>
              <w:jc w:val="right"/>
              <w:rPr>
                <w:rFonts w:ascii="Times New Roman" w:hAnsi="Times New Roman" w:cs="Times New Roman"/>
                <w:sz w:val="24"/>
                <w:szCs w:val="24"/>
              </w:rPr>
            </w:pPr>
          </w:p>
        </w:tc>
      </w:tr>
      <w:tr w:rsidTr="00B355CE">
        <w:tblPrEx>
          <w:tblW w:w="9287" w:type="dxa"/>
          <w:tblLayout w:type="fixed"/>
          <w:tblLook w:val="04A0"/>
        </w:tblPrEx>
        <w:trPr>
          <w:trHeight w:val="1380"/>
        </w:trPr>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 xml:space="preserve">4. Finanšu līdzekļi papildu izdevumu finansēšanai </w:t>
            </w:r>
            <w:r w:rsidRPr="00C04FBF">
              <w:rPr>
                <w:rFonts w:ascii="Times New Roman" w:hAnsi="Times New Roman" w:cs="Times New Roman"/>
                <w:sz w:val="24"/>
                <w:szCs w:val="24"/>
              </w:rPr>
              <w:t>(</w:t>
            </w:r>
            <w:r w:rsidRPr="00C04FBF">
              <w:rPr>
                <w:rFonts w:ascii="Times New Roman" w:hAnsi="Times New Roman" w:cs="Times New Roman"/>
                <w:sz w:val="24"/>
                <w:szCs w:val="24"/>
              </w:rPr>
              <w:t>kompensējošu izdevumu samazinājumu norāda ar "+" zīmi</w:t>
            </w:r>
          </w:p>
        </w:tc>
        <w:tc>
          <w:tcPr>
            <w:tcW w:w="126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10 170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Borders>
              <w:bottom w:val="single" w:sz="4" w:space="0" w:color="auto"/>
            </w:tcBorders>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C96854" w:rsidRPr="00C04FBF" w:rsidP="00B355CE">
            <w:pPr>
              <w:jc w:val="right"/>
              <w:rPr>
                <w:rFonts w:ascii="Times New Roman" w:hAnsi="Times New Roman" w:cs="Times New Roman"/>
                <w:sz w:val="24"/>
                <w:szCs w:val="24"/>
              </w:rPr>
            </w:pPr>
          </w:p>
        </w:tc>
        <w:tc>
          <w:tcPr>
            <w:tcW w:w="1438" w:type="dxa"/>
            <w:tcBorders>
              <w:bottom w:val="single" w:sz="4" w:space="0" w:color="auto"/>
            </w:tcBorders>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C96854" w:rsidRPr="00C04FBF" w:rsidP="00B355CE">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Borders>
              <w:top w:val="single" w:sz="4" w:space="0" w:color="auto"/>
            </w:tcBorders>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C96854" w:rsidRPr="00C04FBF" w:rsidP="00B355CE">
            <w:pPr>
              <w:jc w:val="right"/>
              <w:rPr>
                <w:rFonts w:ascii="Times New Roman" w:hAnsi="Times New Roman" w:cs="Times New Roman"/>
                <w:sz w:val="24"/>
                <w:szCs w:val="24"/>
              </w:rPr>
            </w:pPr>
          </w:p>
        </w:tc>
        <w:tc>
          <w:tcPr>
            <w:tcW w:w="1438" w:type="dxa"/>
            <w:tcBorders>
              <w:top w:val="single" w:sz="4" w:space="0" w:color="auto"/>
            </w:tcBorders>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C96854" w:rsidRPr="00C04FBF" w:rsidP="00B355CE">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 xml:space="preserve">6. Detalizēts ieņēmumu un </w:t>
            </w:r>
            <w:r w:rsidRPr="00C04FBF">
              <w:rPr>
                <w:rFonts w:ascii="Times New Roman" w:hAnsi="Times New Roman" w:cs="Times New Roman"/>
                <w:sz w:val="24"/>
                <w:szCs w:val="24"/>
              </w:rPr>
              <w:t>izdevumu aprēķins (ja nepieciešams, detalizētu ieņēmumu un izdevumu aprēķinu var pievienot anotācijas pielikumā):</w:t>
            </w:r>
          </w:p>
        </w:tc>
        <w:tc>
          <w:tcPr>
            <w:tcW w:w="6496" w:type="dxa"/>
            <w:gridSpan w:val="5"/>
            <w:vMerge w:val="restart"/>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 xml:space="preserve">valsts budžeta uzturēšanas izdevumu transferti pašvaldībām </w:t>
            </w:r>
            <w:r w:rsidRPr="00C04FBF">
              <w:rPr>
                <w:rStyle w:val="tvhtml"/>
                <w:rFonts w:ascii="Times New Roman" w:hAnsi="Times New Roman" w:cs="Times New Roman"/>
                <w:sz w:val="24"/>
                <w:szCs w:val="24"/>
              </w:rPr>
              <w:t>noteiktam mērķim.</w:t>
            </w: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C96854" w:rsidRPr="00C04FBF" w:rsidP="00B355CE">
            <w:pPr>
              <w:jc w:val="center"/>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C96854" w:rsidRPr="00C04FBF" w:rsidP="00B355CE">
            <w:pPr>
              <w:jc w:val="center"/>
              <w:rPr>
                <w:rFonts w:ascii="Times New Roman" w:hAnsi="Times New Roman" w:cs="Times New Roman"/>
                <w:sz w:val="24"/>
                <w:szCs w:val="24"/>
              </w:rPr>
            </w:pPr>
          </w:p>
        </w:tc>
      </w:tr>
      <w:tr w:rsidTr="00B355CE">
        <w:tblPrEx>
          <w:tblW w:w="9287" w:type="dxa"/>
          <w:tblLayout w:type="fixed"/>
          <w:tblLook w:val="04A0"/>
        </w:tblPrEx>
        <w:tc>
          <w:tcPr>
            <w:tcW w:w="279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C96854" w:rsidRPr="00C04FBF" w:rsidP="00C96854">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Tr="00B355CE">
        <w:tblPrEx>
          <w:tblW w:w="0" w:type="auto"/>
          <w:tblLook w:val="04A0"/>
        </w:tblPrEx>
        <w:tc>
          <w:tcPr>
            <w:tcW w:w="9287" w:type="dxa"/>
            <w:gridSpan w:val="3"/>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Tr="00B355CE">
        <w:tblPrEx>
          <w:tblW w:w="0" w:type="auto"/>
          <w:tblLook w:val="04A0"/>
        </w:tblPrEx>
        <w:tc>
          <w:tcPr>
            <w:tcW w:w="817"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VARAM, Finanšu ministrija.</w:t>
            </w:r>
          </w:p>
        </w:tc>
      </w:tr>
      <w:tr w:rsidTr="00B355CE">
        <w:tblPrEx>
          <w:tblW w:w="0" w:type="auto"/>
          <w:tblLook w:val="04A0"/>
        </w:tblPrEx>
        <w:tc>
          <w:tcPr>
            <w:tcW w:w="817"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C96854" w:rsidRPr="00C04FBF" w:rsidP="00B355CE">
            <w:pPr>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C96854" w:rsidRPr="00C04FBF" w:rsidP="00B355CE">
            <w:pPr>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Tr="00B355CE">
        <w:tblPrEx>
          <w:tblW w:w="0" w:type="auto"/>
          <w:tblLook w:val="04A0"/>
        </w:tblPrEx>
        <w:tc>
          <w:tcPr>
            <w:tcW w:w="817" w:type="dxa"/>
          </w:tcPr>
          <w:p w:rsidR="00C96854" w:rsidRPr="00C04FBF" w:rsidP="00B355CE">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C96854" w:rsidRPr="00C04FBF" w:rsidP="00B355CE">
            <w:pPr>
              <w:rPr>
                <w:rFonts w:ascii="Times New Roman" w:hAnsi="Times New Roman" w:cs="Times New Roman"/>
                <w:sz w:val="24"/>
                <w:szCs w:val="24"/>
              </w:rPr>
            </w:pPr>
            <w:r w:rsidRPr="00C04FBF">
              <w:rPr>
                <w:rFonts w:ascii="Times New Roman" w:hAnsi="Times New Roman" w:cs="Times New Roman"/>
                <w:sz w:val="24"/>
                <w:szCs w:val="24"/>
              </w:rPr>
              <w:t>Nav.</w:t>
            </w:r>
          </w:p>
        </w:tc>
      </w:tr>
    </w:tbl>
    <w:p w:rsidR="008C5E4A" w:rsidP="0078452C">
      <w:pPr>
        <w:spacing w:after="0" w:line="240" w:lineRule="auto"/>
        <w:jc w:val="both"/>
        <w:rPr>
          <w:rFonts w:ascii="Times New Roman" w:hAnsi="Times New Roman" w:cs="Times New Roman"/>
          <w:i/>
          <w:sz w:val="24"/>
          <w:szCs w:val="24"/>
        </w:rPr>
      </w:pPr>
    </w:p>
    <w:p w:rsidR="0078452C" w:rsidRPr="00C04FBF" w:rsidP="0078452C">
      <w:pPr>
        <w:spacing w:after="0" w:line="240" w:lineRule="auto"/>
        <w:jc w:val="both"/>
        <w:rPr>
          <w:rFonts w:ascii="Times New Roman" w:hAnsi="Times New Roman" w:cs="Times New Roman"/>
          <w:i/>
          <w:sz w:val="24"/>
          <w:szCs w:val="24"/>
        </w:rPr>
      </w:pPr>
      <w:r w:rsidRPr="00C04FBF">
        <w:rPr>
          <w:rFonts w:ascii="Times New Roman" w:hAnsi="Times New Roman" w:cs="Times New Roman"/>
          <w:i/>
          <w:sz w:val="24"/>
          <w:szCs w:val="24"/>
        </w:rPr>
        <w:t>Anotācijas II., IV., V., VI. sadaļa – projekts šīs jomas neskar.</w:t>
      </w:r>
    </w:p>
    <w:p w:rsidR="006C77A3"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C96854" w:rsidP="008C0048">
      <w:pPr>
        <w:spacing w:after="0" w:line="240" w:lineRule="auto"/>
        <w:jc w:val="both"/>
        <w:rPr>
          <w:rFonts w:ascii="Times New Roman" w:hAnsi="Times New Roman" w:cs="Times New Roman"/>
          <w:sz w:val="24"/>
          <w:szCs w:val="24"/>
        </w:rPr>
      </w:pPr>
    </w:p>
    <w:p w:rsidR="00C96854" w:rsidP="008C0048">
      <w:pPr>
        <w:spacing w:after="0" w:line="240" w:lineRule="auto"/>
        <w:jc w:val="both"/>
        <w:rPr>
          <w:rFonts w:ascii="Times New Roman" w:hAnsi="Times New Roman" w:cs="Times New Roman"/>
          <w:sz w:val="24"/>
          <w:szCs w:val="24"/>
        </w:rPr>
      </w:pPr>
    </w:p>
    <w:p w:rsidR="00C96854" w:rsidP="008C0048">
      <w:pPr>
        <w:spacing w:after="0" w:line="240" w:lineRule="auto"/>
        <w:jc w:val="both"/>
        <w:rPr>
          <w:rFonts w:ascii="Times New Roman" w:hAnsi="Times New Roman" w:cs="Times New Roman"/>
          <w:sz w:val="24"/>
          <w:szCs w:val="24"/>
        </w:rPr>
      </w:pPr>
    </w:p>
    <w:p w:rsidR="008C5E4A" w:rsidRPr="00C04FBF" w:rsidP="008C0048">
      <w:pPr>
        <w:spacing w:after="0" w:line="240" w:lineRule="auto"/>
        <w:jc w:val="both"/>
        <w:rPr>
          <w:rFonts w:ascii="Times New Roman" w:hAnsi="Times New Roman" w:cs="Times New Roman"/>
          <w:sz w:val="24"/>
          <w:szCs w:val="24"/>
        </w:rPr>
      </w:pPr>
    </w:p>
    <w:p w:rsidR="008C0048" w:rsidRPr="00C04FBF" w:rsidP="008C0048">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8C0048" w:rsidRPr="00C04FBF" w:rsidP="008C0048">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6C77A3" w:rsidP="008C0048">
      <w:pPr>
        <w:spacing w:after="0" w:line="240" w:lineRule="auto"/>
        <w:jc w:val="both"/>
        <w:rPr>
          <w:rFonts w:ascii="Times New Roman" w:hAnsi="Times New Roman" w:cs="Times New Roman"/>
          <w:sz w:val="24"/>
          <w:szCs w:val="24"/>
        </w:rPr>
      </w:pPr>
    </w:p>
    <w:p w:rsidR="0078452C"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RPr="00C04FBF"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P="008C0048">
      <w:pPr>
        <w:spacing w:after="0" w:line="240" w:lineRule="auto"/>
        <w:jc w:val="both"/>
        <w:rPr>
          <w:rFonts w:ascii="Times New Roman" w:hAnsi="Times New Roman" w:cs="Times New Roman"/>
          <w:sz w:val="24"/>
          <w:szCs w:val="24"/>
        </w:rPr>
      </w:pPr>
    </w:p>
    <w:p w:rsidR="008C5E4A" w:rsidRPr="00C04FBF" w:rsidP="008C0048">
      <w:pPr>
        <w:spacing w:after="0" w:line="240" w:lineRule="auto"/>
        <w:jc w:val="both"/>
        <w:rPr>
          <w:rFonts w:ascii="Times New Roman" w:hAnsi="Times New Roman" w:cs="Times New Roman"/>
          <w:sz w:val="24"/>
          <w:szCs w:val="24"/>
        </w:rPr>
      </w:pPr>
    </w:p>
    <w:p w:rsidR="008C0048" w:rsidRPr="00A250CA" w:rsidP="008C0048">
      <w:pPr>
        <w:spacing w:after="0" w:line="240" w:lineRule="auto"/>
        <w:jc w:val="both"/>
        <w:rPr>
          <w:rFonts w:ascii="Times New Roman" w:hAnsi="Times New Roman" w:cs="Times New Roman"/>
          <w:sz w:val="20"/>
          <w:szCs w:val="20"/>
        </w:rPr>
      </w:pPr>
      <w:r w:rsidRPr="00A250CA">
        <w:rPr>
          <w:rFonts w:ascii="Times New Roman" w:hAnsi="Times New Roman" w:cs="Times New Roman"/>
          <w:sz w:val="20"/>
          <w:szCs w:val="20"/>
        </w:rPr>
        <w:t>S.Vaivode</w:t>
      </w:r>
    </w:p>
    <w:p w:rsidR="008C0048" w:rsidRPr="00A250CA" w:rsidP="008C0048">
      <w:pPr>
        <w:spacing w:after="0" w:line="240" w:lineRule="auto"/>
        <w:jc w:val="both"/>
        <w:rPr>
          <w:rFonts w:ascii="Times New Roman" w:hAnsi="Times New Roman" w:cs="Times New Roman"/>
          <w:sz w:val="20"/>
          <w:szCs w:val="20"/>
        </w:rPr>
      </w:pPr>
      <w:r w:rsidRPr="00A250CA">
        <w:rPr>
          <w:rFonts w:ascii="Times New Roman" w:hAnsi="Times New Roman" w:cs="Times New Roman"/>
          <w:sz w:val="20"/>
          <w:szCs w:val="20"/>
        </w:rPr>
        <w:t>66016749</w:t>
      </w:r>
    </w:p>
    <w:p w:rsidR="00A27F8E" w:rsidRPr="00A250CA" w:rsidP="00DD77F4">
      <w:pPr>
        <w:pStyle w:val="Header"/>
        <w:tabs>
          <w:tab w:val="clear" w:pos="4153"/>
          <w:tab w:val="clear" w:pos="8306"/>
        </w:tabs>
        <w:rPr>
          <w:rFonts w:ascii="Times New Roman" w:hAnsi="Times New Roman" w:cs="Times New Roman"/>
          <w:sz w:val="24"/>
          <w:szCs w:val="24"/>
        </w:rPr>
      </w:pPr>
      <w:r>
        <w:fldChar w:fldCharType="begin"/>
      </w:r>
      <w:r>
        <w:instrText xml:space="preserve"> HYPERLINK "mailto:solvita.vaivode@varam.gov.lv" </w:instrText>
      </w:r>
      <w:r>
        <w:fldChar w:fldCharType="separate"/>
      </w:r>
      <w:r w:rsidRPr="00A250CA" w:rsidR="00853F41">
        <w:rPr>
          <w:rStyle w:val="Hyperlink"/>
          <w:rFonts w:ascii="Times New Roman" w:hAnsi="Times New Roman" w:cs="Times New Roman"/>
          <w:sz w:val="20"/>
          <w:szCs w:val="20"/>
        </w:rPr>
        <w:t>solvita.vaivode@varam.gov.lv</w:t>
      </w:r>
      <w:r>
        <w:fldChar w:fldCharType="end"/>
      </w:r>
    </w:p>
    <w:sectPr w:rsidSect="006718C5">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DFE" w:rsidRPr="008C0048" w:rsidP="008C0048">
    <w:pPr>
      <w:pStyle w:val="Footer"/>
      <w:rPr>
        <w:rFonts w:ascii="Times New Roman" w:hAnsi="Times New Roman" w:cs="Times New Roman"/>
        <w:sz w:val="20"/>
        <w:szCs w:val="20"/>
      </w:rPr>
    </w:pPr>
    <w:r>
      <w:rPr>
        <w:rFonts w:ascii="Times New Roman" w:hAnsi="Times New Roman" w:cs="Times New Roman"/>
        <w:sz w:val="20"/>
        <w:szCs w:val="20"/>
      </w:rPr>
      <w:t>VARAMAnot_</w:t>
    </w:r>
    <w:r w:rsidR="0097365A">
      <w:rPr>
        <w:rFonts w:ascii="Times New Roman" w:hAnsi="Times New Roman" w:cs="Times New Roman"/>
        <w:sz w:val="20"/>
        <w:szCs w:val="20"/>
      </w:rPr>
      <w:t>25</w:t>
    </w:r>
    <w:r>
      <w:rPr>
        <w:rFonts w:ascii="Times New Roman" w:hAnsi="Times New Roman" w:cs="Times New Roman"/>
        <w:sz w:val="20"/>
        <w:szCs w:val="20"/>
      </w:rPr>
      <w:t>0417_</w:t>
    </w:r>
    <w:r w:rsidR="00C96854">
      <w:rPr>
        <w:rFonts w:ascii="Times New Roman" w:hAnsi="Times New Roman" w:cs="Times New Roman"/>
        <w:sz w:val="20"/>
        <w:szCs w:val="20"/>
      </w:rPr>
      <w:t>Begli</w:t>
    </w:r>
    <w:r>
      <w:rPr>
        <w:rFonts w:ascii="Times New Roman" w:hAnsi="Times New Roman" w:cs="Times New Roman"/>
        <w:sz w:val="20"/>
        <w:szCs w:val="20"/>
      </w:rPr>
      <w:t>_</w:t>
    </w:r>
    <w:r w:rsidR="00C96854">
      <w:rPr>
        <w:rFonts w:ascii="Times New Roman" w:hAnsi="Times New Roman" w:cs="Times New Roman"/>
        <w:sz w:val="20"/>
        <w:szCs w:val="20"/>
      </w:rPr>
      <w:t>LNG</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DFE" w:rsidRPr="008C0048">
    <w:pPr>
      <w:pStyle w:val="Footer"/>
      <w:rPr>
        <w:rFonts w:ascii="Times New Roman" w:hAnsi="Times New Roman" w:cs="Times New Roman"/>
        <w:sz w:val="20"/>
        <w:szCs w:val="20"/>
      </w:rPr>
    </w:pPr>
    <w:r>
      <w:rPr>
        <w:rFonts w:ascii="Times New Roman" w:hAnsi="Times New Roman" w:cs="Times New Roman"/>
        <w:sz w:val="20"/>
        <w:szCs w:val="20"/>
      </w:rPr>
      <w:t>VARAMAnot_</w:t>
    </w:r>
    <w:r w:rsidR="0097365A">
      <w:rPr>
        <w:rFonts w:ascii="Times New Roman" w:hAnsi="Times New Roman" w:cs="Times New Roman"/>
        <w:sz w:val="20"/>
        <w:szCs w:val="20"/>
      </w:rPr>
      <w:t>25</w:t>
    </w:r>
    <w:r>
      <w:rPr>
        <w:rFonts w:ascii="Times New Roman" w:hAnsi="Times New Roman" w:cs="Times New Roman"/>
        <w:sz w:val="20"/>
        <w:szCs w:val="20"/>
      </w:rPr>
      <w:t>0417_</w:t>
    </w:r>
    <w:r w:rsidR="00C96854">
      <w:rPr>
        <w:rFonts w:ascii="Times New Roman" w:hAnsi="Times New Roman" w:cs="Times New Roman"/>
        <w:sz w:val="20"/>
        <w:szCs w:val="20"/>
      </w:rPr>
      <w:t>Begli</w:t>
    </w:r>
    <w:r>
      <w:rPr>
        <w:rFonts w:ascii="Times New Roman" w:hAnsi="Times New Roman" w:cs="Times New Roman"/>
        <w:sz w:val="20"/>
        <w:szCs w:val="20"/>
      </w:rPr>
      <w:t>_</w:t>
    </w:r>
    <w:r w:rsidR="00C96854">
      <w:rPr>
        <w:rFonts w:ascii="Times New Roman" w:hAnsi="Times New Roman" w:cs="Times New Roman"/>
        <w:sz w:val="20"/>
        <w:szCs w:val="20"/>
      </w:rPr>
      <w:t>LNG</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rsidR="00662DFE"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97365A">
          <w:rPr>
            <w:rFonts w:ascii="Times New Roman" w:hAnsi="Times New Roman" w:cs="Times New Roman"/>
            <w:noProof/>
          </w:rPr>
          <w:t>4</w:t>
        </w:r>
        <w:r w:rsidRPr="006718C5">
          <w:rPr>
            <w:rFonts w:ascii="Times New Roman" w:hAnsi="Times New Roman" w:cs="Times New Roman"/>
            <w:noProof/>
          </w:rPr>
          <w:fldChar w:fldCharType="end"/>
        </w:r>
      </w:p>
    </w:sdtContent>
  </w:sdt>
  <w:p w:rsidR="00662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34B42"/>
    <w:multiLevelType w:val="hybridMultilevel"/>
    <w:tmpl w:val="63FC17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nsid w:val="32C43B95"/>
    <w:multiLevelType w:val="hybridMultilevel"/>
    <w:tmpl w:val="357EAFF2"/>
    <w:lvl w:ilvl="0">
      <w:start w:val="1"/>
      <w:numFmt w:val="decimal"/>
      <w:lvlText w:val="%1."/>
      <w:lvlJc w:val="left"/>
      <w:pPr>
        <w:ind w:left="720" w:hanging="360"/>
      </w:pPr>
      <w:rPr>
        <w:rFonts w:ascii="Times New Roman" w:eastAsia="Calibri" w:hAnsi="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073CE5"/>
    <w:multiLevelType w:val="hybridMultilevel"/>
    <w:tmpl w:val="4AD401F0"/>
    <w:lvl w:ilvl="0">
      <w:start w:val="7"/>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hAnsi="Times New Roman" w:eastAsiaTheme="minorHAnsi"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paragraph" w:customStyle="1" w:styleId="tv2131">
    <w:name w:val="tv2131"/>
    <w:basedOn w:val="Normal"/>
    <w:rsid w:val="009F42FE"/>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2A72-2D95-44F0-BE99-E83D96E7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6</cp:revision>
  <cp:lastPrinted>2015-01-21T10:22:00Z</cp:lastPrinted>
  <dcterms:created xsi:type="dcterms:W3CDTF">2017-04-12T08:06:00Z</dcterms:created>
  <dcterms:modified xsi:type="dcterms:W3CDTF">2017-04-25T06:44:00Z</dcterms:modified>
</cp:coreProperties>
</file>