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9C89A" w14:textId="77777777" w:rsidR="00DF47F0" w:rsidRPr="001C7ABB" w:rsidRDefault="00DF47F0" w:rsidP="00DF47F0">
      <w:pPr>
        <w:spacing w:line="240" w:lineRule="auto"/>
        <w:jc w:val="center"/>
        <w:rPr>
          <w:b/>
          <w:sz w:val="27"/>
          <w:szCs w:val="27"/>
        </w:rPr>
      </w:pPr>
      <w:r w:rsidRPr="001C7ABB">
        <w:rPr>
          <w:b/>
          <w:sz w:val="27"/>
          <w:szCs w:val="27"/>
        </w:rPr>
        <w:t>Informatīvais ziņojums</w:t>
      </w:r>
    </w:p>
    <w:p w14:paraId="73C7E879" w14:textId="77777777" w:rsidR="00836577" w:rsidRDefault="00DF47F0" w:rsidP="00DF47F0">
      <w:pPr>
        <w:spacing w:before="120" w:line="240" w:lineRule="auto"/>
        <w:jc w:val="center"/>
        <w:rPr>
          <w:b/>
          <w:sz w:val="27"/>
          <w:szCs w:val="27"/>
        </w:rPr>
      </w:pPr>
      <w:bookmarkStart w:id="0" w:name="_GoBack"/>
      <w:r w:rsidRPr="001C7ABB">
        <w:rPr>
          <w:b/>
          <w:sz w:val="27"/>
          <w:szCs w:val="27"/>
        </w:rPr>
        <w:t xml:space="preserve">par Eiropas Savienības Tieslietu un iekšlietu ministru padomes </w:t>
      </w:r>
    </w:p>
    <w:p w14:paraId="2681AFC9" w14:textId="572E53E8" w:rsidR="00DF47F0" w:rsidRPr="001C7ABB" w:rsidRDefault="00DF47F0" w:rsidP="00836577">
      <w:pPr>
        <w:spacing w:after="24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2017.</w:t>
      </w:r>
      <w:r w:rsidR="00836577">
        <w:rPr>
          <w:b/>
          <w:sz w:val="27"/>
          <w:szCs w:val="27"/>
        </w:rPr>
        <w:t xml:space="preserve"> </w:t>
      </w:r>
      <w:r w:rsidRPr="001C7ABB">
        <w:rPr>
          <w:b/>
          <w:sz w:val="27"/>
          <w:szCs w:val="27"/>
        </w:rPr>
        <w:t xml:space="preserve">gada </w:t>
      </w:r>
      <w:r>
        <w:rPr>
          <w:b/>
          <w:sz w:val="27"/>
          <w:szCs w:val="27"/>
        </w:rPr>
        <w:t>18.</w:t>
      </w:r>
      <w:r w:rsidR="0083657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maija </w:t>
      </w:r>
      <w:r w:rsidRPr="001C7ABB">
        <w:rPr>
          <w:b/>
          <w:sz w:val="27"/>
          <w:szCs w:val="27"/>
        </w:rPr>
        <w:t>sanāksmē iekļautajiem jautājumiem</w:t>
      </w:r>
      <w:bookmarkEnd w:id="0"/>
    </w:p>
    <w:p w14:paraId="649114C0" w14:textId="77777777" w:rsidR="004C0897" w:rsidRPr="006055EC" w:rsidRDefault="00DF47F0" w:rsidP="004C0897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C0897" w:rsidRPr="006055EC">
        <w:rPr>
          <w:b/>
          <w:sz w:val="28"/>
          <w:szCs w:val="28"/>
        </w:rPr>
        <w:t>I. Eiropas Savienības Tieslietu un iekšlietu ministru padomes sanāksmes darba kārtība</w:t>
      </w:r>
    </w:p>
    <w:p w14:paraId="2CD5E6E3" w14:textId="77777777" w:rsidR="004C0897" w:rsidRDefault="004C0897" w:rsidP="00DF47F0">
      <w:pPr>
        <w:spacing w:line="240" w:lineRule="auto"/>
        <w:jc w:val="both"/>
        <w:rPr>
          <w:sz w:val="28"/>
          <w:szCs w:val="28"/>
        </w:rPr>
      </w:pPr>
    </w:p>
    <w:p w14:paraId="250763D7" w14:textId="67B3EEFA" w:rsidR="00DF47F0" w:rsidRDefault="00DF47F0" w:rsidP="004C0897">
      <w:pPr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2017.</w:t>
      </w:r>
      <w:r w:rsidR="00836577">
        <w:rPr>
          <w:sz w:val="28"/>
          <w:szCs w:val="28"/>
        </w:rPr>
        <w:t xml:space="preserve"> </w:t>
      </w:r>
      <w:r>
        <w:rPr>
          <w:sz w:val="28"/>
          <w:szCs w:val="28"/>
        </w:rPr>
        <w:t>gada 18.</w:t>
      </w:r>
      <w:r w:rsidR="00836577">
        <w:rPr>
          <w:sz w:val="28"/>
          <w:szCs w:val="28"/>
        </w:rPr>
        <w:t xml:space="preserve"> </w:t>
      </w:r>
      <w:r>
        <w:rPr>
          <w:sz w:val="28"/>
          <w:szCs w:val="28"/>
        </w:rPr>
        <w:t>maijā Briselē, Beļģijā, notiks Eiropas Savienības (turpmāk – ES) Tieslietu un iekšlietu ministru padomes (turpmāk – Padomes) sanāksme. Sanāksmes darba kārtībā ir iekļauti divi jautājumi:</w:t>
      </w:r>
    </w:p>
    <w:p w14:paraId="278DECA0" w14:textId="77777777" w:rsidR="00DF47F0" w:rsidRDefault="00DF47F0" w:rsidP="00DF47F0">
      <w:pPr>
        <w:spacing w:line="240" w:lineRule="auto"/>
        <w:jc w:val="both"/>
        <w:rPr>
          <w:sz w:val="28"/>
          <w:szCs w:val="28"/>
        </w:rPr>
      </w:pPr>
    </w:p>
    <w:p w14:paraId="0ABB6E7A" w14:textId="77777777" w:rsidR="00DF47F0" w:rsidRPr="00DF47F0" w:rsidRDefault="00DF47F0" w:rsidP="00DF47F0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Cīņa ar smago un organizēto noziedzību</w:t>
      </w:r>
    </w:p>
    <w:p w14:paraId="5389E236" w14:textId="7712F4B7" w:rsidR="00DF47F0" w:rsidRDefault="00EB09FF" w:rsidP="00EB09F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 politikas cikli cīņai ar smago un organizēto noziedzību tiek veidoti ik </w:t>
      </w:r>
      <w:r w:rsidR="008B7F97">
        <w:rPr>
          <w:sz w:val="28"/>
          <w:szCs w:val="28"/>
        </w:rPr>
        <w:t>pēc četriem</w:t>
      </w:r>
      <w:r>
        <w:rPr>
          <w:sz w:val="28"/>
          <w:szCs w:val="28"/>
        </w:rPr>
        <w:t xml:space="preserve"> gadiem, nosakot galvenās prioritātes, kuras balstās Eiropola veiktajā ES smagās un organizētās noziedzības draudu izvērtējumā un prezidentūras un Komisijas kopīgi izstrādātajā Politikas ieteikumu dokumentā.</w:t>
      </w:r>
    </w:p>
    <w:p w14:paraId="6BB80BAE" w14:textId="5EB6E10E" w:rsidR="00EB09FF" w:rsidRDefault="00EB09FF" w:rsidP="00EB09F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Pašreizējais ES politikas cikls noslēgsies šā gada beigās, līdz ar to nepieciešams noteikt prioritātes cīņai ar smago un organizēto noziedzību turpmākajiem</w:t>
      </w:r>
      <w:r w:rsidR="00A431E7">
        <w:rPr>
          <w:sz w:val="28"/>
          <w:szCs w:val="28"/>
        </w:rPr>
        <w:t xml:space="preserve"> </w:t>
      </w:r>
      <w:r w:rsidR="008B7F97">
        <w:rPr>
          <w:sz w:val="28"/>
          <w:szCs w:val="28"/>
        </w:rPr>
        <w:t>četriem</w:t>
      </w:r>
      <w:r>
        <w:rPr>
          <w:sz w:val="28"/>
          <w:szCs w:val="28"/>
        </w:rPr>
        <w:t xml:space="preserve"> gadiem, tas ir, 2018.</w:t>
      </w:r>
      <w:r w:rsidR="00836577">
        <w:rPr>
          <w:sz w:val="28"/>
          <w:szCs w:val="28"/>
        </w:rPr>
        <w:t>-</w:t>
      </w:r>
      <w:r>
        <w:rPr>
          <w:sz w:val="28"/>
          <w:szCs w:val="28"/>
        </w:rPr>
        <w:t xml:space="preserve"> 2021.</w:t>
      </w:r>
      <w:r w:rsidR="00836577">
        <w:rPr>
          <w:sz w:val="28"/>
          <w:szCs w:val="28"/>
        </w:rPr>
        <w:t xml:space="preserve"> </w:t>
      </w:r>
      <w:r>
        <w:rPr>
          <w:sz w:val="28"/>
          <w:szCs w:val="28"/>
        </w:rPr>
        <w:t>gadam.</w:t>
      </w:r>
    </w:p>
    <w:p w14:paraId="0EA4F8CB" w14:textId="0C72FC64" w:rsidR="00EB09FF" w:rsidRDefault="00EB09FF" w:rsidP="00EB09F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Padomes secinājumu projektā ir noteiktas astoņas specifiskas prioritātes (kibernoziegumi, narkotiku apkarošana, migrantu kontrabanda, organizētā noziedzība pret īpašumu, cilvēktirdzniecība, akcīzes krāpšana</w:t>
      </w:r>
      <w:r w:rsidR="008B7F97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“pazudušā tirgotāja” krāpnieciskās darbības, šaujamieroči un vides noziegumi), kā arī divas horizontālās prioritātes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noziedzīgi iegūti līdzekļi</w:t>
      </w:r>
      <w:r w:rsidR="00C93866">
        <w:rPr>
          <w:sz w:val="28"/>
          <w:szCs w:val="28"/>
        </w:rPr>
        <w:t xml:space="preserve">, </w:t>
      </w:r>
      <w:r>
        <w:rPr>
          <w:sz w:val="28"/>
          <w:szCs w:val="28"/>
        </w:rPr>
        <w:t>to legalizācija</w:t>
      </w:r>
      <w:r w:rsidR="00C93866">
        <w:rPr>
          <w:sz w:val="28"/>
          <w:szCs w:val="28"/>
        </w:rPr>
        <w:t xml:space="preserve"> un atgūšana</w:t>
      </w:r>
      <w:r w:rsidR="008B7F97">
        <w:rPr>
          <w:sz w:val="28"/>
          <w:szCs w:val="28"/>
        </w:rPr>
        <w:t>, kā arī</w:t>
      </w:r>
      <w:r>
        <w:rPr>
          <w:sz w:val="28"/>
          <w:szCs w:val="28"/>
        </w:rPr>
        <w:t xml:space="preserve"> dokumentu krāpniecība).</w:t>
      </w:r>
    </w:p>
    <w:p w14:paraId="69E92A7B" w14:textId="3DCEEA42" w:rsidR="0082291E" w:rsidRDefault="0082291E" w:rsidP="00EB09F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Padomes sanāksmē plānots apstiprināt Padomes secinājumus, kas noteiks tu</w:t>
      </w:r>
      <w:r w:rsidR="008B7F97">
        <w:rPr>
          <w:sz w:val="28"/>
          <w:szCs w:val="28"/>
        </w:rPr>
        <w:t>r</w:t>
      </w:r>
      <w:r>
        <w:rPr>
          <w:sz w:val="28"/>
          <w:szCs w:val="28"/>
        </w:rPr>
        <w:t>pmākās prioritātes cīņai ar smago un organizēto noziedzību.</w:t>
      </w:r>
    </w:p>
    <w:p w14:paraId="310FAD5E" w14:textId="77777777" w:rsidR="0082291E" w:rsidRDefault="0082291E" w:rsidP="00EB09FF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Dalībai sanāksmē ir sagatavota nacionālā pozīcija.</w:t>
      </w:r>
    </w:p>
    <w:p w14:paraId="417AAC37" w14:textId="77777777" w:rsidR="0082291E" w:rsidRDefault="0082291E" w:rsidP="0082291E">
      <w:pPr>
        <w:spacing w:line="240" w:lineRule="auto"/>
        <w:jc w:val="both"/>
        <w:rPr>
          <w:sz w:val="28"/>
          <w:szCs w:val="28"/>
        </w:rPr>
      </w:pPr>
    </w:p>
    <w:p w14:paraId="1A2D953F" w14:textId="77777777" w:rsidR="0082291E" w:rsidRPr="0082291E" w:rsidRDefault="0082291E" w:rsidP="0082291E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Efektīva atbildības un solidaritātes principu piemērošana</w:t>
      </w:r>
    </w:p>
    <w:p w14:paraId="61C34E81" w14:textId="2755BF21" w:rsidR="0082291E" w:rsidRDefault="0082291E" w:rsidP="0082291E">
      <w:pPr>
        <w:spacing w:line="240" w:lineRule="auto"/>
        <w:ind w:firstLine="720"/>
        <w:jc w:val="both"/>
        <w:rPr>
          <w:sz w:val="28"/>
          <w:szCs w:val="28"/>
        </w:rPr>
      </w:pPr>
      <w:r w:rsidRPr="0082291E">
        <w:rPr>
          <w:sz w:val="28"/>
          <w:szCs w:val="28"/>
        </w:rPr>
        <w:t>2016.</w:t>
      </w:r>
      <w:r w:rsidR="00836577">
        <w:rPr>
          <w:sz w:val="28"/>
          <w:szCs w:val="28"/>
        </w:rPr>
        <w:t xml:space="preserve"> </w:t>
      </w:r>
      <w:r w:rsidRPr="0082291E">
        <w:rPr>
          <w:sz w:val="28"/>
          <w:szCs w:val="28"/>
        </w:rPr>
        <w:t>gada maijā un jūlijā Eiropas Komisija nāca klajā ar divām tiesību aktu pakotnēm Kopējās Eiropas patvēruma sistēmas reformas īstenošanai, tostarp ar priekšlikumu Dublinas regulas grozījumiem, papildinot regulu ar nastas sadales</w:t>
      </w:r>
      <w:r>
        <w:rPr>
          <w:sz w:val="28"/>
          <w:szCs w:val="28"/>
        </w:rPr>
        <w:t xml:space="preserve"> jeb koriģējošo mehānismu, kas pie noteiktu kritēriju izpildes tiek īstenots</w:t>
      </w:r>
      <w:r w:rsidR="00A74CEE" w:rsidRPr="00A74CEE">
        <w:t xml:space="preserve"> </w:t>
      </w:r>
      <w:r w:rsidR="00A74CEE" w:rsidRPr="00A74CEE">
        <w:rPr>
          <w:sz w:val="28"/>
          <w:szCs w:val="28"/>
        </w:rPr>
        <w:t>automātiski</w:t>
      </w:r>
      <w:r>
        <w:rPr>
          <w:sz w:val="28"/>
          <w:szCs w:val="28"/>
        </w:rPr>
        <w:t>.</w:t>
      </w:r>
    </w:p>
    <w:p w14:paraId="1CA782AF" w14:textId="77777777" w:rsidR="0082291E" w:rsidRDefault="0082291E" w:rsidP="0082291E">
      <w:pPr>
        <w:spacing w:line="240" w:lineRule="auto"/>
        <w:ind w:firstLine="720"/>
        <w:jc w:val="both"/>
        <w:rPr>
          <w:sz w:val="28"/>
          <w:szCs w:val="28"/>
        </w:rPr>
      </w:pPr>
      <w:r w:rsidRPr="0082291E">
        <w:rPr>
          <w:sz w:val="28"/>
          <w:szCs w:val="28"/>
        </w:rPr>
        <w:t>Dalībvalstu diametrāli pretējo viedokļu rezultātā</w:t>
      </w:r>
      <w:r w:rsidR="00117FB6">
        <w:rPr>
          <w:rStyle w:val="FootnoteReference"/>
          <w:sz w:val="28"/>
          <w:szCs w:val="28"/>
        </w:rPr>
        <w:footnoteReference w:id="1"/>
      </w:r>
      <w:r w:rsidRPr="00822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līdz pat šim brīdim nav izdevies panākt kompromisu, kas būtu pieņemams abām pusēm. Gan Slovākijas, gan Maltas prezidentūra </w:t>
      </w:r>
      <w:r w:rsidR="009A6D7F">
        <w:rPr>
          <w:sz w:val="28"/>
          <w:szCs w:val="28"/>
        </w:rPr>
        <w:t xml:space="preserve">līdz šim ir </w:t>
      </w:r>
      <w:r>
        <w:rPr>
          <w:sz w:val="28"/>
          <w:szCs w:val="28"/>
        </w:rPr>
        <w:t>organizē</w:t>
      </w:r>
      <w:r w:rsidR="009A6D7F">
        <w:rPr>
          <w:sz w:val="28"/>
          <w:szCs w:val="28"/>
        </w:rPr>
        <w:t>jušas</w:t>
      </w:r>
      <w:r>
        <w:rPr>
          <w:sz w:val="28"/>
          <w:szCs w:val="28"/>
        </w:rPr>
        <w:t xml:space="preserve"> neformālas diskusijas, kuru laikā mēģin</w:t>
      </w:r>
      <w:r w:rsidR="009A6D7F">
        <w:rPr>
          <w:sz w:val="28"/>
          <w:szCs w:val="28"/>
        </w:rPr>
        <w:t>ājušas</w:t>
      </w:r>
      <w:r>
        <w:rPr>
          <w:sz w:val="28"/>
          <w:szCs w:val="28"/>
        </w:rPr>
        <w:t xml:space="preserve"> noskaidrot iespējamos kompromisus</w:t>
      </w:r>
      <w:r w:rsidR="009A6D7F">
        <w:rPr>
          <w:sz w:val="28"/>
          <w:szCs w:val="28"/>
        </w:rPr>
        <w:t xml:space="preserve">, </w:t>
      </w:r>
      <w:r w:rsidR="009A6D7F">
        <w:rPr>
          <w:sz w:val="28"/>
          <w:szCs w:val="28"/>
        </w:rPr>
        <w:lastRenderedPageBreak/>
        <w:t>formālas diskusijas atliekot.</w:t>
      </w:r>
    </w:p>
    <w:p w14:paraId="614D228D" w14:textId="77777777" w:rsidR="009A6D7F" w:rsidRDefault="009A6D7F" w:rsidP="0082291E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Padomes sanāksmē ministri tiks informēti par pašreizējo situāciju saistībā ar atbildības un solidaritātes principu piemērošanu.</w:t>
      </w:r>
    </w:p>
    <w:p w14:paraId="67337727" w14:textId="77777777" w:rsidR="009A6D7F" w:rsidRDefault="009A6D7F" w:rsidP="0082291E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Jauna pozīcija netiks gatavota. Latvijas viedoklis atbilst līdz šim apstiprinātajām Latvijas pozīcijām migrācijas un patvēruma jomā.</w:t>
      </w:r>
    </w:p>
    <w:p w14:paraId="3C6EFDA4" w14:textId="77777777" w:rsidR="004C0897" w:rsidRDefault="004C0897" w:rsidP="009A6D7F">
      <w:pPr>
        <w:spacing w:line="240" w:lineRule="auto"/>
        <w:jc w:val="both"/>
        <w:rPr>
          <w:b/>
          <w:sz w:val="28"/>
          <w:szCs w:val="28"/>
          <w:u w:val="single"/>
        </w:rPr>
      </w:pPr>
    </w:p>
    <w:p w14:paraId="09055AB1" w14:textId="77777777" w:rsidR="009A6D7F" w:rsidRPr="004C0897" w:rsidRDefault="009A6D7F" w:rsidP="009A6D7F">
      <w:pPr>
        <w:spacing w:line="240" w:lineRule="auto"/>
        <w:jc w:val="both"/>
        <w:rPr>
          <w:sz w:val="28"/>
          <w:szCs w:val="28"/>
        </w:rPr>
      </w:pPr>
      <w:r w:rsidRPr="004C0897">
        <w:rPr>
          <w:b/>
          <w:sz w:val="28"/>
          <w:szCs w:val="28"/>
          <w:u w:val="single"/>
        </w:rPr>
        <w:t>Latvijas viedoklis</w:t>
      </w:r>
      <w:r w:rsidRPr="004C0897">
        <w:rPr>
          <w:sz w:val="28"/>
          <w:szCs w:val="28"/>
        </w:rPr>
        <w:t>:</w:t>
      </w:r>
    </w:p>
    <w:p w14:paraId="2D74F12C" w14:textId="0FF8196A" w:rsidR="009A6D7F" w:rsidRPr="004C0897" w:rsidRDefault="009A6D7F" w:rsidP="009A6D7F">
      <w:pPr>
        <w:spacing w:before="120" w:after="120" w:line="240" w:lineRule="auto"/>
        <w:jc w:val="both"/>
        <w:rPr>
          <w:bCs/>
          <w:i/>
          <w:sz w:val="28"/>
          <w:szCs w:val="28"/>
        </w:rPr>
      </w:pPr>
      <w:r w:rsidRPr="004C0897">
        <w:rPr>
          <w:bCs/>
          <w:i/>
          <w:sz w:val="28"/>
          <w:szCs w:val="28"/>
        </w:rPr>
        <w:t xml:space="preserve">Latvija piekrīt, ka </w:t>
      </w:r>
      <w:r w:rsidRPr="004C0897">
        <w:rPr>
          <w:b/>
          <w:bCs/>
          <w:i/>
          <w:sz w:val="28"/>
          <w:szCs w:val="28"/>
        </w:rPr>
        <w:t>solidaritāte un atbildība</w:t>
      </w:r>
      <w:r w:rsidRPr="004C0897">
        <w:rPr>
          <w:bCs/>
          <w:i/>
          <w:sz w:val="28"/>
          <w:szCs w:val="28"/>
        </w:rPr>
        <w:t xml:space="preserve"> ir ES migrācijas un patvēruma politiku </w:t>
      </w:r>
      <w:r w:rsidRPr="004C0897">
        <w:rPr>
          <w:b/>
          <w:bCs/>
          <w:i/>
          <w:sz w:val="28"/>
          <w:szCs w:val="28"/>
        </w:rPr>
        <w:t>stūrakmens</w:t>
      </w:r>
      <w:r w:rsidRPr="004C0897">
        <w:rPr>
          <w:bCs/>
          <w:i/>
          <w:sz w:val="28"/>
          <w:szCs w:val="28"/>
        </w:rPr>
        <w:t>, turklāt abi principi ir nesaraujami saistīti viens ar otru.</w:t>
      </w:r>
    </w:p>
    <w:p w14:paraId="7A54F9A6" w14:textId="77777777" w:rsidR="009A6D7F" w:rsidRPr="004C0897" w:rsidRDefault="009A6D7F" w:rsidP="009A6D7F">
      <w:pPr>
        <w:spacing w:before="120" w:after="120" w:line="240" w:lineRule="auto"/>
        <w:jc w:val="both"/>
        <w:rPr>
          <w:bCs/>
          <w:i/>
          <w:sz w:val="28"/>
          <w:szCs w:val="28"/>
        </w:rPr>
      </w:pPr>
      <w:r w:rsidRPr="004C0897">
        <w:rPr>
          <w:bCs/>
          <w:i/>
          <w:sz w:val="28"/>
          <w:szCs w:val="28"/>
        </w:rPr>
        <w:t xml:space="preserve">Latvija piekrīt nepieciešamībai veidot solidaritātes ietvaru un uzskata, ka šādam </w:t>
      </w:r>
      <w:r w:rsidRPr="004C0897">
        <w:rPr>
          <w:b/>
          <w:bCs/>
          <w:i/>
          <w:sz w:val="28"/>
          <w:szCs w:val="28"/>
        </w:rPr>
        <w:t>ietvaram ir jābūt</w:t>
      </w:r>
      <w:r w:rsidRPr="004C0897">
        <w:rPr>
          <w:bCs/>
          <w:i/>
          <w:sz w:val="28"/>
          <w:szCs w:val="28"/>
        </w:rPr>
        <w:t xml:space="preserve"> pēc iespējas </w:t>
      </w:r>
      <w:r w:rsidRPr="004C0897">
        <w:rPr>
          <w:b/>
          <w:bCs/>
          <w:i/>
          <w:sz w:val="28"/>
          <w:szCs w:val="28"/>
        </w:rPr>
        <w:t>elastīgākam, viegli pielāgojamam</w:t>
      </w:r>
      <w:r w:rsidRPr="004C0897">
        <w:rPr>
          <w:bCs/>
          <w:i/>
          <w:sz w:val="28"/>
          <w:szCs w:val="28"/>
        </w:rPr>
        <w:t xml:space="preserve"> konkrētajai situācijai, lai atbalsta pasākumi tieši atbilstu konkrētās dalībvalsts, kas saskārusies ar ārkārtas un neproporcionālu personu pieplūdumu, vajadzībām. Latvija vēl aizvien uzskata, ka </w:t>
      </w:r>
      <w:r w:rsidR="004C0897" w:rsidRPr="004C0897">
        <w:rPr>
          <w:bCs/>
          <w:i/>
          <w:sz w:val="28"/>
          <w:szCs w:val="28"/>
        </w:rPr>
        <w:t xml:space="preserve">solidaritātes pasākumi </w:t>
      </w:r>
      <w:r w:rsidR="004C0897" w:rsidRPr="004C0897">
        <w:rPr>
          <w:b/>
          <w:bCs/>
          <w:i/>
          <w:sz w:val="28"/>
          <w:szCs w:val="28"/>
        </w:rPr>
        <w:t>nevar būt automātisks un matemātisks</w:t>
      </w:r>
      <w:r w:rsidR="004C0897" w:rsidRPr="004C0897">
        <w:rPr>
          <w:bCs/>
          <w:i/>
          <w:sz w:val="28"/>
          <w:szCs w:val="28"/>
        </w:rPr>
        <w:t xml:space="preserve"> vingrinājums un </w:t>
      </w:r>
      <w:r w:rsidRPr="004C0897">
        <w:rPr>
          <w:b/>
          <w:bCs/>
          <w:i/>
          <w:sz w:val="28"/>
          <w:szCs w:val="28"/>
        </w:rPr>
        <w:t xml:space="preserve">dalība </w:t>
      </w:r>
      <w:r w:rsidR="004C0897" w:rsidRPr="004C0897">
        <w:rPr>
          <w:bCs/>
          <w:i/>
          <w:sz w:val="28"/>
          <w:szCs w:val="28"/>
        </w:rPr>
        <w:t>tajos</w:t>
      </w:r>
      <w:r w:rsidRPr="004C0897">
        <w:rPr>
          <w:b/>
          <w:bCs/>
          <w:i/>
          <w:sz w:val="28"/>
          <w:szCs w:val="28"/>
        </w:rPr>
        <w:t xml:space="preserve"> </w:t>
      </w:r>
      <w:r w:rsidRPr="004C0897">
        <w:rPr>
          <w:bCs/>
          <w:i/>
          <w:sz w:val="28"/>
          <w:szCs w:val="28"/>
        </w:rPr>
        <w:t xml:space="preserve">var tikt īstenota tikai uz </w:t>
      </w:r>
      <w:r w:rsidRPr="004C0897">
        <w:rPr>
          <w:b/>
          <w:bCs/>
          <w:i/>
          <w:sz w:val="28"/>
          <w:szCs w:val="28"/>
        </w:rPr>
        <w:t>brīvprātības</w:t>
      </w:r>
      <w:r w:rsidRPr="004C0897">
        <w:rPr>
          <w:bCs/>
          <w:i/>
          <w:sz w:val="28"/>
          <w:szCs w:val="28"/>
        </w:rPr>
        <w:t xml:space="preserve"> pamatiem.</w:t>
      </w:r>
    </w:p>
    <w:p w14:paraId="28FA5F40" w14:textId="77777777" w:rsidR="009A6D7F" w:rsidRPr="004C0897" w:rsidRDefault="009A6D7F" w:rsidP="009A6D7F">
      <w:pPr>
        <w:spacing w:line="240" w:lineRule="auto"/>
        <w:jc w:val="both"/>
        <w:rPr>
          <w:i/>
          <w:sz w:val="28"/>
          <w:szCs w:val="28"/>
        </w:rPr>
      </w:pPr>
      <w:r w:rsidRPr="004C0897">
        <w:rPr>
          <w:bCs/>
          <w:i/>
          <w:sz w:val="28"/>
          <w:szCs w:val="28"/>
        </w:rPr>
        <w:t xml:space="preserve">Latvijas vērtējumā svarīgi ir nodrošināt </w:t>
      </w:r>
      <w:r w:rsidRPr="004C0897">
        <w:rPr>
          <w:b/>
          <w:bCs/>
          <w:i/>
          <w:sz w:val="28"/>
          <w:szCs w:val="28"/>
        </w:rPr>
        <w:t>visaptverošu pieeju</w:t>
      </w:r>
      <w:r w:rsidRPr="004C0897">
        <w:rPr>
          <w:bCs/>
          <w:i/>
          <w:sz w:val="28"/>
          <w:szCs w:val="28"/>
        </w:rPr>
        <w:t xml:space="preserve">, lai migrācijas plūsmas apturētu pirms ES robežas. Šajā kontekstā būtiski ir turpināt </w:t>
      </w:r>
      <w:r w:rsidRPr="004C0897">
        <w:rPr>
          <w:b/>
          <w:bCs/>
          <w:i/>
          <w:sz w:val="28"/>
          <w:szCs w:val="28"/>
        </w:rPr>
        <w:t>stiprināt ārējo robežu pārvaldību</w:t>
      </w:r>
      <w:r w:rsidRPr="004C0897">
        <w:rPr>
          <w:bCs/>
          <w:i/>
          <w:sz w:val="28"/>
          <w:szCs w:val="28"/>
        </w:rPr>
        <w:t xml:space="preserve">. Tāpat ir jāpieliek maksimālas pūles </w:t>
      </w:r>
      <w:r w:rsidRPr="004C0897">
        <w:rPr>
          <w:b/>
          <w:bCs/>
          <w:i/>
          <w:sz w:val="28"/>
          <w:szCs w:val="28"/>
        </w:rPr>
        <w:t>efektīvas atgriešanas politikas īstenošanā</w:t>
      </w:r>
      <w:r w:rsidRPr="004C0897">
        <w:rPr>
          <w:bCs/>
          <w:i/>
          <w:sz w:val="28"/>
          <w:szCs w:val="28"/>
        </w:rPr>
        <w:t xml:space="preserve">, tādējādi mazinot pull faktorus. Nozīmīga loma ir arī efektīvai </w:t>
      </w:r>
      <w:r w:rsidRPr="004C0897">
        <w:rPr>
          <w:b/>
          <w:bCs/>
          <w:i/>
          <w:sz w:val="28"/>
          <w:szCs w:val="28"/>
        </w:rPr>
        <w:t xml:space="preserve">sadarbībai </w:t>
      </w:r>
      <w:r w:rsidRPr="004C0897">
        <w:rPr>
          <w:bCs/>
          <w:i/>
          <w:sz w:val="28"/>
          <w:szCs w:val="28"/>
        </w:rPr>
        <w:t xml:space="preserve">ar galvenajām </w:t>
      </w:r>
      <w:r w:rsidRPr="004C0897">
        <w:rPr>
          <w:b/>
          <w:bCs/>
          <w:i/>
          <w:sz w:val="28"/>
          <w:szCs w:val="28"/>
        </w:rPr>
        <w:t>migrantu izcelsmes un tranzīta valstīm</w:t>
      </w:r>
      <w:r w:rsidR="004C0897" w:rsidRPr="004C0897">
        <w:rPr>
          <w:bCs/>
          <w:i/>
          <w:sz w:val="27"/>
          <w:szCs w:val="27"/>
        </w:rPr>
        <w:t xml:space="preserve"> </w:t>
      </w:r>
      <w:r w:rsidR="004C0897" w:rsidRPr="004C0897">
        <w:rPr>
          <w:bCs/>
          <w:i/>
          <w:sz w:val="28"/>
          <w:szCs w:val="28"/>
        </w:rPr>
        <w:t xml:space="preserve">un </w:t>
      </w:r>
      <w:r w:rsidR="004C0897" w:rsidRPr="004C0897">
        <w:rPr>
          <w:b/>
          <w:bCs/>
          <w:i/>
          <w:sz w:val="28"/>
          <w:szCs w:val="28"/>
        </w:rPr>
        <w:t>stratēģiskai komunikācijai</w:t>
      </w:r>
      <w:r w:rsidR="004C0897" w:rsidRPr="004C0897">
        <w:rPr>
          <w:bCs/>
          <w:i/>
          <w:sz w:val="28"/>
          <w:szCs w:val="28"/>
        </w:rPr>
        <w:t xml:space="preserve"> galvenajos migrantu tranzītpunktos, lai neradītu cilvēkos veltas cerības.</w:t>
      </w:r>
    </w:p>
    <w:p w14:paraId="2824DD2A" w14:textId="77777777" w:rsidR="0082291E" w:rsidRDefault="0082291E" w:rsidP="0082291E">
      <w:pPr>
        <w:spacing w:line="240" w:lineRule="auto"/>
        <w:ind w:left="720"/>
        <w:jc w:val="both"/>
        <w:rPr>
          <w:sz w:val="28"/>
          <w:szCs w:val="28"/>
        </w:rPr>
      </w:pPr>
    </w:p>
    <w:p w14:paraId="29454F9A" w14:textId="77777777" w:rsidR="004C0897" w:rsidRPr="006055EC" w:rsidRDefault="004C0897" w:rsidP="004C0897">
      <w:pPr>
        <w:spacing w:line="240" w:lineRule="auto"/>
        <w:jc w:val="center"/>
        <w:rPr>
          <w:b/>
          <w:sz w:val="28"/>
          <w:szCs w:val="28"/>
        </w:rPr>
      </w:pPr>
      <w:r w:rsidRPr="006055EC">
        <w:rPr>
          <w:b/>
          <w:sz w:val="28"/>
          <w:szCs w:val="28"/>
        </w:rPr>
        <w:t>II. Latvijas delegācija</w:t>
      </w:r>
    </w:p>
    <w:p w14:paraId="630B9B63" w14:textId="77777777" w:rsidR="004C0897" w:rsidRPr="006055EC" w:rsidRDefault="004C0897" w:rsidP="004C0897">
      <w:pPr>
        <w:spacing w:line="240" w:lineRule="auto"/>
        <w:jc w:val="center"/>
        <w:rPr>
          <w:b/>
          <w:sz w:val="28"/>
          <w:szCs w:val="28"/>
        </w:rPr>
      </w:pPr>
    </w:p>
    <w:p w14:paraId="4F551A01" w14:textId="77777777" w:rsidR="004C0897" w:rsidRPr="006055EC" w:rsidRDefault="004C0897" w:rsidP="004C0897">
      <w:pPr>
        <w:spacing w:line="240" w:lineRule="auto"/>
        <w:ind w:firstLine="567"/>
        <w:jc w:val="both"/>
        <w:rPr>
          <w:sz w:val="28"/>
          <w:szCs w:val="28"/>
        </w:rPr>
      </w:pPr>
      <w:r w:rsidRPr="006055EC">
        <w:rPr>
          <w:sz w:val="28"/>
          <w:szCs w:val="28"/>
        </w:rPr>
        <w:t xml:space="preserve">Latvijas delegāciju Padomes sanāksmes laikā vadīs </w:t>
      </w:r>
      <w:r>
        <w:rPr>
          <w:sz w:val="28"/>
          <w:szCs w:val="28"/>
        </w:rPr>
        <w:t xml:space="preserve">iekšlietu ministrs Rihards </w:t>
      </w:r>
      <w:r w:rsidRPr="006055EC">
        <w:rPr>
          <w:sz w:val="28"/>
          <w:szCs w:val="28"/>
        </w:rPr>
        <w:t>Kozlovskis.</w:t>
      </w:r>
    </w:p>
    <w:p w14:paraId="386F1C3D" w14:textId="77777777" w:rsidR="00380A37" w:rsidRDefault="00380A37" w:rsidP="004C0897">
      <w:pPr>
        <w:spacing w:line="240" w:lineRule="auto"/>
        <w:jc w:val="both"/>
        <w:rPr>
          <w:sz w:val="28"/>
          <w:szCs w:val="28"/>
        </w:rPr>
      </w:pPr>
    </w:p>
    <w:p w14:paraId="613000C0" w14:textId="77777777" w:rsidR="004C0897" w:rsidRDefault="004C0897" w:rsidP="004C0897">
      <w:pPr>
        <w:spacing w:line="240" w:lineRule="auto"/>
        <w:jc w:val="both"/>
        <w:rPr>
          <w:sz w:val="28"/>
          <w:szCs w:val="28"/>
        </w:rPr>
      </w:pPr>
    </w:p>
    <w:p w14:paraId="0999C26F" w14:textId="6C6B2B75" w:rsidR="004C0897" w:rsidRDefault="004C0897" w:rsidP="004C089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A37">
        <w:rPr>
          <w:sz w:val="28"/>
          <w:szCs w:val="28"/>
        </w:rPr>
        <w:t xml:space="preserve">Rihards </w:t>
      </w:r>
      <w:r>
        <w:rPr>
          <w:sz w:val="28"/>
          <w:szCs w:val="28"/>
        </w:rPr>
        <w:t>Kozlovskis</w:t>
      </w:r>
    </w:p>
    <w:p w14:paraId="6AC4D963" w14:textId="77777777" w:rsidR="004C0897" w:rsidRDefault="004C0897" w:rsidP="004C0897">
      <w:pPr>
        <w:spacing w:line="240" w:lineRule="auto"/>
        <w:jc w:val="both"/>
        <w:rPr>
          <w:sz w:val="28"/>
          <w:szCs w:val="28"/>
        </w:rPr>
      </w:pPr>
    </w:p>
    <w:p w14:paraId="199B2009" w14:textId="77777777" w:rsidR="00380A37" w:rsidRDefault="00380A37" w:rsidP="004C0897">
      <w:pPr>
        <w:spacing w:line="240" w:lineRule="auto"/>
        <w:jc w:val="both"/>
        <w:rPr>
          <w:sz w:val="20"/>
        </w:rPr>
      </w:pPr>
    </w:p>
    <w:p w14:paraId="6F28C4DF" w14:textId="77777777" w:rsidR="00380A37" w:rsidRDefault="00380A37" w:rsidP="004C0897">
      <w:pPr>
        <w:spacing w:line="240" w:lineRule="auto"/>
        <w:jc w:val="both"/>
        <w:rPr>
          <w:sz w:val="20"/>
        </w:rPr>
      </w:pPr>
    </w:p>
    <w:p w14:paraId="0A15836B" w14:textId="77777777" w:rsidR="00380A37" w:rsidRDefault="00380A37" w:rsidP="004C0897">
      <w:pPr>
        <w:spacing w:line="240" w:lineRule="auto"/>
        <w:jc w:val="both"/>
        <w:rPr>
          <w:sz w:val="20"/>
        </w:rPr>
      </w:pPr>
    </w:p>
    <w:p w14:paraId="765F62A1" w14:textId="77777777" w:rsidR="00380A37" w:rsidRDefault="00380A37" w:rsidP="004C0897">
      <w:pPr>
        <w:spacing w:line="240" w:lineRule="auto"/>
        <w:jc w:val="both"/>
        <w:rPr>
          <w:sz w:val="20"/>
        </w:rPr>
      </w:pPr>
    </w:p>
    <w:p w14:paraId="4457B49F" w14:textId="77777777" w:rsidR="00380A37" w:rsidRDefault="00380A37" w:rsidP="004C0897">
      <w:pPr>
        <w:spacing w:line="240" w:lineRule="auto"/>
        <w:jc w:val="both"/>
        <w:rPr>
          <w:sz w:val="20"/>
        </w:rPr>
      </w:pPr>
    </w:p>
    <w:p w14:paraId="73B91498" w14:textId="4510AA74" w:rsidR="00380A37" w:rsidRDefault="004C76A9" w:rsidP="004C0897">
      <w:pPr>
        <w:spacing w:line="240" w:lineRule="auto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CREATEDATE  \@ "dd.MM.yyyy. H:mm"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15.05.2017. 7:22</w:t>
      </w:r>
      <w:r>
        <w:rPr>
          <w:sz w:val="20"/>
        </w:rPr>
        <w:fldChar w:fldCharType="end"/>
      </w:r>
    </w:p>
    <w:p w14:paraId="55D68606" w14:textId="5FA6C27D" w:rsidR="00F91AD1" w:rsidRDefault="00F91AD1" w:rsidP="004C0897">
      <w:pPr>
        <w:spacing w:line="240" w:lineRule="auto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171F63">
        <w:rPr>
          <w:noProof/>
          <w:sz w:val="20"/>
        </w:rPr>
        <w:t>488</w:t>
      </w:r>
      <w:r>
        <w:rPr>
          <w:sz w:val="20"/>
        </w:rPr>
        <w:fldChar w:fldCharType="end"/>
      </w:r>
    </w:p>
    <w:p w14:paraId="127D3EBE" w14:textId="77777777" w:rsidR="0094143C" w:rsidRDefault="0094143C" w:rsidP="004C0897">
      <w:pPr>
        <w:spacing w:line="240" w:lineRule="auto"/>
        <w:jc w:val="both"/>
        <w:rPr>
          <w:sz w:val="20"/>
        </w:rPr>
      </w:pPr>
      <w:r>
        <w:rPr>
          <w:sz w:val="20"/>
        </w:rPr>
        <w:t>Eiropas lietu un starptautiskās sadarbības departamenta</w:t>
      </w:r>
    </w:p>
    <w:p w14:paraId="3C1C12CD" w14:textId="107211AC" w:rsidR="0094143C" w:rsidRDefault="0094143C" w:rsidP="004C0897">
      <w:pPr>
        <w:spacing w:line="240" w:lineRule="auto"/>
        <w:jc w:val="both"/>
        <w:rPr>
          <w:sz w:val="20"/>
        </w:rPr>
      </w:pPr>
      <w:r>
        <w:rPr>
          <w:sz w:val="20"/>
        </w:rPr>
        <w:t>Eiropas lietu nodaļas vadītāja</w:t>
      </w:r>
    </w:p>
    <w:p w14:paraId="423AF638" w14:textId="1C0A18CB" w:rsidR="004C0897" w:rsidRDefault="004C0897" w:rsidP="004C0897">
      <w:pPr>
        <w:spacing w:line="240" w:lineRule="auto"/>
        <w:jc w:val="both"/>
        <w:rPr>
          <w:sz w:val="20"/>
        </w:rPr>
      </w:pPr>
      <w:r>
        <w:rPr>
          <w:sz w:val="20"/>
        </w:rPr>
        <w:t>I.Muceniece</w:t>
      </w:r>
    </w:p>
    <w:p w14:paraId="6B04A5C5" w14:textId="77777777" w:rsidR="004C0897" w:rsidRDefault="004C0897" w:rsidP="004C0897">
      <w:pPr>
        <w:spacing w:line="240" w:lineRule="auto"/>
        <w:jc w:val="both"/>
        <w:rPr>
          <w:sz w:val="20"/>
        </w:rPr>
      </w:pPr>
      <w:r>
        <w:rPr>
          <w:sz w:val="20"/>
        </w:rPr>
        <w:t>67219170</w:t>
      </w:r>
    </w:p>
    <w:p w14:paraId="2C587832" w14:textId="77777777" w:rsidR="004C0897" w:rsidRPr="004C0897" w:rsidRDefault="00DC2C50" w:rsidP="004C0897">
      <w:pPr>
        <w:spacing w:line="240" w:lineRule="auto"/>
        <w:jc w:val="both"/>
        <w:rPr>
          <w:sz w:val="20"/>
        </w:rPr>
      </w:pPr>
      <w:hyperlink r:id="rId8" w:history="1">
        <w:r w:rsidR="004C0897" w:rsidRPr="002B115C">
          <w:rPr>
            <w:rStyle w:val="Hyperlink"/>
            <w:sz w:val="20"/>
          </w:rPr>
          <w:t>iveta.muceniece@iem.gov.lv</w:t>
        </w:r>
      </w:hyperlink>
      <w:r w:rsidR="004C0897">
        <w:rPr>
          <w:sz w:val="20"/>
        </w:rPr>
        <w:t xml:space="preserve"> </w:t>
      </w:r>
    </w:p>
    <w:sectPr w:rsidR="004C0897" w:rsidRPr="004C0897" w:rsidSect="009414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E9211" w14:textId="77777777" w:rsidR="00DC2C50" w:rsidRDefault="00DC2C50" w:rsidP="004C0897">
      <w:pPr>
        <w:spacing w:line="240" w:lineRule="auto"/>
      </w:pPr>
      <w:r>
        <w:separator/>
      </w:r>
    </w:p>
  </w:endnote>
  <w:endnote w:type="continuationSeparator" w:id="0">
    <w:p w14:paraId="4C6D7955" w14:textId="77777777" w:rsidR="00DC2C50" w:rsidRDefault="00DC2C50" w:rsidP="004C0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937EF" w14:textId="4CF23F27" w:rsidR="004C0897" w:rsidRDefault="004C0897" w:rsidP="006F1016">
    <w:pPr>
      <w:pStyle w:val="Footer"/>
      <w:spacing w:before="120"/>
      <w:jc w:val="both"/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171F63">
      <w:rPr>
        <w:i/>
        <w:iCs/>
        <w:noProof/>
        <w:sz w:val="20"/>
      </w:rPr>
      <w:t>IEMzino_130517</w:t>
    </w:r>
    <w:r>
      <w:rPr>
        <w:i/>
        <w:iCs/>
        <w:sz w:val="20"/>
      </w:rPr>
      <w:fldChar w:fldCharType="end"/>
    </w:r>
    <w:r w:rsidRPr="004342B2">
      <w:rPr>
        <w:i/>
        <w:iCs/>
        <w:sz w:val="20"/>
      </w:rPr>
      <w:t xml:space="preserve">; </w:t>
    </w:r>
    <w:r w:rsidR="006F1016">
      <w:rPr>
        <w:i/>
        <w:iCs/>
        <w:sz w:val="20"/>
      </w:rPr>
      <w:t xml:space="preserve">Informatīvais ziņojums </w:t>
    </w:r>
    <w:r w:rsidR="0094143C" w:rsidRPr="0094143C">
      <w:rPr>
        <w:i/>
        <w:iCs/>
        <w:sz w:val="20"/>
      </w:rPr>
      <w:t>par Eiropas Savienības Tieslietu un iekšlietu ministru padomes 2017. gada 18. maija sanāksmē iekļautajiem jautājumiem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B045" w14:textId="6FE6F279" w:rsidR="006F1016" w:rsidRPr="006F1016" w:rsidRDefault="006F1016" w:rsidP="006F1016">
    <w:pPr>
      <w:pStyle w:val="Footer"/>
      <w:jc w:val="both"/>
      <w:rPr>
        <w:i/>
        <w:sz w:val="20"/>
      </w:rPr>
    </w:pPr>
    <w:r w:rsidRPr="006F1016">
      <w:rPr>
        <w:i/>
        <w:sz w:val="20"/>
      </w:rPr>
      <w:fldChar w:fldCharType="begin"/>
    </w:r>
    <w:r w:rsidRPr="006F1016">
      <w:rPr>
        <w:i/>
        <w:sz w:val="20"/>
      </w:rPr>
      <w:instrText xml:space="preserve"> FILENAME   \* MERGEFORMAT </w:instrText>
    </w:r>
    <w:r w:rsidRPr="006F1016">
      <w:rPr>
        <w:i/>
        <w:sz w:val="20"/>
      </w:rPr>
      <w:fldChar w:fldCharType="separate"/>
    </w:r>
    <w:r w:rsidR="00171F63">
      <w:rPr>
        <w:i/>
        <w:noProof/>
        <w:sz w:val="20"/>
      </w:rPr>
      <w:t>IEMzino_130517</w:t>
    </w:r>
    <w:r w:rsidRPr="006F1016">
      <w:rPr>
        <w:i/>
        <w:sz w:val="20"/>
      </w:rPr>
      <w:fldChar w:fldCharType="end"/>
    </w:r>
    <w:r w:rsidRPr="006F1016">
      <w:rPr>
        <w:i/>
        <w:sz w:val="20"/>
      </w:rPr>
      <w:t>; Informatīvais ziņojums par Eiropas Savienības Tieslietu un iekšlietu ministru padomes 2017. gada 18. maija sanāksmē iekļautajiem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BB80E" w14:textId="77777777" w:rsidR="00DC2C50" w:rsidRDefault="00DC2C50" w:rsidP="004C0897">
      <w:pPr>
        <w:spacing w:line="240" w:lineRule="auto"/>
      </w:pPr>
      <w:r>
        <w:separator/>
      </w:r>
    </w:p>
  </w:footnote>
  <w:footnote w:type="continuationSeparator" w:id="0">
    <w:p w14:paraId="46397B98" w14:textId="77777777" w:rsidR="00DC2C50" w:rsidRDefault="00DC2C50" w:rsidP="004C0897">
      <w:pPr>
        <w:spacing w:line="240" w:lineRule="auto"/>
      </w:pPr>
      <w:r>
        <w:continuationSeparator/>
      </w:r>
    </w:p>
  </w:footnote>
  <w:footnote w:id="1">
    <w:p w14:paraId="614787C8" w14:textId="45069C43" w:rsidR="00117FB6" w:rsidRDefault="00117FB6" w:rsidP="00117FB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Daļa dalībvalstu atbalsta automātisku patvēruma meklētāju pārsūtīšanu uz citām dalībvalstīm pie noteiktu kritēriju izpildes. Savukārt daļa dalībvalstu neatbalsta automātisku un matemātisku aprēķinu un dalībv</w:t>
      </w:r>
      <w:r w:rsidR="00396E58">
        <w:t>a</w:t>
      </w:r>
      <w:r>
        <w:t>lstu obligāto pienākumu piedalīties patvēruma meklētāju pārvietošanā.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0287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99B180" w14:textId="15EBF240" w:rsidR="0094143C" w:rsidRDefault="009414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3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C92AF" w14:textId="740A2276" w:rsidR="0094143C" w:rsidRPr="0094143C" w:rsidRDefault="0094143C" w:rsidP="0094143C">
    <w:pPr>
      <w:pStyle w:val="Header"/>
      <w:jc w:val="right"/>
      <w:rPr>
        <w:i/>
      </w:rPr>
    </w:pPr>
    <w:r>
      <w:rPr>
        <w:i/>
      </w:rPr>
      <w:t>Pielikums Nr.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696C2" w14:textId="55A347E6" w:rsidR="0094143C" w:rsidRPr="0094143C" w:rsidRDefault="0094143C" w:rsidP="0094143C">
    <w:pPr>
      <w:pStyle w:val="Header"/>
      <w:jc w:val="right"/>
      <w:rPr>
        <w:i/>
      </w:rPr>
    </w:pPr>
    <w:r>
      <w:rPr>
        <w:i/>
      </w:rPr>
      <w:t>Pielikums Nr.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F6DFC"/>
    <w:multiLevelType w:val="hybridMultilevel"/>
    <w:tmpl w:val="63B8075C"/>
    <w:lvl w:ilvl="0" w:tplc="90BC057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F0"/>
    <w:rsid w:val="00082394"/>
    <w:rsid w:val="00117FB6"/>
    <w:rsid w:val="001323CC"/>
    <w:rsid w:val="00171F63"/>
    <w:rsid w:val="002E5FC3"/>
    <w:rsid w:val="00327AE5"/>
    <w:rsid w:val="00380A37"/>
    <w:rsid w:val="00396E58"/>
    <w:rsid w:val="004C0897"/>
    <w:rsid w:val="004C76A9"/>
    <w:rsid w:val="005E5997"/>
    <w:rsid w:val="006F1016"/>
    <w:rsid w:val="00780408"/>
    <w:rsid w:val="00785F8B"/>
    <w:rsid w:val="007E3874"/>
    <w:rsid w:val="0082291E"/>
    <w:rsid w:val="00836577"/>
    <w:rsid w:val="00882CE3"/>
    <w:rsid w:val="008B139E"/>
    <w:rsid w:val="008B7F97"/>
    <w:rsid w:val="0094143C"/>
    <w:rsid w:val="00981DA7"/>
    <w:rsid w:val="009A6D7F"/>
    <w:rsid w:val="00A431E7"/>
    <w:rsid w:val="00A74CEE"/>
    <w:rsid w:val="00B914F0"/>
    <w:rsid w:val="00C93866"/>
    <w:rsid w:val="00DC2C50"/>
    <w:rsid w:val="00DF47F0"/>
    <w:rsid w:val="00EB09FF"/>
    <w:rsid w:val="00EF4B0B"/>
    <w:rsid w:val="00F91AD1"/>
    <w:rsid w:val="00F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ABBC"/>
  <w15:chartTrackingRefBased/>
  <w15:docId w15:val="{E59091DB-6807-48D4-A7FD-509AF016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7F0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8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97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styleId="Footer">
    <w:name w:val="footer"/>
    <w:basedOn w:val="Normal"/>
    <w:link w:val="FooterChar"/>
    <w:uiPriority w:val="99"/>
    <w:unhideWhenUsed/>
    <w:rsid w:val="004C08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97"/>
    <w:rPr>
      <w:rFonts w:ascii="Times New Roman" w:eastAsia="Times New Roman" w:hAnsi="Times New Roman" w:cs="Times New Roman"/>
      <w:sz w:val="24"/>
      <w:szCs w:val="20"/>
      <w:lang w:eastAsia="fr-BE"/>
    </w:rPr>
  </w:style>
  <w:style w:type="character" w:styleId="Hyperlink">
    <w:name w:val="Hyperlink"/>
    <w:basedOn w:val="DefaultParagraphFont"/>
    <w:uiPriority w:val="99"/>
    <w:unhideWhenUsed/>
    <w:rsid w:val="004C089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7FB6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FB6"/>
    <w:rPr>
      <w:rFonts w:ascii="Times New Roman" w:eastAsia="Times New Roman" w:hAnsi="Times New Roman" w:cs="Times New Roman"/>
      <w:sz w:val="20"/>
      <w:szCs w:val="20"/>
      <w:lang w:eastAsia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117F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8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866"/>
    <w:rPr>
      <w:rFonts w:ascii="Times New Roman" w:eastAsia="Times New Roman" w:hAnsi="Times New Roman" w:cs="Times New Roman"/>
      <w:sz w:val="20"/>
      <w:szCs w:val="20"/>
      <w:lang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866"/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8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66"/>
    <w:rPr>
      <w:rFonts w:ascii="Segoe UI" w:eastAsia="Times New Roman" w:hAnsi="Segoe UI" w:cs="Segoe UI"/>
      <w:sz w:val="18"/>
      <w:szCs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muceniece@i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5B1A-01B5-4AFD-B7A5-E9C809E4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3667</Characters>
  <Application>Microsoft Office Word</Application>
  <DocSecurity>0</DocSecurity>
  <Lines>174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Muceniece</dc:creator>
  <cp:keywords/>
  <dc:description/>
  <cp:lastModifiedBy>Igors Silantjevs</cp:lastModifiedBy>
  <cp:revision>7</cp:revision>
  <cp:lastPrinted>2017-05-15T04:47:00Z</cp:lastPrinted>
  <dcterms:created xsi:type="dcterms:W3CDTF">2017-05-15T04:22:00Z</dcterms:created>
  <dcterms:modified xsi:type="dcterms:W3CDTF">2017-05-15T05:04:00Z</dcterms:modified>
</cp:coreProperties>
</file>