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DE" w:rsidRPr="001748DE" w:rsidRDefault="001748DE" w:rsidP="007127E7">
      <w:pPr>
        <w:pStyle w:val="Kjene"/>
        <w:tabs>
          <w:tab w:val="clear" w:pos="4153"/>
          <w:tab w:val="clear" w:pos="8306"/>
        </w:tabs>
        <w:spacing w:before="0" w:after="0" w:line="240" w:lineRule="auto"/>
        <w:ind w:right="-483" w:firstLine="0"/>
        <w:jc w:val="center"/>
        <w:rPr>
          <w:color w:val="000000"/>
          <w:sz w:val="28"/>
          <w:szCs w:val="28"/>
        </w:rPr>
      </w:pPr>
    </w:p>
    <w:p w:rsidR="00BB01A8" w:rsidRPr="001748DE" w:rsidRDefault="00BB01A8" w:rsidP="007127E7">
      <w:pPr>
        <w:pStyle w:val="Kjene"/>
        <w:tabs>
          <w:tab w:val="clear" w:pos="4153"/>
          <w:tab w:val="clear" w:pos="8306"/>
        </w:tabs>
        <w:spacing w:before="0" w:after="0" w:line="240" w:lineRule="auto"/>
        <w:ind w:right="-483" w:firstLine="0"/>
        <w:jc w:val="center"/>
        <w:rPr>
          <w:color w:val="000000"/>
          <w:sz w:val="28"/>
          <w:szCs w:val="28"/>
        </w:rPr>
      </w:pPr>
      <w:r w:rsidRPr="001748DE">
        <w:rPr>
          <w:color w:val="000000"/>
          <w:sz w:val="28"/>
          <w:szCs w:val="28"/>
        </w:rPr>
        <w:t>Rīgā</w:t>
      </w:r>
    </w:p>
    <w:p w:rsidR="00BB01A8" w:rsidRPr="001748DE" w:rsidRDefault="00BB01A8" w:rsidP="00BB01A8">
      <w:pPr>
        <w:pStyle w:val="Kjene"/>
        <w:tabs>
          <w:tab w:val="clear" w:pos="4153"/>
          <w:tab w:val="clear" w:pos="8306"/>
        </w:tabs>
        <w:spacing w:before="0" w:after="0" w:line="240" w:lineRule="auto"/>
        <w:ind w:firstLine="0"/>
        <w:jc w:val="center"/>
        <w:rPr>
          <w:color w:val="000000"/>
          <w:sz w:val="28"/>
          <w:szCs w:val="28"/>
        </w:rPr>
      </w:pPr>
    </w:p>
    <w:p w:rsidR="00BB01A8" w:rsidRPr="001748DE" w:rsidRDefault="00F01A94" w:rsidP="00BB01A8">
      <w:pPr>
        <w:pStyle w:val="Kjene"/>
        <w:tabs>
          <w:tab w:val="clear" w:pos="4153"/>
          <w:tab w:val="clear" w:pos="8306"/>
        </w:tabs>
        <w:spacing w:before="0" w:after="0" w:line="240" w:lineRule="auto"/>
        <w:ind w:firstLine="0"/>
        <w:rPr>
          <w:sz w:val="28"/>
          <w:szCs w:val="28"/>
        </w:rPr>
      </w:pPr>
      <w:r>
        <w:rPr>
          <w:color w:val="000000"/>
          <w:sz w:val="28"/>
          <w:szCs w:val="28"/>
        </w:rPr>
        <w:t>29</w:t>
      </w:r>
      <w:r w:rsidR="001748DE">
        <w:rPr>
          <w:color w:val="000000"/>
          <w:sz w:val="28"/>
          <w:szCs w:val="28"/>
        </w:rPr>
        <w:t>.03</w:t>
      </w:r>
      <w:r w:rsidR="00BB01A8" w:rsidRPr="001748DE">
        <w:rPr>
          <w:color w:val="000000"/>
          <w:sz w:val="28"/>
          <w:szCs w:val="28"/>
        </w:rPr>
        <w:t>.2017. Nr.</w:t>
      </w:r>
      <w:r w:rsidR="00BB01A8" w:rsidRPr="001748DE">
        <w:rPr>
          <w:rFonts w:eastAsia="Arial Unicode MS"/>
          <w:sz w:val="28"/>
          <w:szCs w:val="28"/>
        </w:rPr>
        <w:t>3.1.2-3</w:t>
      </w:r>
      <w:r>
        <w:rPr>
          <w:sz w:val="28"/>
          <w:szCs w:val="28"/>
        </w:rPr>
        <w:t>/738</w:t>
      </w:r>
    </w:p>
    <w:p w:rsidR="00BB01A8" w:rsidRPr="001748DE" w:rsidRDefault="00BB01A8" w:rsidP="00BB01A8">
      <w:pPr>
        <w:pStyle w:val="Kjene"/>
        <w:tabs>
          <w:tab w:val="clear" w:pos="4153"/>
          <w:tab w:val="clear" w:pos="8306"/>
        </w:tabs>
        <w:spacing w:before="0" w:after="0" w:line="240" w:lineRule="auto"/>
        <w:ind w:firstLine="0"/>
        <w:rPr>
          <w:b/>
          <w:color w:val="000000"/>
          <w:sz w:val="28"/>
          <w:szCs w:val="28"/>
        </w:rPr>
      </w:pPr>
    </w:p>
    <w:p w:rsidR="00BB01A8" w:rsidRPr="001748DE" w:rsidRDefault="00BB01A8" w:rsidP="001748DE">
      <w:pPr>
        <w:pStyle w:val="Kjene"/>
        <w:tabs>
          <w:tab w:val="clear" w:pos="4153"/>
          <w:tab w:val="clear" w:pos="8306"/>
        </w:tabs>
        <w:spacing w:before="0" w:after="0" w:line="240" w:lineRule="auto"/>
        <w:ind w:right="-1" w:firstLine="0"/>
        <w:jc w:val="right"/>
        <w:rPr>
          <w:b/>
          <w:bCs/>
          <w:sz w:val="28"/>
          <w:szCs w:val="28"/>
        </w:rPr>
      </w:pPr>
      <w:r w:rsidRPr="001748DE">
        <w:rPr>
          <w:b/>
          <w:bCs/>
          <w:sz w:val="28"/>
          <w:szCs w:val="28"/>
        </w:rPr>
        <w:t>Valsts kancelejai</w:t>
      </w:r>
    </w:p>
    <w:p w:rsidR="002B01D3" w:rsidRPr="001748DE" w:rsidRDefault="00E94121" w:rsidP="00BB01A8">
      <w:pPr>
        <w:pStyle w:val="Galvene"/>
        <w:rPr>
          <w:sz w:val="28"/>
          <w:szCs w:val="28"/>
        </w:rPr>
      </w:pPr>
      <w:r>
        <w:rPr>
          <w:noProof/>
          <w:sz w:val="28"/>
          <w:szCs w:val="28"/>
        </w:rPr>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style="mso-next-textbox:#Text Box 43" inset="0,0,0,0">
              <w:txbxContent>
                <w:p w:rsidR="00EE1B97" w:rsidRPr="001748DE" w:rsidRDefault="00EE1B97" w:rsidP="001748DE">
                  <w:pPr>
                    <w:rPr>
                      <w:szCs w:val="17"/>
                    </w:rPr>
                  </w:pPr>
                </w:p>
              </w:txbxContent>
            </v:textbox>
            <w10:wrap anchorx="page" anchory="page"/>
          </v:shape>
        </w:pict>
      </w:r>
    </w:p>
    <w:p w:rsidR="002B01D3" w:rsidRPr="001748DE" w:rsidRDefault="002B01D3" w:rsidP="001748DE">
      <w:pPr>
        <w:ind w:right="4251"/>
        <w:jc w:val="both"/>
        <w:rPr>
          <w:rFonts w:ascii="Times New Roman" w:hAnsi="Times New Roman"/>
          <w:i/>
          <w:iCs/>
          <w:color w:val="000000" w:themeColor="text1"/>
          <w:sz w:val="28"/>
          <w:szCs w:val="28"/>
        </w:rPr>
      </w:pPr>
      <w:bookmarkStart w:id="0" w:name="OLE_LINK1"/>
      <w:bookmarkStart w:id="1" w:name="OLE_LINK2"/>
      <w:r w:rsidRPr="001748DE">
        <w:rPr>
          <w:rFonts w:ascii="Times New Roman" w:hAnsi="Times New Roman"/>
          <w:i/>
          <w:iCs/>
          <w:sz w:val="28"/>
          <w:szCs w:val="28"/>
        </w:rPr>
        <w:t xml:space="preserve">Par </w:t>
      </w:r>
      <w:r w:rsidRPr="001748DE">
        <w:rPr>
          <w:rFonts w:ascii="Times New Roman" w:hAnsi="Times New Roman"/>
          <w:i/>
          <w:iCs/>
          <w:color w:val="000000" w:themeColor="text1"/>
          <w:sz w:val="28"/>
          <w:szCs w:val="28"/>
        </w:rPr>
        <w:t>Ministru kabineta sēdes protokollēmuma projekt</w:t>
      </w:r>
      <w:r w:rsidR="001748DE">
        <w:rPr>
          <w:rFonts w:ascii="Times New Roman" w:hAnsi="Times New Roman"/>
          <w:i/>
          <w:iCs/>
          <w:color w:val="000000" w:themeColor="text1"/>
          <w:sz w:val="28"/>
          <w:szCs w:val="28"/>
        </w:rPr>
        <w:t>u „</w:t>
      </w:r>
      <w:r w:rsidR="001748DE" w:rsidRPr="001748DE">
        <w:rPr>
          <w:rFonts w:ascii="Times New Roman" w:hAnsi="Times New Roman"/>
          <w:i/>
          <w:iCs/>
          <w:color w:val="000000" w:themeColor="text1"/>
          <w:sz w:val="28"/>
          <w:szCs w:val="28"/>
        </w:rPr>
        <w:t>Par Ministru kabineta 2013.gada 17.decembra sēdes protokollēmuma (prot. Nr.67 106.§) „Informatīvais ziņojums „Par valsts sabiedrības ar ierobežotu atbildību „Latvijas Nacionālā opera” turpmākas darbības priekšlikumiem apgrozāmo līdzekļu stabilizēšanai un finansiālās darbības uzlabošanai”” 4.punktā dotā uzdevuma atzīšanu par aktualitāti zaudējušu</w:t>
      </w:r>
      <w:r w:rsidR="001748DE">
        <w:rPr>
          <w:rFonts w:ascii="Times New Roman" w:hAnsi="Times New Roman"/>
          <w:i/>
          <w:iCs/>
          <w:color w:val="000000" w:themeColor="text1"/>
          <w:sz w:val="28"/>
          <w:szCs w:val="28"/>
        </w:rPr>
        <w:t>”</w:t>
      </w:r>
    </w:p>
    <w:bookmarkEnd w:id="0"/>
    <w:bookmarkEnd w:id="1"/>
    <w:p w:rsidR="002B01D3" w:rsidRPr="001748DE" w:rsidRDefault="002B01D3" w:rsidP="002B01D3">
      <w:pPr>
        <w:rPr>
          <w:rFonts w:ascii="Times New Roman" w:hAnsi="Times New Roman"/>
          <w:color w:val="000000" w:themeColor="text1"/>
          <w:sz w:val="28"/>
          <w:szCs w:val="28"/>
        </w:rPr>
      </w:pPr>
    </w:p>
    <w:p w:rsidR="002B01D3" w:rsidRPr="001748DE" w:rsidRDefault="002B01D3" w:rsidP="001748DE">
      <w:pPr>
        <w:ind w:right="-1" w:firstLine="720"/>
        <w:jc w:val="both"/>
        <w:rPr>
          <w:rFonts w:ascii="Times New Roman" w:hAnsi="Times New Roman"/>
          <w:color w:val="000000" w:themeColor="text1"/>
          <w:sz w:val="28"/>
          <w:szCs w:val="28"/>
        </w:rPr>
      </w:pPr>
      <w:r w:rsidRPr="001748DE">
        <w:rPr>
          <w:rFonts w:ascii="Times New Roman" w:hAnsi="Times New Roman"/>
          <w:color w:val="000000" w:themeColor="text1"/>
          <w:sz w:val="28"/>
          <w:szCs w:val="28"/>
        </w:rPr>
        <w:t>Pamatojoties uz Ministru kabineta 2009.</w:t>
      </w:r>
      <w:r w:rsidR="00496161" w:rsidRPr="001748DE">
        <w:rPr>
          <w:rFonts w:ascii="Times New Roman" w:hAnsi="Times New Roman"/>
          <w:color w:val="000000" w:themeColor="text1"/>
          <w:sz w:val="28"/>
          <w:szCs w:val="28"/>
        </w:rPr>
        <w:t>gada 7.aprīļa noteikumu Nr.300 „</w:t>
      </w:r>
      <w:r w:rsidRPr="001748DE">
        <w:rPr>
          <w:rFonts w:ascii="Times New Roman" w:hAnsi="Times New Roman"/>
          <w:color w:val="000000" w:themeColor="text1"/>
          <w:sz w:val="28"/>
          <w:szCs w:val="28"/>
        </w:rPr>
        <w:t>Mi</w:t>
      </w:r>
      <w:r w:rsidR="00496161" w:rsidRPr="001748DE">
        <w:rPr>
          <w:rFonts w:ascii="Times New Roman" w:hAnsi="Times New Roman"/>
          <w:color w:val="000000" w:themeColor="text1"/>
          <w:sz w:val="28"/>
          <w:szCs w:val="28"/>
        </w:rPr>
        <w:t>nistru kabineta kārtības rullis”</w:t>
      </w:r>
      <w:r w:rsidR="00876D25">
        <w:rPr>
          <w:rFonts w:ascii="Times New Roman" w:hAnsi="Times New Roman"/>
          <w:color w:val="000000" w:themeColor="text1"/>
          <w:sz w:val="28"/>
          <w:szCs w:val="28"/>
        </w:rPr>
        <w:t xml:space="preserve"> 164.4</w:t>
      </w:r>
      <w:r w:rsidR="00903D35">
        <w:rPr>
          <w:rFonts w:ascii="Times New Roman" w:hAnsi="Times New Roman"/>
          <w:color w:val="000000" w:themeColor="text1"/>
          <w:sz w:val="28"/>
          <w:szCs w:val="28"/>
        </w:rPr>
        <w:t>.</w:t>
      </w:r>
      <w:r w:rsidRPr="001748DE">
        <w:rPr>
          <w:rFonts w:ascii="Times New Roman" w:hAnsi="Times New Roman"/>
          <w:color w:val="000000" w:themeColor="text1"/>
          <w:sz w:val="28"/>
          <w:szCs w:val="28"/>
        </w:rPr>
        <w:t xml:space="preserve">apakšpunktu, iesniedzu izskatīšanai Ministru kabineta sēdē Ministru kabineta sēdes protokollēmuma projektu </w:t>
      </w:r>
      <w:bookmarkStart w:id="2" w:name="OLE_LINK7"/>
      <w:bookmarkStart w:id="3" w:name="OLE_LINK8"/>
      <w:r w:rsidRPr="001748DE">
        <w:rPr>
          <w:rFonts w:ascii="Times New Roman" w:hAnsi="Times New Roman"/>
          <w:color w:val="000000" w:themeColor="text1"/>
          <w:sz w:val="28"/>
          <w:szCs w:val="28"/>
        </w:rPr>
        <w:t>„</w:t>
      </w:r>
      <w:r w:rsidR="004A0A07" w:rsidRPr="001748DE">
        <w:rPr>
          <w:rFonts w:ascii="Times New Roman" w:hAnsi="Times New Roman"/>
          <w:iCs/>
          <w:sz w:val="28"/>
          <w:szCs w:val="28"/>
        </w:rPr>
        <w:t>Par Ministru kabineta 2013.gada 17.decembra sēdes protokollēmuma (prot. Nr.67 106.§) „Informatīvais ziņojums „Par valsts sabiedrības ar ierobežotu atbildību „Latvijas Nacionālā opera” turpmākas darbības priekšlikumiem apgrozāmo līdzekļu stabilizēšanai un finansiālās darbības uzlabošanai”” 4.punktā dotā uzdevuma atzīšanu par aktualitāti zaudējušu</w:t>
      </w:r>
      <w:r w:rsidRPr="001748DE">
        <w:rPr>
          <w:rFonts w:ascii="Times New Roman" w:hAnsi="Times New Roman"/>
          <w:color w:val="000000" w:themeColor="text1"/>
          <w:sz w:val="28"/>
          <w:szCs w:val="28"/>
        </w:rPr>
        <w:t xml:space="preserve">” </w:t>
      </w:r>
      <w:bookmarkEnd w:id="2"/>
      <w:bookmarkEnd w:id="3"/>
      <w:r w:rsidRPr="001748DE">
        <w:rPr>
          <w:rFonts w:ascii="Times New Roman" w:hAnsi="Times New Roman"/>
          <w:color w:val="000000" w:themeColor="text1"/>
          <w:sz w:val="28"/>
          <w:szCs w:val="28"/>
        </w:rPr>
        <w:t>(turpmāk – Projekts).</w:t>
      </w:r>
    </w:p>
    <w:p w:rsidR="002B01D3" w:rsidRPr="001748DE" w:rsidRDefault="002B01D3" w:rsidP="002B01D3">
      <w:pPr>
        <w:ind w:firstLine="72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210"/>
      </w:tblGrid>
      <w:tr w:rsidR="001748DE" w:rsidRPr="001748DE" w:rsidTr="001748DE">
        <w:tc>
          <w:tcPr>
            <w:tcW w:w="2195" w:type="pct"/>
            <w:shd w:val="clear" w:color="auto" w:fill="auto"/>
          </w:tcPr>
          <w:p w:rsidR="001748DE" w:rsidRPr="001748DE" w:rsidRDefault="001748DE" w:rsidP="00EA34B1">
            <w:pPr>
              <w:jc w:val="both"/>
              <w:rPr>
                <w:rFonts w:ascii="Times New Roman" w:hAnsi="Times New Roman"/>
                <w:color w:val="000000" w:themeColor="text1"/>
                <w:sz w:val="28"/>
                <w:szCs w:val="28"/>
              </w:rPr>
            </w:pPr>
            <w:r w:rsidRPr="001748DE">
              <w:rPr>
                <w:rFonts w:ascii="Times New Roman" w:hAnsi="Times New Roman"/>
                <w:color w:val="000000" w:themeColor="text1"/>
                <w:sz w:val="28"/>
                <w:szCs w:val="28"/>
              </w:rPr>
              <w:t>Iesniegšanas pamatojums</w:t>
            </w:r>
          </w:p>
        </w:tc>
        <w:tc>
          <w:tcPr>
            <w:tcW w:w="2805" w:type="pct"/>
            <w:shd w:val="clear" w:color="auto" w:fill="auto"/>
          </w:tcPr>
          <w:p w:rsidR="00E631C6" w:rsidRDefault="00823BA3" w:rsidP="00823BA3">
            <w:pPr>
              <w:suppressAutoHyphens/>
              <w:ind w:firstLine="459"/>
              <w:jc w:val="both"/>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Projekts sagatavots, pamatojoties uz Ministru kabineta</w:t>
            </w:r>
            <w:r w:rsidR="001748DE" w:rsidRPr="001748DE">
              <w:rPr>
                <w:rFonts w:ascii="Times New Roman" w:hAnsi="Times New Roman"/>
                <w:color w:val="000000" w:themeColor="text1"/>
                <w:kern w:val="1"/>
                <w:sz w:val="28"/>
                <w:szCs w:val="28"/>
                <w:lang w:eastAsia="ar-SA"/>
              </w:rPr>
              <w:t xml:space="preserve"> </w:t>
            </w:r>
            <w:r w:rsidR="001748DE" w:rsidRPr="001748DE">
              <w:rPr>
                <w:rFonts w:ascii="Times New Roman" w:hAnsi="Times New Roman"/>
                <w:color w:val="000000" w:themeColor="text1"/>
                <w:sz w:val="28"/>
                <w:szCs w:val="28"/>
              </w:rPr>
              <w:t>2013.gada 17.decembra sē</w:t>
            </w:r>
            <w:r>
              <w:rPr>
                <w:rFonts w:ascii="Times New Roman" w:hAnsi="Times New Roman"/>
                <w:color w:val="000000" w:themeColor="text1"/>
                <w:sz w:val="28"/>
                <w:szCs w:val="28"/>
              </w:rPr>
              <w:t>des protokollēmuma (prot. Nr.67</w:t>
            </w:r>
            <w:r w:rsidR="001748DE" w:rsidRPr="001748DE">
              <w:rPr>
                <w:rFonts w:ascii="Times New Roman" w:hAnsi="Times New Roman"/>
                <w:color w:val="000000" w:themeColor="text1"/>
                <w:sz w:val="28"/>
                <w:szCs w:val="28"/>
              </w:rPr>
              <w:t xml:space="preserve"> 106.§) </w:t>
            </w:r>
            <w:r w:rsidR="001748DE" w:rsidRPr="001748DE">
              <w:rPr>
                <w:rFonts w:ascii="Times New Roman" w:hAnsi="Times New Roman"/>
                <w:color w:val="000000" w:themeColor="text1"/>
                <w:kern w:val="1"/>
                <w:sz w:val="28"/>
                <w:szCs w:val="28"/>
                <w:lang w:eastAsia="ar-SA"/>
              </w:rPr>
              <w:t xml:space="preserve">„Informatīvais ziņojums „Par valsts sabiedrības ar ierobežotu atbildību „Latvijas Nacionālā opera” turpmākas darbības priekšlikumiem apgrozāmo līdzekļu </w:t>
            </w:r>
            <w:r w:rsidR="001748DE" w:rsidRPr="001748DE">
              <w:rPr>
                <w:rFonts w:ascii="Times New Roman" w:hAnsi="Times New Roman"/>
                <w:color w:val="000000" w:themeColor="text1"/>
                <w:kern w:val="1"/>
                <w:sz w:val="28"/>
                <w:szCs w:val="28"/>
                <w:lang w:eastAsia="ar-SA"/>
              </w:rPr>
              <w:lastRenderedPageBreak/>
              <w:t xml:space="preserve">stabilizēšanai un finansiālās darbības uzlabošanai” 4.punktā Kultūras ministrijai </w:t>
            </w:r>
            <w:r>
              <w:rPr>
                <w:rFonts w:ascii="Times New Roman" w:hAnsi="Times New Roman"/>
                <w:color w:val="000000" w:themeColor="text1"/>
                <w:kern w:val="1"/>
                <w:sz w:val="28"/>
                <w:szCs w:val="28"/>
                <w:lang w:eastAsia="ar-SA"/>
              </w:rPr>
              <w:t xml:space="preserve">doto uzdevumu </w:t>
            </w:r>
            <w:r w:rsidR="00E631C6" w:rsidRPr="00E631C6">
              <w:rPr>
                <w:rFonts w:ascii="Times New Roman" w:hAnsi="Times New Roman"/>
                <w:color w:val="000000" w:themeColor="text1"/>
                <w:kern w:val="1"/>
                <w:sz w:val="28"/>
                <w:szCs w:val="28"/>
                <w:lang w:eastAsia="ar-SA"/>
              </w:rPr>
              <w:t>sagatavot un noteiktā kārtībā iesniegt Ministru kabinetā informatīvo ziņojumu par priekšlikumiem atalgojuma sistēmas attīstībai kultūras nozarē kopumā</w:t>
            </w:r>
            <w:r w:rsidR="00E631C6">
              <w:rPr>
                <w:rFonts w:ascii="Times New Roman" w:hAnsi="Times New Roman"/>
                <w:color w:val="000000" w:themeColor="text1"/>
                <w:kern w:val="1"/>
                <w:sz w:val="28"/>
                <w:szCs w:val="28"/>
                <w:lang w:eastAsia="ar-SA"/>
              </w:rPr>
              <w:t>.</w:t>
            </w:r>
          </w:p>
          <w:p w:rsidR="006177E9" w:rsidRPr="006177E9" w:rsidRDefault="00CF5B76" w:rsidP="006177E9">
            <w:pPr>
              <w:suppressAutoHyphens/>
              <w:ind w:firstLine="459"/>
              <w:jc w:val="both"/>
              <w:rPr>
                <w:rFonts w:ascii="Times New Roman" w:hAnsi="Times New Roman"/>
                <w:sz w:val="28"/>
                <w:szCs w:val="28"/>
              </w:rPr>
            </w:pPr>
            <w:r>
              <w:rPr>
                <w:rFonts w:ascii="Times New Roman" w:hAnsi="Times New Roman"/>
                <w:color w:val="000000" w:themeColor="text1"/>
                <w:kern w:val="1"/>
                <w:sz w:val="28"/>
                <w:szCs w:val="28"/>
                <w:lang w:eastAsia="ar-SA"/>
              </w:rPr>
              <w:t xml:space="preserve">Kultūras ministrija, pamatojoties uz doto uzdevumu, </w:t>
            </w:r>
            <w:r w:rsidR="009A6F57">
              <w:rPr>
                <w:rFonts w:ascii="Times New Roman" w:hAnsi="Times New Roman"/>
                <w:color w:val="000000" w:themeColor="text1"/>
                <w:kern w:val="1"/>
                <w:sz w:val="28"/>
                <w:szCs w:val="28"/>
                <w:lang w:eastAsia="ar-SA"/>
              </w:rPr>
              <w:t xml:space="preserve">sagatavoja </w:t>
            </w:r>
            <w:r w:rsidR="001748DE" w:rsidRPr="001748DE">
              <w:rPr>
                <w:rFonts w:ascii="Times New Roman" w:hAnsi="Times New Roman"/>
                <w:color w:val="000000" w:themeColor="text1"/>
                <w:kern w:val="1"/>
                <w:sz w:val="28"/>
                <w:szCs w:val="28"/>
                <w:lang w:eastAsia="ar-SA"/>
              </w:rPr>
              <w:t>informatīvo ziņojumu „Par priekšlikumiem atalgojuma sistēmas a</w:t>
            </w:r>
            <w:r w:rsidR="009A6F57">
              <w:rPr>
                <w:rFonts w:ascii="Times New Roman" w:hAnsi="Times New Roman"/>
                <w:color w:val="000000" w:themeColor="text1"/>
                <w:kern w:val="1"/>
                <w:sz w:val="28"/>
                <w:szCs w:val="28"/>
                <w:lang w:eastAsia="ar-SA"/>
              </w:rPr>
              <w:t>ttīstībai kultūras nozarē</w:t>
            </w:r>
            <w:r>
              <w:rPr>
                <w:rFonts w:ascii="Times New Roman" w:hAnsi="Times New Roman"/>
                <w:color w:val="000000" w:themeColor="text1"/>
                <w:kern w:val="1"/>
                <w:sz w:val="28"/>
                <w:szCs w:val="28"/>
                <w:lang w:eastAsia="ar-SA"/>
              </w:rPr>
              <w:t xml:space="preserve">” (turpmāk – informatīvais ziņojums), kas </w:t>
            </w:r>
            <w:r w:rsidR="001748DE" w:rsidRPr="001748DE">
              <w:rPr>
                <w:rFonts w:ascii="Times New Roman" w:hAnsi="Times New Roman"/>
                <w:color w:val="000000" w:themeColor="text1"/>
                <w:kern w:val="1"/>
                <w:sz w:val="28"/>
                <w:szCs w:val="28"/>
                <w:lang w:eastAsia="ar-SA"/>
              </w:rPr>
              <w:t xml:space="preserve">tika izsludināts Valsts sekretāru </w:t>
            </w:r>
            <w:r w:rsidRPr="001748DE">
              <w:rPr>
                <w:rFonts w:ascii="Times New Roman" w:hAnsi="Times New Roman"/>
                <w:color w:val="000000" w:themeColor="text1"/>
                <w:kern w:val="1"/>
                <w:sz w:val="28"/>
                <w:szCs w:val="28"/>
                <w:lang w:eastAsia="ar-SA"/>
              </w:rPr>
              <w:t xml:space="preserve">2014.gada 9.oktobra </w:t>
            </w:r>
            <w:r w:rsidR="001748DE" w:rsidRPr="001748DE">
              <w:rPr>
                <w:rFonts w:ascii="Times New Roman" w:hAnsi="Times New Roman"/>
                <w:color w:val="000000" w:themeColor="text1"/>
                <w:kern w:val="1"/>
                <w:sz w:val="28"/>
                <w:szCs w:val="28"/>
                <w:lang w:eastAsia="ar-SA"/>
              </w:rPr>
              <w:t xml:space="preserve">sanāksmē </w:t>
            </w:r>
            <w:r w:rsidRPr="001748DE">
              <w:rPr>
                <w:rFonts w:ascii="Times New Roman" w:eastAsia="Times New Roman" w:hAnsi="Times New Roman"/>
                <w:color w:val="000000" w:themeColor="text1"/>
                <w:sz w:val="28"/>
                <w:szCs w:val="28"/>
                <w:lang w:eastAsia="zh-CN"/>
              </w:rPr>
              <w:t>(prot. Nr.39 9.§)</w:t>
            </w:r>
            <w:r w:rsidRPr="001748DE">
              <w:rPr>
                <w:rFonts w:ascii="Times New Roman" w:hAnsi="Times New Roman"/>
                <w:color w:val="000000" w:themeColor="text1"/>
                <w:kern w:val="1"/>
                <w:sz w:val="28"/>
                <w:szCs w:val="28"/>
                <w:lang w:eastAsia="ar-SA"/>
              </w:rPr>
              <w:t xml:space="preserve"> </w:t>
            </w:r>
            <w:r w:rsidR="001748DE" w:rsidRPr="001748DE">
              <w:rPr>
                <w:rFonts w:ascii="Times New Roman" w:hAnsi="Times New Roman"/>
                <w:color w:val="000000" w:themeColor="text1"/>
                <w:kern w:val="1"/>
                <w:sz w:val="28"/>
                <w:szCs w:val="28"/>
                <w:lang w:eastAsia="ar-SA"/>
              </w:rPr>
              <w:t>(</w:t>
            </w:r>
            <w:r w:rsidR="001748DE" w:rsidRPr="001748DE">
              <w:rPr>
                <w:rFonts w:ascii="Times New Roman" w:eastAsia="Times New Roman" w:hAnsi="Times New Roman"/>
                <w:color w:val="000000" w:themeColor="text1"/>
                <w:sz w:val="28"/>
                <w:szCs w:val="28"/>
                <w:lang w:eastAsia="zh-CN"/>
              </w:rPr>
              <w:t>VSS-913)</w:t>
            </w:r>
            <w:r>
              <w:rPr>
                <w:rFonts w:ascii="Times New Roman" w:hAnsi="Times New Roman"/>
                <w:color w:val="000000" w:themeColor="text1"/>
                <w:kern w:val="1"/>
                <w:sz w:val="28"/>
                <w:szCs w:val="28"/>
                <w:lang w:eastAsia="ar-SA"/>
              </w:rPr>
              <w:t>.</w:t>
            </w:r>
            <w:r w:rsidR="009B23D2">
              <w:rPr>
                <w:rFonts w:ascii="Times New Roman" w:hAnsi="Times New Roman"/>
                <w:color w:val="000000" w:themeColor="text1"/>
                <w:kern w:val="1"/>
                <w:sz w:val="28"/>
                <w:szCs w:val="28"/>
                <w:lang w:eastAsia="ar-SA"/>
              </w:rPr>
              <w:t>  </w:t>
            </w:r>
            <w:r w:rsidR="006177E9">
              <w:rPr>
                <w:rFonts w:ascii="Times New Roman" w:hAnsi="Times New Roman"/>
                <w:color w:val="000000" w:themeColor="text1"/>
                <w:kern w:val="1"/>
                <w:sz w:val="28"/>
                <w:szCs w:val="28"/>
                <w:lang w:eastAsia="ar-SA"/>
              </w:rPr>
              <w:t>I</w:t>
            </w:r>
            <w:r>
              <w:rPr>
                <w:rFonts w:ascii="Times New Roman" w:hAnsi="Times New Roman"/>
                <w:color w:val="000000" w:themeColor="text1"/>
                <w:kern w:val="1"/>
                <w:sz w:val="28"/>
                <w:szCs w:val="28"/>
                <w:lang w:eastAsia="ar-SA"/>
              </w:rPr>
              <w:t xml:space="preserve">nformatīvā ziņojuma saskaņošanas ietvaros </w:t>
            </w:r>
            <w:r w:rsidR="009B23D2">
              <w:rPr>
                <w:rFonts w:ascii="Times New Roman" w:hAnsi="Times New Roman"/>
                <w:color w:val="000000" w:themeColor="text1"/>
                <w:kern w:val="1"/>
                <w:sz w:val="28"/>
                <w:szCs w:val="28"/>
                <w:lang w:eastAsia="ar-SA"/>
              </w:rPr>
              <w:t xml:space="preserve">tika saņemti </w:t>
            </w:r>
            <w:r w:rsidR="00E649E4">
              <w:rPr>
                <w:rFonts w:ascii="Times New Roman" w:hAnsi="Times New Roman"/>
                <w:color w:val="000000" w:themeColor="text1"/>
                <w:kern w:val="1"/>
                <w:sz w:val="28"/>
                <w:szCs w:val="28"/>
                <w:lang w:eastAsia="ar-SA"/>
              </w:rPr>
              <w:t xml:space="preserve">konceptuāla rakstura </w:t>
            </w:r>
            <w:r w:rsidR="009B23D2" w:rsidRPr="006177E9">
              <w:rPr>
                <w:rFonts w:ascii="Times New Roman" w:hAnsi="Times New Roman"/>
                <w:color w:val="000000" w:themeColor="text1"/>
                <w:kern w:val="1"/>
                <w:sz w:val="28"/>
                <w:szCs w:val="28"/>
                <w:lang w:eastAsia="ar-SA"/>
              </w:rPr>
              <w:t xml:space="preserve">iebildumi, ka nav atbalstāma lineāra atalgojuma palielināšana kultūras nozarē, kā arī atalgojuma palielināšana ir vērtējama kopā ar priekšlikumiem citu nozaru atalgojuma sistēmas attīstībai, atbilstoši valsts budžeta iespējām, </w:t>
            </w:r>
            <w:r w:rsidR="006177E9">
              <w:rPr>
                <w:rFonts w:ascii="Times New Roman" w:hAnsi="Times New Roman"/>
                <w:color w:val="000000" w:themeColor="text1"/>
                <w:kern w:val="1"/>
                <w:sz w:val="28"/>
                <w:szCs w:val="28"/>
                <w:lang w:eastAsia="ar-SA"/>
              </w:rPr>
              <w:t xml:space="preserve">tāpat </w:t>
            </w:r>
            <w:r w:rsidR="009B23D2" w:rsidRPr="006177E9">
              <w:rPr>
                <w:rFonts w:ascii="Times New Roman" w:hAnsi="Times New Roman"/>
                <w:color w:val="000000" w:themeColor="text1"/>
                <w:kern w:val="1"/>
                <w:sz w:val="28"/>
                <w:szCs w:val="28"/>
                <w:lang w:eastAsia="ar-SA"/>
              </w:rPr>
              <w:t xml:space="preserve">atalgojuma </w:t>
            </w:r>
            <w:r w:rsidR="009B23D2" w:rsidRPr="006177E9">
              <w:rPr>
                <w:rFonts w:ascii="Times New Roman" w:hAnsi="Times New Roman"/>
                <w:sz w:val="28"/>
                <w:szCs w:val="28"/>
              </w:rPr>
              <w:t>jautājuma sakārtošana ir veicama atbilstoši reālajai situācijai</w:t>
            </w:r>
            <w:r w:rsidR="006177E9">
              <w:rPr>
                <w:rFonts w:ascii="Times New Roman" w:hAnsi="Times New Roman"/>
                <w:sz w:val="28"/>
                <w:szCs w:val="28"/>
              </w:rPr>
              <w:t>,</w:t>
            </w:r>
            <w:r w:rsidR="009B23D2" w:rsidRPr="006177E9">
              <w:rPr>
                <w:rFonts w:ascii="Times New Roman" w:hAnsi="Times New Roman"/>
                <w:sz w:val="28"/>
                <w:szCs w:val="28"/>
              </w:rPr>
              <w:t xml:space="preserve"> salīdzinot atbilstošas saimes un līmeņus, jo nevar savstarpēji salīdzināt vidējo atlīdzību sabiedriskajā sektorā, kas sevī ietver gan politikas plānotāju, gan augstākā līmeņa vadītāju, gan Eiropas Savienības struktūrfondu apsaimniekotājus, ar konkrēto amatu saimi, kas nav saistīta ar iepriekš minētajām saimēm, kā arī</w:t>
            </w:r>
            <w:r w:rsidR="006177E9" w:rsidRPr="006177E9">
              <w:rPr>
                <w:rFonts w:ascii="Times New Roman" w:hAnsi="Times New Roman"/>
                <w:sz w:val="28"/>
                <w:szCs w:val="28"/>
              </w:rPr>
              <w:t xml:space="preserve"> nepieciešamie uzlabojumi atalgojuma sistēmā veicami kopsakarā ar vienoto valsts pārvaldes atalgojuma sistēmu, ņemot vērā </w:t>
            </w:r>
            <w:r w:rsidR="006177E9" w:rsidRPr="006177E9">
              <w:rPr>
                <w:rFonts w:ascii="Times New Roman" w:hAnsi="Times New Roman"/>
                <w:spacing w:val="-2"/>
                <w:sz w:val="28"/>
                <w:szCs w:val="28"/>
              </w:rPr>
              <w:t xml:space="preserve">Valsts pārvaldes cilvēkresursu attīstības koncepcijā (apstiprināta ar Ministru kabineta 2013.gada 6.februāra rīkojumu Nr.48) </w:t>
            </w:r>
            <w:r w:rsidR="006177E9">
              <w:rPr>
                <w:rFonts w:ascii="Times New Roman" w:hAnsi="Times New Roman"/>
                <w:spacing w:val="-2"/>
                <w:sz w:val="28"/>
                <w:szCs w:val="28"/>
              </w:rPr>
              <w:t>atspoguļotās problēmas</w:t>
            </w:r>
            <w:r w:rsidR="006177E9" w:rsidRPr="006177E9">
              <w:rPr>
                <w:rFonts w:ascii="Times New Roman" w:hAnsi="Times New Roman"/>
                <w:spacing w:val="-2"/>
                <w:sz w:val="28"/>
                <w:szCs w:val="28"/>
              </w:rPr>
              <w:t xml:space="preserve"> attiecībā uz darba samaksu valsts pārvaldē, kā arī noteikt</w:t>
            </w:r>
            <w:r w:rsidR="006177E9">
              <w:rPr>
                <w:rFonts w:ascii="Times New Roman" w:hAnsi="Times New Roman"/>
                <w:spacing w:val="-2"/>
                <w:sz w:val="28"/>
                <w:szCs w:val="28"/>
              </w:rPr>
              <w:t>os</w:t>
            </w:r>
            <w:r w:rsidR="006177E9" w:rsidRPr="006177E9">
              <w:rPr>
                <w:rFonts w:ascii="Times New Roman" w:hAnsi="Times New Roman"/>
                <w:spacing w:val="-2"/>
                <w:sz w:val="28"/>
                <w:szCs w:val="28"/>
              </w:rPr>
              <w:t xml:space="preserve"> uzdevum</w:t>
            </w:r>
            <w:r w:rsidR="006177E9">
              <w:rPr>
                <w:rFonts w:ascii="Times New Roman" w:hAnsi="Times New Roman"/>
                <w:spacing w:val="-2"/>
                <w:sz w:val="28"/>
                <w:szCs w:val="28"/>
              </w:rPr>
              <w:t>us</w:t>
            </w:r>
            <w:r w:rsidR="006177E9" w:rsidRPr="006177E9">
              <w:rPr>
                <w:rFonts w:ascii="Times New Roman" w:hAnsi="Times New Roman"/>
                <w:spacing w:val="-2"/>
                <w:sz w:val="28"/>
                <w:szCs w:val="28"/>
              </w:rPr>
              <w:t xml:space="preserve"> </w:t>
            </w:r>
            <w:r w:rsidR="006177E9" w:rsidRPr="006177E9">
              <w:rPr>
                <w:rFonts w:ascii="Times New Roman" w:hAnsi="Times New Roman"/>
                <w:sz w:val="28"/>
                <w:szCs w:val="28"/>
              </w:rPr>
              <w:t>darba samaksas un sociālo garantiju sistēmas pilnveidošanai</w:t>
            </w:r>
            <w:r w:rsidR="006177E9">
              <w:rPr>
                <w:rFonts w:ascii="Times New Roman" w:hAnsi="Times New Roman"/>
                <w:sz w:val="28"/>
                <w:szCs w:val="28"/>
              </w:rPr>
              <w:t xml:space="preserve">. Ņemot vērā minēto, </w:t>
            </w:r>
            <w:r w:rsidR="006177E9">
              <w:rPr>
                <w:rFonts w:ascii="Times New Roman" w:hAnsi="Times New Roman"/>
                <w:color w:val="000000" w:themeColor="text1"/>
                <w:kern w:val="1"/>
                <w:sz w:val="28"/>
                <w:szCs w:val="28"/>
                <w:lang w:eastAsia="ar-SA"/>
              </w:rPr>
              <w:t xml:space="preserve">informatīvais ziņojums Valsts sekretāru 2015.gada 1.oktobra sanāksmē (prot. Nr.38 </w:t>
            </w:r>
            <w:r w:rsidR="006177E9">
              <w:rPr>
                <w:rFonts w:ascii="Times New Roman" w:hAnsi="Times New Roman"/>
                <w:color w:val="000000" w:themeColor="text1"/>
                <w:kern w:val="1"/>
                <w:sz w:val="28"/>
                <w:szCs w:val="28"/>
                <w:lang w:eastAsia="ar-SA"/>
              </w:rPr>
              <w:lastRenderedPageBreak/>
              <w:t>2</w:t>
            </w:r>
            <w:r w:rsidR="006177E9" w:rsidRPr="001748DE">
              <w:rPr>
                <w:rFonts w:ascii="Times New Roman" w:eastAsia="Times New Roman" w:hAnsi="Times New Roman"/>
                <w:color w:val="000000" w:themeColor="text1"/>
                <w:sz w:val="28"/>
                <w:szCs w:val="28"/>
                <w:lang w:eastAsia="zh-CN"/>
              </w:rPr>
              <w:t>9.§</w:t>
            </w:r>
            <w:r w:rsidR="006177E9">
              <w:rPr>
                <w:rFonts w:ascii="Times New Roman" w:hAnsi="Times New Roman"/>
                <w:color w:val="000000" w:themeColor="text1"/>
                <w:kern w:val="1"/>
                <w:sz w:val="28"/>
                <w:szCs w:val="28"/>
                <w:lang w:eastAsia="ar-SA"/>
              </w:rPr>
              <w:t>) tika atsaukts.</w:t>
            </w:r>
          </w:p>
          <w:p w:rsidR="009B23D2" w:rsidRDefault="00EE1B97" w:rsidP="00E631C6">
            <w:pPr>
              <w:suppressAutoHyphens/>
              <w:ind w:firstLine="459"/>
              <w:jc w:val="both"/>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Ministru kabineta 2016.gada 1.marta sēdes protokollēmuma (</w:t>
            </w:r>
            <w:r>
              <w:rPr>
                <w:rFonts w:ascii="Times New Roman" w:hAnsi="Times New Roman"/>
                <w:color w:val="000000" w:themeColor="text1"/>
                <w:sz w:val="28"/>
                <w:szCs w:val="28"/>
              </w:rPr>
              <w:t>prot. Nr.10 50</w:t>
            </w:r>
            <w:r w:rsidRPr="001748DE">
              <w:rPr>
                <w:rFonts w:ascii="Times New Roman" w:hAnsi="Times New Roman"/>
                <w:color w:val="000000" w:themeColor="text1"/>
                <w:sz w:val="28"/>
                <w:szCs w:val="28"/>
              </w:rPr>
              <w:t>.§</w:t>
            </w:r>
            <w:r>
              <w:rPr>
                <w:rFonts w:ascii="Times New Roman" w:hAnsi="Times New Roman"/>
                <w:color w:val="000000" w:themeColor="text1"/>
                <w:kern w:val="1"/>
                <w:sz w:val="28"/>
                <w:szCs w:val="28"/>
                <w:lang w:eastAsia="ar-SA"/>
              </w:rPr>
              <w:t>) „Informatīvais ziņojums „</w:t>
            </w:r>
            <w:r w:rsidRPr="00EE1B97">
              <w:rPr>
                <w:rFonts w:ascii="Times New Roman" w:hAnsi="Times New Roman"/>
                <w:color w:val="000000" w:themeColor="text1"/>
                <w:kern w:val="1"/>
                <w:sz w:val="28"/>
                <w:szCs w:val="28"/>
                <w:lang w:eastAsia="ar-SA"/>
              </w:rPr>
              <w:t>Par vienoto atl</w:t>
            </w:r>
            <w:r>
              <w:rPr>
                <w:rFonts w:ascii="Times New Roman" w:hAnsi="Times New Roman"/>
                <w:color w:val="000000" w:themeColor="text1"/>
                <w:kern w:val="1"/>
                <w:sz w:val="28"/>
                <w:szCs w:val="28"/>
                <w:lang w:eastAsia="ar-SA"/>
              </w:rPr>
              <w:t>īdzības sistēmu valsts pārvaldē”</w:t>
            </w:r>
            <w:r w:rsidRPr="00EE1B97">
              <w:rPr>
                <w:rFonts w:ascii="Times New Roman" w:hAnsi="Times New Roman"/>
                <w:color w:val="000000" w:themeColor="text1"/>
                <w:kern w:val="1"/>
                <w:sz w:val="28"/>
                <w:szCs w:val="28"/>
                <w:lang w:eastAsia="ar-SA"/>
              </w:rPr>
              <w:t xml:space="preserve"> (atbilde Saeimas Publisko izdevumu un revīzijas komisijai)</w:t>
            </w:r>
            <w:r>
              <w:rPr>
                <w:rFonts w:ascii="Times New Roman" w:hAnsi="Times New Roman"/>
                <w:color w:val="000000" w:themeColor="text1"/>
                <w:kern w:val="1"/>
                <w:sz w:val="28"/>
                <w:szCs w:val="28"/>
                <w:lang w:eastAsia="ar-SA"/>
              </w:rPr>
              <w:t>” 2</w:t>
            </w:r>
            <w:r w:rsidR="00E4370E">
              <w:rPr>
                <w:rFonts w:ascii="Times New Roman" w:hAnsi="Times New Roman"/>
                <w:color w:val="000000" w:themeColor="text1"/>
                <w:kern w:val="1"/>
                <w:sz w:val="28"/>
                <w:szCs w:val="28"/>
                <w:lang w:eastAsia="ar-SA"/>
              </w:rPr>
              <w:t>.punkts</w:t>
            </w:r>
            <w:r>
              <w:rPr>
                <w:rFonts w:ascii="Times New Roman" w:hAnsi="Times New Roman"/>
                <w:color w:val="000000" w:themeColor="text1"/>
                <w:kern w:val="1"/>
                <w:sz w:val="28"/>
                <w:szCs w:val="28"/>
                <w:lang w:eastAsia="ar-SA"/>
              </w:rPr>
              <w:t xml:space="preserve"> </w:t>
            </w:r>
            <w:r w:rsidR="00E4370E">
              <w:rPr>
                <w:rFonts w:ascii="Times New Roman" w:hAnsi="Times New Roman"/>
                <w:color w:val="000000" w:themeColor="text1"/>
                <w:kern w:val="1"/>
                <w:sz w:val="28"/>
                <w:szCs w:val="28"/>
                <w:lang w:eastAsia="ar-SA"/>
              </w:rPr>
              <w:t xml:space="preserve">paredz uzdevumu </w:t>
            </w:r>
            <w:r w:rsidRPr="00EE1B97">
              <w:rPr>
                <w:rFonts w:ascii="Times New Roman" w:hAnsi="Times New Roman"/>
                <w:color w:val="000000" w:themeColor="text1"/>
                <w:kern w:val="1"/>
                <w:sz w:val="28"/>
                <w:szCs w:val="28"/>
                <w:lang w:eastAsia="ar-SA"/>
              </w:rPr>
              <w:t>Finanšu ministrijai sadarbībā ar</w:t>
            </w:r>
            <w:r>
              <w:rPr>
                <w:rFonts w:ascii="Times New Roman" w:hAnsi="Times New Roman"/>
                <w:color w:val="000000" w:themeColor="text1"/>
                <w:kern w:val="1"/>
                <w:sz w:val="28"/>
                <w:szCs w:val="28"/>
                <w:lang w:eastAsia="ar-SA"/>
              </w:rPr>
              <w:t xml:space="preserve"> Valsts kanceleju pēc pētījuma „</w:t>
            </w:r>
            <w:r w:rsidRPr="00EE1B97">
              <w:rPr>
                <w:rFonts w:ascii="Times New Roman" w:hAnsi="Times New Roman"/>
                <w:color w:val="000000" w:themeColor="text1"/>
                <w:kern w:val="1"/>
                <w:sz w:val="28"/>
                <w:szCs w:val="28"/>
                <w:lang w:eastAsia="ar-SA"/>
              </w:rPr>
              <w:t>Salīdzinošs</w:t>
            </w:r>
            <w:r>
              <w:rPr>
                <w:rFonts w:ascii="Times New Roman" w:hAnsi="Times New Roman"/>
                <w:color w:val="000000" w:themeColor="text1"/>
                <w:kern w:val="1"/>
                <w:sz w:val="28"/>
                <w:szCs w:val="28"/>
                <w:lang w:eastAsia="ar-SA"/>
              </w:rPr>
              <w:t xml:space="preserve"> pētījums par atalgojuma apmēru”</w:t>
            </w:r>
            <w:r w:rsidRPr="00EE1B97">
              <w:rPr>
                <w:rFonts w:ascii="Times New Roman" w:hAnsi="Times New Roman"/>
                <w:color w:val="000000" w:themeColor="text1"/>
                <w:kern w:val="1"/>
                <w:sz w:val="28"/>
                <w:szCs w:val="28"/>
                <w:lang w:eastAsia="ar-SA"/>
              </w:rPr>
              <w:t xml:space="preserve"> rezultātu saņemšanas izvērtēt pētījumā sniegtos secinājumus par darbinieku darba samaksu līdzvērtīgos amatos valsts tiešās pārvaldes iestādēs (atsevišķi nodalot arī ministrijas) un privātajā sektorā un līdz 2016.gada 1.septembrim iesniegt Valsts kancelejā informatīvo ziņojumu ar iespējamajiem risinājumiem valsts tiešās pārvaldes iestāžu augsti kvalificētu ekspertu un augstākā līmeņa vadītāju konkurētspējīgas atlīdzības nodrošināšanai. </w:t>
            </w:r>
            <w:r w:rsidR="00E4370E">
              <w:rPr>
                <w:rFonts w:ascii="Times New Roman" w:hAnsi="Times New Roman"/>
                <w:color w:val="000000" w:themeColor="text1"/>
                <w:kern w:val="1"/>
                <w:sz w:val="28"/>
                <w:szCs w:val="28"/>
                <w:lang w:eastAsia="ar-SA"/>
              </w:rPr>
              <w:t>Saskaņā ar Ministru kabineta 2016.gada 6.septembra sēdes protokollēmuma (</w:t>
            </w:r>
            <w:r w:rsidR="00E4370E">
              <w:rPr>
                <w:rFonts w:ascii="Times New Roman" w:hAnsi="Times New Roman"/>
                <w:color w:val="000000" w:themeColor="text1"/>
                <w:sz w:val="28"/>
                <w:szCs w:val="28"/>
              </w:rPr>
              <w:t>prot. Nr.44 24</w:t>
            </w:r>
            <w:r w:rsidR="00E4370E" w:rsidRPr="001748DE">
              <w:rPr>
                <w:rFonts w:ascii="Times New Roman" w:hAnsi="Times New Roman"/>
                <w:color w:val="000000" w:themeColor="text1"/>
                <w:sz w:val="28"/>
                <w:szCs w:val="28"/>
              </w:rPr>
              <w:t>.§</w:t>
            </w:r>
            <w:r w:rsidR="00E4370E">
              <w:rPr>
                <w:rFonts w:ascii="Times New Roman" w:hAnsi="Times New Roman"/>
                <w:color w:val="000000" w:themeColor="text1"/>
                <w:kern w:val="1"/>
                <w:sz w:val="28"/>
                <w:szCs w:val="28"/>
                <w:lang w:eastAsia="ar-SA"/>
              </w:rPr>
              <w:t>) „</w:t>
            </w:r>
            <w:r w:rsidR="00E4370E" w:rsidRPr="00E4370E">
              <w:rPr>
                <w:rFonts w:ascii="Times New Roman" w:hAnsi="Times New Roman"/>
                <w:color w:val="000000" w:themeColor="text1"/>
                <w:kern w:val="1"/>
                <w:sz w:val="28"/>
                <w:szCs w:val="28"/>
                <w:lang w:eastAsia="ar-SA"/>
              </w:rPr>
              <w:t>Par Ministru kabineta 2016.gada 1.marta sēdes pro</w:t>
            </w:r>
            <w:r w:rsidR="00E4370E">
              <w:rPr>
                <w:rFonts w:ascii="Times New Roman" w:hAnsi="Times New Roman"/>
                <w:color w:val="000000" w:themeColor="text1"/>
                <w:kern w:val="1"/>
                <w:sz w:val="28"/>
                <w:szCs w:val="28"/>
                <w:lang w:eastAsia="ar-SA"/>
              </w:rPr>
              <w:t>tokollēmuma (prot. Nr.10 50.§) „</w:t>
            </w:r>
            <w:r w:rsidR="00E4370E" w:rsidRPr="00E4370E">
              <w:rPr>
                <w:rFonts w:ascii="Times New Roman" w:hAnsi="Times New Roman"/>
                <w:color w:val="000000" w:themeColor="text1"/>
                <w:kern w:val="1"/>
                <w:sz w:val="28"/>
                <w:szCs w:val="28"/>
                <w:lang w:eastAsia="ar-SA"/>
              </w:rPr>
              <w:t xml:space="preserve">Informatīvais ziņojums </w:t>
            </w:r>
            <w:r w:rsidR="00E4370E">
              <w:rPr>
                <w:rFonts w:ascii="Times New Roman" w:hAnsi="Times New Roman"/>
                <w:color w:val="000000" w:themeColor="text1"/>
                <w:kern w:val="1"/>
                <w:sz w:val="28"/>
                <w:szCs w:val="28"/>
                <w:lang w:eastAsia="ar-SA"/>
              </w:rPr>
              <w:t>„</w:t>
            </w:r>
            <w:r w:rsidR="00E4370E" w:rsidRPr="00E4370E">
              <w:rPr>
                <w:rFonts w:ascii="Times New Roman" w:hAnsi="Times New Roman"/>
                <w:color w:val="000000" w:themeColor="text1"/>
                <w:kern w:val="1"/>
                <w:sz w:val="28"/>
                <w:szCs w:val="28"/>
                <w:lang w:eastAsia="ar-SA"/>
              </w:rPr>
              <w:t>Par vienoto atl</w:t>
            </w:r>
            <w:r w:rsidR="00E4370E">
              <w:rPr>
                <w:rFonts w:ascii="Times New Roman" w:hAnsi="Times New Roman"/>
                <w:color w:val="000000" w:themeColor="text1"/>
                <w:kern w:val="1"/>
                <w:sz w:val="28"/>
                <w:szCs w:val="28"/>
                <w:lang w:eastAsia="ar-SA"/>
              </w:rPr>
              <w:t>īdzības sistēmu valsts pārvaldē”</w:t>
            </w:r>
            <w:r w:rsidR="00E4370E" w:rsidRPr="00E4370E">
              <w:rPr>
                <w:rFonts w:ascii="Times New Roman" w:hAnsi="Times New Roman"/>
                <w:color w:val="000000" w:themeColor="text1"/>
                <w:kern w:val="1"/>
                <w:sz w:val="28"/>
                <w:szCs w:val="28"/>
                <w:lang w:eastAsia="ar-SA"/>
              </w:rPr>
              <w:t xml:space="preserve"> (atbilde Saeimas Publisko izdevumu un revīzijas komisijai)</w:t>
            </w:r>
            <w:r w:rsidR="00E4370E">
              <w:rPr>
                <w:rFonts w:ascii="Times New Roman" w:hAnsi="Times New Roman"/>
                <w:color w:val="000000" w:themeColor="text1"/>
                <w:kern w:val="1"/>
                <w:sz w:val="28"/>
                <w:szCs w:val="28"/>
                <w:lang w:eastAsia="ar-SA"/>
              </w:rPr>
              <w:t>”</w:t>
            </w:r>
            <w:r w:rsidR="00E4370E" w:rsidRPr="00E4370E">
              <w:rPr>
                <w:rFonts w:ascii="Times New Roman" w:hAnsi="Times New Roman"/>
                <w:color w:val="000000" w:themeColor="text1"/>
                <w:kern w:val="1"/>
                <w:sz w:val="28"/>
                <w:szCs w:val="28"/>
                <w:lang w:eastAsia="ar-SA"/>
              </w:rPr>
              <w:t xml:space="preserve"> 2.punktā dotā uzdevuma izpildi</w:t>
            </w:r>
            <w:r w:rsidR="00E4370E">
              <w:rPr>
                <w:rFonts w:ascii="Times New Roman" w:hAnsi="Times New Roman"/>
                <w:color w:val="000000" w:themeColor="text1"/>
                <w:kern w:val="1"/>
                <w:sz w:val="28"/>
                <w:szCs w:val="28"/>
                <w:lang w:eastAsia="ar-SA"/>
              </w:rPr>
              <w:t>” 1.punktu minētā uzdevuma termiņš tika pagarināts līdz 2016.gada 31.decembrim.</w:t>
            </w:r>
          </w:p>
          <w:p w:rsidR="00E631C6" w:rsidRDefault="001748DE" w:rsidP="00171D1D">
            <w:pPr>
              <w:suppressAutoHyphens/>
              <w:ind w:firstLine="459"/>
              <w:jc w:val="both"/>
              <w:rPr>
                <w:rFonts w:ascii="Times New Roman" w:hAnsi="Times New Roman"/>
                <w:color w:val="000000" w:themeColor="text1"/>
                <w:kern w:val="1"/>
                <w:sz w:val="28"/>
                <w:szCs w:val="28"/>
                <w:lang w:eastAsia="ar-SA"/>
              </w:rPr>
            </w:pPr>
            <w:r w:rsidRPr="001748DE">
              <w:rPr>
                <w:rFonts w:ascii="Times New Roman" w:hAnsi="Times New Roman"/>
                <w:color w:val="000000" w:themeColor="text1"/>
                <w:sz w:val="28"/>
                <w:szCs w:val="28"/>
              </w:rPr>
              <w:t xml:space="preserve">Vienlaikus Kultūras ministrija atbilstoši </w:t>
            </w:r>
            <w:r w:rsidR="00023589">
              <w:rPr>
                <w:rFonts w:ascii="Times New Roman" w:hAnsi="Times New Roman"/>
                <w:color w:val="000000" w:themeColor="text1"/>
                <w:sz w:val="28"/>
                <w:szCs w:val="28"/>
              </w:rPr>
              <w:t xml:space="preserve">valsts </w:t>
            </w:r>
            <w:r w:rsidRPr="001748DE">
              <w:rPr>
                <w:rFonts w:ascii="Times New Roman" w:hAnsi="Times New Roman"/>
                <w:color w:val="000000" w:themeColor="text1"/>
                <w:sz w:val="28"/>
                <w:szCs w:val="28"/>
              </w:rPr>
              <w:t>budžeta iespējām</w:t>
            </w:r>
            <w:r w:rsidR="00171D1D">
              <w:rPr>
                <w:rFonts w:ascii="Times New Roman" w:hAnsi="Times New Roman"/>
                <w:color w:val="000000" w:themeColor="text1"/>
                <w:sz w:val="28"/>
                <w:szCs w:val="28"/>
              </w:rPr>
              <w:t xml:space="preserve"> pastāvīgi</w:t>
            </w:r>
            <w:r w:rsidR="00171D1D" w:rsidRPr="001748DE">
              <w:rPr>
                <w:rFonts w:ascii="Times New Roman" w:hAnsi="Times New Roman"/>
                <w:color w:val="000000" w:themeColor="text1"/>
                <w:sz w:val="28"/>
                <w:szCs w:val="28"/>
              </w:rPr>
              <w:t xml:space="preserve"> </w:t>
            </w:r>
            <w:r w:rsidRPr="001748DE">
              <w:rPr>
                <w:rFonts w:ascii="Times New Roman" w:hAnsi="Times New Roman"/>
                <w:color w:val="000000" w:themeColor="text1"/>
                <w:sz w:val="28"/>
                <w:szCs w:val="28"/>
              </w:rPr>
              <w:t xml:space="preserve">veic pasākumus, lai </w:t>
            </w:r>
            <w:r w:rsidR="00171D1D">
              <w:rPr>
                <w:rFonts w:ascii="Times New Roman" w:hAnsi="Times New Roman"/>
                <w:color w:val="000000" w:themeColor="text1"/>
                <w:sz w:val="28"/>
                <w:szCs w:val="28"/>
              </w:rPr>
              <w:t>iespēju robežās palielinātu</w:t>
            </w:r>
            <w:r w:rsidRPr="001748DE">
              <w:rPr>
                <w:rFonts w:ascii="Times New Roman" w:hAnsi="Times New Roman"/>
                <w:color w:val="000000" w:themeColor="text1"/>
                <w:sz w:val="28"/>
                <w:szCs w:val="28"/>
              </w:rPr>
              <w:t xml:space="preserve"> kultūras nozarē nodarbināto atalgojumu. 2015. un 2016.gadā atalgojums tika palielināts kultūras iestādēs, kurās konstatēts viszemākais vidējais atalgojums pret citām iestādēm ar līdzīgu funkciju un pret vidējo sabiedriskajā sektorā strādājošā darba samaksu 2013.gadā. Muzeju, arhīvu un bibliotēku speciālistiem ar augstāko izglītību vidējais atalgojums tika palielināts līdz 695</w:t>
            </w:r>
            <w:r w:rsidR="00474FEF">
              <w:rPr>
                <w:rFonts w:ascii="Times New Roman" w:hAnsi="Times New Roman"/>
                <w:color w:val="000000" w:themeColor="text1"/>
                <w:sz w:val="28"/>
                <w:szCs w:val="28"/>
              </w:rPr>
              <w:t> </w:t>
            </w:r>
            <w:r w:rsidRPr="001748DE">
              <w:rPr>
                <w:rFonts w:ascii="Times New Roman" w:hAnsi="Times New Roman"/>
                <w:i/>
                <w:color w:val="000000" w:themeColor="text1"/>
                <w:sz w:val="28"/>
                <w:szCs w:val="28"/>
              </w:rPr>
              <w:t xml:space="preserve">euro </w:t>
            </w:r>
            <w:r w:rsidRPr="001748DE">
              <w:rPr>
                <w:rFonts w:ascii="Times New Roman" w:hAnsi="Times New Roman"/>
                <w:color w:val="000000" w:themeColor="text1"/>
                <w:sz w:val="28"/>
                <w:szCs w:val="28"/>
              </w:rPr>
              <w:t xml:space="preserve">mēnesī, savukārt </w:t>
            </w:r>
            <w:r w:rsidRPr="001748DE">
              <w:rPr>
                <w:rFonts w:ascii="Times New Roman" w:hAnsi="Times New Roman"/>
                <w:color w:val="000000" w:themeColor="text1"/>
                <w:sz w:val="28"/>
                <w:szCs w:val="28"/>
              </w:rPr>
              <w:lastRenderedPageBreak/>
              <w:t xml:space="preserve">profesionālajiem mūziķiem, kas ir viena no starptautiskajai konkurencei visvairāk pakļautajām kultūras nozarē nodarbināto grupām – līdz 800 </w:t>
            </w:r>
            <w:r w:rsidRPr="001748DE">
              <w:rPr>
                <w:rFonts w:ascii="Times New Roman" w:hAnsi="Times New Roman"/>
                <w:i/>
                <w:color w:val="000000" w:themeColor="text1"/>
                <w:sz w:val="28"/>
                <w:szCs w:val="28"/>
              </w:rPr>
              <w:t>euro</w:t>
            </w:r>
            <w:r w:rsidRPr="001748DE">
              <w:rPr>
                <w:rFonts w:ascii="Times New Roman" w:hAnsi="Times New Roman"/>
                <w:color w:val="000000" w:themeColor="text1"/>
                <w:sz w:val="28"/>
                <w:szCs w:val="28"/>
              </w:rPr>
              <w:t xml:space="preserve"> mēnesī. 2017.gadā izdevās panākt 10,7 milj</w:t>
            </w:r>
            <w:r w:rsidR="00171D1D">
              <w:rPr>
                <w:rFonts w:ascii="Times New Roman" w:hAnsi="Times New Roman"/>
                <w:color w:val="000000" w:themeColor="text1"/>
                <w:sz w:val="28"/>
                <w:szCs w:val="28"/>
              </w:rPr>
              <w:t>.</w:t>
            </w:r>
            <w:r w:rsidRPr="001748DE">
              <w:rPr>
                <w:rFonts w:ascii="Times New Roman" w:hAnsi="Times New Roman"/>
                <w:color w:val="000000" w:themeColor="text1"/>
                <w:sz w:val="28"/>
                <w:szCs w:val="28"/>
              </w:rPr>
              <w:t xml:space="preserve"> </w:t>
            </w:r>
            <w:r w:rsidRPr="001748DE">
              <w:rPr>
                <w:rFonts w:ascii="Times New Roman" w:hAnsi="Times New Roman"/>
                <w:i/>
                <w:color w:val="000000" w:themeColor="text1"/>
                <w:sz w:val="28"/>
                <w:szCs w:val="28"/>
              </w:rPr>
              <w:t>euro</w:t>
            </w:r>
            <w:r w:rsidRPr="001748DE">
              <w:rPr>
                <w:rFonts w:ascii="Times New Roman" w:hAnsi="Times New Roman"/>
                <w:color w:val="000000" w:themeColor="text1"/>
                <w:sz w:val="28"/>
                <w:szCs w:val="28"/>
              </w:rPr>
              <w:t xml:space="preserve"> budžeta pieaugumu kultūras nozarē strādājošo atalgojumam. Būtiskākais pieaugums saistīts ar jaunā darba samaksas modeļa ieviešanu kultūrizglītības pedagogiem – 8,6</w:t>
            </w:r>
            <w:r w:rsidR="00582719">
              <w:rPr>
                <w:rFonts w:ascii="Times New Roman" w:hAnsi="Times New Roman"/>
                <w:color w:val="000000" w:themeColor="text1"/>
                <w:sz w:val="28"/>
                <w:szCs w:val="28"/>
              </w:rPr>
              <w:t> </w:t>
            </w:r>
            <w:r w:rsidRPr="001748DE">
              <w:rPr>
                <w:rFonts w:ascii="Times New Roman" w:hAnsi="Times New Roman"/>
                <w:color w:val="000000" w:themeColor="text1"/>
                <w:sz w:val="28"/>
                <w:szCs w:val="28"/>
              </w:rPr>
              <w:t>milj</w:t>
            </w:r>
            <w:r w:rsidR="00171D1D">
              <w:rPr>
                <w:rFonts w:ascii="Times New Roman" w:hAnsi="Times New Roman"/>
                <w:color w:val="000000" w:themeColor="text1"/>
                <w:sz w:val="28"/>
                <w:szCs w:val="28"/>
              </w:rPr>
              <w:t xml:space="preserve">. </w:t>
            </w:r>
            <w:r w:rsidRPr="001748DE">
              <w:rPr>
                <w:rFonts w:ascii="Times New Roman" w:hAnsi="Times New Roman"/>
                <w:i/>
                <w:color w:val="000000" w:themeColor="text1"/>
                <w:sz w:val="28"/>
                <w:szCs w:val="28"/>
              </w:rPr>
              <w:t>euro</w:t>
            </w:r>
            <w:r w:rsidR="00171D1D">
              <w:rPr>
                <w:rFonts w:ascii="Times New Roman" w:hAnsi="Times New Roman"/>
                <w:color w:val="000000" w:themeColor="text1"/>
                <w:sz w:val="28"/>
                <w:szCs w:val="28"/>
              </w:rPr>
              <w:t>, bet 1,77 </w:t>
            </w:r>
            <w:r w:rsidRPr="001748DE">
              <w:rPr>
                <w:rFonts w:ascii="Times New Roman" w:hAnsi="Times New Roman"/>
                <w:color w:val="000000" w:themeColor="text1"/>
                <w:sz w:val="28"/>
                <w:szCs w:val="28"/>
              </w:rPr>
              <w:t>milj</w:t>
            </w:r>
            <w:r w:rsidR="00171D1D">
              <w:rPr>
                <w:rFonts w:ascii="Times New Roman" w:hAnsi="Times New Roman"/>
                <w:color w:val="000000" w:themeColor="text1"/>
                <w:sz w:val="28"/>
                <w:szCs w:val="28"/>
              </w:rPr>
              <w:t>. </w:t>
            </w:r>
            <w:r w:rsidRPr="001748DE">
              <w:rPr>
                <w:rFonts w:ascii="Times New Roman" w:hAnsi="Times New Roman"/>
                <w:i/>
                <w:color w:val="000000" w:themeColor="text1"/>
                <w:sz w:val="28"/>
                <w:szCs w:val="28"/>
              </w:rPr>
              <w:t>euro</w:t>
            </w:r>
            <w:r w:rsidRPr="001748DE">
              <w:rPr>
                <w:rFonts w:ascii="Times New Roman" w:hAnsi="Times New Roman"/>
                <w:color w:val="000000" w:themeColor="text1"/>
                <w:sz w:val="28"/>
                <w:szCs w:val="28"/>
              </w:rPr>
              <w:t xml:space="preserve"> ir novirzīti teātru, koncertorganizāciju, operas un baleta darbinieku atalgojumam, tādējādi vidēji par 15% ir palielināts  atalgojums teātru un koncertu apkalpojošajam personālam</w:t>
            </w:r>
            <w:r w:rsidR="00023589">
              <w:rPr>
                <w:rFonts w:ascii="Times New Roman" w:hAnsi="Times New Roman"/>
                <w:color w:val="000000" w:themeColor="text1"/>
                <w:sz w:val="28"/>
                <w:szCs w:val="28"/>
              </w:rPr>
              <w:t>. S</w:t>
            </w:r>
            <w:r w:rsidRPr="001748DE">
              <w:rPr>
                <w:rFonts w:ascii="Times New Roman" w:hAnsi="Times New Roman"/>
                <w:color w:val="000000" w:themeColor="text1"/>
                <w:sz w:val="28"/>
                <w:szCs w:val="28"/>
              </w:rPr>
              <w:t xml:space="preserve">avukārt no 2017.gada 1.marta vidēji par 10%  pieaugs atalgojums mūziķiem un aktieriem, sasniedzot vidēji 880 </w:t>
            </w:r>
            <w:r w:rsidRPr="001748DE">
              <w:rPr>
                <w:rFonts w:ascii="Times New Roman" w:hAnsi="Times New Roman"/>
                <w:i/>
                <w:color w:val="000000" w:themeColor="text1"/>
                <w:sz w:val="28"/>
                <w:szCs w:val="28"/>
              </w:rPr>
              <w:t>euro</w:t>
            </w:r>
            <w:r w:rsidR="00171D1D">
              <w:rPr>
                <w:rFonts w:ascii="Times New Roman" w:hAnsi="Times New Roman"/>
                <w:color w:val="000000" w:themeColor="text1"/>
                <w:sz w:val="28"/>
                <w:szCs w:val="28"/>
              </w:rPr>
              <w:t xml:space="preserve">.  </w:t>
            </w:r>
            <w:r w:rsidRPr="001748DE">
              <w:rPr>
                <w:rFonts w:ascii="Times New Roman" w:hAnsi="Times New Roman"/>
                <w:color w:val="000000" w:themeColor="text1"/>
                <w:sz w:val="28"/>
                <w:szCs w:val="28"/>
              </w:rPr>
              <w:t>Salīdzinoši neliels finansējums 293</w:t>
            </w:r>
            <w:r w:rsidR="00171D1D">
              <w:rPr>
                <w:rFonts w:ascii="Times New Roman" w:hAnsi="Times New Roman"/>
                <w:color w:val="000000" w:themeColor="text1"/>
                <w:sz w:val="28"/>
                <w:szCs w:val="28"/>
              </w:rPr>
              <w:t> </w:t>
            </w:r>
            <w:r w:rsidRPr="001748DE">
              <w:rPr>
                <w:rFonts w:ascii="Times New Roman" w:hAnsi="Times New Roman"/>
                <w:color w:val="000000" w:themeColor="text1"/>
                <w:sz w:val="28"/>
                <w:szCs w:val="28"/>
              </w:rPr>
              <w:t>060</w:t>
            </w:r>
            <w:r w:rsidR="00171D1D">
              <w:rPr>
                <w:rFonts w:ascii="Times New Roman" w:hAnsi="Times New Roman"/>
                <w:color w:val="000000" w:themeColor="text1"/>
                <w:sz w:val="28"/>
                <w:szCs w:val="28"/>
              </w:rPr>
              <w:t> </w:t>
            </w:r>
            <w:r w:rsidRPr="001748DE">
              <w:rPr>
                <w:rFonts w:ascii="Times New Roman" w:hAnsi="Times New Roman"/>
                <w:i/>
                <w:color w:val="000000" w:themeColor="text1"/>
                <w:sz w:val="28"/>
                <w:szCs w:val="28"/>
              </w:rPr>
              <w:t>euro</w:t>
            </w:r>
            <w:r w:rsidRPr="001748DE">
              <w:rPr>
                <w:rFonts w:ascii="Times New Roman" w:hAnsi="Times New Roman"/>
                <w:color w:val="000000" w:themeColor="text1"/>
                <w:sz w:val="28"/>
                <w:szCs w:val="28"/>
              </w:rPr>
              <w:t xml:space="preserve"> apmērā paredzēts kultūras mantojuma iestāžu atalgojuma celšanai, tāpēc mantojuma nozarē strādājošo atalgojuma celšana ir Kultūras ministrijas 2018.gada prioritāte.</w:t>
            </w:r>
          </w:p>
          <w:p w:rsidR="00E631C6" w:rsidRDefault="001748DE" w:rsidP="00E631C6">
            <w:pPr>
              <w:suppressAutoHyphens/>
              <w:ind w:firstLine="459"/>
              <w:jc w:val="both"/>
              <w:rPr>
                <w:rFonts w:ascii="Times New Roman" w:hAnsi="Times New Roman"/>
                <w:color w:val="000000" w:themeColor="text1"/>
                <w:kern w:val="1"/>
                <w:sz w:val="28"/>
                <w:szCs w:val="28"/>
                <w:lang w:eastAsia="ar-SA"/>
              </w:rPr>
            </w:pPr>
            <w:r w:rsidRPr="001748DE">
              <w:rPr>
                <w:rFonts w:ascii="Times New Roman" w:hAnsi="Times New Roman"/>
                <w:color w:val="000000" w:themeColor="text1"/>
                <w:kern w:val="1"/>
                <w:sz w:val="28"/>
                <w:szCs w:val="28"/>
                <w:lang w:eastAsia="ar-SA"/>
              </w:rPr>
              <w:t xml:space="preserve">Lai turpmāk nodrošinātu koordinētu priekšlikumu izstrādi par valstī nodarbināto kultūras darbinieku atalgojumu, Kultūras ministrija rīkosies, pamatojoties uz kopīgajiem Finanšu ministrijas un Valsts kancelejas izstrādātajiem un Ministru kabinetā apstiprinātajiem priekšlikumiem atlīdzības sistēmas valsts pārvaldē pilnveidei. </w:t>
            </w:r>
          </w:p>
          <w:p w:rsidR="001748DE" w:rsidRPr="001748DE" w:rsidRDefault="001748DE" w:rsidP="00023589">
            <w:pPr>
              <w:suppressAutoHyphens/>
              <w:ind w:firstLine="459"/>
              <w:jc w:val="both"/>
              <w:rPr>
                <w:rFonts w:ascii="Times New Roman" w:hAnsi="Times New Roman"/>
                <w:color w:val="000000" w:themeColor="text1"/>
                <w:kern w:val="1"/>
                <w:sz w:val="28"/>
                <w:szCs w:val="28"/>
                <w:lang w:eastAsia="ar-SA"/>
              </w:rPr>
            </w:pPr>
            <w:r w:rsidRPr="001748DE">
              <w:rPr>
                <w:rFonts w:ascii="Times New Roman" w:hAnsi="Times New Roman"/>
                <w:color w:val="000000" w:themeColor="text1"/>
                <w:kern w:val="1"/>
                <w:sz w:val="28"/>
                <w:szCs w:val="28"/>
                <w:lang w:eastAsia="ar-SA"/>
              </w:rPr>
              <w:t xml:space="preserve">Ņemot vērā minēto, </w:t>
            </w:r>
            <w:r w:rsidR="00171D1D">
              <w:rPr>
                <w:rFonts w:ascii="Times New Roman" w:hAnsi="Times New Roman"/>
                <w:color w:val="000000" w:themeColor="text1"/>
                <w:kern w:val="1"/>
                <w:sz w:val="28"/>
                <w:szCs w:val="28"/>
                <w:lang w:eastAsia="ar-SA"/>
              </w:rPr>
              <w:t xml:space="preserve">Kultūras ministrija ir sagatavojusi Projektu, kas </w:t>
            </w:r>
            <w:r w:rsidR="00023589">
              <w:rPr>
                <w:rFonts w:ascii="Times New Roman" w:hAnsi="Times New Roman"/>
                <w:color w:val="000000" w:themeColor="text1"/>
                <w:kern w:val="1"/>
                <w:sz w:val="28"/>
                <w:szCs w:val="28"/>
                <w:lang w:eastAsia="ar-SA"/>
              </w:rPr>
              <w:t xml:space="preserve">paredz atzīt </w:t>
            </w:r>
            <w:r w:rsidR="00171D1D">
              <w:rPr>
                <w:rFonts w:ascii="Times New Roman" w:hAnsi="Times New Roman"/>
                <w:color w:val="000000" w:themeColor="text1"/>
                <w:kern w:val="1"/>
                <w:sz w:val="28"/>
                <w:szCs w:val="28"/>
                <w:lang w:eastAsia="ar-SA"/>
              </w:rPr>
              <w:t>Ministru kabineta</w:t>
            </w:r>
            <w:r w:rsidR="00171D1D" w:rsidRPr="001748DE">
              <w:rPr>
                <w:rFonts w:ascii="Times New Roman" w:hAnsi="Times New Roman"/>
                <w:color w:val="000000" w:themeColor="text1"/>
                <w:kern w:val="1"/>
                <w:sz w:val="28"/>
                <w:szCs w:val="28"/>
                <w:lang w:eastAsia="ar-SA"/>
              </w:rPr>
              <w:t xml:space="preserve"> </w:t>
            </w:r>
            <w:r w:rsidR="00171D1D" w:rsidRPr="001748DE">
              <w:rPr>
                <w:rFonts w:ascii="Times New Roman" w:hAnsi="Times New Roman"/>
                <w:color w:val="000000" w:themeColor="text1"/>
                <w:sz w:val="28"/>
                <w:szCs w:val="28"/>
              </w:rPr>
              <w:t>2013.gada 17.decembra sē</w:t>
            </w:r>
            <w:r w:rsidR="00171D1D">
              <w:rPr>
                <w:rFonts w:ascii="Times New Roman" w:hAnsi="Times New Roman"/>
                <w:color w:val="000000" w:themeColor="text1"/>
                <w:sz w:val="28"/>
                <w:szCs w:val="28"/>
              </w:rPr>
              <w:t>des protokollēmuma (prot. Nr.67</w:t>
            </w:r>
            <w:r w:rsidR="00171D1D" w:rsidRPr="001748DE">
              <w:rPr>
                <w:rFonts w:ascii="Times New Roman" w:hAnsi="Times New Roman"/>
                <w:color w:val="000000" w:themeColor="text1"/>
                <w:sz w:val="28"/>
                <w:szCs w:val="28"/>
              </w:rPr>
              <w:t xml:space="preserve"> 106.§) </w:t>
            </w:r>
            <w:r w:rsidR="00171D1D" w:rsidRPr="001748DE">
              <w:rPr>
                <w:rFonts w:ascii="Times New Roman" w:hAnsi="Times New Roman"/>
                <w:color w:val="000000" w:themeColor="text1"/>
                <w:kern w:val="1"/>
                <w:sz w:val="28"/>
                <w:szCs w:val="28"/>
                <w:lang w:eastAsia="ar-SA"/>
              </w:rPr>
              <w:t>„Informatīvais ziņojums „Par valsts sabiedrības ar ierobežotu atbildību „Latvijas Nacionālā opera” turpmākas darbības priekšlikumiem apgrozāmo līdzekļu stabilizēšanai un finansiālās darbības uzlabošanai” 4.punktā</w:t>
            </w:r>
            <w:r w:rsidR="00171D1D">
              <w:rPr>
                <w:rFonts w:ascii="Times New Roman" w:hAnsi="Times New Roman"/>
                <w:color w:val="000000" w:themeColor="text1"/>
                <w:kern w:val="1"/>
                <w:sz w:val="28"/>
                <w:szCs w:val="28"/>
                <w:lang w:eastAsia="ar-SA"/>
              </w:rPr>
              <w:t xml:space="preserve"> doto uzdevumu </w:t>
            </w:r>
            <w:r w:rsidRPr="001748DE">
              <w:rPr>
                <w:rFonts w:ascii="Times New Roman" w:hAnsi="Times New Roman"/>
                <w:color w:val="000000" w:themeColor="text1"/>
                <w:kern w:val="1"/>
                <w:sz w:val="28"/>
                <w:szCs w:val="28"/>
                <w:lang w:eastAsia="ar-SA"/>
              </w:rPr>
              <w:t xml:space="preserve">par aktualitāti zaudējušu. </w:t>
            </w:r>
          </w:p>
        </w:tc>
      </w:tr>
      <w:tr w:rsidR="001748DE" w:rsidRPr="001748DE" w:rsidTr="001748DE">
        <w:tc>
          <w:tcPr>
            <w:tcW w:w="2195" w:type="pct"/>
            <w:shd w:val="clear" w:color="auto" w:fill="auto"/>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lastRenderedPageBreak/>
              <w:t xml:space="preserve">Valsts sekretāru sanāksmes </w:t>
            </w:r>
            <w:r w:rsidRPr="001748DE">
              <w:rPr>
                <w:rFonts w:ascii="Times New Roman" w:hAnsi="Times New Roman"/>
                <w:sz w:val="28"/>
                <w:szCs w:val="28"/>
              </w:rPr>
              <w:lastRenderedPageBreak/>
              <w:t>datums un numurs</w:t>
            </w:r>
          </w:p>
        </w:tc>
        <w:tc>
          <w:tcPr>
            <w:tcW w:w="2805" w:type="pct"/>
            <w:shd w:val="clear" w:color="auto" w:fill="auto"/>
          </w:tcPr>
          <w:p w:rsidR="001748DE" w:rsidRPr="001748DE" w:rsidRDefault="00823BA3" w:rsidP="00EA34B1">
            <w:pPr>
              <w:jc w:val="both"/>
              <w:rPr>
                <w:rFonts w:ascii="Times New Roman" w:hAnsi="Times New Roman"/>
                <w:sz w:val="28"/>
                <w:szCs w:val="28"/>
              </w:rPr>
            </w:pPr>
            <w:r w:rsidRPr="00757AB1">
              <w:rPr>
                <w:rFonts w:ascii="Times New Roman" w:hAnsi="Times New Roman"/>
                <w:iCs/>
                <w:sz w:val="28"/>
                <w:szCs w:val="28"/>
              </w:rPr>
              <w:lastRenderedPageBreak/>
              <w:t xml:space="preserve">Saskaņā ar Ministru kabineta 2009.gada </w:t>
            </w:r>
            <w:r w:rsidRPr="00757AB1">
              <w:rPr>
                <w:rFonts w:ascii="Times New Roman" w:hAnsi="Times New Roman"/>
                <w:iCs/>
                <w:sz w:val="28"/>
                <w:szCs w:val="28"/>
              </w:rPr>
              <w:lastRenderedPageBreak/>
              <w:t>7.aprīļa noteikumu Nr.300 „Ministru kabineta kārtības rullis</w:t>
            </w:r>
            <w:r w:rsidRPr="00757AB1">
              <w:rPr>
                <w:rFonts w:ascii="Times New Roman" w:hAnsi="Times New Roman"/>
                <w:sz w:val="28"/>
                <w:szCs w:val="28"/>
              </w:rPr>
              <w:t>”</w:t>
            </w:r>
            <w:r w:rsidRPr="00757AB1">
              <w:rPr>
                <w:rFonts w:ascii="Times New Roman" w:hAnsi="Times New Roman"/>
                <w:iCs/>
                <w:sz w:val="28"/>
                <w:szCs w:val="28"/>
              </w:rPr>
              <w:t xml:space="preserve"> 73.1.apakšpunktu Ministru kabineta sēdes protokollēmuma projektu par Ministru kabineta sēdes protokollēmumā ministrijai vai citai institūcijai dotā uzdevuma izpildi Valsts sekretāru sanāksmē nav nepieciešams izsludināt.</w:t>
            </w:r>
          </w:p>
        </w:tc>
      </w:tr>
      <w:tr w:rsidR="001748DE" w:rsidRPr="001748DE" w:rsidTr="00823BA3">
        <w:trPr>
          <w:trHeight w:val="410"/>
        </w:trPr>
        <w:tc>
          <w:tcPr>
            <w:tcW w:w="2195" w:type="pct"/>
            <w:shd w:val="clear" w:color="auto" w:fill="FFFFFF"/>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lastRenderedPageBreak/>
              <w:t>Informācija par saskaņojumiem</w:t>
            </w:r>
          </w:p>
        </w:tc>
        <w:tc>
          <w:tcPr>
            <w:tcW w:w="2805" w:type="pct"/>
            <w:shd w:val="clear" w:color="auto" w:fill="FFFFFF"/>
          </w:tcPr>
          <w:p w:rsidR="001748DE" w:rsidRPr="001748DE" w:rsidRDefault="00823BA3" w:rsidP="00EA34B1">
            <w:pPr>
              <w:jc w:val="both"/>
              <w:rPr>
                <w:rFonts w:ascii="Times New Roman" w:hAnsi="Times New Roman"/>
                <w:b/>
                <w:sz w:val="28"/>
                <w:szCs w:val="28"/>
              </w:rPr>
            </w:pPr>
            <w:r w:rsidRPr="00276857">
              <w:rPr>
                <w:rFonts w:ascii="Times New Roman" w:hAnsi="Times New Roman"/>
                <w:sz w:val="28"/>
                <w:szCs w:val="28"/>
              </w:rPr>
              <w:t>Nav attiecināms.</w:t>
            </w:r>
          </w:p>
        </w:tc>
      </w:tr>
      <w:tr w:rsidR="001748DE" w:rsidRPr="001748DE" w:rsidTr="00823BA3">
        <w:trPr>
          <w:trHeight w:val="699"/>
        </w:trPr>
        <w:tc>
          <w:tcPr>
            <w:tcW w:w="2195" w:type="pct"/>
            <w:shd w:val="clear" w:color="auto" w:fill="auto"/>
          </w:tcPr>
          <w:p w:rsidR="001748DE" w:rsidRPr="001748DE" w:rsidRDefault="00823BA3" w:rsidP="00EA34B1">
            <w:pPr>
              <w:jc w:val="both"/>
              <w:rPr>
                <w:rFonts w:ascii="Times New Roman" w:hAnsi="Times New Roman"/>
                <w:sz w:val="28"/>
                <w:szCs w:val="28"/>
              </w:rPr>
            </w:pPr>
            <w:r>
              <w:rPr>
                <w:rFonts w:ascii="Times New Roman" w:hAnsi="Times New Roman"/>
                <w:sz w:val="28"/>
                <w:szCs w:val="28"/>
              </w:rPr>
              <w:t>Informācija</w:t>
            </w:r>
            <w:r w:rsidRPr="00276857">
              <w:rPr>
                <w:rFonts w:ascii="Times New Roman" w:hAnsi="Times New Roman"/>
                <w:sz w:val="28"/>
                <w:szCs w:val="28"/>
              </w:rPr>
              <w:t xml:space="preserve"> par saskaņojumu ar Eiropas Savienības institūcijām</w:t>
            </w:r>
          </w:p>
        </w:tc>
        <w:tc>
          <w:tcPr>
            <w:tcW w:w="2805" w:type="pct"/>
            <w:shd w:val="clear" w:color="auto" w:fill="auto"/>
          </w:tcPr>
          <w:p w:rsidR="001748DE" w:rsidRPr="001748DE" w:rsidRDefault="00823BA3" w:rsidP="00EA34B1">
            <w:pPr>
              <w:jc w:val="both"/>
              <w:rPr>
                <w:rFonts w:ascii="Times New Roman" w:hAnsi="Times New Roman"/>
                <w:sz w:val="28"/>
                <w:szCs w:val="28"/>
              </w:rPr>
            </w:pPr>
            <w:r w:rsidRPr="00276857">
              <w:rPr>
                <w:rFonts w:ascii="Times New Roman" w:hAnsi="Times New Roman"/>
                <w:sz w:val="28"/>
                <w:szCs w:val="28"/>
              </w:rPr>
              <w:t>Nav attiecināms.</w:t>
            </w:r>
          </w:p>
        </w:tc>
      </w:tr>
      <w:tr w:rsidR="001748DE" w:rsidRPr="001748DE" w:rsidTr="00E631C6">
        <w:trPr>
          <w:trHeight w:val="335"/>
        </w:trPr>
        <w:tc>
          <w:tcPr>
            <w:tcW w:w="2195" w:type="pct"/>
            <w:shd w:val="clear" w:color="auto" w:fill="auto"/>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t>Politikas joma</w:t>
            </w:r>
          </w:p>
        </w:tc>
        <w:tc>
          <w:tcPr>
            <w:tcW w:w="2805" w:type="pct"/>
            <w:shd w:val="clear" w:color="auto" w:fill="auto"/>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t>Kultūras politika.</w:t>
            </w:r>
          </w:p>
        </w:tc>
      </w:tr>
      <w:tr w:rsidR="001748DE" w:rsidRPr="001748DE" w:rsidTr="001748DE">
        <w:tc>
          <w:tcPr>
            <w:tcW w:w="2195" w:type="pct"/>
            <w:shd w:val="clear" w:color="auto" w:fill="auto"/>
          </w:tcPr>
          <w:p w:rsidR="001748DE" w:rsidRPr="001748DE" w:rsidRDefault="00823BA3" w:rsidP="00EA34B1">
            <w:pPr>
              <w:jc w:val="both"/>
              <w:rPr>
                <w:rFonts w:ascii="Times New Roman" w:hAnsi="Times New Roman"/>
                <w:sz w:val="28"/>
                <w:szCs w:val="28"/>
              </w:rPr>
            </w:pPr>
            <w:r>
              <w:rPr>
                <w:rFonts w:ascii="Times New Roman" w:hAnsi="Times New Roman"/>
                <w:sz w:val="28"/>
                <w:szCs w:val="28"/>
              </w:rPr>
              <w:t>Atbildīgā amatpersona</w:t>
            </w:r>
          </w:p>
        </w:tc>
        <w:tc>
          <w:tcPr>
            <w:tcW w:w="2805" w:type="pct"/>
            <w:shd w:val="clear" w:color="auto" w:fill="auto"/>
          </w:tcPr>
          <w:p w:rsidR="001748DE" w:rsidRPr="00E631C6" w:rsidRDefault="001748DE" w:rsidP="00E631C6">
            <w:pPr>
              <w:jc w:val="both"/>
              <w:rPr>
                <w:rFonts w:ascii="Times New Roman" w:hAnsi="Times New Roman"/>
                <w:sz w:val="28"/>
                <w:szCs w:val="28"/>
              </w:rPr>
            </w:pPr>
            <w:r w:rsidRPr="00E631C6">
              <w:rPr>
                <w:rFonts w:ascii="Times New Roman" w:hAnsi="Times New Roman"/>
                <w:sz w:val="28"/>
                <w:szCs w:val="28"/>
              </w:rPr>
              <w:t xml:space="preserve">Kultūras ministrijas </w:t>
            </w:r>
            <w:r w:rsidR="00E631C6" w:rsidRPr="00E631C6">
              <w:rPr>
                <w:rFonts w:ascii="Times New Roman" w:hAnsi="Times New Roman"/>
                <w:sz w:val="28"/>
                <w:szCs w:val="28"/>
              </w:rPr>
              <w:t xml:space="preserve">Kultūrpolitikas departamenta </w:t>
            </w:r>
            <w:r w:rsidRPr="00E631C6">
              <w:rPr>
                <w:rFonts w:ascii="Times New Roman" w:hAnsi="Times New Roman"/>
                <w:sz w:val="28"/>
                <w:szCs w:val="28"/>
              </w:rPr>
              <w:t>Nozaru politikas nodaļas vadītāja I</w:t>
            </w:r>
            <w:r w:rsidR="00E631C6" w:rsidRPr="00E631C6">
              <w:rPr>
                <w:rFonts w:ascii="Times New Roman" w:hAnsi="Times New Roman"/>
                <w:sz w:val="28"/>
                <w:szCs w:val="28"/>
              </w:rPr>
              <w:t xml:space="preserve">luta </w:t>
            </w:r>
            <w:r w:rsidRPr="00E631C6">
              <w:rPr>
                <w:rFonts w:ascii="Times New Roman" w:hAnsi="Times New Roman"/>
                <w:sz w:val="28"/>
                <w:szCs w:val="28"/>
              </w:rPr>
              <w:t>Treija.</w:t>
            </w:r>
          </w:p>
        </w:tc>
      </w:tr>
      <w:tr w:rsidR="001748DE" w:rsidRPr="001748DE" w:rsidTr="00E631C6">
        <w:trPr>
          <w:trHeight w:val="424"/>
        </w:trPr>
        <w:tc>
          <w:tcPr>
            <w:tcW w:w="2195" w:type="pct"/>
            <w:shd w:val="clear" w:color="auto" w:fill="auto"/>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t>Uzaicināmās personas</w:t>
            </w:r>
          </w:p>
        </w:tc>
        <w:tc>
          <w:tcPr>
            <w:tcW w:w="2805" w:type="pct"/>
            <w:shd w:val="clear" w:color="auto" w:fill="auto"/>
          </w:tcPr>
          <w:p w:rsidR="001748DE" w:rsidRPr="00E631C6" w:rsidRDefault="001748DE" w:rsidP="00EA34B1">
            <w:pPr>
              <w:jc w:val="both"/>
              <w:rPr>
                <w:rFonts w:ascii="Times New Roman" w:hAnsi="Times New Roman"/>
                <w:sz w:val="28"/>
                <w:szCs w:val="28"/>
              </w:rPr>
            </w:pPr>
            <w:r w:rsidRPr="00E631C6">
              <w:rPr>
                <w:rFonts w:ascii="Times New Roman" w:hAnsi="Times New Roman"/>
                <w:sz w:val="28"/>
                <w:szCs w:val="28"/>
              </w:rPr>
              <w:t>Nav attiecināms.</w:t>
            </w:r>
          </w:p>
        </w:tc>
      </w:tr>
      <w:tr w:rsidR="001748DE" w:rsidRPr="001748DE" w:rsidTr="001748DE">
        <w:tc>
          <w:tcPr>
            <w:tcW w:w="2195" w:type="pct"/>
            <w:shd w:val="clear" w:color="auto" w:fill="auto"/>
          </w:tcPr>
          <w:p w:rsidR="001748DE" w:rsidRPr="001748DE" w:rsidRDefault="001748DE" w:rsidP="00EA34B1">
            <w:pPr>
              <w:jc w:val="both"/>
              <w:rPr>
                <w:rFonts w:ascii="Times New Roman" w:hAnsi="Times New Roman"/>
                <w:sz w:val="28"/>
                <w:szCs w:val="28"/>
              </w:rPr>
            </w:pPr>
            <w:r w:rsidRPr="001748DE">
              <w:rPr>
                <w:rFonts w:ascii="Times New Roman" w:hAnsi="Times New Roman"/>
                <w:sz w:val="28"/>
                <w:szCs w:val="28"/>
              </w:rPr>
              <w:t>Projekta ierobežotas pieejamības statuss</w:t>
            </w:r>
          </w:p>
        </w:tc>
        <w:tc>
          <w:tcPr>
            <w:tcW w:w="2805" w:type="pct"/>
            <w:shd w:val="clear" w:color="auto" w:fill="auto"/>
          </w:tcPr>
          <w:p w:rsidR="001748DE" w:rsidRPr="00E631C6" w:rsidRDefault="00E631C6" w:rsidP="00EA34B1">
            <w:pPr>
              <w:jc w:val="both"/>
              <w:rPr>
                <w:rFonts w:ascii="Times New Roman" w:hAnsi="Times New Roman"/>
                <w:sz w:val="28"/>
                <w:szCs w:val="28"/>
              </w:rPr>
            </w:pPr>
            <w:r w:rsidRPr="00E631C6">
              <w:rPr>
                <w:rFonts w:ascii="Times New Roman" w:hAnsi="Times New Roman"/>
                <w:bCs/>
                <w:iCs/>
                <w:sz w:val="28"/>
                <w:szCs w:val="28"/>
              </w:rPr>
              <w:t xml:space="preserve">Projektam </w:t>
            </w:r>
            <w:r w:rsidRPr="00E631C6">
              <w:rPr>
                <w:rFonts w:ascii="Times New Roman" w:hAnsi="Times New Roman"/>
                <w:sz w:val="28"/>
                <w:szCs w:val="28"/>
              </w:rPr>
              <w:t>nav noteikts ierobežotas pieejamības statuss.</w:t>
            </w:r>
          </w:p>
        </w:tc>
      </w:tr>
      <w:tr w:rsidR="001748DE" w:rsidRPr="001748DE" w:rsidTr="00E631C6">
        <w:trPr>
          <w:trHeight w:val="425"/>
        </w:trPr>
        <w:tc>
          <w:tcPr>
            <w:tcW w:w="2195" w:type="pct"/>
            <w:tcBorders>
              <w:top w:val="single" w:sz="4" w:space="0" w:color="auto"/>
              <w:left w:val="single" w:sz="4" w:space="0" w:color="auto"/>
              <w:bottom w:val="single" w:sz="4" w:space="0" w:color="auto"/>
              <w:right w:val="single" w:sz="4" w:space="0" w:color="auto"/>
            </w:tcBorders>
            <w:shd w:val="clear" w:color="auto" w:fill="auto"/>
          </w:tcPr>
          <w:p w:rsidR="001748DE" w:rsidRPr="001748DE" w:rsidRDefault="001748DE" w:rsidP="00E631C6">
            <w:pPr>
              <w:jc w:val="both"/>
              <w:rPr>
                <w:rFonts w:ascii="Times New Roman" w:hAnsi="Times New Roman"/>
                <w:sz w:val="28"/>
                <w:szCs w:val="28"/>
              </w:rPr>
            </w:pPr>
            <w:r w:rsidRPr="001748DE">
              <w:rPr>
                <w:rFonts w:ascii="Times New Roman" w:hAnsi="Times New Roman"/>
                <w:sz w:val="28"/>
                <w:szCs w:val="28"/>
              </w:rPr>
              <w:t>Cita informācija</w:t>
            </w:r>
          </w:p>
        </w:tc>
        <w:tc>
          <w:tcPr>
            <w:tcW w:w="2805" w:type="pct"/>
            <w:tcBorders>
              <w:top w:val="single" w:sz="4" w:space="0" w:color="auto"/>
              <w:left w:val="single" w:sz="4" w:space="0" w:color="auto"/>
              <w:bottom w:val="single" w:sz="4" w:space="0" w:color="auto"/>
              <w:right w:val="single" w:sz="4" w:space="0" w:color="auto"/>
            </w:tcBorders>
            <w:shd w:val="clear" w:color="auto" w:fill="auto"/>
          </w:tcPr>
          <w:p w:rsidR="001748DE" w:rsidRPr="00E631C6" w:rsidRDefault="001748DE" w:rsidP="00EA34B1">
            <w:pPr>
              <w:jc w:val="both"/>
              <w:rPr>
                <w:rFonts w:ascii="Times New Roman" w:hAnsi="Times New Roman"/>
                <w:sz w:val="28"/>
                <w:szCs w:val="28"/>
              </w:rPr>
            </w:pPr>
            <w:r w:rsidRPr="00E631C6">
              <w:rPr>
                <w:rFonts w:ascii="Times New Roman" w:hAnsi="Times New Roman"/>
                <w:sz w:val="28"/>
                <w:szCs w:val="28"/>
              </w:rPr>
              <w:t>Nav attiecināms.</w:t>
            </w:r>
          </w:p>
        </w:tc>
      </w:tr>
    </w:tbl>
    <w:p w:rsidR="002B01D3" w:rsidRPr="001748DE" w:rsidRDefault="002B01D3" w:rsidP="002B01D3">
      <w:pPr>
        <w:ind w:firstLine="720"/>
        <w:jc w:val="both"/>
        <w:rPr>
          <w:rFonts w:ascii="Times New Roman" w:hAnsi="Times New Roman"/>
          <w:sz w:val="28"/>
          <w:szCs w:val="28"/>
        </w:rPr>
      </w:pPr>
    </w:p>
    <w:p w:rsidR="002B01D3" w:rsidRPr="001748DE" w:rsidRDefault="00BB01A8" w:rsidP="001748DE">
      <w:pPr>
        <w:ind w:left="1418" w:hanging="1418"/>
        <w:jc w:val="both"/>
        <w:rPr>
          <w:rFonts w:ascii="Times New Roman" w:hAnsi="Times New Roman"/>
          <w:sz w:val="28"/>
          <w:szCs w:val="28"/>
        </w:rPr>
      </w:pPr>
      <w:r w:rsidRPr="001748DE">
        <w:rPr>
          <w:rFonts w:ascii="Times New Roman" w:hAnsi="Times New Roman"/>
          <w:sz w:val="28"/>
          <w:szCs w:val="28"/>
        </w:rPr>
        <w:t>Pielikumā:</w:t>
      </w:r>
      <w:r w:rsidR="001748DE">
        <w:rPr>
          <w:rFonts w:ascii="Times New Roman" w:hAnsi="Times New Roman"/>
          <w:sz w:val="28"/>
          <w:szCs w:val="28"/>
        </w:rPr>
        <w:t xml:space="preserve">  </w:t>
      </w:r>
      <w:r w:rsidR="002B01D3" w:rsidRPr="001748DE">
        <w:rPr>
          <w:rFonts w:ascii="Times New Roman" w:hAnsi="Times New Roman"/>
          <w:sz w:val="28"/>
          <w:szCs w:val="28"/>
        </w:rPr>
        <w:t xml:space="preserve">Ministru kabineta sēdes protokollēmuma </w:t>
      </w:r>
      <w:r w:rsidR="001748DE" w:rsidRPr="001748DE">
        <w:rPr>
          <w:rFonts w:ascii="Times New Roman" w:hAnsi="Times New Roman"/>
          <w:iCs/>
          <w:sz w:val="28"/>
          <w:szCs w:val="28"/>
        </w:rPr>
        <w:t>projekt</w:t>
      </w:r>
      <w:r w:rsidR="001748DE">
        <w:rPr>
          <w:rFonts w:ascii="Times New Roman" w:hAnsi="Times New Roman"/>
          <w:iCs/>
          <w:sz w:val="28"/>
          <w:szCs w:val="28"/>
        </w:rPr>
        <w:t>s</w:t>
      </w:r>
      <w:r w:rsidR="001748DE" w:rsidRPr="001748DE">
        <w:rPr>
          <w:rFonts w:ascii="Times New Roman" w:hAnsi="Times New Roman"/>
          <w:iCs/>
          <w:sz w:val="28"/>
          <w:szCs w:val="28"/>
        </w:rPr>
        <w:t xml:space="preserve"> „Par Ministru kabineta 2013.gada 17.decembra sēdes protokollēmuma (prot. Nr.67 106.§) „Informatīvais ziņojums „Par valsts sabiedrības ar ierobežotu atbildību „Latvijas Nacionālā opera” turpmākas darbības priekšlikumiem apgrozāmo līdzekļu stabilizēšanai un finansiālās darbības uzlabošanai”” 4.punktā dotā uzdevuma atzīšanu par aktualitāti zaudējušu”</w:t>
      </w:r>
      <w:r w:rsidR="001748DE">
        <w:rPr>
          <w:rFonts w:ascii="Times New Roman" w:hAnsi="Times New Roman"/>
          <w:iCs/>
          <w:sz w:val="28"/>
          <w:szCs w:val="28"/>
        </w:rPr>
        <w:t xml:space="preserve"> (</w:t>
      </w:r>
      <w:r w:rsidR="001748DE" w:rsidRPr="001748DE">
        <w:rPr>
          <w:rFonts w:ascii="Times New Roman" w:hAnsi="Times New Roman"/>
          <w:iCs/>
          <w:sz w:val="28"/>
          <w:szCs w:val="28"/>
        </w:rPr>
        <w:t>KMProt_010317_kultura</w:t>
      </w:r>
      <w:r w:rsidR="001748DE">
        <w:rPr>
          <w:rFonts w:ascii="Times New Roman" w:hAnsi="Times New Roman"/>
          <w:iCs/>
          <w:sz w:val="28"/>
          <w:szCs w:val="28"/>
        </w:rPr>
        <w:t>) uz 1 lp.</w:t>
      </w:r>
    </w:p>
    <w:p w:rsidR="002B01D3" w:rsidRPr="001748DE" w:rsidRDefault="002B01D3" w:rsidP="002B01D3">
      <w:pPr>
        <w:ind w:firstLine="720"/>
        <w:jc w:val="both"/>
        <w:rPr>
          <w:rFonts w:ascii="Times New Roman" w:hAnsi="Times New Roman"/>
          <w:i/>
          <w:sz w:val="28"/>
          <w:szCs w:val="28"/>
        </w:rPr>
      </w:pPr>
    </w:p>
    <w:p w:rsidR="002B01D3" w:rsidRPr="001748DE" w:rsidRDefault="002B01D3" w:rsidP="002B01D3">
      <w:pPr>
        <w:jc w:val="both"/>
        <w:rPr>
          <w:rFonts w:ascii="Times New Roman" w:hAnsi="Times New Roman"/>
          <w:sz w:val="28"/>
          <w:szCs w:val="28"/>
        </w:rPr>
      </w:pPr>
    </w:p>
    <w:p w:rsidR="002B01D3" w:rsidRPr="001748DE" w:rsidRDefault="001748DE" w:rsidP="001748DE">
      <w:pPr>
        <w:pStyle w:val="naiskr"/>
        <w:spacing w:before="0" w:after="0"/>
        <w:ind w:left="284" w:right="140"/>
        <w:jc w:val="both"/>
        <w:rPr>
          <w:sz w:val="28"/>
          <w:szCs w:val="28"/>
          <w:lang w:eastAsia="en-US"/>
        </w:rPr>
      </w:pPr>
      <w:r>
        <w:rPr>
          <w:sz w:val="28"/>
          <w:szCs w:val="28"/>
          <w:lang w:eastAsia="en-US"/>
        </w:rPr>
        <w:t xml:space="preserve">Kultūras </w:t>
      </w:r>
      <w:r w:rsidR="002B01D3" w:rsidRPr="001748DE">
        <w:rPr>
          <w:sz w:val="28"/>
          <w:szCs w:val="28"/>
          <w:lang w:eastAsia="en-US"/>
        </w:rPr>
        <w:t>ministr</w:t>
      </w:r>
      <w:r w:rsidR="000C06D5" w:rsidRPr="001748DE">
        <w:rPr>
          <w:sz w:val="28"/>
          <w:szCs w:val="28"/>
          <w:lang w:eastAsia="en-US"/>
        </w:rPr>
        <w:t xml:space="preserve">e </w:t>
      </w:r>
      <w:r w:rsidR="000C06D5" w:rsidRPr="001748DE">
        <w:rPr>
          <w:sz w:val="28"/>
          <w:szCs w:val="28"/>
          <w:lang w:eastAsia="en-US"/>
        </w:rPr>
        <w:tab/>
      </w:r>
      <w:r w:rsidR="000C06D5" w:rsidRPr="001748DE">
        <w:rPr>
          <w:sz w:val="28"/>
          <w:szCs w:val="28"/>
          <w:lang w:eastAsia="en-US"/>
        </w:rPr>
        <w:tab/>
      </w:r>
      <w:r w:rsidR="000C06D5" w:rsidRPr="001748DE">
        <w:rPr>
          <w:sz w:val="28"/>
          <w:szCs w:val="28"/>
          <w:lang w:eastAsia="en-US"/>
        </w:rPr>
        <w:tab/>
      </w:r>
      <w:r w:rsidR="000C06D5" w:rsidRPr="001748DE">
        <w:rPr>
          <w:sz w:val="28"/>
          <w:szCs w:val="28"/>
          <w:lang w:eastAsia="en-US"/>
        </w:rPr>
        <w:tab/>
      </w:r>
      <w:r w:rsidR="000C06D5" w:rsidRPr="001748DE">
        <w:rPr>
          <w:sz w:val="28"/>
          <w:szCs w:val="28"/>
          <w:lang w:eastAsia="en-US"/>
        </w:rPr>
        <w:tab/>
      </w:r>
      <w:r w:rsidR="000C06D5" w:rsidRPr="001748DE">
        <w:rPr>
          <w:sz w:val="28"/>
          <w:szCs w:val="28"/>
          <w:lang w:eastAsia="en-US"/>
        </w:rPr>
        <w:tab/>
      </w:r>
      <w:r>
        <w:rPr>
          <w:sz w:val="28"/>
          <w:szCs w:val="28"/>
          <w:lang w:eastAsia="en-US"/>
        </w:rPr>
        <w:tab/>
      </w:r>
      <w:r w:rsidRPr="001748DE">
        <w:rPr>
          <w:sz w:val="28"/>
          <w:szCs w:val="28"/>
          <w:lang w:eastAsia="en-US"/>
        </w:rPr>
        <w:t xml:space="preserve"> </w:t>
      </w:r>
      <w:r w:rsidR="002B01D3" w:rsidRPr="001748DE">
        <w:rPr>
          <w:sz w:val="28"/>
          <w:szCs w:val="28"/>
          <w:lang w:eastAsia="en-US"/>
        </w:rPr>
        <w:t>D.Melbārde</w:t>
      </w:r>
      <w:r w:rsidR="002B01D3" w:rsidRPr="001748DE">
        <w:rPr>
          <w:sz w:val="28"/>
          <w:szCs w:val="28"/>
          <w:lang w:eastAsia="en-US"/>
        </w:rPr>
        <w:tab/>
      </w:r>
      <w:r w:rsidR="002B01D3" w:rsidRPr="001748DE">
        <w:rPr>
          <w:sz w:val="28"/>
          <w:szCs w:val="28"/>
          <w:lang w:eastAsia="en-US"/>
        </w:rPr>
        <w:tab/>
      </w:r>
      <w:r w:rsidR="002B01D3" w:rsidRPr="001748DE">
        <w:rPr>
          <w:sz w:val="28"/>
          <w:szCs w:val="28"/>
          <w:lang w:eastAsia="en-US"/>
        </w:rPr>
        <w:tab/>
      </w:r>
      <w:r w:rsidR="002B01D3" w:rsidRPr="001748DE">
        <w:rPr>
          <w:sz w:val="28"/>
          <w:szCs w:val="28"/>
          <w:lang w:eastAsia="en-US"/>
        </w:rPr>
        <w:tab/>
      </w:r>
      <w:r w:rsidR="002B01D3" w:rsidRPr="001748DE">
        <w:rPr>
          <w:sz w:val="28"/>
          <w:szCs w:val="28"/>
          <w:lang w:eastAsia="en-US"/>
        </w:rPr>
        <w:tab/>
      </w:r>
      <w:r w:rsidR="002B01D3" w:rsidRPr="001748DE">
        <w:rPr>
          <w:sz w:val="28"/>
          <w:szCs w:val="28"/>
          <w:lang w:eastAsia="en-US"/>
        </w:rPr>
        <w:tab/>
      </w:r>
    </w:p>
    <w:p w:rsidR="002B01D3" w:rsidRPr="001748DE" w:rsidRDefault="002B01D3" w:rsidP="002B01D3">
      <w:pPr>
        <w:pStyle w:val="naiskr"/>
        <w:spacing w:before="0" w:after="0"/>
        <w:rPr>
          <w:sz w:val="28"/>
          <w:szCs w:val="28"/>
          <w:lang w:eastAsia="en-US"/>
        </w:rPr>
      </w:pPr>
    </w:p>
    <w:p w:rsidR="007127E7" w:rsidRPr="001748DE" w:rsidRDefault="007127E7" w:rsidP="002B01D3">
      <w:pPr>
        <w:pStyle w:val="naiskr"/>
        <w:spacing w:before="0" w:after="0"/>
        <w:rPr>
          <w:sz w:val="28"/>
          <w:szCs w:val="28"/>
          <w:lang w:eastAsia="en-US"/>
        </w:rPr>
      </w:pPr>
    </w:p>
    <w:p w:rsidR="007127E7" w:rsidRPr="001748DE" w:rsidRDefault="007127E7" w:rsidP="002B01D3">
      <w:pPr>
        <w:pStyle w:val="naiskr"/>
        <w:spacing w:before="0" w:after="0"/>
        <w:rPr>
          <w:sz w:val="28"/>
          <w:szCs w:val="28"/>
          <w:lang w:eastAsia="en-US"/>
        </w:rPr>
      </w:pPr>
    </w:p>
    <w:p w:rsidR="007127E7" w:rsidRDefault="007127E7" w:rsidP="002B01D3">
      <w:pPr>
        <w:pStyle w:val="naiskr"/>
        <w:spacing w:before="0" w:after="0"/>
        <w:rPr>
          <w:sz w:val="28"/>
          <w:szCs w:val="28"/>
          <w:lang w:eastAsia="en-US"/>
        </w:rPr>
      </w:pPr>
    </w:p>
    <w:p w:rsidR="00E631C6" w:rsidRPr="001748DE" w:rsidRDefault="00E631C6" w:rsidP="002B01D3">
      <w:pPr>
        <w:pStyle w:val="naiskr"/>
        <w:spacing w:before="0" w:after="0"/>
        <w:rPr>
          <w:sz w:val="28"/>
          <w:szCs w:val="28"/>
          <w:lang w:eastAsia="en-US"/>
        </w:rPr>
      </w:pPr>
    </w:p>
    <w:p w:rsidR="007127E7" w:rsidRPr="007127E7" w:rsidRDefault="007127E7" w:rsidP="002B01D3">
      <w:pPr>
        <w:pStyle w:val="naiskr"/>
        <w:spacing w:before="0" w:after="0"/>
        <w:rPr>
          <w:sz w:val="26"/>
          <w:szCs w:val="26"/>
          <w:lang w:eastAsia="en-US"/>
        </w:rPr>
      </w:pPr>
    </w:p>
    <w:p w:rsidR="001748DE" w:rsidRPr="00CE0D87" w:rsidRDefault="001748DE" w:rsidP="001748DE">
      <w:pPr>
        <w:rPr>
          <w:rFonts w:ascii="Times New Roman" w:eastAsia="Times New Roman" w:hAnsi="Times New Roman"/>
          <w:sz w:val="20"/>
          <w:szCs w:val="20"/>
        </w:rPr>
      </w:pPr>
      <w:bookmarkStart w:id="4" w:name="OLE_LINK11"/>
      <w:bookmarkStart w:id="5" w:name="OLE_LINK12"/>
      <w:bookmarkStart w:id="6" w:name="OLE_LINK16"/>
      <w:r>
        <w:rPr>
          <w:rFonts w:ascii="Times New Roman" w:eastAsia="Times New Roman" w:hAnsi="Times New Roman"/>
          <w:sz w:val="20"/>
          <w:szCs w:val="20"/>
        </w:rPr>
        <w:t>Treija</w:t>
      </w:r>
      <w:r w:rsidRPr="00CE0D87">
        <w:rPr>
          <w:rFonts w:ascii="Times New Roman" w:eastAsia="Times New Roman" w:hAnsi="Times New Roman"/>
          <w:sz w:val="20"/>
          <w:szCs w:val="20"/>
        </w:rPr>
        <w:t xml:space="preserve"> </w:t>
      </w:r>
      <w:r w:rsidRPr="00CE0D87">
        <w:rPr>
          <w:rFonts w:ascii="Times New Roman" w:hAnsi="Times New Roman"/>
          <w:sz w:val="20"/>
          <w:szCs w:val="20"/>
        </w:rPr>
        <w:t>67330262</w:t>
      </w:r>
    </w:p>
    <w:p w:rsidR="001748DE" w:rsidRPr="00CE0D87" w:rsidRDefault="00E94121" w:rsidP="001748DE">
      <w:pPr>
        <w:tabs>
          <w:tab w:val="center" w:pos="4153"/>
          <w:tab w:val="right" w:pos="8306"/>
        </w:tabs>
        <w:rPr>
          <w:rFonts w:ascii="Times New Roman" w:eastAsia="Times New Roman" w:hAnsi="Times New Roman"/>
          <w:sz w:val="20"/>
          <w:szCs w:val="20"/>
        </w:rPr>
      </w:pPr>
      <w:hyperlink r:id="rId6" w:history="1">
        <w:r w:rsidR="001748DE">
          <w:rPr>
            <w:rFonts w:ascii="Times New Roman" w:eastAsia="Times New Roman" w:hAnsi="Times New Roman"/>
            <w:color w:val="0000FF"/>
            <w:sz w:val="20"/>
            <w:szCs w:val="20"/>
            <w:u w:val="single"/>
          </w:rPr>
          <w:t>Iluta.Treija</w:t>
        </w:r>
        <w:r w:rsidR="001748DE" w:rsidRPr="00CE0D87">
          <w:rPr>
            <w:rFonts w:ascii="Times New Roman" w:eastAsia="Times New Roman" w:hAnsi="Times New Roman"/>
            <w:color w:val="0000FF"/>
            <w:sz w:val="20"/>
            <w:szCs w:val="20"/>
            <w:u w:val="single"/>
          </w:rPr>
          <w:t>@</w:t>
        </w:r>
        <w:r w:rsidR="001748DE">
          <w:rPr>
            <w:rFonts w:ascii="Times New Roman" w:eastAsia="Times New Roman" w:hAnsi="Times New Roman"/>
            <w:color w:val="0000FF"/>
            <w:sz w:val="20"/>
            <w:szCs w:val="20"/>
            <w:u w:val="single"/>
          </w:rPr>
          <w:t>km.gov</w:t>
        </w:r>
        <w:r w:rsidR="001748DE" w:rsidRPr="00CE0D87">
          <w:rPr>
            <w:rFonts w:ascii="Times New Roman" w:eastAsia="Times New Roman" w:hAnsi="Times New Roman"/>
            <w:color w:val="0000FF"/>
            <w:sz w:val="20"/>
            <w:szCs w:val="20"/>
            <w:u w:val="single"/>
          </w:rPr>
          <w:t>.lv</w:t>
        </w:r>
      </w:hyperlink>
      <w:bookmarkEnd w:id="4"/>
      <w:bookmarkEnd w:id="5"/>
      <w:bookmarkEnd w:id="6"/>
    </w:p>
    <w:p w:rsidR="00917A6D" w:rsidRPr="00BB01A8" w:rsidRDefault="00917A6D" w:rsidP="001748DE">
      <w:pPr>
        <w:pStyle w:val="naiskr"/>
        <w:spacing w:before="0" w:after="0"/>
        <w:rPr>
          <w:sz w:val="20"/>
          <w:szCs w:val="20"/>
        </w:rPr>
      </w:pPr>
    </w:p>
    <w:sectPr w:rsidR="00917A6D" w:rsidRPr="00BB01A8" w:rsidSect="001748DE">
      <w:headerReference w:type="default" r:id="rId7"/>
      <w:footerReference w:type="default" r:id="rId8"/>
      <w:headerReference w:type="firs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3A" w:rsidRDefault="009F183A" w:rsidP="007127E7">
      <w:r>
        <w:separator/>
      </w:r>
    </w:p>
  </w:endnote>
  <w:endnote w:type="continuationSeparator" w:id="0">
    <w:p w:rsidR="009F183A" w:rsidRDefault="009F183A" w:rsidP="00712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97" w:rsidRPr="001748DE" w:rsidRDefault="00EE1B97" w:rsidP="001748DE">
    <w:pPr>
      <w:pStyle w:val="Kjene"/>
      <w:ind w:firstLine="0"/>
    </w:pPr>
    <w:r w:rsidRPr="001748DE">
      <w:rPr>
        <w:rFonts w:eastAsiaTheme="minorHAnsi"/>
        <w:sz w:val="20"/>
        <w:lang w:eastAsia="lv-LV"/>
      </w:rPr>
      <w:t>KMPav_010317_kultura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97" w:rsidRPr="001748DE" w:rsidRDefault="00EE1B97" w:rsidP="001748DE">
    <w:pPr>
      <w:pStyle w:val="Kjene"/>
      <w:ind w:firstLine="0"/>
    </w:pPr>
    <w:r w:rsidRPr="001748DE">
      <w:rPr>
        <w:rFonts w:eastAsiaTheme="minorHAnsi"/>
        <w:sz w:val="20"/>
        <w:lang w:eastAsia="lv-LV"/>
      </w:rPr>
      <w:t>KMPav_010317_kultura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3A" w:rsidRDefault="009F183A" w:rsidP="007127E7">
      <w:r>
        <w:separator/>
      </w:r>
    </w:p>
  </w:footnote>
  <w:footnote w:type="continuationSeparator" w:id="0">
    <w:p w:rsidR="009F183A" w:rsidRDefault="009F183A" w:rsidP="00712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224"/>
      <w:docPartObj>
        <w:docPartGallery w:val="Page Numbers (Top of Page)"/>
        <w:docPartUnique/>
      </w:docPartObj>
    </w:sdtPr>
    <w:sdtEndPr>
      <w:rPr>
        <w:sz w:val="22"/>
        <w:szCs w:val="22"/>
      </w:rPr>
    </w:sdtEndPr>
    <w:sdtContent>
      <w:p w:rsidR="00EE1B97" w:rsidRPr="001748DE" w:rsidRDefault="00E94121">
        <w:pPr>
          <w:pStyle w:val="Galvene"/>
          <w:jc w:val="center"/>
          <w:rPr>
            <w:sz w:val="22"/>
            <w:szCs w:val="22"/>
          </w:rPr>
        </w:pPr>
        <w:r w:rsidRPr="001748DE">
          <w:rPr>
            <w:sz w:val="22"/>
            <w:szCs w:val="22"/>
          </w:rPr>
          <w:fldChar w:fldCharType="begin"/>
        </w:r>
        <w:r w:rsidR="00EE1B97" w:rsidRPr="001748DE">
          <w:rPr>
            <w:sz w:val="22"/>
            <w:szCs w:val="22"/>
          </w:rPr>
          <w:instrText xml:space="preserve"> PAGE   \* MERGEFORMAT </w:instrText>
        </w:r>
        <w:r w:rsidRPr="001748DE">
          <w:rPr>
            <w:sz w:val="22"/>
            <w:szCs w:val="22"/>
          </w:rPr>
          <w:fldChar w:fldCharType="separate"/>
        </w:r>
        <w:r w:rsidR="006A0AE6">
          <w:rPr>
            <w:noProof/>
            <w:sz w:val="22"/>
            <w:szCs w:val="22"/>
          </w:rPr>
          <w:t>4</w:t>
        </w:r>
        <w:r w:rsidRPr="001748DE">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97" w:rsidRPr="000E3516" w:rsidRDefault="00EE1B97" w:rsidP="001748DE">
    <w:pPr>
      <w:pStyle w:val="Galvene"/>
    </w:pPr>
  </w:p>
  <w:p w:rsidR="00EE1B97" w:rsidRPr="000E3516" w:rsidRDefault="00EE1B97" w:rsidP="001748DE">
    <w:pPr>
      <w:pStyle w:val="Galvene"/>
    </w:pPr>
  </w:p>
  <w:p w:rsidR="00EE1B97" w:rsidRPr="000E3516" w:rsidRDefault="00EE1B97" w:rsidP="001748DE">
    <w:pPr>
      <w:pStyle w:val="Galvene"/>
    </w:pPr>
  </w:p>
  <w:p w:rsidR="00EE1B97" w:rsidRPr="000E3516" w:rsidRDefault="00EE1B97" w:rsidP="001748DE">
    <w:pPr>
      <w:pStyle w:val="Galvene"/>
    </w:pPr>
  </w:p>
  <w:p w:rsidR="00EE1B97" w:rsidRPr="000E3516" w:rsidRDefault="00EE1B97" w:rsidP="001748DE">
    <w:pPr>
      <w:pStyle w:val="Galvene"/>
    </w:pPr>
  </w:p>
  <w:p w:rsidR="00EE1B97" w:rsidRDefault="00EE1B97" w:rsidP="001748DE">
    <w:pPr>
      <w:jc w:val="both"/>
    </w:pPr>
    <w:r w:rsidRPr="000E3516">
      <w:rPr>
        <w:noProof/>
      </w:rPr>
      <w:drawing>
        <wp:anchor distT="0" distB="0" distL="114300" distR="114300" simplePos="0" relativeHeight="251660288"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E94121">
      <w:rPr>
        <w:noProof/>
        <w:lang w:eastAsia="en-US"/>
      </w:rPr>
      <w:pict>
        <v:shapetype id="_x0000_t202" coordsize="21600,21600" o:spt="202" path="m,l,21600r21600,l21600,xe">
          <v:stroke joinstyle="miter"/>
          <v:path gradientshapeok="t" o:connecttype="rect"/>
        </v:shapetype>
        <v:shape id="Text Box 43" o:spid="_x0000_s2051" type="#_x0000_t202" style="position:absolute;left:0;text-align:left;margin-left:92.25pt;margin-top:159.9pt;width:459.75pt;height:24.7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style="mso-next-textbox:#Text Box 43" inset="0,0,0,0">
            <w:txbxContent>
              <w:p w:rsidR="00EE1B97" w:rsidRPr="000E3516" w:rsidRDefault="00EE1B97" w:rsidP="001748DE">
                <w:pPr>
                  <w:spacing w:line="194" w:lineRule="exact"/>
                  <w:ind w:left="20" w:right="-45"/>
                  <w:jc w:val="center"/>
                  <w:rPr>
                    <w:rFonts w:eastAsia="Times New Roman"/>
                    <w:sz w:val="17"/>
                    <w:szCs w:val="17"/>
                  </w:rPr>
                </w:pPr>
                <w:r w:rsidRPr="000E3516">
                  <w:rPr>
                    <w:rFonts w:eastAsia="Times New Roman"/>
                    <w:color w:val="231F20"/>
                    <w:sz w:val="17"/>
                    <w:szCs w:val="17"/>
                  </w:rPr>
                  <w:t>K. Valdemāra iela 11a, Rīga, LV - 1364, tālr. 67330200, fakss 67330293, e-pasts pasts@km.gov.lv, www.km.gov.lv</w:t>
                </w:r>
              </w:p>
            </w:txbxContent>
          </v:textbox>
          <w10:wrap anchorx="page" anchory="page"/>
        </v:shape>
      </w:pict>
    </w:r>
    <w:r w:rsidR="00E94121">
      <w:rPr>
        <w:noProof/>
        <w:lang w:eastAsia="en-US"/>
      </w:rPr>
      <w:pict>
        <v:group id="Group 41" o:spid="_x0000_s2049" style="position:absolute;left:0;text-align:left;margin-left:145.7pt;margin-top:149.8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0"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A601D"/>
    <w:rsid w:val="00023589"/>
    <w:rsid w:val="000942F3"/>
    <w:rsid w:val="000C06D5"/>
    <w:rsid w:val="00171D1D"/>
    <w:rsid w:val="001748DE"/>
    <w:rsid w:val="002B01D3"/>
    <w:rsid w:val="002E6966"/>
    <w:rsid w:val="00474FEF"/>
    <w:rsid w:val="00496161"/>
    <w:rsid w:val="004A0A07"/>
    <w:rsid w:val="00582719"/>
    <w:rsid w:val="006177E9"/>
    <w:rsid w:val="006A0AE6"/>
    <w:rsid w:val="007127E7"/>
    <w:rsid w:val="00727EDD"/>
    <w:rsid w:val="00823BA3"/>
    <w:rsid w:val="00876D25"/>
    <w:rsid w:val="008937A4"/>
    <w:rsid w:val="00903D35"/>
    <w:rsid w:val="00917A6D"/>
    <w:rsid w:val="0099664F"/>
    <w:rsid w:val="009A6F57"/>
    <w:rsid w:val="009B23D2"/>
    <w:rsid w:val="009F183A"/>
    <w:rsid w:val="009F7A72"/>
    <w:rsid w:val="00AD2508"/>
    <w:rsid w:val="00BA601D"/>
    <w:rsid w:val="00BB01A8"/>
    <w:rsid w:val="00BD2611"/>
    <w:rsid w:val="00CA615E"/>
    <w:rsid w:val="00CF5B76"/>
    <w:rsid w:val="00D76D88"/>
    <w:rsid w:val="00DE6016"/>
    <w:rsid w:val="00E4370E"/>
    <w:rsid w:val="00E631C6"/>
    <w:rsid w:val="00E649E4"/>
    <w:rsid w:val="00E94121"/>
    <w:rsid w:val="00EA34B1"/>
    <w:rsid w:val="00EE1B97"/>
    <w:rsid w:val="00EE5622"/>
    <w:rsid w:val="00F01A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A601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B01D3"/>
    <w:rPr>
      <w:color w:val="0000FF"/>
      <w:u w:val="single"/>
    </w:rPr>
  </w:style>
  <w:style w:type="paragraph" w:customStyle="1" w:styleId="naiskr">
    <w:name w:val="naiskr"/>
    <w:basedOn w:val="Parastais"/>
    <w:rsid w:val="002B01D3"/>
    <w:pPr>
      <w:spacing w:before="75" w:after="75"/>
    </w:pPr>
    <w:rPr>
      <w:rFonts w:ascii="Times New Roman" w:eastAsia="Times New Roman" w:hAnsi="Times New Roman"/>
      <w:sz w:val="24"/>
      <w:szCs w:val="24"/>
    </w:rPr>
  </w:style>
  <w:style w:type="paragraph" w:styleId="Galvene">
    <w:name w:val="header"/>
    <w:aliases w:val="18pt Bold"/>
    <w:basedOn w:val="Parastais"/>
    <w:link w:val="GalveneRakstz"/>
    <w:rsid w:val="000C06D5"/>
    <w:pPr>
      <w:widowControl w:val="0"/>
      <w:tabs>
        <w:tab w:val="center" w:pos="4153"/>
        <w:tab w:val="right" w:pos="8306"/>
      </w:tabs>
      <w:spacing w:before="60" w:after="60" w:line="360" w:lineRule="auto"/>
      <w:ind w:firstLine="720"/>
      <w:jc w:val="both"/>
    </w:pPr>
    <w:rPr>
      <w:rFonts w:ascii="Times New Roman" w:eastAsia="Times New Roman" w:hAnsi="Times New Roman"/>
      <w:sz w:val="26"/>
      <w:szCs w:val="20"/>
      <w:lang w:eastAsia="en-US"/>
    </w:rPr>
  </w:style>
  <w:style w:type="character" w:customStyle="1" w:styleId="GalveneRakstz">
    <w:name w:val="Galvene Rakstz."/>
    <w:aliases w:val="18pt Bold Rakstz."/>
    <w:basedOn w:val="Noklusjumarindkopasfonts"/>
    <w:link w:val="Galvene"/>
    <w:rsid w:val="000C06D5"/>
    <w:rPr>
      <w:rFonts w:ascii="Times New Roman" w:eastAsia="Times New Roman" w:hAnsi="Times New Roman" w:cs="Times New Roman"/>
      <w:sz w:val="26"/>
      <w:szCs w:val="20"/>
    </w:rPr>
  </w:style>
  <w:style w:type="paragraph" w:styleId="Kjene">
    <w:name w:val="footer"/>
    <w:basedOn w:val="Parastais"/>
    <w:link w:val="KjeneRakstz"/>
    <w:rsid w:val="00BB01A8"/>
    <w:pPr>
      <w:widowControl w:val="0"/>
      <w:tabs>
        <w:tab w:val="center" w:pos="4153"/>
        <w:tab w:val="right" w:pos="8306"/>
      </w:tabs>
      <w:spacing w:before="60" w:after="60" w:line="360" w:lineRule="auto"/>
      <w:ind w:firstLine="720"/>
      <w:jc w:val="both"/>
    </w:pPr>
    <w:rPr>
      <w:rFonts w:ascii="Times New Roman" w:eastAsia="Times New Roman" w:hAnsi="Times New Roman"/>
      <w:sz w:val="26"/>
      <w:szCs w:val="20"/>
      <w:lang w:eastAsia="en-US"/>
    </w:rPr>
  </w:style>
  <w:style w:type="character" w:customStyle="1" w:styleId="KjeneRakstz">
    <w:name w:val="Kājene Rakstz."/>
    <w:basedOn w:val="Noklusjumarindkopasfonts"/>
    <w:link w:val="Kjene"/>
    <w:rsid w:val="00BB01A8"/>
    <w:rPr>
      <w:rFonts w:ascii="Times New Roman" w:eastAsia="Times New Roman" w:hAnsi="Times New Roman" w:cs="Times New Roman"/>
      <w:sz w:val="26"/>
      <w:szCs w:val="20"/>
    </w:rPr>
  </w:style>
  <w:style w:type="paragraph" w:styleId="Vresteksts">
    <w:name w:val="footnote text"/>
    <w:basedOn w:val="Parastais"/>
    <w:link w:val="VrestekstsRakstz"/>
    <w:uiPriority w:val="99"/>
    <w:semiHidden/>
    <w:unhideWhenUsed/>
    <w:rsid w:val="006177E9"/>
    <w:pPr>
      <w:spacing w:after="200" w:line="276" w:lineRule="auto"/>
    </w:pPr>
    <w:rPr>
      <w:sz w:val="20"/>
      <w:szCs w:val="20"/>
    </w:rPr>
  </w:style>
  <w:style w:type="character" w:customStyle="1" w:styleId="VrestekstsRakstz">
    <w:name w:val="Vēres teksts Rakstz."/>
    <w:basedOn w:val="Noklusjumarindkopasfonts"/>
    <w:link w:val="Vresteksts"/>
    <w:uiPriority w:val="99"/>
    <w:semiHidden/>
    <w:rsid w:val="006177E9"/>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6177E9"/>
    <w:rPr>
      <w:vertAlign w:val="superscript"/>
    </w:rPr>
  </w:style>
</w:styles>
</file>

<file path=word/webSettings.xml><?xml version="1.0" encoding="utf-8"?>
<w:webSettings xmlns:r="http://schemas.openxmlformats.org/officeDocument/2006/relationships" xmlns:w="http://schemas.openxmlformats.org/wordprocessingml/2006/main">
  <w:divs>
    <w:div w:id="595479904">
      <w:bodyDiv w:val="1"/>
      <w:marLeft w:val="0"/>
      <w:marRight w:val="0"/>
      <w:marTop w:val="0"/>
      <w:marBottom w:val="0"/>
      <w:divBdr>
        <w:top w:val="none" w:sz="0" w:space="0" w:color="auto"/>
        <w:left w:val="none" w:sz="0" w:space="0" w:color="auto"/>
        <w:bottom w:val="none" w:sz="0" w:space="0" w:color="auto"/>
        <w:right w:val="none" w:sz="0" w:space="0" w:color="auto"/>
      </w:divBdr>
    </w:div>
    <w:div w:id="1059867636">
      <w:bodyDiv w:val="1"/>
      <w:marLeft w:val="0"/>
      <w:marRight w:val="0"/>
      <w:marTop w:val="0"/>
      <w:marBottom w:val="0"/>
      <w:divBdr>
        <w:top w:val="none" w:sz="0" w:space="0" w:color="auto"/>
        <w:left w:val="none" w:sz="0" w:space="0" w:color="auto"/>
        <w:bottom w:val="none" w:sz="0" w:space="0" w:color="auto"/>
        <w:right w:val="none" w:sz="0" w:space="0" w:color="auto"/>
      </w:divBdr>
    </w:div>
    <w:div w:id="1338313207">
      <w:bodyDiv w:val="1"/>
      <w:marLeft w:val="0"/>
      <w:marRight w:val="0"/>
      <w:marTop w:val="0"/>
      <w:marBottom w:val="0"/>
      <w:divBdr>
        <w:top w:val="none" w:sz="0" w:space="0" w:color="auto"/>
        <w:left w:val="none" w:sz="0" w:space="0" w:color="auto"/>
        <w:bottom w:val="none" w:sz="0" w:space="0" w:color="auto"/>
        <w:right w:val="none" w:sz="0" w:space="0" w:color="auto"/>
      </w:divBdr>
    </w:div>
    <w:div w:id="17480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ita.Viksna@mantojums.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5015</Words>
  <Characters>2859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„Par Ministru kabineta 2013.gada 17.decembra sēdes protokollēmuma (prot. Nr.67, 106.§): „Informatīvais ziņojums "Par valsts sabiedrības ar ierobežotu atbildību "Latvijas Nacionālā opera" turpmākas darbības priekšlikumiem apgrozāmo līdzekļu stabilizēšanai </vt:lpstr>
    </vt:vector>
  </TitlesOfParts>
  <Company>LR Kultūras Ministrija</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2013.gada 17.decembra sēdes protokollēmuma (prot. Nr.67 106.§) „Informatīvais ziņojums „Par valsts sabiedrības ar ierobežotu atbildību „Latvijas Nacionālā opera” turpmākas darbības priekšlikumiem apgrozāmo līdzekļu stabilizēšanai un finansiālās darbības uzlabošanai”” 4.punktā dotā uzdevuma atzīšanu par aktualitāti zaudējušu”</dc:title>
  <dc:subject>Pavadvēstule</dc:subject>
  <dc:creator>Iluta Treija</dc:creator>
  <dc:description>67330262  
Iluta.Treija@km.gov.lv</dc:description>
  <cp:lastModifiedBy>Dzintra Rozīte</cp:lastModifiedBy>
  <cp:revision>18</cp:revision>
  <dcterms:created xsi:type="dcterms:W3CDTF">2017-02-27T17:04:00Z</dcterms:created>
  <dcterms:modified xsi:type="dcterms:W3CDTF">2017-03-30T06:38:00Z</dcterms:modified>
</cp:coreProperties>
</file>