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56926" w:rsidRPr="00CB4AEA" w:rsidP="00056926">
      <w:pPr>
        <w:jc w:val="center"/>
        <w:rPr>
          <w:b/>
          <w:sz w:val="28"/>
          <w:szCs w:val="28"/>
        </w:rPr>
      </w:pPr>
      <w:r w:rsidRPr="00CB4AEA">
        <w:rPr>
          <w:b/>
          <w:sz w:val="28"/>
          <w:szCs w:val="28"/>
        </w:rPr>
        <w:t>Ministru kabineta noteikumu projekta</w:t>
      </w:r>
    </w:p>
    <w:p w:rsidR="00056926" w:rsidRPr="00CB4AEA" w:rsidP="000429B6">
      <w:pPr>
        <w:jc w:val="center"/>
        <w:rPr>
          <w:b/>
          <w:sz w:val="28"/>
          <w:szCs w:val="28"/>
        </w:rPr>
      </w:pPr>
      <w:r w:rsidRPr="00CB4AEA">
        <w:rPr>
          <w:b/>
          <w:sz w:val="28"/>
          <w:szCs w:val="28"/>
        </w:rPr>
        <w:t xml:space="preserve"> “</w:t>
      </w:r>
      <w:r w:rsidRPr="00CB4AEA" w:rsidR="000429B6">
        <w:rPr>
          <w:b/>
          <w:sz w:val="28"/>
          <w:szCs w:val="28"/>
        </w:rPr>
        <w:t>Kuģu pārstrādes konsultatīvās padomes nolikums</w:t>
      </w:r>
      <w:r w:rsidRPr="00CB4AEA" w:rsidR="000429B6">
        <w:rPr>
          <w:sz w:val="28"/>
          <w:szCs w:val="28"/>
        </w:rPr>
        <w:t>”</w:t>
      </w:r>
      <w:r w:rsidRPr="00CB4AEA">
        <w:rPr>
          <w:sz w:val="28"/>
          <w:szCs w:val="28"/>
        </w:rPr>
        <w:t xml:space="preserve"> </w:t>
      </w:r>
    </w:p>
    <w:p w:rsidR="00056926" w:rsidRPr="00CB4AEA" w:rsidP="00056926">
      <w:pPr>
        <w:jc w:val="center"/>
        <w:rPr>
          <w:b/>
          <w:sz w:val="28"/>
          <w:szCs w:val="28"/>
        </w:rPr>
      </w:pPr>
      <w:r w:rsidRPr="00CB4AEA">
        <w:rPr>
          <w:b/>
          <w:sz w:val="28"/>
          <w:szCs w:val="28"/>
        </w:rPr>
        <w:t xml:space="preserve">sākotnējās ietekmes novērtējuma </w:t>
      </w:r>
      <w:smartTag w:uri="schemas-tilde-lv/tildestengine" w:element="veidnes">
        <w:smartTagPr>
          <w:attr w:name="baseform" w:val="ziņojums"/>
          <w:attr w:name="id" w:val="-1"/>
          <w:attr w:name="text" w:val="ziņojums"/>
        </w:smartTagPr>
        <w:r w:rsidRPr="00CB4AEA">
          <w:rPr>
            <w:b/>
            <w:sz w:val="28"/>
            <w:szCs w:val="28"/>
          </w:rPr>
          <w:t>ziņojums</w:t>
        </w:r>
      </w:smartTag>
      <w:r w:rsidRPr="00CB4AEA">
        <w:rPr>
          <w:b/>
          <w:sz w:val="28"/>
          <w:szCs w:val="28"/>
        </w:rPr>
        <w:t xml:space="preserve"> (anotācija)</w:t>
      </w:r>
    </w:p>
    <w:p w:rsidR="00056926" w:rsidRPr="002001ED" w:rsidP="00056926">
      <w:pPr>
        <w:rPr>
          <w:b/>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0"/>
        <w:gridCol w:w="6521"/>
      </w:tblGrid>
      <w:tr w:rsidTr="004728D2">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056926" w:rsidRPr="002001ED" w:rsidP="004728D2">
            <w:pPr>
              <w:jc w:val="center"/>
              <w:rPr>
                <w:b/>
                <w:sz w:val="28"/>
                <w:szCs w:val="28"/>
              </w:rPr>
            </w:pPr>
            <w:r w:rsidRPr="00CB4AEA">
              <w:rPr>
                <w:b/>
                <w:szCs w:val="28"/>
              </w:rPr>
              <w:t>I. Tiesību akta projekta izstrādes nepieciešamība</w:t>
            </w:r>
          </w:p>
        </w:tc>
      </w:tr>
      <w:tr w:rsidTr="004728D2">
        <w:tblPrEx>
          <w:tblW w:w="9498" w:type="dxa"/>
          <w:tblInd w:w="-572" w:type="dxa"/>
          <w:tblLook w:val="01E0"/>
        </w:tblPrEx>
        <w:tc>
          <w:tcPr>
            <w:tcW w:w="567" w:type="dxa"/>
          </w:tcPr>
          <w:p w:rsidR="00056926" w:rsidRPr="00BD22DE" w:rsidP="004728D2">
            <w:pPr>
              <w:jc w:val="center"/>
              <w:rPr>
                <w:szCs w:val="28"/>
              </w:rPr>
            </w:pPr>
            <w:r w:rsidRPr="00BD22DE">
              <w:rPr>
                <w:szCs w:val="28"/>
              </w:rPr>
              <w:t>1.</w:t>
            </w:r>
          </w:p>
        </w:tc>
        <w:tc>
          <w:tcPr>
            <w:tcW w:w="2410" w:type="dxa"/>
          </w:tcPr>
          <w:p w:rsidR="00056926" w:rsidRPr="00BD22DE" w:rsidP="004728D2">
            <w:pPr>
              <w:rPr>
                <w:szCs w:val="28"/>
              </w:rPr>
            </w:pPr>
            <w:r w:rsidRPr="00BD22DE">
              <w:rPr>
                <w:szCs w:val="28"/>
              </w:rPr>
              <w:t>Pamatojums</w:t>
            </w:r>
          </w:p>
        </w:tc>
        <w:tc>
          <w:tcPr>
            <w:tcW w:w="6521" w:type="dxa"/>
          </w:tcPr>
          <w:p w:rsidR="00056926" w:rsidRPr="00BD22DE" w:rsidP="004728D2">
            <w:pPr>
              <w:jc w:val="both"/>
              <w:rPr>
                <w:szCs w:val="28"/>
              </w:rPr>
            </w:pPr>
            <w:r w:rsidRPr="00BD22DE">
              <w:rPr>
                <w:szCs w:val="28"/>
              </w:rPr>
              <w:t>Likuma “Par piesārņojumu” 49.</w:t>
            </w:r>
            <w:r w:rsidRPr="00BD22DE">
              <w:rPr>
                <w:szCs w:val="28"/>
                <w:vertAlign w:val="superscript"/>
              </w:rPr>
              <w:t>1</w:t>
            </w:r>
            <w:r w:rsidRPr="00BD22DE">
              <w:rPr>
                <w:szCs w:val="28"/>
              </w:rPr>
              <w:t xml:space="preserve"> panta otrā daļa.</w:t>
            </w:r>
          </w:p>
        </w:tc>
      </w:tr>
      <w:tr w:rsidTr="004728D2">
        <w:tblPrEx>
          <w:tblW w:w="9498" w:type="dxa"/>
          <w:tblInd w:w="-572" w:type="dxa"/>
          <w:tblLook w:val="01E0"/>
        </w:tblPrEx>
        <w:tc>
          <w:tcPr>
            <w:tcW w:w="567" w:type="dxa"/>
          </w:tcPr>
          <w:p w:rsidR="00056926" w:rsidRPr="00BD22DE" w:rsidP="004728D2">
            <w:pPr>
              <w:jc w:val="center"/>
            </w:pPr>
            <w:r w:rsidRPr="00BD22DE">
              <w:t>2.</w:t>
            </w:r>
          </w:p>
        </w:tc>
        <w:tc>
          <w:tcPr>
            <w:tcW w:w="2410" w:type="dxa"/>
          </w:tcPr>
          <w:p w:rsidR="00056926" w:rsidRPr="00BD22DE" w:rsidP="004728D2">
            <w:r w:rsidRPr="00BD22DE">
              <w:t>Pašreizējā situācija un problēmas, kuru risināšanai tiesību aktu projekts izstrādāts, tiesiskā regulējuma mērķis un būtība</w:t>
            </w:r>
          </w:p>
        </w:tc>
        <w:tc>
          <w:tcPr>
            <w:tcW w:w="6521" w:type="dxa"/>
          </w:tcPr>
          <w:p w:rsidR="00056926" w:rsidRPr="00BD22DE" w:rsidP="002001ED">
            <w:pPr>
              <w:pStyle w:val="naiskr"/>
              <w:spacing w:before="20" w:after="20"/>
              <w:jc w:val="both"/>
            </w:pPr>
            <w:r w:rsidRPr="00BD22DE">
              <w:t>Likuma “Par piesārņojumu” 49.</w:t>
            </w:r>
            <w:r w:rsidRPr="00BD22DE">
              <w:rPr>
                <w:vertAlign w:val="superscript"/>
              </w:rPr>
              <w:t>1</w:t>
            </w:r>
            <w:r w:rsidRPr="00BD22DE">
              <w:t xml:space="preserve"> panta otrā daļa </w:t>
            </w:r>
            <w:r w:rsidRPr="00BD22DE" w:rsidR="00FA11F0">
              <w:t>no</w:t>
            </w:r>
            <w:r w:rsidR="00FA11F0">
              <w:t>teic</w:t>
            </w:r>
            <w:r w:rsidRPr="00423451">
              <w:t>, ka Kuģu pārstrādes padome ir konsultatīva institūcija, kura izvērtē</w:t>
            </w:r>
            <w:r w:rsidRPr="00EB14B6" w:rsidR="00842352">
              <w:t xml:space="preserve"> Eiropas parlamenta un Padomes 2013.</w:t>
            </w:r>
            <w:r w:rsidRPr="00BD22DE" w:rsidR="000B40DC">
              <w:t> </w:t>
            </w:r>
            <w:r w:rsidRPr="00BD22DE" w:rsidR="00842352">
              <w:t>gada 20.</w:t>
            </w:r>
            <w:r w:rsidRPr="00BD22DE" w:rsidR="000B40DC">
              <w:t> </w:t>
            </w:r>
            <w:r w:rsidRPr="00BD22DE" w:rsidR="00842352">
              <w:t>novembra</w:t>
            </w:r>
            <w:r w:rsidRPr="00BD22DE">
              <w:t xml:space="preserve"> Regulā Nr</w:t>
            </w:r>
            <w:r w:rsidRPr="00BD22DE" w:rsidR="000B40DC">
              <w:t>. </w:t>
            </w:r>
            <w:r w:rsidRPr="00BD22DE">
              <w:t>1257/2013</w:t>
            </w:r>
            <w:r w:rsidRPr="00BD22DE" w:rsidR="00842352">
              <w:t xml:space="preserve"> par kuģu pārstrādi un ar ko groza Regulu (EK) Nr.</w:t>
            </w:r>
            <w:r w:rsidRPr="00BD22DE" w:rsidR="000B40DC">
              <w:t> </w:t>
            </w:r>
            <w:r w:rsidRPr="00BD22DE" w:rsidR="00842352">
              <w:t>1013/2006 un Direktīvu 2009/16 (turpmāk – Regula Nr.</w:t>
            </w:r>
            <w:r w:rsidRPr="00BD22DE" w:rsidR="000B40DC">
              <w:t> </w:t>
            </w:r>
            <w:r w:rsidRPr="00BD22DE" w:rsidR="00842352">
              <w:t>1257/2013)</w:t>
            </w:r>
            <w:r w:rsidRPr="00BD22DE">
              <w:t xml:space="preserve"> minēto kuģu pārstrādes plānu un kuģu pārstrādes rūpnīcu plānu atbilstību šīs regulas prasībām un kuras lēmumiem minētajai regulai atbilstošu kuģu pārstrādes jomā ir ieteikuma raksturs. Ministru kabinets nosaka Kuģu pārstrādes padomē pārstāvētās institūcijas un apstiprina šīs padomes nolikumu.</w:t>
            </w:r>
          </w:p>
          <w:p w:rsidR="00D66771" w:rsidRPr="00BD22DE" w:rsidP="00CB4AEA">
            <w:pPr>
              <w:pStyle w:val="Heading3"/>
              <w:spacing w:before="0" w:after="0"/>
              <w:jc w:val="both"/>
              <w:rPr>
                <w:rFonts w:ascii="Times New Roman" w:hAnsi="Times New Roman"/>
                <w:b w:val="0"/>
                <w:sz w:val="24"/>
                <w:szCs w:val="24"/>
              </w:rPr>
            </w:pPr>
            <w:r w:rsidRPr="00BD22DE">
              <w:rPr>
                <w:rFonts w:ascii="Times New Roman" w:hAnsi="Times New Roman"/>
                <w:b w:val="0"/>
                <w:sz w:val="24"/>
                <w:szCs w:val="24"/>
              </w:rPr>
              <w:t>Lai gan regulas atbilstoši Līguma par Eiropas Savienības darbību 288.</w:t>
            </w:r>
            <w:r w:rsidRPr="00BD22DE" w:rsidR="000B40DC">
              <w:rPr>
                <w:rFonts w:ascii="Times New Roman" w:hAnsi="Times New Roman"/>
                <w:b w:val="0"/>
                <w:sz w:val="24"/>
                <w:szCs w:val="24"/>
              </w:rPr>
              <w:t> </w:t>
            </w:r>
            <w:r w:rsidRPr="00BD22DE">
              <w:rPr>
                <w:rFonts w:ascii="Times New Roman" w:hAnsi="Times New Roman"/>
                <w:b w:val="0"/>
                <w:sz w:val="24"/>
                <w:szCs w:val="24"/>
              </w:rPr>
              <w:t>panta otrajai daļai ir vispārpiemērojamas un uzliek saistības kopumā, un ir tieši piemērojamas visās dalībvalstīs, Regula Nr.</w:t>
            </w:r>
            <w:r w:rsidRPr="00BD22DE" w:rsidR="000B40DC">
              <w:rPr>
                <w:rFonts w:ascii="Times New Roman" w:hAnsi="Times New Roman"/>
                <w:b w:val="0"/>
                <w:sz w:val="24"/>
                <w:szCs w:val="24"/>
              </w:rPr>
              <w:t> </w:t>
            </w:r>
            <w:r w:rsidRPr="00BD22DE">
              <w:rPr>
                <w:rFonts w:ascii="Times New Roman" w:hAnsi="Times New Roman"/>
                <w:b w:val="0"/>
                <w:sz w:val="24"/>
                <w:szCs w:val="24"/>
              </w:rPr>
              <w:t>1257/2013 satur normas, kuras uzliek veikt pienākumus dalībvalstīm, to kompetenta</w:t>
            </w:r>
            <w:r w:rsidRPr="00BD22DE">
              <w:rPr>
                <w:rFonts w:ascii="Times New Roman" w:hAnsi="Times New Roman"/>
                <w:b w:val="0"/>
                <w:sz w:val="24"/>
                <w:szCs w:val="24"/>
              </w:rPr>
              <w:t>jām iestādēm un administrācijām.</w:t>
            </w:r>
          </w:p>
          <w:p w:rsidR="00842352" w:rsidRPr="00BD22DE" w:rsidP="00842352"/>
          <w:p w:rsidR="00842352" w:rsidP="00B6293A">
            <w:pPr>
              <w:jc w:val="both"/>
            </w:pPr>
            <w:r w:rsidRPr="00BD22DE">
              <w:t>Regula Nr.</w:t>
            </w:r>
            <w:r w:rsidRPr="00BD22DE" w:rsidR="000B40DC">
              <w:t> </w:t>
            </w:r>
            <w:r w:rsidRPr="00BD22DE">
              <w:t xml:space="preserve">1257/2013 nosaka prasības ar dalībvalstu karogiem kuģojošo valstu kuģu pārstrādei, kuri atbilst minētās regulas prasībām. </w:t>
            </w:r>
            <w:r w:rsidRPr="00BD22DE" w:rsidR="00DD4E4E">
              <w:t>Saskaņā a</w:t>
            </w:r>
            <w:r w:rsidRPr="00BD22DE" w:rsidR="007E1136">
              <w:t>r Regulas Nr.</w:t>
            </w:r>
            <w:r w:rsidRPr="00BD22DE" w:rsidR="00D66C31">
              <w:t> </w:t>
            </w:r>
            <w:r w:rsidRPr="00BD22DE" w:rsidR="007E1136">
              <w:t>1257/2013 7.</w:t>
            </w:r>
            <w:r w:rsidRPr="00BD22DE" w:rsidR="00D66C31">
              <w:t> </w:t>
            </w:r>
            <w:r w:rsidRPr="00BD22DE" w:rsidR="007E1136">
              <w:t>panta 2.</w:t>
            </w:r>
            <w:r w:rsidRPr="00BD22DE" w:rsidR="00D66C31">
              <w:t> </w:t>
            </w:r>
            <w:r w:rsidRPr="00BD22DE" w:rsidR="007E1136">
              <w:t>punktu</w:t>
            </w:r>
            <w:r w:rsidRPr="00BD22DE" w:rsidR="00DD4E4E">
              <w:t xml:space="preserve"> kuģu pārstrādes iekārtas operators katram kuģim, kas tiks pārstrādāts, sagatavo kuģa pārstrādes plānu, kuru iesniedz apstiprināšanai kompetentajai iestādei. </w:t>
            </w:r>
            <w:r w:rsidR="0056411F">
              <w:t xml:space="preserve">Saskaņā ar </w:t>
            </w:r>
            <w:r w:rsidRPr="00BD22DE" w:rsidR="0056411F">
              <w:t>Regulas Nr. 1257/2013 7. panta 3. punkt</w:t>
            </w:r>
            <w:r w:rsidR="0056411F">
              <w:t>u</w:t>
            </w:r>
            <w:r w:rsidRPr="00BD22DE" w:rsidR="0056411F">
              <w:t xml:space="preserve"> </w:t>
            </w:r>
            <w:r w:rsidR="0056411F">
              <w:t>k</w:t>
            </w:r>
            <w:r w:rsidRPr="00BD22DE" w:rsidR="0056411F">
              <w:t xml:space="preserve">ompetentā </w:t>
            </w:r>
            <w:r w:rsidRPr="00BD22DE" w:rsidR="007E1136">
              <w:t>iestāde apstiprina kuģa pārstrādes plānu. Atbilstoši Regulas Nr.</w:t>
            </w:r>
            <w:r w:rsidRPr="00BD22DE" w:rsidR="00D66C31">
              <w:t> </w:t>
            </w:r>
            <w:r w:rsidRPr="00BD22DE" w:rsidR="007E1136">
              <w:t>1257/2013 13.</w:t>
            </w:r>
            <w:r w:rsidRPr="00BD22DE" w:rsidR="00D66C31">
              <w:t> </w:t>
            </w:r>
            <w:r w:rsidRPr="00BD22DE" w:rsidR="007E1136">
              <w:t xml:space="preserve">panta </w:t>
            </w:r>
            <w:r w:rsidRPr="00AF018D" w:rsidR="00652E06">
              <w:t>2. punkta a)apakšpunktam</w:t>
            </w:r>
            <w:r w:rsidRPr="00BD22DE" w:rsidR="00652E06">
              <w:t xml:space="preserve"> </w:t>
            </w:r>
            <w:r w:rsidRPr="00BD22DE" w:rsidR="007E1136">
              <w:t xml:space="preserve">kuģu pārstrādes rūpnīcas operators nosūta kuģa īpašniekam un </w:t>
            </w:r>
            <w:r w:rsidRPr="00BD22DE" w:rsidR="00A10608">
              <w:t xml:space="preserve">administrācijai kuģa pārstrādes plānu, tiklīdz tas ir apstiprināts saskaņā ar Regulas </w:t>
            </w:r>
            <w:r w:rsidRPr="00BD22DE" w:rsidR="00D66C31">
              <w:t>Nr. </w:t>
            </w:r>
            <w:r w:rsidRPr="00BD22DE" w:rsidR="00A10608">
              <w:t>1257/2013 7.</w:t>
            </w:r>
            <w:r w:rsidRPr="00BD22DE" w:rsidR="00D66C31">
              <w:t> </w:t>
            </w:r>
            <w:r w:rsidRPr="00BD22DE" w:rsidR="00A10608">
              <w:t>panta 3.</w:t>
            </w:r>
            <w:r w:rsidRPr="00BD22DE" w:rsidR="00D66C31">
              <w:t> </w:t>
            </w:r>
            <w:r w:rsidRPr="00BD22DE" w:rsidR="00A10608">
              <w:t xml:space="preserve">punktu. </w:t>
            </w:r>
            <w:r w:rsidRPr="00BD22DE" w:rsidR="00DD4E4E">
              <w:t>Saskaņā ar Regulas Nr.</w:t>
            </w:r>
            <w:r w:rsidRPr="00BD22DE" w:rsidR="00D66C31">
              <w:t> </w:t>
            </w:r>
            <w:r w:rsidRPr="00BD22DE" w:rsidR="00DD4E4E">
              <w:t>1257/</w:t>
            </w:r>
            <w:r w:rsidRPr="00BD22DE" w:rsidR="007E1136">
              <w:t>2013 13.</w:t>
            </w:r>
            <w:r w:rsidRPr="00BD22DE" w:rsidR="00D66C31">
              <w:t> </w:t>
            </w:r>
            <w:r w:rsidRPr="00BD22DE" w:rsidR="007E1136">
              <w:t xml:space="preserve">panta </w:t>
            </w:r>
            <w:r w:rsidR="00CC38CD">
              <w:t>1. </w:t>
            </w:r>
            <w:r w:rsidR="00E86BA9">
              <w:t>punkta</w:t>
            </w:r>
            <w:r w:rsidRPr="00BD22DE" w:rsidR="007E1136">
              <w:t xml:space="preserve"> e)</w:t>
            </w:r>
            <w:r w:rsidRPr="00BD22DE" w:rsidR="00D66C31">
              <w:t> </w:t>
            </w:r>
            <w:r w:rsidR="00423451">
              <w:t>apakš</w:t>
            </w:r>
            <w:r w:rsidRPr="00EB14B6" w:rsidR="007E1136">
              <w:t>punktu kuģu pārstrādes rūpnīcas operators izstrādā kuģu pārstrādes rūpnīcas plānu.</w:t>
            </w:r>
          </w:p>
          <w:p w:rsidR="00CB4AEA" w:rsidP="00B6293A">
            <w:pPr>
              <w:jc w:val="both"/>
              <w:rPr>
                <w:bCs/>
              </w:rPr>
            </w:pPr>
          </w:p>
          <w:p w:rsidR="008B2B5A" w:rsidRPr="00EB14B6" w:rsidP="00B6293A">
            <w:pPr>
              <w:jc w:val="both"/>
            </w:pPr>
            <w:r w:rsidRPr="00BD22DE">
              <w:rPr>
                <w:bCs/>
              </w:rPr>
              <w:t>A/</w:t>
            </w:r>
            <w:r>
              <w:rPr>
                <w:bCs/>
              </w:rPr>
              <w:t>S</w:t>
            </w:r>
            <w:r w:rsidRPr="00EB14B6">
              <w:rPr>
                <w:bCs/>
              </w:rPr>
              <w:t xml:space="preserve"> “Tosmares kuģu būvētava” ir iekļauta Eiropas Komisijas 201</w:t>
            </w:r>
            <w:r w:rsidRPr="00BD22DE">
              <w:rPr>
                <w:bCs/>
              </w:rPr>
              <w:t xml:space="preserve">6. gada 19. decembra </w:t>
            </w:r>
            <w:r w:rsidRPr="00BD22DE">
              <w:t xml:space="preserve">Īstenošanas lēmumā (ES) 2016/2323 (2016. gada 19. decembris), ar ko izveido kuģu pārstrādes rūpnīcu Eiropas sarakstu saskaņā ar Eiropas Parlamenta un Padomes Regulu (ES) Nr. 1257/2013 par kuģu pārstrādi, ietvertajā kuģu pārstrādes rūpnīcu Eiropas </w:t>
            </w:r>
            <w:r>
              <w:t>s</w:t>
            </w:r>
            <w:r w:rsidRPr="00BD22DE">
              <w:t>arakstā.</w:t>
            </w:r>
            <w:r>
              <w:t xml:space="preserve"> Tāpēc ir iespējams, ka šajā kuģu pārstrādes rūpnīcā tiks nogādāti pārstrādei kuģi, kuri atbilst Regulas Nr.1257/2013 prasībām. </w:t>
            </w:r>
            <w:r>
              <w:t>Pašreiz Latvijas normatīvajos aktos nav noteikts, kādā veidā notiek ku</w:t>
            </w:r>
            <w:r w:rsidR="00D53DB7">
              <w:t>ģa</w:t>
            </w:r>
            <w:r>
              <w:t xml:space="preserve"> pārstrādes pl</w:t>
            </w:r>
            <w:r w:rsidR="00D53DB7">
              <w:t>āna</w:t>
            </w:r>
            <w:r>
              <w:t xml:space="preserve"> un kuģu pārstrādes rūpnīcu </w:t>
            </w:r>
            <w:r w:rsidR="00D53DB7">
              <w:t xml:space="preserve">plāna izvērtēšana un apstiprināšana. Pie tam, jāņem vērā, ka gan kuģa pārstrādes plāns, gan kuģa pārstrādes rūpnīcas plāns var saturēt informāciju, kuras izvērtēšana nav Valsts vides dienesta kompetencē. </w:t>
            </w:r>
          </w:p>
          <w:p w:rsidR="00B54B34" w:rsidRPr="00BD22DE" w:rsidP="00B54B34"/>
          <w:p w:rsidR="00A10608" w:rsidRPr="00EB14B6" w:rsidP="00D66771">
            <w:pPr>
              <w:jc w:val="both"/>
            </w:pPr>
            <w:r>
              <w:t xml:space="preserve">Pašreiz spēkā esošie normatīvie akti paredz, ka </w:t>
            </w:r>
            <w:r w:rsidR="00F20A8D">
              <w:t>s</w:t>
            </w:r>
            <w:r w:rsidRPr="00BD22DE">
              <w:t>askaņā ar likuma “Par piesārņojumu” 49.</w:t>
            </w:r>
            <w:r w:rsidRPr="00BD22DE">
              <w:rPr>
                <w:vertAlign w:val="superscript"/>
              </w:rPr>
              <w:t>1</w:t>
            </w:r>
            <w:r w:rsidRPr="00BD22DE">
              <w:t xml:space="preserve"> panta pirmo daļu Valsts vides dienests pilda </w:t>
            </w:r>
            <w:r w:rsidRPr="00BD22DE" w:rsidR="00D66C31">
              <w:t xml:space="preserve">Regulā </w:t>
            </w:r>
            <w:r w:rsidRPr="00BD22DE">
              <w:t>Nr</w:t>
            </w:r>
            <w:r w:rsidRPr="00BD22DE" w:rsidR="00D66C31">
              <w:t>. </w:t>
            </w:r>
            <w:r>
              <w:fldChar w:fldCharType="begin"/>
            </w:r>
            <w:r>
              <w:instrText xml:space="preserve"> HYPERLINK "http://eur-lex.europa.eu/eli/reg/2013/1257/oj/?locale=LV" \t "_blank" </w:instrText>
            </w:r>
            <w:r>
              <w:fldChar w:fldCharType="separate"/>
            </w:r>
            <w:r w:rsidRPr="002001ED">
              <w:rPr>
                <w:rStyle w:val="Hyperlink"/>
              </w:rPr>
              <w:t>1257/2013</w:t>
            </w:r>
            <w:r>
              <w:fldChar w:fldCharType="end"/>
            </w:r>
            <w:r w:rsidRPr="002001ED">
              <w:t xml:space="preserve"> minētos kompetentās iestādes un kontaktpersonas pienākumus.</w:t>
            </w:r>
          </w:p>
          <w:p w:rsidR="00033265" w:rsidRPr="00BD22DE" w:rsidP="00033265">
            <w:pPr>
              <w:pStyle w:val="naiskr"/>
              <w:spacing w:before="0" w:after="0"/>
              <w:jc w:val="both"/>
            </w:pPr>
          </w:p>
          <w:p w:rsidR="00033265" w:rsidRPr="00BD22DE" w:rsidP="00CD73A3">
            <w:pPr>
              <w:jc w:val="both"/>
            </w:pPr>
            <w:r>
              <w:t xml:space="preserve">Latvijas normatīvie akti paredz, ka kuģu pārstrādes rūpnīcām tiek izdotas atļaujas B kategorijas piesārņojošas darbības veikšanai. </w:t>
            </w:r>
            <w:r w:rsidRPr="00BD22DE">
              <w:t>Saskaņā ar Ministru kabineta 2010.</w:t>
            </w:r>
            <w:r w:rsidRPr="00BD22DE" w:rsidR="00D66C31">
              <w:t> </w:t>
            </w:r>
            <w:r w:rsidRPr="00BD22DE">
              <w:t>gada 30.</w:t>
            </w:r>
            <w:r w:rsidRPr="00BD22DE" w:rsidR="00D66C31">
              <w:t> </w:t>
            </w:r>
            <w:r w:rsidRPr="00BD22DE">
              <w:t>novembra noteikumu Nr.</w:t>
            </w:r>
            <w:r w:rsidRPr="00BD22DE" w:rsidR="00D66C31">
              <w:t> </w:t>
            </w:r>
            <w:r w:rsidRPr="00BD22DE">
              <w:t xml:space="preserve">1082 </w:t>
            </w:r>
            <w:r w:rsidR="002001ED">
              <w:t>“</w:t>
            </w:r>
            <w:r w:rsidRPr="00423451">
              <w:t>Kārtība, kādā piesakāmas A, B un C kategorijas piesārņojošas darbības un izsniedzamas atļaujas A un B kategorijas piesārņojošo darbību veikšanai” 1.</w:t>
            </w:r>
            <w:r w:rsidRPr="00EB14B6" w:rsidR="00D66C31">
              <w:t> </w:t>
            </w:r>
            <w:r w:rsidRPr="00EB14B6">
              <w:t>pielikuma 5.9.</w:t>
            </w:r>
            <w:r w:rsidRPr="00BD22DE" w:rsidR="00D66C31">
              <w:t> </w:t>
            </w:r>
            <w:r w:rsidRPr="00BD22DE">
              <w:t xml:space="preserve">punktu, iekārtām nolietoto transportlīdzekļu apstrādei smalcinātājos ar jaudu līdz 75 tonnām dienā vai kuģu vraku reģenerācijai vai uzglabāšanai ir nepieciešama atļauja B kategorijas piesārņojošas darbības veikšanai. </w:t>
            </w:r>
          </w:p>
          <w:p w:rsidR="00033265" w:rsidRPr="00BD22DE" w:rsidP="00033265">
            <w:pPr>
              <w:jc w:val="both"/>
            </w:pPr>
          </w:p>
          <w:p w:rsidR="00033265" w:rsidRPr="00AF018D" w:rsidP="00033265">
            <w:pPr>
              <w:jc w:val="both"/>
            </w:pPr>
            <w:r w:rsidRPr="00AF018D">
              <w:t xml:space="preserve">B kategorijas atļauja kuģu vraku reģenerācijai ir izsniegta </w:t>
            </w:r>
            <w:r w:rsidRPr="00AF018D" w:rsidR="00A10608">
              <w:t>šādiem komersantiem, kuras pašreiz nav iekļautas kuģu pārstrādes rūpnīcu Eiropas sarakstā</w:t>
            </w:r>
            <w:r w:rsidRPr="00AF018D">
              <w:t>:</w:t>
            </w:r>
          </w:p>
          <w:p w:rsidR="000C02C3" w:rsidRPr="00AF018D" w:rsidP="00917B5F">
            <w:pPr>
              <w:pStyle w:val="ListParagraph"/>
              <w:numPr>
                <w:ilvl w:val="0"/>
                <w:numId w:val="9"/>
              </w:numPr>
              <w:spacing w:after="0" w:line="240" w:lineRule="auto"/>
              <w:ind w:left="0" w:firstLine="0"/>
              <w:jc w:val="both"/>
              <w:rPr>
                <w:rFonts w:ascii="Times New Roman" w:hAnsi="Times New Roman"/>
              </w:rPr>
            </w:pPr>
            <w:r w:rsidRPr="00AF018D">
              <w:rPr>
                <w:rFonts w:ascii="Times New Roman" w:hAnsi="Times New Roman"/>
                <w:sz w:val="24"/>
                <w:szCs w:val="24"/>
                <w:lang w:val="lv-LV"/>
              </w:rPr>
              <w:t>SIA “Liepājas kuģu būves rūpnīca”  (atļauja Nr. </w:t>
            </w:r>
            <w:r w:rsidRPr="00AF018D">
              <w:rPr>
                <w:rFonts w:ascii="Times New Roman" w:hAnsi="Times New Roman" w:eastAsiaTheme="minorHAnsi"/>
                <w:sz w:val="24"/>
                <w:szCs w:val="36"/>
              </w:rPr>
              <w:t>LI12IB0037</w:t>
            </w:r>
            <w:r w:rsidRPr="00AF018D">
              <w:rPr>
                <w:rFonts w:ascii="Times New Roman" w:hAnsi="Times New Roman"/>
              </w:rPr>
              <w:t>, derīga no 2012.gada  1</w:t>
            </w:r>
            <w:r w:rsidRPr="00AF018D">
              <w:rPr>
                <w:rFonts w:ascii="Times New Roman" w:hAnsi="Times New Roman"/>
                <w:sz w:val="24"/>
                <w:szCs w:val="24"/>
              </w:rPr>
              <w:t xml:space="preserve">. augusta) </w:t>
            </w:r>
          </w:p>
          <w:p w:rsidR="000C02C3" w:rsidRPr="00AF018D" w:rsidP="00917B5F">
            <w:pPr>
              <w:pStyle w:val="ListParagraph"/>
              <w:numPr>
                <w:ilvl w:val="0"/>
                <w:numId w:val="9"/>
              </w:numPr>
              <w:spacing w:after="0" w:line="240" w:lineRule="auto"/>
              <w:ind w:left="0" w:firstLine="0"/>
              <w:jc w:val="both"/>
              <w:rPr>
                <w:rFonts w:ascii="Times New Roman" w:hAnsi="Times New Roman"/>
                <w:bCs/>
              </w:rPr>
            </w:pPr>
            <w:r w:rsidRPr="00AF018D">
              <w:rPr>
                <w:rFonts w:ascii="Times New Roman" w:hAnsi="Times New Roman"/>
                <w:sz w:val="24"/>
                <w:szCs w:val="24"/>
              </w:rPr>
              <w:t>SIA “KUUSAKOSKI” (</w:t>
            </w:r>
            <w:r w:rsidRPr="00AF018D">
              <w:rPr>
                <w:rFonts w:ascii="Times New Roman" w:hAnsi="Times New Roman"/>
                <w:bCs/>
                <w:sz w:val="24"/>
                <w:szCs w:val="24"/>
              </w:rPr>
              <w:t>atļauja Nr. </w:t>
            </w:r>
            <w:r w:rsidRPr="00AF018D">
              <w:rPr>
                <w:rFonts w:ascii="Times New Roman" w:hAnsi="Times New Roman"/>
                <w:bCs/>
              </w:rPr>
              <w:t>VE10IB0055, derīga no 2010</w:t>
            </w:r>
            <w:r w:rsidRPr="00AF018D">
              <w:rPr>
                <w:rFonts w:ascii="Times New Roman" w:hAnsi="Times New Roman"/>
                <w:bCs/>
                <w:sz w:val="24"/>
                <w:szCs w:val="24"/>
              </w:rPr>
              <w:t>.gada 5.novembra visu iekārtas darbības laiku).</w:t>
            </w:r>
          </w:p>
          <w:p w:rsidR="000C02C3" w:rsidRPr="00AF018D" w:rsidP="00917B5F">
            <w:pPr>
              <w:pStyle w:val="ListParagraph"/>
              <w:numPr>
                <w:ilvl w:val="0"/>
                <w:numId w:val="9"/>
              </w:numPr>
              <w:spacing w:after="0" w:line="240" w:lineRule="auto"/>
              <w:ind w:left="0" w:firstLine="0"/>
              <w:jc w:val="both"/>
              <w:rPr>
                <w:rFonts w:ascii="Times New Roman" w:hAnsi="Times New Roman"/>
                <w:bCs/>
              </w:rPr>
            </w:pPr>
            <w:r w:rsidRPr="00AF018D">
              <w:rPr>
                <w:rFonts w:ascii="Times New Roman" w:hAnsi="Times New Roman"/>
                <w:bCs/>
                <w:sz w:val="24"/>
                <w:szCs w:val="24"/>
              </w:rPr>
              <w:t>SIA “Līcis 93” (B kategorijas atļauja</w:t>
            </w:r>
            <w:r w:rsidRPr="00AF018D">
              <w:rPr>
                <w:rFonts w:ascii="Times New Roman" w:hAnsi="Times New Roman"/>
                <w:sz w:val="24"/>
                <w:szCs w:val="24"/>
              </w:rPr>
              <w:t xml:space="preserve"> </w:t>
            </w:r>
            <w:r w:rsidRPr="00AF018D">
              <w:rPr>
                <w:rFonts w:ascii="Times New Roman" w:hAnsi="Times New Roman"/>
                <w:bCs/>
                <w:sz w:val="24"/>
                <w:szCs w:val="24"/>
              </w:rPr>
              <w:t>Nr.</w:t>
            </w:r>
            <w:r w:rsidRPr="00AF018D">
              <w:rPr>
                <w:rFonts w:ascii="Times New Roman" w:hAnsi="Times New Roman"/>
                <w:bCs/>
                <w:sz w:val="30"/>
                <w:szCs w:val="30"/>
              </w:rPr>
              <w:t xml:space="preserve"> </w:t>
            </w:r>
            <w:r w:rsidRPr="00AF018D">
              <w:rPr>
                <w:rFonts w:ascii="Times New Roman" w:hAnsi="Times New Roman" w:eastAsiaTheme="minorHAnsi"/>
                <w:bCs/>
                <w:sz w:val="24"/>
                <w:szCs w:val="30"/>
              </w:rPr>
              <w:t>VE13IB0020</w:t>
            </w:r>
            <w:r w:rsidRPr="00AF018D">
              <w:rPr>
                <w:rFonts w:ascii="Times New Roman" w:hAnsi="Times New Roman"/>
                <w:sz w:val="24"/>
                <w:szCs w:val="24"/>
              </w:rPr>
              <w:t xml:space="preserve">, </w:t>
            </w:r>
            <w:r w:rsidRPr="00AF018D">
              <w:rPr>
                <w:rFonts w:ascii="Times New Roman" w:hAnsi="Times New Roman"/>
                <w:bCs/>
              </w:rPr>
              <w:t>izsniegta 2013. gada 25.jūlijā, derīga uz visu iekārtas darbības laiku</w:t>
            </w:r>
            <w:r w:rsidRPr="00AF018D">
              <w:rPr>
                <w:rFonts w:ascii="Times New Roman" w:hAnsi="Times New Roman"/>
                <w:bCs/>
                <w:sz w:val="24"/>
                <w:szCs w:val="24"/>
              </w:rPr>
              <w:t>)</w:t>
            </w:r>
          </w:p>
          <w:p w:rsidR="000C02C3" w:rsidRPr="00AF018D" w:rsidP="00917B5F">
            <w:pPr>
              <w:pStyle w:val="ListParagraph"/>
              <w:numPr>
                <w:ilvl w:val="0"/>
                <w:numId w:val="9"/>
              </w:numPr>
              <w:spacing w:after="0" w:line="240" w:lineRule="auto"/>
              <w:ind w:left="0" w:firstLine="0"/>
              <w:jc w:val="both"/>
              <w:rPr>
                <w:rFonts w:ascii="Times New Roman" w:hAnsi="Times New Roman"/>
                <w:bCs/>
              </w:rPr>
            </w:pPr>
            <w:r w:rsidRPr="00AF018D">
              <w:rPr>
                <w:rFonts w:ascii="Times New Roman" w:eastAsia="ArialBlack" w:hAnsi="Times New Roman"/>
                <w:bCs/>
                <w:sz w:val="24"/>
                <w:szCs w:val="24"/>
              </w:rPr>
              <w:t xml:space="preserve">SIA “N STARS” </w:t>
            </w:r>
            <w:r w:rsidRPr="00AF018D">
              <w:rPr>
                <w:rFonts w:ascii="Times New Roman" w:hAnsi="Times New Roman"/>
                <w:bCs/>
                <w:sz w:val="24"/>
                <w:szCs w:val="24"/>
              </w:rPr>
              <w:t>(</w:t>
            </w:r>
            <w:r w:rsidRPr="00AF018D">
              <w:rPr>
                <w:rFonts w:ascii="Times New Roman" w:eastAsia="ArialBlack" w:hAnsi="Times New Roman"/>
                <w:sz w:val="24"/>
                <w:szCs w:val="24"/>
              </w:rPr>
              <w:t>atļauja Nr. LI-10-IB-0041 B kategorijas piesārņojošai darbībai,</w:t>
            </w:r>
            <w:r w:rsidRPr="00AF018D">
              <w:rPr>
                <w:rFonts w:ascii="Times New Roman" w:hAnsi="Times New Roman"/>
                <w:sz w:val="24"/>
                <w:szCs w:val="24"/>
              </w:rPr>
              <w:t xml:space="preserve"> izsniegta </w:t>
            </w:r>
            <w:r w:rsidRPr="00AF018D">
              <w:rPr>
                <w:rFonts w:ascii="Times New Roman" w:hAnsi="Times New Roman"/>
                <w:bCs/>
                <w:sz w:val="24"/>
                <w:szCs w:val="24"/>
              </w:rPr>
              <w:t>2010. gada 10. septembrī un derīga visu iekārtas darbības laiku).</w:t>
            </w:r>
          </w:p>
          <w:p w:rsidR="000C02C3" w:rsidRPr="00AF018D" w:rsidP="00033265">
            <w:pPr>
              <w:jc w:val="both"/>
              <w:rPr>
                <w:lang w:val="en-US"/>
              </w:rPr>
            </w:pPr>
          </w:p>
          <w:p w:rsidR="00CD73A3" w:rsidRPr="00BD22DE" w:rsidP="00CD73A3">
            <w:pPr>
              <w:jc w:val="both"/>
            </w:pPr>
            <w:r>
              <w:rPr>
                <w:bCs/>
              </w:rPr>
              <w:t xml:space="preserve">Kā jau iepriekš tika minēts, </w:t>
            </w:r>
            <w:r w:rsidRPr="00BD22DE">
              <w:rPr>
                <w:bCs/>
              </w:rPr>
              <w:t>A/</w:t>
            </w:r>
            <w:r>
              <w:rPr>
                <w:bCs/>
              </w:rPr>
              <w:t>S</w:t>
            </w:r>
            <w:r w:rsidRPr="00EB14B6">
              <w:rPr>
                <w:bCs/>
              </w:rPr>
              <w:t xml:space="preserve"> “Tosmares kuģu būvētava” ir iekļauta </w:t>
            </w:r>
            <w:r w:rsidRPr="00BD22DE">
              <w:t>kuģu pār</w:t>
            </w:r>
            <w:r>
              <w:t>strādes rūpnīcu Eiropas sarakstā</w:t>
            </w:r>
            <w:r w:rsidRPr="00BD22DE">
              <w:t xml:space="preserve">. Minētajai kuģu pārstrādes rūpnīcai ir izdota atļauja B kategorijas piesārņojošas darbības veikšanai Nr. LI -10-IB-0024, kurā ir norādīts, ka gada laikā minētajās iekārtās varētu tikt sagriezti 10 kuģi, kuru kopējais svars gada laikā nepārsniegs 15 000 tonnas. </w:t>
            </w:r>
            <w:r w:rsidR="00F20A8D">
              <w:t xml:space="preserve">Pašreiz vēl Regulai Nr.1257/2013 atbilstošu kuģu pārstrāde šajā rūpnīcā nav veikta. Jāatzīmē, ka arī citas kuģu pārstrādes iekārtas, kurām ir izsniegtas B kategorijas atļaujas kuģu vraku reģenerācijai, var tikt iekļautas kuģu pārstrādes rūpnīcu Eiropas sarakstā, ja tās atbilst Regulas Nr.1257/2013 prasībām. </w:t>
            </w:r>
            <w:r>
              <w:t xml:space="preserve">Tādejādi pastāv iespēja, ka Latvijas kuģu pārstrādes iekārtās varētu notikt </w:t>
            </w:r>
            <w:r>
              <w:t xml:space="preserve">Regulai Nr.1257/2013 atbilstošu kuģu pārstrāde. </w:t>
            </w:r>
            <w:r w:rsidR="00F20A8D">
              <w:t xml:space="preserve">Tāpēc ir nepieciešams Latvijas normatīvajos aktos noteikt regulējumu kuģu pārstrādes plānu un kuģu pārstrādes iekārtu plānu izskatīšanai un izvērtēšanai. </w:t>
            </w:r>
          </w:p>
          <w:p w:rsidR="00CB4AEA" w:rsidP="0052256F">
            <w:pPr>
              <w:jc w:val="both"/>
              <w:rPr>
                <w:bCs/>
              </w:rPr>
            </w:pPr>
          </w:p>
          <w:p w:rsidR="0052256F" w:rsidRPr="00BD22DE" w:rsidP="0052256F">
            <w:pPr>
              <w:jc w:val="both"/>
            </w:pPr>
            <w:r w:rsidRPr="00726141">
              <w:rPr>
                <w:bCs/>
              </w:rPr>
              <w:t xml:space="preserve">Noteikumu projekts paredz, ka tiks izveidota </w:t>
            </w:r>
            <w:r w:rsidRPr="002001ED">
              <w:t>Kuģu pārstrādes padome (turpmāk – padome)</w:t>
            </w:r>
            <w:r w:rsidR="007E3FC6">
              <w:t>, kas</w:t>
            </w:r>
            <w:r w:rsidRPr="002001ED">
              <w:t xml:space="preserve"> ir konsultatīv</w:t>
            </w:r>
            <w:r w:rsidRPr="00EB14B6">
              <w:t>a institūcija</w:t>
            </w:r>
            <w:r w:rsidR="007E3FC6">
              <w:t xml:space="preserve"> un</w:t>
            </w:r>
            <w:r w:rsidRPr="00EB14B6">
              <w:t xml:space="preserve"> </w:t>
            </w:r>
            <w:r w:rsidRPr="00EB14B6" w:rsidR="00CC18C6">
              <w:t>k</w:t>
            </w:r>
            <w:r w:rsidR="00CC18C6">
              <w:t>as</w:t>
            </w:r>
            <w:r w:rsidRPr="00EB14B6" w:rsidR="00CC18C6">
              <w:t xml:space="preserve"> </w:t>
            </w:r>
            <w:r w:rsidRPr="00EB14B6">
              <w:t>izvērtē Regulā Nr</w:t>
            </w:r>
            <w:r w:rsidRPr="00BD22DE" w:rsidR="00BD22DE">
              <w:t>.</w:t>
            </w:r>
            <w:r w:rsidR="00BD22DE">
              <w:t> </w:t>
            </w:r>
            <w:r w:rsidRPr="002001ED">
              <w:t>1257/2013 minēto kuģu pārstrādes plānu un kuģu pārstrādes rūpnīcu plānu atbilstību minētajai regulai. Ņemot vērā kuģu uzbūvi, tajos izmantotās bīstamās vielas un kuģu pārstrādes ietvaros veicamos pasākumus, ir lietder</w:t>
            </w:r>
            <w:r w:rsidRPr="00EB14B6">
              <w:t xml:space="preserve">īgi izveidot konsultatīvu institūciju, kurā ir ietverti </w:t>
            </w:r>
            <w:r w:rsidRPr="00AF018D" w:rsidR="00CC03BD">
              <w:t>institūciju</w:t>
            </w:r>
            <w:r w:rsidR="000C02C3">
              <w:t xml:space="preserve"> </w:t>
            </w:r>
            <w:r w:rsidRPr="00EB14B6">
              <w:t>pārstāvji, kuri atbilstoši savai kompetencei var izvērtēt kuģu pārstrādes plānus un kuģu pārstrādes rūpnīcu plānus. Padomes lēmumiem ir ieteikumu raksturs. Minētos ieteikumus Va</w:t>
            </w:r>
            <w:r w:rsidRPr="00BD22DE">
              <w:t xml:space="preserve">lsts vides dienests izmantos, pieņemot attiecīgos lēmumus par kuģu pārstrādes plānu un kuģu pārstrādes rūpnīcu plānu apstiprināšanu. </w:t>
            </w:r>
          </w:p>
          <w:p w:rsidR="00033265" w:rsidRPr="00BD22DE" w:rsidP="00D66771">
            <w:pPr>
              <w:jc w:val="both"/>
            </w:pPr>
          </w:p>
        </w:tc>
      </w:tr>
      <w:tr w:rsidTr="004728D2">
        <w:tblPrEx>
          <w:tblW w:w="9498" w:type="dxa"/>
          <w:tblInd w:w="-572" w:type="dxa"/>
          <w:tblLook w:val="01E0"/>
        </w:tblPrEx>
        <w:tc>
          <w:tcPr>
            <w:tcW w:w="567" w:type="dxa"/>
          </w:tcPr>
          <w:p w:rsidR="00056926" w:rsidRPr="00BD22DE" w:rsidP="004728D2">
            <w:pPr>
              <w:jc w:val="center"/>
              <w:rPr>
                <w:szCs w:val="28"/>
              </w:rPr>
            </w:pPr>
            <w:r w:rsidRPr="00BD22DE">
              <w:rPr>
                <w:szCs w:val="28"/>
              </w:rPr>
              <w:t>3.</w:t>
            </w:r>
          </w:p>
        </w:tc>
        <w:tc>
          <w:tcPr>
            <w:tcW w:w="2410" w:type="dxa"/>
          </w:tcPr>
          <w:p w:rsidR="00056926" w:rsidRPr="00BD22DE" w:rsidP="004728D2">
            <w:pPr>
              <w:rPr>
                <w:szCs w:val="28"/>
              </w:rPr>
            </w:pPr>
            <w:r w:rsidRPr="00BD22DE">
              <w:rPr>
                <w:szCs w:val="28"/>
              </w:rPr>
              <w:t>Projekta izstrādē iesaistītās institūcijas</w:t>
            </w:r>
          </w:p>
        </w:tc>
        <w:tc>
          <w:tcPr>
            <w:tcW w:w="6521" w:type="dxa"/>
          </w:tcPr>
          <w:p w:rsidR="00056926" w:rsidRPr="00BD22DE" w:rsidP="004728D2">
            <w:pPr>
              <w:pStyle w:val="naiskr"/>
              <w:jc w:val="both"/>
              <w:rPr>
                <w:szCs w:val="28"/>
              </w:rPr>
            </w:pPr>
            <w:r w:rsidRPr="00BD22DE">
              <w:rPr>
                <w:szCs w:val="28"/>
              </w:rPr>
              <w:t>VARAM, Valsts vides dienests</w:t>
            </w:r>
          </w:p>
        </w:tc>
      </w:tr>
      <w:tr w:rsidTr="004728D2">
        <w:tblPrEx>
          <w:tblW w:w="9498" w:type="dxa"/>
          <w:tblInd w:w="-572" w:type="dxa"/>
          <w:tblLook w:val="01E0"/>
        </w:tblPrEx>
        <w:trPr>
          <w:trHeight w:val="571"/>
        </w:trPr>
        <w:tc>
          <w:tcPr>
            <w:tcW w:w="567" w:type="dxa"/>
          </w:tcPr>
          <w:p w:rsidR="00056926" w:rsidRPr="00BD22DE" w:rsidP="004728D2">
            <w:pPr>
              <w:jc w:val="center"/>
              <w:rPr>
                <w:szCs w:val="28"/>
              </w:rPr>
            </w:pPr>
            <w:r w:rsidRPr="00BD22DE">
              <w:rPr>
                <w:szCs w:val="28"/>
              </w:rPr>
              <w:t>4.</w:t>
            </w:r>
          </w:p>
        </w:tc>
        <w:tc>
          <w:tcPr>
            <w:tcW w:w="2410" w:type="dxa"/>
          </w:tcPr>
          <w:p w:rsidR="00056926" w:rsidRPr="00BD22DE" w:rsidP="004728D2">
            <w:pPr>
              <w:rPr>
                <w:szCs w:val="28"/>
              </w:rPr>
            </w:pPr>
            <w:r w:rsidRPr="00BD22DE">
              <w:rPr>
                <w:szCs w:val="28"/>
              </w:rPr>
              <w:t>Cita informācija</w:t>
            </w:r>
          </w:p>
        </w:tc>
        <w:tc>
          <w:tcPr>
            <w:tcW w:w="6521" w:type="dxa"/>
          </w:tcPr>
          <w:p w:rsidR="00056926" w:rsidRPr="00BD22DE" w:rsidP="004728D2">
            <w:pPr>
              <w:jc w:val="both"/>
              <w:rPr>
                <w:b/>
                <w:szCs w:val="28"/>
              </w:rPr>
            </w:pPr>
            <w:r w:rsidRPr="00BD22DE">
              <w:rPr>
                <w:rStyle w:val="Strong"/>
                <w:b w:val="0"/>
                <w:szCs w:val="28"/>
              </w:rPr>
              <w:t>Nav.</w:t>
            </w:r>
          </w:p>
        </w:tc>
      </w:tr>
    </w:tbl>
    <w:p w:rsidR="00056926" w:rsidRPr="00BD22DE" w:rsidP="00056926">
      <w:pPr>
        <w:jc w:val="center"/>
        <w:rPr>
          <w:sz w:val="28"/>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4"/>
        <w:gridCol w:w="6237"/>
      </w:tblGrid>
      <w:tr w:rsidTr="00B6293A">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056926" w:rsidRPr="00BD22DE" w:rsidP="004728D2">
            <w:pPr>
              <w:jc w:val="center"/>
              <w:rPr>
                <w:b/>
                <w:szCs w:val="28"/>
              </w:rPr>
            </w:pPr>
            <w:r w:rsidRPr="00BD22DE">
              <w:rPr>
                <w:b/>
                <w:bCs/>
                <w:szCs w:val="28"/>
                <w:shd w:val="clear" w:color="auto" w:fill="FFFFFF"/>
              </w:rPr>
              <w:t>II. Tiesību akta projekta ietekme uz sabiedrību, tautsaimniecības attīstību un administratīvo slogu</w:t>
            </w:r>
          </w:p>
        </w:tc>
      </w:tr>
      <w:tr w:rsidTr="00B6293A">
        <w:tblPrEx>
          <w:tblW w:w="9498" w:type="dxa"/>
          <w:tblInd w:w="-572" w:type="dxa"/>
          <w:tblLook w:val="01E0"/>
        </w:tblPrEx>
        <w:tc>
          <w:tcPr>
            <w:tcW w:w="567" w:type="dxa"/>
          </w:tcPr>
          <w:p w:rsidR="00056926" w:rsidRPr="00BD22DE" w:rsidP="004728D2">
            <w:pPr>
              <w:jc w:val="center"/>
              <w:rPr>
                <w:szCs w:val="28"/>
              </w:rPr>
            </w:pPr>
            <w:r w:rsidRPr="00BD22DE">
              <w:rPr>
                <w:szCs w:val="28"/>
              </w:rPr>
              <w:t>1.</w:t>
            </w:r>
          </w:p>
        </w:tc>
        <w:tc>
          <w:tcPr>
            <w:tcW w:w="2694" w:type="dxa"/>
          </w:tcPr>
          <w:p w:rsidR="00056926" w:rsidRPr="00BD22DE" w:rsidP="004728D2">
            <w:pPr>
              <w:rPr>
                <w:szCs w:val="28"/>
              </w:rPr>
            </w:pPr>
            <w:r w:rsidRPr="00BD22DE">
              <w:rPr>
                <w:szCs w:val="28"/>
              </w:rPr>
              <w:t>Sabiedrības mērķgrupas, kuras tiesiskais regulējums ietekmē vai varētu ietekmēt</w:t>
            </w:r>
          </w:p>
        </w:tc>
        <w:tc>
          <w:tcPr>
            <w:tcW w:w="6237" w:type="dxa"/>
          </w:tcPr>
          <w:p w:rsidR="00056926" w:rsidRPr="00423451" w:rsidP="0052256F">
            <w:pPr>
              <w:suppressAutoHyphens/>
              <w:spacing w:line="100" w:lineRule="atLeast"/>
              <w:jc w:val="both"/>
              <w:rPr>
                <w:szCs w:val="28"/>
              </w:rPr>
            </w:pPr>
            <w:r w:rsidRPr="00BD22DE">
              <w:rPr>
                <w:szCs w:val="28"/>
              </w:rPr>
              <w:t>1 kuģu pārstrādes rūpnīca – A/S “Tosmāre</w:t>
            </w:r>
            <w:r w:rsidR="00726141">
              <w:rPr>
                <w:szCs w:val="28"/>
              </w:rPr>
              <w:t>s kuģu būvētava</w:t>
            </w:r>
            <w:r w:rsidRPr="00BD22DE">
              <w:rPr>
                <w:szCs w:val="28"/>
              </w:rPr>
              <w:t>”</w:t>
            </w:r>
            <w:r w:rsidR="002001ED">
              <w:rPr>
                <w:szCs w:val="28"/>
              </w:rPr>
              <w:t>.</w:t>
            </w:r>
          </w:p>
          <w:p w:rsidR="0052256F" w:rsidRPr="00EB14B6" w:rsidP="0052256F">
            <w:pPr>
              <w:suppressAutoHyphens/>
              <w:spacing w:line="100" w:lineRule="atLeast"/>
              <w:jc w:val="both"/>
              <w:rPr>
                <w:szCs w:val="28"/>
              </w:rPr>
            </w:pPr>
            <w:r w:rsidRPr="00EB14B6">
              <w:rPr>
                <w:szCs w:val="28"/>
              </w:rPr>
              <w:t xml:space="preserve">Ar Latvijas karogu kuģojošo 35 kuģu īpašnieki. </w:t>
            </w:r>
          </w:p>
        </w:tc>
      </w:tr>
      <w:tr w:rsidTr="00B6293A">
        <w:tblPrEx>
          <w:tblW w:w="9498" w:type="dxa"/>
          <w:tblInd w:w="-572" w:type="dxa"/>
          <w:tblLook w:val="01E0"/>
        </w:tblPrEx>
        <w:tc>
          <w:tcPr>
            <w:tcW w:w="567" w:type="dxa"/>
            <w:shd w:val="clear" w:color="auto" w:fill="auto"/>
          </w:tcPr>
          <w:p w:rsidR="00056926" w:rsidRPr="00BD22DE" w:rsidP="004728D2">
            <w:pPr>
              <w:jc w:val="center"/>
              <w:rPr>
                <w:szCs w:val="28"/>
                <w:highlight w:val="yellow"/>
              </w:rPr>
            </w:pPr>
            <w:r w:rsidRPr="00BD22DE">
              <w:rPr>
                <w:szCs w:val="28"/>
              </w:rPr>
              <w:t>2.</w:t>
            </w:r>
          </w:p>
        </w:tc>
        <w:tc>
          <w:tcPr>
            <w:tcW w:w="2694" w:type="dxa"/>
            <w:shd w:val="clear" w:color="auto" w:fill="FFFFFF"/>
          </w:tcPr>
          <w:p w:rsidR="00056926" w:rsidRPr="00BD22DE" w:rsidP="004728D2">
            <w:pPr>
              <w:rPr>
                <w:szCs w:val="28"/>
              </w:rPr>
            </w:pPr>
            <w:r w:rsidRPr="00BD22DE">
              <w:rPr>
                <w:szCs w:val="28"/>
              </w:rPr>
              <w:t>Tiesiskā regulējuma ietekme uz tautsaimniecību un administratīvo slogu</w:t>
            </w:r>
          </w:p>
        </w:tc>
        <w:tc>
          <w:tcPr>
            <w:tcW w:w="6237" w:type="dxa"/>
            <w:shd w:val="clear" w:color="auto" w:fill="auto"/>
          </w:tcPr>
          <w:p w:rsidR="00056926" w:rsidRPr="00BD22DE" w:rsidP="004728D2">
            <w:pPr>
              <w:jc w:val="both"/>
              <w:rPr>
                <w:szCs w:val="28"/>
              </w:rPr>
            </w:pPr>
            <w:r w:rsidRPr="00BD22DE">
              <w:rPr>
                <w:szCs w:val="28"/>
              </w:rPr>
              <w:t xml:space="preserve">Normatīvo aktu projekts nerada papildus administratīvo slogu. </w:t>
            </w:r>
          </w:p>
        </w:tc>
      </w:tr>
      <w:tr w:rsidTr="00B6293A">
        <w:tblPrEx>
          <w:tblW w:w="9498" w:type="dxa"/>
          <w:tblInd w:w="-572" w:type="dxa"/>
          <w:tblLook w:val="01E0"/>
        </w:tblPrEx>
        <w:trPr>
          <w:trHeight w:val="752"/>
        </w:trPr>
        <w:tc>
          <w:tcPr>
            <w:tcW w:w="567" w:type="dxa"/>
          </w:tcPr>
          <w:p w:rsidR="00056926" w:rsidRPr="00BD22DE" w:rsidP="004728D2">
            <w:pPr>
              <w:jc w:val="center"/>
              <w:rPr>
                <w:szCs w:val="28"/>
              </w:rPr>
            </w:pPr>
            <w:r w:rsidRPr="00BD22DE">
              <w:rPr>
                <w:szCs w:val="28"/>
              </w:rPr>
              <w:t>3.</w:t>
            </w:r>
          </w:p>
        </w:tc>
        <w:tc>
          <w:tcPr>
            <w:tcW w:w="2694" w:type="dxa"/>
          </w:tcPr>
          <w:p w:rsidR="00056926" w:rsidRPr="00BD22DE" w:rsidP="004728D2">
            <w:pPr>
              <w:rPr>
                <w:szCs w:val="28"/>
              </w:rPr>
            </w:pPr>
            <w:r w:rsidRPr="00BD22DE">
              <w:rPr>
                <w:szCs w:val="28"/>
              </w:rPr>
              <w:t>Administratīvo izmaksu monetārs novērtējums</w:t>
            </w:r>
          </w:p>
        </w:tc>
        <w:tc>
          <w:tcPr>
            <w:tcW w:w="6237" w:type="dxa"/>
          </w:tcPr>
          <w:p w:rsidR="00056926" w:rsidRPr="00BD22DE" w:rsidP="004728D2">
            <w:pPr>
              <w:pStyle w:val="ListParagraph"/>
              <w:spacing w:after="0" w:line="240" w:lineRule="auto"/>
              <w:ind w:left="0"/>
              <w:jc w:val="both"/>
              <w:rPr>
                <w:rFonts w:ascii="Times New Roman" w:eastAsia="Times New Roman" w:hAnsi="Times New Roman"/>
                <w:sz w:val="24"/>
                <w:szCs w:val="28"/>
                <w:lang w:val="lv-LV" w:eastAsia="lv-LV"/>
              </w:rPr>
            </w:pPr>
            <w:r w:rsidRPr="00BD22DE">
              <w:rPr>
                <w:rFonts w:ascii="Times New Roman" w:eastAsia="Times New Roman" w:hAnsi="Times New Roman"/>
                <w:sz w:val="24"/>
                <w:szCs w:val="28"/>
                <w:lang w:val="lv-LV" w:eastAsia="lv-LV"/>
              </w:rPr>
              <w:t>Nav nepieciešams.</w:t>
            </w:r>
          </w:p>
          <w:p w:rsidR="00056926" w:rsidRPr="00BD22DE" w:rsidP="00056926">
            <w:pPr>
              <w:jc w:val="both"/>
              <w:rPr>
                <w:szCs w:val="28"/>
              </w:rPr>
            </w:pPr>
          </w:p>
        </w:tc>
      </w:tr>
      <w:tr w:rsidTr="00B6293A">
        <w:tblPrEx>
          <w:tblW w:w="9498" w:type="dxa"/>
          <w:tblInd w:w="-572" w:type="dxa"/>
          <w:tblLook w:val="01E0"/>
        </w:tblPrEx>
        <w:tc>
          <w:tcPr>
            <w:tcW w:w="567" w:type="dxa"/>
          </w:tcPr>
          <w:p w:rsidR="00056926" w:rsidRPr="00BD22DE" w:rsidP="004728D2">
            <w:pPr>
              <w:jc w:val="center"/>
              <w:rPr>
                <w:szCs w:val="28"/>
              </w:rPr>
            </w:pPr>
            <w:r w:rsidRPr="00BD22DE">
              <w:rPr>
                <w:szCs w:val="28"/>
              </w:rPr>
              <w:t>4.</w:t>
            </w:r>
          </w:p>
        </w:tc>
        <w:tc>
          <w:tcPr>
            <w:tcW w:w="2694" w:type="dxa"/>
          </w:tcPr>
          <w:p w:rsidR="00056926" w:rsidRPr="00BD22DE" w:rsidP="004728D2">
            <w:pPr>
              <w:rPr>
                <w:szCs w:val="28"/>
              </w:rPr>
            </w:pPr>
            <w:r w:rsidRPr="00BD22DE">
              <w:rPr>
                <w:szCs w:val="28"/>
              </w:rPr>
              <w:t>Cita informācija</w:t>
            </w:r>
          </w:p>
        </w:tc>
        <w:tc>
          <w:tcPr>
            <w:tcW w:w="6237" w:type="dxa"/>
          </w:tcPr>
          <w:p w:rsidR="00056926" w:rsidRPr="00BD22DE" w:rsidP="004728D2">
            <w:pPr>
              <w:jc w:val="both"/>
              <w:rPr>
                <w:szCs w:val="28"/>
              </w:rPr>
            </w:pPr>
            <w:r w:rsidRPr="00BD22DE">
              <w:rPr>
                <w:szCs w:val="28"/>
              </w:rPr>
              <w:t>Nav.</w:t>
            </w:r>
          </w:p>
        </w:tc>
      </w:tr>
    </w:tbl>
    <w:p w:rsidR="008230E6" w:rsidRPr="00BD22DE" w:rsidP="00056926">
      <w:pPr>
        <w:rPr>
          <w:sz w:val="28"/>
          <w:szCs w:val="28"/>
        </w:rPr>
      </w:pPr>
    </w:p>
    <w:p w:rsidR="008230E6" w:rsidRPr="00BD22DE" w:rsidP="00056926">
      <w:pPr>
        <w:rPr>
          <w:sz w:val="28"/>
          <w:szCs w:val="28"/>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9"/>
        <w:gridCol w:w="3116"/>
        <w:gridCol w:w="5858"/>
      </w:tblGrid>
      <w:tr w:rsidTr="004728D2">
        <w:tblPrEx>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413" w:type="dxa"/>
            <w:gridSpan w:val="3"/>
            <w:tcMar>
              <w:top w:w="57" w:type="dxa"/>
              <w:left w:w="57" w:type="dxa"/>
              <w:bottom w:w="57" w:type="dxa"/>
              <w:right w:w="57" w:type="dxa"/>
            </w:tcMar>
          </w:tcPr>
          <w:p w:rsidR="00056926" w:rsidRPr="00BD22DE" w:rsidP="004728D2">
            <w:pPr>
              <w:pStyle w:val="naisnod"/>
              <w:spacing w:before="0" w:after="0"/>
              <w:ind w:left="57" w:right="57"/>
            </w:pPr>
            <w:r w:rsidRPr="00BD22DE">
              <w:t>VI. Sabiedrības līdzdalība un komunikācijas aktivitātes</w:t>
            </w:r>
          </w:p>
        </w:tc>
      </w:tr>
      <w:tr w:rsidTr="008230E6">
        <w:tblPrEx>
          <w:tblW w:w="9413" w:type="dxa"/>
          <w:jc w:val="center"/>
          <w:tblCellMar>
            <w:left w:w="0" w:type="dxa"/>
            <w:right w:w="0" w:type="dxa"/>
          </w:tblCellMar>
          <w:tblLook w:val="0000"/>
        </w:tblPrEx>
        <w:trPr>
          <w:trHeight w:val="553"/>
          <w:jc w:val="center"/>
        </w:trPr>
        <w:tc>
          <w:tcPr>
            <w:tcW w:w="439" w:type="dxa"/>
            <w:tcMar>
              <w:top w:w="57" w:type="dxa"/>
              <w:left w:w="57" w:type="dxa"/>
              <w:bottom w:w="57" w:type="dxa"/>
              <w:right w:w="57" w:type="dxa"/>
            </w:tcMar>
          </w:tcPr>
          <w:p w:rsidR="008230E6" w:rsidRPr="00BD22DE" w:rsidP="008230E6">
            <w:pPr>
              <w:pStyle w:val="naiskr"/>
              <w:spacing w:before="0" w:after="0"/>
              <w:ind w:left="57" w:right="57"/>
              <w:rPr>
                <w:bCs/>
              </w:rPr>
            </w:pPr>
            <w:r w:rsidRPr="00BD22DE">
              <w:rPr>
                <w:bCs/>
              </w:rPr>
              <w:t>1.</w:t>
            </w:r>
          </w:p>
        </w:tc>
        <w:tc>
          <w:tcPr>
            <w:tcW w:w="3116" w:type="dxa"/>
            <w:tcMar>
              <w:top w:w="57" w:type="dxa"/>
              <w:left w:w="57" w:type="dxa"/>
              <w:bottom w:w="57" w:type="dxa"/>
              <w:right w:w="57" w:type="dxa"/>
            </w:tcMar>
          </w:tcPr>
          <w:p w:rsidR="008230E6" w:rsidRPr="00BD22DE" w:rsidP="008230E6">
            <w:pPr>
              <w:pStyle w:val="naiskr"/>
              <w:tabs>
                <w:tab w:val="left" w:pos="170"/>
              </w:tabs>
              <w:spacing w:before="0" w:after="0"/>
              <w:ind w:left="57" w:right="57"/>
            </w:pPr>
            <w:r w:rsidRPr="00BD22DE">
              <w:t xml:space="preserve">Plānotās sabiedrības līdzdalības un komunikācijas aktivitātes saistībā ar projektu </w:t>
            </w:r>
          </w:p>
        </w:tc>
        <w:tc>
          <w:tcPr>
            <w:tcW w:w="5858" w:type="dxa"/>
            <w:tcMar>
              <w:top w:w="57" w:type="dxa"/>
              <w:left w:w="57" w:type="dxa"/>
              <w:bottom w:w="57" w:type="dxa"/>
              <w:right w:w="57" w:type="dxa"/>
            </w:tcMar>
          </w:tcPr>
          <w:p w:rsidR="008230E6" w:rsidRPr="00BD22DE">
            <w:pPr>
              <w:pStyle w:val="naiskr"/>
              <w:spacing w:before="0" w:after="0"/>
              <w:ind w:left="57" w:right="57"/>
              <w:jc w:val="both"/>
            </w:pPr>
            <w:r w:rsidRPr="00423451">
              <w:t>Noteikumu projekts no 201</w:t>
            </w:r>
            <w:r w:rsidR="00726141">
              <w:t>7</w:t>
            </w:r>
            <w:r w:rsidRPr="00423451">
              <w:t>.</w:t>
            </w:r>
            <w:r w:rsidR="002001ED">
              <w:t> </w:t>
            </w:r>
            <w:r w:rsidRPr="00423451">
              <w:t>gada 19.</w:t>
            </w:r>
            <w:r w:rsidR="002001ED">
              <w:t> </w:t>
            </w:r>
            <w:r w:rsidRPr="00423451">
              <w:t xml:space="preserve">janvāra ir pieejams VARAM tīmekļa vietnē </w:t>
            </w:r>
            <w:r>
              <w:fldChar w:fldCharType="begin"/>
            </w:r>
            <w:r>
              <w:instrText xml:space="preserve"> HYPERLINK "http://www.varam.gov.lv" </w:instrText>
            </w:r>
            <w:r>
              <w:fldChar w:fldCharType="separate"/>
            </w:r>
            <w:r w:rsidRPr="00BD22DE">
              <w:rPr>
                <w:rStyle w:val="Hyperlink"/>
              </w:rPr>
              <w:t>www.varam.gov.lv</w:t>
            </w:r>
            <w:r>
              <w:fldChar w:fldCharType="end"/>
            </w:r>
            <w:r w:rsidRPr="00BD22DE">
              <w:t>, līdz ar to ieinteresētajām personām ir iespēja izteikt viedokli un sniegt priekšlikumus.</w:t>
            </w:r>
          </w:p>
        </w:tc>
      </w:tr>
      <w:tr w:rsidTr="008230E6">
        <w:tblPrEx>
          <w:tblW w:w="9413" w:type="dxa"/>
          <w:jc w:val="center"/>
          <w:tblCellMar>
            <w:left w:w="0" w:type="dxa"/>
            <w:right w:w="0" w:type="dxa"/>
          </w:tblCellMar>
          <w:tblLook w:val="0000"/>
        </w:tblPrEx>
        <w:trPr>
          <w:trHeight w:val="339"/>
          <w:jc w:val="center"/>
        </w:trPr>
        <w:tc>
          <w:tcPr>
            <w:tcW w:w="439" w:type="dxa"/>
            <w:tcMar>
              <w:top w:w="57" w:type="dxa"/>
              <w:left w:w="57" w:type="dxa"/>
              <w:bottom w:w="57" w:type="dxa"/>
              <w:right w:w="57" w:type="dxa"/>
            </w:tcMar>
          </w:tcPr>
          <w:p w:rsidR="008230E6" w:rsidRPr="00BD22DE" w:rsidP="008230E6">
            <w:pPr>
              <w:pStyle w:val="naiskr"/>
              <w:spacing w:before="0" w:after="0"/>
              <w:ind w:left="57" w:right="57"/>
              <w:rPr>
                <w:bCs/>
              </w:rPr>
            </w:pPr>
            <w:r w:rsidRPr="00BD22DE">
              <w:rPr>
                <w:bCs/>
              </w:rPr>
              <w:t>2.</w:t>
            </w:r>
          </w:p>
        </w:tc>
        <w:tc>
          <w:tcPr>
            <w:tcW w:w="3116" w:type="dxa"/>
            <w:tcMar>
              <w:top w:w="57" w:type="dxa"/>
              <w:left w:w="57" w:type="dxa"/>
              <w:bottom w:w="57" w:type="dxa"/>
              <w:right w:w="57" w:type="dxa"/>
            </w:tcMar>
          </w:tcPr>
          <w:p w:rsidR="008230E6" w:rsidRPr="00BD22DE" w:rsidP="008230E6">
            <w:pPr>
              <w:pStyle w:val="naiskr"/>
              <w:spacing w:before="0" w:after="0"/>
              <w:ind w:left="57" w:right="57"/>
            </w:pPr>
            <w:r w:rsidRPr="00BD22DE">
              <w:t xml:space="preserve">Sabiedrības līdzdalība projekta izstrādē </w:t>
            </w:r>
          </w:p>
        </w:tc>
        <w:tc>
          <w:tcPr>
            <w:tcW w:w="5858" w:type="dxa"/>
            <w:tcMar>
              <w:top w:w="57" w:type="dxa"/>
              <w:left w:w="57" w:type="dxa"/>
              <w:bottom w:w="57" w:type="dxa"/>
              <w:right w:w="57" w:type="dxa"/>
            </w:tcMar>
          </w:tcPr>
          <w:p w:rsidR="008230E6" w:rsidRPr="00BD22DE" w:rsidP="004728D2">
            <w:pPr>
              <w:pStyle w:val="naiskr"/>
              <w:spacing w:before="0" w:after="0"/>
              <w:ind w:right="57"/>
              <w:jc w:val="both"/>
            </w:pPr>
            <w:r>
              <w:t>Sabiedrības viedoklis un priekšlikums par noteikumu projektu netika saņemts</w:t>
            </w:r>
            <w:r w:rsidRPr="00BD22DE">
              <w:t>.</w:t>
            </w:r>
          </w:p>
        </w:tc>
      </w:tr>
      <w:tr w:rsidTr="008230E6">
        <w:tblPrEx>
          <w:tblW w:w="9413" w:type="dxa"/>
          <w:jc w:val="center"/>
          <w:tblCellMar>
            <w:left w:w="0" w:type="dxa"/>
            <w:right w:w="0" w:type="dxa"/>
          </w:tblCellMar>
          <w:tblLook w:val="0000"/>
        </w:tblPrEx>
        <w:trPr>
          <w:trHeight w:val="375"/>
          <w:jc w:val="center"/>
        </w:trPr>
        <w:tc>
          <w:tcPr>
            <w:tcW w:w="439" w:type="dxa"/>
            <w:tcMar>
              <w:top w:w="57" w:type="dxa"/>
              <w:left w:w="57" w:type="dxa"/>
              <w:bottom w:w="57" w:type="dxa"/>
              <w:right w:w="57" w:type="dxa"/>
            </w:tcMar>
          </w:tcPr>
          <w:p w:rsidR="008230E6" w:rsidRPr="00BD22DE" w:rsidP="008230E6">
            <w:pPr>
              <w:pStyle w:val="naiskr"/>
              <w:spacing w:before="0" w:after="0"/>
              <w:ind w:left="57" w:right="57"/>
              <w:rPr>
                <w:bCs/>
              </w:rPr>
            </w:pPr>
            <w:r w:rsidRPr="00BD22DE">
              <w:rPr>
                <w:bCs/>
              </w:rPr>
              <w:t>3.</w:t>
            </w:r>
          </w:p>
        </w:tc>
        <w:tc>
          <w:tcPr>
            <w:tcW w:w="3116" w:type="dxa"/>
            <w:tcMar>
              <w:top w:w="57" w:type="dxa"/>
              <w:left w:w="57" w:type="dxa"/>
              <w:bottom w:w="57" w:type="dxa"/>
              <w:right w:w="57" w:type="dxa"/>
            </w:tcMar>
          </w:tcPr>
          <w:p w:rsidR="008230E6" w:rsidRPr="00BD22DE" w:rsidP="008230E6">
            <w:pPr>
              <w:pStyle w:val="naiskr"/>
              <w:spacing w:before="0" w:after="0"/>
              <w:ind w:left="57" w:right="57"/>
            </w:pPr>
            <w:r w:rsidRPr="00BD22DE">
              <w:t xml:space="preserve">Sabiedrības līdzdalības rezultāti </w:t>
            </w:r>
          </w:p>
        </w:tc>
        <w:tc>
          <w:tcPr>
            <w:tcW w:w="5858" w:type="dxa"/>
            <w:tcMar>
              <w:top w:w="57" w:type="dxa"/>
              <w:left w:w="57" w:type="dxa"/>
              <w:bottom w:w="57" w:type="dxa"/>
              <w:right w:w="57" w:type="dxa"/>
            </w:tcMar>
          </w:tcPr>
          <w:p w:rsidR="008230E6" w:rsidRPr="00BD22DE" w:rsidP="008230E6">
            <w:pPr>
              <w:pStyle w:val="naiskr"/>
              <w:spacing w:before="0" w:after="0"/>
              <w:ind w:right="57"/>
              <w:jc w:val="both"/>
            </w:pPr>
            <w:r>
              <w:t>Sabiedrības viedoklis un priekšlikums par noteikumu projektu netika saņemts</w:t>
            </w:r>
            <w:r w:rsidRPr="00BD22DE">
              <w:t>.</w:t>
            </w:r>
          </w:p>
        </w:tc>
      </w:tr>
      <w:tr w:rsidTr="008230E6">
        <w:tblPrEx>
          <w:tblW w:w="9413" w:type="dxa"/>
          <w:jc w:val="center"/>
          <w:tblCellMar>
            <w:left w:w="0" w:type="dxa"/>
            <w:right w:w="0" w:type="dxa"/>
          </w:tblCellMar>
          <w:tblLook w:val="0000"/>
        </w:tblPrEx>
        <w:trPr>
          <w:trHeight w:val="375"/>
          <w:jc w:val="center"/>
        </w:trPr>
        <w:tc>
          <w:tcPr>
            <w:tcW w:w="439" w:type="dxa"/>
            <w:tcMar>
              <w:top w:w="57" w:type="dxa"/>
              <w:left w:w="57" w:type="dxa"/>
              <w:bottom w:w="57" w:type="dxa"/>
              <w:right w:w="57" w:type="dxa"/>
            </w:tcMar>
          </w:tcPr>
          <w:p w:rsidR="008230E6" w:rsidRPr="00BD22DE" w:rsidP="008230E6">
            <w:pPr>
              <w:pStyle w:val="naiskr"/>
              <w:spacing w:before="0" w:after="0"/>
              <w:ind w:left="57" w:right="57"/>
              <w:rPr>
                <w:bCs/>
              </w:rPr>
            </w:pPr>
            <w:r w:rsidRPr="00BD22DE">
              <w:rPr>
                <w:bCs/>
              </w:rPr>
              <w:t>4.</w:t>
            </w:r>
          </w:p>
        </w:tc>
        <w:tc>
          <w:tcPr>
            <w:tcW w:w="3116" w:type="dxa"/>
            <w:tcMar>
              <w:top w:w="57" w:type="dxa"/>
              <w:left w:w="57" w:type="dxa"/>
              <w:bottom w:w="57" w:type="dxa"/>
              <w:right w:w="57" w:type="dxa"/>
            </w:tcMar>
          </w:tcPr>
          <w:p w:rsidR="008230E6" w:rsidRPr="00BD22DE" w:rsidP="008230E6">
            <w:pPr>
              <w:pStyle w:val="naiskr"/>
              <w:spacing w:before="0" w:after="0"/>
              <w:ind w:left="57" w:right="57"/>
            </w:pPr>
            <w:r w:rsidRPr="00BD22DE">
              <w:t>Cita informācija</w:t>
            </w:r>
          </w:p>
        </w:tc>
        <w:tc>
          <w:tcPr>
            <w:tcW w:w="5858" w:type="dxa"/>
            <w:tcMar>
              <w:top w:w="57" w:type="dxa"/>
              <w:left w:w="57" w:type="dxa"/>
              <w:bottom w:w="57" w:type="dxa"/>
              <w:right w:w="57" w:type="dxa"/>
            </w:tcMar>
          </w:tcPr>
          <w:p w:rsidR="008230E6" w:rsidRPr="00BD22DE" w:rsidP="008230E6">
            <w:pPr>
              <w:pStyle w:val="naiskr"/>
              <w:spacing w:before="0" w:after="0"/>
              <w:ind w:right="57"/>
              <w:jc w:val="both"/>
            </w:pPr>
            <w:r w:rsidRPr="00BD22DE">
              <w:t>Nav.</w:t>
            </w:r>
          </w:p>
        </w:tc>
      </w:tr>
    </w:tbl>
    <w:p w:rsidR="00056926" w:rsidRPr="00BD22DE" w:rsidP="00056926">
      <w:pPr>
        <w:rPr>
          <w:sz w:val="28"/>
          <w:szCs w:val="28"/>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3118"/>
        <w:gridCol w:w="5870"/>
      </w:tblGrid>
      <w:tr w:rsidTr="004728D2">
        <w:tblPrEx>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jc w:val="center"/>
        </w:trPr>
        <w:tc>
          <w:tcPr>
            <w:tcW w:w="9474" w:type="dxa"/>
            <w:gridSpan w:val="3"/>
            <w:tcBorders>
              <w:top w:val="single" w:sz="4" w:space="0" w:color="auto"/>
            </w:tcBorders>
            <w:tcMar>
              <w:top w:w="57" w:type="dxa"/>
              <w:left w:w="57" w:type="dxa"/>
              <w:bottom w:w="57" w:type="dxa"/>
              <w:right w:w="57" w:type="dxa"/>
            </w:tcMar>
          </w:tcPr>
          <w:p w:rsidR="00056926" w:rsidRPr="00BD22DE" w:rsidP="004728D2">
            <w:pPr>
              <w:pStyle w:val="naisnod"/>
              <w:spacing w:before="0" w:after="0"/>
              <w:ind w:left="57" w:right="57"/>
              <w:rPr>
                <w:szCs w:val="28"/>
              </w:rPr>
            </w:pPr>
            <w:r w:rsidRPr="00BD22DE">
              <w:rPr>
                <w:szCs w:val="28"/>
              </w:rPr>
              <w:t>VII. Tiesību akta projekta izpildes nodrošināšana un tās ietekme uz institūcijām</w:t>
            </w:r>
          </w:p>
        </w:tc>
      </w:tr>
      <w:tr w:rsidTr="004728D2">
        <w:tblPrEx>
          <w:tblW w:w="9474" w:type="dxa"/>
          <w:jc w:val="center"/>
          <w:tblCellMar>
            <w:top w:w="28" w:type="dxa"/>
            <w:left w:w="28" w:type="dxa"/>
            <w:bottom w:w="28" w:type="dxa"/>
            <w:right w:w="28" w:type="dxa"/>
          </w:tblCellMar>
          <w:tblLook w:val="0000"/>
        </w:tblPrEx>
        <w:trPr>
          <w:trHeight w:val="427"/>
          <w:jc w:val="center"/>
        </w:trPr>
        <w:tc>
          <w:tcPr>
            <w:tcW w:w="486" w:type="dxa"/>
            <w:tcMar>
              <w:top w:w="57" w:type="dxa"/>
              <w:left w:w="57" w:type="dxa"/>
              <w:bottom w:w="57" w:type="dxa"/>
              <w:right w:w="57" w:type="dxa"/>
            </w:tcMar>
          </w:tcPr>
          <w:p w:rsidR="00056926" w:rsidRPr="00BD22DE" w:rsidP="004728D2">
            <w:pPr>
              <w:pStyle w:val="naisnod"/>
              <w:spacing w:before="0" w:after="0"/>
              <w:ind w:left="57" w:right="57"/>
              <w:jc w:val="left"/>
              <w:rPr>
                <w:b w:val="0"/>
                <w:szCs w:val="28"/>
              </w:rPr>
            </w:pPr>
            <w:r w:rsidRPr="00BD22DE">
              <w:rPr>
                <w:b w:val="0"/>
                <w:szCs w:val="28"/>
              </w:rPr>
              <w:t>1.</w:t>
            </w:r>
          </w:p>
        </w:tc>
        <w:tc>
          <w:tcPr>
            <w:tcW w:w="3118" w:type="dxa"/>
            <w:tcMar>
              <w:top w:w="57" w:type="dxa"/>
              <w:left w:w="57" w:type="dxa"/>
              <w:bottom w:w="57" w:type="dxa"/>
              <w:right w:w="57" w:type="dxa"/>
            </w:tcMar>
          </w:tcPr>
          <w:p w:rsidR="00056926" w:rsidRPr="00BD22DE" w:rsidP="004728D2">
            <w:pPr>
              <w:pStyle w:val="naisf"/>
              <w:spacing w:before="0" w:after="0"/>
              <w:ind w:left="57" w:right="57" w:firstLine="0"/>
              <w:jc w:val="left"/>
              <w:rPr>
                <w:szCs w:val="28"/>
              </w:rPr>
            </w:pPr>
            <w:r w:rsidRPr="00BD22DE">
              <w:rPr>
                <w:szCs w:val="28"/>
              </w:rPr>
              <w:t xml:space="preserve">Projekta izpildē iesaistītās institūcijas </w:t>
            </w:r>
          </w:p>
        </w:tc>
        <w:tc>
          <w:tcPr>
            <w:tcW w:w="5870" w:type="dxa"/>
            <w:tcMar>
              <w:top w:w="57" w:type="dxa"/>
              <w:left w:w="57" w:type="dxa"/>
              <w:bottom w:w="57" w:type="dxa"/>
              <w:right w:w="57" w:type="dxa"/>
            </w:tcMar>
          </w:tcPr>
          <w:p w:rsidR="00056926" w:rsidRPr="00BD22DE" w:rsidP="00B6293A">
            <w:pPr>
              <w:pStyle w:val="naisc"/>
              <w:spacing w:before="0" w:after="0"/>
              <w:jc w:val="both"/>
              <w:rPr>
                <w:szCs w:val="28"/>
              </w:rPr>
            </w:pPr>
            <w:r>
              <w:rPr>
                <w:szCs w:val="28"/>
              </w:rPr>
              <w:t>VARAM</w:t>
            </w:r>
            <w:bookmarkStart w:id="0" w:name="_GoBack"/>
            <w:bookmarkEnd w:id="0"/>
            <w:r w:rsidRPr="00BD22DE" w:rsidR="00B6293A">
              <w:rPr>
                <w:szCs w:val="28"/>
              </w:rPr>
              <w:t>, Valsts vides dienests.</w:t>
            </w:r>
          </w:p>
        </w:tc>
      </w:tr>
      <w:tr w:rsidTr="004728D2">
        <w:tblPrEx>
          <w:tblW w:w="9474" w:type="dxa"/>
          <w:jc w:val="center"/>
          <w:tblCellMar>
            <w:top w:w="28" w:type="dxa"/>
            <w:left w:w="28" w:type="dxa"/>
            <w:bottom w:w="28" w:type="dxa"/>
            <w:right w:w="28" w:type="dxa"/>
          </w:tblCellMar>
          <w:tblLook w:val="0000"/>
        </w:tblPrEx>
        <w:trPr>
          <w:trHeight w:val="463"/>
          <w:jc w:val="center"/>
        </w:trPr>
        <w:tc>
          <w:tcPr>
            <w:tcW w:w="486" w:type="dxa"/>
            <w:tcMar>
              <w:top w:w="57" w:type="dxa"/>
              <w:left w:w="57" w:type="dxa"/>
              <w:bottom w:w="57" w:type="dxa"/>
              <w:right w:w="57" w:type="dxa"/>
            </w:tcMar>
          </w:tcPr>
          <w:p w:rsidR="00056926" w:rsidRPr="00BD22DE" w:rsidP="004728D2">
            <w:pPr>
              <w:pStyle w:val="naisnod"/>
              <w:spacing w:before="0" w:after="0"/>
              <w:ind w:left="57" w:right="57"/>
              <w:jc w:val="left"/>
              <w:rPr>
                <w:b w:val="0"/>
                <w:szCs w:val="28"/>
              </w:rPr>
            </w:pPr>
            <w:r w:rsidRPr="00BD22DE">
              <w:rPr>
                <w:b w:val="0"/>
                <w:szCs w:val="28"/>
              </w:rPr>
              <w:t>2.</w:t>
            </w:r>
          </w:p>
        </w:tc>
        <w:tc>
          <w:tcPr>
            <w:tcW w:w="3118" w:type="dxa"/>
            <w:tcMar>
              <w:top w:w="57" w:type="dxa"/>
              <w:left w:w="57" w:type="dxa"/>
              <w:bottom w:w="57" w:type="dxa"/>
              <w:right w:w="57" w:type="dxa"/>
            </w:tcMar>
          </w:tcPr>
          <w:p w:rsidR="00056926" w:rsidRPr="00BD22DE" w:rsidP="004728D2">
            <w:pPr>
              <w:pStyle w:val="naisf"/>
              <w:spacing w:before="0" w:after="0"/>
              <w:ind w:left="57" w:right="57" w:firstLine="0"/>
              <w:jc w:val="left"/>
              <w:rPr>
                <w:szCs w:val="28"/>
              </w:rPr>
            </w:pPr>
            <w:r w:rsidRPr="00BD22DE">
              <w:rPr>
                <w:szCs w:val="28"/>
              </w:rPr>
              <w:t>Projekta izpildes ietekme uz pārvaldes funkcijām un institucionālo struktūru</w:t>
            </w:r>
          </w:p>
        </w:tc>
        <w:tc>
          <w:tcPr>
            <w:tcW w:w="5870" w:type="dxa"/>
            <w:tcMar>
              <w:top w:w="57" w:type="dxa"/>
              <w:left w:w="57" w:type="dxa"/>
              <w:bottom w:w="57" w:type="dxa"/>
              <w:right w:w="57" w:type="dxa"/>
            </w:tcMar>
          </w:tcPr>
          <w:p w:rsidR="00056926" w:rsidRPr="00BD22DE" w:rsidP="004728D2">
            <w:pPr>
              <w:pStyle w:val="naisnod"/>
              <w:spacing w:before="0" w:after="0"/>
              <w:ind w:right="57"/>
              <w:jc w:val="both"/>
              <w:rPr>
                <w:b w:val="0"/>
                <w:szCs w:val="28"/>
              </w:rPr>
            </w:pPr>
            <w:r w:rsidRPr="00BD22DE">
              <w:rPr>
                <w:b w:val="0"/>
                <w:szCs w:val="28"/>
              </w:rPr>
              <w:t>Noteikumu projekts neietekmē iesaistīto institūciju funkcijas un uzdevumus.</w:t>
            </w:r>
          </w:p>
          <w:p w:rsidR="00056926" w:rsidRPr="00BD22DE" w:rsidP="004728D2">
            <w:pPr>
              <w:pStyle w:val="naisnod"/>
              <w:spacing w:before="0" w:after="0"/>
              <w:ind w:right="57"/>
              <w:jc w:val="both"/>
              <w:rPr>
                <w:b w:val="0"/>
                <w:szCs w:val="28"/>
              </w:rPr>
            </w:pPr>
            <w:r w:rsidRPr="00BD22DE">
              <w:rPr>
                <w:b w:val="0"/>
                <w:szCs w:val="28"/>
              </w:rPr>
              <w:t>Nav paredzēta jauno institūciju izveide/likvidēšana/reorganizēšana.</w:t>
            </w:r>
          </w:p>
        </w:tc>
      </w:tr>
      <w:tr w:rsidTr="004728D2">
        <w:tblPrEx>
          <w:tblW w:w="9474" w:type="dxa"/>
          <w:jc w:val="center"/>
          <w:tblCellMar>
            <w:top w:w="28" w:type="dxa"/>
            <w:left w:w="28" w:type="dxa"/>
            <w:bottom w:w="28" w:type="dxa"/>
            <w:right w:w="28" w:type="dxa"/>
          </w:tblCellMar>
          <w:tblLook w:val="0000"/>
        </w:tblPrEx>
        <w:trPr>
          <w:trHeight w:val="476"/>
          <w:jc w:val="center"/>
        </w:trPr>
        <w:tc>
          <w:tcPr>
            <w:tcW w:w="486" w:type="dxa"/>
            <w:tcMar>
              <w:top w:w="57" w:type="dxa"/>
              <w:left w:w="57" w:type="dxa"/>
              <w:bottom w:w="57" w:type="dxa"/>
              <w:right w:w="57" w:type="dxa"/>
            </w:tcMar>
          </w:tcPr>
          <w:p w:rsidR="00056926" w:rsidRPr="00BD22DE" w:rsidP="004728D2">
            <w:pPr>
              <w:pStyle w:val="naiskr"/>
              <w:spacing w:before="0" w:after="0"/>
              <w:ind w:left="57" w:right="57"/>
              <w:rPr>
                <w:szCs w:val="28"/>
              </w:rPr>
            </w:pPr>
            <w:r w:rsidRPr="00BD22DE">
              <w:rPr>
                <w:szCs w:val="28"/>
              </w:rPr>
              <w:t>3.</w:t>
            </w:r>
          </w:p>
        </w:tc>
        <w:tc>
          <w:tcPr>
            <w:tcW w:w="3118" w:type="dxa"/>
            <w:tcMar>
              <w:top w:w="57" w:type="dxa"/>
              <w:left w:w="57" w:type="dxa"/>
              <w:bottom w:w="57" w:type="dxa"/>
              <w:right w:w="57" w:type="dxa"/>
            </w:tcMar>
          </w:tcPr>
          <w:p w:rsidR="00056926" w:rsidRPr="00BD22DE" w:rsidP="004728D2">
            <w:pPr>
              <w:pStyle w:val="naiskr"/>
              <w:spacing w:before="0" w:after="0"/>
              <w:ind w:left="57" w:right="57"/>
              <w:rPr>
                <w:szCs w:val="28"/>
              </w:rPr>
            </w:pPr>
            <w:r w:rsidRPr="00BD22DE">
              <w:rPr>
                <w:szCs w:val="28"/>
              </w:rPr>
              <w:t>Cita informācija</w:t>
            </w:r>
          </w:p>
        </w:tc>
        <w:tc>
          <w:tcPr>
            <w:tcW w:w="5870" w:type="dxa"/>
            <w:tcMar>
              <w:top w:w="57" w:type="dxa"/>
              <w:left w:w="57" w:type="dxa"/>
              <w:bottom w:w="57" w:type="dxa"/>
              <w:right w:w="57" w:type="dxa"/>
            </w:tcMar>
          </w:tcPr>
          <w:p w:rsidR="00056926" w:rsidRPr="00BD22DE" w:rsidP="004728D2">
            <w:pPr>
              <w:pStyle w:val="naiskr"/>
              <w:spacing w:before="0" w:after="0"/>
              <w:ind w:left="57" w:right="57"/>
              <w:rPr>
                <w:szCs w:val="28"/>
              </w:rPr>
            </w:pPr>
            <w:r w:rsidRPr="00BD22DE">
              <w:rPr>
                <w:szCs w:val="28"/>
              </w:rPr>
              <w:t>Nav.</w:t>
            </w:r>
          </w:p>
        </w:tc>
      </w:tr>
    </w:tbl>
    <w:p w:rsidR="00056926" w:rsidRPr="00BD22DE" w:rsidP="00056926">
      <w:pPr>
        <w:pStyle w:val="naisf"/>
        <w:spacing w:before="0" w:after="0"/>
        <w:ind w:firstLine="374"/>
        <w:rPr>
          <w:b/>
          <w:sz w:val="28"/>
          <w:szCs w:val="28"/>
        </w:rPr>
      </w:pPr>
    </w:p>
    <w:p w:rsidR="00056926" w:rsidRPr="00BD22DE" w:rsidP="00056926">
      <w:pPr>
        <w:pStyle w:val="naisf"/>
        <w:spacing w:before="0" w:after="0"/>
        <w:ind w:firstLine="374"/>
        <w:rPr>
          <w:szCs w:val="28"/>
        </w:rPr>
      </w:pPr>
      <w:r w:rsidRPr="00BD22DE">
        <w:rPr>
          <w:szCs w:val="28"/>
        </w:rPr>
        <w:t>Anotācijas III, IV un V sadaļa – noteikumu projekts šo jomu neskar.</w:t>
      </w:r>
    </w:p>
    <w:p w:rsidR="00056926" w:rsidRPr="00BD22DE" w:rsidP="00056926">
      <w:pPr>
        <w:pStyle w:val="tv2161"/>
        <w:spacing w:before="0" w:line="240" w:lineRule="auto"/>
        <w:ind w:firstLine="0"/>
        <w:jc w:val="both"/>
        <w:rPr>
          <w:rFonts w:ascii="Times New Roman" w:hAnsi="Times New Roman"/>
          <w:sz w:val="24"/>
          <w:szCs w:val="28"/>
          <w:lang w:eastAsia="lv-LV"/>
        </w:rPr>
      </w:pPr>
    </w:p>
    <w:p w:rsidR="00056926" w:rsidRPr="00BD22DE" w:rsidP="00056926">
      <w:pPr>
        <w:pStyle w:val="tv2161"/>
        <w:spacing w:before="0" w:line="240" w:lineRule="auto"/>
        <w:ind w:firstLine="0"/>
        <w:jc w:val="both"/>
        <w:rPr>
          <w:rFonts w:ascii="Times New Roman" w:hAnsi="Times New Roman"/>
          <w:sz w:val="24"/>
          <w:szCs w:val="28"/>
        </w:rPr>
      </w:pPr>
      <w:r w:rsidRPr="00BD22DE">
        <w:rPr>
          <w:rFonts w:ascii="Times New Roman" w:hAnsi="Times New Roman"/>
          <w:sz w:val="24"/>
          <w:szCs w:val="28"/>
        </w:rPr>
        <w:t xml:space="preserve">Vides aizsardzības un </w:t>
      </w:r>
    </w:p>
    <w:p w:rsidR="00056926" w:rsidRPr="00BD22DE" w:rsidP="00056926">
      <w:pPr>
        <w:rPr>
          <w:szCs w:val="28"/>
        </w:rPr>
      </w:pPr>
      <w:r w:rsidRPr="00BD22DE">
        <w:rPr>
          <w:szCs w:val="28"/>
        </w:rPr>
        <w:t>reģionālās attīstības ministrs</w:t>
      </w:r>
      <w:r w:rsidRPr="00BD22DE">
        <w:rPr>
          <w:szCs w:val="28"/>
        </w:rPr>
        <w:tab/>
      </w:r>
      <w:r w:rsidRPr="00BD22DE">
        <w:rPr>
          <w:szCs w:val="28"/>
        </w:rPr>
        <w:tab/>
      </w:r>
      <w:r w:rsidRPr="00BD22DE">
        <w:rPr>
          <w:szCs w:val="28"/>
        </w:rPr>
        <w:tab/>
      </w:r>
      <w:r w:rsidRPr="00BD22DE">
        <w:rPr>
          <w:szCs w:val="28"/>
        </w:rPr>
        <w:tab/>
      </w:r>
      <w:r w:rsidRPr="00BD22DE">
        <w:rPr>
          <w:szCs w:val="28"/>
        </w:rPr>
        <w:tab/>
        <w:t>K.Gerhards</w:t>
      </w:r>
    </w:p>
    <w:p w:rsidR="00056926" w:rsidRPr="00BD22DE" w:rsidP="00056926">
      <w:pPr>
        <w:rPr>
          <w:szCs w:val="28"/>
        </w:rPr>
      </w:pPr>
    </w:p>
    <w:p w:rsidR="00056926" w:rsidRPr="00BD22DE" w:rsidP="00056926">
      <w:pPr>
        <w:rPr>
          <w:szCs w:val="28"/>
        </w:rPr>
      </w:pPr>
    </w:p>
    <w:p w:rsidR="00056926" w:rsidRPr="00BD22DE" w:rsidP="00056926">
      <w:pPr>
        <w:rPr>
          <w:szCs w:val="28"/>
        </w:rPr>
      </w:pPr>
    </w:p>
    <w:p w:rsidR="00056926" w:rsidRPr="00BD22DE" w:rsidP="00056926">
      <w:pPr>
        <w:rPr>
          <w:szCs w:val="28"/>
        </w:rPr>
      </w:pPr>
      <w:bookmarkStart w:id="1" w:name="p2008"/>
      <w:bookmarkEnd w:id="1"/>
      <w:r w:rsidRPr="00BD22DE">
        <w:rPr>
          <w:szCs w:val="28"/>
        </w:rPr>
        <w:t>Valsts sekretārs</w:t>
      </w:r>
      <w:r w:rsidRPr="00BD22DE">
        <w:rPr>
          <w:szCs w:val="28"/>
        </w:rPr>
        <w:tab/>
      </w:r>
      <w:r w:rsidRPr="00BD22DE">
        <w:rPr>
          <w:szCs w:val="28"/>
        </w:rPr>
        <w:tab/>
      </w:r>
      <w:r w:rsidRPr="00BD22DE">
        <w:rPr>
          <w:szCs w:val="28"/>
        </w:rPr>
        <w:tab/>
      </w:r>
      <w:r w:rsidRPr="00BD22DE">
        <w:rPr>
          <w:szCs w:val="28"/>
        </w:rPr>
        <w:tab/>
      </w:r>
      <w:r w:rsidRPr="00BD22DE">
        <w:rPr>
          <w:szCs w:val="28"/>
        </w:rPr>
        <w:tab/>
      </w:r>
      <w:r w:rsidRPr="00BD22DE">
        <w:rPr>
          <w:szCs w:val="28"/>
        </w:rPr>
        <w:tab/>
      </w:r>
      <w:r w:rsidRPr="00BD22DE">
        <w:rPr>
          <w:szCs w:val="28"/>
        </w:rPr>
        <w:t>R.Muciņš</w:t>
      </w:r>
      <w:r w:rsidRPr="00BD22DE">
        <w:rPr>
          <w:szCs w:val="28"/>
        </w:rPr>
        <w:tab/>
      </w:r>
    </w:p>
    <w:p w:rsidR="00056926" w:rsidRPr="00BD22DE" w:rsidP="00056926">
      <w:pPr>
        <w:rPr>
          <w:sz w:val="28"/>
          <w:szCs w:val="28"/>
        </w:rPr>
      </w:pPr>
    </w:p>
    <w:p w:rsidR="00056926" w:rsidRPr="00BD22DE" w:rsidP="00056926">
      <w:pPr>
        <w:tabs>
          <w:tab w:val="left" w:pos="3465"/>
        </w:tabs>
      </w:pPr>
      <w:r w:rsidRPr="00BD22DE">
        <w:rPr>
          <w:sz w:val="28"/>
          <w:szCs w:val="28"/>
        </w:rPr>
        <w:tab/>
      </w:r>
      <w:r w:rsidRPr="00BD22DE">
        <w:rPr>
          <w:sz w:val="28"/>
          <w:szCs w:val="28"/>
        </w:rPr>
        <w:tab/>
      </w:r>
      <w:r w:rsidRPr="00BD22DE">
        <w:rPr>
          <w:sz w:val="28"/>
          <w:szCs w:val="28"/>
        </w:rPr>
        <w:tab/>
      </w:r>
      <w:r w:rsidRPr="00BD22DE">
        <w:rPr>
          <w:sz w:val="28"/>
          <w:szCs w:val="28"/>
        </w:rPr>
        <w:tab/>
      </w:r>
      <w:r w:rsidRPr="00BD22DE">
        <w:rPr>
          <w:sz w:val="28"/>
          <w:szCs w:val="28"/>
        </w:rPr>
        <w:tab/>
      </w:r>
      <w:r w:rsidRPr="00BD22DE">
        <w:rPr>
          <w:sz w:val="28"/>
          <w:szCs w:val="28"/>
        </w:rPr>
        <w:tab/>
      </w:r>
      <w:r w:rsidRPr="00BD22DE">
        <w:tab/>
      </w:r>
    </w:p>
    <w:p w:rsidR="00056926" w:rsidRPr="00BD22DE" w:rsidP="00056926">
      <w:r w:rsidRPr="00BD22DE">
        <w:t>Doniņa, 6</w:t>
      </w:r>
      <w:smartTag w:uri="schemas-tilde-lv/tildestengine" w:element="phone">
        <w:smartTagPr>
          <w:attr w:name="phone_number" w:val="7026515"/>
        </w:smartTagPr>
        <w:r w:rsidRPr="00BD22DE">
          <w:t>7026515</w:t>
        </w:r>
      </w:smartTag>
    </w:p>
    <w:p w:rsidR="00056926" w:rsidRPr="002001ED" w:rsidP="00056926">
      <w:r>
        <w:fldChar w:fldCharType="begin"/>
      </w:r>
      <w:r>
        <w:instrText xml:space="preserve"> HYPERLINK "mailto:ilze.donina@varam.gov.lv" </w:instrText>
      </w:r>
      <w:r>
        <w:fldChar w:fldCharType="separate"/>
      </w:r>
      <w:r w:rsidRPr="002001ED">
        <w:rPr>
          <w:rStyle w:val="Hyperlink"/>
        </w:rPr>
        <w:t>ilze.donina@varam.gov.lv</w:t>
      </w:r>
      <w:r>
        <w:fldChar w:fldCharType="end"/>
      </w:r>
    </w:p>
    <w:p w:rsidR="00056926" w:rsidRPr="00423451" w:rsidP="00056926"/>
    <w:p w:rsidR="00056926" w:rsidRPr="00EB14B6" w:rsidP="00056926"/>
    <w:p w:rsidR="000D6C3A" w:rsidRPr="00BD22DE"/>
    <w:sectPr w:rsidSect="004728D2">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Blac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8D2" w:rsidRPr="00B6293A" w:rsidP="00B6293A">
    <w:pPr>
      <w:jc w:val="both"/>
    </w:pPr>
    <w:r w:rsidRPr="00B6293A">
      <w:t>VARAMAnot_</w:t>
    </w:r>
    <w:r>
      <w:t>28</w:t>
    </w:r>
    <w:r w:rsidRPr="00B6293A">
      <w:t>0</w:t>
    </w:r>
    <w:r>
      <w:t>2</w:t>
    </w:r>
    <w:r w:rsidRPr="00B6293A">
      <w:t>17_kugi; Ministru kabineta noteikumu projekta</w:t>
    </w:r>
    <w:r>
      <w:t xml:space="preserve"> </w:t>
    </w:r>
    <w:r w:rsidRPr="00B6293A">
      <w:t xml:space="preserve">“Kuģu pārstrādes konsultatīvās padomes nolikums” sākotnējās ietekmes novērtējuma </w:t>
    </w:r>
    <w:smartTag w:uri="schemas-tilde-lv/tildestengine" w:element="veidnes">
      <w:smartTagPr>
        <w:attr w:name="baseform" w:val="ziņojums"/>
        <w:attr w:name="id" w:val="-1"/>
        <w:attr w:name="text" w:val="ziņojums"/>
      </w:smartTagPr>
      <w:r w:rsidRPr="00B6293A">
        <w:t>ziņojums</w:t>
      </w:r>
    </w:smartTag>
    <w:r>
      <w:t xml:space="preserve"> </w:t>
    </w:r>
    <w:r w:rsidRPr="00B6293A">
      <w:t>(anotācija)</w:t>
    </w:r>
  </w:p>
  <w:p w:rsidR="004728D2" w:rsidRPr="00C02EDD" w:rsidP="004728D2">
    <w:pPr>
      <w:jc w:val="both"/>
    </w:pPr>
  </w:p>
  <w:p w:rsidR="004728D2" w:rsidRPr="00C6407D" w:rsidP="00472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8D2" w:rsidRPr="00B6293A" w:rsidP="00B6293A">
    <w:pPr>
      <w:jc w:val="both"/>
    </w:pPr>
    <w:r w:rsidRPr="00B6293A">
      <w:t>VARAMAnot_</w:t>
    </w:r>
    <w:r>
      <w:t>2802</w:t>
    </w:r>
    <w:r w:rsidRPr="00B6293A">
      <w:t>17_kugi; Ministru kabineta noteikumu projekta</w:t>
    </w:r>
    <w:r>
      <w:t xml:space="preserve"> </w:t>
    </w:r>
    <w:r w:rsidRPr="00B6293A">
      <w:t xml:space="preserve">“Kuģu pārstrādes konsultatīvās padomes nolikums” sākotnējās ietekmes novērtējuma </w:t>
    </w:r>
    <w:smartTag w:uri="schemas-tilde-lv/tildestengine" w:element="veidnes">
      <w:smartTagPr>
        <w:attr w:name="baseform" w:val="ziņojums"/>
        <w:attr w:name="id" w:val="-1"/>
        <w:attr w:name="text" w:val="ziņojums"/>
      </w:smartTagPr>
      <w:r w:rsidRPr="00B6293A">
        <w:t>ziņojums</w:t>
      </w:r>
    </w:smartTag>
    <w:r>
      <w:t xml:space="preserve"> </w:t>
    </w:r>
    <w:r w:rsidRPr="00B6293A">
      <w:t>(anotācija)</w:t>
    </w:r>
  </w:p>
  <w:p w:rsidR="004728D2" w:rsidRPr="00A631FF" w:rsidP="004728D2">
    <w:pPr>
      <w:pStyle w:val="Header"/>
      <w:jc w:val="both"/>
      <w:rPr>
        <w:sz w:val="20"/>
      </w:rPr>
    </w:pPr>
  </w:p>
  <w:p w:rsidR="004728D2" w:rsidRPr="00A631FF" w:rsidP="004728D2">
    <w:pPr>
      <w:pStyle w:val="Header"/>
      <w:jc w:val="both"/>
      <w:rPr>
        <w:sz w:val="20"/>
      </w:rPr>
    </w:pPr>
    <w:r w:rsidRPr="00A631FF">
      <w:rPr>
        <w:sz w:val="20"/>
      </w:rPr>
      <w:t xml:space="preserve"> </w:t>
    </w:r>
  </w:p>
  <w:p w:rsidR="004728D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8380783"/>
      <w:docPartObj>
        <w:docPartGallery w:val="Page Numbers (Top of Page)"/>
        <w:docPartUnique/>
      </w:docPartObj>
    </w:sdtPr>
    <w:sdtEndPr>
      <w:rPr>
        <w:noProof/>
      </w:rPr>
    </w:sdtEndPr>
    <w:sdtContent>
      <w:p w:rsidR="004728D2">
        <w:pPr>
          <w:pStyle w:val="Header"/>
          <w:jc w:val="center"/>
        </w:pPr>
        <w:r>
          <w:fldChar w:fldCharType="begin"/>
        </w:r>
        <w:r>
          <w:instrText xml:space="preserve"> PAGE   \* MERGEFORMAT </w:instrText>
        </w:r>
        <w:r>
          <w:fldChar w:fldCharType="separate"/>
        </w:r>
        <w:r w:rsidR="00B05DFD">
          <w:rPr>
            <w:noProof/>
          </w:rPr>
          <w:t>4</w:t>
        </w:r>
        <w:r>
          <w:rPr>
            <w:noProof/>
          </w:rPr>
          <w:fldChar w:fldCharType="end"/>
        </w:r>
      </w:p>
    </w:sdtContent>
  </w:sdt>
  <w:p w:rsidR="004728D2" w:rsidRPr="001162C3">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8D2" w:rsidRPr="00A631FF" w:rsidP="004728D2">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44B0F"/>
    <w:multiLevelType w:val="hybridMultilevel"/>
    <w:tmpl w:val="9C481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EA5815"/>
    <w:multiLevelType w:val="hybridMultilevel"/>
    <w:tmpl w:val="E23A644A"/>
    <w:lvl w:ilvl="0">
      <w:start w:val="3"/>
      <w:numFmt w:val="bullet"/>
      <w:lvlText w:val="-"/>
      <w:lvlJc w:val="left"/>
      <w:pPr>
        <w:ind w:left="720" w:hanging="360"/>
      </w:pPr>
      <w:rPr>
        <w:rFonts w:ascii="Times New Roman" w:eastAsia="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D3262E"/>
    <w:multiLevelType w:val="hybridMultilevel"/>
    <w:tmpl w:val="D8AA9F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705FA2"/>
    <w:multiLevelType w:val="hybridMultilevel"/>
    <w:tmpl w:val="B918784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2540EF"/>
    <w:multiLevelType w:val="multilevel"/>
    <w:tmpl w:val="0D5CE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AFD64DC"/>
    <w:multiLevelType w:val="hybridMultilevel"/>
    <w:tmpl w:val="DEC23334"/>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C684EDC"/>
    <w:multiLevelType w:val="hybridMultilevel"/>
    <w:tmpl w:val="DEC23334"/>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DFF4FEC"/>
    <w:multiLevelType w:val="hybridMultilevel"/>
    <w:tmpl w:val="C8C4BF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91B6079"/>
    <w:multiLevelType w:val="hybridMultilevel"/>
    <w:tmpl w:val="9E3A7D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F859473-8CF8-4A8E-B8E6-9D21F01E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2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0332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6926"/>
    <w:pPr>
      <w:spacing w:before="75" w:after="75"/>
      <w:ind w:firstLine="375"/>
      <w:jc w:val="both"/>
    </w:pPr>
  </w:style>
  <w:style w:type="character" w:styleId="Hyperlink">
    <w:name w:val="Hyperlink"/>
    <w:rsid w:val="00056926"/>
    <w:rPr>
      <w:rFonts w:cs="Times New Roman"/>
      <w:color w:val="0000FF"/>
      <w:u w:val="single"/>
    </w:rPr>
  </w:style>
  <w:style w:type="paragraph" w:customStyle="1" w:styleId="naisnod">
    <w:name w:val="naisnod"/>
    <w:basedOn w:val="Normal"/>
    <w:rsid w:val="00056926"/>
    <w:pPr>
      <w:spacing w:before="150" w:after="150"/>
      <w:jc w:val="center"/>
    </w:pPr>
    <w:rPr>
      <w:b/>
      <w:bCs/>
    </w:rPr>
  </w:style>
  <w:style w:type="paragraph" w:customStyle="1" w:styleId="naiskr">
    <w:name w:val="naiskr"/>
    <w:basedOn w:val="Normal"/>
    <w:rsid w:val="00056926"/>
    <w:pPr>
      <w:spacing w:before="75" w:after="75"/>
    </w:pPr>
  </w:style>
  <w:style w:type="paragraph" w:customStyle="1" w:styleId="naisc">
    <w:name w:val="naisc"/>
    <w:basedOn w:val="Normal"/>
    <w:rsid w:val="00056926"/>
    <w:pPr>
      <w:spacing w:before="75" w:after="75"/>
      <w:jc w:val="center"/>
    </w:pPr>
  </w:style>
  <w:style w:type="character" w:styleId="Strong">
    <w:name w:val="Strong"/>
    <w:uiPriority w:val="22"/>
    <w:qFormat/>
    <w:rsid w:val="00056926"/>
    <w:rPr>
      <w:b/>
      <w:bCs/>
    </w:rPr>
  </w:style>
  <w:style w:type="paragraph" w:customStyle="1" w:styleId="tv2161">
    <w:name w:val="tv2161"/>
    <w:basedOn w:val="Normal"/>
    <w:rsid w:val="00056926"/>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056926"/>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056926"/>
    <w:pPr>
      <w:spacing w:before="100" w:beforeAutospacing="1" w:after="100" w:afterAutospacing="1"/>
    </w:pPr>
  </w:style>
  <w:style w:type="paragraph" w:styleId="Footer">
    <w:name w:val="footer"/>
    <w:basedOn w:val="Normal"/>
    <w:link w:val="FooterChar"/>
    <w:uiPriority w:val="99"/>
    <w:unhideWhenUsed/>
    <w:rsid w:val="00056926"/>
    <w:pPr>
      <w:tabs>
        <w:tab w:val="center" w:pos="4153"/>
        <w:tab w:val="right" w:pos="8306"/>
      </w:tabs>
    </w:pPr>
  </w:style>
  <w:style w:type="character" w:customStyle="1" w:styleId="FooterChar">
    <w:name w:val="Footer Char"/>
    <w:basedOn w:val="DefaultParagraphFont"/>
    <w:link w:val="Footer"/>
    <w:uiPriority w:val="99"/>
    <w:rsid w:val="00056926"/>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6926"/>
    <w:pPr>
      <w:tabs>
        <w:tab w:val="center" w:pos="4153"/>
        <w:tab w:val="right" w:pos="8306"/>
      </w:tabs>
    </w:pPr>
  </w:style>
  <w:style w:type="character" w:customStyle="1" w:styleId="HeaderChar">
    <w:name w:val="Header Char"/>
    <w:basedOn w:val="DefaultParagraphFont"/>
    <w:link w:val="Header"/>
    <w:uiPriority w:val="99"/>
    <w:rsid w:val="00056926"/>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033265"/>
    <w:rPr>
      <w:rFonts w:ascii="Cambria" w:eastAsia="Times New Roman" w:hAnsi="Cambria" w:cs="Times New Roman"/>
      <w:b/>
      <w:bCs/>
      <w:sz w:val="26"/>
      <w:szCs w:val="26"/>
      <w:lang w:eastAsia="lv-LV"/>
    </w:rPr>
  </w:style>
  <w:style w:type="character" w:styleId="CommentReference">
    <w:name w:val="annotation reference"/>
    <w:basedOn w:val="DefaultParagraphFont"/>
    <w:uiPriority w:val="99"/>
    <w:semiHidden/>
    <w:unhideWhenUsed/>
    <w:rsid w:val="000B40DC"/>
    <w:rPr>
      <w:sz w:val="16"/>
      <w:szCs w:val="16"/>
    </w:rPr>
  </w:style>
  <w:style w:type="paragraph" w:styleId="CommentText">
    <w:name w:val="annotation text"/>
    <w:basedOn w:val="Normal"/>
    <w:link w:val="CommentTextChar"/>
    <w:uiPriority w:val="99"/>
    <w:semiHidden/>
    <w:unhideWhenUsed/>
    <w:rsid w:val="000B40DC"/>
    <w:rPr>
      <w:sz w:val="20"/>
      <w:szCs w:val="20"/>
    </w:rPr>
  </w:style>
  <w:style w:type="character" w:customStyle="1" w:styleId="CommentTextChar">
    <w:name w:val="Comment Text Char"/>
    <w:basedOn w:val="DefaultParagraphFont"/>
    <w:link w:val="CommentText"/>
    <w:uiPriority w:val="99"/>
    <w:semiHidden/>
    <w:rsid w:val="000B40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B40DC"/>
    <w:rPr>
      <w:b/>
      <w:bCs/>
    </w:rPr>
  </w:style>
  <w:style w:type="character" w:customStyle="1" w:styleId="CommentSubjectChar">
    <w:name w:val="Comment Subject Char"/>
    <w:basedOn w:val="CommentTextChar"/>
    <w:link w:val="CommentSubject"/>
    <w:uiPriority w:val="99"/>
    <w:semiHidden/>
    <w:rsid w:val="000B40D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B4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DC"/>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D66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5161</Words>
  <Characters>2943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“Kuģu pārstrādes konsultatīvās padomes nolikums” sākotnējās ietekmes novērtējuma ziņojums (anotācija)</vt:lpstr>
    </vt:vector>
  </TitlesOfParts>
  <Company>Vides aizsardzības un reģionālās attīstības ministrija</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“Kuģu pārstrādes konsultatīvās padomes nolikums” sākotnējās ietekmes novērtējuma ziņojums (anotācija)</dc:title>
  <dc:subject>Noteikumu projekta anotācija</dc:subject>
  <dc:creator>Ilze Doniņa</dc:creator>
  <dc:description>Ilze Doniņa, 67026515, ilze.donina@varam.gov.lv</dc:description>
  <cp:lastModifiedBy>Ilze Doniņa</cp:lastModifiedBy>
  <cp:revision>3</cp:revision>
  <dcterms:created xsi:type="dcterms:W3CDTF">2017-03-15T14:23:00Z</dcterms:created>
  <dcterms:modified xsi:type="dcterms:W3CDTF">2017-03-23T13:47:00Z</dcterms:modified>
</cp:coreProperties>
</file>