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B" w:rsidRPr="0078462F" w:rsidRDefault="00505029" w:rsidP="0078462F">
      <w:pPr>
        <w:jc w:val="center"/>
        <w:rPr>
          <w:rFonts w:cs="Times New Roman"/>
          <w:b/>
          <w:sz w:val="24"/>
          <w:szCs w:val="24"/>
          <w:lang w:val="lv-LV" w:eastAsia="lv-LV" w:bidi="ar-SA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  <w:lang w:val="lv-LV"/>
        </w:rPr>
        <w:t xml:space="preserve">Ministru kabineta noteikumu projekta </w:t>
      </w:r>
      <w:r w:rsidR="00947E0D">
        <w:rPr>
          <w:rFonts w:cs="Times New Roman"/>
          <w:b/>
          <w:bCs/>
          <w:sz w:val="24"/>
          <w:szCs w:val="24"/>
          <w:lang w:val="lv-LV"/>
        </w:rPr>
        <w:t>“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Grozījum</w:t>
      </w:r>
      <w:r w:rsidR="008F35DB">
        <w:rPr>
          <w:rFonts w:cs="Times New Roman"/>
          <w:b/>
          <w:bCs/>
          <w:sz w:val="24"/>
          <w:szCs w:val="24"/>
          <w:lang w:val="lv-LV"/>
        </w:rPr>
        <w:t>i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 xml:space="preserve"> Ministru kabineta 2005. gada 8.</w:t>
      </w:r>
      <w:r w:rsidR="008F35DB">
        <w:rPr>
          <w:rFonts w:cs="Times New Roman"/>
          <w:b/>
          <w:bCs/>
          <w:sz w:val="24"/>
          <w:szCs w:val="24"/>
          <w:lang w:val="lv-LV"/>
        </w:rPr>
        <w:t> 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novembra noteikumos Nr.</w:t>
      </w:r>
      <w:r w:rsidR="008F35DB">
        <w:rPr>
          <w:rFonts w:cs="Times New Roman"/>
          <w:b/>
          <w:bCs/>
          <w:sz w:val="24"/>
          <w:szCs w:val="24"/>
          <w:lang w:val="lv-LV"/>
        </w:rPr>
        <w:t> </w:t>
      </w:r>
      <w:r w:rsidR="00CD1C77" w:rsidRPr="00CD1C77">
        <w:rPr>
          <w:rFonts w:cs="Times New Roman"/>
          <w:b/>
          <w:bCs/>
          <w:sz w:val="24"/>
          <w:szCs w:val="24"/>
          <w:lang w:val="lv-LV"/>
        </w:rPr>
        <w:t>837 „Par mobilizācijas gatavības pārbaudēm un mobilizācijas mācībām”</w:t>
      </w:r>
      <w:r>
        <w:rPr>
          <w:rFonts w:cs="Times New Roman"/>
          <w:b/>
          <w:bCs/>
          <w:sz w:val="24"/>
          <w:szCs w:val="24"/>
          <w:lang w:val="lv-LV"/>
        </w:rPr>
        <w:t>”</w:t>
      </w:r>
      <w:r w:rsidR="005B69D1" w:rsidRPr="0017387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5B69D1" w:rsidRPr="00B97F54">
        <w:rPr>
          <w:rFonts w:cs="Times New Roman"/>
          <w:b/>
          <w:sz w:val="24"/>
          <w:szCs w:val="24"/>
          <w:lang w:val="lv-LV" w:eastAsia="lv-LV" w:bidi="ar-SA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2733"/>
        <w:gridCol w:w="5625"/>
      </w:tblGrid>
      <w:tr w:rsidR="005B69D1" w:rsidRPr="00B97F54" w:rsidTr="005B69D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5B69D1" w:rsidRPr="005F6A28" w:rsidTr="006A374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6A374E" w:rsidRDefault="002D020C" w:rsidP="00CD1C77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81D7D">
              <w:rPr>
                <w:sz w:val="24"/>
                <w:szCs w:val="24"/>
                <w:lang w:val="lv-LV"/>
              </w:rPr>
              <w:t xml:space="preserve">Ministru </w:t>
            </w:r>
            <w:r w:rsidR="006A374E" w:rsidRPr="006A374E">
              <w:rPr>
                <w:sz w:val="24"/>
                <w:szCs w:val="24"/>
                <w:lang w:val="lv-LV"/>
              </w:rPr>
              <w:t>kabineta</w:t>
            </w:r>
            <w:r w:rsidRPr="00B81D7D">
              <w:rPr>
                <w:sz w:val="24"/>
                <w:szCs w:val="24"/>
                <w:lang w:val="lv-LV"/>
              </w:rPr>
              <w:t xml:space="preserve"> noteikumu projekts izstrādāts pēc Aizsardzības ministrijas iniciatīvas.</w:t>
            </w:r>
          </w:p>
        </w:tc>
      </w:tr>
      <w:tr w:rsidR="005B69D1" w:rsidRPr="00801E3D" w:rsidTr="006A374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142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77" w:rsidRDefault="00CD1C77" w:rsidP="002852D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Ministru kabineta noteikumu projekts 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“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Grozījum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i Ministru kabineta 2005.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gada 8.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novembra noteikumos Nr.</w:t>
            </w:r>
            <w:r w:rsidR="000A3497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>837 „Par mobilizācijas gatavības pārbaudēm un mobilizācijas mācībām”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”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(turpmāk – MK noteikumi Nr.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8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37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)</w:t>
            </w:r>
            <w:r w:rsidRPr="00CD1C77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izstrādāts, lai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aktualizētu kārtību, kādā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organizējamas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mobilizācijas mācīb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atbilstoši esošajai drošības situācijai un spēkā esošajiem aizsardzības politikas un plānošanas dokumentiem.</w:t>
            </w:r>
          </w:p>
          <w:p w:rsidR="002852D6" w:rsidRDefault="002852D6" w:rsidP="002852D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Šobrīd spēkā esošais regulējums, kas paredz mobilizācijas mācību rīkošanas gadījumā informēt Krīzes vadības padomi līdz iepriekšējā gada 1.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maijam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ir novecojis un nedod iespēju organizēt mobilizācijas mācības elastīgi un operatīvi katra kārtējā gada ietvaros.</w:t>
            </w:r>
          </w:p>
          <w:p w:rsidR="002852D6" w:rsidRDefault="00477C41" w:rsidP="00477C4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ministrijas organizēto mobilizācijas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mācību organizēšanai nepieciešamais finanšu izlietojums tiek plānots aizsardzības sistēmas ietvaros un neprasa atsevišķu ārēju saskaņojumu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ar Finanšu ministriju un citām ministrijām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, savukārt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šo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mācību norises procesā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galvenokārt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tiks iesaistīti komersanti, kas iepriekš </w:t>
            </w:r>
            <w:r w:rsidR="001C0388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piekrituši </w:t>
            </w:r>
            <w:r w:rsidR="002852D6">
              <w:rPr>
                <w:rFonts w:cs="Times New Roman"/>
                <w:sz w:val="24"/>
                <w:szCs w:val="24"/>
                <w:lang w:val="lv-LV" w:eastAsia="lv-LV" w:bidi="ar-SA"/>
              </w:rPr>
              <w:t>vai pauduši interesi iesaistīties mobilizācijas mācībās.</w:t>
            </w:r>
          </w:p>
          <w:p w:rsidR="0078462F" w:rsidRPr="00CD1C77" w:rsidRDefault="001C0388" w:rsidP="00477C41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MK noteikumu Nr. 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837 grozījum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u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947E0D">
              <w:rPr>
                <w:rFonts w:cs="Times New Roman"/>
                <w:sz w:val="24"/>
                <w:szCs w:val="24"/>
                <w:lang w:val="lv-LV" w:eastAsia="lv-LV" w:bidi="ar-SA"/>
              </w:rPr>
              <w:t>11.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947E0D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punktā 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noteiktais</w:t>
            </w:r>
            <w:r w:rsidR="00477C41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Iekšlietu ministrijas organizēto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m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obilizējamo civilās aizsardzības formējumu mobilizācijas mācību un gatavības pārbaužu saskaņošanas termiņš ar Krīzes vadības padomi ir 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noteikts atbilstoši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Civilās aizsardzības un katastrofas pārvaldīšanas likuma 24.</w:t>
            </w:r>
            <w:r w:rsidR="008F35DB">
              <w:rPr>
                <w:rFonts w:cs="Times New Roman"/>
                <w:sz w:val="24"/>
                <w:szCs w:val="24"/>
                <w:lang w:val="lv-LV" w:eastAsia="lv-LV" w:bidi="ar-SA"/>
              </w:rPr>
              <w:t> 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>panta sest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ajai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daļ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</w:t>
            </w:r>
            <w:r w:rsidR="0078462F" w:rsidRPr="0078462F">
              <w:rPr>
                <w:rFonts w:cs="Times New Roman"/>
                <w:sz w:val="24"/>
                <w:szCs w:val="24"/>
                <w:lang w:val="lv-LV" w:eastAsia="lv-LV" w:bidi="ar-SA"/>
              </w:rPr>
              <w:t>, lai koordinēti iesniegtu visu nepieciešamo informāciju Krīzes vadības padomē un nepieciešamības gadījumā šo informāciju iekļautu Valsts civilās aizsardzības plānā.</w:t>
            </w:r>
          </w:p>
        </w:tc>
      </w:tr>
      <w:tr w:rsidR="005B69D1" w:rsidRPr="00CD1C77" w:rsidTr="006A374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CE6E9E" w:rsidP="00CD1C7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78462F">
              <w:rPr>
                <w:rFonts w:cs="Times New Roman"/>
                <w:sz w:val="24"/>
                <w:szCs w:val="24"/>
                <w:lang w:val="lv-LV" w:eastAsia="lv-LV" w:bidi="ar-SA"/>
              </w:rPr>
              <w:t>, Iekšlietu ministrija.</w:t>
            </w:r>
          </w:p>
        </w:tc>
      </w:tr>
    </w:tbl>
    <w:p w:rsidR="00477C41" w:rsidRPr="00B97F54" w:rsidRDefault="00477C41" w:rsidP="005B69D1">
      <w:pPr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732"/>
        <w:gridCol w:w="5624"/>
      </w:tblGrid>
      <w:tr w:rsidR="005B69D1" w:rsidRPr="00801E3D" w:rsidTr="005B69D1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5B69D1">
            <w:pPr>
              <w:spacing w:before="100" w:beforeAutospacing="1" w:after="100" w:afterAutospacing="1" w:line="360" w:lineRule="auto"/>
              <w:ind w:firstLine="300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5B69D1" w:rsidRPr="00801E3D" w:rsidTr="005B69D1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D904CF" w:rsidP="000F2486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, kā arī valsts iestādes, pašvaldības un komersanti</w:t>
            </w:r>
            <w:r w:rsidR="003431A1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kuriem tiks izsniegti pieprasījumi veikt </w:t>
            </w:r>
            <w:r w:rsidR="000F2486" w:rsidRPr="000F2486">
              <w:rPr>
                <w:rFonts w:cs="Times New Roman"/>
                <w:sz w:val="24"/>
                <w:szCs w:val="24"/>
                <w:lang w:val="lv-LV" w:eastAsia="lv-LV" w:bidi="ar-SA"/>
              </w:rPr>
              <w:t>civilās aizsardzības formējumu mobilizācijas mācīb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as</w:t>
            </w:r>
            <w:r w:rsidR="000F2486" w:rsidRPr="000F2486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un gatavības pārbau</w:t>
            </w:r>
            <w:r w:rsidR="000F2486">
              <w:rPr>
                <w:rFonts w:cs="Times New Roman"/>
                <w:sz w:val="24"/>
                <w:szCs w:val="24"/>
                <w:lang w:val="lv-LV" w:eastAsia="lv-LV" w:bidi="ar-SA"/>
              </w:rPr>
              <w:t>des.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lastRenderedPageBreak/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B97F54" w:rsidTr="005B69D1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0B6A6D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C17278" w:rsidTr="005B69D1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5B69D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C17278" w:rsidP="000B6A6D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9A7B2C" w:rsidRDefault="005B69D1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  <w:r w:rsidRPr="00B97F54">
        <w:rPr>
          <w:rFonts w:cs="Times New Roman"/>
          <w:color w:val="414142"/>
          <w:sz w:val="24"/>
          <w:szCs w:val="24"/>
          <w:lang w:val="lv-LV" w:eastAsia="lv-LV" w:bidi="ar-SA"/>
        </w:rPr>
        <w:t> 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64"/>
        <w:gridCol w:w="5133"/>
      </w:tblGrid>
      <w:tr w:rsidR="009A7B2C" w:rsidRPr="00801E3D" w:rsidTr="00372B31">
        <w:trPr>
          <w:jc w:val="center"/>
        </w:trPr>
        <w:tc>
          <w:tcPr>
            <w:tcW w:w="8765" w:type="dxa"/>
            <w:gridSpan w:val="3"/>
          </w:tcPr>
          <w:p w:rsidR="009A7B2C" w:rsidRPr="001444CD" w:rsidRDefault="009A7B2C" w:rsidP="001444CD">
            <w:pPr>
              <w:pStyle w:val="naisnod"/>
              <w:spacing w:before="0" w:after="0"/>
              <w:ind w:left="57" w:right="57"/>
              <w:jc w:val="center"/>
              <w:rPr>
                <w:b/>
              </w:rPr>
            </w:pPr>
            <w:r w:rsidRPr="001444CD">
              <w:rPr>
                <w:b/>
              </w:rPr>
              <w:t xml:space="preserve">VI. </w:t>
            </w:r>
            <w:r w:rsidR="005416A1" w:rsidRPr="00554596">
              <w:rPr>
                <w:b/>
              </w:rPr>
              <w:t>Sabiedrības līdzdalība un komunikācijas aktivitātes</w:t>
            </w:r>
          </w:p>
        </w:tc>
      </w:tr>
      <w:tr w:rsidR="009A7B2C" w:rsidRPr="000C0A94" w:rsidTr="00372B31">
        <w:trPr>
          <w:trHeight w:val="553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1.</w:t>
            </w:r>
          </w:p>
        </w:tc>
        <w:tc>
          <w:tcPr>
            <w:tcW w:w="3064" w:type="dxa"/>
          </w:tcPr>
          <w:p w:rsidR="009A7B2C" w:rsidRPr="003F43F1" w:rsidRDefault="005416A1" w:rsidP="00636F7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554596">
              <w:t>Plānotās sabiedrības līdzdalības un komunikācijas aktivitātes saistībā ar projektu</w:t>
            </w:r>
          </w:p>
        </w:tc>
        <w:tc>
          <w:tcPr>
            <w:tcW w:w="5133" w:type="dxa"/>
          </w:tcPr>
          <w:p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rPr>
                <w:iCs/>
              </w:rPr>
              <w:t xml:space="preserve">Publicēts </w:t>
            </w:r>
            <w:r w:rsidR="003431A1">
              <w:rPr>
                <w:iCs/>
              </w:rPr>
              <w:t xml:space="preserve">Aizsardzības </w:t>
            </w:r>
            <w:r>
              <w:rPr>
                <w:iCs/>
              </w:rPr>
              <w:t>ministrijas mājaslapā.</w:t>
            </w:r>
            <w:r w:rsidR="009A7B2C">
              <w:rPr>
                <w:iCs/>
              </w:rPr>
              <w:t xml:space="preserve"> </w:t>
            </w:r>
          </w:p>
        </w:tc>
      </w:tr>
      <w:tr w:rsidR="009A7B2C" w:rsidRPr="00B2714C" w:rsidTr="00372B31">
        <w:trPr>
          <w:trHeight w:val="339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2.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 projekta izstrādē </w:t>
            </w:r>
          </w:p>
        </w:tc>
        <w:tc>
          <w:tcPr>
            <w:tcW w:w="5133" w:type="dxa"/>
          </w:tcPr>
          <w:p w:rsidR="009A7B2C" w:rsidRPr="003F43F1" w:rsidRDefault="00A501CE" w:rsidP="00636F72">
            <w:pPr>
              <w:pStyle w:val="naiskr"/>
              <w:spacing w:before="0" w:after="0"/>
              <w:ind w:left="57" w:right="57"/>
              <w:jc w:val="both"/>
              <w:rPr>
                <w:color w:val="0000FF"/>
              </w:rPr>
            </w:pPr>
            <w:r>
              <w:t>Nav.</w:t>
            </w:r>
          </w:p>
        </w:tc>
      </w:tr>
      <w:tr w:rsidR="009A7B2C" w:rsidRPr="003F43F1" w:rsidTr="00372B31">
        <w:trPr>
          <w:trHeight w:val="375"/>
          <w:jc w:val="center"/>
        </w:trPr>
        <w:tc>
          <w:tcPr>
            <w:tcW w:w="568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3F43F1">
              <w:rPr>
                <w:bCs/>
              </w:rPr>
              <w:t>3.</w:t>
            </w:r>
          </w:p>
        </w:tc>
        <w:tc>
          <w:tcPr>
            <w:tcW w:w="3064" w:type="dxa"/>
          </w:tcPr>
          <w:p w:rsidR="009A7B2C" w:rsidRPr="003F43F1" w:rsidRDefault="009A7B2C" w:rsidP="00636F72">
            <w:pPr>
              <w:pStyle w:val="naiskr"/>
              <w:spacing w:before="0" w:after="0"/>
              <w:ind w:left="57" w:right="57"/>
            </w:pPr>
            <w:r w:rsidRPr="003F43F1">
              <w:t xml:space="preserve">Sabiedrības līdzdalības rezultāti </w:t>
            </w:r>
          </w:p>
        </w:tc>
        <w:tc>
          <w:tcPr>
            <w:tcW w:w="5133" w:type="dxa"/>
          </w:tcPr>
          <w:p w:rsidR="009A7B2C" w:rsidRPr="000319B8" w:rsidRDefault="003272A1" w:rsidP="003272A1">
            <w:pPr>
              <w:pStyle w:val="naiskr"/>
              <w:spacing w:before="0" w:after="0"/>
              <w:ind w:left="57" w:right="57"/>
              <w:jc w:val="both"/>
            </w:pPr>
            <w:r>
              <w:t>Nav.</w:t>
            </w:r>
          </w:p>
        </w:tc>
      </w:tr>
      <w:tr w:rsidR="009A7B2C" w:rsidRPr="003F43F1" w:rsidTr="00372B31">
        <w:trPr>
          <w:trHeight w:val="476"/>
          <w:jc w:val="center"/>
        </w:trPr>
        <w:tc>
          <w:tcPr>
            <w:tcW w:w="568" w:type="dxa"/>
          </w:tcPr>
          <w:p w:rsidR="009A7B2C" w:rsidRPr="003F43F1" w:rsidRDefault="005416A1" w:rsidP="00372B31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9A7B2C" w:rsidRPr="003F43F1">
              <w:rPr>
                <w:bCs/>
              </w:rPr>
              <w:t>.</w:t>
            </w:r>
          </w:p>
        </w:tc>
        <w:tc>
          <w:tcPr>
            <w:tcW w:w="3064" w:type="dxa"/>
          </w:tcPr>
          <w:p w:rsidR="009A7B2C" w:rsidRPr="003F43F1" w:rsidRDefault="009A7B2C" w:rsidP="0078462F">
            <w:pPr>
              <w:pStyle w:val="naiskr"/>
              <w:spacing w:before="0" w:after="0"/>
              <w:ind w:left="57" w:right="57"/>
            </w:pPr>
            <w:r w:rsidRPr="003F43F1">
              <w:t>Cita informācija</w:t>
            </w:r>
          </w:p>
        </w:tc>
        <w:tc>
          <w:tcPr>
            <w:tcW w:w="5133" w:type="dxa"/>
          </w:tcPr>
          <w:p w:rsidR="009A7B2C" w:rsidRPr="000319B8" w:rsidRDefault="009A7B2C" w:rsidP="00636F72">
            <w:pPr>
              <w:pStyle w:val="naiskr"/>
              <w:spacing w:before="0" w:after="0"/>
              <w:ind w:left="57" w:right="57"/>
              <w:jc w:val="both"/>
            </w:pPr>
            <w:r w:rsidRPr="000319B8">
              <w:t>Nav</w:t>
            </w:r>
            <w:r w:rsidR="000C0A94">
              <w:t>.</w:t>
            </w:r>
          </w:p>
        </w:tc>
      </w:tr>
    </w:tbl>
    <w:p w:rsidR="009A7B2C" w:rsidRPr="00B97F54" w:rsidRDefault="009A7B2C" w:rsidP="005B69D1">
      <w:pPr>
        <w:ind w:firstLine="301"/>
        <w:rPr>
          <w:rFonts w:cs="Times New Roman"/>
          <w:color w:val="414142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"/>
        <w:gridCol w:w="3343"/>
        <w:gridCol w:w="5014"/>
      </w:tblGrid>
      <w:tr w:rsidR="005B69D1" w:rsidRPr="00801E3D" w:rsidTr="005B69D1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9D1" w:rsidRPr="00B97F54" w:rsidRDefault="005B69D1" w:rsidP="00372B31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b/>
                <w:bCs/>
                <w:color w:val="414142"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5B69D1" w:rsidRPr="00801E3D" w:rsidTr="005B69D1">
        <w:trPr>
          <w:trHeight w:val="42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Pr="00B97F54" w:rsidRDefault="002852D6" w:rsidP="00477C4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ministrija, </w:t>
            </w:r>
            <w:r w:rsid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Iekšlietu ministrija, </w:t>
            </w:r>
            <w:r w:rsidR="00B015F2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 un pašvaldības</w:t>
            </w:r>
          </w:p>
        </w:tc>
      </w:tr>
      <w:tr w:rsidR="005B69D1" w:rsidRPr="006A374E" w:rsidTr="005B69D1">
        <w:trPr>
          <w:trHeight w:val="45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Default="005B69D1" w:rsidP="0078462F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 xml:space="preserve">Projekta izpildes ietekme uz pārvaldes funkcijām un institucionālo struktūru. </w:t>
            </w:r>
          </w:p>
          <w:p w:rsidR="005B69D1" w:rsidRPr="00B97F54" w:rsidRDefault="005B69D1" w:rsidP="00372B31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62F" w:rsidRDefault="00CD1C77" w:rsidP="00CD1C77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 un </w:t>
            </w:r>
            <w:r w:rsidR="00B015F2"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 spēki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spēs efektīvi veikt likumā noteiktos uzdevumus</w:t>
            </w:r>
            <w:r w:rsidR="003431A1">
              <w:rPr>
                <w:rFonts w:cs="Times New Roman"/>
                <w:sz w:val="24"/>
                <w:szCs w:val="24"/>
                <w:lang w:val="lv-LV" w:eastAsia="lv-LV" w:bidi="ar-SA"/>
              </w:rPr>
              <w:t>,</w:t>
            </w:r>
            <w:r w:rsidR="00490D1C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organizējot mobilizācijas mācības</w:t>
            </w:r>
            <w:r w:rsidR="00EA03EE"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  <w:p w:rsidR="00EA03EE" w:rsidRDefault="00EA03EE" w:rsidP="00CD1C77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  <w:p w:rsidR="00280B81" w:rsidRPr="00280B81" w:rsidRDefault="00477C41" w:rsidP="00CE6E9E">
            <w:pPr>
              <w:jc w:val="both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477C41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5B69D1" w:rsidRPr="004C549D" w:rsidTr="005B69D1">
        <w:trPr>
          <w:trHeight w:val="39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9D1" w:rsidRPr="00B97F54" w:rsidRDefault="005B69D1" w:rsidP="00372B31">
            <w:pPr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 w:rsidRPr="00B97F54"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49D" w:rsidRPr="00B97F54" w:rsidRDefault="00C35E07" w:rsidP="004C549D">
            <w:pPr>
              <w:spacing w:before="100" w:beforeAutospacing="1" w:after="100" w:afterAutospacing="1"/>
              <w:rPr>
                <w:rFonts w:cs="Times New Roman"/>
                <w:color w:val="414142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6A374E" w:rsidRDefault="00372B31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  <w:r w:rsidRPr="007D4BFB">
        <w:rPr>
          <w:rFonts w:cs="Times New Roman"/>
          <w:iCs/>
          <w:color w:val="414142"/>
          <w:sz w:val="24"/>
          <w:szCs w:val="24"/>
          <w:lang w:val="lv-LV"/>
        </w:rPr>
        <w:t xml:space="preserve">Anotācijas </w:t>
      </w:r>
      <w:r w:rsidR="00AD1E1C">
        <w:rPr>
          <w:rFonts w:cs="Times New Roman"/>
          <w:iCs/>
          <w:color w:val="414142"/>
          <w:sz w:val="24"/>
          <w:szCs w:val="24"/>
          <w:lang w:val="lv-LV"/>
        </w:rPr>
        <w:t xml:space="preserve">III, </w:t>
      </w:r>
      <w:r w:rsidR="00BD3BE2">
        <w:rPr>
          <w:rFonts w:cs="Times New Roman"/>
          <w:iCs/>
          <w:color w:val="414142"/>
          <w:sz w:val="24"/>
          <w:szCs w:val="24"/>
          <w:lang w:val="lv-LV"/>
        </w:rPr>
        <w:t xml:space="preserve">IV un </w:t>
      </w:r>
      <w:r w:rsidRPr="007D4BFB">
        <w:rPr>
          <w:rFonts w:cs="Times New Roman"/>
          <w:iCs/>
          <w:color w:val="414142"/>
          <w:sz w:val="24"/>
          <w:szCs w:val="24"/>
          <w:lang w:val="lv-LV"/>
        </w:rPr>
        <w:t>V sadaļa – projekts šo jomu neskar.</w:t>
      </w:r>
    </w:p>
    <w:p w:rsidR="006A374E" w:rsidRDefault="006A374E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</w:p>
    <w:p w:rsidR="006A374E" w:rsidRDefault="006A374E" w:rsidP="00B1049B">
      <w:pPr>
        <w:rPr>
          <w:rFonts w:cs="Times New Roman"/>
          <w:iCs/>
          <w:color w:val="414142"/>
          <w:sz w:val="24"/>
          <w:szCs w:val="24"/>
          <w:lang w:val="lv-LV"/>
        </w:rPr>
      </w:pPr>
    </w:p>
    <w:p w:rsidR="005B69D1" w:rsidRPr="00B97F54" w:rsidRDefault="005B69D1" w:rsidP="00B1049B">
      <w:pPr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Aizsardzības ministrs</w:t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="00B1049B" w:rsidRPr="00B97F54">
        <w:rPr>
          <w:rFonts w:cs="Times New Roman"/>
          <w:sz w:val="24"/>
          <w:szCs w:val="24"/>
          <w:lang w:val="lv-LV"/>
        </w:rPr>
        <w:tab/>
      </w:r>
      <w:r w:rsidRPr="00B97F54">
        <w:rPr>
          <w:rFonts w:cs="Times New Roman"/>
          <w:sz w:val="24"/>
          <w:szCs w:val="24"/>
          <w:lang w:val="lv-LV"/>
        </w:rPr>
        <w:tab/>
      </w:r>
      <w:proofErr w:type="gramStart"/>
      <w:r w:rsidR="008F35DB">
        <w:rPr>
          <w:rFonts w:cs="Times New Roman"/>
          <w:sz w:val="24"/>
          <w:szCs w:val="24"/>
          <w:lang w:val="lv-LV"/>
        </w:rPr>
        <w:t xml:space="preserve">  </w:t>
      </w:r>
      <w:proofErr w:type="gramEnd"/>
      <w:r w:rsidRPr="00B97F54">
        <w:rPr>
          <w:rFonts w:cs="Times New Roman"/>
          <w:sz w:val="24"/>
          <w:szCs w:val="24"/>
          <w:lang w:val="lv-LV"/>
        </w:rPr>
        <w:t>R.</w:t>
      </w:r>
      <w:r w:rsidR="008F35DB">
        <w:rPr>
          <w:rFonts w:cs="Times New Roman"/>
          <w:sz w:val="24"/>
          <w:szCs w:val="24"/>
          <w:lang w:val="lv-LV"/>
        </w:rPr>
        <w:t> </w:t>
      </w:r>
      <w:r w:rsidR="00A501CE">
        <w:rPr>
          <w:rFonts w:cs="Times New Roman"/>
          <w:sz w:val="24"/>
          <w:szCs w:val="24"/>
          <w:lang w:val="lv-LV"/>
        </w:rPr>
        <w:t>Bergmanis</w:t>
      </w:r>
    </w:p>
    <w:p w:rsidR="005B69D1" w:rsidRDefault="005B69D1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C549D" w:rsidRPr="00B97F54" w:rsidRDefault="004C549D" w:rsidP="00B1049B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5B69D1" w:rsidRPr="00E65F9E" w:rsidRDefault="00B1049B" w:rsidP="00B1049B">
      <w:pPr>
        <w:tabs>
          <w:tab w:val="right" w:pos="8364"/>
        </w:tabs>
        <w:jc w:val="both"/>
        <w:rPr>
          <w:rFonts w:cs="Times New Roman"/>
          <w:sz w:val="24"/>
          <w:szCs w:val="24"/>
          <w:lang w:val="lv-LV"/>
        </w:rPr>
      </w:pPr>
      <w:r w:rsidRPr="00B97F54">
        <w:rPr>
          <w:rFonts w:cs="Times New Roman"/>
          <w:sz w:val="24"/>
          <w:szCs w:val="24"/>
          <w:lang w:val="lv-LV"/>
        </w:rPr>
        <w:t>Vīza: valsts sekretārs</w:t>
      </w:r>
      <w:proofErr w:type="gramStart"/>
      <w:r w:rsidRPr="00B97F54">
        <w:rPr>
          <w:rFonts w:cs="Times New Roman"/>
          <w:sz w:val="24"/>
          <w:szCs w:val="24"/>
          <w:lang w:val="lv-LV"/>
        </w:rPr>
        <w:t xml:space="preserve">                                                                                          </w:t>
      </w:r>
      <w:proofErr w:type="gramEnd"/>
      <w:r w:rsidR="005B69D1" w:rsidRPr="00E65F9E">
        <w:rPr>
          <w:rFonts w:cs="Times New Roman"/>
          <w:sz w:val="24"/>
          <w:szCs w:val="24"/>
          <w:lang w:val="lv-LV"/>
        </w:rPr>
        <w:t>J.</w:t>
      </w:r>
      <w:r w:rsidR="008F35DB">
        <w:rPr>
          <w:rFonts w:cs="Times New Roman"/>
          <w:sz w:val="24"/>
          <w:szCs w:val="24"/>
          <w:lang w:val="lv-LV"/>
        </w:rPr>
        <w:t> </w:t>
      </w:r>
      <w:proofErr w:type="spellStart"/>
      <w:r w:rsidR="00A501CE">
        <w:rPr>
          <w:rFonts w:cs="Times New Roman"/>
          <w:sz w:val="24"/>
          <w:szCs w:val="24"/>
          <w:lang w:val="lv-LV"/>
        </w:rPr>
        <w:t>Garisons</w:t>
      </w:r>
      <w:proofErr w:type="spellEnd"/>
    </w:p>
    <w:p w:rsidR="005B69D1" w:rsidRDefault="005B69D1" w:rsidP="00B1049B">
      <w:pPr>
        <w:rPr>
          <w:rFonts w:cs="Times New Roman"/>
          <w:sz w:val="16"/>
          <w:szCs w:val="16"/>
          <w:lang w:val="lv-LV" w:eastAsia="lv-LV" w:bidi="ar-SA"/>
        </w:rPr>
      </w:pPr>
    </w:p>
    <w:p w:rsidR="006A374E" w:rsidRDefault="006A374E" w:rsidP="0040084A">
      <w:pPr>
        <w:rPr>
          <w:rFonts w:cs="Times New Roman"/>
          <w:bCs/>
          <w:sz w:val="16"/>
          <w:szCs w:val="16"/>
          <w:lang w:val="lv-LV" w:eastAsia="lv-LV"/>
        </w:rPr>
      </w:pPr>
    </w:p>
    <w:p w:rsidR="006A374E" w:rsidRDefault="006A374E" w:rsidP="0040084A">
      <w:pPr>
        <w:rPr>
          <w:rFonts w:cs="Times New Roman"/>
          <w:bCs/>
          <w:sz w:val="16"/>
          <w:szCs w:val="16"/>
          <w:lang w:val="lv-LV" w:eastAsia="lv-LV"/>
        </w:rPr>
      </w:pPr>
    </w:p>
    <w:p w:rsidR="0040084A" w:rsidRDefault="00334EA0" w:rsidP="0040084A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02</w:t>
      </w:r>
      <w:r w:rsidR="002852D6">
        <w:rPr>
          <w:rFonts w:cs="Times New Roman"/>
          <w:bCs/>
          <w:sz w:val="16"/>
          <w:szCs w:val="16"/>
          <w:lang w:val="lv-LV" w:eastAsia="lv-LV"/>
        </w:rPr>
        <w:t>.0</w:t>
      </w:r>
      <w:r>
        <w:rPr>
          <w:rFonts w:cs="Times New Roman"/>
          <w:bCs/>
          <w:sz w:val="16"/>
          <w:szCs w:val="16"/>
          <w:lang w:val="lv-LV" w:eastAsia="lv-LV"/>
        </w:rPr>
        <w:t>5</w:t>
      </w:r>
      <w:r w:rsidR="002852D6">
        <w:rPr>
          <w:rFonts w:cs="Times New Roman"/>
          <w:bCs/>
          <w:sz w:val="16"/>
          <w:szCs w:val="16"/>
          <w:lang w:val="lv-LV" w:eastAsia="lv-LV"/>
        </w:rPr>
        <w:t>.2017</w:t>
      </w:r>
      <w:r w:rsidR="0014036C">
        <w:rPr>
          <w:rFonts w:cs="Times New Roman"/>
          <w:bCs/>
          <w:sz w:val="16"/>
          <w:szCs w:val="16"/>
          <w:lang w:val="lv-LV" w:eastAsia="lv-LV"/>
        </w:rPr>
        <w:t>.</w:t>
      </w:r>
    </w:p>
    <w:p w:rsidR="007F1E2B" w:rsidRDefault="006A374E" w:rsidP="006A374E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467</w:t>
      </w:r>
    </w:p>
    <w:p w:rsidR="007F1E2B" w:rsidRDefault="002852D6" w:rsidP="008F35DB">
      <w:pPr>
        <w:rPr>
          <w:sz w:val="16"/>
          <w:szCs w:val="16"/>
          <w:lang w:val="lv-LV"/>
        </w:rPr>
      </w:pPr>
      <w:proofErr w:type="spellStart"/>
      <w:r>
        <w:rPr>
          <w:sz w:val="16"/>
          <w:szCs w:val="16"/>
          <w:lang w:val="lv-LV"/>
        </w:rPr>
        <w:t>Olevs</w:t>
      </w:r>
      <w:proofErr w:type="spellEnd"/>
      <w:r>
        <w:rPr>
          <w:sz w:val="16"/>
          <w:szCs w:val="16"/>
          <w:lang w:val="lv-LV"/>
        </w:rPr>
        <w:t xml:space="preserve"> </w:t>
      </w:r>
      <w:proofErr w:type="spellStart"/>
      <w:r>
        <w:rPr>
          <w:sz w:val="16"/>
          <w:szCs w:val="16"/>
          <w:lang w:val="lv-LV"/>
        </w:rPr>
        <w:t>Nikers</w:t>
      </w:r>
      <w:proofErr w:type="spellEnd"/>
    </w:p>
    <w:p w:rsidR="00596A9F" w:rsidRDefault="007F1E2B" w:rsidP="008F35DB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Aizsardzības ministrijas Krīzes vadības departamenta </w:t>
      </w:r>
      <w:r w:rsidR="008F35DB">
        <w:rPr>
          <w:sz w:val="16"/>
          <w:szCs w:val="16"/>
          <w:lang w:val="lv-LV"/>
        </w:rPr>
        <w:br/>
        <w:t>M</w:t>
      </w:r>
      <w:r w:rsidR="002852D6">
        <w:rPr>
          <w:sz w:val="16"/>
          <w:szCs w:val="16"/>
          <w:lang w:val="lv-LV"/>
        </w:rPr>
        <w:t>obilizācijas</w:t>
      </w:r>
      <w:r w:rsidR="008F35DB">
        <w:rPr>
          <w:sz w:val="16"/>
          <w:szCs w:val="16"/>
          <w:lang w:val="lv-LV"/>
        </w:rPr>
        <w:t xml:space="preserve"> </w:t>
      </w:r>
      <w:r w:rsidR="00596A9F">
        <w:rPr>
          <w:sz w:val="16"/>
          <w:szCs w:val="16"/>
          <w:lang w:val="lv-LV"/>
        </w:rPr>
        <w:t>un uzņemošās valsts atbalsta plānošanas nodaļas vecākais eksperts</w:t>
      </w:r>
    </w:p>
    <w:p w:rsidR="00E100BF" w:rsidRPr="0040084A" w:rsidRDefault="008F35DB" w:rsidP="002852D6">
      <w:pPr>
        <w:rPr>
          <w:rFonts w:cs="Times New Roman"/>
          <w:bCs/>
          <w:sz w:val="16"/>
          <w:szCs w:val="16"/>
          <w:highlight w:val="yellow"/>
          <w:lang w:eastAsia="lv-LV"/>
        </w:rPr>
      </w:pPr>
      <w:r>
        <w:rPr>
          <w:sz w:val="16"/>
          <w:szCs w:val="16"/>
          <w:lang w:val="lv-LV"/>
        </w:rPr>
        <w:t>Tālr.</w:t>
      </w:r>
      <w:r w:rsidR="007F1E2B" w:rsidRPr="001444CD">
        <w:rPr>
          <w:sz w:val="16"/>
          <w:szCs w:val="16"/>
          <w:lang w:val="lv-LV"/>
        </w:rPr>
        <w:t xml:space="preserve"> 67335</w:t>
      </w:r>
      <w:r w:rsidR="002852D6">
        <w:rPr>
          <w:sz w:val="16"/>
          <w:szCs w:val="16"/>
          <w:lang w:val="lv-LV"/>
        </w:rPr>
        <w:t>858</w:t>
      </w:r>
      <w:r>
        <w:rPr>
          <w:sz w:val="16"/>
          <w:szCs w:val="16"/>
          <w:lang w:val="lv-LV"/>
        </w:rPr>
        <w:t>, e-pasts</w:t>
      </w:r>
      <w:r w:rsidR="007F1E2B">
        <w:rPr>
          <w:sz w:val="16"/>
          <w:szCs w:val="16"/>
          <w:lang w:val="lv-LV"/>
        </w:rPr>
        <w:t xml:space="preserve">: </w:t>
      </w:r>
      <w:hyperlink r:id="rId9" w:history="1">
        <w:r w:rsidR="002852D6">
          <w:rPr>
            <w:rStyle w:val="Hyperlink"/>
            <w:sz w:val="16"/>
            <w:szCs w:val="16"/>
            <w:lang w:val="lv-LV"/>
          </w:rPr>
          <w:t>olevs.nikers</w:t>
        </w:r>
        <w:r w:rsidR="007F1E2B" w:rsidRPr="001444CD">
          <w:rPr>
            <w:rStyle w:val="Hyperlink"/>
            <w:sz w:val="16"/>
            <w:szCs w:val="16"/>
            <w:lang w:val="lv-LV"/>
          </w:rPr>
          <w:t>@mod.gov.lv</w:t>
        </w:r>
      </w:hyperlink>
    </w:p>
    <w:sectPr w:rsidR="00E100BF" w:rsidRPr="0040084A" w:rsidSect="00784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800" w:bottom="1560" w:left="1418" w:header="142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9" w:rsidRDefault="00512679" w:rsidP="00B1049B">
      <w:r>
        <w:separator/>
      </w:r>
    </w:p>
  </w:endnote>
  <w:endnote w:type="continuationSeparator" w:id="0">
    <w:p w:rsidR="00512679" w:rsidRDefault="00512679" w:rsidP="00B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D" w:rsidRDefault="006E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EE" w:rsidRDefault="00EA0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99C" w:rsidRDefault="006E383D" w:rsidP="006E383D">
    <w:pPr>
      <w:jc w:val="both"/>
      <w:rPr>
        <w:rFonts w:cs="Times New Roman"/>
        <w:sz w:val="16"/>
        <w:szCs w:val="16"/>
      </w:rPr>
    </w:pPr>
    <w:r>
      <w:rPr>
        <w:sz w:val="16"/>
        <w:szCs w:val="16"/>
      </w:rPr>
      <w:t>AiMAnot</w:t>
    </w:r>
    <w:r w:rsidR="00CB199C">
      <w:rPr>
        <w:sz w:val="16"/>
        <w:szCs w:val="16"/>
      </w:rPr>
      <w:t>_</w:t>
    </w:r>
    <w:r w:rsidR="00334EA0">
      <w:rPr>
        <w:sz w:val="16"/>
        <w:szCs w:val="16"/>
      </w:rPr>
      <w:t>020517</w:t>
    </w:r>
    <w:r w:rsidR="00CB199C">
      <w:rPr>
        <w:sz w:val="16"/>
        <w:szCs w:val="16"/>
      </w:rPr>
      <w:t xml:space="preserve">; </w:t>
    </w:r>
    <w:proofErr w:type="spellStart"/>
    <w:r w:rsidR="002852D6" w:rsidRPr="002852D6">
      <w:rPr>
        <w:rFonts w:cs="Times New Roman"/>
        <w:bCs/>
        <w:sz w:val="16"/>
        <w:szCs w:val="16"/>
      </w:rPr>
      <w:t>Grozījum</w:t>
    </w:r>
    <w:r w:rsidR="006F40FC">
      <w:rPr>
        <w:rFonts w:cs="Times New Roman"/>
        <w:bCs/>
        <w:sz w:val="16"/>
        <w:szCs w:val="16"/>
      </w:rPr>
      <w:t>i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Ministru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kabineta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2005. </w:t>
    </w:r>
    <w:proofErr w:type="spellStart"/>
    <w:proofErr w:type="gramStart"/>
    <w:r w:rsidR="002852D6" w:rsidRPr="002852D6">
      <w:rPr>
        <w:rFonts w:cs="Times New Roman"/>
        <w:bCs/>
        <w:sz w:val="16"/>
        <w:szCs w:val="16"/>
      </w:rPr>
      <w:t>gada</w:t>
    </w:r>
    <w:proofErr w:type="spellEnd"/>
    <w:proofErr w:type="gramEnd"/>
    <w:r w:rsidR="002852D6" w:rsidRPr="002852D6">
      <w:rPr>
        <w:rFonts w:cs="Times New Roman"/>
        <w:bCs/>
        <w:sz w:val="16"/>
        <w:szCs w:val="16"/>
      </w:rPr>
      <w:t xml:space="preserve"> 8.</w:t>
    </w:r>
    <w:r w:rsidR="006F40FC">
      <w:rPr>
        <w:rFonts w:cs="Times New Roman"/>
        <w:bCs/>
        <w:sz w:val="16"/>
        <w:szCs w:val="16"/>
      </w:rPr>
      <w:t> </w:t>
    </w:r>
    <w:proofErr w:type="spellStart"/>
    <w:proofErr w:type="gramStart"/>
    <w:r w:rsidR="002852D6" w:rsidRPr="002852D6">
      <w:rPr>
        <w:rFonts w:cs="Times New Roman"/>
        <w:bCs/>
        <w:sz w:val="16"/>
        <w:szCs w:val="16"/>
      </w:rPr>
      <w:t>novembra</w:t>
    </w:r>
    <w:proofErr w:type="spellEnd"/>
    <w:proofErr w:type="gram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noteikumos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Nr</w:t>
    </w:r>
    <w:proofErr w:type="spellEnd"/>
    <w:r w:rsidR="002852D6" w:rsidRPr="002852D6">
      <w:rPr>
        <w:rFonts w:cs="Times New Roman"/>
        <w:bCs/>
        <w:sz w:val="16"/>
        <w:szCs w:val="16"/>
      </w:rPr>
      <w:t>.</w:t>
    </w:r>
    <w:r w:rsidR="006F40FC">
      <w:rPr>
        <w:rFonts w:cs="Times New Roman"/>
        <w:bCs/>
        <w:sz w:val="16"/>
        <w:szCs w:val="16"/>
      </w:rPr>
      <w:t> </w:t>
    </w:r>
    <w:r w:rsidR="002852D6" w:rsidRPr="002852D6">
      <w:rPr>
        <w:rFonts w:cs="Times New Roman"/>
        <w:bCs/>
        <w:sz w:val="16"/>
        <w:szCs w:val="16"/>
      </w:rPr>
      <w:t xml:space="preserve">837 „Par </w:t>
    </w:r>
    <w:proofErr w:type="spellStart"/>
    <w:r w:rsidR="002852D6" w:rsidRPr="002852D6">
      <w:rPr>
        <w:rFonts w:cs="Times New Roman"/>
        <w:bCs/>
        <w:sz w:val="16"/>
        <w:szCs w:val="16"/>
      </w:rPr>
      <w:t>mobilizācijas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gatavības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pārbaudēm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un </w:t>
    </w:r>
    <w:proofErr w:type="spellStart"/>
    <w:r w:rsidR="002852D6" w:rsidRPr="002852D6">
      <w:rPr>
        <w:rFonts w:cs="Times New Roman"/>
        <w:bCs/>
        <w:sz w:val="16"/>
        <w:szCs w:val="16"/>
      </w:rPr>
      <w:t>mobilizācijas</w:t>
    </w:r>
    <w:proofErr w:type="spellEnd"/>
    <w:r w:rsidR="002852D6" w:rsidRPr="002852D6">
      <w:rPr>
        <w:rFonts w:cs="Times New Roman"/>
        <w:bCs/>
        <w:sz w:val="16"/>
        <w:szCs w:val="16"/>
      </w:rPr>
      <w:t xml:space="preserve"> </w:t>
    </w:r>
    <w:proofErr w:type="spellStart"/>
    <w:r w:rsidR="002852D6" w:rsidRPr="002852D6">
      <w:rPr>
        <w:rFonts w:cs="Times New Roman"/>
        <w:bCs/>
        <w:sz w:val="16"/>
        <w:szCs w:val="16"/>
      </w:rPr>
      <w:t>mācībām</w:t>
    </w:r>
    <w:proofErr w:type="spellEnd"/>
    <w:r w:rsidR="002852D6" w:rsidRPr="002852D6">
      <w:rPr>
        <w:rFonts w:cs="Times New Roman"/>
        <w:bCs/>
        <w:sz w:val="16"/>
        <w:szCs w:val="16"/>
      </w:rPr>
      <w:t>”</w:t>
    </w:r>
    <w:r w:rsidR="0040084A" w:rsidRPr="0040084A">
      <w:rPr>
        <w:rFonts w:cs="Times New Roman"/>
        <w:bCs/>
        <w:sz w:val="16"/>
        <w:szCs w:val="16"/>
      </w:rPr>
      <w:t xml:space="preserve"> </w:t>
    </w:r>
    <w:r w:rsidR="00CB199C">
      <w:rPr>
        <w:rFonts w:cs="Times New Roman"/>
        <w:bCs/>
        <w:sz w:val="16"/>
        <w:szCs w:val="16"/>
      </w:rPr>
      <w:t xml:space="preserve"> </w:t>
    </w:r>
  </w:p>
  <w:p w:rsidR="000B6A6D" w:rsidRDefault="000B6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D" w:rsidRDefault="006E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9" w:rsidRDefault="00512679" w:rsidP="00B1049B">
      <w:r>
        <w:separator/>
      </w:r>
    </w:p>
  </w:footnote>
  <w:footnote w:type="continuationSeparator" w:id="0">
    <w:p w:rsidR="00512679" w:rsidRDefault="00512679" w:rsidP="00B1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D" w:rsidRDefault="006E3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D" w:rsidRDefault="000B6A6D" w:rsidP="00BC5157">
    <w:pPr>
      <w:pStyle w:val="Header"/>
      <w:jc w:val="center"/>
      <w:rPr>
        <w:noProof/>
      </w:rPr>
    </w:pPr>
  </w:p>
  <w:p w:rsidR="000B6A6D" w:rsidRDefault="000B6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D" w:rsidRDefault="006E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715"/>
    <w:multiLevelType w:val="hybridMultilevel"/>
    <w:tmpl w:val="4712E2E2"/>
    <w:lvl w:ilvl="0" w:tplc="7226B1D2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3" w:hanging="360"/>
      </w:pPr>
    </w:lvl>
    <w:lvl w:ilvl="2" w:tplc="0426001B" w:tentative="1">
      <w:start w:val="1"/>
      <w:numFmt w:val="lowerRoman"/>
      <w:lvlText w:val="%3."/>
      <w:lvlJc w:val="right"/>
      <w:pPr>
        <w:ind w:left="2283" w:hanging="180"/>
      </w:pPr>
    </w:lvl>
    <w:lvl w:ilvl="3" w:tplc="0426000F" w:tentative="1">
      <w:start w:val="1"/>
      <w:numFmt w:val="decimal"/>
      <w:lvlText w:val="%4."/>
      <w:lvlJc w:val="left"/>
      <w:pPr>
        <w:ind w:left="3003" w:hanging="360"/>
      </w:pPr>
    </w:lvl>
    <w:lvl w:ilvl="4" w:tplc="04260019" w:tentative="1">
      <w:start w:val="1"/>
      <w:numFmt w:val="lowerLetter"/>
      <w:lvlText w:val="%5."/>
      <w:lvlJc w:val="left"/>
      <w:pPr>
        <w:ind w:left="3723" w:hanging="360"/>
      </w:pPr>
    </w:lvl>
    <w:lvl w:ilvl="5" w:tplc="0426001B" w:tentative="1">
      <w:start w:val="1"/>
      <w:numFmt w:val="lowerRoman"/>
      <w:lvlText w:val="%6."/>
      <w:lvlJc w:val="right"/>
      <w:pPr>
        <w:ind w:left="4443" w:hanging="180"/>
      </w:pPr>
    </w:lvl>
    <w:lvl w:ilvl="6" w:tplc="0426000F" w:tentative="1">
      <w:start w:val="1"/>
      <w:numFmt w:val="decimal"/>
      <w:lvlText w:val="%7."/>
      <w:lvlJc w:val="left"/>
      <w:pPr>
        <w:ind w:left="5163" w:hanging="360"/>
      </w:pPr>
    </w:lvl>
    <w:lvl w:ilvl="7" w:tplc="04260019" w:tentative="1">
      <w:start w:val="1"/>
      <w:numFmt w:val="lowerLetter"/>
      <w:lvlText w:val="%8."/>
      <w:lvlJc w:val="left"/>
      <w:pPr>
        <w:ind w:left="5883" w:hanging="360"/>
      </w:pPr>
    </w:lvl>
    <w:lvl w:ilvl="8" w:tplc="042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4BCA4AB2"/>
    <w:multiLevelType w:val="hybridMultilevel"/>
    <w:tmpl w:val="C3FE5B3A"/>
    <w:lvl w:ilvl="0" w:tplc="BE2C1ABA">
      <w:start w:val="1"/>
      <w:numFmt w:val="decimal"/>
      <w:lvlText w:val="%1)"/>
      <w:lvlJc w:val="left"/>
      <w:pPr>
        <w:ind w:left="1439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9" w:hanging="360"/>
      </w:pPr>
    </w:lvl>
    <w:lvl w:ilvl="2" w:tplc="0426001B" w:tentative="1">
      <w:start w:val="1"/>
      <w:numFmt w:val="lowerRoman"/>
      <w:lvlText w:val="%3."/>
      <w:lvlJc w:val="right"/>
      <w:pPr>
        <w:ind w:left="2369" w:hanging="180"/>
      </w:pPr>
    </w:lvl>
    <w:lvl w:ilvl="3" w:tplc="0426000F" w:tentative="1">
      <w:start w:val="1"/>
      <w:numFmt w:val="decimal"/>
      <w:lvlText w:val="%4."/>
      <w:lvlJc w:val="left"/>
      <w:pPr>
        <w:ind w:left="3089" w:hanging="360"/>
      </w:pPr>
    </w:lvl>
    <w:lvl w:ilvl="4" w:tplc="04260019" w:tentative="1">
      <w:start w:val="1"/>
      <w:numFmt w:val="lowerLetter"/>
      <w:lvlText w:val="%5."/>
      <w:lvlJc w:val="left"/>
      <w:pPr>
        <w:ind w:left="3809" w:hanging="360"/>
      </w:pPr>
    </w:lvl>
    <w:lvl w:ilvl="5" w:tplc="0426001B" w:tentative="1">
      <w:start w:val="1"/>
      <w:numFmt w:val="lowerRoman"/>
      <w:lvlText w:val="%6."/>
      <w:lvlJc w:val="right"/>
      <w:pPr>
        <w:ind w:left="4529" w:hanging="180"/>
      </w:pPr>
    </w:lvl>
    <w:lvl w:ilvl="6" w:tplc="0426000F" w:tentative="1">
      <w:start w:val="1"/>
      <w:numFmt w:val="decimal"/>
      <w:lvlText w:val="%7."/>
      <w:lvlJc w:val="left"/>
      <w:pPr>
        <w:ind w:left="5249" w:hanging="360"/>
      </w:pPr>
    </w:lvl>
    <w:lvl w:ilvl="7" w:tplc="04260019" w:tentative="1">
      <w:start w:val="1"/>
      <w:numFmt w:val="lowerLetter"/>
      <w:lvlText w:val="%8."/>
      <w:lvlJc w:val="left"/>
      <w:pPr>
        <w:ind w:left="5969" w:hanging="360"/>
      </w:pPr>
    </w:lvl>
    <w:lvl w:ilvl="8" w:tplc="0426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5"/>
    <w:rsid w:val="000072B4"/>
    <w:rsid w:val="000836FA"/>
    <w:rsid w:val="000A3497"/>
    <w:rsid w:val="000B6A6D"/>
    <w:rsid w:val="000C0A94"/>
    <w:rsid w:val="000F2486"/>
    <w:rsid w:val="00112645"/>
    <w:rsid w:val="00126A33"/>
    <w:rsid w:val="0014036C"/>
    <w:rsid w:val="0014279D"/>
    <w:rsid w:val="001444CD"/>
    <w:rsid w:val="00145998"/>
    <w:rsid w:val="00173876"/>
    <w:rsid w:val="00185297"/>
    <w:rsid w:val="001C0388"/>
    <w:rsid w:val="001C0674"/>
    <w:rsid w:val="001C25DB"/>
    <w:rsid w:val="001E01D7"/>
    <w:rsid w:val="00207BF1"/>
    <w:rsid w:val="00231DA1"/>
    <w:rsid w:val="00247195"/>
    <w:rsid w:val="0026236D"/>
    <w:rsid w:val="00280B81"/>
    <w:rsid w:val="002852D6"/>
    <w:rsid w:val="002950B2"/>
    <w:rsid w:val="0029688C"/>
    <w:rsid w:val="002A1AE6"/>
    <w:rsid w:val="002A25AB"/>
    <w:rsid w:val="002D020C"/>
    <w:rsid w:val="002E63D7"/>
    <w:rsid w:val="00304507"/>
    <w:rsid w:val="00315B65"/>
    <w:rsid w:val="00321DE3"/>
    <w:rsid w:val="003272A1"/>
    <w:rsid w:val="00334EA0"/>
    <w:rsid w:val="003431A1"/>
    <w:rsid w:val="0036408B"/>
    <w:rsid w:val="00370EFC"/>
    <w:rsid w:val="00372B31"/>
    <w:rsid w:val="003D24DC"/>
    <w:rsid w:val="003E1F53"/>
    <w:rsid w:val="0040084A"/>
    <w:rsid w:val="00426DE1"/>
    <w:rsid w:val="004661C8"/>
    <w:rsid w:val="00471091"/>
    <w:rsid w:val="00473316"/>
    <w:rsid w:val="00477C41"/>
    <w:rsid w:val="00483B69"/>
    <w:rsid w:val="00490D1C"/>
    <w:rsid w:val="00497E90"/>
    <w:rsid w:val="004A28C4"/>
    <w:rsid w:val="004B1D68"/>
    <w:rsid w:val="004B538E"/>
    <w:rsid w:val="004C549D"/>
    <w:rsid w:val="00505029"/>
    <w:rsid w:val="0050553A"/>
    <w:rsid w:val="00512679"/>
    <w:rsid w:val="005416A1"/>
    <w:rsid w:val="00563891"/>
    <w:rsid w:val="00596A9F"/>
    <w:rsid w:val="005B2E5F"/>
    <w:rsid w:val="005B69D1"/>
    <w:rsid w:val="005D6CDD"/>
    <w:rsid w:val="005F36C1"/>
    <w:rsid w:val="005F6A28"/>
    <w:rsid w:val="00605F6A"/>
    <w:rsid w:val="006074F8"/>
    <w:rsid w:val="00634F6C"/>
    <w:rsid w:val="006A374E"/>
    <w:rsid w:val="006E383D"/>
    <w:rsid w:val="006F40FC"/>
    <w:rsid w:val="007212BC"/>
    <w:rsid w:val="0074535A"/>
    <w:rsid w:val="007635F3"/>
    <w:rsid w:val="0078462F"/>
    <w:rsid w:val="00796ED2"/>
    <w:rsid w:val="007C74D6"/>
    <w:rsid w:val="007D4BFB"/>
    <w:rsid w:val="007E4082"/>
    <w:rsid w:val="007F1E2B"/>
    <w:rsid w:val="007F4A68"/>
    <w:rsid w:val="00801E3D"/>
    <w:rsid w:val="00801FB3"/>
    <w:rsid w:val="00823E87"/>
    <w:rsid w:val="0083545B"/>
    <w:rsid w:val="008368C2"/>
    <w:rsid w:val="0085492A"/>
    <w:rsid w:val="00860094"/>
    <w:rsid w:val="008804EF"/>
    <w:rsid w:val="00886DCA"/>
    <w:rsid w:val="008F35DB"/>
    <w:rsid w:val="00906CAF"/>
    <w:rsid w:val="00913324"/>
    <w:rsid w:val="00947E0D"/>
    <w:rsid w:val="00961EAA"/>
    <w:rsid w:val="009817FA"/>
    <w:rsid w:val="009A48D6"/>
    <w:rsid w:val="009A7B2C"/>
    <w:rsid w:val="009B6268"/>
    <w:rsid w:val="009D262D"/>
    <w:rsid w:val="009F22F5"/>
    <w:rsid w:val="00A501CE"/>
    <w:rsid w:val="00A542FB"/>
    <w:rsid w:val="00A5643C"/>
    <w:rsid w:val="00A77736"/>
    <w:rsid w:val="00A8446E"/>
    <w:rsid w:val="00AD1E1C"/>
    <w:rsid w:val="00AE16BB"/>
    <w:rsid w:val="00AF3AC3"/>
    <w:rsid w:val="00AF77F0"/>
    <w:rsid w:val="00B015F2"/>
    <w:rsid w:val="00B1049B"/>
    <w:rsid w:val="00B117A3"/>
    <w:rsid w:val="00B12E2E"/>
    <w:rsid w:val="00B22D33"/>
    <w:rsid w:val="00B2714C"/>
    <w:rsid w:val="00B412F1"/>
    <w:rsid w:val="00B81D7D"/>
    <w:rsid w:val="00B82F0F"/>
    <w:rsid w:val="00B97F54"/>
    <w:rsid w:val="00BC5157"/>
    <w:rsid w:val="00BD3BE2"/>
    <w:rsid w:val="00BD76A1"/>
    <w:rsid w:val="00BF3245"/>
    <w:rsid w:val="00C03A31"/>
    <w:rsid w:val="00C17278"/>
    <w:rsid w:val="00C256F7"/>
    <w:rsid w:val="00C353A9"/>
    <w:rsid w:val="00C35E07"/>
    <w:rsid w:val="00C44C39"/>
    <w:rsid w:val="00C729FB"/>
    <w:rsid w:val="00C9608D"/>
    <w:rsid w:val="00CA2134"/>
    <w:rsid w:val="00CB199C"/>
    <w:rsid w:val="00CC10DB"/>
    <w:rsid w:val="00CD1C77"/>
    <w:rsid w:val="00CE0045"/>
    <w:rsid w:val="00CE6E9E"/>
    <w:rsid w:val="00D40237"/>
    <w:rsid w:val="00D750CC"/>
    <w:rsid w:val="00D90144"/>
    <w:rsid w:val="00D904CF"/>
    <w:rsid w:val="00D91F8F"/>
    <w:rsid w:val="00DB55CA"/>
    <w:rsid w:val="00DE34E1"/>
    <w:rsid w:val="00DF6091"/>
    <w:rsid w:val="00E100BF"/>
    <w:rsid w:val="00E13761"/>
    <w:rsid w:val="00E35F51"/>
    <w:rsid w:val="00E701A4"/>
    <w:rsid w:val="00E73FBC"/>
    <w:rsid w:val="00EA03EE"/>
    <w:rsid w:val="00EB5AD9"/>
    <w:rsid w:val="00EC5D9E"/>
    <w:rsid w:val="00EC7042"/>
    <w:rsid w:val="00ED6705"/>
    <w:rsid w:val="00F22346"/>
    <w:rsid w:val="00F24546"/>
    <w:rsid w:val="00F46A86"/>
    <w:rsid w:val="00F550A0"/>
    <w:rsid w:val="00F61B6D"/>
    <w:rsid w:val="00F62C76"/>
    <w:rsid w:val="00F90665"/>
    <w:rsid w:val="00FA782B"/>
    <w:rsid w:val="00FB7A29"/>
    <w:rsid w:val="00FC48D6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D1"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D1"/>
    <w:pPr>
      <w:ind w:left="720"/>
      <w:contextualSpacing/>
    </w:pPr>
  </w:style>
  <w:style w:type="character" w:styleId="Hyperlink">
    <w:name w:val="Hyperlink"/>
    <w:rsid w:val="005B69D1"/>
    <w:rPr>
      <w:color w:val="0000FF"/>
      <w:u w:val="single"/>
    </w:rPr>
  </w:style>
  <w:style w:type="paragraph" w:customStyle="1" w:styleId="naisf">
    <w:name w:val="naisf"/>
    <w:basedOn w:val="Normal"/>
    <w:rsid w:val="005B69D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B104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049B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uiPriority w:val="99"/>
    <w:rsid w:val="00B104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9B"/>
    <w:rPr>
      <w:rFonts w:cs="Arial Unicode MS"/>
      <w:lang w:val="en-AU" w:eastAsia="en-US" w:bidi="lo-LA"/>
    </w:rPr>
  </w:style>
  <w:style w:type="paragraph" w:styleId="BalloonText">
    <w:name w:val="Balloon Text"/>
    <w:basedOn w:val="Normal"/>
    <w:link w:val="BalloonTextChar"/>
    <w:rsid w:val="00B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9B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naisnod">
    <w:name w:val="naisnod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CharCharCharCharCharCharCharCharChar1CharChar">
    <w:name w:val="Char Char Char Char Char Char Char Char Char1 Char Char"/>
    <w:basedOn w:val="Normal"/>
    <w:rsid w:val="000836FA"/>
    <w:pPr>
      <w:spacing w:after="160" w:line="240" w:lineRule="exact"/>
    </w:pPr>
    <w:rPr>
      <w:rFonts w:ascii="Dutch TL" w:hAnsi="Dutch TL" w:cs="Times New Roman"/>
      <w:sz w:val="28"/>
      <w:lang w:val="lv-LV" w:eastAsia="zh-TW" w:bidi="ar-SA"/>
    </w:rPr>
  </w:style>
  <w:style w:type="paragraph" w:customStyle="1" w:styleId="naiskr">
    <w:name w:val="naiskr"/>
    <w:basedOn w:val="Normal"/>
    <w:rsid w:val="000836FA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nhideWhenUsed/>
    <w:rsid w:val="00B12E2E"/>
    <w:rPr>
      <w:rFonts w:cs="Times New Roman"/>
      <w:lang w:val="en-US" w:bidi="ar-SA"/>
    </w:rPr>
  </w:style>
  <w:style w:type="character" w:customStyle="1" w:styleId="FootnoteTextChar">
    <w:name w:val="Footnote Text Char"/>
    <w:basedOn w:val="DefaultParagraphFont"/>
    <w:link w:val="FootnoteText"/>
    <w:rsid w:val="00B12E2E"/>
    <w:rPr>
      <w:lang w:val="en-US" w:eastAsia="en-US"/>
    </w:rPr>
  </w:style>
  <w:style w:type="character" w:styleId="FootnoteReference">
    <w:name w:val="footnote reference"/>
    <w:unhideWhenUsed/>
    <w:rsid w:val="00B12E2E"/>
    <w:rPr>
      <w:vertAlign w:val="superscript"/>
    </w:rPr>
  </w:style>
  <w:style w:type="table" w:styleId="TableGrid">
    <w:name w:val="Table Grid"/>
    <w:basedOn w:val="TableNormal"/>
    <w:rsid w:val="0037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5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A0"/>
  </w:style>
  <w:style w:type="character" w:customStyle="1" w:styleId="CommentTextChar">
    <w:name w:val="Comment Text Char"/>
    <w:basedOn w:val="DefaultParagraphFont"/>
    <w:link w:val="CommentText"/>
    <w:rsid w:val="00F550A0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5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0A0"/>
    <w:rPr>
      <w:rFonts w:cs="Arial Unicode MS"/>
      <w:b/>
      <w:bCs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8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6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FBD8-9061-493E-9A91-8810236A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 Bočs</dc:creator>
  <cp:lastModifiedBy>Laimdota Adlere</cp:lastModifiedBy>
  <cp:revision>4</cp:revision>
  <cp:lastPrinted>2017-05-02T07:00:00Z</cp:lastPrinted>
  <dcterms:created xsi:type="dcterms:W3CDTF">2017-05-10T07:49:00Z</dcterms:created>
  <dcterms:modified xsi:type="dcterms:W3CDTF">2017-05-10T07:49:00Z</dcterms:modified>
</cp:coreProperties>
</file>