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0D452B" w:rsidP="00D67CFE">
      <w:pPr>
        <w:shd w:val="clear" w:color="auto" w:fill="FFFFFF"/>
        <w:jc w:val="center"/>
        <w:rPr>
          <w:rFonts w:cs="Times New Roman"/>
          <w:b/>
          <w:bCs/>
          <w:sz w:val="24"/>
          <w:szCs w:val="24"/>
          <w:lang w:val="lv-LV" w:eastAsia="lv-LV" w:bidi="ar-SA"/>
        </w:rPr>
      </w:pPr>
      <w:r>
        <w:rPr>
          <w:rFonts w:cs="Times New Roman"/>
          <w:b/>
          <w:bCs/>
          <w:sz w:val="24"/>
          <w:szCs w:val="24"/>
          <w:lang w:val="lv-LV" w:eastAsia="lv-LV" w:bidi="ar-SA"/>
        </w:rPr>
        <w:t>Likumprojekta „Grozījumi</w:t>
      </w:r>
      <w:r w:rsidR="00DA55F2" w:rsidRPr="00E65F9E">
        <w:rPr>
          <w:rFonts w:cs="Times New Roman"/>
          <w:b/>
          <w:bCs/>
          <w:sz w:val="24"/>
          <w:szCs w:val="24"/>
          <w:lang w:val="lv-LV" w:eastAsia="lv-LV" w:bidi="ar-SA"/>
        </w:rPr>
        <w:t xml:space="preserve"> </w:t>
      </w:r>
      <w:r w:rsidR="00150F9B">
        <w:rPr>
          <w:rFonts w:cs="Times New Roman"/>
          <w:b/>
          <w:bCs/>
          <w:sz w:val="24"/>
          <w:szCs w:val="24"/>
          <w:lang w:val="lv-LV" w:eastAsia="lv-LV" w:bidi="ar-SA"/>
        </w:rPr>
        <w:t>Aizsardzības un drošības jomas iepirkumu</w:t>
      </w:r>
      <w:r w:rsidR="00DA55F2" w:rsidRPr="00E65F9E">
        <w:rPr>
          <w:rFonts w:cs="Times New Roman"/>
          <w:b/>
          <w:bCs/>
          <w:sz w:val="24"/>
          <w:szCs w:val="24"/>
          <w:lang w:val="lv-LV" w:eastAsia="lv-LV" w:bidi="ar-SA"/>
        </w:rPr>
        <w:t xml:space="preserve"> likumā”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9"/>
        <w:gridCol w:w="1903"/>
        <w:gridCol w:w="6668"/>
      </w:tblGrid>
      <w:tr w:rsidR="00065F37" w:rsidRPr="00E65F9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0D452B" w:rsidTr="000D452B">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06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721" w:type="pct"/>
            <w:tcBorders>
              <w:top w:val="outset" w:sz="6" w:space="0" w:color="414142"/>
              <w:left w:val="outset" w:sz="6" w:space="0" w:color="414142"/>
              <w:bottom w:val="outset" w:sz="6" w:space="0" w:color="414142"/>
              <w:right w:val="outset" w:sz="6" w:space="0" w:color="414142"/>
            </w:tcBorders>
            <w:hideMark/>
          </w:tcPr>
          <w:p w:rsidR="00DA55F2" w:rsidRDefault="00150F9B" w:rsidP="000359AD">
            <w:pPr>
              <w:pStyle w:val="ListParagraph"/>
              <w:numPr>
                <w:ilvl w:val="0"/>
                <w:numId w:val="11"/>
              </w:numPr>
              <w:ind w:left="402"/>
              <w:jc w:val="both"/>
              <w:rPr>
                <w:rFonts w:cs="Times New Roman"/>
                <w:sz w:val="24"/>
                <w:szCs w:val="24"/>
                <w:lang w:val="lv-LV" w:eastAsia="lv-LV" w:bidi="ar-SA"/>
              </w:rPr>
            </w:pPr>
            <w:r w:rsidRPr="000359AD">
              <w:rPr>
                <w:rFonts w:cs="Times New Roman"/>
                <w:sz w:val="24"/>
                <w:szCs w:val="24"/>
                <w:lang w:val="lv-LV"/>
              </w:rPr>
              <w:t>Ministru kabineta 2016.gada 13.septembra sēdes protokola Nr.45 29.§ “</w:t>
            </w:r>
            <w:r w:rsidRPr="000359AD">
              <w:rPr>
                <w:rFonts w:cs="Times New Roman"/>
                <w:color w:val="2A2A2A"/>
                <w:sz w:val="24"/>
                <w:szCs w:val="24"/>
                <w:lang w:val="lv-LV"/>
              </w:rPr>
              <w:t>Informatīvais ziņojums "Par aizsardzības nozares sadarbības stiprināšanu ar Latvijas aizsardzības un drošības industriju"</w:t>
            </w:r>
            <w:r w:rsidRPr="000359AD">
              <w:rPr>
                <w:rFonts w:cs="Times New Roman"/>
                <w:sz w:val="24"/>
                <w:szCs w:val="24"/>
                <w:lang w:val="lv-LV"/>
              </w:rPr>
              <w:t>” (TA-1769) 3.</w:t>
            </w:r>
            <w:r w:rsidR="000D452B" w:rsidRPr="000359AD">
              <w:rPr>
                <w:rFonts w:cs="Times New Roman"/>
                <w:sz w:val="24"/>
                <w:szCs w:val="24"/>
                <w:lang w:val="lv-LV"/>
              </w:rPr>
              <w:t xml:space="preserve"> </w:t>
            </w:r>
            <w:r w:rsidR="000359AD">
              <w:rPr>
                <w:rFonts w:cs="Times New Roman"/>
                <w:sz w:val="24"/>
                <w:szCs w:val="24"/>
                <w:lang w:val="lv-LV"/>
              </w:rPr>
              <w:t>p</w:t>
            </w:r>
            <w:r w:rsidRPr="000359AD">
              <w:rPr>
                <w:rFonts w:cs="Times New Roman"/>
                <w:sz w:val="24"/>
                <w:szCs w:val="24"/>
                <w:lang w:val="lv-LV"/>
              </w:rPr>
              <w:t>unkts</w:t>
            </w:r>
          </w:p>
          <w:p w:rsidR="000359AD" w:rsidRPr="000359AD" w:rsidRDefault="000359AD" w:rsidP="000359AD">
            <w:pPr>
              <w:pStyle w:val="ListParagraph"/>
              <w:numPr>
                <w:ilvl w:val="0"/>
                <w:numId w:val="11"/>
              </w:numPr>
              <w:ind w:left="402"/>
              <w:jc w:val="both"/>
              <w:rPr>
                <w:rFonts w:cs="Times New Roman"/>
                <w:sz w:val="24"/>
                <w:szCs w:val="24"/>
                <w:lang w:val="lv-LV" w:eastAsia="lv-LV" w:bidi="ar-SA"/>
              </w:rPr>
            </w:pPr>
            <w:r>
              <w:rPr>
                <w:rFonts w:cs="Times New Roman"/>
                <w:sz w:val="24"/>
                <w:szCs w:val="24"/>
                <w:lang w:val="lv-LV" w:eastAsia="lv-LV" w:bidi="ar-SA"/>
              </w:rPr>
              <w:t>Ar likumprojektu tiek precizēts iepirkumu organizācijas regulējums atbilstoši Publisko iepirkumu likumā ietvertajiem jauninājumiem (stājās spēkā ar 2017.gada 1.martu)</w:t>
            </w:r>
          </w:p>
        </w:tc>
      </w:tr>
      <w:tr w:rsidR="00065F37" w:rsidRPr="000D452B" w:rsidTr="000D452B">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06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721" w:type="pct"/>
            <w:tcBorders>
              <w:top w:val="outset" w:sz="6" w:space="0" w:color="414142"/>
              <w:left w:val="outset" w:sz="6" w:space="0" w:color="414142"/>
              <w:bottom w:val="outset" w:sz="6" w:space="0" w:color="414142"/>
              <w:right w:val="outset" w:sz="6" w:space="0" w:color="414142"/>
            </w:tcBorders>
          </w:tcPr>
          <w:p w:rsidR="00150F9B" w:rsidRPr="00C7077A" w:rsidRDefault="00150F9B" w:rsidP="000D452B">
            <w:pPr>
              <w:spacing w:after="240"/>
              <w:jc w:val="both"/>
              <w:rPr>
                <w:rFonts w:cs="Times New Roman"/>
                <w:sz w:val="24"/>
                <w:szCs w:val="24"/>
                <w:lang w:val="lv-LV"/>
              </w:rPr>
            </w:pPr>
            <w:r w:rsidRPr="00150F9B">
              <w:rPr>
                <w:sz w:val="24"/>
                <w:szCs w:val="24"/>
                <w:lang w:val="lv-LV"/>
              </w:rPr>
              <w:t xml:space="preserve">2016.gada 13.septembra Ministru kabineta sēdē tika atbalstīts Aizsardzības ministrijas informatīvais ziņojums </w:t>
            </w:r>
            <w:r w:rsidRPr="00150F9B">
              <w:rPr>
                <w:rFonts w:cs="Times New Roman"/>
                <w:sz w:val="24"/>
                <w:szCs w:val="24"/>
                <w:lang w:val="lv-LV"/>
              </w:rPr>
              <w:t>“Par Aizsardzības nozares sadarbības stiprināšanu ar Latvijas aizsardzības un drošības industriju” (</w:t>
            </w:r>
            <w:r w:rsidRPr="00150F9B">
              <w:rPr>
                <w:sz w:val="24"/>
                <w:szCs w:val="24"/>
                <w:lang w:val="lv-LV"/>
              </w:rPr>
              <w:t>protokola Nr.45 29.</w:t>
            </w:r>
            <w:r w:rsidRPr="00150F9B">
              <w:rPr>
                <w:rFonts w:cs="Times New Roman"/>
                <w:sz w:val="24"/>
                <w:szCs w:val="24"/>
                <w:lang w:val="lv-LV"/>
              </w:rPr>
              <w:t>§)</w:t>
            </w:r>
            <w:r w:rsidR="00C7077A">
              <w:rPr>
                <w:rFonts w:cs="Times New Roman"/>
                <w:sz w:val="24"/>
                <w:szCs w:val="24"/>
                <w:lang w:val="lv-LV"/>
              </w:rPr>
              <w:t xml:space="preserve">, turpmāk </w:t>
            </w:r>
            <w:r w:rsidR="00580C11">
              <w:rPr>
                <w:rFonts w:cs="Times New Roman"/>
                <w:sz w:val="24"/>
                <w:szCs w:val="24"/>
                <w:lang w:val="lv-LV"/>
              </w:rPr>
              <w:t>–</w:t>
            </w:r>
            <w:r w:rsidR="00C7077A">
              <w:rPr>
                <w:rFonts w:cs="Times New Roman"/>
                <w:sz w:val="24"/>
                <w:szCs w:val="24"/>
                <w:lang w:val="lv-LV"/>
              </w:rPr>
              <w:t xml:space="preserve"> ziņojums</w:t>
            </w:r>
            <w:r w:rsidR="00580C11">
              <w:rPr>
                <w:rFonts w:cs="Times New Roman"/>
                <w:sz w:val="24"/>
                <w:szCs w:val="24"/>
                <w:lang w:val="lv-LV"/>
              </w:rPr>
              <w:t>.</w:t>
            </w:r>
          </w:p>
          <w:p w:rsidR="00150F9B" w:rsidRPr="00C7077A" w:rsidRDefault="00C7077A" w:rsidP="000D452B">
            <w:pPr>
              <w:spacing w:after="240"/>
              <w:jc w:val="both"/>
              <w:rPr>
                <w:rFonts w:cs="Times New Roman"/>
                <w:sz w:val="24"/>
                <w:szCs w:val="24"/>
                <w:lang w:val="lv-LV"/>
              </w:rPr>
            </w:pPr>
            <w:r>
              <w:rPr>
                <w:rFonts w:cs="Times New Roman"/>
                <w:sz w:val="24"/>
                <w:szCs w:val="24"/>
                <w:lang w:val="lv-LV"/>
              </w:rPr>
              <w:t>Lai izpildītu ziņojumā identificēto uzdevumu attiecībā uz piegāžu drošības garantēšanu, nepieciešams</w:t>
            </w:r>
            <w:r w:rsidR="00150F9B" w:rsidRPr="00150F9B">
              <w:rPr>
                <w:rFonts w:cs="Times New Roman"/>
                <w:sz w:val="24"/>
                <w:szCs w:val="24"/>
                <w:lang w:val="lv-LV"/>
              </w:rPr>
              <w:t xml:space="preserve"> </w:t>
            </w:r>
            <w:r w:rsidR="00150F9B" w:rsidRPr="00150F9B">
              <w:rPr>
                <w:sz w:val="24"/>
                <w:szCs w:val="24"/>
                <w:lang w:val="lv-LV"/>
              </w:rPr>
              <w:t>Aizsardzības un drošības jomas iepirkumu likuma</w:t>
            </w:r>
            <w:r w:rsidR="00150F9B">
              <w:rPr>
                <w:sz w:val="24"/>
                <w:szCs w:val="24"/>
                <w:lang w:val="lv-LV"/>
              </w:rPr>
              <w:t xml:space="preserve"> </w:t>
            </w:r>
            <w:r w:rsidR="00150F9B" w:rsidRPr="00150F9B">
              <w:rPr>
                <w:sz w:val="24"/>
                <w:szCs w:val="24"/>
                <w:lang w:val="lv-LV"/>
              </w:rPr>
              <w:t>(Latvijas Vēstnesis, 2011, 173.nr.; 2013, 188.nr.</w:t>
            </w:r>
            <w:r w:rsidR="000D452B">
              <w:rPr>
                <w:sz w:val="24"/>
                <w:szCs w:val="24"/>
                <w:lang w:val="lv-LV"/>
              </w:rPr>
              <w:t>,</w:t>
            </w:r>
            <w:r w:rsidR="00580C11">
              <w:rPr>
                <w:sz w:val="24"/>
                <w:szCs w:val="24"/>
                <w:lang w:val="lv-LV"/>
              </w:rPr>
              <w:t xml:space="preserve"> turpmāk – ADJIL</w:t>
            </w:r>
            <w:r w:rsidR="00150F9B" w:rsidRPr="00150F9B">
              <w:rPr>
                <w:sz w:val="24"/>
                <w:szCs w:val="24"/>
                <w:lang w:val="lv-LV"/>
              </w:rPr>
              <w:t xml:space="preserve">) </w:t>
            </w:r>
            <w:r>
              <w:rPr>
                <w:sz w:val="24"/>
                <w:szCs w:val="24"/>
                <w:lang w:val="lv-LV"/>
              </w:rPr>
              <w:t>grozījums</w:t>
            </w:r>
            <w:r w:rsidR="00150F9B" w:rsidRPr="00150F9B">
              <w:rPr>
                <w:sz w:val="24"/>
                <w:szCs w:val="24"/>
                <w:lang w:val="lv-LV"/>
              </w:rPr>
              <w:t xml:space="preserve">, kas </w:t>
            </w:r>
            <w:r>
              <w:rPr>
                <w:sz w:val="24"/>
                <w:szCs w:val="24"/>
                <w:lang w:val="lv-LV"/>
              </w:rPr>
              <w:t xml:space="preserve">aizsardzības nozarei </w:t>
            </w:r>
            <w:r w:rsidR="00150F9B" w:rsidRPr="00150F9B">
              <w:rPr>
                <w:sz w:val="24"/>
                <w:szCs w:val="24"/>
                <w:lang w:val="lv-LV"/>
              </w:rPr>
              <w:t>ļautu veikt</w:t>
            </w:r>
            <w:r>
              <w:rPr>
                <w:sz w:val="24"/>
                <w:szCs w:val="24"/>
                <w:lang w:val="lv-LV"/>
              </w:rPr>
              <w:t xml:space="preserve"> nacionālajām</w:t>
            </w:r>
            <w:r w:rsidR="000D452B">
              <w:rPr>
                <w:sz w:val="24"/>
                <w:szCs w:val="24"/>
                <w:lang w:val="lv-LV"/>
              </w:rPr>
              <w:t xml:space="preserve"> drošības</w:t>
            </w:r>
            <w:r>
              <w:rPr>
                <w:sz w:val="24"/>
                <w:szCs w:val="24"/>
                <w:lang w:val="lv-LV"/>
              </w:rPr>
              <w:t xml:space="preserve"> interesēm būtisku un</w:t>
            </w:r>
            <w:r w:rsidR="00150F9B" w:rsidRPr="00150F9B">
              <w:rPr>
                <w:sz w:val="24"/>
                <w:szCs w:val="24"/>
                <w:lang w:val="lv-LV"/>
              </w:rPr>
              <w:t xml:space="preserve"> </w:t>
            </w:r>
            <w:r w:rsidR="000D452B">
              <w:rPr>
                <w:sz w:val="24"/>
                <w:szCs w:val="24"/>
                <w:lang w:val="lv-LV"/>
              </w:rPr>
              <w:t>Nacionālajiem bruņotajiem spēkiem ārējos normatīvajos aktos noteikto</w:t>
            </w:r>
            <w:r w:rsidR="002F399E">
              <w:rPr>
                <w:sz w:val="24"/>
                <w:szCs w:val="24"/>
                <w:lang w:val="lv-LV"/>
              </w:rPr>
              <w:t xml:space="preserve"> </w:t>
            </w:r>
            <w:r w:rsidR="00150F9B" w:rsidRPr="00150F9B">
              <w:rPr>
                <w:sz w:val="24"/>
                <w:szCs w:val="24"/>
                <w:lang w:val="lv-LV"/>
              </w:rPr>
              <w:t>uzdevumu izpildei kritiski nepieciešamu militāra</w:t>
            </w:r>
            <w:r>
              <w:rPr>
                <w:sz w:val="24"/>
                <w:szCs w:val="24"/>
                <w:lang w:val="lv-LV"/>
              </w:rPr>
              <w:t>s nozīmes preču iegādes Latvijā, tādā veidā mazino</w:t>
            </w:r>
            <w:r w:rsidR="00150F9B" w:rsidRPr="00150F9B">
              <w:rPr>
                <w:sz w:val="24"/>
                <w:szCs w:val="24"/>
                <w:lang w:val="lv-LV"/>
              </w:rPr>
              <w:t>t to piegāžu drošības riskus</w:t>
            </w:r>
            <w:r w:rsidR="00580C11">
              <w:rPr>
                <w:sz w:val="24"/>
                <w:szCs w:val="24"/>
                <w:lang w:val="lv-LV"/>
              </w:rPr>
              <w:t>.</w:t>
            </w:r>
          </w:p>
          <w:p w:rsidR="000D452B" w:rsidRDefault="00150F9B" w:rsidP="000D452B">
            <w:pPr>
              <w:pStyle w:val="naiskr"/>
              <w:spacing w:before="0" w:after="240"/>
              <w:jc w:val="both"/>
            </w:pPr>
            <w:r w:rsidRPr="00772F7C">
              <w:t xml:space="preserve">Ar šādu grozījumu </w:t>
            </w:r>
            <w:r w:rsidR="00580C11">
              <w:t>ADJIL</w:t>
            </w:r>
            <w:r w:rsidRPr="00772F7C">
              <w:t xml:space="preserve"> tiktu nostiprināta Līguma par Eiropas Savienības darbību 346.pantā</w:t>
            </w:r>
            <w:r>
              <w:rPr>
                <w:rStyle w:val="FootnoteReference"/>
              </w:rPr>
              <w:footnoteReference w:id="1"/>
            </w:r>
            <w:r w:rsidRPr="00772F7C">
              <w:t xml:space="preserve"> un Eiropas Parlamenta un Padomes Direktīvas 2009/81/EK</w:t>
            </w:r>
            <w:r>
              <w:rPr>
                <w:rStyle w:val="FootnoteReference"/>
              </w:rPr>
              <w:footnoteReference w:id="2"/>
            </w:r>
            <w:r w:rsidRPr="00772F7C">
              <w:t xml:space="preserve"> ievada 16.daļā</w:t>
            </w:r>
            <w:r>
              <w:rPr>
                <w:rStyle w:val="FootnoteReference"/>
              </w:rPr>
              <w:footnoteReference w:id="3"/>
            </w:r>
            <w:r w:rsidRPr="00772F7C">
              <w:t xml:space="preserve"> ietvertā izņēmumu kārtība aizsardzības iepirkumu veikš</w:t>
            </w:r>
            <w:r w:rsidR="00C7077A">
              <w:t>anai, pamatojoties uz nacionālai drošībai būtisku intere</w:t>
            </w:r>
            <w:r w:rsidR="00580C11">
              <w:t>šu</w:t>
            </w:r>
            <w:r w:rsidRPr="00772F7C">
              <w:t xml:space="preserve"> </w:t>
            </w:r>
            <w:r w:rsidR="00C7077A">
              <w:t>aizsardzību un</w:t>
            </w:r>
            <w:r w:rsidR="00580C11">
              <w:t xml:space="preserve"> nepieciešamību garantēt piegāžu drošību</w:t>
            </w:r>
            <w:r w:rsidR="00C7077A">
              <w:t>.</w:t>
            </w:r>
            <w:r w:rsidR="00552EC4">
              <w:t xml:space="preserve"> </w:t>
            </w:r>
            <w:r w:rsidR="00580C11">
              <w:t xml:space="preserve">Likumprojekts paredz, ka attiecīgais izņēmums tiks attiecināts tikai uz militāras nozīmes precēm saskaņā ar ADJIL noteikto un tā piemērošanai būs nepieciešama Ministru kabineta </w:t>
            </w:r>
            <w:r w:rsidR="00580C11">
              <w:lastRenderedPageBreak/>
              <w:t>atļauja.</w:t>
            </w:r>
          </w:p>
          <w:p w:rsidR="00552EC4" w:rsidRDefault="00552EC4" w:rsidP="000D452B">
            <w:pPr>
              <w:pStyle w:val="naiskr"/>
              <w:spacing w:before="0"/>
              <w:jc w:val="both"/>
            </w:pPr>
            <w:r>
              <w:t xml:space="preserve">Ar likumprojektu tāpat paredzēts izdarīt vairākus precizējumus atbilstoši Publisko iepirkumu likumā ietvertajiem jauninājumiem. </w:t>
            </w:r>
          </w:p>
          <w:p w:rsidR="000D452B" w:rsidRDefault="000D452B" w:rsidP="000D452B">
            <w:pPr>
              <w:pStyle w:val="naiskr"/>
              <w:spacing w:before="0"/>
              <w:jc w:val="both"/>
            </w:pPr>
            <w:r>
              <w:t xml:space="preserve">Pašlaik </w:t>
            </w:r>
            <w:r w:rsidR="00552EC4">
              <w:t>ADJIL</w:t>
            </w:r>
            <w:r>
              <w:t xml:space="preserve"> </w:t>
            </w:r>
            <w:r w:rsidRPr="00187890">
              <w:t>ir uzskaitīta virkne nosacījumu, kas ir pamatā kandidātu vai pretendentu izslēgšanai no iepirkuma procedūras</w:t>
            </w:r>
            <w:r>
              <w:t>. V</w:t>
            </w:r>
            <w:r w:rsidRPr="00187890">
              <w:t>ienlaikus ziņas, kuras ir katra attiecīgā izslēgšanas nosacījuma pamatā, ir izvietotas dažādās datu bāzēs un šobrīd nav vienotas vietnes, kurā sabiedrisko pakalpojuma sniedzēji un pasūtītāji var vienlaikus iegūt visu noteiktai pārbaudei nepieciešamo informāciju. Kandidāt</w:t>
            </w:r>
            <w:r>
              <w:t>i</w:t>
            </w:r>
            <w:r w:rsidRPr="00187890">
              <w:t xml:space="preserve"> vai pre</w:t>
            </w:r>
            <w:r>
              <w:t>tendenti, lai apliecinātu, ka tie neatbilst</w:t>
            </w:r>
            <w:proofErr w:type="gramStart"/>
            <w:r>
              <w:t xml:space="preserve"> </w:t>
            </w:r>
            <w:r w:rsidRPr="00187890">
              <w:t xml:space="preserve"> </w:t>
            </w:r>
            <w:proofErr w:type="gramEnd"/>
            <w:r w:rsidRPr="00187890">
              <w:t xml:space="preserve">izslēgšanas </w:t>
            </w:r>
            <w:r>
              <w:t>gadījumiem,</w:t>
            </w:r>
            <w:r w:rsidRPr="00187890">
              <w:t xml:space="preserve"> iesniedz kompetento iestāžu izziņas. Līdz ar to, lai samazinātu administratīvo slogu Latvijas piegādātājiem attiecībā uz izziņu iegūšanu un iesniegšanu, ir nepieciešams veikt grozījumus </w:t>
            </w:r>
            <w:r>
              <w:t>ADJIL, paredzot iespēju pasūtītājam saņemt izziņas par Latvijas piegādātājiem e-iepirkumu sistēmas e-izziņu apakšsistēmā.</w:t>
            </w:r>
          </w:p>
          <w:p w:rsidR="000D452B" w:rsidRPr="000D452B" w:rsidRDefault="000D452B" w:rsidP="000D452B">
            <w:pPr>
              <w:jc w:val="both"/>
              <w:rPr>
                <w:rFonts w:cs="Times New Roman"/>
                <w:sz w:val="24"/>
                <w:szCs w:val="24"/>
                <w:lang w:val="lv-LV"/>
              </w:rPr>
            </w:pPr>
            <w:r w:rsidRPr="000D452B">
              <w:rPr>
                <w:rFonts w:cs="Times New Roman"/>
                <w:sz w:val="24"/>
                <w:szCs w:val="24"/>
                <w:lang w:val="lv-LV"/>
              </w:rPr>
              <w:t>Likumprojekts paredz arī vairākus citus administratīvo slogu mazinošus grozījumus, kas jau ir ieviesti Publisko iepirkumu likumā:</w:t>
            </w:r>
          </w:p>
          <w:p w:rsidR="000D452B" w:rsidRP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Iespēju paziņot iepirkuma procedūras rezultātus un iesniegt iesniegumu par iepirkuma procedūras pārkāpumiem arī ar elektronisko pastu, kam pievienots skenēts dokuments;</w:t>
            </w:r>
          </w:p>
          <w:p w:rsidR="000D452B" w:rsidRP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Pagarināts derīguma termiņš ārvalstu institūciju izsniegtajām izziņām;</w:t>
            </w:r>
          </w:p>
          <w:p w:rsidR="000D452B" w:rsidRP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Paredz atteikšanos no iepriekšēja informatīva paziņojuma publicēšanas pircēja profilā, jo pirms tam pircēja profils ir obligāti jāpaziņo arī ar īpašu paziņojumu Eiropas Savienības Oficiālajā Vēstnesī (līdz šim šāda iespēja nav tikusi izmantota un joprojām paliek iespēja publicēt iepriekšējo informatīvo paziņojumu ar šim nolūkam paredzētu veidlapu);</w:t>
            </w:r>
          </w:p>
          <w:p w:rsidR="000D452B" w:rsidRP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Līgumcenu robežvērtību pielīdzināšana Publisko iepirkumu likumā noteiktajām līgumcenu robežvērtībām, no kurām jāpiemēro publisko iepirkumu regulējums;</w:t>
            </w:r>
          </w:p>
          <w:p w:rsid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Kandidātu un pretendentu izslēgšanas gadījumi pielīdzināti Publisko iepirkumu likumā noteiktajiem, taču nemainot konceptuāli izslēgšanas gadījumu apjomu;</w:t>
            </w:r>
          </w:p>
          <w:p w:rsidR="000D452B" w:rsidRPr="000D452B" w:rsidRDefault="000D452B" w:rsidP="000D452B">
            <w:pPr>
              <w:pStyle w:val="ListParagraph"/>
              <w:numPr>
                <w:ilvl w:val="0"/>
                <w:numId w:val="9"/>
              </w:numPr>
              <w:spacing w:after="160" w:line="259" w:lineRule="auto"/>
              <w:jc w:val="both"/>
              <w:rPr>
                <w:rFonts w:cs="Times New Roman"/>
                <w:sz w:val="24"/>
                <w:szCs w:val="24"/>
                <w:lang w:val="lv-LV"/>
              </w:rPr>
            </w:pPr>
            <w:r w:rsidRPr="000D452B">
              <w:rPr>
                <w:rFonts w:cs="Times New Roman"/>
                <w:sz w:val="24"/>
                <w:szCs w:val="24"/>
                <w:lang w:val="lv-LV"/>
              </w:rPr>
              <w:t>Noteikts, ka uzaicinājums uz iesnieguma izskatīšanas sēdi tiek paziņots Iepirkumu uzraudzības biroja tīmekļvietnē, kā arī tāda pati kārtība paredzēta lēmuma paziņošanai.</w:t>
            </w:r>
          </w:p>
          <w:p w:rsidR="000D452B" w:rsidRPr="000D452B" w:rsidRDefault="000D452B" w:rsidP="000D452B">
            <w:pPr>
              <w:spacing w:after="240"/>
              <w:jc w:val="both"/>
              <w:rPr>
                <w:rFonts w:cs="Times New Roman"/>
                <w:sz w:val="24"/>
                <w:szCs w:val="24"/>
                <w:lang w:val="lv-LV"/>
              </w:rPr>
            </w:pPr>
            <w:r w:rsidRPr="000D452B">
              <w:rPr>
                <w:rFonts w:cs="Times New Roman"/>
                <w:sz w:val="24"/>
                <w:szCs w:val="24"/>
                <w:lang w:val="lv-LV"/>
              </w:rPr>
              <w:t xml:space="preserve">Likumprojekts precizē iepirkuma komisijas darbības regulējumu atbilstoši Publisko iepirkumu likumā ietvertajiem jauninājumiem. </w:t>
            </w:r>
          </w:p>
          <w:p w:rsidR="000D452B" w:rsidRPr="000D452B" w:rsidRDefault="000D452B" w:rsidP="000D452B">
            <w:pPr>
              <w:spacing w:after="240"/>
              <w:jc w:val="both"/>
              <w:rPr>
                <w:rFonts w:cs="Times New Roman"/>
                <w:sz w:val="24"/>
                <w:szCs w:val="24"/>
                <w:lang w:val="lv-LV"/>
              </w:rPr>
            </w:pPr>
            <w:r w:rsidRPr="000D452B">
              <w:rPr>
                <w:rFonts w:cs="Times New Roman"/>
                <w:sz w:val="24"/>
                <w:szCs w:val="24"/>
                <w:lang w:val="lv-LV"/>
              </w:rPr>
              <w:t xml:space="preserve">Precizēts publikāciju vadības sistēmas termins atbilstoši Publisko iepirkumu likumam. </w:t>
            </w:r>
          </w:p>
          <w:p w:rsidR="000D452B" w:rsidRPr="000D452B" w:rsidRDefault="000D452B" w:rsidP="000D452B">
            <w:pPr>
              <w:spacing w:after="240"/>
              <w:jc w:val="both"/>
              <w:rPr>
                <w:rFonts w:cs="Times New Roman"/>
                <w:sz w:val="24"/>
                <w:szCs w:val="24"/>
                <w:lang w:val="lv-LV"/>
              </w:rPr>
            </w:pPr>
            <w:r w:rsidRPr="000D452B">
              <w:rPr>
                <w:rFonts w:cs="Times New Roman"/>
                <w:sz w:val="24"/>
                <w:szCs w:val="24"/>
                <w:lang w:val="lv-LV"/>
              </w:rPr>
              <w:t xml:space="preserve">Tiek atvieglots Iepirkumu uzraudzības biroja iesniegumu </w:t>
            </w:r>
            <w:r w:rsidRPr="000D452B">
              <w:rPr>
                <w:rFonts w:cs="Times New Roman"/>
                <w:sz w:val="24"/>
                <w:szCs w:val="24"/>
                <w:lang w:val="lv-LV"/>
              </w:rPr>
              <w:lastRenderedPageBreak/>
              <w:t xml:space="preserve">izskatīšanas komisijas darbs, nosakot, ka iesniegumus par tādu iepirkuma procedūru pārkāpumiem, kuru izskatīšanā nav pārbaudāma informācijas, kas ir valsts noslēpuma objekts, nav nepieciešams veidot iesniegumu izskatīšanas komisiju no personām, kas saņēmušas attiecīgas kategorijas speciālo atļauju pieejai valsts noslēpumam. </w:t>
            </w:r>
          </w:p>
          <w:p w:rsidR="000D452B" w:rsidRDefault="000D452B" w:rsidP="000D452B">
            <w:pPr>
              <w:pStyle w:val="naiskr"/>
              <w:spacing w:before="0" w:after="240"/>
              <w:jc w:val="both"/>
            </w:pPr>
            <w:r w:rsidRPr="000D452B">
              <w:t>Likumprojekts paredz deleģējumu Ministru kabinetam noteikt statistikas pārskatu iesniegšanas kārtību un saturu.</w:t>
            </w:r>
          </w:p>
          <w:p w:rsidR="007413F0" w:rsidRPr="00E65F9E" w:rsidRDefault="007413F0" w:rsidP="000D452B">
            <w:pPr>
              <w:pStyle w:val="naiskr"/>
              <w:spacing w:before="0" w:after="240"/>
              <w:jc w:val="both"/>
            </w:pPr>
            <w:r w:rsidRPr="007413F0">
              <w:t xml:space="preserve">Eiropas Parlamenta un Padomes 2014.gada 26.februāra Direktīvas 2014/24/ES par publisko iepirkumu un ar ko atceļ Direktīvu 2004/18/EK (turpmāk – Direktīva) 57.panta 2.punkta trešā daļa nosaka, ka piegādātāju neizslēdz no iepirkuma procedūras, ja piegādātājs ir izpildījis savus pienākumus, samaksājot vai noslēdzot saistošu vienošanos, lai samaksātu attiecīgos nodokļus vai attiecīgos sociālā nodrošinājuma iemaksu maksājumus, tostarp attiecīgos gadījumos jebkādus uzkrātos procentus vai soda naudu. Taču Direktīvas 57.panta 3.punkta otrajā daļā ir norādīts, ka visām darbībām attiecībā uz saistību nokārtošanu ir jābūt veiktām līdz pieteikuma iesniegšanas termiņa pēdējai dienai  slēgtās procedūrās un </w:t>
            </w:r>
            <w:proofErr w:type="spellStart"/>
            <w:r w:rsidRPr="007413F0">
              <w:t>piedāvājum</w:t>
            </w:r>
            <w:proofErr w:type="spellEnd"/>
            <w:r w:rsidRPr="007413F0">
              <w:t xml:space="preserve"> iesniegšanas termiņa pēdējai dienai atklātās procedūrās, līdz ar to 44.panta piektās daļas 3.punktā minētajiem pierādījumiem (dokumenti var tik izdoti arī pēc pieteikuma vai piedāvājuma iesniegšanas termiņa pēdējās dienas) ir jāapliecina, ka kandidātam pieteikumu iesniegšanas termiņa pēdējā dienā un pretendentam dienā, kad pieņemts lēmums par iespējamu iepirkuma līguma slēgšanas tiesību piešķiršanu, nebija nodokļu parādi, tai skaitā valsts sociālās apdrošināšanas obligāto iemaksu parādi, kas kopsummā kādā no valstīm pārsniedz 150 </w:t>
            </w:r>
            <w:proofErr w:type="spellStart"/>
            <w:r w:rsidRPr="007413F0">
              <w:rPr>
                <w:i/>
                <w:iCs/>
              </w:rPr>
              <w:t>euro</w:t>
            </w:r>
            <w:proofErr w:type="spellEnd"/>
            <w:r w:rsidRPr="007413F0">
              <w:t>.</w:t>
            </w:r>
          </w:p>
        </w:tc>
      </w:tr>
      <w:tr w:rsidR="00065F37" w:rsidRPr="00E65F9E" w:rsidTr="000D452B">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06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721" w:type="pct"/>
            <w:tcBorders>
              <w:top w:val="outset" w:sz="6" w:space="0" w:color="414142"/>
              <w:left w:val="outset" w:sz="6" w:space="0" w:color="414142"/>
              <w:bottom w:val="outset" w:sz="6" w:space="0" w:color="414142"/>
              <w:right w:val="outset" w:sz="6" w:space="0" w:color="414142"/>
            </w:tcBorders>
            <w:hideMark/>
          </w:tcPr>
          <w:p w:rsidR="00DA55F2" w:rsidRPr="00E65F9E" w:rsidRDefault="001F2472" w:rsidP="00483EDB">
            <w:pPr>
              <w:rPr>
                <w:rFonts w:cs="Times New Roman"/>
                <w:sz w:val="24"/>
                <w:szCs w:val="24"/>
                <w:lang w:val="lv-LV" w:eastAsia="lv-LV" w:bidi="ar-SA"/>
              </w:rPr>
            </w:pPr>
            <w:r w:rsidRPr="00E65F9E">
              <w:rPr>
                <w:rFonts w:cs="Times New Roman"/>
                <w:sz w:val="24"/>
                <w:szCs w:val="24"/>
                <w:lang w:val="lv-LV" w:eastAsia="lv-LV" w:bidi="ar-SA"/>
              </w:rPr>
              <w:t xml:space="preserve">Aizsardzības ministrija </w:t>
            </w:r>
          </w:p>
        </w:tc>
      </w:tr>
      <w:tr w:rsidR="00065F37" w:rsidRPr="000D452B" w:rsidTr="000D452B">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062"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721" w:type="pct"/>
            <w:tcBorders>
              <w:top w:val="outset" w:sz="6" w:space="0" w:color="414142"/>
              <w:left w:val="outset" w:sz="6" w:space="0" w:color="414142"/>
              <w:bottom w:val="outset" w:sz="6" w:space="0" w:color="414142"/>
              <w:right w:val="outset" w:sz="6" w:space="0" w:color="414142"/>
            </w:tcBorders>
            <w:hideMark/>
          </w:tcPr>
          <w:p w:rsidR="00DA55F2" w:rsidRPr="00E65F9E" w:rsidRDefault="00EE7ECC" w:rsidP="00580C11">
            <w:pPr>
              <w:jc w:val="both"/>
              <w:rPr>
                <w:rFonts w:cs="Times New Roman"/>
                <w:sz w:val="24"/>
                <w:szCs w:val="24"/>
                <w:lang w:val="lv-LV" w:eastAsia="lv-LV" w:bidi="ar-SA"/>
              </w:rPr>
            </w:pPr>
            <w:r>
              <w:rPr>
                <w:rFonts w:cs="Times New Roman"/>
                <w:sz w:val="24"/>
                <w:szCs w:val="24"/>
                <w:lang w:val="lv-LV" w:eastAsia="lv-LV" w:bidi="ar-SA"/>
              </w:rPr>
              <w:t>L</w:t>
            </w:r>
            <w:r w:rsidRPr="00EE7ECC">
              <w:rPr>
                <w:rFonts w:cs="Times New Roman"/>
                <w:sz w:val="24"/>
                <w:szCs w:val="24"/>
                <w:lang w:val="lv-LV" w:eastAsia="lv-LV" w:bidi="ar-SA"/>
              </w:rPr>
              <w:t>ikumprojekta izpildi Aizsardzības ministrija nodrošinās atbilstoši tai piešķirtajiem valsts budžeta līdzekļiem</w:t>
            </w:r>
            <w:r w:rsidR="00580C11">
              <w:rPr>
                <w:rFonts w:cs="Times New Roman"/>
                <w:sz w:val="24"/>
                <w:szCs w:val="24"/>
                <w:lang w:val="lv-LV" w:eastAsia="lv-LV" w:bidi="ar-SA"/>
              </w:rPr>
              <w:t>.</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7"/>
        <w:gridCol w:w="5773"/>
      </w:tblGrid>
      <w:tr w:rsidR="00065F37" w:rsidRPr="000D452B"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150F9B"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4D5DA5" w:rsidP="00412724">
            <w:pPr>
              <w:rPr>
                <w:rFonts w:cs="Times New Roman"/>
                <w:sz w:val="24"/>
                <w:szCs w:val="24"/>
                <w:lang w:val="lv-LV" w:eastAsia="lv-LV" w:bidi="ar-SA"/>
              </w:rPr>
            </w:pPr>
            <w:r>
              <w:rPr>
                <w:rFonts w:cs="Times New Roman"/>
                <w:sz w:val="24"/>
                <w:szCs w:val="24"/>
                <w:lang w:val="lv-LV" w:eastAsia="lv-LV" w:bidi="ar-SA"/>
              </w:rPr>
              <w:t>Projekts šo jomu neskar</w:t>
            </w:r>
          </w:p>
        </w:tc>
      </w:tr>
      <w:tr w:rsidR="00065F37" w:rsidRPr="000359AD"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0359AD" w:rsidRDefault="000359AD" w:rsidP="000359AD">
            <w:pPr>
              <w:rPr>
                <w:rFonts w:cs="Times New Roman"/>
                <w:sz w:val="24"/>
                <w:szCs w:val="24"/>
                <w:lang w:val="lv-LV" w:eastAsia="lv-LV" w:bidi="ar-SA"/>
              </w:rPr>
            </w:pPr>
            <w:r>
              <w:rPr>
                <w:rFonts w:cs="Times New Roman"/>
                <w:sz w:val="24"/>
                <w:szCs w:val="24"/>
                <w:lang w:val="lv-LV"/>
              </w:rPr>
              <w:t>Likumprojekts samazina</w:t>
            </w:r>
            <w:r w:rsidRPr="000359AD">
              <w:rPr>
                <w:rFonts w:cs="Times New Roman"/>
                <w:sz w:val="24"/>
                <w:szCs w:val="24"/>
                <w:lang w:val="lv-LV"/>
              </w:rPr>
              <w:t xml:space="preserve"> administratīvo slogu Latvijas piegādātājiem attiecībā uz izziņu iegūšanu un iesniegšanu, paredzot iespēju pasūtītājam saņemt izziņas par Latvijas piegādātājiem e-iepirkumu sistēmas e-izziņu apakšsistēmā</w:t>
            </w:r>
            <w:r>
              <w:rPr>
                <w:rFonts w:cs="Times New Roman"/>
                <w:sz w:val="24"/>
                <w:szCs w:val="24"/>
                <w:lang w:val="lv-LV"/>
              </w:rPr>
              <w:t xml:space="preserve">. Tāpat tas </w:t>
            </w:r>
            <w:r w:rsidRPr="000D452B">
              <w:rPr>
                <w:rFonts w:cs="Times New Roman"/>
                <w:sz w:val="24"/>
                <w:szCs w:val="24"/>
                <w:lang w:val="lv-LV"/>
              </w:rPr>
              <w:t>paredz arī vairākus citus administratīvo slogu mazinošus grozījumus, kas jau ir ieviesti Publisko iepirkumu likumā</w:t>
            </w:r>
            <w:r>
              <w:rPr>
                <w:rFonts w:cs="Times New Roman"/>
                <w:sz w:val="24"/>
                <w:szCs w:val="24"/>
                <w:lang w:val="lv-LV"/>
              </w:rPr>
              <w:t xml:space="preserve"> </w:t>
            </w:r>
            <w:proofErr w:type="gramStart"/>
            <w:r>
              <w:rPr>
                <w:rFonts w:cs="Times New Roman"/>
                <w:sz w:val="24"/>
                <w:szCs w:val="24"/>
                <w:lang w:val="lv-LV"/>
              </w:rPr>
              <w:t>(</w:t>
            </w:r>
            <w:proofErr w:type="gramEnd"/>
            <w:r>
              <w:rPr>
                <w:rFonts w:cs="Times New Roman"/>
                <w:sz w:val="24"/>
                <w:szCs w:val="24"/>
                <w:lang w:val="lv-LV"/>
              </w:rPr>
              <w:t xml:space="preserve">skat. I. sadaļas 2. punktā ietverto </w:t>
            </w:r>
            <w:r>
              <w:rPr>
                <w:rFonts w:cs="Times New Roman"/>
                <w:sz w:val="24"/>
                <w:szCs w:val="24"/>
                <w:lang w:val="lv-LV"/>
              </w:rPr>
              <w:lastRenderedPageBreak/>
              <w:t>informāciju).</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DC6081"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FB7A70" w:rsidP="005417FB">
            <w:pPr>
              <w:spacing w:before="100" w:beforeAutospacing="1" w:after="100" w:afterAutospacing="1" w:line="315" w:lineRule="atLeast"/>
              <w:rPr>
                <w:rFonts w:cs="Times New Roman"/>
                <w:sz w:val="24"/>
                <w:szCs w:val="24"/>
                <w:lang w:val="lv-LV" w:eastAsia="lv-LV" w:bidi="ar-SA"/>
              </w:rPr>
            </w:pPr>
            <w:r>
              <w:rPr>
                <w:rFonts w:cs="Times New Roman"/>
                <w:sz w:val="24"/>
                <w:szCs w:val="24"/>
                <w:lang w:val="lv-LV" w:eastAsia="lv-LV" w:bidi="ar-SA"/>
              </w:rPr>
              <w:t>Nav</w:t>
            </w:r>
          </w:p>
        </w:tc>
      </w:tr>
    </w:tbl>
    <w:p w:rsidR="00BF7D46"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FB2401" w:rsidRPr="000D452B"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FB2401" w:rsidRPr="00E65F9E" w:rsidRDefault="00FB2401" w:rsidP="008106F0">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III. Tiesību akta projekta ietekme uz valsts budžetu un pašvaldību budžetiem</w:t>
            </w:r>
          </w:p>
        </w:tc>
      </w:tr>
      <w:tr w:rsidR="00FE0450" w:rsidRPr="00BC746B" w:rsidTr="00FB2401">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E0450" w:rsidRPr="00FE0450" w:rsidRDefault="00FE0450" w:rsidP="008106F0">
            <w:pPr>
              <w:spacing w:before="100" w:beforeAutospacing="1" w:after="100" w:afterAutospacing="1" w:line="315" w:lineRule="atLeast"/>
              <w:jc w:val="center"/>
              <w:rPr>
                <w:rFonts w:cs="Times New Roman"/>
                <w:bCs/>
                <w:sz w:val="24"/>
                <w:szCs w:val="24"/>
                <w:lang w:val="lv-LV" w:eastAsia="lv-LV" w:bidi="ar-SA"/>
              </w:rPr>
            </w:pPr>
            <w:r w:rsidRPr="00FE0450">
              <w:rPr>
                <w:rFonts w:cs="Times New Roman"/>
                <w:bCs/>
                <w:sz w:val="24"/>
                <w:szCs w:val="24"/>
                <w:lang w:val="lv-LV" w:eastAsia="lv-LV" w:bidi="ar-SA"/>
              </w:rPr>
              <w:t>Projekts šo jomu neskar</w:t>
            </w:r>
          </w:p>
        </w:tc>
      </w:tr>
    </w:tbl>
    <w:p w:rsidR="00FB2401" w:rsidRDefault="00FB2401" w:rsidP="00E61F4F">
      <w:pPr>
        <w:shd w:val="clear" w:color="auto" w:fill="FFFFFF"/>
        <w:ind w:firstLine="301"/>
        <w:rPr>
          <w:rFonts w:cs="Times New Roman"/>
          <w:sz w:val="24"/>
          <w:szCs w:val="24"/>
          <w:lang w:val="lv-LV" w:eastAsia="lv-LV" w:bidi="ar-SA"/>
        </w:rPr>
      </w:pPr>
    </w:p>
    <w:p w:rsidR="00FB2401" w:rsidRPr="00E65F9E" w:rsidRDefault="00FB2401" w:rsidP="00E61F4F">
      <w:pPr>
        <w:shd w:val="clear" w:color="auto" w:fill="FFFFFF"/>
        <w:ind w:firstLine="301"/>
        <w:rPr>
          <w:rFonts w:cs="Times New Roman"/>
          <w:sz w:val="24"/>
          <w:szCs w:val="24"/>
          <w:lang w:val="lv-LV" w:eastAsia="lv-LV" w:bidi="ar-SA"/>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616"/>
        <w:gridCol w:w="5954"/>
      </w:tblGrid>
      <w:tr w:rsidR="00065F37" w:rsidRPr="000D452B"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0359AD"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359AD" w:rsidRPr="000359AD" w:rsidRDefault="000359AD" w:rsidP="000359AD">
            <w:pPr>
              <w:pStyle w:val="ListParagraph"/>
              <w:numPr>
                <w:ilvl w:val="0"/>
                <w:numId w:val="10"/>
              </w:numPr>
              <w:spacing w:after="160" w:line="259" w:lineRule="auto"/>
              <w:jc w:val="both"/>
              <w:rPr>
                <w:rFonts w:cs="Times New Roman"/>
                <w:sz w:val="24"/>
                <w:szCs w:val="24"/>
                <w:lang w:val="lv-LV"/>
              </w:rPr>
            </w:pPr>
            <w:r w:rsidRPr="000359AD">
              <w:rPr>
                <w:rFonts w:cs="Times New Roman"/>
                <w:sz w:val="24"/>
                <w:szCs w:val="24"/>
                <w:lang w:val="lv-LV"/>
              </w:rPr>
              <w:t>Grozījumi Ministru kabineta 2017.gada 28.februāra noteikumos Nr.108 “Publisko elektronisko iepirkumu noteikumi” attiecībā uz e-izziņu apakšsistēmas izmantošanu;</w:t>
            </w:r>
          </w:p>
          <w:p w:rsidR="005D4F8A" w:rsidRPr="000359AD" w:rsidRDefault="000359AD" w:rsidP="000359AD">
            <w:pPr>
              <w:pStyle w:val="ListParagraph"/>
              <w:numPr>
                <w:ilvl w:val="0"/>
                <w:numId w:val="10"/>
              </w:numPr>
              <w:spacing w:after="160" w:line="259" w:lineRule="auto"/>
              <w:jc w:val="both"/>
              <w:rPr>
                <w:rFonts w:cs="Times New Roman"/>
                <w:sz w:val="24"/>
                <w:szCs w:val="24"/>
                <w:lang w:val="lv-LV"/>
              </w:rPr>
            </w:pPr>
            <w:r w:rsidRPr="000359AD">
              <w:rPr>
                <w:rFonts w:cs="Times New Roman"/>
                <w:sz w:val="24"/>
                <w:szCs w:val="24"/>
                <w:lang w:val="lv-LV"/>
              </w:rPr>
              <w:t xml:space="preserve">Grozījumi “Ministru kabineta 2017.gada 28.februāra noteikumos Nr.102 “Noteikumi par oficiālās statistikas veidlapu paraugiem iepirkumu jomā un veidlapu iesniegšanas un aizpildīšanas kārtību” attiecībā uz dotā deleģējuma izpildi. </w:t>
            </w:r>
          </w:p>
        </w:tc>
      </w:tr>
      <w:tr w:rsidR="00065F37" w:rsidRPr="00552EC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0359AD" w:rsidP="00D76744">
            <w:pPr>
              <w:rPr>
                <w:rFonts w:cs="Times New Roman"/>
                <w:sz w:val="24"/>
                <w:szCs w:val="24"/>
                <w:lang w:val="lv-LV" w:eastAsia="lv-LV" w:bidi="ar-SA"/>
              </w:rPr>
            </w:pPr>
            <w:r>
              <w:rPr>
                <w:rFonts w:cs="Times New Roman"/>
                <w:sz w:val="24"/>
                <w:szCs w:val="24"/>
                <w:lang w:val="lv-LV" w:eastAsia="lv-LV" w:bidi="ar-SA"/>
              </w:rPr>
              <w:t>Finanšu ministrija</w:t>
            </w:r>
            <w:r w:rsidR="00552EC4">
              <w:rPr>
                <w:rFonts w:cs="Times New Roman"/>
                <w:sz w:val="24"/>
                <w:szCs w:val="24"/>
                <w:lang w:val="lv-LV" w:eastAsia="lv-LV" w:bidi="ar-SA"/>
              </w:rPr>
              <w:t xml:space="preserve">. Līdzatbildīgie </w:t>
            </w:r>
            <w:r w:rsidR="00D76744">
              <w:rPr>
                <w:rFonts w:cs="Times New Roman"/>
                <w:sz w:val="24"/>
                <w:szCs w:val="24"/>
                <w:lang w:val="lv-LV" w:eastAsia="lv-LV" w:bidi="ar-SA"/>
              </w:rPr>
              <w:t xml:space="preserve">– </w:t>
            </w:r>
            <w:r w:rsidR="00552EC4">
              <w:rPr>
                <w:rFonts w:cs="Times New Roman"/>
                <w:sz w:val="24"/>
                <w:szCs w:val="24"/>
                <w:lang w:val="lv-LV" w:eastAsia="lv-LV" w:bidi="ar-SA"/>
              </w:rPr>
              <w:t>I</w:t>
            </w:r>
            <w:r w:rsidR="00D76744">
              <w:rPr>
                <w:rFonts w:cs="Times New Roman"/>
                <w:sz w:val="24"/>
                <w:szCs w:val="24"/>
                <w:lang w:val="lv-LV" w:eastAsia="lv-LV" w:bidi="ar-SA"/>
              </w:rPr>
              <w:t>epirkumu uzraudzības birojs, Valsts reģionālās attīstības aģentūra.</w:t>
            </w:r>
          </w:p>
        </w:tc>
      </w:tr>
      <w:tr w:rsidR="00065F37" w:rsidRPr="00552EC4"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552EC4" w:rsidTr="00DA55F2">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 Tiesību akta projekta atbilstība Latvijas Republikas starptautiskajām saistībām</w:t>
            </w:r>
          </w:p>
        </w:tc>
      </w:tr>
      <w:tr w:rsidR="00065F37" w:rsidRPr="00E65F9E" w:rsidTr="00DA55F2">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21"/>
      </w:tblGrid>
      <w:tr w:rsidR="00065F37" w:rsidRPr="000D452B"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 Sabiedrības līdzdalība un komunikācijas aktivitātes</w:t>
            </w:r>
          </w:p>
        </w:tc>
      </w:tr>
      <w:tr w:rsidR="00065F37" w:rsidRPr="00E65F9E" w:rsidTr="00DA55F2">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D0703" w:rsidRPr="00E65F9E" w:rsidRDefault="00DD0703" w:rsidP="00DA55F2">
            <w:pPr>
              <w:spacing w:before="100" w:beforeAutospacing="1" w:after="100" w:afterAutospacing="1" w:line="315" w:lineRule="atLeast"/>
              <w:jc w:val="center"/>
              <w:rPr>
                <w:rFonts w:cs="Times New Roman"/>
                <w:bCs/>
                <w:sz w:val="24"/>
                <w:szCs w:val="24"/>
                <w:lang w:val="lv-LV" w:eastAsia="lv-LV" w:bidi="ar-SA"/>
              </w:rPr>
            </w:pPr>
            <w:r w:rsidRPr="00E65F9E">
              <w:rPr>
                <w:rFonts w:cs="Times New Roman"/>
                <w:bCs/>
                <w:sz w:val="24"/>
                <w:szCs w:val="24"/>
                <w:lang w:val="lv-LV" w:eastAsia="lv-LV" w:bidi="ar-SA"/>
              </w:rPr>
              <w:t>Projekts šo jomu neskar</w:t>
            </w:r>
          </w:p>
        </w:tc>
      </w:tr>
    </w:tbl>
    <w:p w:rsidR="00DA55F2" w:rsidRPr="00E65F9E" w:rsidRDefault="00DA55F2" w:rsidP="00E61F4F">
      <w:pPr>
        <w:shd w:val="clear" w:color="auto" w:fill="FFFFFF"/>
        <w:ind w:firstLine="301"/>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3428"/>
        <w:gridCol w:w="5142"/>
      </w:tblGrid>
      <w:tr w:rsidR="00065F37" w:rsidRPr="000D452B"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A74913"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2F399E">
            <w:pPr>
              <w:rPr>
                <w:rFonts w:cs="Times New Roman"/>
                <w:sz w:val="24"/>
                <w:szCs w:val="24"/>
                <w:lang w:val="lv-LV" w:eastAsia="lv-LV" w:bidi="ar-SA"/>
              </w:rPr>
            </w:pPr>
            <w:r w:rsidRPr="00E65F9E">
              <w:rPr>
                <w:rFonts w:cs="Times New Roman"/>
                <w:sz w:val="24"/>
                <w:szCs w:val="24"/>
                <w:lang w:val="lv-LV" w:eastAsia="lv-LV" w:bidi="ar-SA"/>
              </w:rPr>
              <w:t>Aizsardzības ministrija</w:t>
            </w:r>
            <w:r w:rsidR="00A669D6">
              <w:rPr>
                <w:rFonts w:cs="Times New Roman"/>
                <w:sz w:val="24"/>
                <w:szCs w:val="24"/>
                <w:lang w:val="lv-LV" w:eastAsia="lv-LV" w:bidi="ar-SA"/>
              </w:rPr>
              <w:t>,</w:t>
            </w:r>
            <w:r w:rsidR="002F399E">
              <w:rPr>
                <w:rFonts w:cs="Times New Roman"/>
                <w:sz w:val="24"/>
                <w:szCs w:val="24"/>
                <w:lang w:val="lv-LV" w:eastAsia="lv-LV" w:bidi="ar-SA"/>
              </w:rPr>
              <w:t xml:space="preserve"> Nacionālie bruņotie spēki</w:t>
            </w:r>
            <w:r w:rsidR="00A74913">
              <w:rPr>
                <w:rFonts w:cs="Times New Roman"/>
                <w:sz w:val="24"/>
                <w:szCs w:val="24"/>
                <w:lang w:val="lv-LV" w:eastAsia="lv-LV" w:bidi="ar-SA"/>
              </w:rPr>
              <w:t xml:space="preserve">, Valsts aizsardzības militāro objektu un iepirkumu centrs, Iepirkumu uzraudzības birojs, Valsts reģionālās attīstības aģentūra </w:t>
            </w:r>
          </w:p>
        </w:tc>
      </w:tr>
      <w:tr w:rsidR="00065F37" w:rsidRPr="00304C07"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BF599F" w:rsidP="00793251">
            <w:pPr>
              <w:jc w:val="both"/>
              <w:rPr>
                <w:rFonts w:cs="Times New Roman"/>
                <w:sz w:val="24"/>
                <w:szCs w:val="24"/>
                <w:lang w:val="lv-LV" w:eastAsia="lv-LV" w:bidi="ar-SA"/>
              </w:rPr>
            </w:pPr>
            <w:r>
              <w:rPr>
                <w:rFonts w:cs="Times New Roman"/>
                <w:sz w:val="24"/>
                <w:szCs w:val="24"/>
                <w:lang w:val="lv-LV" w:eastAsia="lv-LV" w:bidi="ar-SA"/>
              </w:rPr>
              <w:t>Projekts šo jomu neskar</w:t>
            </w:r>
          </w:p>
          <w:p w:rsidR="00DD0703" w:rsidRPr="00E65F9E" w:rsidRDefault="00DD0703" w:rsidP="009213E1">
            <w:pPr>
              <w:jc w:val="both"/>
              <w:rPr>
                <w:rFonts w:cs="Times New Roman"/>
                <w:sz w:val="24"/>
                <w:szCs w:val="24"/>
                <w:lang w:val="lv-LV" w:eastAsia="lv-LV" w:bidi="ar-SA"/>
              </w:rPr>
            </w:pP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4600D1" w:rsidRPr="00E65F9E" w:rsidRDefault="004600D1"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proofErr w:type="spellStart"/>
      <w:r w:rsidR="00172AF9">
        <w:rPr>
          <w:rFonts w:cs="Times New Roman"/>
          <w:sz w:val="24"/>
          <w:szCs w:val="24"/>
          <w:lang w:val="lv-LV"/>
        </w:rPr>
        <w:t>R.</w:t>
      </w:r>
      <w:r w:rsidR="00D401CB">
        <w:rPr>
          <w:rFonts w:cs="Times New Roman"/>
          <w:sz w:val="24"/>
          <w:szCs w:val="24"/>
          <w:lang w:val="lv-LV"/>
        </w:rPr>
        <w:t>Bergmanis</w:t>
      </w:r>
      <w:proofErr w:type="spellEnd"/>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1701FF" w:rsidRDefault="001701FF" w:rsidP="00DD0703">
      <w:pPr>
        <w:tabs>
          <w:tab w:val="right" w:pos="9000"/>
        </w:tabs>
        <w:jc w:val="both"/>
        <w:rPr>
          <w:rFonts w:cs="Times New Roman"/>
          <w:sz w:val="24"/>
          <w:szCs w:val="24"/>
          <w:lang w:val="lv-LV"/>
        </w:rPr>
      </w:pPr>
    </w:p>
    <w:p w:rsidR="001701FF" w:rsidRPr="00E65F9E" w:rsidRDefault="001701FF" w:rsidP="00DD0703">
      <w:pPr>
        <w:tabs>
          <w:tab w:val="right" w:pos="9000"/>
        </w:tabs>
        <w:jc w:val="both"/>
        <w:rPr>
          <w:rFonts w:cs="Times New Roman"/>
          <w:sz w:val="24"/>
          <w:szCs w:val="24"/>
          <w:lang w:val="lv-LV"/>
        </w:rPr>
      </w:pPr>
    </w:p>
    <w:p w:rsidR="00DD0703" w:rsidRPr="00E65F9E" w:rsidRDefault="00DD0703" w:rsidP="00DD0703">
      <w:pPr>
        <w:tabs>
          <w:tab w:val="right" w:pos="9000"/>
        </w:tabs>
        <w:jc w:val="both"/>
        <w:rPr>
          <w:rFonts w:cs="Times New Roman"/>
          <w:sz w:val="24"/>
          <w:szCs w:val="24"/>
          <w:lang w:val="lv-LV"/>
        </w:rPr>
      </w:pPr>
      <w:r w:rsidRPr="00E65F9E">
        <w:rPr>
          <w:rFonts w:cs="Times New Roman"/>
          <w:sz w:val="24"/>
          <w:szCs w:val="24"/>
          <w:lang w:val="lv-LV"/>
        </w:rPr>
        <w:t>Vīza: valsts sekretārs</w:t>
      </w:r>
      <w:r w:rsidRPr="00E65F9E">
        <w:rPr>
          <w:rFonts w:cs="Times New Roman"/>
          <w:sz w:val="24"/>
          <w:szCs w:val="24"/>
          <w:lang w:val="lv-LV"/>
        </w:rPr>
        <w:tab/>
        <w:t>J.</w:t>
      </w:r>
      <w:r w:rsidR="00DD4C93">
        <w:rPr>
          <w:rFonts w:cs="Times New Roman"/>
          <w:sz w:val="24"/>
          <w:szCs w:val="24"/>
          <w:lang w:val="lv-LV"/>
        </w:rPr>
        <w:t>Garisons</w:t>
      </w: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3E6324" w:rsidRDefault="003E6324"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bookmarkStart w:id="0" w:name="_GoBack"/>
      <w:bookmarkEnd w:id="0"/>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7413F0" w:rsidRDefault="007413F0" w:rsidP="00DD0703">
      <w:pPr>
        <w:tabs>
          <w:tab w:val="left" w:pos="1560"/>
        </w:tabs>
        <w:rPr>
          <w:rFonts w:cs="Times New Roman"/>
          <w:lang w:val="lv-LV"/>
        </w:rPr>
      </w:pPr>
    </w:p>
    <w:p w:rsidR="003E6324" w:rsidRPr="00065F37" w:rsidRDefault="003E6324" w:rsidP="00DD0703">
      <w:pPr>
        <w:tabs>
          <w:tab w:val="left" w:pos="1560"/>
        </w:tabs>
        <w:rPr>
          <w:rFonts w:cs="Times New Roman"/>
          <w:lang w:val="lv-LV"/>
        </w:rPr>
      </w:pPr>
    </w:p>
    <w:p w:rsidR="004D5DA5" w:rsidRDefault="004D5DA5" w:rsidP="004D5DA5">
      <w:pPr>
        <w:pStyle w:val="naisc"/>
        <w:spacing w:before="0" w:after="0"/>
        <w:jc w:val="both"/>
        <w:rPr>
          <w:sz w:val="20"/>
          <w:lang w:val="lv-LV"/>
        </w:rPr>
      </w:pPr>
      <w:r>
        <w:rPr>
          <w:sz w:val="20"/>
          <w:lang w:val="lv-LV"/>
        </w:rPr>
        <w:fldChar w:fldCharType="begin"/>
      </w:r>
      <w:r>
        <w:rPr>
          <w:sz w:val="20"/>
          <w:lang w:val="lv-LV"/>
        </w:rPr>
        <w:instrText xml:space="preserve"> DATE  \@ "dd.MM.yyyy H:mm"  \* MERGEFORMAT </w:instrText>
      </w:r>
      <w:r>
        <w:rPr>
          <w:sz w:val="20"/>
          <w:lang w:val="lv-LV"/>
        </w:rPr>
        <w:fldChar w:fldCharType="separate"/>
      </w:r>
      <w:r w:rsidR="00E672F9">
        <w:rPr>
          <w:noProof/>
          <w:sz w:val="20"/>
          <w:lang w:val="lv-LV"/>
        </w:rPr>
        <w:t>18.04.2017 10:47</w:t>
      </w:r>
      <w:r>
        <w:rPr>
          <w:sz w:val="20"/>
          <w:lang w:val="lv-LV"/>
        </w:rPr>
        <w:fldChar w:fldCharType="end"/>
      </w:r>
    </w:p>
    <w:p w:rsidR="004D5DA5" w:rsidRDefault="004D5DA5" w:rsidP="004D5DA5">
      <w:pPr>
        <w:pStyle w:val="naisc"/>
        <w:spacing w:before="0" w:after="0"/>
        <w:jc w:val="both"/>
        <w:rPr>
          <w:sz w:val="20"/>
          <w:lang w:val="lv-LV"/>
        </w:rPr>
      </w:pPr>
      <w:r>
        <w:rPr>
          <w:sz w:val="20"/>
          <w:lang w:val="lv-LV"/>
        </w:rPr>
        <w:fldChar w:fldCharType="begin"/>
      </w:r>
      <w:r>
        <w:rPr>
          <w:sz w:val="20"/>
          <w:lang w:val="lv-LV"/>
        </w:rPr>
        <w:instrText xml:space="preserve"> NUMWORDS   \* MERGEFORMAT </w:instrText>
      </w:r>
      <w:r>
        <w:rPr>
          <w:sz w:val="20"/>
          <w:lang w:val="lv-LV"/>
        </w:rPr>
        <w:fldChar w:fldCharType="separate"/>
      </w:r>
      <w:r w:rsidR="00E672F9">
        <w:rPr>
          <w:noProof/>
          <w:sz w:val="20"/>
          <w:lang w:val="lv-LV"/>
        </w:rPr>
        <w:t>1030</w:t>
      </w:r>
      <w:r>
        <w:rPr>
          <w:sz w:val="20"/>
          <w:lang w:val="lv-LV"/>
        </w:rPr>
        <w:fldChar w:fldCharType="end"/>
      </w:r>
    </w:p>
    <w:p w:rsidR="004D5DA5" w:rsidRPr="00674C52" w:rsidRDefault="004D5DA5" w:rsidP="004D5DA5">
      <w:pPr>
        <w:pStyle w:val="naisc"/>
        <w:spacing w:before="0" w:after="0"/>
        <w:jc w:val="both"/>
        <w:rPr>
          <w:sz w:val="20"/>
          <w:lang w:val="lv-LV"/>
        </w:rPr>
      </w:pPr>
      <w:r>
        <w:rPr>
          <w:sz w:val="20"/>
          <w:lang w:val="lv-LV"/>
        </w:rPr>
        <w:t>M.Mežulis</w:t>
      </w:r>
      <w:r w:rsidRPr="00674C52">
        <w:rPr>
          <w:sz w:val="20"/>
          <w:lang w:val="lv-LV"/>
        </w:rPr>
        <w:t>, 67335</w:t>
      </w:r>
      <w:r>
        <w:rPr>
          <w:sz w:val="20"/>
          <w:lang w:val="lv-LV"/>
        </w:rPr>
        <w:t>166</w:t>
      </w:r>
    </w:p>
    <w:p w:rsidR="004D5DA5" w:rsidRPr="00674C52" w:rsidRDefault="00E672F9" w:rsidP="004D5DA5">
      <w:pPr>
        <w:pStyle w:val="naisc"/>
        <w:spacing w:before="0" w:after="0"/>
        <w:jc w:val="both"/>
        <w:rPr>
          <w:rStyle w:val="Hyperlink"/>
          <w:sz w:val="20"/>
          <w:lang w:val="lv-LV"/>
        </w:rPr>
      </w:pPr>
      <w:hyperlink r:id="rId9" w:history="1">
        <w:r w:rsidR="004D5DA5" w:rsidRPr="007F1535">
          <w:rPr>
            <w:rStyle w:val="Hyperlink"/>
            <w:sz w:val="20"/>
            <w:lang w:val="lv-LV"/>
          </w:rPr>
          <w:t>Martins.Mezulis@mod.gov.lv</w:t>
        </w:r>
      </w:hyperlink>
    </w:p>
    <w:p w:rsidR="00724A9A" w:rsidRPr="00724A9A" w:rsidRDefault="00724A9A" w:rsidP="004600D1">
      <w:pPr>
        <w:pStyle w:val="Header"/>
        <w:rPr>
          <w:sz w:val="18"/>
          <w:szCs w:val="18"/>
        </w:rPr>
      </w:pPr>
    </w:p>
    <w:sectPr w:rsidR="00724A9A" w:rsidRPr="00724A9A" w:rsidSect="00C7077A">
      <w:headerReference w:type="default" r:id="rId10"/>
      <w:footerReference w:type="default" r:id="rId11"/>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pPr>
      <w:pStyle w:val="Footer"/>
      <w:rPr>
        <w:lang w:val="lv-LV"/>
      </w:rPr>
    </w:pPr>
    <w:r>
      <w:rPr>
        <w:lang w:val="lv-LV"/>
      </w:rPr>
      <w:t>A</w:t>
    </w:r>
    <w:r w:rsidR="00A74913">
      <w:rPr>
        <w:lang w:val="lv-LV"/>
      </w:rPr>
      <w:t>i</w:t>
    </w:r>
    <w:r w:rsidR="00D76744">
      <w:rPr>
        <w:lang w:val="lv-LV"/>
      </w:rPr>
      <w:t>Ma</w:t>
    </w:r>
    <w:r>
      <w:rPr>
        <w:lang w:val="lv-LV"/>
      </w:rPr>
      <w:t>not_</w:t>
    </w:r>
    <w:r w:rsidR="00851B0F">
      <w:rPr>
        <w:lang w:val="lv-LV"/>
      </w:rPr>
      <w:t>27</w:t>
    </w:r>
    <w:r w:rsidR="00D76744">
      <w:rPr>
        <w:lang w:val="lv-LV"/>
      </w:rPr>
      <w:t>03</w:t>
    </w:r>
    <w:r>
      <w:rPr>
        <w:lang w:val="lv-LV"/>
      </w:rPr>
      <w:t>1</w:t>
    </w:r>
    <w:r w:rsidR="00D76744">
      <w:rPr>
        <w:lang w:val="lv-LV"/>
      </w:rPr>
      <w:t>7</w:t>
    </w:r>
    <w:r>
      <w:rPr>
        <w:lang w:val="lv-LV"/>
      </w:rPr>
      <w:t>_</w:t>
    </w:r>
    <w:r w:rsidR="004D5DA5">
      <w:rPr>
        <w:lang w:val="lv-LV"/>
      </w:rPr>
      <w:t xml:space="preserve">ADJIL; </w:t>
    </w:r>
    <w:r w:rsidR="00D76744">
      <w:rPr>
        <w:lang w:val="lv-LV"/>
      </w:rPr>
      <w:t>Likumprojekta „Grozījumi</w:t>
    </w:r>
    <w:r>
      <w:rPr>
        <w:lang w:val="lv-LV"/>
      </w:rPr>
      <w:t xml:space="preserve"> </w:t>
    </w:r>
    <w:r w:rsidR="004D5DA5">
      <w:rPr>
        <w:lang w:val="lv-LV"/>
      </w:rPr>
      <w:t>Aizsardzības un drošības jomas iepirkumu</w:t>
    </w:r>
    <w:r>
      <w:rPr>
        <w:lang w:val="lv-LV"/>
      </w:rPr>
      <w:t xml:space="preserve"> likumā” </w:t>
    </w:r>
    <w:r w:rsidR="00D76744">
      <w:rPr>
        <w:lang w:val="lv-LV"/>
      </w:rPr>
      <w:t>(VSS</w:t>
    </w:r>
    <w:r w:rsidR="00A74913">
      <w:rPr>
        <w:lang w:val="lv-LV"/>
      </w:rPr>
      <w:t xml:space="preserve">-1228) </w:t>
    </w:r>
    <w:r>
      <w:rPr>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 w:id="1">
    <w:p w:rsidR="00150F9B" w:rsidRPr="00C65F97" w:rsidRDefault="00150F9B" w:rsidP="00150F9B">
      <w:pPr>
        <w:pStyle w:val="FootnoteText"/>
        <w:jc w:val="both"/>
        <w:rPr>
          <w:rFonts w:ascii="Times New Roman" w:hAnsi="Times New Roman" w:cs="Times New Roman"/>
        </w:rPr>
      </w:pPr>
      <w:r w:rsidRPr="00C65F97">
        <w:rPr>
          <w:rStyle w:val="FootnoteReference"/>
          <w:rFonts w:ascii="Times New Roman" w:hAnsi="Times New Roman" w:cs="Times New Roman"/>
        </w:rPr>
        <w:footnoteRef/>
      </w:r>
      <w:r w:rsidRPr="00C65F97">
        <w:rPr>
          <w:rFonts w:ascii="Times New Roman" w:hAnsi="Times New Roman" w:cs="Times New Roman"/>
        </w:rPr>
        <w:t xml:space="preserve"> Līguma </w:t>
      </w:r>
      <w:r w:rsidR="00454A49" w:rsidRPr="00E71AC1">
        <w:rPr>
          <w:rFonts w:ascii="Times New Roman" w:hAnsi="Times New Roman" w:cs="Times New Roman"/>
        </w:rPr>
        <w:t>par Eiropas Savienības darbību</w:t>
      </w:r>
      <w:r w:rsidR="00454A49" w:rsidRPr="00C65F97">
        <w:rPr>
          <w:rFonts w:ascii="Times New Roman" w:hAnsi="Times New Roman" w:cs="Times New Roman"/>
        </w:rPr>
        <w:t xml:space="preserve"> </w:t>
      </w:r>
      <w:r w:rsidRPr="00C65F97">
        <w:rPr>
          <w:rFonts w:ascii="Times New Roman" w:hAnsi="Times New Roman" w:cs="Times New Roman"/>
        </w:rPr>
        <w:t>346.panta b) daļa: “Dalībvalstis var veikt pasākumus, ko uzskata par vajadzīgiem, lai aizsargātu savas būtiskās drošības intereses, kas saistītas ar ieroču, munīcijas un militārā aprīkojuma ražošanu vai tirdzniecību; šādi pasākumi iekšējā tirgū nedrīkst nelabvēlīgi ietekmēt tādu ražojumu konkurenci, kuri nav tieši paredzēti militāriem nolūkiem” (līguma sākotnējā redakcijā – 296.panta b) daļa).</w:t>
      </w:r>
    </w:p>
  </w:footnote>
  <w:footnote w:id="2">
    <w:p w:rsidR="00150F9B" w:rsidRPr="00C65F97" w:rsidRDefault="00150F9B" w:rsidP="00150F9B">
      <w:pPr>
        <w:pStyle w:val="FootnoteText"/>
        <w:jc w:val="both"/>
        <w:rPr>
          <w:rFonts w:ascii="Times New Roman" w:hAnsi="Times New Roman" w:cs="Times New Roman"/>
        </w:rPr>
      </w:pPr>
      <w:r w:rsidRPr="00C65F97">
        <w:rPr>
          <w:rStyle w:val="FootnoteReference"/>
          <w:rFonts w:ascii="Times New Roman" w:hAnsi="Times New Roman" w:cs="Times New Roman"/>
        </w:rPr>
        <w:footnoteRef/>
      </w:r>
      <w:r w:rsidRPr="00C65F97">
        <w:rPr>
          <w:rFonts w:ascii="Times New Roman" w:hAnsi="Times New Roman" w:cs="Times New Roman"/>
        </w:rPr>
        <w:t xml:space="preserve"> Eiropas Parlamenta un Padomes Direktīva 2009/81/EK (2009.gada 13.jūlijs), ar kuru koordinē procedūras attiecībā uz to, kā līgumslēdzējas iestādes vai subjekti, kas darbojas drošības un aizsardzības jomā, piešķir noteiktu būvdarbu, piegādes un pakalpojumu līgumu slēgšanas tiesības, un ar kuru groza Direktīvas 2004/17/EK un 2004/18/EK. </w:t>
      </w:r>
    </w:p>
  </w:footnote>
  <w:footnote w:id="3">
    <w:p w:rsidR="00150F9B" w:rsidRPr="008A003D" w:rsidRDefault="00150F9B" w:rsidP="00150F9B">
      <w:pPr>
        <w:pStyle w:val="Default"/>
        <w:jc w:val="both"/>
        <w:rPr>
          <w:rFonts w:ascii="Times New Roman" w:hAnsi="Times New Roman" w:cs="Times New Roman"/>
          <w:sz w:val="20"/>
          <w:szCs w:val="20"/>
        </w:rPr>
      </w:pPr>
      <w:r w:rsidRPr="00C65F97">
        <w:rPr>
          <w:rStyle w:val="FootnoteReference"/>
          <w:rFonts w:ascii="Times New Roman" w:hAnsi="Times New Roman" w:cs="Times New Roman"/>
          <w:sz w:val="20"/>
          <w:szCs w:val="20"/>
        </w:rPr>
        <w:footnoteRef/>
      </w:r>
      <w:r w:rsidRPr="00C65F97">
        <w:rPr>
          <w:rFonts w:ascii="Times New Roman" w:hAnsi="Times New Roman" w:cs="Times New Roman"/>
        </w:rPr>
        <w:t xml:space="preserve"> </w:t>
      </w:r>
      <w:r w:rsidR="00454A49" w:rsidRPr="00E71AC1">
        <w:rPr>
          <w:rFonts w:ascii="Times New Roman" w:eastAsiaTheme="minorEastAsia" w:hAnsi="Times New Roman" w:cs="Times New Roman"/>
          <w:color w:val="auto"/>
          <w:sz w:val="20"/>
          <w:szCs w:val="20"/>
          <w:lang w:eastAsia="zh-CN"/>
        </w:rPr>
        <w:t>Direktīvas 2009/81/EK</w:t>
      </w:r>
      <w:r w:rsidR="00F771E0">
        <w:rPr>
          <w:rFonts w:ascii="Times New Roman" w:eastAsiaTheme="minorEastAsia" w:hAnsi="Times New Roman" w:cs="Times New Roman"/>
          <w:color w:val="auto"/>
          <w:sz w:val="20"/>
          <w:szCs w:val="20"/>
          <w:lang w:eastAsia="zh-CN"/>
        </w:rPr>
        <w:t xml:space="preserve"> ievada 16.daļa: “</w:t>
      </w:r>
      <w:r w:rsidRPr="00C65F97">
        <w:rPr>
          <w:rFonts w:ascii="Times New Roman" w:hAnsi="Times New Roman" w:cs="Times New Roman"/>
          <w:sz w:val="20"/>
          <w:szCs w:val="20"/>
        </w:rPr>
        <w:t xml:space="preserve">Līguma 30., 45., 46., 55. un 296. pantā ir paredzēti īpaši izņēmuma gadījumi, kad var atkāpties no Līgumā noteikto principu piemērošanas un, attiecīgi, no to tiesību piemērošanas, kuri izriet no šiem principiem. No tā izriet, ka neviens šīs direktīvas noteikums nedrīkstētu liegt noteikt vai piemērot pasākumus, kas ir vajadzīgi tādu interešu aizsargāšanai, kuras ar Līguma noteikumiem ir atzītas par leģitīmām. Tas jo īpaši nozīmē, ka arī uz tādu līgumu slēgšanu, uz kuriem attiecas šīs direktīvas piemērošanas joma, šo direktīvu var neattiecināt, ja to pamato sabiedrības drošība vai arī dalībvalsts būtisku drošības interešu aizsardzība. </w:t>
      </w:r>
      <w:r w:rsidRPr="00C7077A">
        <w:rPr>
          <w:rFonts w:ascii="Times New Roman" w:hAnsi="Times New Roman" w:cs="Times New Roman"/>
          <w:sz w:val="20"/>
          <w:szCs w:val="20"/>
        </w:rPr>
        <w:t>Tas var attiekties uz tādiem līgumiem gan aizsardzības, gan drošības jomā, attiecībā uz kuriem ir nepieciešamas tik galēji augstas piegāžu drošības prasības un kuri ir tik konfidenciāli un/vai svarīgi valsts suverenitātei, ka pat šīs direktīvas īpašie noteikumi nav pietiekami, lai aizsargātu dalībvalsts svarīgākās drošības intereses, kuru noteikšana ir tikai pašas dalībvalsts ziņā.</w:t>
      </w:r>
      <w:r w:rsidR="00F771E0" w:rsidRPr="00F771E0">
        <w:rPr>
          <w:rFonts w:ascii="Times New Roman" w:eastAsiaTheme="minorEastAsia" w:hAnsi="Times New Roman" w:cs="Times New Roman"/>
          <w:color w:val="auto"/>
          <w:sz w:val="20"/>
          <w:szCs w:val="20"/>
          <w:lang w:eastAsia="zh-CN"/>
        </w:rPr>
        <w:t xml:space="preserve"> </w:t>
      </w:r>
      <w:r w:rsidR="00F771E0">
        <w:rPr>
          <w:rFonts w:ascii="Times New Roman" w:eastAsiaTheme="minorEastAsia" w:hAnsi="Times New Roman" w:cs="Times New Roman"/>
          <w:color w:val="auto"/>
          <w:sz w:val="20"/>
          <w:szCs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E672F9">
          <w:rPr>
            <w:noProof/>
          </w:rPr>
          <w:t>3</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A6"/>
    <w:multiLevelType w:val="hybridMultilevel"/>
    <w:tmpl w:val="A344044E"/>
    <w:lvl w:ilvl="0" w:tplc="E9F29482">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1546449"/>
    <w:multiLevelType w:val="hybridMultilevel"/>
    <w:tmpl w:val="239EABF0"/>
    <w:lvl w:ilvl="0" w:tplc="7BC6B982">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035437"/>
    <w:multiLevelType w:val="hybridMultilevel"/>
    <w:tmpl w:val="01C42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311A26"/>
    <w:multiLevelType w:val="hybridMultilevel"/>
    <w:tmpl w:val="39DAE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FA1CE0"/>
    <w:multiLevelType w:val="hybridMultilevel"/>
    <w:tmpl w:val="21B0B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AFC45E5"/>
    <w:multiLevelType w:val="hybridMultilevel"/>
    <w:tmpl w:val="CD8045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C0E1708"/>
    <w:multiLevelType w:val="hybridMultilevel"/>
    <w:tmpl w:val="01CA1F08"/>
    <w:lvl w:ilvl="0" w:tplc="39E08E98">
      <w:start w:val="2"/>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num w:numId="1">
    <w:abstractNumId w:val="9"/>
  </w:num>
  <w:num w:numId="2">
    <w:abstractNumId w:val="2"/>
  </w:num>
  <w:num w:numId="3">
    <w:abstractNumId w:val="7"/>
  </w:num>
  <w:num w:numId="4">
    <w:abstractNumId w:val="5"/>
  </w:num>
  <w:num w:numId="5">
    <w:abstractNumId w:val="4"/>
  </w:num>
  <w:num w:numId="6">
    <w:abstractNumId w:val="0"/>
  </w:num>
  <w:num w:numId="7">
    <w:abstractNumId w:val="10"/>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4B44"/>
    <w:rsid w:val="000243E9"/>
    <w:rsid w:val="00027904"/>
    <w:rsid w:val="00030C42"/>
    <w:rsid w:val="0003259E"/>
    <w:rsid w:val="000359AD"/>
    <w:rsid w:val="00035D48"/>
    <w:rsid w:val="0003609F"/>
    <w:rsid w:val="00037FDE"/>
    <w:rsid w:val="00040423"/>
    <w:rsid w:val="00040BA5"/>
    <w:rsid w:val="00042947"/>
    <w:rsid w:val="00053219"/>
    <w:rsid w:val="000637B5"/>
    <w:rsid w:val="00063B79"/>
    <w:rsid w:val="00065F37"/>
    <w:rsid w:val="00086FA2"/>
    <w:rsid w:val="000874A0"/>
    <w:rsid w:val="00090C83"/>
    <w:rsid w:val="00094334"/>
    <w:rsid w:val="000A1D45"/>
    <w:rsid w:val="000C0C9E"/>
    <w:rsid w:val="000D452B"/>
    <w:rsid w:val="000D603B"/>
    <w:rsid w:val="000F0597"/>
    <w:rsid w:val="000F1CD1"/>
    <w:rsid w:val="000F24DA"/>
    <w:rsid w:val="000F470D"/>
    <w:rsid w:val="000F5E0C"/>
    <w:rsid w:val="00103E34"/>
    <w:rsid w:val="00106E83"/>
    <w:rsid w:val="0010791B"/>
    <w:rsid w:val="0011086B"/>
    <w:rsid w:val="001212B3"/>
    <w:rsid w:val="0012243B"/>
    <w:rsid w:val="001270FE"/>
    <w:rsid w:val="001312D8"/>
    <w:rsid w:val="00150F9B"/>
    <w:rsid w:val="0016559B"/>
    <w:rsid w:val="00166952"/>
    <w:rsid w:val="001701FF"/>
    <w:rsid w:val="00172AF9"/>
    <w:rsid w:val="00174F32"/>
    <w:rsid w:val="001753C1"/>
    <w:rsid w:val="0017553A"/>
    <w:rsid w:val="00184861"/>
    <w:rsid w:val="001919C8"/>
    <w:rsid w:val="00193650"/>
    <w:rsid w:val="0019390A"/>
    <w:rsid w:val="00194D40"/>
    <w:rsid w:val="001A1CD9"/>
    <w:rsid w:val="001A2275"/>
    <w:rsid w:val="001A32D4"/>
    <w:rsid w:val="001A42A1"/>
    <w:rsid w:val="001A53E0"/>
    <w:rsid w:val="001C12F3"/>
    <w:rsid w:val="001C25DB"/>
    <w:rsid w:val="001C4398"/>
    <w:rsid w:val="001D1B81"/>
    <w:rsid w:val="001D5576"/>
    <w:rsid w:val="001D7DAF"/>
    <w:rsid w:val="001E4F19"/>
    <w:rsid w:val="001F2472"/>
    <w:rsid w:val="001F7047"/>
    <w:rsid w:val="002041E1"/>
    <w:rsid w:val="00206E7C"/>
    <w:rsid w:val="00211E0A"/>
    <w:rsid w:val="00222529"/>
    <w:rsid w:val="0022395F"/>
    <w:rsid w:val="00224D82"/>
    <w:rsid w:val="00232E77"/>
    <w:rsid w:val="00237EC9"/>
    <w:rsid w:val="00237EFA"/>
    <w:rsid w:val="00244B75"/>
    <w:rsid w:val="002518B5"/>
    <w:rsid w:val="00254A93"/>
    <w:rsid w:val="0026236D"/>
    <w:rsid w:val="002768AB"/>
    <w:rsid w:val="002809EE"/>
    <w:rsid w:val="002973DF"/>
    <w:rsid w:val="00297668"/>
    <w:rsid w:val="002A24A5"/>
    <w:rsid w:val="002B2664"/>
    <w:rsid w:val="002B4F09"/>
    <w:rsid w:val="002B7A3C"/>
    <w:rsid w:val="002C0EAE"/>
    <w:rsid w:val="002C3876"/>
    <w:rsid w:val="002D0DAB"/>
    <w:rsid w:val="002D189A"/>
    <w:rsid w:val="002D5D8A"/>
    <w:rsid w:val="002E1F0E"/>
    <w:rsid w:val="002E384D"/>
    <w:rsid w:val="002E3D00"/>
    <w:rsid w:val="002F17A8"/>
    <w:rsid w:val="002F399E"/>
    <w:rsid w:val="002F5337"/>
    <w:rsid w:val="00302A5E"/>
    <w:rsid w:val="00302D0B"/>
    <w:rsid w:val="00304507"/>
    <w:rsid w:val="00304C07"/>
    <w:rsid w:val="00312161"/>
    <w:rsid w:val="0031378E"/>
    <w:rsid w:val="00317C96"/>
    <w:rsid w:val="003270C9"/>
    <w:rsid w:val="0033198E"/>
    <w:rsid w:val="003349EF"/>
    <w:rsid w:val="0033561F"/>
    <w:rsid w:val="00377CD5"/>
    <w:rsid w:val="003819FD"/>
    <w:rsid w:val="003A0A3B"/>
    <w:rsid w:val="003A2021"/>
    <w:rsid w:val="003A2622"/>
    <w:rsid w:val="003A30C8"/>
    <w:rsid w:val="003A3DED"/>
    <w:rsid w:val="003A4B6F"/>
    <w:rsid w:val="003B1EE2"/>
    <w:rsid w:val="003B5312"/>
    <w:rsid w:val="003C2443"/>
    <w:rsid w:val="003D1AF7"/>
    <w:rsid w:val="003E0077"/>
    <w:rsid w:val="003E2675"/>
    <w:rsid w:val="003E6324"/>
    <w:rsid w:val="003E6BFB"/>
    <w:rsid w:val="003F48C9"/>
    <w:rsid w:val="0040144D"/>
    <w:rsid w:val="00412724"/>
    <w:rsid w:val="004138A4"/>
    <w:rsid w:val="00414233"/>
    <w:rsid w:val="0041665F"/>
    <w:rsid w:val="004228BA"/>
    <w:rsid w:val="0042418F"/>
    <w:rsid w:val="004307F9"/>
    <w:rsid w:val="0043361D"/>
    <w:rsid w:val="004336E9"/>
    <w:rsid w:val="00441E53"/>
    <w:rsid w:val="00442DD2"/>
    <w:rsid w:val="00451CFB"/>
    <w:rsid w:val="00454A49"/>
    <w:rsid w:val="00456EBA"/>
    <w:rsid w:val="004600D1"/>
    <w:rsid w:val="0046166F"/>
    <w:rsid w:val="004630A0"/>
    <w:rsid w:val="00470D97"/>
    <w:rsid w:val="0048016F"/>
    <w:rsid w:val="00482454"/>
    <w:rsid w:val="004831D3"/>
    <w:rsid w:val="00483EDB"/>
    <w:rsid w:val="00490576"/>
    <w:rsid w:val="004917C2"/>
    <w:rsid w:val="00492F2F"/>
    <w:rsid w:val="0049671E"/>
    <w:rsid w:val="004B4277"/>
    <w:rsid w:val="004B5818"/>
    <w:rsid w:val="004C7CFE"/>
    <w:rsid w:val="004D1060"/>
    <w:rsid w:val="004D5115"/>
    <w:rsid w:val="004D5C9A"/>
    <w:rsid w:val="004D5DA5"/>
    <w:rsid w:val="004E6111"/>
    <w:rsid w:val="004F140D"/>
    <w:rsid w:val="004F34CD"/>
    <w:rsid w:val="00504AE1"/>
    <w:rsid w:val="0051227D"/>
    <w:rsid w:val="00515908"/>
    <w:rsid w:val="005160C3"/>
    <w:rsid w:val="00521F90"/>
    <w:rsid w:val="0052215C"/>
    <w:rsid w:val="005233E4"/>
    <w:rsid w:val="0053100F"/>
    <w:rsid w:val="005417FB"/>
    <w:rsid w:val="00551A8D"/>
    <w:rsid w:val="00552EC4"/>
    <w:rsid w:val="00573EFC"/>
    <w:rsid w:val="00573F7D"/>
    <w:rsid w:val="0057546D"/>
    <w:rsid w:val="00580C11"/>
    <w:rsid w:val="00581D7C"/>
    <w:rsid w:val="005910BF"/>
    <w:rsid w:val="005A41F2"/>
    <w:rsid w:val="005B176D"/>
    <w:rsid w:val="005D174B"/>
    <w:rsid w:val="005D4F8A"/>
    <w:rsid w:val="005D7B46"/>
    <w:rsid w:val="005E086C"/>
    <w:rsid w:val="005E2B7A"/>
    <w:rsid w:val="005E47F6"/>
    <w:rsid w:val="005E5934"/>
    <w:rsid w:val="005F1F40"/>
    <w:rsid w:val="005F3D37"/>
    <w:rsid w:val="005F729D"/>
    <w:rsid w:val="005F7F49"/>
    <w:rsid w:val="00620B21"/>
    <w:rsid w:val="00621451"/>
    <w:rsid w:val="00622A16"/>
    <w:rsid w:val="006324CC"/>
    <w:rsid w:val="00632AF1"/>
    <w:rsid w:val="006330C8"/>
    <w:rsid w:val="0063540A"/>
    <w:rsid w:val="0063662E"/>
    <w:rsid w:val="00642A4A"/>
    <w:rsid w:val="006502FA"/>
    <w:rsid w:val="00650AAC"/>
    <w:rsid w:val="00655A3B"/>
    <w:rsid w:val="00660202"/>
    <w:rsid w:val="0066337C"/>
    <w:rsid w:val="0066667B"/>
    <w:rsid w:val="00667E82"/>
    <w:rsid w:val="00676CF6"/>
    <w:rsid w:val="00684506"/>
    <w:rsid w:val="006956F2"/>
    <w:rsid w:val="0069585B"/>
    <w:rsid w:val="006A0B7C"/>
    <w:rsid w:val="006A2C09"/>
    <w:rsid w:val="006A5C6F"/>
    <w:rsid w:val="006B77E6"/>
    <w:rsid w:val="006B7B3D"/>
    <w:rsid w:val="006C0AB6"/>
    <w:rsid w:val="006C36FE"/>
    <w:rsid w:val="006C3A52"/>
    <w:rsid w:val="006D6267"/>
    <w:rsid w:val="006E4AE6"/>
    <w:rsid w:val="006F330F"/>
    <w:rsid w:val="006F7C61"/>
    <w:rsid w:val="00702C3D"/>
    <w:rsid w:val="0072174A"/>
    <w:rsid w:val="00724A9A"/>
    <w:rsid w:val="00724EE2"/>
    <w:rsid w:val="00731322"/>
    <w:rsid w:val="007370A5"/>
    <w:rsid w:val="00737129"/>
    <w:rsid w:val="007413F0"/>
    <w:rsid w:val="00742A10"/>
    <w:rsid w:val="0075023A"/>
    <w:rsid w:val="0075182F"/>
    <w:rsid w:val="007520DE"/>
    <w:rsid w:val="007533A4"/>
    <w:rsid w:val="007621C9"/>
    <w:rsid w:val="00762664"/>
    <w:rsid w:val="007635F3"/>
    <w:rsid w:val="00772D16"/>
    <w:rsid w:val="00793251"/>
    <w:rsid w:val="00797A20"/>
    <w:rsid w:val="00797B70"/>
    <w:rsid w:val="007A1F6C"/>
    <w:rsid w:val="007A29AE"/>
    <w:rsid w:val="007A46FC"/>
    <w:rsid w:val="007B4C36"/>
    <w:rsid w:val="007B5EE0"/>
    <w:rsid w:val="007C2B83"/>
    <w:rsid w:val="007C4AB8"/>
    <w:rsid w:val="007D0EAD"/>
    <w:rsid w:val="007D778F"/>
    <w:rsid w:val="007E2DD2"/>
    <w:rsid w:val="007F1D73"/>
    <w:rsid w:val="007F7896"/>
    <w:rsid w:val="008118E4"/>
    <w:rsid w:val="00813D92"/>
    <w:rsid w:val="008153A5"/>
    <w:rsid w:val="00826AB1"/>
    <w:rsid w:val="00835F0F"/>
    <w:rsid w:val="00850EF9"/>
    <w:rsid w:val="008510E0"/>
    <w:rsid w:val="00851B0F"/>
    <w:rsid w:val="008530E8"/>
    <w:rsid w:val="008561C3"/>
    <w:rsid w:val="00865421"/>
    <w:rsid w:val="008804EF"/>
    <w:rsid w:val="00887086"/>
    <w:rsid w:val="00890568"/>
    <w:rsid w:val="008914F7"/>
    <w:rsid w:val="00892C41"/>
    <w:rsid w:val="00894616"/>
    <w:rsid w:val="00895979"/>
    <w:rsid w:val="00896BA8"/>
    <w:rsid w:val="00896FDC"/>
    <w:rsid w:val="008B2DFB"/>
    <w:rsid w:val="008C3FB1"/>
    <w:rsid w:val="008D4F6E"/>
    <w:rsid w:val="008D6628"/>
    <w:rsid w:val="008E0711"/>
    <w:rsid w:val="008E0CDA"/>
    <w:rsid w:val="008E630C"/>
    <w:rsid w:val="0090093C"/>
    <w:rsid w:val="0090418D"/>
    <w:rsid w:val="009077F5"/>
    <w:rsid w:val="009213E1"/>
    <w:rsid w:val="0093126B"/>
    <w:rsid w:val="00932CC5"/>
    <w:rsid w:val="00933DC2"/>
    <w:rsid w:val="00935CE5"/>
    <w:rsid w:val="0094489F"/>
    <w:rsid w:val="00950FE3"/>
    <w:rsid w:val="009608D5"/>
    <w:rsid w:val="00961EAA"/>
    <w:rsid w:val="00963455"/>
    <w:rsid w:val="009638D2"/>
    <w:rsid w:val="00966A51"/>
    <w:rsid w:val="00971470"/>
    <w:rsid w:val="00972D20"/>
    <w:rsid w:val="009730C6"/>
    <w:rsid w:val="00976F2C"/>
    <w:rsid w:val="00987C2F"/>
    <w:rsid w:val="00995804"/>
    <w:rsid w:val="0099597E"/>
    <w:rsid w:val="00997817"/>
    <w:rsid w:val="009A376A"/>
    <w:rsid w:val="009A48D6"/>
    <w:rsid w:val="009B0629"/>
    <w:rsid w:val="009B0C7A"/>
    <w:rsid w:val="009B2379"/>
    <w:rsid w:val="009B32A9"/>
    <w:rsid w:val="009B41E9"/>
    <w:rsid w:val="009B4565"/>
    <w:rsid w:val="009B7AA7"/>
    <w:rsid w:val="009C46AC"/>
    <w:rsid w:val="009C5CA8"/>
    <w:rsid w:val="009C6417"/>
    <w:rsid w:val="009D176E"/>
    <w:rsid w:val="009D75DB"/>
    <w:rsid w:val="009E13EE"/>
    <w:rsid w:val="009E5EF9"/>
    <w:rsid w:val="009E6E78"/>
    <w:rsid w:val="009F1792"/>
    <w:rsid w:val="00A16DD5"/>
    <w:rsid w:val="00A171C4"/>
    <w:rsid w:val="00A22984"/>
    <w:rsid w:val="00A26527"/>
    <w:rsid w:val="00A44F5A"/>
    <w:rsid w:val="00A467B6"/>
    <w:rsid w:val="00A50AF5"/>
    <w:rsid w:val="00A50D61"/>
    <w:rsid w:val="00A669D6"/>
    <w:rsid w:val="00A74913"/>
    <w:rsid w:val="00A80C4D"/>
    <w:rsid w:val="00A8328B"/>
    <w:rsid w:val="00A84A48"/>
    <w:rsid w:val="00A93B9C"/>
    <w:rsid w:val="00AA3A85"/>
    <w:rsid w:val="00AA7611"/>
    <w:rsid w:val="00AC2A70"/>
    <w:rsid w:val="00AE3333"/>
    <w:rsid w:val="00AE61CE"/>
    <w:rsid w:val="00AE6809"/>
    <w:rsid w:val="00AE68BD"/>
    <w:rsid w:val="00AF1D1C"/>
    <w:rsid w:val="00AF36A7"/>
    <w:rsid w:val="00AF3AC3"/>
    <w:rsid w:val="00AF7548"/>
    <w:rsid w:val="00AF7BF5"/>
    <w:rsid w:val="00B0036C"/>
    <w:rsid w:val="00B03CDB"/>
    <w:rsid w:val="00B06C0D"/>
    <w:rsid w:val="00B13520"/>
    <w:rsid w:val="00B177A3"/>
    <w:rsid w:val="00B21887"/>
    <w:rsid w:val="00B25955"/>
    <w:rsid w:val="00B3031A"/>
    <w:rsid w:val="00B30ECF"/>
    <w:rsid w:val="00B40138"/>
    <w:rsid w:val="00B4255D"/>
    <w:rsid w:val="00B432E8"/>
    <w:rsid w:val="00B47AF6"/>
    <w:rsid w:val="00B50F57"/>
    <w:rsid w:val="00B52709"/>
    <w:rsid w:val="00B573F8"/>
    <w:rsid w:val="00B61907"/>
    <w:rsid w:val="00B62A16"/>
    <w:rsid w:val="00B64B56"/>
    <w:rsid w:val="00B678E0"/>
    <w:rsid w:val="00B72E56"/>
    <w:rsid w:val="00B80259"/>
    <w:rsid w:val="00B82253"/>
    <w:rsid w:val="00B82F46"/>
    <w:rsid w:val="00B82FAF"/>
    <w:rsid w:val="00B85D17"/>
    <w:rsid w:val="00B9012E"/>
    <w:rsid w:val="00B91C5E"/>
    <w:rsid w:val="00B924BD"/>
    <w:rsid w:val="00BA0458"/>
    <w:rsid w:val="00BA3C24"/>
    <w:rsid w:val="00BA6DC0"/>
    <w:rsid w:val="00BB5B9D"/>
    <w:rsid w:val="00BB6F0F"/>
    <w:rsid w:val="00BB7BD4"/>
    <w:rsid w:val="00BC5D95"/>
    <w:rsid w:val="00BC746B"/>
    <w:rsid w:val="00BD15B7"/>
    <w:rsid w:val="00BF599F"/>
    <w:rsid w:val="00BF7D46"/>
    <w:rsid w:val="00C0196D"/>
    <w:rsid w:val="00C01D9C"/>
    <w:rsid w:val="00C042E0"/>
    <w:rsid w:val="00C04E7D"/>
    <w:rsid w:val="00C15175"/>
    <w:rsid w:val="00C23E5D"/>
    <w:rsid w:val="00C23F18"/>
    <w:rsid w:val="00C3197F"/>
    <w:rsid w:val="00C366C1"/>
    <w:rsid w:val="00C379E2"/>
    <w:rsid w:val="00C45082"/>
    <w:rsid w:val="00C5054A"/>
    <w:rsid w:val="00C53718"/>
    <w:rsid w:val="00C54F3F"/>
    <w:rsid w:val="00C55B6C"/>
    <w:rsid w:val="00C6134E"/>
    <w:rsid w:val="00C65581"/>
    <w:rsid w:val="00C70134"/>
    <w:rsid w:val="00C7077A"/>
    <w:rsid w:val="00C71110"/>
    <w:rsid w:val="00C729FB"/>
    <w:rsid w:val="00C767EE"/>
    <w:rsid w:val="00C7682D"/>
    <w:rsid w:val="00C77BDB"/>
    <w:rsid w:val="00CB7EEF"/>
    <w:rsid w:val="00CE44B8"/>
    <w:rsid w:val="00CF1C3E"/>
    <w:rsid w:val="00CF272C"/>
    <w:rsid w:val="00CF40AD"/>
    <w:rsid w:val="00CF542E"/>
    <w:rsid w:val="00CF5AC7"/>
    <w:rsid w:val="00CF6F30"/>
    <w:rsid w:val="00D03F6A"/>
    <w:rsid w:val="00D06CF8"/>
    <w:rsid w:val="00D22D14"/>
    <w:rsid w:val="00D25BA8"/>
    <w:rsid w:val="00D30F08"/>
    <w:rsid w:val="00D30F88"/>
    <w:rsid w:val="00D36197"/>
    <w:rsid w:val="00D401CB"/>
    <w:rsid w:val="00D4755A"/>
    <w:rsid w:val="00D47802"/>
    <w:rsid w:val="00D50FA7"/>
    <w:rsid w:val="00D544B0"/>
    <w:rsid w:val="00D57145"/>
    <w:rsid w:val="00D64B0F"/>
    <w:rsid w:val="00D67CFE"/>
    <w:rsid w:val="00D76744"/>
    <w:rsid w:val="00D8449D"/>
    <w:rsid w:val="00D94D31"/>
    <w:rsid w:val="00DA12B7"/>
    <w:rsid w:val="00DA43BA"/>
    <w:rsid w:val="00DA55F2"/>
    <w:rsid w:val="00DC2CFC"/>
    <w:rsid w:val="00DC56F9"/>
    <w:rsid w:val="00DC6081"/>
    <w:rsid w:val="00DD0703"/>
    <w:rsid w:val="00DD3C36"/>
    <w:rsid w:val="00DD4C93"/>
    <w:rsid w:val="00DF263E"/>
    <w:rsid w:val="00DF2944"/>
    <w:rsid w:val="00DF6D31"/>
    <w:rsid w:val="00DF74D1"/>
    <w:rsid w:val="00E04EF9"/>
    <w:rsid w:val="00E07512"/>
    <w:rsid w:val="00E11D83"/>
    <w:rsid w:val="00E14053"/>
    <w:rsid w:val="00E16BF1"/>
    <w:rsid w:val="00E16CC8"/>
    <w:rsid w:val="00E20B65"/>
    <w:rsid w:val="00E246BA"/>
    <w:rsid w:val="00E322EE"/>
    <w:rsid w:val="00E34C21"/>
    <w:rsid w:val="00E51AFE"/>
    <w:rsid w:val="00E52C4C"/>
    <w:rsid w:val="00E571D1"/>
    <w:rsid w:val="00E57635"/>
    <w:rsid w:val="00E61111"/>
    <w:rsid w:val="00E61F4F"/>
    <w:rsid w:val="00E64ADC"/>
    <w:rsid w:val="00E65F9E"/>
    <w:rsid w:val="00E66402"/>
    <w:rsid w:val="00E672F9"/>
    <w:rsid w:val="00E71AC1"/>
    <w:rsid w:val="00E753E8"/>
    <w:rsid w:val="00E91E1D"/>
    <w:rsid w:val="00EB4C92"/>
    <w:rsid w:val="00EB5489"/>
    <w:rsid w:val="00EC684F"/>
    <w:rsid w:val="00ED079F"/>
    <w:rsid w:val="00EE7ECC"/>
    <w:rsid w:val="00EF2ED5"/>
    <w:rsid w:val="00EF48D8"/>
    <w:rsid w:val="00F04C2A"/>
    <w:rsid w:val="00F07513"/>
    <w:rsid w:val="00F20F4E"/>
    <w:rsid w:val="00F21385"/>
    <w:rsid w:val="00F22346"/>
    <w:rsid w:val="00F24945"/>
    <w:rsid w:val="00F27B60"/>
    <w:rsid w:val="00F32B71"/>
    <w:rsid w:val="00F33B94"/>
    <w:rsid w:val="00F41B10"/>
    <w:rsid w:val="00F44D94"/>
    <w:rsid w:val="00F47170"/>
    <w:rsid w:val="00F52B0B"/>
    <w:rsid w:val="00F56FE2"/>
    <w:rsid w:val="00F606E7"/>
    <w:rsid w:val="00F6466F"/>
    <w:rsid w:val="00F64DAF"/>
    <w:rsid w:val="00F74DE5"/>
    <w:rsid w:val="00F771E0"/>
    <w:rsid w:val="00F83F8E"/>
    <w:rsid w:val="00F86208"/>
    <w:rsid w:val="00F87F12"/>
    <w:rsid w:val="00FA5322"/>
    <w:rsid w:val="00FA69E4"/>
    <w:rsid w:val="00FB02C4"/>
    <w:rsid w:val="00FB2401"/>
    <w:rsid w:val="00FB485B"/>
    <w:rsid w:val="00FB7A70"/>
    <w:rsid w:val="00FC15D9"/>
    <w:rsid w:val="00FC5C59"/>
    <w:rsid w:val="00FD02ED"/>
    <w:rsid w:val="00FD24CA"/>
    <w:rsid w:val="00FD3BFE"/>
    <w:rsid w:val="00FD5443"/>
    <w:rsid w:val="00FE0450"/>
    <w:rsid w:val="00FE17C2"/>
    <w:rsid w:val="00FE1FF8"/>
    <w:rsid w:val="00FF1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uiPriority w:val="99"/>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 w:type="paragraph" w:styleId="FootnoteText">
    <w:name w:val="footnote text"/>
    <w:basedOn w:val="Normal"/>
    <w:link w:val="FootnoteTextChar"/>
    <w:rsid w:val="00150F9B"/>
    <w:rPr>
      <w:rFonts w:asciiTheme="minorHAnsi" w:eastAsiaTheme="minorEastAsia" w:hAnsiTheme="minorHAnsi" w:cstheme="minorBidi"/>
      <w:lang w:val="lv-LV" w:eastAsia="zh-CN" w:bidi="ar-SA"/>
    </w:rPr>
  </w:style>
  <w:style w:type="character" w:customStyle="1" w:styleId="FootnoteTextChar">
    <w:name w:val="Footnote Text Char"/>
    <w:basedOn w:val="DefaultParagraphFont"/>
    <w:link w:val="FootnoteText"/>
    <w:rsid w:val="00150F9B"/>
    <w:rPr>
      <w:rFonts w:asciiTheme="minorHAnsi" w:eastAsiaTheme="minorEastAsia" w:hAnsiTheme="minorHAnsi" w:cstheme="minorBidi"/>
      <w:lang w:eastAsia="zh-CN"/>
    </w:rPr>
  </w:style>
  <w:style w:type="character" w:styleId="FootnoteReference">
    <w:name w:val="footnote reference"/>
    <w:basedOn w:val="DefaultParagraphFont"/>
    <w:rsid w:val="00150F9B"/>
    <w:rPr>
      <w:vertAlign w:val="superscript"/>
    </w:rPr>
  </w:style>
  <w:style w:type="paragraph" w:customStyle="1" w:styleId="Default">
    <w:name w:val="Default"/>
    <w:rsid w:val="00150F9B"/>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uiPriority w:val="99"/>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 w:type="paragraph" w:customStyle="1" w:styleId="naisc">
    <w:name w:val="naisc"/>
    <w:basedOn w:val="Normal"/>
    <w:rsid w:val="00724A9A"/>
    <w:pPr>
      <w:spacing w:before="100" w:after="100"/>
      <w:jc w:val="center"/>
    </w:pPr>
    <w:rPr>
      <w:rFonts w:eastAsia="Arial Unicode MS" w:cs="Times New Roman"/>
      <w:sz w:val="26"/>
      <w:lang w:val="en-GB" w:bidi="ar-SA"/>
    </w:rPr>
  </w:style>
  <w:style w:type="paragraph" w:styleId="Revision">
    <w:name w:val="Revision"/>
    <w:hidden/>
    <w:uiPriority w:val="99"/>
    <w:semiHidden/>
    <w:rsid w:val="008C3FB1"/>
    <w:rPr>
      <w:rFonts w:cs="Arial Unicode MS"/>
      <w:lang w:val="en-AU" w:eastAsia="en-US" w:bidi="lo-LA"/>
    </w:rPr>
  </w:style>
  <w:style w:type="paragraph" w:styleId="FootnoteText">
    <w:name w:val="footnote text"/>
    <w:basedOn w:val="Normal"/>
    <w:link w:val="FootnoteTextChar"/>
    <w:rsid w:val="00150F9B"/>
    <w:rPr>
      <w:rFonts w:asciiTheme="minorHAnsi" w:eastAsiaTheme="minorEastAsia" w:hAnsiTheme="minorHAnsi" w:cstheme="minorBidi"/>
      <w:lang w:val="lv-LV" w:eastAsia="zh-CN" w:bidi="ar-SA"/>
    </w:rPr>
  </w:style>
  <w:style w:type="character" w:customStyle="1" w:styleId="FootnoteTextChar">
    <w:name w:val="Footnote Text Char"/>
    <w:basedOn w:val="DefaultParagraphFont"/>
    <w:link w:val="FootnoteText"/>
    <w:rsid w:val="00150F9B"/>
    <w:rPr>
      <w:rFonts w:asciiTheme="minorHAnsi" w:eastAsiaTheme="minorEastAsia" w:hAnsiTheme="minorHAnsi" w:cstheme="minorBidi"/>
      <w:lang w:eastAsia="zh-CN"/>
    </w:rPr>
  </w:style>
  <w:style w:type="character" w:styleId="FootnoteReference">
    <w:name w:val="footnote reference"/>
    <w:basedOn w:val="DefaultParagraphFont"/>
    <w:rsid w:val="00150F9B"/>
    <w:rPr>
      <w:vertAlign w:val="superscript"/>
    </w:rPr>
  </w:style>
  <w:style w:type="paragraph" w:customStyle="1" w:styleId="Default">
    <w:name w:val="Default"/>
    <w:rsid w:val="00150F9B"/>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23310444">
      <w:bodyDiv w:val="1"/>
      <w:marLeft w:val="0"/>
      <w:marRight w:val="0"/>
      <w:marTop w:val="0"/>
      <w:marBottom w:val="0"/>
      <w:divBdr>
        <w:top w:val="none" w:sz="0" w:space="0" w:color="auto"/>
        <w:left w:val="none" w:sz="0" w:space="0" w:color="auto"/>
        <w:bottom w:val="none" w:sz="0" w:space="0" w:color="auto"/>
        <w:right w:val="none" w:sz="0" w:space="0" w:color="auto"/>
      </w:divBdr>
    </w:div>
    <w:div w:id="14572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s.Mezuli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CBD6-B17F-4DA4-A33F-0BF5F5D6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E033EC78.dotm</Template>
  <TotalTime>6</TotalTime>
  <Pages>5</Pages>
  <Words>1030</Words>
  <Characters>7857</Characters>
  <Application>Microsoft Office Word</Application>
  <DocSecurity>0</DocSecurity>
  <Lines>270</Lines>
  <Paragraphs>89</Paragraphs>
  <ScaleCrop>false</ScaleCrop>
  <HeadingPairs>
    <vt:vector size="2" baseType="variant">
      <vt:variant>
        <vt:lpstr>Title</vt:lpstr>
      </vt:variant>
      <vt:variant>
        <vt:i4>1</vt:i4>
      </vt:variant>
    </vt:vector>
  </HeadingPairs>
  <TitlesOfParts>
    <vt:vector size="1" baseType="lpstr">
      <vt:lpstr>Likumprojekta „Grozījumi Aizsardzības un drošības jomas iepirkumu likumā” (VSS-1228) sākotnējās ietekmes novērtējuma ziņojums (anotācija)</vt:lpstr>
    </vt:vector>
  </TitlesOfParts>
  <Manager>Aizsardzības ministrija</Manager>
  <Company>Aizsardzības ministrija</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Aizsardzības un drošības jomas iepirkumu likumā” (VSS-1228) sākotnējās ietekmes novērtējuma ziņojums (anotācija)</dc:title>
  <dc:subject>anotācija</dc:subject>
  <dc:creator>Mārtiņš Mežulis</dc:creator>
  <dc:description>Martins.Mezulis@mod.gov.lv; 67335166</dc:description>
  <cp:lastModifiedBy>Martins Mezulis</cp:lastModifiedBy>
  <cp:revision>6</cp:revision>
  <cp:lastPrinted>2017-04-18T07:47:00Z</cp:lastPrinted>
  <dcterms:created xsi:type="dcterms:W3CDTF">2017-03-06T12:21:00Z</dcterms:created>
  <dcterms:modified xsi:type="dcterms:W3CDTF">2017-04-18T07:51:00Z</dcterms:modified>
</cp:coreProperties>
</file>