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942" w:rsidRPr="00230942" w:rsidRDefault="00230942" w:rsidP="00230942">
      <w:pPr>
        <w:widowControl w:val="0"/>
        <w:jc w:val="right"/>
        <w:rPr>
          <w:i/>
        </w:rPr>
      </w:pPr>
      <w:r w:rsidRPr="00230942">
        <w:rPr>
          <w:i/>
        </w:rPr>
        <w:t>Projekts</w:t>
      </w:r>
    </w:p>
    <w:p w:rsidR="00230942" w:rsidRPr="00230942" w:rsidRDefault="00230942" w:rsidP="00230942">
      <w:pPr>
        <w:widowControl w:val="0"/>
        <w:jc w:val="right"/>
        <w:rPr>
          <w:i/>
        </w:rPr>
      </w:pPr>
    </w:p>
    <w:p w:rsidR="00230942" w:rsidRPr="00230942" w:rsidRDefault="00230942" w:rsidP="00230942">
      <w:pPr>
        <w:widowControl w:val="0"/>
        <w:jc w:val="right"/>
        <w:rPr>
          <w:i/>
        </w:rPr>
      </w:pPr>
    </w:p>
    <w:p w:rsidR="00230942" w:rsidRPr="00230942" w:rsidRDefault="00230942" w:rsidP="00230942">
      <w:pPr>
        <w:widowControl w:val="0"/>
        <w:spacing w:before="40"/>
        <w:jc w:val="center"/>
        <w:rPr>
          <w:sz w:val="28"/>
          <w:szCs w:val="28"/>
        </w:rPr>
      </w:pPr>
      <w:r w:rsidRPr="00230942">
        <w:rPr>
          <w:sz w:val="28"/>
          <w:szCs w:val="28"/>
        </w:rPr>
        <w:t>LATVIJAS REPUBLIKAS MINISTRU KABINETS</w:t>
      </w:r>
    </w:p>
    <w:p w:rsidR="00230942" w:rsidRPr="00230942" w:rsidRDefault="00230942" w:rsidP="00230942">
      <w:pPr>
        <w:widowControl w:val="0"/>
        <w:spacing w:before="40"/>
        <w:jc w:val="center"/>
        <w:rPr>
          <w:sz w:val="28"/>
          <w:szCs w:val="28"/>
        </w:rPr>
      </w:pPr>
      <w:r w:rsidRPr="00230942">
        <w:rPr>
          <w:sz w:val="28"/>
          <w:szCs w:val="28"/>
        </w:rPr>
        <w:t>201</w:t>
      </w:r>
      <w:r>
        <w:rPr>
          <w:sz w:val="28"/>
          <w:szCs w:val="28"/>
        </w:rPr>
        <w:t>7</w:t>
      </w:r>
      <w:r w:rsidRPr="00230942">
        <w:rPr>
          <w:sz w:val="28"/>
          <w:szCs w:val="28"/>
        </w:rPr>
        <w:t xml:space="preserve">. gada__________ </w:t>
      </w:r>
      <w:r w:rsidRPr="00230942">
        <w:rPr>
          <w:sz w:val="28"/>
          <w:szCs w:val="28"/>
        </w:rPr>
        <w:tab/>
      </w:r>
      <w:r w:rsidRPr="00230942">
        <w:rPr>
          <w:sz w:val="28"/>
          <w:szCs w:val="28"/>
        </w:rPr>
        <w:tab/>
      </w:r>
      <w:r w:rsidRPr="00230942">
        <w:rPr>
          <w:sz w:val="28"/>
          <w:szCs w:val="28"/>
        </w:rPr>
        <w:tab/>
      </w:r>
      <w:r w:rsidRPr="00230942">
        <w:rPr>
          <w:sz w:val="28"/>
          <w:szCs w:val="28"/>
        </w:rPr>
        <w:tab/>
      </w:r>
      <w:r w:rsidRPr="00230942">
        <w:rPr>
          <w:sz w:val="28"/>
          <w:szCs w:val="28"/>
        </w:rPr>
        <w:tab/>
      </w:r>
      <w:r w:rsidRPr="00230942">
        <w:rPr>
          <w:sz w:val="28"/>
          <w:szCs w:val="28"/>
        </w:rPr>
        <w:tab/>
        <w:t>Noteikumi Nr.___</w:t>
      </w:r>
    </w:p>
    <w:p w:rsidR="00230942" w:rsidRPr="00230942" w:rsidRDefault="00230942" w:rsidP="00230942">
      <w:pPr>
        <w:widowControl w:val="0"/>
        <w:tabs>
          <w:tab w:val="left" w:pos="426"/>
          <w:tab w:val="left" w:pos="6946"/>
        </w:tabs>
        <w:spacing w:before="40"/>
        <w:rPr>
          <w:sz w:val="28"/>
          <w:szCs w:val="28"/>
        </w:rPr>
      </w:pPr>
      <w:r w:rsidRPr="00230942">
        <w:rPr>
          <w:sz w:val="28"/>
          <w:szCs w:val="28"/>
        </w:rPr>
        <w:tab/>
        <w:t>Rīga</w:t>
      </w:r>
      <w:r w:rsidRPr="00230942">
        <w:rPr>
          <w:sz w:val="28"/>
          <w:szCs w:val="28"/>
        </w:rPr>
        <w:tab/>
        <w:t>(prot.Nr.__  __.§)</w:t>
      </w:r>
    </w:p>
    <w:p w:rsidR="00230942" w:rsidRPr="00230942" w:rsidRDefault="00230942" w:rsidP="00230942"/>
    <w:p w:rsidR="00230942" w:rsidRPr="00230942" w:rsidRDefault="00230942" w:rsidP="00230942">
      <w:pPr>
        <w:jc w:val="center"/>
        <w:rPr>
          <w:b/>
          <w:bCs/>
          <w:sz w:val="28"/>
          <w:szCs w:val="28"/>
        </w:rPr>
      </w:pPr>
    </w:p>
    <w:p w:rsidR="00230942" w:rsidRPr="00230942" w:rsidRDefault="00230942" w:rsidP="00230942">
      <w:pPr>
        <w:shd w:val="clear" w:color="auto" w:fill="FFFFFF"/>
        <w:jc w:val="center"/>
        <w:rPr>
          <w:b/>
          <w:bCs/>
          <w:sz w:val="28"/>
          <w:szCs w:val="28"/>
          <w:lang w:eastAsia="lv-LV"/>
        </w:rPr>
      </w:pPr>
      <w:r w:rsidRPr="00230942">
        <w:rPr>
          <w:b/>
          <w:bCs/>
          <w:sz w:val="28"/>
          <w:szCs w:val="28"/>
          <w:lang w:eastAsia="lv-LV"/>
        </w:rPr>
        <w:t>Aizsargātā lietotāja pieslēguma ierīkošanas finansēšanas kārtība</w:t>
      </w:r>
    </w:p>
    <w:p w:rsidR="00230942" w:rsidRPr="00230942" w:rsidRDefault="00230942" w:rsidP="00230942">
      <w:pPr>
        <w:shd w:val="clear" w:color="auto" w:fill="FFFFFF"/>
        <w:jc w:val="right"/>
        <w:rPr>
          <w:b/>
          <w:bCs/>
          <w:sz w:val="28"/>
          <w:szCs w:val="28"/>
          <w:lang w:eastAsia="lv-LV"/>
        </w:rPr>
      </w:pPr>
    </w:p>
    <w:p w:rsidR="00230942" w:rsidRPr="00230942" w:rsidRDefault="00230942" w:rsidP="00230942">
      <w:pPr>
        <w:shd w:val="clear" w:color="auto" w:fill="FFFFFF"/>
        <w:jc w:val="right"/>
        <w:rPr>
          <w:i/>
          <w:iCs/>
          <w:sz w:val="28"/>
          <w:szCs w:val="28"/>
          <w:lang w:eastAsia="lv-LV"/>
        </w:rPr>
      </w:pPr>
      <w:r w:rsidRPr="00230942">
        <w:rPr>
          <w:i/>
          <w:iCs/>
          <w:sz w:val="28"/>
          <w:szCs w:val="28"/>
          <w:lang w:eastAsia="lv-LV"/>
        </w:rPr>
        <w:t>Izdoti saskaņā ar </w:t>
      </w:r>
      <w:hyperlink r:id="rId7" w:tgtFrame="_blank" w:history="1">
        <w:r w:rsidRPr="00230942">
          <w:rPr>
            <w:i/>
            <w:iCs/>
            <w:sz w:val="28"/>
            <w:szCs w:val="28"/>
            <w:lang w:eastAsia="lv-LV"/>
          </w:rPr>
          <w:t>Elektroenerģijas tirgus likuma</w:t>
        </w:r>
      </w:hyperlink>
      <w:r w:rsidRPr="00230942">
        <w:rPr>
          <w:i/>
          <w:iCs/>
          <w:sz w:val="28"/>
          <w:szCs w:val="28"/>
          <w:lang w:eastAsia="lv-LV"/>
        </w:rPr>
        <w:t xml:space="preserve"> 9.panta </w:t>
      </w:r>
      <w:r w:rsidRPr="00230942">
        <w:rPr>
          <w:i/>
          <w:sz w:val="28"/>
          <w:szCs w:val="28"/>
        </w:rPr>
        <w:t>2</w:t>
      </w:r>
      <w:r w:rsidRPr="00230942">
        <w:rPr>
          <w:i/>
          <w:sz w:val="28"/>
          <w:szCs w:val="28"/>
          <w:vertAlign w:val="superscript"/>
        </w:rPr>
        <w:t>3</w:t>
      </w:r>
      <w:r w:rsidRPr="00230942">
        <w:rPr>
          <w:i/>
          <w:sz w:val="28"/>
          <w:szCs w:val="28"/>
        </w:rPr>
        <w:t>daļu</w:t>
      </w:r>
      <w:r w:rsidRPr="00230942">
        <w:rPr>
          <w:i/>
          <w:iCs/>
          <w:sz w:val="28"/>
          <w:szCs w:val="28"/>
          <w:lang w:eastAsia="lv-LV"/>
        </w:rPr>
        <w:br/>
      </w:r>
    </w:p>
    <w:p w:rsidR="00230942" w:rsidRPr="00230942" w:rsidRDefault="00230942" w:rsidP="00230942">
      <w:pPr>
        <w:pStyle w:val="ListParagraph"/>
        <w:numPr>
          <w:ilvl w:val="0"/>
          <w:numId w:val="1"/>
        </w:numPr>
        <w:shd w:val="clear" w:color="auto" w:fill="FFFFFF"/>
        <w:spacing w:line="293" w:lineRule="atLeast"/>
        <w:contextualSpacing/>
        <w:jc w:val="both"/>
        <w:rPr>
          <w:sz w:val="28"/>
          <w:szCs w:val="28"/>
          <w:lang w:eastAsia="lv-LV"/>
        </w:rPr>
      </w:pPr>
      <w:bookmarkStart w:id="0" w:name="p1"/>
      <w:bookmarkStart w:id="1" w:name="p-596662"/>
      <w:bookmarkEnd w:id="0"/>
      <w:bookmarkEnd w:id="1"/>
      <w:r w:rsidRPr="00230942">
        <w:rPr>
          <w:sz w:val="28"/>
          <w:szCs w:val="28"/>
          <w:lang w:eastAsia="lv-LV"/>
        </w:rPr>
        <w:t>Noteikumi nosaka kārtību, kādā tiek finansēta pieslēguma ierīkošana aizsargātā lietotāja īpašumā esošam vienīgajam mājoklim.</w:t>
      </w:r>
    </w:p>
    <w:p w:rsidR="00230942" w:rsidRPr="00230942" w:rsidRDefault="00230942" w:rsidP="00230942">
      <w:pPr>
        <w:pStyle w:val="ListParagraph"/>
        <w:numPr>
          <w:ilvl w:val="0"/>
          <w:numId w:val="1"/>
        </w:numPr>
        <w:shd w:val="clear" w:color="auto" w:fill="FFFFFF"/>
        <w:spacing w:line="293" w:lineRule="atLeast"/>
        <w:contextualSpacing/>
        <w:jc w:val="both"/>
        <w:rPr>
          <w:sz w:val="28"/>
          <w:szCs w:val="28"/>
          <w:lang w:eastAsia="lv-LV"/>
        </w:rPr>
      </w:pPr>
      <w:r w:rsidRPr="00230942">
        <w:rPr>
          <w:sz w:val="28"/>
          <w:szCs w:val="28"/>
          <w:lang w:eastAsia="lv-LV"/>
        </w:rPr>
        <w:t>Atbilstoši šiem noteikumiem pieslēguma ierīkošana viena aizsargātā lietotāja īpašumā esošam vienīgajam mājoklim var tikt finansēta vienu reizi.</w:t>
      </w:r>
    </w:p>
    <w:p w:rsidR="00230942" w:rsidRPr="00230942" w:rsidRDefault="00230942" w:rsidP="00230942">
      <w:pPr>
        <w:pStyle w:val="ListParagraph"/>
        <w:numPr>
          <w:ilvl w:val="0"/>
          <w:numId w:val="1"/>
        </w:numPr>
        <w:shd w:val="clear" w:color="auto" w:fill="FFFFFF"/>
        <w:spacing w:line="293" w:lineRule="atLeast"/>
        <w:contextualSpacing/>
        <w:jc w:val="both"/>
        <w:rPr>
          <w:sz w:val="28"/>
          <w:szCs w:val="28"/>
          <w:lang w:eastAsia="lv-LV"/>
        </w:rPr>
      </w:pPr>
      <w:r w:rsidRPr="00230942">
        <w:rPr>
          <w:sz w:val="28"/>
          <w:szCs w:val="28"/>
          <w:lang w:eastAsia="lv-LV"/>
        </w:rPr>
        <w:t>Pieslēguma ierīkošana tiek finansēta atbilstoši šiem noteikumiem, ja pieslēdzamais objekts vienlaikus atbilst visiem sekojošajiem kritērijiem:</w:t>
      </w:r>
    </w:p>
    <w:p w:rsidR="00230942" w:rsidRPr="00230942" w:rsidRDefault="00230942" w:rsidP="00230942">
      <w:pPr>
        <w:pStyle w:val="ListParagraph"/>
        <w:numPr>
          <w:ilvl w:val="1"/>
          <w:numId w:val="1"/>
        </w:numPr>
        <w:shd w:val="clear" w:color="auto" w:fill="FFFFFF"/>
        <w:spacing w:line="293" w:lineRule="atLeast"/>
        <w:contextualSpacing/>
        <w:jc w:val="both"/>
        <w:rPr>
          <w:sz w:val="28"/>
          <w:szCs w:val="28"/>
          <w:lang w:eastAsia="lv-LV"/>
        </w:rPr>
      </w:pPr>
      <w:r w:rsidRPr="00230942">
        <w:rPr>
          <w:sz w:val="28"/>
          <w:szCs w:val="28"/>
          <w:lang w:eastAsia="lv-LV"/>
        </w:rPr>
        <w:t>Pieslēdzamais objekts ir aizsargātā lietotāja vienīgais nekustamais īpašums, kura īpašumtiesības ir nostiprinātas zemesgrāmatā;</w:t>
      </w:r>
    </w:p>
    <w:p w:rsidR="00230942" w:rsidRPr="00230942" w:rsidRDefault="00230942" w:rsidP="00230942">
      <w:pPr>
        <w:pStyle w:val="ListParagraph"/>
        <w:numPr>
          <w:ilvl w:val="1"/>
          <w:numId w:val="1"/>
        </w:numPr>
        <w:shd w:val="clear" w:color="auto" w:fill="FFFFFF"/>
        <w:spacing w:line="293" w:lineRule="atLeast"/>
        <w:contextualSpacing/>
        <w:jc w:val="both"/>
        <w:rPr>
          <w:sz w:val="28"/>
          <w:szCs w:val="28"/>
          <w:lang w:eastAsia="lv-LV"/>
        </w:rPr>
      </w:pPr>
      <w:r w:rsidRPr="00230942">
        <w:rPr>
          <w:sz w:val="28"/>
          <w:szCs w:val="28"/>
          <w:lang w:eastAsia="lv-LV"/>
        </w:rPr>
        <w:t xml:space="preserve">Pieslēdzamais objekts ir mājoklis; </w:t>
      </w:r>
    </w:p>
    <w:p w:rsidR="00230942" w:rsidRPr="00230942" w:rsidRDefault="00230942" w:rsidP="00230942">
      <w:pPr>
        <w:pStyle w:val="ListParagraph"/>
        <w:numPr>
          <w:ilvl w:val="1"/>
          <w:numId w:val="1"/>
        </w:numPr>
        <w:shd w:val="clear" w:color="auto" w:fill="FFFFFF"/>
        <w:spacing w:line="293" w:lineRule="atLeast"/>
        <w:contextualSpacing/>
        <w:jc w:val="both"/>
        <w:rPr>
          <w:sz w:val="28"/>
          <w:szCs w:val="28"/>
          <w:lang w:eastAsia="lv-LV"/>
        </w:rPr>
      </w:pPr>
      <w:r w:rsidRPr="00230942">
        <w:rPr>
          <w:sz w:val="28"/>
          <w:szCs w:val="28"/>
          <w:lang w:eastAsia="lv-LV"/>
        </w:rPr>
        <w:t>Aizsargātais lietotājs tajā ir deklarējis dzīves vietu un faktiski tajā pastāvīgi dzīvo vismaz 9 mēnešus gadā;</w:t>
      </w:r>
    </w:p>
    <w:p w:rsidR="00230942" w:rsidRPr="00230942" w:rsidRDefault="00230942" w:rsidP="00230942">
      <w:pPr>
        <w:pStyle w:val="ListParagraph"/>
        <w:numPr>
          <w:ilvl w:val="1"/>
          <w:numId w:val="1"/>
        </w:numPr>
        <w:shd w:val="clear" w:color="auto" w:fill="FFFFFF"/>
        <w:spacing w:line="293" w:lineRule="atLeast"/>
        <w:contextualSpacing/>
        <w:jc w:val="both"/>
        <w:rPr>
          <w:sz w:val="28"/>
          <w:szCs w:val="28"/>
          <w:lang w:eastAsia="lv-LV"/>
        </w:rPr>
      </w:pPr>
      <w:r w:rsidRPr="00230942">
        <w:rPr>
          <w:sz w:val="28"/>
          <w:szCs w:val="28"/>
          <w:lang w:eastAsia="lv-LV"/>
        </w:rPr>
        <w:t>Objektam iepriekš nav bijis pieslēgums pie sistēmas operatora elektrotīkla, kurš ierīko aizsargātā lietotāja pieslēgumu atbilstoši šajos noteikumos noteiktajai kārtībai;</w:t>
      </w:r>
    </w:p>
    <w:p w:rsidR="00230942" w:rsidRPr="00230942" w:rsidRDefault="00230942" w:rsidP="00230942">
      <w:pPr>
        <w:pStyle w:val="ListParagraph"/>
        <w:numPr>
          <w:ilvl w:val="1"/>
          <w:numId w:val="1"/>
        </w:numPr>
        <w:shd w:val="clear" w:color="auto" w:fill="FFFFFF"/>
        <w:spacing w:line="293" w:lineRule="atLeast"/>
        <w:contextualSpacing/>
        <w:jc w:val="both"/>
        <w:rPr>
          <w:sz w:val="28"/>
          <w:szCs w:val="28"/>
          <w:lang w:eastAsia="lv-LV"/>
        </w:rPr>
      </w:pPr>
      <w:r w:rsidRPr="00230942">
        <w:rPr>
          <w:sz w:val="28"/>
          <w:szCs w:val="28"/>
          <w:lang w:eastAsia="lv-LV"/>
        </w:rPr>
        <w:t>Pieslēguma spriegums nepārsniegs 400 voltus un ievada aizsardzības aparāta strāvas stiprums nepārsniegs 16 A;</w:t>
      </w:r>
    </w:p>
    <w:p w:rsidR="00230942" w:rsidRPr="00230942" w:rsidRDefault="00230942" w:rsidP="00230942">
      <w:pPr>
        <w:pStyle w:val="ListParagraph"/>
        <w:numPr>
          <w:ilvl w:val="1"/>
          <w:numId w:val="1"/>
        </w:numPr>
        <w:shd w:val="clear" w:color="auto" w:fill="FFFFFF"/>
        <w:spacing w:line="293" w:lineRule="atLeast"/>
        <w:contextualSpacing/>
        <w:jc w:val="both"/>
        <w:rPr>
          <w:sz w:val="28"/>
          <w:szCs w:val="28"/>
          <w:lang w:eastAsia="lv-LV"/>
        </w:rPr>
      </w:pPr>
      <w:r w:rsidRPr="00230942">
        <w:rPr>
          <w:sz w:val="28"/>
          <w:szCs w:val="28"/>
          <w:lang w:eastAsia="lv-LV"/>
        </w:rPr>
        <w:t>Objekts ir nodots ekspluatācijā vismaz 10 gadus pirms šo noteikumu spēkā stāšanās un ir aizsargātā lietotāja īpašumā vismaz 10 gadus.</w:t>
      </w:r>
    </w:p>
    <w:p w:rsidR="00230942" w:rsidRPr="00230942" w:rsidRDefault="00230942" w:rsidP="00230942">
      <w:pPr>
        <w:pStyle w:val="ListParagraph"/>
        <w:numPr>
          <w:ilvl w:val="0"/>
          <w:numId w:val="1"/>
        </w:numPr>
        <w:shd w:val="clear" w:color="auto" w:fill="FFFFFF"/>
        <w:spacing w:line="293" w:lineRule="atLeast"/>
        <w:contextualSpacing/>
        <w:jc w:val="both"/>
        <w:rPr>
          <w:sz w:val="28"/>
          <w:szCs w:val="28"/>
          <w:lang w:eastAsia="lv-LV"/>
        </w:rPr>
      </w:pPr>
      <w:r w:rsidRPr="00230942">
        <w:rPr>
          <w:sz w:val="28"/>
          <w:szCs w:val="28"/>
          <w:lang w:eastAsia="lv-LV"/>
        </w:rPr>
        <w:t>Šo noteikumu 3.punktā noteiktajiem kritērijiem atbilstošam objektam pieslēguma ierīkošanu finansē šādās daļās:</w:t>
      </w:r>
    </w:p>
    <w:p w:rsidR="00230942" w:rsidRPr="00230942" w:rsidRDefault="00230942" w:rsidP="00230942">
      <w:pPr>
        <w:pStyle w:val="ListParagraph"/>
        <w:numPr>
          <w:ilvl w:val="1"/>
          <w:numId w:val="1"/>
        </w:numPr>
        <w:shd w:val="clear" w:color="auto" w:fill="FFFFFF"/>
        <w:spacing w:line="293" w:lineRule="atLeast"/>
        <w:contextualSpacing/>
        <w:jc w:val="both"/>
        <w:rPr>
          <w:sz w:val="28"/>
          <w:szCs w:val="28"/>
          <w:lang w:eastAsia="lv-LV"/>
        </w:rPr>
      </w:pPr>
      <w:r w:rsidRPr="00230942">
        <w:rPr>
          <w:sz w:val="28"/>
          <w:szCs w:val="28"/>
          <w:lang w:eastAsia="lv-LV"/>
        </w:rPr>
        <w:t>Sadales sistēmas operators – 50%;</w:t>
      </w:r>
    </w:p>
    <w:p w:rsidR="00230942" w:rsidRPr="00230942" w:rsidRDefault="00230942" w:rsidP="00230942">
      <w:pPr>
        <w:pStyle w:val="ListParagraph"/>
        <w:numPr>
          <w:ilvl w:val="1"/>
          <w:numId w:val="1"/>
        </w:numPr>
        <w:shd w:val="clear" w:color="auto" w:fill="FFFFFF"/>
        <w:spacing w:line="293" w:lineRule="atLeast"/>
        <w:contextualSpacing/>
        <w:jc w:val="both"/>
        <w:rPr>
          <w:sz w:val="28"/>
          <w:szCs w:val="28"/>
          <w:lang w:eastAsia="lv-LV"/>
        </w:rPr>
      </w:pPr>
      <w:r w:rsidRPr="00230942">
        <w:rPr>
          <w:sz w:val="28"/>
          <w:szCs w:val="28"/>
          <w:lang w:eastAsia="lv-LV"/>
        </w:rPr>
        <w:t>Valsts budžets – 50%.</w:t>
      </w:r>
    </w:p>
    <w:p w:rsidR="00230942" w:rsidRPr="00230942" w:rsidRDefault="00230942" w:rsidP="00230942">
      <w:pPr>
        <w:pStyle w:val="ListParagraph"/>
        <w:numPr>
          <w:ilvl w:val="0"/>
          <w:numId w:val="1"/>
        </w:numPr>
        <w:shd w:val="clear" w:color="auto" w:fill="FFFFFF"/>
        <w:spacing w:line="293" w:lineRule="atLeast"/>
        <w:contextualSpacing/>
        <w:jc w:val="both"/>
        <w:rPr>
          <w:sz w:val="28"/>
          <w:szCs w:val="28"/>
          <w:lang w:eastAsia="lv-LV"/>
        </w:rPr>
      </w:pPr>
      <w:r w:rsidRPr="00230942">
        <w:rPr>
          <w:sz w:val="28"/>
          <w:szCs w:val="28"/>
          <w:lang w:eastAsia="lv-LV"/>
        </w:rPr>
        <w:t xml:space="preserve">Šo noteikumu 4.punktā noteiktais finansēšanas sadalījums attiecināms uz pieslēgumiem, kuru ierīkošanas izmaksas, ieskaitot būvprojekta izmaksas, kas aprēķinātas atbilstoši Sabiedrisko pakalpojumu regulēšanas komisijas noteiktajai metodikai, nepārsniedz 15 000 </w:t>
      </w:r>
      <w:r w:rsidRPr="00230942">
        <w:rPr>
          <w:i/>
          <w:sz w:val="28"/>
          <w:szCs w:val="28"/>
          <w:lang w:eastAsia="lv-LV"/>
        </w:rPr>
        <w:t xml:space="preserve">euro, </w:t>
      </w:r>
      <w:r w:rsidRPr="00230942">
        <w:rPr>
          <w:sz w:val="28"/>
          <w:szCs w:val="28"/>
          <w:lang w:eastAsia="lv-LV"/>
        </w:rPr>
        <w:t xml:space="preserve">kurā nav iekļauts pievienotās vērtības nodoklis. Ja ierīkojamā pieslēguma ierīkošanas izmaksas pārsniedz 15 000 </w:t>
      </w:r>
      <w:r w:rsidRPr="00230942">
        <w:rPr>
          <w:i/>
          <w:sz w:val="28"/>
          <w:szCs w:val="28"/>
          <w:lang w:eastAsia="lv-LV"/>
        </w:rPr>
        <w:t>euro</w:t>
      </w:r>
      <w:r w:rsidRPr="00230942">
        <w:rPr>
          <w:sz w:val="28"/>
          <w:szCs w:val="28"/>
          <w:lang w:eastAsia="lv-LV"/>
        </w:rPr>
        <w:t xml:space="preserve">, tad šo noteikumu 4.punktā noteiktais sadalījums attiecināms uz pirmajiem 15 000 </w:t>
      </w:r>
      <w:r w:rsidRPr="00230942">
        <w:rPr>
          <w:i/>
          <w:sz w:val="28"/>
          <w:szCs w:val="28"/>
          <w:lang w:eastAsia="lv-LV"/>
        </w:rPr>
        <w:t>euro</w:t>
      </w:r>
      <w:r w:rsidRPr="00230942">
        <w:rPr>
          <w:sz w:val="28"/>
          <w:szCs w:val="28"/>
          <w:lang w:eastAsia="lv-LV"/>
        </w:rPr>
        <w:t>, bet izmaksas, kas pārsniedz šo lielumu, finansē aizsargātais lietotājs.</w:t>
      </w:r>
    </w:p>
    <w:p w:rsidR="00230942" w:rsidRPr="00230942" w:rsidRDefault="00230942" w:rsidP="00230942">
      <w:pPr>
        <w:pStyle w:val="ListParagraph"/>
        <w:numPr>
          <w:ilvl w:val="0"/>
          <w:numId w:val="1"/>
        </w:numPr>
        <w:shd w:val="clear" w:color="auto" w:fill="FFFFFF"/>
        <w:spacing w:line="293" w:lineRule="atLeast"/>
        <w:contextualSpacing/>
        <w:jc w:val="both"/>
        <w:rPr>
          <w:sz w:val="28"/>
          <w:szCs w:val="28"/>
          <w:lang w:eastAsia="lv-LV"/>
        </w:rPr>
      </w:pPr>
      <w:r w:rsidRPr="00230942">
        <w:rPr>
          <w:sz w:val="28"/>
          <w:szCs w:val="28"/>
          <w:lang w:eastAsia="lv-LV"/>
        </w:rPr>
        <w:lastRenderedPageBreak/>
        <w:t>Lai pieslēguma ierīkošana tiktu finansēta atbilstoši šajos noteikumos noteiktajai kārtībai, aizsargātais lietotājs papildus Sabiedrisko pakalpojumu regulēšanas komisijas apstiprinātajos “Sistēmas pieslēguma noteikumos elektroenerģijas sistēmas dalībniekiem” noteiktajiem dokumentiem iesniedz elektroenerģijas sadales sistēmas operatoram iesniegumu, kurā apliecina, ka atbilst aizsargātā lietotāja statusam un vēlas pieslēguma ierīkošanu finansēt šo noteikumu noteiktajā kārtībā.</w:t>
      </w:r>
    </w:p>
    <w:p w:rsidR="00230942" w:rsidRPr="00230942" w:rsidRDefault="00230942" w:rsidP="00230942">
      <w:pPr>
        <w:pStyle w:val="ListParagraph"/>
        <w:numPr>
          <w:ilvl w:val="0"/>
          <w:numId w:val="1"/>
        </w:numPr>
        <w:shd w:val="clear" w:color="auto" w:fill="FFFFFF"/>
        <w:spacing w:line="293" w:lineRule="atLeast"/>
        <w:contextualSpacing/>
        <w:jc w:val="both"/>
        <w:rPr>
          <w:sz w:val="28"/>
          <w:szCs w:val="28"/>
          <w:lang w:eastAsia="lv-LV"/>
        </w:rPr>
      </w:pPr>
      <w:r w:rsidRPr="00230942">
        <w:rPr>
          <w:sz w:val="28"/>
          <w:szCs w:val="28"/>
          <w:lang w:eastAsia="lv-LV"/>
        </w:rPr>
        <w:t xml:space="preserve">Lai pārbaudītu pieteikuma iesniedzēja atbilstību aizsargātā lietotāja statusam pirms pieslēguma līguma noslēgšanas,  elektroenerģijas sadales sistēmas operatoram ir pienākums pēc šo noteikumu 6.punktā minētā pieteikuma saņemšanas attiecīgajā pašvaldībā, Pilsonības un migrācijas lietu pārvaldē, </w:t>
      </w:r>
      <w:r>
        <w:rPr>
          <w:sz w:val="28"/>
          <w:szCs w:val="28"/>
          <w:lang w:eastAsia="lv-LV"/>
        </w:rPr>
        <w:t>zemesgrāmatā</w:t>
      </w:r>
      <w:r w:rsidRPr="00230942">
        <w:rPr>
          <w:sz w:val="28"/>
          <w:szCs w:val="28"/>
          <w:lang w:eastAsia="lv-LV"/>
        </w:rPr>
        <w:t xml:space="preserve"> un Veselības un darbspēju ekspertīzes ārstu valsts komisijā pārbaudīt iesniegtās informācijas atbilstību un attiecīgajām iestādēm ir pienākums sniegt šādu informāciju par pieteikuma iesniedzēju:</w:t>
      </w:r>
    </w:p>
    <w:p w:rsidR="00230942" w:rsidRPr="00230942" w:rsidRDefault="00230942" w:rsidP="00230942">
      <w:pPr>
        <w:pStyle w:val="ListParagraph"/>
        <w:numPr>
          <w:ilvl w:val="1"/>
          <w:numId w:val="1"/>
        </w:numPr>
        <w:shd w:val="clear" w:color="auto" w:fill="FFFFFF"/>
        <w:spacing w:line="293" w:lineRule="atLeast"/>
        <w:contextualSpacing/>
        <w:jc w:val="both"/>
        <w:rPr>
          <w:sz w:val="28"/>
          <w:szCs w:val="28"/>
          <w:lang w:eastAsia="lv-LV"/>
        </w:rPr>
      </w:pPr>
      <w:r w:rsidRPr="00230942">
        <w:rPr>
          <w:sz w:val="28"/>
          <w:szCs w:val="28"/>
          <w:lang w:eastAsia="lv-LV"/>
        </w:rPr>
        <w:t xml:space="preserve">Pašvaldība sniedz apliecinājumu sadales sistēmas operatoram par personas atbilstību trūcīgas vai maznodrošinātas personas statusam un pieslēdzamā objekta atbilstību šo noteikumu 3.2., 3.3., 3.6. apakšpunktos noteiktajiem kritērijiem;  </w:t>
      </w:r>
    </w:p>
    <w:p w:rsidR="00230942" w:rsidRPr="00230942" w:rsidRDefault="00230942" w:rsidP="00230942">
      <w:pPr>
        <w:pStyle w:val="ListParagraph"/>
        <w:numPr>
          <w:ilvl w:val="1"/>
          <w:numId w:val="1"/>
        </w:numPr>
        <w:shd w:val="clear" w:color="auto" w:fill="FFFFFF"/>
        <w:spacing w:line="293" w:lineRule="atLeast"/>
        <w:contextualSpacing/>
        <w:jc w:val="both"/>
        <w:rPr>
          <w:sz w:val="28"/>
          <w:szCs w:val="28"/>
          <w:lang w:eastAsia="lv-LV"/>
        </w:rPr>
      </w:pPr>
      <w:r w:rsidRPr="00230942">
        <w:rPr>
          <w:sz w:val="28"/>
          <w:szCs w:val="28"/>
          <w:lang w:eastAsia="lv-LV"/>
        </w:rPr>
        <w:t>Pilsonības un migrācijas lietu pārvalde sniedz ziņas sadales sistēmas operatoram no valsts informācijas sistēmas "Iedzīvotāju reģistrs", ja pieteicējs ir reģistrēts Iedzīvotāju reģistrā (statuss – aktīvs), norādot iesniedzēja piederību daudzbērnu ģimenei;</w:t>
      </w:r>
    </w:p>
    <w:p w:rsidR="00230942" w:rsidRPr="00230942" w:rsidRDefault="00230942" w:rsidP="00230942">
      <w:pPr>
        <w:pStyle w:val="ListParagraph"/>
        <w:numPr>
          <w:ilvl w:val="1"/>
          <w:numId w:val="1"/>
        </w:numPr>
        <w:shd w:val="clear" w:color="auto" w:fill="FFFFFF"/>
        <w:spacing w:line="293" w:lineRule="atLeast"/>
        <w:contextualSpacing/>
        <w:jc w:val="both"/>
        <w:rPr>
          <w:sz w:val="28"/>
          <w:szCs w:val="28"/>
          <w:lang w:eastAsia="lv-LV"/>
        </w:rPr>
      </w:pPr>
      <w:r w:rsidRPr="00230942">
        <w:rPr>
          <w:sz w:val="28"/>
          <w:szCs w:val="28"/>
          <w:lang w:eastAsia="lv-LV"/>
        </w:rPr>
        <w:t>Veselības un darbspēju ekspertīzes ārstu valsts komisija sniedz ziņas sadales sistēmas operatoram no valsts informācijas sistēmas "Invaliditātes informatīvā sistēma", norādot iesniedzēja vai tā aprūpē esoša ģimenes locekļa atbilstību invaliditātes statusam un I invaliditātes grupai, ja tāda ir noteikta.</w:t>
      </w:r>
    </w:p>
    <w:p w:rsidR="00230942" w:rsidRPr="00230942" w:rsidRDefault="00230942" w:rsidP="00230942">
      <w:pPr>
        <w:pStyle w:val="ListParagraph"/>
        <w:numPr>
          <w:ilvl w:val="1"/>
          <w:numId w:val="1"/>
        </w:numPr>
        <w:shd w:val="clear" w:color="auto" w:fill="FFFFFF"/>
        <w:spacing w:line="293" w:lineRule="atLeast"/>
        <w:contextualSpacing/>
        <w:jc w:val="both"/>
        <w:rPr>
          <w:sz w:val="28"/>
          <w:szCs w:val="28"/>
          <w:lang w:eastAsia="lv-LV"/>
        </w:rPr>
      </w:pPr>
      <w:r w:rsidRPr="00230942">
        <w:rPr>
          <w:sz w:val="28"/>
          <w:szCs w:val="28"/>
          <w:lang w:eastAsia="lv-LV"/>
        </w:rPr>
        <w:t xml:space="preserve">Informāciju par aizsargātam </w:t>
      </w:r>
      <w:r w:rsidRPr="00230942">
        <w:rPr>
          <w:sz w:val="28"/>
          <w:szCs w:val="28"/>
          <w:lang w:eastAsia="lv-LV"/>
        </w:rPr>
        <w:t>lietot</w:t>
      </w:r>
      <w:r>
        <w:rPr>
          <w:sz w:val="28"/>
          <w:szCs w:val="28"/>
          <w:lang w:eastAsia="lv-LV"/>
        </w:rPr>
        <w:t>ā</w:t>
      </w:r>
      <w:r w:rsidRPr="00230942">
        <w:rPr>
          <w:sz w:val="28"/>
          <w:szCs w:val="28"/>
          <w:lang w:eastAsia="lv-LV"/>
        </w:rPr>
        <w:t>jam</w:t>
      </w:r>
      <w:r w:rsidRPr="00230942">
        <w:rPr>
          <w:sz w:val="28"/>
          <w:szCs w:val="28"/>
          <w:lang w:eastAsia="lv-LV"/>
        </w:rPr>
        <w:t xml:space="preserve"> piederošo nekustamo īpašumu sadales sistēmas operators iegūs no zemesgrāmatas.</w:t>
      </w:r>
    </w:p>
    <w:p w:rsidR="00230942" w:rsidRPr="00230942" w:rsidRDefault="00230942" w:rsidP="00230942">
      <w:pPr>
        <w:pStyle w:val="ListParagraph"/>
        <w:numPr>
          <w:ilvl w:val="0"/>
          <w:numId w:val="1"/>
        </w:numPr>
        <w:shd w:val="clear" w:color="auto" w:fill="FFFFFF"/>
        <w:spacing w:line="293" w:lineRule="atLeast"/>
        <w:contextualSpacing/>
        <w:jc w:val="both"/>
        <w:rPr>
          <w:sz w:val="28"/>
          <w:szCs w:val="28"/>
          <w:lang w:eastAsia="lv-LV"/>
        </w:rPr>
      </w:pPr>
      <w:r w:rsidRPr="00230942">
        <w:rPr>
          <w:sz w:val="28"/>
          <w:szCs w:val="28"/>
          <w:lang w:eastAsia="lv-LV"/>
        </w:rPr>
        <w:t>Elektroenerģijas sadales sistēmas operators ir tiesīgs pieprasīt no pieteikuma iesniedzēja informāciju, kas apliecina tā atbilstību aizsargātā lietotāja statusam, ja attiecīgais apstiprinājums nav iegūts šo noteikumu 7.punktā noteiktajā kārtībā.</w:t>
      </w:r>
    </w:p>
    <w:p w:rsidR="00230942" w:rsidRPr="00230942" w:rsidRDefault="00230942" w:rsidP="00230942">
      <w:pPr>
        <w:pStyle w:val="ListParagraph"/>
        <w:numPr>
          <w:ilvl w:val="0"/>
          <w:numId w:val="1"/>
        </w:numPr>
        <w:shd w:val="clear" w:color="auto" w:fill="FFFFFF"/>
        <w:spacing w:line="293" w:lineRule="atLeast"/>
        <w:contextualSpacing/>
        <w:jc w:val="both"/>
        <w:rPr>
          <w:sz w:val="28"/>
          <w:szCs w:val="28"/>
          <w:lang w:eastAsia="lv-LV"/>
        </w:rPr>
      </w:pPr>
      <w:r w:rsidRPr="00230942">
        <w:rPr>
          <w:sz w:val="28"/>
          <w:szCs w:val="28"/>
          <w:lang w:eastAsia="lv-LV"/>
        </w:rPr>
        <w:t>Šo noteikumu 4.2.apakšpunktā noteiktā pieslēguma ierīkošanas izmaksu daļa elektroenerģijas sadales sistēmas operatoram tiek finansēta no valsts budžetā šim mērķim paredzētajiem līdzekļiem pēc pieslēguma ierīkošanas.</w:t>
      </w:r>
    </w:p>
    <w:p w:rsidR="00230942" w:rsidRPr="00230942" w:rsidRDefault="00230942" w:rsidP="00230942">
      <w:pPr>
        <w:pStyle w:val="ListParagraph"/>
        <w:numPr>
          <w:ilvl w:val="0"/>
          <w:numId w:val="1"/>
        </w:numPr>
        <w:shd w:val="clear" w:color="auto" w:fill="FFFFFF"/>
        <w:spacing w:line="293" w:lineRule="atLeast"/>
        <w:contextualSpacing/>
        <w:jc w:val="both"/>
        <w:rPr>
          <w:sz w:val="28"/>
          <w:szCs w:val="28"/>
          <w:lang w:eastAsia="lv-LV"/>
        </w:rPr>
      </w:pPr>
      <w:r w:rsidRPr="00230942">
        <w:rPr>
          <w:sz w:val="28"/>
          <w:szCs w:val="28"/>
          <w:lang w:eastAsia="lv-LV"/>
        </w:rPr>
        <w:t xml:space="preserve">Elektroenerģijas sadales sistēmas operators, kas ir ierīkojis pieslēgumu atbilstoši šiem noteikumiem reizi ceturksnī līdz attiecīgā mēneša15. datumam – sagatavo rēķinu par 4.2. apakšpunktā noteikto daļu, norādot kopējo no valsts budžeta saņemamo summu par aizsargātajiem lietotājiem ierīkotajiem pieslēgumiem iepriekšējā ceturksnī, rēķinā iekļaujot pievienotās vērtības </w:t>
      </w:r>
      <w:r w:rsidRPr="00230942">
        <w:rPr>
          <w:sz w:val="28"/>
          <w:szCs w:val="28"/>
          <w:lang w:eastAsia="lv-LV"/>
        </w:rPr>
        <w:lastRenderedPageBreak/>
        <w:t>nodokli. Rēķinu vienlaikus ar to pamatojošajiem  dokumentiem iesniedz Ekonomikas ministrijā.</w:t>
      </w:r>
    </w:p>
    <w:p w:rsidR="00230942" w:rsidRPr="00230942" w:rsidRDefault="00230942" w:rsidP="00230942">
      <w:pPr>
        <w:pStyle w:val="ListParagraph"/>
        <w:numPr>
          <w:ilvl w:val="0"/>
          <w:numId w:val="1"/>
        </w:numPr>
        <w:shd w:val="clear" w:color="auto" w:fill="FFFFFF"/>
        <w:spacing w:line="293" w:lineRule="atLeast"/>
        <w:contextualSpacing/>
        <w:jc w:val="both"/>
        <w:rPr>
          <w:sz w:val="28"/>
          <w:szCs w:val="28"/>
          <w:lang w:eastAsia="lv-LV"/>
        </w:rPr>
      </w:pPr>
      <w:r w:rsidRPr="00230942">
        <w:rPr>
          <w:sz w:val="28"/>
          <w:szCs w:val="28"/>
          <w:lang w:eastAsia="lv-LV"/>
        </w:rPr>
        <w:t>Ekonomikas ministrija nodrošina aizsargātā lietotāja pieslēguma ierīkošanas finansēšanai piešķirto valsts budžeta līdzekļu izlietošanas uzraudzību. Ekonomikas ministrijai ir tiesības pieprasīt informāciju, kas saistīta ar pieslēguma ierīkošanu no elektroenerģijas sadales sistēmas operatora, pašvaldības, Pilsonības un migrācijas lietu pārvaldes un Veselības un darbspēju ekspertīzes ārstu valsts komisijas.</w:t>
      </w:r>
    </w:p>
    <w:p w:rsidR="00230942" w:rsidRPr="00230942" w:rsidRDefault="00230942" w:rsidP="00230942">
      <w:pPr>
        <w:pStyle w:val="ListParagraph"/>
        <w:numPr>
          <w:ilvl w:val="0"/>
          <w:numId w:val="1"/>
        </w:numPr>
        <w:shd w:val="clear" w:color="auto" w:fill="FFFFFF"/>
        <w:spacing w:line="293" w:lineRule="atLeast"/>
        <w:contextualSpacing/>
        <w:jc w:val="both"/>
        <w:rPr>
          <w:sz w:val="28"/>
          <w:szCs w:val="28"/>
          <w:lang w:eastAsia="lv-LV"/>
        </w:rPr>
      </w:pPr>
      <w:r w:rsidRPr="00230942">
        <w:rPr>
          <w:sz w:val="28"/>
          <w:szCs w:val="28"/>
          <w:lang w:eastAsia="lv-LV"/>
        </w:rPr>
        <w:t>Konstatējot pārkāpumus aizsargātā lietotāja pieslēguma ierīkošanā, uzskaitē vai datu iesniegšanā un rodoties aizdomām par šo noteikumu 4.2.apakšpunktā minētās finansējuma daļas  saņemšanas tiesiskumu, Ekonomikas ministrija:</w:t>
      </w:r>
    </w:p>
    <w:p w:rsidR="00230942" w:rsidRPr="00230942" w:rsidRDefault="00230942" w:rsidP="00230942">
      <w:pPr>
        <w:pStyle w:val="ListParagraph"/>
        <w:numPr>
          <w:ilvl w:val="1"/>
          <w:numId w:val="1"/>
        </w:numPr>
        <w:shd w:val="clear" w:color="auto" w:fill="FFFFFF"/>
        <w:spacing w:line="293" w:lineRule="atLeast"/>
        <w:ind w:left="993" w:hanging="633"/>
        <w:contextualSpacing/>
        <w:jc w:val="both"/>
        <w:rPr>
          <w:sz w:val="28"/>
          <w:szCs w:val="28"/>
          <w:lang w:eastAsia="lv-LV"/>
        </w:rPr>
      </w:pPr>
      <w:r w:rsidRPr="00230942">
        <w:rPr>
          <w:sz w:val="28"/>
          <w:szCs w:val="28"/>
          <w:lang w:eastAsia="lv-LV"/>
        </w:rPr>
        <w:t>ir tiesīga aizturēt rēķina apmaksu elektroenerģijas sadales sistēmas operatoram par aizsargātajam lietotājiem ierīkoto pieslēgumu;</w:t>
      </w:r>
    </w:p>
    <w:p w:rsidR="00230942" w:rsidRPr="00230942" w:rsidRDefault="00230942" w:rsidP="00230942">
      <w:pPr>
        <w:pStyle w:val="ListParagraph"/>
        <w:numPr>
          <w:ilvl w:val="1"/>
          <w:numId w:val="1"/>
        </w:numPr>
        <w:shd w:val="clear" w:color="auto" w:fill="FFFFFF"/>
        <w:spacing w:line="293" w:lineRule="atLeast"/>
        <w:ind w:left="993" w:hanging="633"/>
        <w:contextualSpacing/>
        <w:jc w:val="both"/>
        <w:rPr>
          <w:sz w:val="28"/>
          <w:szCs w:val="28"/>
          <w:lang w:eastAsia="lv-LV"/>
        </w:rPr>
      </w:pPr>
      <w:r w:rsidRPr="00230942">
        <w:rPr>
          <w:sz w:val="28"/>
          <w:szCs w:val="28"/>
          <w:lang w:eastAsia="lv-LV"/>
        </w:rPr>
        <w:t>nosaka termiņu, līdz kuram elektroenerģijas sadales sistēmas operatoram jānovērš konstatētie pārkāpumi vai jāiesniedz papildus informācija;</w:t>
      </w:r>
    </w:p>
    <w:p w:rsidR="00230942" w:rsidRPr="00230942" w:rsidRDefault="00230942" w:rsidP="00230942">
      <w:pPr>
        <w:pStyle w:val="ListParagraph"/>
        <w:numPr>
          <w:ilvl w:val="1"/>
          <w:numId w:val="1"/>
        </w:numPr>
        <w:shd w:val="clear" w:color="auto" w:fill="FFFFFF"/>
        <w:spacing w:line="293" w:lineRule="atLeast"/>
        <w:ind w:left="993" w:hanging="633"/>
        <w:contextualSpacing/>
        <w:jc w:val="both"/>
        <w:rPr>
          <w:sz w:val="28"/>
          <w:szCs w:val="28"/>
          <w:lang w:eastAsia="lv-LV"/>
        </w:rPr>
      </w:pPr>
      <w:r w:rsidRPr="00230942">
        <w:rPr>
          <w:sz w:val="28"/>
          <w:szCs w:val="28"/>
          <w:lang w:eastAsia="lv-LV"/>
        </w:rPr>
        <w:t>ir tiesīga atteikt izmaksāt šo noteikumu 4.2.apakšpunktā minēto pieslēguma ierīkošanas izmaksu finansējuma daļu par pieslēguma ierīkošanu, kuram konstatēta neatbilstība šo noteikumu prasībām.</w:t>
      </w:r>
    </w:p>
    <w:p w:rsidR="00230942" w:rsidRPr="00230942" w:rsidRDefault="00230942" w:rsidP="00230942">
      <w:pPr>
        <w:rPr>
          <w:sz w:val="28"/>
          <w:szCs w:val="28"/>
        </w:rPr>
      </w:pPr>
      <w:bookmarkStart w:id="2" w:name="p30"/>
      <w:bookmarkStart w:id="3" w:name="p-596695"/>
      <w:bookmarkEnd w:id="2"/>
      <w:bookmarkEnd w:id="3"/>
    </w:p>
    <w:p w:rsidR="00230942" w:rsidRPr="00230942" w:rsidRDefault="00230942" w:rsidP="00230942">
      <w:pPr>
        <w:rPr>
          <w:sz w:val="28"/>
          <w:szCs w:val="28"/>
        </w:rPr>
      </w:pPr>
    </w:p>
    <w:p w:rsidR="00230942" w:rsidRPr="00230942" w:rsidRDefault="00230942" w:rsidP="00230942">
      <w:pPr>
        <w:rPr>
          <w:sz w:val="28"/>
          <w:szCs w:val="28"/>
        </w:rPr>
      </w:pPr>
      <w:bookmarkStart w:id="4" w:name="n1"/>
      <w:bookmarkStart w:id="5" w:name="p-501671"/>
      <w:bookmarkEnd w:id="4"/>
      <w:bookmarkEnd w:id="5"/>
      <w:r w:rsidRPr="00230942">
        <w:rPr>
          <w:sz w:val="28"/>
          <w:szCs w:val="28"/>
        </w:rPr>
        <w:t xml:space="preserve">Ministru prezidents </w:t>
      </w:r>
      <w:r w:rsidRPr="00230942">
        <w:rPr>
          <w:sz w:val="28"/>
          <w:szCs w:val="28"/>
        </w:rPr>
        <w:tab/>
      </w:r>
      <w:r w:rsidRPr="00230942">
        <w:rPr>
          <w:sz w:val="28"/>
          <w:szCs w:val="28"/>
        </w:rPr>
        <w:tab/>
      </w:r>
      <w:r w:rsidRPr="00230942">
        <w:rPr>
          <w:sz w:val="28"/>
          <w:szCs w:val="28"/>
        </w:rPr>
        <w:tab/>
      </w:r>
      <w:r w:rsidRPr="00230942">
        <w:rPr>
          <w:sz w:val="28"/>
          <w:szCs w:val="28"/>
        </w:rPr>
        <w:tab/>
      </w:r>
      <w:r w:rsidRPr="00230942">
        <w:rPr>
          <w:sz w:val="28"/>
          <w:szCs w:val="28"/>
        </w:rPr>
        <w:tab/>
      </w:r>
      <w:r w:rsidRPr="00230942">
        <w:rPr>
          <w:sz w:val="28"/>
          <w:szCs w:val="28"/>
        </w:rPr>
        <w:tab/>
        <w:t xml:space="preserve">           M.Kučinskis</w:t>
      </w:r>
    </w:p>
    <w:p w:rsidR="00230942" w:rsidRPr="00230942" w:rsidRDefault="00230942" w:rsidP="00230942">
      <w:pPr>
        <w:pStyle w:val="BalloonText"/>
        <w:rPr>
          <w:rFonts w:ascii="Times New Roman" w:hAnsi="Times New Roman" w:cs="Times New Roman"/>
          <w:sz w:val="28"/>
          <w:szCs w:val="28"/>
        </w:rPr>
      </w:pPr>
    </w:p>
    <w:p w:rsidR="00230942" w:rsidRPr="00230942" w:rsidRDefault="00230942" w:rsidP="00230942">
      <w:pPr>
        <w:pStyle w:val="BalloonText"/>
        <w:rPr>
          <w:rFonts w:ascii="Times New Roman" w:hAnsi="Times New Roman"/>
          <w:sz w:val="28"/>
          <w:szCs w:val="28"/>
          <w:lang w:eastAsia="lv-LV"/>
        </w:rPr>
      </w:pPr>
    </w:p>
    <w:p w:rsidR="00230942" w:rsidRPr="00230942" w:rsidRDefault="00230942" w:rsidP="00230942">
      <w:pPr>
        <w:pStyle w:val="BalloonText"/>
        <w:rPr>
          <w:rFonts w:ascii="Times New Roman" w:hAnsi="Times New Roman"/>
          <w:sz w:val="28"/>
          <w:szCs w:val="28"/>
          <w:lang w:eastAsia="lv-LV"/>
        </w:rPr>
      </w:pPr>
      <w:r w:rsidRPr="00230942">
        <w:rPr>
          <w:rFonts w:ascii="Times New Roman" w:hAnsi="Times New Roman"/>
          <w:sz w:val="28"/>
          <w:szCs w:val="28"/>
          <w:lang w:eastAsia="lv-LV"/>
        </w:rPr>
        <w:t xml:space="preserve">Ministru prezidenta biedrs, </w:t>
      </w:r>
    </w:p>
    <w:p w:rsidR="00230942" w:rsidRPr="00230942" w:rsidRDefault="00230942" w:rsidP="00230942">
      <w:pPr>
        <w:pStyle w:val="BalloonText"/>
        <w:rPr>
          <w:rFonts w:ascii="Times New Roman" w:hAnsi="Times New Roman" w:cs="Times New Roman"/>
          <w:sz w:val="28"/>
          <w:szCs w:val="28"/>
        </w:rPr>
      </w:pPr>
      <w:r w:rsidRPr="00230942">
        <w:rPr>
          <w:rFonts w:ascii="Times New Roman" w:hAnsi="Times New Roman"/>
          <w:sz w:val="28"/>
          <w:szCs w:val="28"/>
          <w:lang w:eastAsia="lv-LV"/>
        </w:rPr>
        <w:t xml:space="preserve">ekonomikas ministrs                 </w:t>
      </w:r>
      <w:r w:rsidRPr="00230942">
        <w:rPr>
          <w:rFonts w:ascii="Times New Roman" w:hAnsi="Times New Roman"/>
          <w:sz w:val="28"/>
          <w:szCs w:val="28"/>
          <w:lang w:eastAsia="lv-LV"/>
        </w:rPr>
        <w:tab/>
        <w:t xml:space="preserve">       </w:t>
      </w:r>
      <w:r w:rsidRPr="00230942">
        <w:rPr>
          <w:rFonts w:ascii="Times New Roman" w:hAnsi="Times New Roman"/>
          <w:sz w:val="28"/>
          <w:szCs w:val="28"/>
          <w:lang w:eastAsia="lv-LV"/>
        </w:rPr>
        <w:tab/>
      </w:r>
      <w:r w:rsidRPr="00230942">
        <w:rPr>
          <w:rFonts w:ascii="Times New Roman" w:hAnsi="Times New Roman"/>
          <w:sz w:val="28"/>
          <w:szCs w:val="28"/>
          <w:lang w:eastAsia="lv-LV"/>
        </w:rPr>
        <w:tab/>
      </w:r>
      <w:r w:rsidRPr="00230942">
        <w:rPr>
          <w:rFonts w:ascii="Times New Roman" w:hAnsi="Times New Roman"/>
          <w:sz w:val="28"/>
          <w:szCs w:val="28"/>
          <w:lang w:eastAsia="lv-LV"/>
        </w:rPr>
        <w:tab/>
      </w:r>
      <w:r w:rsidRPr="00230942">
        <w:rPr>
          <w:rFonts w:ascii="Times New Roman" w:hAnsi="Times New Roman"/>
          <w:sz w:val="28"/>
          <w:szCs w:val="28"/>
          <w:lang w:eastAsia="lv-LV"/>
        </w:rPr>
        <w:tab/>
        <w:t xml:space="preserve">          A.Ašeradens</w:t>
      </w:r>
    </w:p>
    <w:p w:rsidR="00230942" w:rsidRPr="00230942" w:rsidRDefault="00230942" w:rsidP="00230942">
      <w:pPr>
        <w:pStyle w:val="BalloonText"/>
        <w:rPr>
          <w:rFonts w:ascii="Times New Roman" w:hAnsi="Times New Roman" w:cs="Times New Roman"/>
          <w:sz w:val="28"/>
          <w:szCs w:val="28"/>
        </w:rPr>
      </w:pPr>
    </w:p>
    <w:p w:rsidR="00230942" w:rsidRPr="00230942" w:rsidRDefault="00230942" w:rsidP="00230942">
      <w:pPr>
        <w:pStyle w:val="Header"/>
        <w:tabs>
          <w:tab w:val="clear" w:pos="4153"/>
          <w:tab w:val="clear" w:pos="8306"/>
        </w:tabs>
        <w:rPr>
          <w:sz w:val="28"/>
          <w:szCs w:val="28"/>
        </w:rPr>
      </w:pPr>
    </w:p>
    <w:p w:rsidR="00230942" w:rsidRPr="00230942" w:rsidRDefault="00230942" w:rsidP="00230942">
      <w:pPr>
        <w:jc w:val="both"/>
        <w:rPr>
          <w:sz w:val="28"/>
          <w:szCs w:val="28"/>
          <w:lang w:eastAsia="lv-LV"/>
        </w:rPr>
      </w:pPr>
      <w:r w:rsidRPr="00230942">
        <w:rPr>
          <w:sz w:val="28"/>
          <w:szCs w:val="28"/>
          <w:lang w:eastAsia="lv-LV"/>
        </w:rPr>
        <w:t>Iesniedzējs:</w:t>
      </w:r>
    </w:p>
    <w:p w:rsidR="00230942" w:rsidRPr="00230942" w:rsidRDefault="00230942" w:rsidP="00230942">
      <w:pPr>
        <w:pStyle w:val="BalloonText"/>
        <w:rPr>
          <w:rFonts w:ascii="Times New Roman" w:hAnsi="Times New Roman"/>
          <w:sz w:val="28"/>
          <w:szCs w:val="28"/>
          <w:lang w:eastAsia="lv-LV"/>
        </w:rPr>
      </w:pPr>
      <w:r w:rsidRPr="00230942">
        <w:rPr>
          <w:rFonts w:ascii="Times New Roman" w:hAnsi="Times New Roman"/>
          <w:sz w:val="28"/>
          <w:szCs w:val="28"/>
          <w:lang w:eastAsia="lv-LV"/>
        </w:rPr>
        <w:t xml:space="preserve">Ministru prezidenta biedrs, </w:t>
      </w:r>
    </w:p>
    <w:p w:rsidR="00230942" w:rsidRPr="00230942" w:rsidRDefault="00230942" w:rsidP="00230942">
      <w:pPr>
        <w:pStyle w:val="BalloonText"/>
        <w:rPr>
          <w:rFonts w:ascii="Times New Roman" w:hAnsi="Times New Roman" w:cs="Times New Roman"/>
          <w:sz w:val="28"/>
          <w:szCs w:val="28"/>
        </w:rPr>
      </w:pPr>
      <w:r w:rsidRPr="00230942">
        <w:rPr>
          <w:rFonts w:ascii="Times New Roman" w:hAnsi="Times New Roman"/>
          <w:sz w:val="28"/>
          <w:szCs w:val="28"/>
          <w:lang w:eastAsia="lv-LV"/>
        </w:rPr>
        <w:t xml:space="preserve">ekonomikas ministrs                 </w:t>
      </w:r>
      <w:r w:rsidRPr="00230942">
        <w:rPr>
          <w:rFonts w:ascii="Times New Roman" w:hAnsi="Times New Roman"/>
          <w:sz w:val="28"/>
          <w:szCs w:val="28"/>
          <w:lang w:eastAsia="lv-LV"/>
        </w:rPr>
        <w:tab/>
        <w:t xml:space="preserve">       </w:t>
      </w:r>
      <w:r w:rsidRPr="00230942">
        <w:rPr>
          <w:rFonts w:ascii="Times New Roman" w:hAnsi="Times New Roman"/>
          <w:sz w:val="28"/>
          <w:szCs w:val="28"/>
          <w:lang w:eastAsia="lv-LV"/>
        </w:rPr>
        <w:tab/>
      </w:r>
      <w:r w:rsidRPr="00230942">
        <w:rPr>
          <w:rFonts w:ascii="Times New Roman" w:hAnsi="Times New Roman"/>
          <w:sz w:val="28"/>
          <w:szCs w:val="28"/>
          <w:lang w:eastAsia="lv-LV"/>
        </w:rPr>
        <w:tab/>
      </w:r>
      <w:r w:rsidRPr="00230942">
        <w:rPr>
          <w:rFonts w:ascii="Times New Roman" w:hAnsi="Times New Roman"/>
          <w:sz w:val="28"/>
          <w:szCs w:val="28"/>
          <w:lang w:eastAsia="lv-LV"/>
        </w:rPr>
        <w:tab/>
      </w:r>
      <w:r w:rsidRPr="00230942">
        <w:rPr>
          <w:rFonts w:ascii="Times New Roman" w:hAnsi="Times New Roman"/>
          <w:sz w:val="28"/>
          <w:szCs w:val="28"/>
          <w:lang w:eastAsia="lv-LV"/>
        </w:rPr>
        <w:tab/>
        <w:t xml:space="preserve">          A.Ašeradens</w:t>
      </w:r>
    </w:p>
    <w:p w:rsidR="00230942" w:rsidRPr="00230942" w:rsidRDefault="00230942" w:rsidP="00230942">
      <w:pPr>
        <w:jc w:val="both"/>
        <w:rPr>
          <w:sz w:val="28"/>
          <w:szCs w:val="28"/>
          <w:lang w:eastAsia="lv-LV"/>
        </w:rPr>
      </w:pPr>
    </w:p>
    <w:p w:rsidR="00230942" w:rsidRPr="00230942" w:rsidRDefault="00230942" w:rsidP="00230942">
      <w:pPr>
        <w:jc w:val="both"/>
        <w:rPr>
          <w:sz w:val="28"/>
          <w:szCs w:val="28"/>
          <w:lang w:eastAsia="lv-LV"/>
        </w:rPr>
      </w:pPr>
    </w:p>
    <w:p w:rsidR="00230942" w:rsidRPr="00230942" w:rsidRDefault="00230942" w:rsidP="00230942">
      <w:pPr>
        <w:jc w:val="both"/>
        <w:rPr>
          <w:sz w:val="28"/>
          <w:szCs w:val="28"/>
          <w:lang w:eastAsia="lv-LV"/>
        </w:rPr>
      </w:pPr>
    </w:p>
    <w:p w:rsidR="00230942" w:rsidRPr="00230942" w:rsidRDefault="00230942" w:rsidP="00230942">
      <w:pPr>
        <w:jc w:val="both"/>
        <w:rPr>
          <w:sz w:val="28"/>
          <w:szCs w:val="28"/>
        </w:rPr>
      </w:pPr>
      <w:r w:rsidRPr="00230942">
        <w:rPr>
          <w:sz w:val="28"/>
          <w:szCs w:val="28"/>
        </w:rPr>
        <w:t xml:space="preserve">Vīza: </w:t>
      </w:r>
    </w:p>
    <w:p w:rsidR="00230942" w:rsidRDefault="00230942" w:rsidP="00230942">
      <w:pPr>
        <w:pStyle w:val="Header"/>
        <w:tabs>
          <w:tab w:val="clear" w:pos="4153"/>
          <w:tab w:val="clear" w:pos="8306"/>
        </w:tabs>
        <w:rPr>
          <w:sz w:val="28"/>
          <w:szCs w:val="28"/>
        </w:rPr>
      </w:pPr>
      <w:r>
        <w:rPr>
          <w:sz w:val="28"/>
          <w:szCs w:val="28"/>
        </w:rPr>
        <w:t>valsts sekretāra pienākumu izpildītāja,</w:t>
      </w:r>
    </w:p>
    <w:p w:rsidR="00230942" w:rsidRPr="00230942" w:rsidRDefault="00230942" w:rsidP="00230942">
      <w:pPr>
        <w:pStyle w:val="Header"/>
        <w:tabs>
          <w:tab w:val="clear" w:pos="4153"/>
          <w:tab w:val="clear" w:pos="8306"/>
        </w:tabs>
        <w:rPr>
          <w:sz w:val="28"/>
          <w:szCs w:val="28"/>
        </w:rPr>
      </w:pPr>
      <w:r>
        <w:rPr>
          <w:sz w:val="28"/>
          <w:szCs w:val="28"/>
        </w:rPr>
        <w:t xml:space="preserve">Administrācijas vadītāja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I.Jaunzeme</w:t>
      </w:r>
    </w:p>
    <w:p w:rsidR="00230942" w:rsidRPr="00230942" w:rsidRDefault="00230942" w:rsidP="00230942">
      <w:pPr>
        <w:pStyle w:val="Header"/>
        <w:tabs>
          <w:tab w:val="clear" w:pos="4153"/>
          <w:tab w:val="clear" w:pos="8306"/>
        </w:tabs>
        <w:rPr>
          <w:sz w:val="28"/>
          <w:szCs w:val="28"/>
        </w:rPr>
      </w:pPr>
    </w:p>
    <w:p w:rsidR="00230942" w:rsidRPr="00230942" w:rsidRDefault="00230942" w:rsidP="00230942">
      <w:pPr>
        <w:pStyle w:val="Header"/>
        <w:tabs>
          <w:tab w:val="clear" w:pos="4153"/>
          <w:tab w:val="clear" w:pos="8306"/>
        </w:tabs>
        <w:rPr>
          <w:sz w:val="28"/>
          <w:szCs w:val="28"/>
        </w:rPr>
      </w:pPr>
    </w:p>
    <w:p w:rsidR="00230942" w:rsidRPr="00230942" w:rsidRDefault="00230942" w:rsidP="00230942">
      <w:pPr>
        <w:pStyle w:val="Header"/>
        <w:tabs>
          <w:tab w:val="clear" w:pos="4153"/>
          <w:tab w:val="clear" w:pos="8306"/>
        </w:tabs>
        <w:rPr>
          <w:sz w:val="28"/>
          <w:szCs w:val="28"/>
        </w:rPr>
      </w:pPr>
    </w:p>
    <w:p w:rsidR="00230942" w:rsidRPr="00230942" w:rsidRDefault="00230942" w:rsidP="00230942">
      <w:pPr>
        <w:pStyle w:val="Header"/>
        <w:tabs>
          <w:tab w:val="clear" w:pos="4153"/>
          <w:tab w:val="clear" w:pos="8306"/>
        </w:tabs>
        <w:rPr>
          <w:sz w:val="20"/>
          <w:szCs w:val="20"/>
        </w:rPr>
      </w:pPr>
      <w:r w:rsidRPr="00230942">
        <w:rPr>
          <w:sz w:val="20"/>
          <w:szCs w:val="20"/>
        </w:rPr>
        <w:fldChar w:fldCharType="begin"/>
      </w:r>
      <w:r w:rsidRPr="00230942">
        <w:rPr>
          <w:sz w:val="20"/>
          <w:szCs w:val="20"/>
        </w:rPr>
        <w:instrText xml:space="preserve"> DATE   \* MERGEFORMAT </w:instrText>
      </w:r>
      <w:r w:rsidRPr="00230942">
        <w:rPr>
          <w:sz w:val="20"/>
          <w:szCs w:val="20"/>
        </w:rPr>
        <w:fldChar w:fldCharType="separate"/>
      </w:r>
      <w:r w:rsidRPr="00230942">
        <w:rPr>
          <w:noProof/>
          <w:sz w:val="20"/>
          <w:szCs w:val="20"/>
        </w:rPr>
        <w:t>23.03.2017</w:t>
      </w:r>
      <w:r w:rsidRPr="00230942">
        <w:rPr>
          <w:sz w:val="20"/>
          <w:szCs w:val="20"/>
        </w:rPr>
        <w:fldChar w:fldCharType="end"/>
      </w:r>
      <w:r w:rsidRPr="00230942">
        <w:rPr>
          <w:sz w:val="20"/>
          <w:szCs w:val="20"/>
        </w:rPr>
        <w:t>. 09:48</w:t>
      </w:r>
    </w:p>
    <w:p w:rsidR="00230942" w:rsidRPr="00230942" w:rsidRDefault="00230942" w:rsidP="00230942">
      <w:pPr>
        <w:pStyle w:val="Header"/>
        <w:tabs>
          <w:tab w:val="clear" w:pos="4153"/>
          <w:tab w:val="clear" w:pos="8306"/>
        </w:tabs>
        <w:rPr>
          <w:sz w:val="20"/>
          <w:szCs w:val="20"/>
        </w:rPr>
      </w:pPr>
      <w:r w:rsidRPr="00230942">
        <w:rPr>
          <w:sz w:val="20"/>
          <w:szCs w:val="20"/>
        </w:rPr>
        <w:fldChar w:fldCharType="begin"/>
      </w:r>
      <w:r w:rsidRPr="00230942">
        <w:rPr>
          <w:sz w:val="20"/>
          <w:szCs w:val="20"/>
        </w:rPr>
        <w:instrText xml:space="preserve"> NUMWORDS   \* MERGEFORMAT </w:instrText>
      </w:r>
      <w:r w:rsidRPr="00230942">
        <w:rPr>
          <w:sz w:val="20"/>
          <w:szCs w:val="20"/>
        </w:rPr>
        <w:fldChar w:fldCharType="separate"/>
      </w:r>
      <w:r>
        <w:rPr>
          <w:noProof/>
          <w:sz w:val="20"/>
          <w:szCs w:val="20"/>
        </w:rPr>
        <w:t>727</w:t>
      </w:r>
      <w:r w:rsidRPr="00230942">
        <w:rPr>
          <w:sz w:val="20"/>
          <w:szCs w:val="20"/>
        </w:rPr>
        <w:fldChar w:fldCharType="end"/>
      </w:r>
      <w:bookmarkStart w:id="6" w:name="_GoBack"/>
      <w:bookmarkEnd w:id="6"/>
    </w:p>
    <w:p w:rsidR="00230942" w:rsidRPr="00230942" w:rsidRDefault="00230942" w:rsidP="00230942">
      <w:pPr>
        <w:pStyle w:val="Header"/>
        <w:tabs>
          <w:tab w:val="clear" w:pos="4153"/>
          <w:tab w:val="clear" w:pos="8306"/>
        </w:tabs>
        <w:rPr>
          <w:sz w:val="20"/>
          <w:szCs w:val="20"/>
        </w:rPr>
      </w:pPr>
      <w:r w:rsidRPr="00230942">
        <w:rPr>
          <w:sz w:val="20"/>
          <w:szCs w:val="20"/>
        </w:rPr>
        <w:t>M.Zjurikova</w:t>
      </w:r>
    </w:p>
    <w:p w:rsidR="00FD5DEA" w:rsidRPr="00230942" w:rsidRDefault="00230942" w:rsidP="00230942">
      <w:pPr>
        <w:pStyle w:val="Header"/>
        <w:tabs>
          <w:tab w:val="clear" w:pos="4153"/>
          <w:tab w:val="clear" w:pos="8306"/>
        </w:tabs>
      </w:pPr>
      <w:r w:rsidRPr="00230942">
        <w:rPr>
          <w:sz w:val="20"/>
          <w:szCs w:val="20"/>
        </w:rPr>
        <w:t xml:space="preserve">670132248, </w:t>
      </w:r>
      <w:hyperlink r:id="rId8" w:history="1">
        <w:r w:rsidRPr="00230942">
          <w:rPr>
            <w:rStyle w:val="Hyperlink"/>
            <w:sz w:val="20"/>
            <w:szCs w:val="20"/>
          </w:rPr>
          <w:t>marija.zjurikova@em.gov.lv</w:t>
        </w:r>
      </w:hyperlink>
    </w:p>
    <w:sectPr w:rsidR="00FD5DEA" w:rsidRPr="00230942" w:rsidSect="00601B45">
      <w:headerReference w:type="default" r:id="rId9"/>
      <w:footerReference w:type="default" r:id="rId10"/>
      <w:footerReference w:type="first" r:id="rId11"/>
      <w:pgSz w:w="11906" w:h="16838"/>
      <w:pgMar w:top="1418" w:right="1134"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D88" w:rsidRDefault="00461D88" w:rsidP="00230942">
      <w:r>
        <w:separator/>
      </w:r>
    </w:p>
  </w:endnote>
  <w:endnote w:type="continuationSeparator" w:id="0">
    <w:p w:rsidR="00461D88" w:rsidRDefault="00461D88" w:rsidP="00230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13" w:rsidRPr="00586FE3" w:rsidRDefault="00461D88" w:rsidP="002C4513">
    <w:pPr>
      <w:pStyle w:val="Footer"/>
      <w:jc w:val="both"/>
      <w:rPr>
        <w:sz w:val="20"/>
        <w:szCs w:val="20"/>
      </w:rPr>
    </w:pPr>
    <w:r>
      <w:rPr>
        <w:sz w:val="20"/>
        <w:szCs w:val="20"/>
      </w:rPr>
      <w:t>EMNot_</w:t>
    </w:r>
    <w:r w:rsidR="00230942">
      <w:rPr>
        <w:sz w:val="20"/>
        <w:szCs w:val="20"/>
      </w:rPr>
      <w:t>23</w:t>
    </w:r>
    <w:r w:rsidRPr="00633B6F">
      <w:rPr>
        <w:sz w:val="20"/>
        <w:szCs w:val="20"/>
      </w:rPr>
      <w:t>032017</w:t>
    </w:r>
    <w:r>
      <w:rPr>
        <w:sz w:val="20"/>
        <w:szCs w:val="20"/>
      </w:rPr>
      <w:t>_VSS-985</w:t>
    </w:r>
    <w:r w:rsidRPr="00586FE3">
      <w:rPr>
        <w:sz w:val="20"/>
        <w:szCs w:val="20"/>
      </w:rPr>
      <w:t xml:space="preserve">; </w:t>
    </w:r>
    <w:r>
      <w:rPr>
        <w:sz w:val="20"/>
        <w:szCs w:val="20"/>
      </w:rPr>
      <w:t>Ministru kabineta noteikumu projekts “Aizsargātā lietotāja pieslēguma ierīkošanas finansēšana</w:t>
    </w:r>
    <w:r>
      <w:rPr>
        <w:sz w:val="20"/>
        <w:szCs w:val="20"/>
      </w:rPr>
      <w:t>s kārtība” (VSS-985)</w:t>
    </w:r>
  </w:p>
  <w:p w:rsidR="002C4513" w:rsidRDefault="00230942" w:rsidP="00230942">
    <w:pPr>
      <w:pStyle w:val="Footer"/>
      <w:tabs>
        <w:tab w:val="clear" w:pos="4153"/>
        <w:tab w:val="clear" w:pos="8306"/>
        <w:tab w:val="left" w:pos="2250"/>
      </w:tabs>
    </w:pPr>
    <w:r>
      <w:tab/>
    </w:r>
  </w:p>
  <w:p w:rsidR="00247DD1" w:rsidRDefault="00461D88" w:rsidP="00AF0189">
    <w:pPr>
      <w:pStyle w:val="Footer"/>
      <w:tabs>
        <w:tab w:val="clear" w:pos="4153"/>
        <w:tab w:val="clear" w:pos="8306"/>
        <w:tab w:val="left" w:pos="3690"/>
        <w:tab w:val="left" w:pos="5475"/>
      </w:tabs>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DD1" w:rsidRPr="00586FE3" w:rsidRDefault="00461D88" w:rsidP="00287AFA">
    <w:pPr>
      <w:pStyle w:val="Footer"/>
      <w:jc w:val="both"/>
      <w:rPr>
        <w:sz w:val="20"/>
        <w:szCs w:val="20"/>
      </w:rPr>
    </w:pPr>
    <w:r>
      <w:rPr>
        <w:sz w:val="20"/>
        <w:szCs w:val="20"/>
      </w:rPr>
      <w:t>EMNot_</w:t>
    </w:r>
    <w:r>
      <w:rPr>
        <w:sz w:val="20"/>
        <w:szCs w:val="20"/>
      </w:rPr>
      <w:t>070217</w:t>
    </w:r>
    <w:r>
      <w:rPr>
        <w:sz w:val="20"/>
        <w:szCs w:val="20"/>
      </w:rPr>
      <w:t>_</w:t>
    </w:r>
    <w:r>
      <w:rPr>
        <w:sz w:val="20"/>
        <w:szCs w:val="20"/>
      </w:rPr>
      <w:t>VSS-985</w:t>
    </w:r>
    <w:r w:rsidRPr="00586FE3">
      <w:rPr>
        <w:sz w:val="20"/>
        <w:szCs w:val="20"/>
      </w:rPr>
      <w:t xml:space="preserve">; </w:t>
    </w:r>
    <w:r>
      <w:rPr>
        <w:sz w:val="20"/>
        <w:szCs w:val="20"/>
      </w:rPr>
      <w:t>Ministru kabineta noteikumu projekts “</w:t>
    </w:r>
    <w:r>
      <w:rPr>
        <w:sz w:val="20"/>
        <w:szCs w:val="20"/>
      </w:rPr>
      <w:t xml:space="preserve">Aizsargātā lietotāja pieslēguma ierīkošanas </w:t>
    </w:r>
    <w:r>
      <w:rPr>
        <w:sz w:val="20"/>
        <w:szCs w:val="20"/>
      </w:rPr>
      <w:t xml:space="preserve">finansēšanas </w:t>
    </w:r>
    <w:r>
      <w:rPr>
        <w:sz w:val="20"/>
        <w:szCs w:val="20"/>
      </w:rPr>
      <w:t>kārtība</w:t>
    </w:r>
    <w:r>
      <w:rPr>
        <w:sz w:val="20"/>
        <w:szCs w:val="20"/>
      </w:rPr>
      <w:t>” (VSS-985)</w:t>
    </w:r>
  </w:p>
  <w:p w:rsidR="00247DD1" w:rsidRDefault="00461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D88" w:rsidRDefault="00461D88" w:rsidP="00230942">
      <w:r>
        <w:separator/>
      </w:r>
    </w:p>
  </w:footnote>
  <w:footnote w:type="continuationSeparator" w:id="0">
    <w:p w:rsidR="00461D88" w:rsidRDefault="00461D88" w:rsidP="00230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932154"/>
      <w:docPartObj>
        <w:docPartGallery w:val="Page Numbers (Top of Page)"/>
        <w:docPartUnique/>
      </w:docPartObj>
    </w:sdtPr>
    <w:sdtEndPr>
      <w:rPr>
        <w:noProof/>
      </w:rPr>
    </w:sdtEndPr>
    <w:sdtContent>
      <w:p w:rsidR="00247DD1" w:rsidRDefault="00461D88">
        <w:pPr>
          <w:pStyle w:val="Header"/>
          <w:jc w:val="center"/>
        </w:pPr>
        <w:r>
          <w:fldChar w:fldCharType="begin"/>
        </w:r>
        <w:r>
          <w:instrText xml:space="preserve"> PAGE   \* MERGEFORMAT </w:instrText>
        </w:r>
        <w:r>
          <w:fldChar w:fldCharType="separate"/>
        </w:r>
        <w:r w:rsidR="00230942">
          <w:rPr>
            <w:noProof/>
          </w:rPr>
          <w:t>3</w:t>
        </w:r>
        <w:r>
          <w:rPr>
            <w:noProof/>
          </w:rPr>
          <w:fldChar w:fldCharType="end"/>
        </w:r>
      </w:p>
    </w:sdtContent>
  </w:sdt>
  <w:p w:rsidR="00247DD1" w:rsidRDefault="00461D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21E4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42"/>
    <w:rsid w:val="00230942"/>
    <w:rsid w:val="00461D88"/>
    <w:rsid w:val="00FD5D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DBFCE-C101-4E4C-8E5D-68D5D309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9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30942"/>
    <w:rPr>
      <w:rFonts w:ascii="Tahoma" w:hAnsi="Tahoma" w:cs="Tahoma"/>
      <w:sz w:val="16"/>
      <w:szCs w:val="16"/>
    </w:rPr>
  </w:style>
  <w:style w:type="character" w:customStyle="1" w:styleId="BalloonTextChar">
    <w:name w:val="Balloon Text Char"/>
    <w:basedOn w:val="DefaultParagraphFont"/>
    <w:link w:val="BalloonText"/>
    <w:semiHidden/>
    <w:rsid w:val="00230942"/>
    <w:rPr>
      <w:rFonts w:ascii="Tahoma" w:eastAsia="Times New Roman" w:hAnsi="Tahoma" w:cs="Tahoma"/>
      <w:sz w:val="16"/>
      <w:szCs w:val="16"/>
    </w:rPr>
  </w:style>
  <w:style w:type="character" w:styleId="Hyperlink">
    <w:name w:val="Hyperlink"/>
    <w:basedOn w:val="DefaultParagraphFont"/>
    <w:rsid w:val="00230942"/>
    <w:rPr>
      <w:color w:val="0000FF"/>
      <w:u w:val="single"/>
    </w:rPr>
  </w:style>
  <w:style w:type="paragraph" w:styleId="ListParagraph">
    <w:name w:val="List Paragraph"/>
    <w:basedOn w:val="Normal"/>
    <w:uiPriority w:val="34"/>
    <w:qFormat/>
    <w:rsid w:val="00230942"/>
    <w:pPr>
      <w:ind w:left="720"/>
    </w:pPr>
  </w:style>
  <w:style w:type="paragraph" w:styleId="Header">
    <w:name w:val="header"/>
    <w:basedOn w:val="Normal"/>
    <w:link w:val="HeaderChar"/>
    <w:uiPriority w:val="99"/>
    <w:rsid w:val="00230942"/>
    <w:pPr>
      <w:tabs>
        <w:tab w:val="center" w:pos="4153"/>
        <w:tab w:val="right" w:pos="8306"/>
      </w:tabs>
    </w:pPr>
  </w:style>
  <w:style w:type="character" w:customStyle="1" w:styleId="HeaderChar">
    <w:name w:val="Header Char"/>
    <w:basedOn w:val="DefaultParagraphFont"/>
    <w:link w:val="Header"/>
    <w:uiPriority w:val="99"/>
    <w:rsid w:val="00230942"/>
    <w:rPr>
      <w:rFonts w:ascii="Times New Roman" w:eastAsia="Times New Roman" w:hAnsi="Times New Roman" w:cs="Times New Roman"/>
      <w:sz w:val="24"/>
      <w:szCs w:val="24"/>
    </w:rPr>
  </w:style>
  <w:style w:type="paragraph" w:styleId="Footer">
    <w:name w:val="footer"/>
    <w:basedOn w:val="Normal"/>
    <w:link w:val="FooterChar"/>
    <w:uiPriority w:val="99"/>
    <w:rsid w:val="00230942"/>
    <w:pPr>
      <w:tabs>
        <w:tab w:val="center" w:pos="4153"/>
        <w:tab w:val="right" w:pos="8306"/>
      </w:tabs>
    </w:pPr>
  </w:style>
  <w:style w:type="character" w:customStyle="1" w:styleId="FooterChar">
    <w:name w:val="Footer Char"/>
    <w:basedOn w:val="DefaultParagraphFont"/>
    <w:link w:val="Footer"/>
    <w:uiPriority w:val="99"/>
    <w:rsid w:val="002309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a.zjurikova@e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likumi.lv/ta/id/108834-elektroenergijas-tirgus-liku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757</Words>
  <Characters>5852</Characters>
  <Application>Microsoft Office Word</Application>
  <DocSecurity>0</DocSecurity>
  <Lines>133</Lines>
  <Paragraphs>52</Paragraphs>
  <ScaleCrop>false</ScaleCrop>
  <Company/>
  <LinksUpToDate>false</LinksUpToDate>
  <CharactersWithSpaces>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Zjurikova</dc:creator>
  <cp:keywords/>
  <dc:description/>
  <cp:lastModifiedBy>Marija Zjurikova</cp:lastModifiedBy>
  <cp:revision>1</cp:revision>
  <dcterms:created xsi:type="dcterms:W3CDTF">2017-03-23T09:22:00Z</dcterms:created>
  <dcterms:modified xsi:type="dcterms:W3CDTF">2017-03-23T09:25:00Z</dcterms:modified>
</cp:coreProperties>
</file>