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50"/>
        <w:gridCol w:w="1785"/>
        <w:gridCol w:w="708"/>
        <w:gridCol w:w="2127"/>
      </w:tblGrid>
      <w:tr w:rsidR="004A1775" w:rsidRPr="00C407B9" w:rsidTr="00AF097D">
        <w:tc>
          <w:tcPr>
            <w:tcW w:w="450" w:type="dxa"/>
            <w:tcBorders>
              <w:top w:val="nil"/>
              <w:left w:val="nil"/>
              <w:bottom w:val="nil"/>
              <w:right w:val="nil"/>
            </w:tcBorders>
          </w:tcPr>
          <w:p w:rsidR="004A1775" w:rsidRPr="00C407B9" w:rsidRDefault="004A1775" w:rsidP="00AF097D">
            <w:pPr>
              <w:widowControl/>
              <w:tabs>
                <w:tab w:val="left" w:pos="360"/>
                <w:tab w:val="left" w:pos="3960"/>
              </w:tabs>
              <w:spacing w:before="0" w:after="0" w:line="240" w:lineRule="auto"/>
              <w:ind w:firstLine="0"/>
              <w:rPr>
                <w:sz w:val="28"/>
                <w:szCs w:val="28"/>
              </w:rPr>
            </w:pPr>
            <w:bookmarkStart w:id="0" w:name="_GoBack"/>
            <w:bookmarkEnd w:id="0"/>
          </w:p>
        </w:tc>
        <w:tc>
          <w:tcPr>
            <w:tcW w:w="1785" w:type="dxa"/>
            <w:tcBorders>
              <w:top w:val="nil"/>
              <w:left w:val="nil"/>
              <w:bottom w:val="single" w:sz="4" w:space="0" w:color="auto"/>
              <w:right w:val="nil"/>
            </w:tcBorders>
          </w:tcPr>
          <w:p w:rsidR="004A1775" w:rsidRPr="00C407B9" w:rsidRDefault="009B33EA" w:rsidP="00AF097D">
            <w:pPr>
              <w:widowControl/>
              <w:tabs>
                <w:tab w:val="left" w:pos="3960"/>
              </w:tabs>
              <w:spacing w:before="0" w:after="0" w:line="240" w:lineRule="auto"/>
              <w:ind w:firstLine="0"/>
              <w:rPr>
                <w:sz w:val="28"/>
                <w:szCs w:val="28"/>
              </w:rPr>
            </w:pPr>
            <w:r w:rsidRPr="00C407B9">
              <w:rPr>
                <w:sz w:val="28"/>
                <w:szCs w:val="28"/>
              </w:rPr>
              <w:fldChar w:fldCharType="begin">
                <w:ffData>
                  <w:name w:val="reg_dat"/>
                  <w:enabled/>
                  <w:calcOnExit w:val="0"/>
                  <w:textInput>
                    <w:default w:val="                      "/>
                  </w:textInput>
                </w:ffData>
              </w:fldChar>
            </w:r>
            <w:bookmarkStart w:id="1" w:name="reg_dat"/>
            <w:r w:rsidR="003E530F" w:rsidRPr="00C407B9">
              <w:rPr>
                <w:sz w:val="28"/>
                <w:szCs w:val="28"/>
              </w:rPr>
              <w:instrText xml:space="preserve"> FORMTEXT </w:instrText>
            </w:r>
            <w:r w:rsidR="001F1198" w:rsidRPr="00C407B9">
              <w:rPr>
                <w:sz w:val="28"/>
                <w:szCs w:val="28"/>
              </w:rPr>
            </w:r>
            <w:r w:rsidRPr="00C407B9">
              <w:rPr>
                <w:sz w:val="28"/>
                <w:szCs w:val="28"/>
              </w:rPr>
              <w:fldChar w:fldCharType="separate"/>
            </w:r>
            <w:r w:rsidR="001F1198">
              <w:rPr>
                <w:sz w:val="28"/>
                <w:szCs w:val="28"/>
              </w:rPr>
              <w:t>08.06.2017</w:t>
            </w:r>
            <w:r w:rsidRPr="00C407B9">
              <w:rPr>
                <w:sz w:val="28"/>
                <w:szCs w:val="28"/>
              </w:rPr>
              <w:fldChar w:fldCharType="end"/>
            </w:r>
            <w:bookmarkEnd w:id="1"/>
          </w:p>
        </w:tc>
        <w:tc>
          <w:tcPr>
            <w:tcW w:w="708" w:type="dxa"/>
            <w:tcBorders>
              <w:top w:val="nil"/>
              <w:left w:val="nil"/>
              <w:bottom w:val="nil"/>
              <w:right w:val="nil"/>
            </w:tcBorders>
          </w:tcPr>
          <w:p w:rsidR="004A1775" w:rsidRPr="00C407B9" w:rsidRDefault="004A1775" w:rsidP="00AF097D">
            <w:pPr>
              <w:widowControl/>
              <w:tabs>
                <w:tab w:val="left" w:pos="360"/>
                <w:tab w:val="left" w:pos="3960"/>
              </w:tabs>
              <w:spacing w:before="0" w:after="0" w:line="240" w:lineRule="auto"/>
              <w:ind w:firstLine="0"/>
              <w:jc w:val="center"/>
              <w:rPr>
                <w:sz w:val="28"/>
                <w:szCs w:val="28"/>
              </w:rPr>
            </w:pPr>
            <w:r w:rsidRPr="00C407B9">
              <w:rPr>
                <w:sz w:val="28"/>
                <w:szCs w:val="28"/>
              </w:rPr>
              <w:t>Nr.</w:t>
            </w:r>
          </w:p>
        </w:tc>
        <w:tc>
          <w:tcPr>
            <w:tcW w:w="2127" w:type="dxa"/>
            <w:tcBorders>
              <w:top w:val="nil"/>
              <w:left w:val="nil"/>
              <w:bottom w:val="single" w:sz="4" w:space="0" w:color="auto"/>
              <w:right w:val="nil"/>
            </w:tcBorders>
          </w:tcPr>
          <w:p w:rsidR="004A1775" w:rsidRPr="00C407B9" w:rsidRDefault="009B33EA" w:rsidP="004F2C66">
            <w:pPr>
              <w:widowControl/>
              <w:tabs>
                <w:tab w:val="left" w:pos="360"/>
                <w:tab w:val="left" w:pos="3960"/>
              </w:tabs>
              <w:spacing w:before="0" w:after="0" w:line="240" w:lineRule="auto"/>
              <w:ind w:firstLine="0"/>
              <w:rPr>
                <w:sz w:val="28"/>
                <w:szCs w:val="28"/>
              </w:rPr>
            </w:pPr>
            <w:r w:rsidRPr="00C407B9">
              <w:rPr>
                <w:sz w:val="28"/>
                <w:szCs w:val="28"/>
              </w:rPr>
              <w:fldChar w:fldCharType="begin">
                <w:ffData>
                  <w:name w:val="lietas_nr"/>
                  <w:enabled/>
                  <w:calcOnExit w:val="0"/>
                  <w:textInput>
                    <w:default w:val="                "/>
                  </w:textInput>
                </w:ffData>
              </w:fldChar>
            </w:r>
            <w:bookmarkStart w:id="2" w:name="lietas_nr"/>
            <w:r w:rsidR="003E530F" w:rsidRPr="00C407B9">
              <w:rPr>
                <w:sz w:val="28"/>
                <w:szCs w:val="28"/>
              </w:rPr>
              <w:instrText xml:space="preserve"> FORMTEXT </w:instrText>
            </w:r>
            <w:r w:rsidRPr="00C407B9">
              <w:rPr>
                <w:sz w:val="28"/>
                <w:szCs w:val="28"/>
              </w:rPr>
            </w:r>
            <w:r w:rsidRPr="00C407B9">
              <w:rPr>
                <w:sz w:val="28"/>
                <w:szCs w:val="28"/>
              </w:rPr>
              <w:fldChar w:fldCharType="separate"/>
            </w:r>
            <w:r w:rsidR="003043A8" w:rsidRPr="00C407B9">
              <w:rPr>
                <w:sz w:val="28"/>
                <w:szCs w:val="28"/>
              </w:rPr>
              <w:t>1-1</w:t>
            </w:r>
            <w:r w:rsidRPr="00C407B9">
              <w:rPr>
                <w:sz w:val="28"/>
                <w:szCs w:val="28"/>
              </w:rPr>
              <w:fldChar w:fldCharType="end"/>
            </w:r>
            <w:bookmarkEnd w:id="2"/>
            <w:r w:rsidR="004A1775" w:rsidRPr="00C407B9">
              <w:rPr>
                <w:sz w:val="28"/>
                <w:szCs w:val="28"/>
              </w:rPr>
              <w:t>-</w:t>
            </w:r>
            <w:r w:rsidRPr="00C407B9">
              <w:rPr>
                <w:sz w:val="28"/>
                <w:szCs w:val="28"/>
              </w:rPr>
              <w:fldChar w:fldCharType="begin">
                <w:ffData>
                  <w:name w:val="reg_num"/>
                  <w:enabled/>
                  <w:calcOnExit w:val="0"/>
                  <w:textInput>
                    <w:default w:val="            "/>
                  </w:textInput>
                </w:ffData>
              </w:fldChar>
            </w:r>
            <w:bookmarkStart w:id="3" w:name="reg_num"/>
            <w:r w:rsidR="004F2C66" w:rsidRPr="00C407B9">
              <w:rPr>
                <w:sz w:val="28"/>
                <w:szCs w:val="28"/>
              </w:rPr>
              <w:instrText xml:space="preserve"> FORMTEXT </w:instrText>
            </w:r>
            <w:r w:rsidR="001F1198" w:rsidRPr="00C407B9">
              <w:rPr>
                <w:sz w:val="28"/>
                <w:szCs w:val="28"/>
              </w:rPr>
            </w:r>
            <w:r w:rsidRPr="00C407B9">
              <w:rPr>
                <w:sz w:val="28"/>
                <w:szCs w:val="28"/>
              </w:rPr>
              <w:fldChar w:fldCharType="separate"/>
            </w:r>
            <w:r w:rsidR="001F1198">
              <w:rPr>
                <w:sz w:val="28"/>
                <w:szCs w:val="28"/>
              </w:rPr>
              <w:t>4091</w:t>
            </w:r>
            <w:r w:rsidRPr="00C407B9">
              <w:rPr>
                <w:sz w:val="28"/>
                <w:szCs w:val="28"/>
              </w:rPr>
              <w:fldChar w:fldCharType="end"/>
            </w:r>
            <w:bookmarkEnd w:id="3"/>
          </w:p>
        </w:tc>
      </w:tr>
    </w:tbl>
    <w:p w:rsidR="004A1775" w:rsidRPr="00C407B9" w:rsidRDefault="004A1775">
      <w:pPr>
        <w:pStyle w:val="EnvelopeAddress"/>
        <w:widowControl/>
        <w:rPr>
          <w:b/>
          <w:sz w:val="28"/>
        </w:rPr>
      </w:pPr>
    </w:p>
    <w:p w:rsidR="006373E3" w:rsidRPr="00C407B9" w:rsidRDefault="004A1775" w:rsidP="006373E3">
      <w:pPr>
        <w:spacing w:before="0" w:after="0" w:line="240" w:lineRule="auto"/>
        <w:jc w:val="right"/>
        <w:rPr>
          <w:b/>
          <w:color w:val="000000"/>
          <w:sz w:val="24"/>
          <w:szCs w:val="24"/>
        </w:rPr>
      </w:pPr>
      <w:r w:rsidRPr="00C407B9">
        <w:rPr>
          <w:b/>
          <w:sz w:val="28"/>
        </w:rPr>
        <w:t xml:space="preserve"> </w:t>
      </w:r>
      <w:r w:rsidR="006373E3" w:rsidRPr="00C407B9">
        <w:rPr>
          <w:b/>
          <w:color w:val="000000"/>
          <w:sz w:val="24"/>
          <w:szCs w:val="24"/>
        </w:rPr>
        <w:t>Valsts kancelejai</w:t>
      </w:r>
    </w:p>
    <w:p w:rsidR="00944EB5" w:rsidRPr="00C407B9" w:rsidRDefault="006373E3" w:rsidP="006373E3">
      <w:pPr>
        <w:tabs>
          <w:tab w:val="left" w:pos="4395"/>
        </w:tabs>
        <w:spacing w:before="0" w:after="0" w:line="240" w:lineRule="auto"/>
        <w:ind w:right="5245" w:firstLine="0"/>
        <w:rPr>
          <w:sz w:val="28"/>
        </w:rPr>
      </w:pPr>
      <w:r w:rsidRPr="00C407B9">
        <w:rPr>
          <w:i/>
          <w:color w:val="000000"/>
          <w:sz w:val="24"/>
          <w:szCs w:val="24"/>
        </w:rPr>
        <w:t>Par Ministru kabineta 2015. gada 19. maija sēdes protokollēmuma (Prot. Nr.25 32.§) 4. punkta  atzīšanu par aktualitāti zaudējušu</w:t>
      </w:r>
      <w:r w:rsidR="00944EB5" w:rsidRPr="00C407B9">
        <w:rPr>
          <w:sz w:val="28"/>
        </w:rPr>
        <w:t xml:space="preserve"> </w:t>
      </w:r>
    </w:p>
    <w:p w:rsidR="006373E3" w:rsidRPr="00C407B9" w:rsidRDefault="006373E3" w:rsidP="006373E3">
      <w:pPr>
        <w:spacing w:before="0" w:after="0" w:line="240" w:lineRule="auto"/>
        <w:rPr>
          <w:color w:val="000000"/>
          <w:sz w:val="24"/>
          <w:szCs w:val="24"/>
        </w:rPr>
      </w:pPr>
    </w:p>
    <w:p w:rsidR="006373E3" w:rsidRPr="00C407B9" w:rsidRDefault="006373E3" w:rsidP="006373E3">
      <w:pPr>
        <w:spacing w:before="0" w:after="0" w:line="240" w:lineRule="auto"/>
        <w:rPr>
          <w:sz w:val="24"/>
          <w:szCs w:val="24"/>
        </w:rPr>
      </w:pPr>
      <w:r w:rsidRPr="00C407B9">
        <w:rPr>
          <w:color w:val="000000"/>
          <w:sz w:val="24"/>
          <w:szCs w:val="24"/>
        </w:rPr>
        <w:t xml:space="preserve">Pamatojoties uz Ministru </w:t>
      </w:r>
      <w:r w:rsidRPr="00C407B9">
        <w:rPr>
          <w:sz w:val="24"/>
          <w:szCs w:val="24"/>
        </w:rPr>
        <w:t>kabineta 2009. gada 7. aprīļa noteikumu Nr. 300 „Ministru kabineta kārtības rullis” 73.1.apakšpunktu un 244.punktu, iesniedzu izskatīšanai Ministru kabineta  sēdē</w:t>
      </w:r>
      <w:r w:rsidRPr="00C407B9">
        <w:rPr>
          <w:b/>
          <w:sz w:val="24"/>
          <w:szCs w:val="24"/>
        </w:rPr>
        <w:t xml:space="preserve"> </w:t>
      </w:r>
      <w:r w:rsidRPr="00C407B9">
        <w:rPr>
          <w:sz w:val="24"/>
          <w:szCs w:val="24"/>
        </w:rPr>
        <w:t>protokollēmuma</w:t>
      </w:r>
      <w:r w:rsidRPr="00C407B9">
        <w:rPr>
          <w:b/>
          <w:sz w:val="24"/>
          <w:szCs w:val="24"/>
        </w:rPr>
        <w:t xml:space="preserve"> </w:t>
      </w:r>
      <w:r w:rsidRPr="00C407B9">
        <w:rPr>
          <w:sz w:val="24"/>
          <w:szCs w:val="24"/>
        </w:rPr>
        <w:t>projektu “Par Ministru kabineta 2015. gada 19. maija sēdes protokollēmuma (Prot.Nr.25 32.§) 4. punkta atzīšanu par aktualitāti zaudējušu”.</w:t>
      </w:r>
    </w:p>
    <w:p w:rsidR="006373E3" w:rsidRPr="00C407B9" w:rsidRDefault="006373E3" w:rsidP="006373E3">
      <w:pPr>
        <w:spacing w:before="0" w:after="0" w:line="240" w:lineRule="auto"/>
        <w:rPr>
          <w:bCs/>
          <w:color w:val="000000"/>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3335"/>
        <w:gridCol w:w="5171"/>
      </w:tblGrid>
      <w:tr w:rsidR="006373E3" w:rsidRPr="00C407B9" w:rsidTr="00C641B4">
        <w:trPr>
          <w:trHeight w:val="268"/>
        </w:trPr>
        <w:tc>
          <w:tcPr>
            <w:tcW w:w="566"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spacing w:line="240" w:lineRule="auto"/>
              <w:ind w:firstLine="0"/>
              <w:jc w:val="left"/>
              <w:rPr>
                <w:color w:val="000000"/>
                <w:sz w:val="24"/>
                <w:szCs w:val="24"/>
              </w:rPr>
            </w:pPr>
            <w:r w:rsidRPr="00C407B9">
              <w:rPr>
                <w:color w:val="000000"/>
                <w:sz w:val="24"/>
                <w:szCs w:val="24"/>
              </w:rPr>
              <w:t>1.</w:t>
            </w: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naiskr"/>
              <w:suppressAutoHyphens/>
              <w:spacing w:before="0" w:after="0"/>
              <w:rPr>
                <w:color w:val="000000"/>
              </w:rPr>
            </w:pPr>
            <w:r w:rsidRPr="00C407B9">
              <w:rPr>
                <w:color w:val="000000"/>
              </w:rPr>
              <w:t>Iesniegšanas pamatojums</w:t>
            </w:r>
          </w:p>
          <w:p w:rsidR="006373E3" w:rsidRPr="00C407B9" w:rsidRDefault="006373E3" w:rsidP="00C641B4">
            <w:pPr>
              <w:rPr>
                <w:lang w:eastAsia="lv-LV"/>
              </w:rPr>
            </w:pPr>
          </w:p>
          <w:p w:rsidR="006373E3" w:rsidRPr="00C407B9" w:rsidRDefault="006373E3" w:rsidP="00C641B4">
            <w:pPr>
              <w:rPr>
                <w:lang w:eastAsia="lv-LV"/>
              </w:rPr>
            </w:pPr>
          </w:p>
          <w:p w:rsidR="006373E3" w:rsidRPr="00C407B9" w:rsidRDefault="006373E3" w:rsidP="00C641B4">
            <w:pPr>
              <w:rPr>
                <w:lang w:eastAsia="lv-LV"/>
              </w:rPr>
            </w:pPr>
          </w:p>
          <w:p w:rsidR="006373E3" w:rsidRPr="00C407B9" w:rsidRDefault="006373E3" w:rsidP="00C641B4">
            <w:pPr>
              <w:rPr>
                <w:lang w:eastAsia="lv-LV"/>
              </w:rPr>
            </w:pPr>
          </w:p>
          <w:p w:rsidR="006373E3" w:rsidRPr="00C407B9" w:rsidRDefault="006373E3" w:rsidP="00C641B4">
            <w:pPr>
              <w:rPr>
                <w:lang w:eastAsia="lv-LV"/>
              </w:rPr>
            </w:pPr>
          </w:p>
          <w:p w:rsidR="006373E3" w:rsidRPr="00C407B9" w:rsidRDefault="006373E3" w:rsidP="00C641B4">
            <w:pPr>
              <w:rPr>
                <w:lang w:eastAsia="lv-LV"/>
              </w:rPr>
            </w:pPr>
          </w:p>
          <w:p w:rsidR="006373E3" w:rsidRPr="00C407B9" w:rsidRDefault="006373E3" w:rsidP="00C641B4">
            <w:pPr>
              <w:rPr>
                <w:lang w:eastAsia="lv-LV"/>
              </w:rPr>
            </w:pPr>
          </w:p>
          <w:p w:rsidR="006373E3" w:rsidRPr="00C407B9" w:rsidRDefault="006373E3" w:rsidP="00C641B4">
            <w:pPr>
              <w:rPr>
                <w:lang w:eastAsia="lv-LV"/>
              </w:rPr>
            </w:pPr>
          </w:p>
          <w:p w:rsidR="006373E3" w:rsidRPr="00C407B9" w:rsidRDefault="006373E3" w:rsidP="00C641B4">
            <w:pPr>
              <w:rPr>
                <w:lang w:eastAsia="lv-LV"/>
              </w:rPr>
            </w:pPr>
          </w:p>
          <w:p w:rsidR="006373E3" w:rsidRPr="00C407B9" w:rsidRDefault="006373E3" w:rsidP="00C641B4">
            <w:pPr>
              <w:rPr>
                <w:lang w:eastAsia="lv-LV"/>
              </w:rPr>
            </w:pPr>
          </w:p>
          <w:p w:rsidR="006373E3" w:rsidRPr="00C407B9" w:rsidRDefault="006373E3" w:rsidP="00C641B4">
            <w:pPr>
              <w:rPr>
                <w:lang w:eastAsia="lv-LV"/>
              </w:rPr>
            </w:pPr>
          </w:p>
          <w:p w:rsidR="006373E3" w:rsidRPr="00C407B9" w:rsidRDefault="006373E3" w:rsidP="00C641B4">
            <w:pPr>
              <w:rPr>
                <w:lang w:eastAsia="lv-LV"/>
              </w:rPr>
            </w:pPr>
          </w:p>
          <w:p w:rsidR="006373E3" w:rsidRPr="00C407B9" w:rsidRDefault="006373E3" w:rsidP="00C641B4">
            <w:pPr>
              <w:rPr>
                <w:lang w:eastAsia="lv-LV"/>
              </w:rPr>
            </w:pPr>
          </w:p>
        </w:tc>
        <w:tc>
          <w:tcPr>
            <w:tcW w:w="5171"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Default"/>
              <w:jc w:val="both"/>
            </w:pPr>
            <w:r w:rsidRPr="00C407B9">
              <w:t>Ministru kabineta 2015. gada 19. maija sēdē (prot. Nr.25, 32. §) tika izskatīts Ekonomikas ministrijas sagatavotais likumprojekts “Energoefektivitātes likums” (TA-686) un tika nolemts Ekonomikas ministrijai sagatavot un iesniegt Saeimas atbildīgajā komisijā priekšlikumus grozījumiem Enerģētikas likuma 50. un 51. pantā (protokollēmuma 4.punkts). Minētais lēmums tika pieņemts laikā, kad Saeimas atbildīgajā komisijā otrajā lasījumā attiecīgi tika skatīts likumprojekts “Grozījumi Enerģētikas likumā” (111/Lp12).</w:t>
            </w:r>
          </w:p>
          <w:p w:rsidR="006373E3" w:rsidRPr="00C407B9" w:rsidRDefault="006373E3" w:rsidP="00C641B4">
            <w:pPr>
              <w:pStyle w:val="Default"/>
              <w:jc w:val="both"/>
            </w:pPr>
            <w:r w:rsidRPr="00C407B9">
              <w:t xml:space="preserve">Likumprojekts “Grozījumi Enerģētikas likumā” tika pieņemts Saeimā 2017. gada 3.martā un stājās spēkā 2017.gada 29.martā. </w:t>
            </w:r>
          </w:p>
          <w:p w:rsidR="006373E3" w:rsidRPr="00C407B9" w:rsidRDefault="006373E3" w:rsidP="00C641B4">
            <w:pPr>
              <w:pStyle w:val="Default"/>
              <w:jc w:val="both"/>
            </w:pPr>
            <w:r w:rsidRPr="00C407B9">
              <w:t>Papildus tam Enerģētikas attīstības pamatnostādnes 2016. – 2020. gadam (apstiprinātas ar Ministru kabineta 2016.gada 9.februāra rīkojumu Nr. 129 “Par Enerģētikas attīstības pamatnostādnēm 2016.-2020. gadam”) paredz, ka Ekonomikas ministrijai 2017.gadā ir jāizstrādā likumprojekts par siltumenerģijas tirgu un tam pakārtotie normatīvie akti (5.nodaļa “Turpmākās rīcības plānojums, 4.1.1. apakšpunkts).</w:t>
            </w:r>
          </w:p>
          <w:p w:rsidR="006373E3" w:rsidRPr="00C407B9" w:rsidRDefault="006373E3" w:rsidP="00C641B4">
            <w:pPr>
              <w:pStyle w:val="Default"/>
              <w:jc w:val="both"/>
            </w:pPr>
            <w:r w:rsidRPr="00C407B9">
              <w:t xml:space="preserve">Ņemot vērā minēto, Ministru kabineta 2015. gada 19. maija sēdes protokollēmuma (Nr.25 32.§) 4. punkts saistībā ar priekšlikumu iesniegšanu Saeimas atbildīgajā komisijā attiecībā uz </w:t>
            </w:r>
            <w:r w:rsidRPr="00C407B9">
              <w:lastRenderedPageBreak/>
              <w:t>grozījumiem Enerģētikas likuma 50. un 51. pantā ir atzīstams par aktualitāti zaudējušu.</w:t>
            </w:r>
          </w:p>
        </w:tc>
      </w:tr>
      <w:tr w:rsidR="006373E3" w:rsidRPr="00C407B9" w:rsidTr="00C641B4">
        <w:trPr>
          <w:trHeight w:val="268"/>
        </w:trPr>
        <w:tc>
          <w:tcPr>
            <w:tcW w:w="566"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spacing w:line="240" w:lineRule="auto"/>
              <w:ind w:firstLine="0"/>
              <w:jc w:val="left"/>
              <w:rPr>
                <w:color w:val="000000"/>
                <w:sz w:val="24"/>
                <w:szCs w:val="24"/>
              </w:rPr>
            </w:pPr>
            <w:r w:rsidRPr="00C407B9">
              <w:rPr>
                <w:color w:val="000000"/>
                <w:sz w:val="24"/>
                <w:szCs w:val="24"/>
              </w:rPr>
              <w:lastRenderedPageBreak/>
              <w:t>2.</w:t>
            </w: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naiskr"/>
              <w:suppressAutoHyphens/>
              <w:spacing w:before="0" w:after="0"/>
              <w:rPr>
                <w:color w:val="000000"/>
              </w:rPr>
            </w:pPr>
            <w:r w:rsidRPr="00C407B9">
              <w:rPr>
                <w:color w:val="000000"/>
              </w:rPr>
              <w:t>Valsts sekretāru sanāksmes datums un numurs</w:t>
            </w:r>
          </w:p>
        </w:tc>
        <w:tc>
          <w:tcPr>
            <w:tcW w:w="5171"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Default"/>
              <w:jc w:val="both"/>
            </w:pPr>
            <w:r w:rsidRPr="00C407B9">
              <w:t>Nav attiecināms</w:t>
            </w:r>
          </w:p>
        </w:tc>
      </w:tr>
      <w:tr w:rsidR="006373E3" w:rsidRPr="00C407B9" w:rsidTr="00C641B4">
        <w:trPr>
          <w:trHeight w:val="268"/>
        </w:trPr>
        <w:tc>
          <w:tcPr>
            <w:tcW w:w="566"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spacing w:line="240" w:lineRule="auto"/>
              <w:ind w:firstLine="0"/>
              <w:jc w:val="left"/>
              <w:rPr>
                <w:color w:val="000000"/>
                <w:sz w:val="24"/>
                <w:szCs w:val="24"/>
              </w:rPr>
            </w:pPr>
            <w:r w:rsidRPr="00C407B9">
              <w:rPr>
                <w:color w:val="000000"/>
                <w:sz w:val="24"/>
                <w:szCs w:val="24"/>
              </w:rPr>
              <w:t>3.</w:t>
            </w: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naiskr"/>
              <w:suppressAutoHyphens/>
              <w:spacing w:before="0" w:after="0"/>
              <w:rPr>
                <w:color w:val="000000"/>
              </w:rPr>
            </w:pPr>
            <w:r w:rsidRPr="00C407B9">
              <w:rPr>
                <w:color w:val="000000"/>
              </w:rPr>
              <w:t>Informācija par saskaņojumiem</w:t>
            </w:r>
          </w:p>
        </w:tc>
        <w:tc>
          <w:tcPr>
            <w:tcW w:w="5171"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spacing w:before="0" w:after="240" w:line="240" w:lineRule="auto"/>
              <w:ind w:firstLine="0"/>
              <w:rPr>
                <w:sz w:val="24"/>
                <w:szCs w:val="24"/>
              </w:rPr>
            </w:pPr>
            <w:r w:rsidRPr="00C407B9">
              <w:rPr>
                <w:sz w:val="24"/>
                <w:szCs w:val="24"/>
              </w:rPr>
              <w:t>Nav attiecināms</w:t>
            </w:r>
          </w:p>
        </w:tc>
      </w:tr>
      <w:tr w:rsidR="006373E3" w:rsidRPr="00C407B9" w:rsidTr="00C641B4">
        <w:trPr>
          <w:trHeight w:val="268"/>
        </w:trPr>
        <w:tc>
          <w:tcPr>
            <w:tcW w:w="566"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spacing w:line="240" w:lineRule="auto"/>
              <w:ind w:firstLine="0"/>
              <w:jc w:val="left"/>
              <w:rPr>
                <w:color w:val="000000"/>
                <w:sz w:val="24"/>
                <w:szCs w:val="24"/>
              </w:rPr>
            </w:pPr>
            <w:r w:rsidRPr="00C407B9">
              <w:rPr>
                <w:color w:val="000000"/>
                <w:sz w:val="24"/>
                <w:szCs w:val="24"/>
              </w:rPr>
              <w:t>4.</w:t>
            </w: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naiskr"/>
              <w:suppressAutoHyphens/>
              <w:spacing w:before="0" w:after="0"/>
              <w:rPr>
                <w:color w:val="000000"/>
              </w:rPr>
            </w:pPr>
            <w:r w:rsidRPr="00C407B9">
              <w:rPr>
                <w:color w:val="000000"/>
              </w:rPr>
              <w:t>Informācija par noklusējuma saskaņojumu</w:t>
            </w:r>
          </w:p>
        </w:tc>
        <w:tc>
          <w:tcPr>
            <w:tcW w:w="5171"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Default"/>
            </w:pPr>
            <w:r w:rsidRPr="00C407B9">
              <w:t>Nav attiecināms.</w:t>
            </w:r>
          </w:p>
        </w:tc>
      </w:tr>
      <w:tr w:rsidR="006373E3" w:rsidRPr="00C407B9" w:rsidTr="00C641B4">
        <w:trPr>
          <w:trHeight w:val="268"/>
        </w:trPr>
        <w:tc>
          <w:tcPr>
            <w:tcW w:w="566"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spacing w:line="240" w:lineRule="auto"/>
              <w:ind w:firstLine="0"/>
              <w:jc w:val="left"/>
              <w:rPr>
                <w:color w:val="000000"/>
                <w:sz w:val="24"/>
                <w:szCs w:val="24"/>
              </w:rPr>
            </w:pPr>
            <w:r w:rsidRPr="00C407B9">
              <w:rPr>
                <w:color w:val="000000"/>
                <w:sz w:val="24"/>
                <w:szCs w:val="24"/>
              </w:rPr>
              <w:t>5.</w:t>
            </w: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naiskr"/>
              <w:suppressAutoHyphens/>
              <w:spacing w:before="0" w:after="0"/>
              <w:rPr>
                <w:color w:val="000000"/>
              </w:rPr>
            </w:pPr>
            <w:r w:rsidRPr="00C407B9">
              <w:rPr>
                <w:color w:val="000000"/>
              </w:rPr>
              <w:t>Ziņas par saskaņojumu ar Eiropas Savienības institūcijām</w:t>
            </w:r>
          </w:p>
        </w:tc>
        <w:tc>
          <w:tcPr>
            <w:tcW w:w="5171"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Default"/>
            </w:pPr>
            <w:r w:rsidRPr="00C407B9">
              <w:t>Nav attiecināms.</w:t>
            </w:r>
          </w:p>
        </w:tc>
      </w:tr>
      <w:tr w:rsidR="006373E3" w:rsidRPr="00C407B9" w:rsidTr="00C641B4">
        <w:trPr>
          <w:trHeight w:val="268"/>
        </w:trPr>
        <w:tc>
          <w:tcPr>
            <w:tcW w:w="566"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spacing w:line="240" w:lineRule="auto"/>
              <w:ind w:firstLine="0"/>
              <w:jc w:val="left"/>
              <w:rPr>
                <w:color w:val="000000"/>
                <w:sz w:val="24"/>
                <w:szCs w:val="24"/>
              </w:rPr>
            </w:pPr>
            <w:r w:rsidRPr="00C407B9">
              <w:rPr>
                <w:color w:val="000000"/>
                <w:sz w:val="24"/>
                <w:szCs w:val="24"/>
              </w:rPr>
              <w:t>6.</w:t>
            </w: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naiskr"/>
              <w:suppressAutoHyphens/>
              <w:spacing w:before="0" w:after="0"/>
              <w:rPr>
                <w:color w:val="000000"/>
              </w:rPr>
            </w:pPr>
            <w:r w:rsidRPr="00C407B9">
              <w:rPr>
                <w:color w:val="000000"/>
              </w:rPr>
              <w:t>Politikas joma</w:t>
            </w:r>
          </w:p>
        </w:tc>
        <w:tc>
          <w:tcPr>
            <w:tcW w:w="5171"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Default"/>
            </w:pPr>
            <w:r w:rsidRPr="00C407B9">
              <w:t>Industrijas un pakalpojumu politika.</w:t>
            </w:r>
          </w:p>
          <w:p w:rsidR="006373E3" w:rsidRPr="00C407B9" w:rsidRDefault="006373E3" w:rsidP="00C641B4">
            <w:pPr>
              <w:pStyle w:val="Default"/>
            </w:pPr>
            <w:r w:rsidRPr="00C407B9">
              <w:t>5.3. Enerģētika.</w:t>
            </w:r>
          </w:p>
        </w:tc>
      </w:tr>
      <w:tr w:rsidR="006373E3" w:rsidRPr="00C407B9" w:rsidTr="00C641B4">
        <w:trPr>
          <w:trHeight w:val="165"/>
        </w:trPr>
        <w:tc>
          <w:tcPr>
            <w:tcW w:w="566"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spacing w:line="240" w:lineRule="auto"/>
              <w:ind w:firstLine="0"/>
              <w:jc w:val="left"/>
              <w:rPr>
                <w:color w:val="000000"/>
                <w:sz w:val="24"/>
                <w:szCs w:val="24"/>
              </w:rPr>
            </w:pPr>
            <w:r w:rsidRPr="00C407B9">
              <w:rPr>
                <w:color w:val="000000"/>
                <w:sz w:val="24"/>
                <w:szCs w:val="24"/>
              </w:rPr>
              <w:t>7.</w:t>
            </w: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naiskr"/>
              <w:suppressAutoHyphens/>
              <w:spacing w:before="0" w:after="0"/>
              <w:rPr>
                <w:color w:val="000000"/>
              </w:rPr>
            </w:pPr>
            <w:r w:rsidRPr="00C407B9">
              <w:rPr>
                <w:color w:val="000000"/>
              </w:rPr>
              <w:t>Projekta autors</w:t>
            </w:r>
          </w:p>
        </w:tc>
        <w:tc>
          <w:tcPr>
            <w:tcW w:w="5171"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Default"/>
              <w:jc w:val="both"/>
            </w:pPr>
            <w:r w:rsidRPr="00C407B9">
              <w:t>Atjaunojamo energoresursu un energoefektivitātes departamenta Energoefektivitātes nodaļas vadītāja Andžela Pētersone.</w:t>
            </w:r>
          </w:p>
        </w:tc>
      </w:tr>
      <w:tr w:rsidR="006373E3" w:rsidRPr="00C407B9" w:rsidTr="00C641B4">
        <w:trPr>
          <w:trHeight w:val="268"/>
        </w:trPr>
        <w:tc>
          <w:tcPr>
            <w:tcW w:w="566"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spacing w:line="240" w:lineRule="auto"/>
              <w:ind w:firstLine="0"/>
              <w:jc w:val="left"/>
              <w:rPr>
                <w:color w:val="000000"/>
                <w:sz w:val="24"/>
                <w:szCs w:val="24"/>
              </w:rPr>
            </w:pPr>
            <w:r w:rsidRPr="00C407B9">
              <w:rPr>
                <w:color w:val="000000"/>
                <w:sz w:val="24"/>
                <w:szCs w:val="24"/>
              </w:rPr>
              <w:t>8.</w:t>
            </w: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naiskr"/>
              <w:suppressAutoHyphens/>
              <w:spacing w:before="0" w:after="0"/>
              <w:rPr>
                <w:color w:val="000000"/>
              </w:rPr>
            </w:pPr>
            <w:r w:rsidRPr="00C407B9">
              <w:rPr>
                <w:color w:val="000000"/>
              </w:rPr>
              <w:t>Uzaicināmās personas</w:t>
            </w:r>
          </w:p>
        </w:tc>
        <w:tc>
          <w:tcPr>
            <w:tcW w:w="5171"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Default"/>
              <w:jc w:val="both"/>
            </w:pPr>
            <w:r w:rsidRPr="00C407B9">
              <w:t>Valsts sekretāra vietnieks Jānis Patmalnieks un Atjaunojamo energoresursu un energoefektivitātes departamenta direktors Dzintars Kauliņš.</w:t>
            </w:r>
          </w:p>
        </w:tc>
      </w:tr>
      <w:tr w:rsidR="006373E3" w:rsidRPr="00C407B9" w:rsidTr="00C641B4">
        <w:trPr>
          <w:trHeight w:val="268"/>
        </w:trPr>
        <w:tc>
          <w:tcPr>
            <w:tcW w:w="566"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spacing w:line="240" w:lineRule="auto"/>
              <w:ind w:firstLine="0"/>
              <w:jc w:val="left"/>
              <w:rPr>
                <w:color w:val="000000"/>
                <w:sz w:val="24"/>
                <w:szCs w:val="24"/>
              </w:rPr>
            </w:pPr>
            <w:r w:rsidRPr="00C407B9">
              <w:rPr>
                <w:color w:val="000000"/>
                <w:sz w:val="24"/>
                <w:szCs w:val="24"/>
              </w:rPr>
              <w:t>9.</w:t>
            </w: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naiskr"/>
              <w:suppressAutoHyphens/>
              <w:spacing w:before="0" w:after="0"/>
              <w:rPr>
                <w:color w:val="000000"/>
              </w:rPr>
            </w:pPr>
            <w:r w:rsidRPr="00C407B9">
              <w:rPr>
                <w:color w:val="000000"/>
              </w:rPr>
              <w:t>Projekta ierobežotas pieejamības statuss</w:t>
            </w:r>
          </w:p>
        </w:tc>
        <w:tc>
          <w:tcPr>
            <w:tcW w:w="5171"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Default"/>
              <w:ind w:left="243" w:hanging="243"/>
              <w:jc w:val="both"/>
            </w:pPr>
            <w:r w:rsidRPr="00C407B9">
              <w:t>Nav.</w:t>
            </w:r>
          </w:p>
        </w:tc>
      </w:tr>
      <w:tr w:rsidR="006373E3" w:rsidRPr="00C407B9" w:rsidTr="00C641B4">
        <w:trPr>
          <w:trHeight w:val="268"/>
        </w:trPr>
        <w:tc>
          <w:tcPr>
            <w:tcW w:w="566"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spacing w:line="240" w:lineRule="auto"/>
              <w:ind w:firstLine="0"/>
              <w:jc w:val="left"/>
              <w:rPr>
                <w:color w:val="000000"/>
                <w:sz w:val="24"/>
                <w:szCs w:val="24"/>
              </w:rPr>
            </w:pPr>
            <w:r w:rsidRPr="00C407B9">
              <w:rPr>
                <w:color w:val="000000"/>
                <w:sz w:val="24"/>
                <w:szCs w:val="24"/>
              </w:rPr>
              <w:t>10.</w:t>
            </w: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naiskr"/>
              <w:suppressAutoHyphens/>
              <w:spacing w:before="0" w:after="0"/>
              <w:rPr>
                <w:color w:val="000000"/>
              </w:rPr>
            </w:pPr>
            <w:r w:rsidRPr="00C407B9">
              <w:rPr>
                <w:color w:val="000000"/>
              </w:rPr>
              <w:t>Cita nepieciešamā informācija</w:t>
            </w:r>
          </w:p>
        </w:tc>
        <w:tc>
          <w:tcPr>
            <w:tcW w:w="5171" w:type="dxa"/>
            <w:tcBorders>
              <w:top w:val="single" w:sz="4" w:space="0" w:color="auto"/>
              <w:left w:val="single" w:sz="4" w:space="0" w:color="auto"/>
              <w:bottom w:val="single" w:sz="4" w:space="0" w:color="auto"/>
              <w:right w:val="single" w:sz="4" w:space="0" w:color="auto"/>
            </w:tcBorders>
            <w:shd w:val="clear" w:color="auto" w:fill="auto"/>
          </w:tcPr>
          <w:p w:rsidR="006373E3" w:rsidRPr="00C407B9" w:rsidRDefault="006373E3" w:rsidP="00C641B4">
            <w:pPr>
              <w:pStyle w:val="Default"/>
              <w:jc w:val="both"/>
            </w:pPr>
            <w:r w:rsidRPr="00C407B9">
              <w:t>Nav.</w:t>
            </w:r>
          </w:p>
        </w:tc>
      </w:tr>
    </w:tbl>
    <w:p w:rsidR="006373E3" w:rsidRPr="00C407B9" w:rsidRDefault="006373E3" w:rsidP="006373E3">
      <w:pPr>
        <w:spacing w:before="0" w:after="0" w:line="240" w:lineRule="auto"/>
        <w:rPr>
          <w:color w:val="000000"/>
          <w:sz w:val="24"/>
          <w:szCs w:val="24"/>
        </w:rPr>
      </w:pPr>
    </w:p>
    <w:p w:rsidR="006373E3" w:rsidRPr="00C407B9" w:rsidRDefault="006373E3" w:rsidP="006373E3">
      <w:pPr>
        <w:spacing w:before="0" w:after="120" w:line="240" w:lineRule="auto"/>
        <w:ind w:firstLine="0"/>
        <w:rPr>
          <w:color w:val="000000"/>
          <w:sz w:val="24"/>
          <w:szCs w:val="24"/>
        </w:rPr>
      </w:pPr>
      <w:r w:rsidRPr="00C407B9">
        <w:rPr>
          <w:color w:val="000000"/>
          <w:sz w:val="24"/>
          <w:szCs w:val="24"/>
        </w:rPr>
        <w:t>Pielikumā: Ministru kabineta protokollēmuma projekts “Par Ministru kabineta 2015. gada 19. maija sēdes protokollēmuma (Prot.Nr.25 32.§) 4. punkta atzīšanu par aktualitāti zaudējušu” uz 1 lpp (datne:</w:t>
      </w:r>
      <w:r w:rsidRPr="00C407B9">
        <w:rPr>
          <w:sz w:val="24"/>
          <w:szCs w:val="24"/>
        </w:rPr>
        <w:t xml:space="preserve"> </w:t>
      </w:r>
      <w:r w:rsidRPr="00C407B9">
        <w:rPr>
          <w:color w:val="000000"/>
          <w:sz w:val="24"/>
          <w:szCs w:val="24"/>
        </w:rPr>
        <w:t>EMProt_MK19052015Nr.25_32§_4_).</w:t>
      </w:r>
    </w:p>
    <w:p w:rsidR="006373E3" w:rsidRPr="00C407B9" w:rsidRDefault="006373E3" w:rsidP="006373E3">
      <w:pPr>
        <w:spacing w:before="0" w:after="0" w:line="240" w:lineRule="auto"/>
        <w:ind w:left="1440" w:firstLine="0"/>
        <w:rPr>
          <w:color w:val="000000"/>
          <w:sz w:val="24"/>
          <w:szCs w:val="24"/>
        </w:rPr>
      </w:pPr>
    </w:p>
    <w:p w:rsidR="006373E3" w:rsidRPr="00C407B9" w:rsidRDefault="006373E3" w:rsidP="006373E3">
      <w:pPr>
        <w:spacing w:before="0" w:after="0" w:line="240" w:lineRule="auto"/>
        <w:ind w:left="1440" w:firstLine="0"/>
        <w:rPr>
          <w:color w:val="000000"/>
          <w:sz w:val="24"/>
          <w:szCs w:val="24"/>
        </w:rPr>
      </w:pPr>
    </w:p>
    <w:p w:rsidR="006373E3" w:rsidRPr="00C407B9" w:rsidRDefault="006373E3" w:rsidP="006373E3">
      <w:pPr>
        <w:spacing w:before="0" w:after="0" w:line="240" w:lineRule="auto"/>
        <w:ind w:left="1440" w:firstLine="0"/>
        <w:rPr>
          <w:color w:val="000000"/>
          <w:sz w:val="24"/>
          <w:szCs w:val="24"/>
        </w:rPr>
      </w:pPr>
    </w:p>
    <w:p w:rsidR="006373E3" w:rsidRPr="00C407B9" w:rsidRDefault="006373E3" w:rsidP="006373E3">
      <w:pPr>
        <w:spacing w:before="0" w:after="0" w:line="240" w:lineRule="auto"/>
        <w:ind w:firstLine="0"/>
        <w:rPr>
          <w:color w:val="000000"/>
          <w:sz w:val="24"/>
          <w:szCs w:val="24"/>
        </w:rPr>
      </w:pPr>
      <w:r w:rsidRPr="00C407B9">
        <w:rPr>
          <w:color w:val="000000"/>
          <w:sz w:val="24"/>
          <w:szCs w:val="24"/>
        </w:rPr>
        <w:t>Ministru prezidenta biedrs,</w:t>
      </w:r>
    </w:p>
    <w:p w:rsidR="006373E3" w:rsidRPr="00C407B9" w:rsidRDefault="006373E3" w:rsidP="006373E3">
      <w:pPr>
        <w:spacing w:before="0" w:after="0" w:line="240" w:lineRule="auto"/>
        <w:ind w:firstLine="0"/>
        <w:rPr>
          <w:color w:val="000000"/>
          <w:sz w:val="24"/>
          <w:szCs w:val="24"/>
        </w:rPr>
      </w:pPr>
      <w:r w:rsidRPr="00C407B9">
        <w:rPr>
          <w:color w:val="000000"/>
          <w:sz w:val="24"/>
          <w:szCs w:val="24"/>
        </w:rPr>
        <w:t>ekonomikas ministrs</w:t>
      </w:r>
      <w:r w:rsidRPr="00C407B9">
        <w:rPr>
          <w:color w:val="000000"/>
          <w:sz w:val="24"/>
          <w:szCs w:val="24"/>
        </w:rPr>
        <w:tab/>
      </w:r>
      <w:r w:rsidRPr="00C407B9">
        <w:rPr>
          <w:color w:val="000000"/>
          <w:sz w:val="24"/>
          <w:szCs w:val="24"/>
        </w:rPr>
        <w:tab/>
      </w:r>
      <w:r w:rsidRPr="00C407B9">
        <w:rPr>
          <w:color w:val="000000"/>
          <w:sz w:val="24"/>
          <w:szCs w:val="24"/>
        </w:rPr>
        <w:tab/>
      </w:r>
      <w:r w:rsidRPr="00C407B9">
        <w:rPr>
          <w:color w:val="000000"/>
          <w:sz w:val="24"/>
          <w:szCs w:val="24"/>
        </w:rPr>
        <w:tab/>
      </w:r>
      <w:r w:rsidRPr="00C407B9">
        <w:rPr>
          <w:color w:val="000000"/>
          <w:sz w:val="24"/>
          <w:szCs w:val="24"/>
        </w:rPr>
        <w:tab/>
      </w:r>
      <w:r w:rsidRPr="00C407B9">
        <w:rPr>
          <w:color w:val="000000"/>
          <w:sz w:val="24"/>
          <w:szCs w:val="24"/>
        </w:rPr>
        <w:tab/>
      </w:r>
      <w:r w:rsidRPr="00C407B9">
        <w:rPr>
          <w:color w:val="000000"/>
          <w:sz w:val="24"/>
          <w:szCs w:val="24"/>
        </w:rPr>
        <w:tab/>
        <w:t>A. Ašeradens</w:t>
      </w:r>
    </w:p>
    <w:p w:rsidR="006373E3" w:rsidRPr="00C407B9" w:rsidRDefault="006373E3" w:rsidP="006373E3">
      <w:pPr>
        <w:suppressLineNumbers/>
        <w:spacing w:before="0" w:after="0" w:line="240" w:lineRule="auto"/>
        <w:ind w:firstLine="0"/>
        <w:rPr>
          <w:color w:val="000000"/>
          <w:sz w:val="24"/>
          <w:szCs w:val="24"/>
        </w:rPr>
      </w:pPr>
    </w:p>
    <w:p w:rsidR="006373E3" w:rsidRPr="00C407B9" w:rsidRDefault="006373E3" w:rsidP="006373E3">
      <w:pPr>
        <w:suppressLineNumbers/>
        <w:spacing w:before="0" w:after="0" w:line="240" w:lineRule="auto"/>
        <w:ind w:firstLine="0"/>
        <w:rPr>
          <w:color w:val="000000"/>
          <w:sz w:val="24"/>
          <w:szCs w:val="24"/>
        </w:rPr>
      </w:pPr>
    </w:p>
    <w:p w:rsidR="00BB3567" w:rsidRPr="00C407B9" w:rsidRDefault="00BB3567" w:rsidP="007F4217">
      <w:pPr>
        <w:pStyle w:val="EnvelopeReturn"/>
        <w:spacing w:before="120"/>
      </w:pPr>
    </w:p>
    <w:tbl>
      <w:tblPr>
        <w:tblpPr w:leftFromText="180" w:rightFromText="180" w:vertAnchor="text" w:tblpY="12"/>
        <w:tblW w:w="0" w:type="auto"/>
        <w:tblLook w:val="04A0" w:firstRow="1" w:lastRow="0" w:firstColumn="1" w:lastColumn="0" w:noHBand="0" w:noVBand="1"/>
      </w:tblPr>
      <w:tblGrid>
        <w:gridCol w:w="9072"/>
      </w:tblGrid>
      <w:tr w:rsidR="000F29B1" w:rsidRPr="00C407B9" w:rsidTr="000F29B1">
        <w:trPr>
          <w:cantSplit/>
          <w:trHeight w:val="579"/>
        </w:trPr>
        <w:tc>
          <w:tcPr>
            <w:tcW w:w="9072" w:type="dxa"/>
          </w:tcPr>
          <w:tbl>
            <w:tblPr>
              <w:tblW w:w="0" w:type="auto"/>
              <w:tblInd w:w="108" w:type="dxa"/>
              <w:tblLook w:val="04A0" w:firstRow="1" w:lastRow="0" w:firstColumn="1" w:lastColumn="0" w:noHBand="0" w:noVBand="1"/>
            </w:tblPr>
            <w:tblGrid>
              <w:gridCol w:w="7722"/>
            </w:tblGrid>
            <w:tr w:rsidR="000F29B1" w:rsidRPr="00C407B9" w:rsidTr="00887874">
              <w:trPr>
                <w:cantSplit/>
                <w:trHeight w:val="579"/>
              </w:trPr>
              <w:tc>
                <w:tcPr>
                  <w:tcW w:w="7722" w:type="dxa"/>
                </w:tcPr>
                <w:p w:rsidR="000F29B1" w:rsidRPr="00C407B9" w:rsidRDefault="000F29B1" w:rsidP="000F29B1">
                  <w:pPr>
                    <w:pStyle w:val="BodyTextIndent"/>
                    <w:framePr w:hSpace="180" w:wrap="around" w:vAnchor="text" w:hAnchor="text" w:y="12"/>
                    <w:spacing w:before="0" w:after="0" w:line="240" w:lineRule="auto"/>
                    <w:ind w:left="102" w:firstLine="0"/>
                    <w:jc w:val="left"/>
                    <w:rPr>
                      <w:sz w:val="20"/>
                    </w:rPr>
                  </w:pPr>
                  <w:bookmarkStart w:id="4" w:name="edoc_info" w:colFirst="0" w:colLast="0"/>
                  <w:r w:rsidRPr="00C407B9">
                    <w:rPr>
                      <w:sz w:val="20"/>
                    </w:rPr>
                    <w:t>ŠIS DOKUMENTS IR ELEKTRONISKI PARAKSTĪTS AR DROŠU ELEKTRONISKO PARAKSTU UN SATUR LAIKA ZĪMOGU</w:t>
                  </w:r>
                </w:p>
              </w:tc>
            </w:tr>
          </w:tbl>
          <w:p w:rsidR="000F29B1" w:rsidRPr="00C407B9" w:rsidRDefault="000F29B1" w:rsidP="000F29B1">
            <w:pPr>
              <w:pStyle w:val="BodyTextIndent"/>
              <w:rPr>
                <w:lang w:val="de-DE"/>
              </w:rPr>
            </w:pPr>
          </w:p>
        </w:tc>
      </w:tr>
      <w:bookmarkEnd w:id="4"/>
    </w:tbl>
    <w:p w:rsidR="000F29B1" w:rsidRPr="00C407B9" w:rsidRDefault="000F29B1" w:rsidP="007F4217">
      <w:pPr>
        <w:pStyle w:val="EnvelopeReturn"/>
        <w:spacing w:before="120"/>
      </w:pPr>
    </w:p>
    <w:p w:rsidR="000F29B1" w:rsidRPr="00C407B9" w:rsidRDefault="000F29B1" w:rsidP="007F4217">
      <w:pPr>
        <w:pStyle w:val="EnvelopeReturn"/>
        <w:spacing w:before="120"/>
      </w:pPr>
    </w:p>
    <w:p w:rsidR="006373E3" w:rsidRPr="00C407B9" w:rsidRDefault="006373E3" w:rsidP="007F4217">
      <w:pPr>
        <w:pStyle w:val="EnvelopeReturn"/>
        <w:spacing w:before="120"/>
      </w:pPr>
    </w:p>
    <w:p w:rsidR="006373E3" w:rsidRPr="00C407B9" w:rsidRDefault="006373E3" w:rsidP="007F4217">
      <w:pPr>
        <w:pStyle w:val="EnvelopeReturn"/>
        <w:spacing w:before="120"/>
      </w:pPr>
    </w:p>
    <w:p w:rsidR="006373E3" w:rsidRPr="00C407B9" w:rsidRDefault="006373E3" w:rsidP="007F4217">
      <w:pPr>
        <w:pStyle w:val="EnvelopeReturn"/>
        <w:spacing w:before="120"/>
      </w:pPr>
    </w:p>
    <w:p w:rsidR="00944EB5" w:rsidRPr="00C407B9" w:rsidRDefault="003043A8" w:rsidP="00E94E02">
      <w:pPr>
        <w:spacing w:before="0" w:after="0" w:line="240" w:lineRule="auto"/>
        <w:ind w:firstLine="0"/>
        <w:jc w:val="left"/>
        <w:rPr>
          <w:b/>
          <w:bCs/>
        </w:rPr>
      </w:pPr>
      <w:r w:rsidRPr="00C407B9">
        <w:rPr>
          <w:sz w:val="20"/>
        </w:rPr>
        <w:t>Pētersone, 67013170</w:t>
      </w:r>
      <w:r w:rsidRPr="00C407B9">
        <w:rPr>
          <w:sz w:val="20"/>
        </w:rPr>
        <w:br/>
      </w:r>
      <w:hyperlink r:id="rId6" w:history="1">
        <w:r w:rsidR="006373E3" w:rsidRPr="00C407B9">
          <w:rPr>
            <w:rStyle w:val="Hyperlink"/>
            <w:sz w:val="20"/>
          </w:rPr>
          <w:t>Andzela.Petersone@em.gov.lv</w:t>
        </w:r>
      </w:hyperlink>
      <w:r w:rsidR="006373E3" w:rsidRPr="00C407B9">
        <w:rPr>
          <w:sz w:val="20"/>
        </w:rPr>
        <w:t xml:space="preserve"> </w:t>
      </w:r>
    </w:p>
    <w:sectPr w:rsidR="00944EB5" w:rsidRPr="00C407B9" w:rsidSect="00757E5F">
      <w:headerReference w:type="even" r:id="rId7"/>
      <w:headerReference w:type="default" r:id="rId8"/>
      <w:footerReference w:type="default" r:id="rId9"/>
      <w:headerReference w:type="first" r:id="rId10"/>
      <w:footerReference w:type="first" r:id="rId11"/>
      <w:endnotePr>
        <w:numFmt w:val="decimal"/>
      </w:endnotePr>
      <w:pgSz w:w="11907" w:h="16840"/>
      <w:pgMar w:top="141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E38" w:rsidRDefault="008C3E38">
      <w:r>
        <w:separator/>
      </w:r>
    </w:p>
  </w:endnote>
  <w:endnote w:type="continuationSeparator" w:id="0">
    <w:p w:rsidR="008C3E38" w:rsidRDefault="008C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99" w:rsidRPr="00AA7532" w:rsidRDefault="00351699" w:rsidP="00351699">
    <w:pPr>
      <w:pStyle w:val="Footer"/>
      <w:spacing w:line="240" w:lineRule="auto"/>
      <w:ind w:firstLine="0"/>
    </w:pPr>
    <w:r>
      <w:rPr>
        <w:sz w:val="20"/>
      </w:rPr>
      <w:fldChar w:fldCharType="begin"/>
    </w:r>
    <w:r>
      <w:rPr>
        <w:sz w:val="20"/>
      </w:rPr>
      <w:instrText xml:space="preserve"> FILENAME   \* MERGEFORMAT </w:instrText>
    </w:r>
    <w:r>
      <w:rPr>
        <w:sz w:val="20"/>
      </w:rPr>
      <w:fldChar w:fldCharType="separate"/>
    </w:r>
    <w:r>
      <w:rPr>
        <w:noProof/>
        <w:sz w:val="20"/>
      </w:rPr>
      <w:t>EMPav_</w:t>
    </w:r>
    <w:r w:rsidRPr="00BE50B5">
      <w:rPr>
        <w:noProof/>
        <w:sz w:val="20"/>
      </w:rPr>
      <w:t>MK19052015Nr.25</w:t>
    </w:r>
    <w:r>
      <w:rPr>
        <w:noProof/>
        <w:sz w:val="20"/>
      </w:rPr>
      <w:t>_</w:t>
    </w:r>
    <w:r w:rsidRPr="00BE50B5">
      <w:rPr>
        <w:noProof/>
        <w:sz w:val="20"/>
      </w:rPr>
      <w:t>32.§</w:t>
    </w:r>
    <w:r>
      <w:rPr>
        <w:noProof/>
        <w:sz w:val="20"/>
      </w:rPr>
      <w:t>_4.docx</w:t>
    </w:r>
    <w:r>
      <w:rPr>
        <w:sz w:val="20"/>
      </w:rPr>
      <w:fldChar w:fldCharType="end"/>
    </w:r>
    <w:r w:rsidRPr="00AA7532">
      <w:rPr>
        <w:sz w:val="20"/>
      </w:rPr>
      <w:t xml:space="preserve">; </w:t>
    </w:r>
    <w:r w:rsidRPr="00C03FD7">
      <w:rPr>
        <w:sz w:val="20"/>
      </w:rPr>
      <w:t>“Par Ministru kabineta 2015. gada 19. maija sēdes protokollēmuma (Prot.Nr.25 32.§) 4. punkta atzīšanu par aktualitāti zaudējušu”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Pr="00351699" w:rsidRDefault="00351699" w:rsidP="00351699">
    <w:pPr>
      <w:tabs>
        <w:tab w:val="center" w:pos="4153"/>
        <w:tab w:val="right" w:pos="8306"/>
      </w:tabs>
      <w:spacing w:line="240" w:lineRule="auto"/>
      <w:ind w:firstLine="0"/>
    </w:pPr>
    <w:r w:rsidRPr="00351699">
      <w:rPr>
        <w:sz w:val="20"/>
      </w:rPr>
      <w:fldChar w:fldCharType="begin"/>
    </w:r>
    <w:r w:rsidRPr="00351699">
      <w:rPr>
        <w:sz w:val="20"/>
      </w:rPr>
      <w:instrText xml:space="preserve"> FILENAME   \* MERGEFORMAT </w:instrText>
    </w:r>
    <w:r w:rsidRPr="00351699">
      <w:rPr>
        <w:sz w:val="20"/>
      </w:rPr>
      <w:fldChar w:fldCharType="separate"/>
    </w:r>
    <w:r w:rsidRPr="00351699">
      <w:rPr>
        <w:noProof/>
        <w:sz w:val="20"/>
      </w:rPr>
      <w:t>EMPav_MK19052015Nr.25_32.§_4.docx</w:t>
    </w:r>
    <w:r w:rsidRPr="00351699">
      <w:rPr>
        <w:sz w:val="20"/>
      </w:rPr>
      <w:fldChar w:fldCharType="end"/>
    </w:r>
    <w:r w:rsidRPr="00351699">
      <w:rPr>
        <w:sz w:val="20"/>
      </w:rPr>
      <w:t>; “Par Ministru kabineta 2015. gada 19. maija sēdes protokollēmuma (Prot.Nr.25 32.§) 4. punkta atzīšanu par aktualitāti zaudējušu”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E38" w:rsidRDefault="008C3E38">
      <w:r>
        <w:separator/>
      </w:r>
    </w:p>
  </w:footnote>
  <w:footnote w:type="continuationSeparator" w:id="0">
    <w:p w:rsidR="008C3E38" w:rsidRDefault="008C3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44EB5">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1F1198">
      <w:rPr>
        <w:rStyle w:val="PageNumber"/>
        <w:noProof/>
        <w:sz w:val="24"/>
      </w:rPr>
      <w:t>2</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93" w:rsidRDefault="00D25693">
    <w:pPr>
      <w:pStyle w:val="Header"/>
      <w:widowControl/>
      <w:tabs>
        <w:tab w:val="clear" w:pos="4153"/>
        <w:tab w:val="center" w:pos="4536"/>
      </w:tabs>
      <w:spacing w:before="0" w:after="0" w:line="240" w:lineRule="auto"/>
      <w:ind w:firstLine="0"/>
      <w:jc w:val="center"/>
    </w:pPr>
  </w:p>
  <w:p w:rsidR="00D25693" w:rsidRDefault="00D4062C">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8752" behindDoc="1" locked="0" layoutInCell="1" allowOverlap="1" wp14:anchorId="13B13C21" wp14:editId="115C839A">
          <wp:simplePos x="0" y="0"/>
          <wp:positionH relativeFrom="column">
            <wp:posOffset>0</wp:posOffset>
          </wp:positionH>
          <wp:positionV relativeFrom="paragraph">
            <wp:posOffset>67310</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944EB5" w:rsidRDefault="00944EB5">
    <w:pPr>
      <w:pStyle w:val="Header"/>
      <w:widowControl/>
      <w:tabs>
        <w:tab w:val="clear" w:pos="4153"/>
        <w:tab w:val="center" w:pos="4536"/>
      </w:tabs>
      <w:spacing w:before="0" w:after="0" w:line="240" w:lineRule="auto"/>
      <w:ind w:firstLine="0"/>
      <w:jc w:val="center"/>
    </w:pPr>
  </w:p>
  <w:p w:rsidR="00D25693" w:rsidRDefault="001F1198">
    <w:pPr>
      <w:pStyle w:val="Header"/>
      <w:widowControl/>
      <w:tabs>
        <w:tab w:val="clear" w:pos="4153"/>
        <w:tab w:val="center" w:pos="4536"/>
      </w:tabs>
      <w:spacing w:line="240" w:lineRule="auto"/>
      <w:ind w:firstLine="0"/>
      <w:jc w:val="center"/>
      <w:rPr>
        <w:sz w:val="24"/>
      </w:rPr>
    </w:pPr>
    <w:r>
      <w:rPr>
        <w:noProof/>
        <w:sz w:val="24"/>
        <w:lang w:val="en-US"/>
      </w:rPr>
      <w:pict>
        <v:shapetype id="_x0000_t202" coordsize="21600,21600" o:spt="202" path="m,l,21600r21600,l21600,xe">
          <v:stroke joinstyle="miter"/>
          <v:path gradientshapeok="t" o:connecttype="rect"/>
        </v:shapetype>
        <v:shape id="Text Box 43" o:spid="_x0000_s2056" type="#_x0000_t202" style="position:absolute;left:0;text-align:left;margin-left:85.05pt;margin-top:159.9pt;width:468.1pt;height:24.75pt;z-index:-25165516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4BrAIAAKo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GRuS1P3+kEvO478DMD7EObHVXd3cniq0ZCrmsqduxGKdnXjJaQXmhv+mdX&#10;RxxtQbb9B1lCHLo30gENlWpt7aAaCNChTY+n1thcCthcRPMomi0wKuBsHpI52DYETabbndLmHZMt&#10;skaKFbTeodPDnTaj6+RigwmZ86aBfZo04tkGYI47EBuu2jObhevmjziIN9EmIh6ZLTceCbLMu8nX&#10;xFvm4eUim2frdRb+tHFDktS8LJmwYSZlheTPOnfU+KiJk7a0bHhp4WxKWu2260ahAwVl5+47FuTM&#10;zX+ehqsXcHlBKZyR4HYWe/kyuvRIThZefBlEXhDGt/EyIDHJ8ueU7rhg/04J9SmOF9BHR+e33AL3&#10;veZGk5YbmB0Nb1McnZxoYiW4EaVrraG8Ge2zUtj0n0oB7Z4a7QRrNTqq1QzbAVCsireyfATpKgnK&#10;An3CwAOjluo7Rj0MjxTrb3uqGEbNewHyt5NmMtRkbCeDigKupthgNJprM06kfaf4rgbk8YEJeQNP&#10;pOJOvU9ZHB8WDARH4ji87MQ5/3deTyN29Qs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F1YvgGsAgAAqgUAAA4AAAAA&#10;AAAAAAAAAAAALgIAAGRycy9lMm9Eb2MueG1sUEsBAi0AFAAGAAgAAAAhAPP0/G3gAAAADAEAAA8A&#10;AAAAAAAAAAAAAAAABgUAAGRycy9kb3ducmV2LnhtbFBLBQYAAAAABAAEAPMAAAATBgAAAAA=&#10;" filled="f" stroked="f">
          <v:textbox style="mso-next-textbox:#Text Box 43" inset="0,0,0,0">
            <w:txbxContent>
              <w:p w:rsidR="00D25693" w:rsidRDefault="00D25693" w:rsidP="00106FCD">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w:r>
    <w:r>
      <w:rPr>
        <w:noProof/>
        <w:sz w:val="24"/>
        <w:lang w:val="en-US"/>
      </w:rPr>
      <w:pict>
        <v:group id="Group 41" o:spid="_x0000_s2050" style="position:absolute;left:0;text-align:left;margin-left:145.7pt;margin-top:149.7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1"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D25693" w:rsidRDefault="00D25693">
    <w:pPr>
      <w:pStyle w:val="Header"/>
      <w:widowControl/>
      <w:tabs>
        <w:tab w:val="clear" w:pos="4153"/>
        <w:tab w:val="center" w:pos="4536"/>
      </w:tabs>
      <w:spacing w:line="240" w:lineRule="auto"/>
      <w:ind w:firstLine="0"/>
      <w:jc w:val="center"/>
      <w:rPr>
        <w:sz w:val="24"/>
      </w:rPr>
    </w:pPr>
  </w:p>
  <w:p w:rsidR="00944EB5" w:rsidRDefault="00944EB5" w:rsidP="00106FCD">
    <w:pPr>
      <w:pStyle w:val="Header"/>
      <w:widowControl/>
      <w:tabs>
        <w:tab w:val="clear" w:pos="4153"/>
        <w:tab w:val="clear" w:pos="8306"/>
      </w:tabs>
      <w:spacing w:before="240" w:after="240" w:line="240" w:lineRule="auto"/>
      <w:ind w:firstLine="0"/>
      <w:jc w:val="center"/>
      <w:rPr>
        <w:sz w:val="24"/>
      </w:rPr>
    </w:pPr>
    <w:r>
      <w:rPr>
        <w:sz w:val="24"/>
      </w:rPr>
      <w:t>Rīgā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10DE"/>
    <w:rsid w:val="00085974"/>
    <w:rsid w:val="000F29B1"/>
    <w:rsid w:val="00106FCD"/>
    <w:rsid w:val="00142BC0"/>
    <w:rsid w:val="00147F87"/>
    <w:rsid w:val="00172AB0"/>
    <w:rsid w:val="001760DA"/>
    <w:rsid w:val="001F1198"/>
    <w:rsid w:val="00267EA8"/>
    <w:rsid w:val="003043A8"/>
    <w:rsid w:val="00321535"/>
    <w:rsid w:val="00331D46"/>
    <w:rsid w:val="00351699"/>
    <w:rsid w:val="00381D5C"/>
    <w:rsid w:val="003859D4"/>
    <w:rsid w:val="003B25D7"/>
    <w:rsid w:val="003B6D4C"/>
    <w:rsid w:val="003E530F"/>
    <w:rsid w:val="004A1775"/>
    <w:rsid w:val="004F0B0A"/>
    <w:rsid w:val="004F2C66"/>
    <w:rsid w:val="00545BDF"/>
    <w:rsid w:val="00616980"/>
    <w:rsid w:val="00626F8F"/>
    <w:rsid w:val="006373E3"/>
    <w:rsid w:val="006C5E2C"/>
    <w:rsid w:val="00717245"/>
    <w:rsid w:val="0073632E"/>
    <w:rsid w:val="007412BD"/>
    <w:rsid w:val="00757E5F"/>
    <w:rsid w:val="007B10DE"/>
    <w:rsid w:val="007D2113"/>
    <w:rsid w:val="007F4217"/>
    <w:rsid w:val="00845EA6"/>
    <w:rsid w:val="008C3E38"/>
    <w:rsid w:val="00944EB5"/>
    <w:rsid w:val="009525F8"/>
    <w:rsid w:val="009B33EA"/>
    <w:rsid w:val="00A013FB"/>
    <w:rsid w:val="00A76DB7"/>
    <w:rsid w:val="00A9679E"/>
    <w:rsid w:val="00B16E29"/>
    <w:rsid w:val="00B60691"/>
    <w:rsid w:val="00BB3567"/>
    <w:rsid w:val="00C272A2"/>
    <w:rsid w:val="00C407B9"/>
    <w:rsid w:val="00CF2AF5"/>
    <w:rsid w:val="00D03489"/>
    <w:rsid w:val="00D25693"/>
    <w:rsid w:val="00D4062C"/>
    <w:rsid w:val="00DB704F"/>
    <w:rsid w:val="00E94E02"/>
    <w:rsid w:val="00EC1069"/>
    <w:rsid w:val="00F65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94ED1B66-84A2-4543-A872-8C6CA0B0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9"/>
    <w:pPr>
      <w:widowControl w:val="0"/>
      <w:spacing w:before="60" w:after="60" w:line="360" w:lineRule="auto"/>
      <w:ind w:firstLine="720"/>
      <w:jc w:val="both"/>
    </w:pPr>
    <w:rPr>
      <w:sz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E29"/>
    <w:pPr>
      <w:tabs>
        <w:tab w:val="center" w:pos="4153"/>
        <w:tab w:val="right" w:pos="8306"/>
      </w:tabs>
    </w:pPr>
  </w:style>
  <w:style w:type="character" w:styleId="PageNumber">
    <w:name w:val="page number"/>
    <w:rsid w:val="00B16E29"/>
    <w:rPr>
      <w:sz w:val="20"/>
    </w:rPr>
  </w:style>
  <w:style w:type="paragraph" w:styleId="Footer">
    <w:name w:val="footer"/>
    <w:basedOn w:val="Normal"/>
    <w:link w:val="FooterChar"/>
    <w:rsid w:val="00B16E29"/>
    <w:pPr>
      <w:tabs>
        <w:tab w:val="center" w:pos="4153"/>
        <w:tab w:val="right" w:pos="8306"/>
      </w:tabs>
    </w:pPr>
  </w:style>
  <w:style w:type="paragraph" w:styleId="Subtitle">
    <w:name w:val="Subtitle"/>
    <w:basedOn w:val="Normal"/>
    <w:next w:val="Normal"/>
    <w:link w:val="SubtitleChar"/>
    <w:qFormat/>
    <w:rsid w:val="00B16E29"/>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B16E29"/>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B16E29"/>
    <w:pPr>
      <w:keepNext/>
      <w:keepLines/>
      <w:spacing w:line="240" w:lineRule="auto"/>
      <w:ind w:left="5103" w:firstLine="0"/>
      <w:jc w:val="left"/>
    </w:pPr>
  </w:style>
  <w:style w:type="paragraph" w:styleId="EnvelopeReturn">
    <w:name w:val="envelope return"/>
    <w:basedOn w:val="Normal"/>
    <w:rsid w:val="00B16E29"/>
    <w:pPr>
      <w:keepLines/>
      <w:spacing w:before="600" w:after="0" w:line="240" w:lineRule="auto"/>
      <w:ind w:firstLine="0"/>
      <w:jc w:val="left"/>
    </w:pPr>
  </w:style>
  <w:style w:type="paragraph" w:styleId="Date">
    <w:name w:val="Date"/>
    <w:basedOn w:val="Normal"/>
    <w:next w:val="Subtitle"/>
    <w:rsid w:val="00B16E29"/>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B16E29"/>
    <w:pPr>
      <w:keepNext/>
      <w:keepLines/>
      <w:ind w:left="1134" w:hanging="1134"/>
      <w:jc w:val="left"/>
    </w:pPr>
  </w:style>
  <w:style w:type="paragraph" w:customStyle="1" w:styleId="Vstulesdatumsunnumurs">
    <w:name w:val="Vçstules datums un numurs"/>
    <w:basedOn w:val="Normal"/>
    <w:next w:val="EnvelopeAddress"/>
    <w:rsid w:val="00B16E29"/>
    <w:pPr>
      <w:keepNext/>
      <w:keepLines/>
      <w:suppressAutoHyphens/>
      <w:spacing w:line="240" w:lineRule="auto"/>
      <w:ind w:right="4820" w:firstLine="0"/>
      <w:jc w:val="left"/>
    </w:pPr>
  </w:style>
  <w:style w:type="character" w:customStyle="1" w:styleId="SubtitleChar">
    <w:name w:val="Subtitle Char"/>
    <w:link w:val="Subtitle"/>
    <w:rsid w:val="004A1775"/>
    <w:rPr>
      <w:b/>
      <w:sz w:val="26"/>
      <w:lang w:val="en-AU"/>
    </w:rPr>
  </w:style>
  <w:style w:type="paragraph" w:styleId="BodyTextIndent">
    <w:name w:val="Body Text Indent"/>
    <w:basedOn w:val="Normal"/>
    <w:link w:val="BodyTextIndentChar"/>
    <w:rsid w:val="00BB3567"/>
    <w:rPr>
      <w:sz w:val="24"/>
      <w:lang w:eastAsia="lv-LV"/>
    </w:rPr>
  </w:style>
  <w:style w:type="character" w:customStyle="1" w:styleId="BodyTextIndentChar">
    <w:name w:val="Body Text Indent Char"/>
    <w:basedOn w:val="DefaultParagraphFont"/>
    <w:link w:val="BodyTextIndent"/>
    <w:rsid w:val="00BB3567"/>
    <w:rPr>
      <w:sz w:val="24"/>
      <w:lang w:val="lv-LV" w:eastAsia="lv-LV"/>
    </w:rPr>
  </w:style>
  <w:style w:type="paragraph" w:customStyle="1" w:styleId="naiskr">
    <w:name w:val="naiskr"/>
    <w:basedOn w:val="Normal"/>
    <w:rsid w:val="006373E3"/>
    <w:pPr>
      <w:widowControl/>
      <w:spacing w:before="75" w:after="75" w:line="240" w:lineRule="auto"/>
      <w:ind w:firstLine="0"/>
      <w:jc w:val="left"/>
    </w:pPr>
    <w:rPr>
      <w:sz w:val="24"/>
      <w:szCs w:val="24"/>
      <w:lang w:eastAsia="lv-LV"/>
    </w:rPr>
  </w:style>
  <w:style w:type="paragraph" w:customStyle="1" w:styleId="Default">
    <w:name w:val="Default"/>
    <w:rsid w:val="006373E3"/>
    <w:pPr>
      <w:autoSpaceDE w:val="0"/>
      <w:autoSpaceDN w:val="0"/>
      <w:adjustRightInd w:val="0"/>
    </w:pPr>
    <w:rPr>
      <w:rFonts w:eastAsia="Calibri"/>
      <w:color w:val="000000"/>
      <w:sz w:val="24"/>
      <w:szCs w:val="24"/>
      <w:lang w:val="lv-LV"/>
    </w:rPr>
  </w:style>
  <w:style w:type="character" w:styleId="Hyperlink">
    <w:name w:val="Hyperlink"/>
    <w:basedOn w:val="DefaultParagraphFont"/>
    <w:unhideWhenUsed/>
    <w:rsid w:val="006373E3"/>
    <w:rPr>
      <w:color w:val="0000FF" w:themeColor="hyperlink"/>
      <w:u w:val="single"/>
    </w:rPr>
  </w:style>
  <w:style w:type="character" w:customStyle="1" w:styleId="FooterChar">
    <w:name w:val="Footer Char"/>
    <w:basedOn w:val="DefaultParagraphFont"/>
    <w:link w:val="Footer"/>
    <w:rsid w:val="00351699"/>
    <w:rPr>
      <w:sz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zela.Petersone@e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XX5480PP\Iniciat&#299;vas%20v&#275;stul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Iniciatīvas vēstule (3).dot</Template>
  <TotalTime>0</TotalTime>
  <Pages>2</Pages>
  <Words>1994</Words>
  <Characters>1138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___</vt:lpstr>
    </vt:vector>
  </TitlesOfParts>
  <Company>Ekonomikas ministrija</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MK dotā uzdevuma atzīšanu par aktualitāti zaud</dc:subject>
  <dc:creator>Pētersone A.</dc:creator>
  <dc:description>Sagatavots ALS E-aprites vidē.</dc:description>
  <cp:lastModifiedBy>Arvils Ašeradens</cp:lastModifiedBy>
  <cp:revision>3</cp:revision>
  <cp:lastPrinted>1998-02-25T09:00:00Z</cp:lastPrinted>
  <dcterms:created xsi:type="dcterms:W3CDTF">2017-06-06T08:48:00Z</dcterms:created>
  <dcterms:modified xsi:type="dcterms:W3CDTF">2017-06-08T08:29:00Z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