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C796D" w14:textId="77777777" w:rsidR="00964C9F" w:rsidRDefault="00964C9F" w:rsidP="00964C9F">
      <w:pPr>
        <w:pStyle w:val="Parasts1"/>
        <w:ind w:firstLine="720"/>
        <w:jc w:val="center"/>
        <w:rPr>
          <w:b/>
          <w:sz w:val="28"/>
          <w:szCs w:val="28"/>
        </w:rPr>
      </w:pPr>
      <w:r>
        <w:rPr>
          <w:b/>
          <w:bCs/>
          <w:color w:val="000000" w:themeColor="text1"/>
          <w:sz w:val="28"/>
        </w:rPr>
        <w:t>Likumprojekta "</w:t>
      </w:r>
      <w:r w:rsidRPr="00407EE7">
        <w:rPr>
          <w:b/>
          <w:sz w:val="28"/>
          <w:szCs w:val="28"/>
        </w:rPr>
        <w:t>Grozījums </w:t>
      </w:r>
      <w:hyperlink r:id="rId8" w:tgtFrame="_blank" w:history="1">
        <w:r w:rsidRPr="00407EE7">
          <w:rPr>
            <w:b/>
            <w:sz w:val="28"/>
            <w:szCs w:val="28"/>
          </w:rPr>
          <w:t>Ieguldītāju aizsardzības likumā</w:t>
        </w:r>
      </w:hyperlink>
      <w:r>
        <w:rPr>
          <w:b/>
          <w:sz w:val="28"/>
          <w:szCs w:val="28"/>
        </w:rPr>
        <w:t>"</w:t>
      </w:r>
    </w:p>
    <w:p w14:paraId="7CFB0A0F" w14:textId="77777777" w:rsidR="00894C55" w:rsidRPr="00A3343B" w:rsidRDefault="00894C55" w:rsidP="00E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lv-LV"/>
        </w:rPr>
      </w:pPr>
      <w:r w:rsidRPr="00A334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lv-LV"/>
        </w:rPr>
        <w:t>sākotnējās ietekmes novērtējuma ziņojums (anotācija)</w:t>
      </w:r>
    </w:p>
    <w:p w14:paraId="45BDDBE2" w14:textId="77777777" w:rsidR="00894C55" w:rsidRPr="00A3343B" w:rsidRDefault="00894C55" w:rsidP="00894C55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lv-LV"/>
        </w:rPr>
      </w:pPr>
    </w:p>
    <w:tbl>
      <w:tblPr>
        <w:tblW w:w="503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9"/>
        <w:gridCol w:w="5901"/>
      </w:tblGrid>
      <w:tr w:rsidR="00894C55" w:rsidRPr="00A3343B" w14:paraId="3AF3EA28" w14:textId="77777777" w:rsidTr="008D0BC4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A93F73" w14:textId="77777777" w:rsidR="00894C55" w:rsidRPr="00A3343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I.</w:t>
            </w:r>
            <w:r w:rsidR="0050178F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izstrādes nepieciešamība</w:t>
            </w:r>
          </w:p>
        </w:tc>
      </w:tr>
      <w:tr w:rsidR="00894C55" w:rsidRPr="00A3343B" w14:paraId="1E077B7A" w14:textId="77777777" w:rsidTr="008D0BC4">
        <w:trPr>
          <w:trHeight w:val="324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AD008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BB9208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E0F8D" w14:textId="0352C992" w:rsidR="00894C55" w:rsidRPr="00A3343B" w:rsidRDefault="004A1B8C" w:rsidP="004A1B8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A1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Likumproje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kts "Grozījum</w:t>
            </w:r>
            <w:r w:rsidR="00461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Ieguldītāju aizsardzības likumā</w:t>
            </w:r>
            <w:r w:rsidRPr="004A1B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" (turpmāk – Likumprojekts) izstrādāts pēc Finanšu ministrijas iniciatīvas.</w:t>
            </w:r>
          </w:p>
        </w:tc>
      </w:tr>
      <w:tr w:rsidR="00894C55" w:rsidRPr="00A3343B" w14:paraId="2AB5F0AE" w14:textId="77777777" w:rsidTr="00BB1A99">
        <w:trPr>
          <w:trHeight w:val="372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18B67D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1D919B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C67C9FD" w14:textId="310330B3" w:rsidR="00DC4A3E" w:rsidRPr="00935F97" w:rsidRDefault="00537760" w:rsidP="003E2014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Likumprojekt</w:t>
            </w:r>
            <w:r w:rsidR="00B0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</w:t>
            </w:r>
            <w:r w:rsidRPr="0053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izstrādāti, lai nodrošinātu t</w:t>
            </w:r>
            <w:r w:rsidR="00B070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</w:t>
            </w:r>
            <w:r w:rsidRPr="0053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atbilstību likumprojektam "Grozījumi Finanšu instr</w:t>
            </w:r>
            <w:r w:rsidR="004343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umentu tirgus likumā", kurš ir</w:t>
            </w:r>
            <w:bookmarkStart w:id="0" w:name="_GoBack"/>
            <w:bookmarkEnd w:id="0"/>
            <w:r w:rsidRPr="005377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saskaņots ar Tieslietu ministriju, lai virzītu uz Ministru kabinetu.</w:t>
            </w:r>
            <w:r w:rsidR="00313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Izmaiņas Finanšu instrumentu tirgus likumā veiktas </w:t>
            </w:r>
            <w:r w:rsid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atbilstoši </w:t>
            </w:r>
            <w:r w:rsidR="00DC4A3E" w:rsidRPr="0035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Eiropas Parlamenta un Padomes 2014.gada 23</w:t>
            </w:r>
            <w:r w:rsidR="0093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="00DC4A3E" w:rsidRPr="0035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jūlija regula</w:t>
            </w:r>
            <w:r w:rsidR="00DC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</w:t>
            </w:r>
            <w:r w:rsidR="00DC4A3E" w:rsidRPr="0035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(ES) Nr.909/2014 par vērtspapīru norēķinu uzlabošanu Eiropas Savienībā, centrālajiem vērtspapīru depozitārijiem un grozījumiem Direktīvās 98/26/EK un 2014/65/ES un Regulā (ES) Nr.236/2012</w:t>
            </w:r>
            <w:r w:rsidR="00935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(turpmāk - 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Regula 909/2014)</w:t>
            </w:r>
            <w:r w:rsidR="00313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DC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kas </w:t>
            </w:r>
            <w:r w:rsidR="00DC4A3E" w:rsidRPr="00355B11">
              <w:rPr>
                <w:rFonts w:ascii="Times New Roman" w:hAnsi="Times New Roman" w:cs="Times New Roman"/>
                <w:sz w:val="24"/>
                <w:szCs w:val="24"/>
              </w:rPr>
              <w:t>ievieš vienotus darbības noteikumus centrālajiem vērtspapīru depozitārijiem</w:t>
            </w:r>
            <w:r w:rsidR="00DC4A3E">
              <w:rPr>
                <w:rFonts w:ascii="Times New Roman" w:hAnsi="Times New Roman" w:cs="Times New Roman"/>
                <w:sz w:val="24"/>
                <w:szCs w:val="24"/>
              </w:rPr>
              <w:t xml:space="preserve"> un atceļ </w:t>
            </w:r>
            <w:r w:rsidR="00DC4A3E" w:rsidRPr="0080244D">
              <w:rPr>
                <w:rFonts w:ascii="Times New Roman" w:hAnsi="Times New Roman" w:cs="Times New Roman"/>
                <w:sz w:val="24"/>
                <w:szCs w:val="24"/>
              </w:rPr>
              <w:t>Latvijas Centrā</w:t>
            </w:r>
            <w:r w:rsidR="00DC4A3E">
              <w:rPr>
                <w:rFonts w:ascii="Times New Roman" w:hAnsi="Times New Roman" w:cs="Times New Roman"/>
                <w:sz w:val="24"/>
                <w:szCs w:val="24"/>
              </w:rPr>
              <w:t xml:space="preserve">lā depozitārija monopola statusu. </w:t>
            </w:r>
          </w:p>
          <w:p w14:paraId="14BCD14B" w14:textId="793ECC48" w:rsidR="00321630" w:rsidRPr="00A3343B" w:rsidRDefault="00964C9F" w:rsidP="0066512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Ieguldītāju aizsardzības likuma pārejas noteikum</w:t>
            </w:r>
            <w:r w:rsid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 2.punkts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paredz, ka </w:t>
            </w:r>
            <w:r w:rsidRP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Latvijas Centrālais depozitārijs ir sistēmas dalībnieks </w:t>
            </w:r>
            <w:r w:rsidR="00313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tik ilgi</w:t>
            </w:r>
            <w:r w:rsidRP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kamēr tas tur to ieguldītāju kontus, kuri nav sistēmas dalībnieki.</w:t>
            </w:r>
            <w:r w:rsidR="00DC4A3E" w:rsidRP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1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Minētais</w:t>
            </w:r>
            <w:r w:rsid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pārejas noteikums </w:t>
            </w:r>
            <w:r w:rsidR="006C1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attiecas uz 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Latvijas Centrālā depozitārija uzturēto </w:t>
            </w:r>
            <w:r w:rsidR="006C1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sākotnēj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="006C1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reģistru</w:t>
            </w:r>
            <w:r w:rsidR="00461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="006C1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tādu personu sarakstu, kuras iegādājušās akcijas par privatizācijas sertifikātiem, bet nav šīs akcijas pārskaitījušas uz savu finanšu kontu</w:t>
            </w:r>
            <w:r w:rsidR="00665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Šis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pārejas noteikums vēl</w:t>
            </w:r>
            <w:r w:rsid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135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joprojām</w:t>
            </w:r>
            <w:r w:rsid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tiek piemērots</w:t>
            </w:r>
            <w:r w:rsidR="006C1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Ņemot vērā </w:t>
            </w:r>
            <w:r w:rsidR="00321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Regulas 909/2014 prasības </w:t>
            </w:r>
            <w:r w:rsidR="006C1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 plānotās izmaiņas Finanšu instrumentu tirgus likumā</w:t>
            </w:r>
            <w:r w:rsidR="00461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C1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1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paredzama Latvijas Centrālā depozitārija </w:t>
            </w:r>
            <w:r w:rsidR="006C10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monopoltiesību 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statusa atcelšana un tā reorganizācija. Tā rezultātā mainīsies arī Latvijas Centrālā depozitārija nosaukums. </w:t>
            </w:r>
            <w:r w:rsidR="00321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Līdz ar to nepieciešams 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tehniski </w:t>
            </w:r>
            <w:r w:rsidR="00321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precizēt pārejas noteikumu paredzot, ka </w:t>
            </w:r>
            <w:r w:rsidR="00935F97" w:rsidRP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sistēmas dalībnieks 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935F97" w:rsidRPr="00DC4A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tikmēr, kamēr tas tur to ieguldītāju kontus, kuri nav sistēmas dalībnieki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  <w:r w:rsidR="00321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ir centrālā vērtspapīra depozitārijs, kas ir </w:t>
            </w:r>
            <w:r w:rsidR="00935F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Latvijas Centrālā depozitārija</w:t>
            </w:r>
            <w:r w:rsidR="003216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tiesību un saistību pārņēmējs.  </w:t>
            </w:r>
          </w:p>
        </w:tc>
      </w:tr>
      <w:tr w:rsidR="00894C55" w:rsidRPr="00A3343B" w14:paraId="23989A17" w14:textId="77777777" w:rsidTr="00BB1A99">
        <w:trPr>
          <w:trHeight w:val="372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DF1329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EDE78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D95B83" w14:textId="77777777" w:rsidR="00894C55" w:rsidRPr="00A3343B" w:rsidRDefault="00665125" w:rsidP="0069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Finanšu ministrija, </w:t>
            </w:r>
            <w:r w:rsidR="00964C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Fina</w:t>
            </w:r>
            <w:r w:rsidR="00310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nšu un kapitāla tirgus komisija.</w:t>
            </w:r>
          </w:p>
        </w:tc>
      </w:tr>
      <w:tr w:rsidR="00894C55" w:rsidRPr="00A3343B" w14:paraId="4D9F689F" w14:textId="77777777" w:rsidTr="008D0BC4"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5C349B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4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AE663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1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6455A21" w14:textId="77777777" w:rsidR="00894C55" w:rsidRPr="00537760" w:rsidRDefault="00E043BE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5377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Nav</w:t>
            </w:r>
            <w:r w:rsidR="00935F97" w:rsidRPr="005377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</w:tbl>
    <w:p w14:paraId="777D8449" w14:textId="77777777" w:rsidR="00894C55" w:rsidRPr="00A3343B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827"/>
        <w:gridCol w:w="5836"/>
      </w:tblGrid>
      <w:tr w:rsidR="00894C55" w:rsidRPr="00A3343B" w14:paraId="74F7A781" w14:textId="77777777" w:rsidTr="00894C55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548CD45" w14:textId="77777777" w:rsidR="00894C55" w:rsidRPr="00A3343B" w:rsidRDefault="00894C55" w:rsidP="0050178F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II.</w:t>
            </w:r>
            <w:r w:rsidR="0050178F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ietekme uz sabiedrību, tautsaimniecības attīstību un administratīvo slogu</w:t>
            </w:r>
          </w:p>
        </w:tc>
      </w:tr>
      <w:tr w:rsidR="00894C55" w:rsidRPr="00A3343B" w14:paraId="3D544514" w14:textId="77777777" w:rsidTr="00894C55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E1FF17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03FFAF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748663" w14:textId="77777777" w:rsidR="00894C55" w:rsidRPr="00A3343B" w:rsidRDefault="00BC1B9B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Latvijas Centrālais depozitārijs. </w:t>
            </w:r>
          </w:p>
        </w:tc>
      </w:tr>
      <w:tr w:rsidR="00894C55" w:rsidRPr="00A3343B" w14:paraId="095D261D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EAE42F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40C9B3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869DB6" w14:textId="77777777" w:rsidR="00894C55" w:rsidRPr="00A3343B" w:rsidRDefault="003E2014" w:rsidP="003E2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Likumprojekts nerada administratīvo slogu. </w:t>
            </w:r>
          </w:p>
        </w:tc>
      </w:tr>
      <w:tr w:rsidR="00894C55" w:rsidRPr="00A3343B" w14:paraId="561D59D8" w14:textId="77777777" w:rsidTr="00894C55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8BD597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8DDE64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9988AF" w14:textId="792FD798" w:rsidR="00894C55" w:rsidRPr="00537760" w:rsidRDefault="004613E4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5377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894C55" w:rsidRPr="00A3343B" w14:paraId="43D4D0ED" w14:textId="77777777" w:rsidTr="003E2014">
        <w:trPr>
          <w:trHeight w:val="41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F0C9D1E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F46615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FD19D4" w14:textId="77777777" w:rsidR="00894C55" w:rsidRPr="00537760" w:rsidRDefault="003E2014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5377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565FF820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3ABED046" w14:textId="77777777" w:rsidR="004E3411" w:rsidRPr="00A3343B" w:rsidRDefault="004E3411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9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4E3411" w:rsidRPr="00E27361" w14:paraId="154AFCDE" w14:textId="77777777" w:rsidTr="00C23474"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8CF71" w14:textId="77777777" w:rsidR="004E3411" w:rsidRPr="00E27361" w:rsidRDefault="004E3411" w:rsidP="00D56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eastAsia="lv-LV"/>
              </w:rPr>
            </w:pPr>
            <w:r w:rsidRPr="00E2736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E3411" w:rsidRPr="00246005" w14:paraId="665B0777" w14:textId="77777777" w:rsidTr="00C23474"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389D1" w14:textId="77777777" w:rsidR="004E3411" w:rsidRPr="00246005" w:rsidRDefault="004E3411" w:rsidP="00D56D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noProof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v-LV"/>
              </w:rPr>
              <w:t>P</w:t>
            </w:r>
            <w:r w:rsidRPr="00246005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lv-LV"/>
              </w:rPr>
              <w:t>rojekts šo jomu neskar.</w:t>
            </w:r>
          </w:p>
        </w:tc>
      </w:tr>
    </w:tbl>
    <w:p w14:paraId="4D3A59D7" w14:textId="77777777" w:rsidR="004E3411" w:rsidRDefault="004E3411" w:rsidP="004E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52955F60" w14:textId="77777777" w:rsidR="004E3411" w:rsidRPr="00A3343B" w:rsidRDefault="004E3411" w:rsidP="004E34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5"/>
        <w:gridCol w:w="2645"/>
        <w:gridCol w:w="6019"/>
      </w:tblGrid>
      <w:tr w:rsidR="00A3343B" w:rsidRPr="00A3343B" w14:paraId="00E943EE" w14:textId="77777777" w:rsidTr="00894C55">
        <w:trPr>
          <w:trHeight w:val="36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78D0A6" w14:textId="77777777" w:rsidR="00894C55" w:rsidRPr="00A3343B" w:rsidRDefault="00894C55" w:rsidP="00BD44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IV.</w:t>
            </w:r>
            <w:r w:rsidR="00BD4425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ietekme uz spēkā esošo tiesību normu sistēmu</w:t>
            </w:r>
          </w:p>
        </w:tc>
      </w:tr>
      <w:tr w:rsidR="00A3343B" w:rsidRPr="00A3343B" w14:paraId="77FF9233" w14:textId="77777777" w:rsidTr="00894C55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FDFA9DA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3C001" w14:textId="77777777" w:rsidR="00894C55" w:rsidRPr="00A3343B" w:rsidRDefault="00894C55" w:rsidP="00A3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52226D" w14:textId="059845A1" w:rsidR="00BC1B9B" w:rsidRPr="00A3343B" w:rsidRDefault="00537760" w:rsidP="0053776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Likumprojekts izstrādāts, lai nodrošinātu tā atbilstību likumprojektam "Grozījumi Finanšu instrumentu tirgus likumā". 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ikumprojekts  Ministru kabinetā un Saeimā skatāms vienlaicīgi ar likumprojektu </w:t>
            </w:r>
            <w:r w:rsidRPr="00537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“Grozījums Finanšu nodrošinājuma likumā”</w:t>
            </w:r>
            <w:r w:rsidRPr="00BE22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un “Grozījumi likumā “Par norēķinu galīgumu maksājumu un finanšu instrumentu norēķinu sistēmās””.</w:t>
            </w:r>
          </w:p>
        </w:tc>
      </w:tr>
      <w:tr w:rsidR="00A3343B" w:rsidRPr="00A3343B" w14:paraId="44086B33" w14:textId="77777777" w:rsidTr="00894C55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298B03B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AD8B18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BDF261" w14:textId="77777777" w:rsidR="00894C55" w:rsidRPr="00A3343B" w:rsidRDefault="00933A69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Finanšu ministrija, Finanšu un kapitāla tirgus komisija</w:t>
            </w:r>
            <w:r w:rsidR="00310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</w:tr>
      <w:tr w:rsidR="00894C55" w:rsidRPr="00A3343B" w14:paraId="77307A82" w14:textId="77777777" w:rsidTr="00894C55">
        <w:trPr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0555F4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BF1D9F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E04E81" w14:textId="77777777" w:rsidR="00894C55" w:rsidRPr="00537760" w:rsidRDefault="00A3343B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5377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19D8D0A7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2DC96139" w14:textId="77777777" w:rsidR="004E3411" w:rsidRPr="00A3343B" w:rsidRDefault="004E3411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E043BE" w:rsidRPr="00A3343B" w14:paraId="1BEF7B40" w14:textId="77777777" w:rsidTr="00E043B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A39748" w14:textId="77777777" w:rsidR="00E043BE" w:rsidRPr="00A3343B" w:rsidRDefault="00E043BE" w:rsidP="00E043BE">
            <w:pPr>
              <w:ind w:firstLine="300"/>
              <w:jc w:val="center"/>
              <w:rPr>
                <w:b/>
                <w:bCs/>
                <w:color w:val="000000" w:themeColor="text1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E043BE" w:rsidRPr="00A3343B" w14:paraId="4721D78E" w14:textId="77777777" w:rsidTr="00E043BE">
        <w:trPr>
          <w:trHeight w:val="369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D5814C6" w14:textId="77777777" w:rsidR="00E043BE" w:rsidRPr="00310CAE" w:rsidRDefault="00E043BE" w:rsidP="00E043BE">
            <w:pPr>
              <w:ind w:firstLine="300"/>
              <w:jc w:val="center"/>
              <w:rPr>
                <w:bCs/>
                <w:i/>
                <w:color w:val="000000" w:themeColor="text1"/>
              </w:rPr>
            </w:pPr>
            <w:r w:rsidRPr="00310C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Projekts šo jomu neskar.</w:t>
            </w:r>
            <w:r w:rsidRPr="00310CAE">
              <w:rPr>
                <w:bCs/>
                <w:i/>
                <w:color w:val="000000" w:themeColor="text1"/>
              </w:rPr>
              <w:t xml:space="preserve"> </w:t>
            </w:r>
          </w:p>
        </w:tc>
      </w:tr>
    </w:tbl>
    <w:p w14:paraId="78574470" w14:textId="77777777" w:rsidR="00894C55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p w14:paraId="46E9856E" w14:textId="77777777" w:rsidR="004E3411" w:rsidRPr="00A3343B" w:rsidRDefault="004E3411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6"/>
        <w:gridCol w:w="5927"/>
      </w:tblGrid>
      <w:tr w:rsidR="00894C55" w:rsidRPr="00A3343B" w14:paraId="21D5F74C" w14:textId="77777777" w:rsidTr="00894C55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7B0B9D6" w14:textId="77777777" w:rsidR="00894C55" w:rsidRPr="00A3343B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VI.</w:t>
            </w:r>
            <w:r w:rsidR="00816C11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A3343B" w:rsidRPr="00A3343B" w14:paraId="78314F06" w14:textId="77777777" w:rsidTr="00964C9F">
        <w:trPr>
          <w:trHeight w:val="43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7CED10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9F391B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65EA6CA" w14:textId="4AECC5FC" w:rsidR="00894C55" w:rsidRPr="00A3343B" w:rsidRDefault="00933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Likumprojektā </w:t>
            </w:r>
            <w:r w:rsidR="00310C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paredzētās izmaiņas ir tehniska rakstura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tāpēc sabiedrība</w:t>
            </w:r>
            <w:r w:rsidR="00461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iesaistī</w:t>
            </w:r>
            <w:r w:rsidR="00461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šana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Likumprojekta izstrādē un</w:t>
            </w:r>
            <w:r w:rsidR="00461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kaņošanā</w:t>
            </w:r>
            <w:r w:rsidR="00461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nav nepieciešama.</w:t>
            </w:r>
          </w:p>
        </w:tc>
      </w:tr>
      <w:tr w:rsidR="00894C55" w:rsidRPr="00A3343B" w14:paraId="3E53C96B" w14:textId="77777777" w:rsidTr="00964C9F">
        <w:trPr>
          <w:trHeight w:val="264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B18980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F4B1C4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5483DE" w14:textId="78742850" w:rsidR="00894C55" w:rsidRPr="00537760" w:rsidRDefault="004613E4" w:rsidP="00695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5377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894C55" w:rsidRPr="00A3343B" w14:paraId="39F08CE7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62EBAF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F85BF0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EBC4FA" w14:textId="1B3B881D" w:rsidR="00894C55" w:rsidRPr="00537760" w:rsidRDefault="004613E4" w:rsidP="00A334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5377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Likumprojekts šo jomu neskar.</w:t>
            </w:r>
          </w:p>
        </w:tc>
      </w:tr>
      <w:tr w:rsidR="00894C55" w:rsidRPr="00A3343B" w14:paraId="46691549" w14:textId="77777777" w:rsidTr="00894C55">
        <w:trPr>
          <w:trHeight w:val="37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A564E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ADC6C1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AE9A79" w14:textId="77777777" w:rsidR="00894C55" w:rsidRPr="00537760" w:rsidRDefault="003E2014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53776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Nav.</w:t>
            </w:r>
          </w:p>
        </w:tc>
      </w:tr>
    </w:tbl>
    <w:p w14:paraId="486258C7" w14:textId="77777777" w:rsidR="00894C55" w:rsidRPr="00A3343B" w:rsidRDefault="00894C55" w:rsidP="00894C55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6"/>
        <w:gridCol w:w="2732"/>
        <w:gridCol w:w="5931"/>
      </w:tblGrid>
      <w:tr w:rsidR="00A3343B" w:rsidRPr="00A3343B" w14:paraId="65CB2F39" w14:textId="77777777" w:rsidTr="00894C55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FF49A2A" w14:textId="77777777" w:rsidR="00894C55" w:rsidRPr="00A3343B" w:rsidRDefault="00894C55" w:rsidP="00816C11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VII.</w:t>
            </w:r>
            <w:r w:rsidR="00816C11"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A3343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Tiesību akta projekta izpildes nodrošināšana un tās ietekme uz institūcijām</w:t>
            </w:r>
          </w:p>
        </w:tc>
      </w:tr>
      <w:tr w:rsidR="00A3343B" w:rsidRPr="00A3343B" w14:paraId="12A86E21" w14:textId="77777777" w:rsidTr="00BB1A99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DF8230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92352B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70E8245" w14:textId="55E18E89" w:rsidR="00894C55" w:rsidRPr="00A3343B" w:rsidRDefault="00933A69" w:rsidP="005377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Finanšu ministrija, Finanšu un kapitāla tirgus komisija</w:t>
            </w:r>
            <w:r w:rsidR="004613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 Centrālais vērtspapīru depozitārijs.</w:t>
            </w:r>
          </w:p>
        </w:tc>
      </w:tr>
      <w:tr w:rsidR="00A3343B" w:rsidRPr="00A3343B" w14:paraId="0CA68AC4" w14:textId="77777777" w:rsidTr="00BB1A99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95B264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98E55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Projekta izpildes ietekme uz pārvaldes funkcijām un </w:t>
            </w: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institucionālo struktūru.</w:t>
            </w:r>
          </w:p>
          <w:p w14:paraId="52060AD9" w14:textId="77777777" w:rsidR="00894C55" w:rsidRPr="00A3343B" w:rsidRDefault="00894C55" w:rsidP="00894C55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F626108" w14:textId="11905D53" w:rsidR="00D0031B" w:rsidRDefault="00D0031B" w:rsidP="00D003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Likumprojekta izpilde neietekmē likumprojekta izstrādē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iesaistītās institūcijas un uzdevumus, kā arī tam nav ietekmes uz institūcijām pieejamajiem cilvēkresursiem. </w:t>
            </w:r>
          </w:p>
          <w:p w14:paraId="423FA814" w14:textId="77777777" w:rsidR="00D0031B" w:rsidRDefault="00D0031B" w:rsidP="00D0031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Likumprojekta izpildei nav nepieciešams reorganizēt esošās institūcijas, veidot jaunas institūcijas vai likvidēt esošās institūcijas.</w:t>
            </w:r>
          </w:p>
          <w:p w14:paraId="5E71CDF0" w14:textId="77777777" w:rsidR="00D77461" w:rsidRDefault="00D77461" w:rsidP="00A334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F64F1F" w14:textId="77777777" w:rsidR="00D77461" w:rsidRDefault="00D77461" w:rsidP="00A334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46376B" w14:textId="77777777" w:rsidR="00D77461" w:rsidRDefault="00D77461" w:rsidP="00A334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C8F7EF" w14:textId="77777777" w:rsidR="00D77461" w:rsidRDefault="00D77461" w:rsidP="00A334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B1AF8" w14:textId="77777777" w:rsidR="00D77461" w:rsidRPr="00A3343B" w:rsidRDefault="00D77461" w:rsidP="00A3343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</w:tr>
      <w:tr w:rsidR="00A3343B" w:rsidRPr="00A3343B" w14:paraId="3DBA8045" w14:textId="77777777" w:rsidTr="00BB1A99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263F8B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49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609622" w14:textId="77777777" w:rsidR="00894C55" w:rsidRPr="00A3343B" w:rsidRDefault="00894C55" w:rsidP="00894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334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E6C59B7" w14:textId="77777777" w:rsidR="00894C55" w:rsidRPr="00310CAE" w:rsidRDefault="00933A69" w:rsidP="00F57B0C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 w:rsidRPr="00310CA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36D7B926" w14:textId="77777777" w:rsidR="00BB1A99" w:rsidRDefault="00BB1A99" w:rsidP="00310CA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</w:rPr>
      </w:pPr>
    </w:p>
    <w:p w14:paraId="0CE6B7BB" w14:textId="77777777" w:rsidR="00BB1A99" w:rsidRPr="00A3343B" w:rsidRDefault="00BB1A99" w:rsidP="00FF6943">
      <w:pPr>
        <w:spacing w:after="0" w:line="240" w:lineRule="auto"/>
        <w:ind w:left="-56"/>
        <w:jc w:val="both"/>
        <w:rPr>
          <w:rFonts w:ascii="Times New Roman" w:eastAsia="Times New Roman" w:hAnsi="Times New Roman"/>
          <w:color w:val="000000" w:themeColor="text1"/>
        </w:rPr>
      </w:pPr>
    </w:p>
    <w:p w14:paraId="27B75D5B" w14:textId="77777777" w:rsidR="004C7E7F" w:rsidRDefault="004C7E7F" w:rsidP="004C7E7F">
      <w:pPr>
        <w:rPr>
          <w:rFonts w:ascii="Times New Roman" w:hAnsi="Times New Roman" w:cs="Times New Roman"/>
          <w:noProof/>
          <w:sz w:val="24"/>
          <w:szCs w:val="24"/>
        </w:rPr>
      </w:pPr>
    </w:p>
    <w:p w14:paraId="4A64CFF7" w14:textId="77777777" w:rsidR="004C7E7F" w:rsidRDefault="004C7E7F" w:rsidP="004C7E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Finanšu ministres vietā – </w:t>
      </w:r>
    </w:p>
    <w:p w14:paraId="188B0123" w14:textId="77777777" w:rsidR="004C7E7F" w:rsidRDefault="004C7E7F" w:rsidP="004C7E7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Ministru prezidents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                             M.Kučinskis</w:t>
      </w:r>
    </w:p>
    <w:p w14:paraId="049B6671" w14:textId="77777777" w:rsidR="00933A69" w:rsidRDefault="00933A69" w:rsidP="00933A6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B59EB1" w14:textId="77777777" w:rsidR="00894C55" w:rsidRDefault="00894C55" w:rsidP="00310CA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A95DB7E" w14:textId="77777777" w:rsidR="00310CAE" w:rsidRDefault="00310CAE" w:rsidP="00310CA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72125FE4" w14:textId="77777777" w:rsidR="00310CAE" w:rsidRDefault="00310CAE" w:rsidP="00310CA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14:paraId="45F595FA" w14:textId="77777777" w:rsidR="001E34DF" w:rsidRDefault="001E34DF" w:rsidP="001E34D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3719">
        <w:rPr>
          <w:rFonts w:ascii="Times New Roman" w:hAnsi="Times New Roman" w:cs="Times New Roman"/>
          <w:color w:val="000000" w:themeColor="text1"/>
          <w:sz w:val="20"/>
          <w:szCs w:val="20"/>
        </w:rPr>
        <w:t>Hammers, 67095441</w:t>
      </w:r>
    </w:p>
    <w:p w14:paraId="7987843D" w14:textId="77777777" w:rsidR="001E34DF" w:rsidRDefault="007F17CE" w:rsidP="001E34DF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hyperlink r:id="rId9" w:history="1">
        <w:r w:rsidR="001E34DF" w:rsidRPr="00A401AF">
          <w:rPr>
            <w:rStyle w:val="Hyperlink"/>
            <w:rFonts w:ascii="Times New Roman" w:hAnsi="Times New Roman" w:cs="Times New Roman"/>
            <w:sz w:val="20"/>
            <w:szCs w:val="20"/>
          </w:rPr>
          <w:t>aivis.hammers@fm.gov.lv</w:t>
        </w:r>
      </w:hyperlink>
      <w:r w:rsidR="001E34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5EE911FE" w14:textId="77777777" w:rsidR="001E34DF" w:rsidRDefault="001E34DF" w:rsidP="001E34DF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Kolomijecs, 6777</w:t>
      </w:r>
      <w:r w:rsidRPr="00D9680B">
        <w:rPr>
          <w:rFonts w:ascii="Times New Roman" w:hAnsi="Times New Roman" w:cs="Times New Roman"/>
          <w:color w:val="000000" w:themeColor="text1"/>
          <w:sz w:val="20"/>
          <w:szCs w:val="20"/>
        </w:rPr>
        <w:t>4909</w:t>
      </w:r>
    </w:p>
    <w:p w14:paraId="2E64249A" w14:textId="77777777" w:rsidR="001E34DF" w:rsidRDefault="007F17CE" w:rsidP="001E34DF">
      <w:pPr>
        <w:spacing w:after="0" w:line="240" w:lineRule="auto"/>
        <w:rPr>
          <w:rStyle w:val="Hyperlink"/>
          <w:rFonts w:ascii="Times New Roman" w:hAnsi="Times New Roman" w:cs="Times New Roman"/>
          <w:sz w:val="20"/>
          <w:szCs w:val="20"/>
        </w:rPr>
      </w:pPr>
      <w:hyperlink r:id="rId10" w:history="1">
        <w:r w:rsidR="001E34DF" w:rsidRPr="00D9680B">
          <w:rPr>
            <w:rStyle w:val="Hyperlink"/>
            <w:rFonts w:ascii="Times New Roman" w:hAnsi="Times New Roman" w:cs="Times New Roman"/>
            <w:sz w:val="20"/>
            <w:szCs w:val="20"/>
          </w:rPr>
          <w:t>vadims.kolomijecs@fktk.lv</w:t>
        </w:r>
      </w:hyperlink>
    </w:p>
    <w:p w14:paraId="52DCEDED" w14:textId="77777777" w:rsidR="00933A69" w:rsidRPr="00A3343B" w:rsidRDefault="00933A69" w:rsidP="00FF6943">
      <w:pPr>
        <w:tabs>
          <w:tab w:val="left" w:pos="6237"/>
        </w:tabs>
        <w:spacing w:after="0" w:line="240" w:lineRule="auto"/>
        <w:ind w:left="-56" w:firstLine="720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933A69" w:rsidRPr="00A3343B" w:rsidSect="009A2654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AA30A" w14:textId="77777777" w:rsidR="007F17CE" w:rsidRDefault="007F17CE" w:rsidP="00894C55">
      <w:pPr>
        <w:spacing w:after="0" w:line="240" w:lineRule="auto"/>
      </w:pPr>
      <w:r>
        <w:separator/>
      </w:r>
    </w:p>
  </w:endnote>
  <w:endnote w:type="continuationSeparator" w:id="0">
    <w:p w14:paraId="3C367DBD" w14:textId="77777777" w:rsidR="007F17CE" w:rsidRDefault="007F17C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469E6" w14:textId="0F669144" w:rsidR="00FF6943" w:rsidRPr="00964C9F" w:rsidRDefault="006D5E84" w:rsidP="00964C9F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FMlik_</w:t>
    </w:r>
    <w:r w:rsidR="004019EA">
      <w:rPr>
        <w:rFonts w:ascii="Times New Roman" w:hAnsi="Times New Roman" w:cs="Times New Roman"/>
        <w:sz w:val="20"/>
        <w:szCs w:val="20"/>
      </w:rPr>
      <w:t>18</w:t>
    </w:r>
    <w:r w:rsidR="00AB20C5">
      <w:rPr>
        <w:rFonts w:ascii="Times New Roman" w:hAnsi="Times New Roman" w:cs="Times New Roman"/>
        <w:sz w:val="20"/>
        <w:szCs w:val="20"/>
      </w:rPr>
      <w:t>05</w:t>
    </w:r>
    <w:r w:rsidR="00964C9F">
      <w:rPr>
        <w:rFonts w:ascii="Times New Roman" w:hAnsi="Times New Roman" w:cs="Times New Roman"/>
        <w:sz w:val="20"/>
        <w:szCs w:val="20"/>
      </w:rPr>
      <w:t>17_IAL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8F694" w14:textId="11382B5E" w:rsidR="00FF6943" w:rsidRPr="009A2654" w:rsidRDefault="006D5E84" w:rsidP="008D0BC4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FMlik_</w:t>
    </w:r>
    <w:r w:rsidR="004019EA">
      <w:rPr>
        <w:rFonts w:ascii="Times New Roman" w:hAnsi="Times New Roman" w:cs="Times New Roman"/>
        <w:sz w:val="20"/>
        <w:szCs w:val="20"/>
      </w:rPr>
      <w:t>18</w:t>
    </w:r>
    <w:r w:rsidR="00AB20C5">
      <w:rPr>
        <w:rFonts w:ascii="Times New Roman" w:hAnsi="Times New Roman" w:cs="Times New Roman"/>
        <w:sz w:val="20"/>
        <w:szCs w:val="20"/>
      </w:rPr>
      <w:t>05</w:t>
    </w:r>
    <w:r w:rsidR="00964C9F">
      <w:rPr>
        <w:rFonts w:ascii="Times New Roman" w:hAnsi="Times New Roman" w:cs="Times New Roman"/>
        <w:sz w:val="20"/>
        <w:szCs w:val="20"/>
      </w:rPr>
      <w:t>17_IAL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8E295" w14:textId="77777777" w:rsidR="007F17CE" w:rsidRDefault="007F17CE" w:rsidP="00894C55">
      <w:pPr>
        <w:spacing w:after="0" w:line="240" w:lineRule="auto"/>
      </w:pPr>
      <w:r>
        <w:separator/>
      </w:r>
    </w:p>
  </w:footnote>
  <w:footnote w:type="continuationSeparator" w:id="0">
    <w:p w14:paraId="5E2AC0C3" w14:textId="77777777" w:rsidR="007F17CE" w:rsidRDefault="007F17C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41D0ED1A" w14:textId="77777777" w:rsidR="00FF6943" w:rsidRPr="00C25B49" w:rsidRDefault="00FF694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4343B5">
          <w:rPr>
            <w:rFonts w:ascii="Times New Roman" w:hAnsi="Times New Roman" w:cs="Times New Roman"/>
            <w:noProof/>
            <w:sz w:val="24"/>
            <w:szCs w:val="20"/>
          </w:rPr>
          <w:t>3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959F2"/>
    <w:multiLevelType w:val="hybridMultilevel"/>
    <w:tmpl w:val="1C52BAA2"/>
    <w:lvl w:ilvl="0" w:tplc="9222B52C">
      <w:start w:val="1"/>
      <w:numFmt w:val="decimal"/>
      <w:lvlText w:val="%1."/>
      <w:lvlJc w:val="left"/>
      <w:pPr>
        <w:ind w:left="1680" w:hanging="9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55"/>
    <w:rsid w:val="00031BA3"/>
    <w:rsid w:val="0009302E"/>
    <w:rsid w:val="00192B28"/>
    <w:rsid w:val="001A3729"/>
    <w:rsid w:val="001B4F0B"/>
    <w:rsid w:val="001E34DF"/>
    <w:rsid w:val="00201841"/>
    <w:rsid w:val="00243426"/>
    <w:rsid w:val="00252D14"/>
    <w:rsid w:val="002A3891"/>
    <w:rsid w:val="00310CAE"/>
    <w:rsid w:val="0031358D"/>
    <w:rsid w:val="00321630"/>
    <w:rsid w:val="00354885"/>
    <w:rsid w:val="00372427"/>
    <w:rsid w:val="003B0BF9"/>
    <w:rsid w:val="003E0791"/>
    <w:rsid w:val="003E2014"/>
    <w:rsid w:val="003F28AC"/>
    <w:rsid w:val="004019EA"/>
    <w:rsid w:val="004343B5"/>
    <w:rsid w:val="0044178A"/>
    <w:rsid w:val="004454FE"/>
    <w:rsid w:val="004613E4"/>
    <w:rsid w:val="00471F27"/>
    <w:rsid w:val="004815EC"/>
    <w:rsid w:val="004A1B8C"/>
    <w:rsid w:val="004C7E7F"/>
    <w:rsid w:val="004E2B4C"/>
    <w:rsid w:val="004E3411"/>
    <w:rsid w:val="0050178F"/>
    <w:rsid w:val="00537760"/>
    <w:rsid w:val="00537BE3"/>
    <w:rsid w:val="0059714C"/>
    <w:rsid w:val="00636D24"/>
    <w:rsid w:val="00665125"/>
    <w:rsid w:val="00684CDA"/>
    <w:rsid w:val="00695D5D"/>
    <w:rsid w:val="006C106D"/>
    <w:rsid w:val="006C3A01"/>
    <w:rsid w:val="006D5E84"/>
    <w:rsid w:val="006E1081"/>
    <w:rsid w:val="00720585"/>
    <w:rsid w:val="00773AF6"/>
    <w:rsid w:val="00795F71"/>
    <w:rsid w:val="007974F5"/>
    <w:rsid w:val="007C779E"/>
    <w:rsid w:val="007E73AB"/>
    <w:rsid w:val="007F17CE"/>
    <w:rsid w:val="00816C11"/>
    <w:rsid w:val="00864767"/>
    <w:rsid w:val="00894C55"/>
    <w:rsid w:val="008D0BC4"/>
    <w:rsid w:val="009275C4"/>
    <w:rsid w:val="00933A69"/>
    <w:rsid w:val="00935F97"/>
    <w:rsid w:val="00953271"/>
    <w:rsid w:val="00964C9F"/>
    <w:rsid w:val="009A2654"/>
    <w:rsid w:val="009B6797"/>
    <w:rsid w:val="00A3343B"/>
    <w:rsid w:val="00A6073E"/>
    <w:rsid w:val="00AB20C5"/>
    <w:rsid w:val="00AC2C7E"/>
    <w:rsid w:val="00AE5567"/>
    <w:rsid w:val="00B0706A"/>
    <w:rsid w:val="00B2165C"/>
    <w:rsid w:val="00B23332"/>
    <w:rsid w:val="00BA20AA"/>
    <w:rsid w:val="00BB1A99"/>
    <w:rsid w:val="00BC1B9B"/>
    <w:rsid w:val="00BD4425"/>
    <w:rsid w:val="00C23474"/>
    <w:rsid w:val="00C25B49"/>
    <w:rsid w:val="00CC5FEB"/>
    <w:rsid w:val="00CE5657"/>
    <w:rsid w:val="00D0031B"/>
    <w:rsid w:val="00D133F8"/>
    <w:rsid w:val="00D14A3E"/>
    <w:rsid w:val="00D77461"/>
    <w:rsid w:val="00D8097C"/>
    <w:rsid w:val="00DC4A3E"/>
    <w:rsid w:val="00E043BE"/>
    <w:rsid w:val="00E22D38"/>
    <w:rsid w:val="00E3716B"/>
    <w:rsid w:val="00E43DD4"/>
    <w:rsid w:val="00E8749E"/>
    <w:rsid w:val="00E90C01"/>
    <w:rsid w:val="00EA486E"/>
    <w:rsid w:val="00EA69D8"/>
    <w:rsid w:val="00EE281D"/>
    <w:rsid w:val="00F44F2E"/>
    <w:rsid w:val="00F57B0C"/>
    <w:rsid w:val="00F93E02"/>
    <w:rsid w:val="00FF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EB8EB5"/>
  <w15:docId w15:val="{88E743DA-B14D-4B4B-A7A6-36C6FD1A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0B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0BC4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4178A"/>
    <w:pPr>
      <w:spacing w:after="200" w:line="276" w:lineRule="auto"/>
      <w:ind w:left="720"/>
      <w:contextualSpacing/>
    </w:pPr>
  </w:style>
  <w:style w:type="paragraph" w:customStyle="1" w:styleId="StyleRight">
    <w:name w:val="Style Right"/>
    <w:basedOn w:val="Normal"/>
    <w:rsid w:val="003E2014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Parasts1">
    <w:name w:val="Parasts1"/>
    <w:qFormat/>
    <w:rsid w:val="0096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933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613E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3E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3E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D7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829-iegulditaju-aizsardzibas-likum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dims.kolomijecs@fktk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ivis.hammers@fm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97AF-A682-44DB-969C-9AA061A1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3261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Ieguldītāju aizsardzības likumā</vt:lpstr>
      <vt:lpstr>“Grozījumi likumā “Par Latvijas Republikas Uzņēmumu reģistru”” </vt:lpstr>
    </vt:vector>
  </TitlesOfParts>
  <Company>Finanšu ministrija</Company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Ieguldītāju aizsardzības likumā</dc:title>
  <dc:subject>Likumprojekta anotācija</dc:subject>
  <dc:creator>Aivis Hammers</dc:creator>
  <dc:description>67095441, aivis.hammers@fm.gov.lv</dc:description>
  <cp:lastModifiedBy>Aivis Hammers</cp:lastModifiedBy>
  <cp:revision>10</cp:revision>
  <cp:lastPrinted>2016-12-21T08:24:00Z</cp:lastPrinted>
  <dcterms:created xsi:type="dcterms:W3CDTF">2017-04-06T07:52:00Z</dcterms:created>
  <dcterms:modified xsi:type="dcterms:W3CDTF">2017-05-18T06:12:00Z</dcterms:modified>
</cp:coreProperties>
</file>