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B2A3B" w14:textId="77777777" w:rsidR="00852042" w:rsidRPr="00043A3E" w:rsidRDefault="00090983" w:rsidP="001A0589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043A3E">
        <w:rPr>
          <w:b/>
          <w:bCs/>
          <w:sz w:val="28"/>
          <w:szCs w:val="28"/>
        </w:rPr>
        <w:t>Ministru kabineta rīkojuma</w:t>
      </w:r>
      <w:r w:rsidR="00E210B0" w:rsidRPr="00043A3E">
        <w:rPr>
          <w:b/>
          <w:bCs/>
          <w:sz w:val="28"/>
          <w:szCs w:val="28"/>
        </w:rPr>
        <w:t xml:space="preserve"> projekta</w:t>
      </w:r>
    </w:p>
    <w:p w14:paraId="528FE03D" w14:textId="77777777" w:rsidR="00380275" w:rsidRPr="00043A3E" w:rsidRDefault="00DE5D98" w:rsidP="001A0589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043A3E">
        <w:rPr>
          <w:sz w:val="28"/>
          <w:szCs w:val="28"/>
        </w:rPr>
        <w:t>„</w:t>
      </w:r>
      <w:r w:rsidR="001A0589" w:rsidRPr="00043A3E">
        <w:rPr>
          <w:sz w:val="28"/>
          <w:szCs w:val="28"/>
        </w:rPr>
        <w:t>Par finanšu līdzekļu piešķiršanu no valsts budžeta programmas „Līdzekļi neparedzētiem gadījumiem”</w:t>
      </w:r>
      <w:r w:rsidR="00952B6E" w:rsidRPr="00043A3E">
        <w:rPr>
          <w:sz w:val="28"/>
          <w:szCs w:val="28"/>
        </w:rPr>
        <w:t>”</w:t>
      </w:r>
    </w:p>
    <w:p w14:paraId="749A76F3" w14:textId="77777777" w:rsidR="008C5649" w:rsidRPr="00043A3E" w:rsidRDefault="00B71EB9" w:rsidP="00380275">
      <w:pPr>
        <w:pStyle w:val="Heading3"/>
        <w:spacing w:before="0" w:beforeAutospacing="0"/>
        <w:jc w:val="center"/>
        <w:rPr>
          <w:sz w:val="28"/>
          <w:szCs w:val="28"/>
        </w:rPr>
      </w:pPr>
      <w:r w:rsidRPr="00043A3E">
        <w:rPr>
          <w:sz w:val="28"/>
          <w:szCs w:val="28"/>
        </w:rPr>
        <w:t xml:space="preserve"> </w:t>
      </w:r>
      <w:r w:rsidR="00852042" w:rsidRPr="00043A3E">
        <w:rPr>
          <w:sz w:val="28"/>
          <w:szCs w:val="28"/>
        </w:rPr>
        <w:t>sākotnējā</w:t>
      </w:r>
      <w:r w:rsidR="002D3306" w:rsidRPr="00043A3E">
        <w:rPr>
          <w:sz w:val="28"/>
          <w:szCs w:val="28"/>
        </w:rPr>
        <w:t>s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043A3E">
          <w:rPr>
            <w:sz w:val="28"/>
            <w:szCs w:val="28"/>
          </w:rPr>
          <w:t xml:space="preserve"> ietekmes novērtējuma ziņojums (anotācija)</w:t>
        </w:r>
      </w:smartTag>
    </w:p>
    <w:tbl>
      <w:tblPr>
        <w:tblpPr w:leftFromText="180" w:rightFromText="180" w:vertAnchor="text" w:horzAnchor="margin" w:tblpXSpec="center" w:tblpY="14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986"/>
        <w:gridCol w:w="6840"/>
      </w:tblGrid>
      <w:tr w:rsidR="00043A3E" w:rsidRPr="00043A3E" w14:paraId="6E061889" w14:textId="77777777" w:rsidTr="005C13FA"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C9B" w14:textId="77777777" w:rsidR="00852042" w:rsidRPr="00043A3E" w:rsidRDefault="00852042" w:rsidP="00F32406">
            <w:pPr>
              <w:pStyle w:val="naisnod"/>
              <w:spacing w:before="0" w:after="0" w:line="276" w:lineRule="auto"/>
            </w:pPr>
            <w:r w:rsidRPr="00043A3E">
              <w:t>I</w:t>
            </w:r>
            <w:r w:rsidR="000941C5" w:rsidRPr="00043A3E">
              <w:t>.</w:t>
            </w:r>
            <w:r w:rsidRPr="00043A3E">
              <w:t xml:space="preserve"> Tiesību akta </w:t>
            </w:r>
            <w:r w:rsidR="002E3FF4" w:rsidRPr="00043A3E">
              <w:t xml:space="preserve">projekta </w:t>
            </w:r>
            <w:r w:rsidRPr="00043A3E">
              <w:t>izstrādes nepieciešamība</w:t>
            </w:r>
          </w:p>
        </w:tc>
      </w:tr>
      <w:tr w:rsidR="00043A3E" w:rsidRPr="00043A3E" w14:paraId="6E452000" w14:textId="77777777" w:rsidTr="00990B59">
        <w:trPr>
          <w:trHeight w:val="10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4FD" w14:textId="77777777" w:rsidR="00262E2B" w:rsidRPr="00043A3E" w:rsidRDefault="00262E2B" w:rsidP="00F32406">
            <w:pPr>
              <w:pStyle w:val="naiskr"/>
              <w:spacing w:before="0" w:after="0" w:line="276" w:lineRule="auto"/>
            </w:pPr>
            <w:r w:rsidRPr="00043A3E"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C9D" w14:textId="77777777" w:rsidR="00EF56BC" w:rsidRPr="00043A3E" w:rsidRDefault="002D7F54" w:rsidP="00F32406">
            <w:pPr>
              <w:pStyle w:val="naiskr"/>
              <w:spacing w:before="0" w:after="0" w:line="276" w:lineRule="auto"/>
              <w:ind w:hanging="10"/>
            </w:pPr>
            <w:r w:rsidRPr="00043A3E">
              <w:t>Pamatojums</w:t>
            </w:r>
          </w:p>
          <w:p w14:paraId="41A412DE" w14:textId="77777777" w:rsidR="00262E2B" w:rsidRPr="00043A3E" w:rsidRDefault="00262E2B" w:rsidP="00F32406">
            <w:pPr>
              <w:spacing w:line="276" w:lineRule="auto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4B3" w14:textId="212E9C6A" w:rsidR="00990B59" w:rsidRPr="00043A3E" w:rsidRDefault="00A4037D" w:rsidP="00043A3E">
            <w:pPr>
              <w:pStyle w:val="naiskr"/>
              <w:spacing w:line="276" w:lineRule="auto"/>
              <w:jc w:val="both"/>
            </w:pPr>
            <w:r w:rsidRPr="00043A3E">
              <w:t xml:space="preserve">    </w:t>
            </w:r>
            <w:r w:rsidR="003701C5" w:rsidRPr="00043A3E">
              <w:t xml:space="preserve">   Ministru kabineta rīkojuma projekts „Par finanšu līdzekļu piešķiršanu no valsts budžeta programmas „Līdzekļi neparedzētiem gadījumiem”” (turpmāk – rīkojuma projekts) sagatavots, pamatojoties uz </w:t>
            </w:r>
            <w:r w:rsidR="00306915" w:rsidRPr="00043A3E">
              <w:t>Ministru kabineta 2009.gada 22.decembra noteikumu Nr.1644 „Kārtība, kādā pieprasa un izlieto budžeta programmas „Līdzekļi neparedzētiem gadījumiem” līdzekļus” 3.punkt</w:t>
            </w:r>
            <w:r w:rsidR="003701C5" w:rsidRPr="00043A3E">
              <w:t>u</w:t>
            </w:r>
            <w:r w:rsidR="00990B59" w:rsidRPr="00043A3E">
              <w:t>.</w:t>
            </w:r>
          </w:p>
        </w:tc>
      </w:tr>
      <w:tr w:rsidR="00043A3E" w:rsidRPr="00043A3E" w14:paraId="5B47FD54" w14:textId="77777777" w:rsidTr="005C13FA">
        <w:trPr>
          <w:trHeight w:val="4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C32" w14:textId="77777777" w:rsidR="00262E2B" w:rsidRPr="00043A3E" w:rsidRDefault="00262E2B" w:rsidP="00F32406">
            <w:pPr>
              <w:pStyle w:val="naiskr"/>
              <w:spacing w:before="0" w:after="0" w:line="276" w:lineRule="auto"/>
            </w:pPr>
            <w:r w:rsidRPr="00043A3E"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F17" w14:textId="77777777" w:rsidR="00262E2B" w:rsidRPr="00043A3E" w:rsidRDefault="002240B0" w:rsidP="00F32406">
            <w:pPr>
              <w:pStyle w:val="naiskr"/>
              <w:tabs>
                <w:tab w:val="left" w:pos="170"/>
              </w:tabs>
              <w:spacing w:before="0" w:after="0" w:line="276" w:lineRule="auto"/>
            </w:pPr>
            <w:r w:rsidRPr="00043A3E">
              <w:t>Pašreizējā situācija un problēmas, kuru risināšanai tiesību akta projekts izstrādāts, tiesiskā regulējuma mērķis un būtība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5F2" w14:textId="5E924A2F" w:rsidR="003701C5" w:rsidRPr="00043A3E" w:rsidRDefault="00A4037D" w:rsidP="003701C5">
            <w:pPr>
              <w:pStyle w:val="NoSpacing"/>
              <w:spacing w:line="276" w:lineRule="auto"/>
              <w:jc w:val="both"/>
            </w:pPr>
            <w:r w:rsidRPr="00043A3E">
              <w:t xml:space="preserve">    </w:t>
            </w:r>
            <w:r w:rsidR="00306915" w:rsidRPr="00043A3E">
              <w:t>Pamatojoties uz Latvijas Republikas Augstākās tiesas Civillietu departamenta 2017.gada 2.marta rīcības sēdes lēmumu, nolemts atteikt ierosināt kasācijas tiesvedību sakarā ar atbildētājas Latvijas Republ</w:t>
            </w:r>
            <w:r w:rsidR="00CD62B1" w:rsidRPr="00043A3E">
              <w:t>ikas Valsts robežsardzes personā</w:t>
            </w:r>
            <w:r w:rsidR="00306915" w:rsidRPr="00043A3E">
              <w:t xml:space="preserve"> kasācijas sūdzīb</w:t>
            </w:r>
            <w:r w:rsidR="00CD62B1" w:rsidRPr="00043A3E">
              <w:t>u</w:t>
            </w:r>
            <w:r w:rsidR="00306915" w:rsidRPr="00043A3E">
              <w:t xml:space="preserve"> par </w:t>
            </w:r>
            <w:r w:rsidR="003B74C0" w:rsidRPr="00043A3E">
              <w:t xml:space="preserve">Latvijas Republikas </w:t>
            </w:r>
            <w:r w:rsidR="00306915" w:rsidRPr="00043A3E">
              <w:t>Rīgas apgabaltiesas Civillietu ties</w:t>
            </w:r>
            <w:r w:rsidR="00CD62B1" w:rsidRPr="00043A3E">
              <w:t>u</w:t>
            </w:r>
            <w:r w:rsidR="00306915" w:rsidRPr="00043A3E">
              <w:t xml:space="preserve"> kolēģijas 2016.gada 20.jūnija spriedumu</w:t>
            </w:r>
            <w:r w:rsidR="003B74C0" w:rsidRPr="00043A3E">
              <w:t xml:space="preserve"> </w:t>
            </w:r>
            <w:r w:rsidR="004226C7" w:rsidRPr="00043A3E">
              <w:t xml:space="preserve">prasītājas </w:t>
            </w:r>
            <w:r w:rsidR="00990B59" w:rsidRPr="00043A3E">
              <w:t>fiziskā</w:t>
            </w:r>
            <w:r w:rsidR="004226C7" w:rsidRPr="00043A3E">
              <w:t>s</w:t>
            </w:r>
            <w:r w:rsidR="00990B59" w:rsidRPr="00043A3E">
              <w:t xml:space="preserve"> persona</w:t>
            </w:r>
            <w:r w:rsidR="004226C7" w:rsidRPr="00043A3E">
              <w:t>s</w:t>
            </w:r>
            <w:r w:rsidR="003B74C0" w:rsidRPr="00043A3E">
              <w:t xml:space="preserve">, </w:t>
            </w:r>
            <w:r w:rsidR="00990B59" w:rsidRPr="00043A3E">
              <w:t xml:space="preserve">un viņas </w:t>
            </w:r>
            <w:r w:rsidR="004226C7" w:rsidRPr="00043A3E">
              <w:t xml:space="preserve">trīs </w:t>
            </w:r>
            <w:r w:rsidR="00D603B2" w:rsidRPr="00043A3E">
              <w:t xml:space="preserve">nepilngadīgo </w:t>
            </w:r>
            <w:r w:rsidR="00990B59" w:rsidRPr="00043A3E">
              <w:t>bērnu</w:t>
            </w:r>
            <w:r w:rsidR="003B74C0" w:rsidRPr="00043A3E">
              <w:t xml:space="preserve"> </w:t>
            </w:r>
            <w:r w:rsidR="00D603B2" w:rsidRPr="00043A3E">
              <w:t>likumiskā</w:t>
            </w:r>
            <w:r w:rsidR="00CD62B1" w:rsidRPr="00043A3E">
              <w:t>s</w:t>
            </w:r>
            <w:r w:rsidR="00D603B2" w:rsidRPr="00043A3E">
              <w:t xml:space="preserve"> aizgādne</w:t>
            </w:r>
            <w:r w:rsidR="009770A5" w:rsidRPr="00043A3E">
              <w:t>s</w:t>
            </w:r>
            <w:r w:rsidR="00D603B2" w:rsidRPr="00043A3E">
              <w:t xml:space="preserve">, </w:t>
            </w:r>
            <w:r w:rsidR="003B74C0" w:rsidRPr="00043A3E">
              <w:t>prasībā pret Latvijas Republikas Iekšlietu ministriju un Valsts robežsardzi par morālā kaitējuma atlīdzības piedziņu.</w:t>
            </w:r>
            <w:r w:rsidR="002228F2" w:rsidRPr="00043A3E">
              <w:t xml:space="preserve"> Ar Rīgas apgabaltiesas Civillietu ties</w:t>
            </w:r>
            <w:r w:rsidR="003701C5" w:rsidRPr="00043A3E">
              <w:t>u</w:t>
            </w:r>
            <w:r w:rsidR="002228F2" w:rsidRPr="00043A3E">
              <w:t xml:space="preserve"> kolēģijas 2016.gada 20.jūnij</w:t>
            </w:r>
            <w:r w:rsidR="009770A5" w:rsidRPr="00043A3E">
              <w:t>a spriedumu daļēji apmierināt</w:t>
            </w:r>
            <w:r w:rsidR="003701C5" w:rsidRPr="00043A3E">
              <w:t>a</w:t>
            </w:r>
            <w:r w:rsidR="009770A5" w:rsidRPr="00043A3E">
              <w:t xml:space="preserve"> </w:t>
            </w:r>
            <w:r w:rsidR="00990B59" w:rsidRPr="00043A3E">
              <w:t>fiziskās personas un viņas</w:t>
            </w:r>
            <w:r w:rsidR="004226C7" w:rsidRPr="00043A3E">
              <w:t xml:space="preserve"> trīs</w:t>
            </w:r>
            <w:r w:rsidR="00990B59" w:rsidRPr="00043A3E">
              <w:t xml:space="preserve"> </w:t>
            </w:r>
            <w:r w:rsidR="009770A5" w:rsidRPr="00043A3E">
              <w:t xml:space="preserve"> nepilngadīgo </w:t>
            </w:r>
            <w:r w:rsidR="00990B59" w:rsidRPr="00043A3E">
              <w:t xml:space="preserve">bērnu </w:t>
            </w:r>
            <w:r w:rsidR="002228F2" w:rsidRPr="00043A3E">
              <w:t xml:space="preserve">prasība par morālā kaitējuma </w:t>
            </w:r>
            <w:r w:rsidR="003701C5" w:rsidRPr="00043A3E">
              <w:t xml:space="preserve">atlīdzības </w:t>
            </w:r>
            <w:r w:rsidR="002228F2" w:rsidRPr="00043A3E">
              <w:t>piedziņu</w:t>
            </w:r>
            <w:r w:rsidR="008B64DF" w:rsidRPr="00043A3E">
              <w:t xml:space="preserve"> </w:t>
            </w:r>
            <w:r w:rsidR="00990B59" w:rsidRPr="00043A3E">
              <w:t>saistībā ar</w:t>
            </w:r>
            <w:r w:rsidR="00D603B2" w:rsidRPr="00043A3E">
              <w:t xml:space="preserve"> Valsts robežsardzes Ventspils pārvaldes Kurzemes I kategorijas dienesta Mērsraga I kategorijas nodaļas inspektora virsniekvietnieka</w:t>
            </w:r>
            <w:r w:rsidR="00990B59" w:rsidRPr="00043A3E">
              <w:t xml:space="preserve"> (fiziskās personas vīr</w:t>
            </w:r>
            <w:r w:rsidR="004226C7" w:rsidRPr="00043A3E">
              <w:t>s</w:t>
            </w:r>
            <w:r w:rsidR="00990B59" w:rsidRPr="00043A3E">
              <w:t xml:space="preserve">, </w:t>
            </w:r>
            <w:r w:rsidR="004226C7" w:rsidRPr="00043A3E">
              <w:t xml:space="preserve">trīs </w:t>
            </w:r>
            <w:r w:rsidR="00990B59" w:rsidRPr="00043A3E">
              <w:t>bēr</w:t>
            </w:r>
            <w:r w:rsidR="004226C7" w:rsidRPr="00043A3E">
              <w:t>n</w:t>
            </w:r>
            <w:r w:rsidR="00990B59" w:rsidRPr="00043A3E">
              <w:t>u tēv</w:t>
            </w:r>
            <w:r w:rsidR="004226C7" w:rsidRPr="00043A3E">
              <w:t>s</w:t>
            </w:r>
            <w:r w:rsidR="00990B59" w:rsidRPr="00043A3E">
              <w:t>)</w:t>
            </w:r>
            <w:r w:rsidR="00D603B2" w:rsidRPr="00043A3E">
              <w:t xml:space="preserve"> nāvi dienesta laikā elektrotraumas dēļ, </w:t>
            </w:r>
            <w:r w:rsidR="002228F2" w:rsidRPr="00043A3E">
              <w:t xml:space="preserve">kurā tika nospriests piedzīt katrai personai no </w:t>
            </w:r>
            <w:r w:rsidR="003701C5" w:rsidRPr="00043A3E">
              <w:t xml:space="preserve">Latvijas Republikas </w:t>
            </w:r>
            <w:r w:rsidR="002228F2" w:rsidRPr="00043A3E">
              <w:t>Valsts robežsardze</w:t>
            </w:r>
            <w:r w:rsidR="003701C5" w:rsidRPr="00043A3E">
              <w:t>s personā</w:t>
            </w:r>
            <w:r w:rsidR="002228F2" w:rsidRPr="00043A3E">
              <w:t xml:space="preserve"> 5 000 </w:t>
            </w:r>
            <w:proofErr w:type="spellStart"/>
            <w:r w:rsidR="002228F2" w:rsidRPr="00043A3E">
              <w:rPr>
                <w:i/>
              </w:rPr>
              <w:t>euro</w:t>
            </w:r>
            <w:proofErr w:type="spellEnd"/>
            <w:r w:rsidR="002228F2" w:rsidRPr="00043A3E">
              <w:t xml:space="preserve">, kopā 20 000 </w:t>
            </w:r>
            <w:proofErr w:type="spellStart"/>
            <w:r w:rsidR="002228F2" w:rsidRPr="00043A3E">
              <w:rPr>
                <w:i/>
              </w:rPr>
              <w:t>euro</w:t>
            </w:r>
            <w:proofErr w:type="spellEnd"/>
            <w:r w:rsidR="003701C5" w:rsidRPr="00043A3E">
              <w:rPr>
                <w:i/>
              </w:rPr>
              <w:t xml:space="preserve">, </w:t>
            </w:r>
            <w:r w:rsidR="003701C5" w:rsidRPr="00043A3E">
              <w:t>izmaksājot šo summu no valsts budžetā speciāli paredzētajiem līdzekļiem. Prasība daļā pret Latvijas Republiku Iekšlietu ministrijas personā noraidīta.</w:t>
            </w:r>
          </w:p>
          <w:p w14:paraId="21DABE55" w14:textId="114A9839" w:rsidR="003701C5" w:rsidRPr="00043A3E" w:rsidRDefault="00A4037D" w:rsidP="003701C5">
            <w:pPr>
              <w:spacing w:line="276" w:lineRule="auto"/>
              <w:jc w:val="both"/>
            </w:pPr>
            <w:r w:rsidRPr="00043A3E">
              <w:t xml:space="preserve">    </w:t>
            </w:r>
            <w:r w:rsidR="003701C5" w:rsidRPr="00043A3E">
              <w:t xml:space="preserve"> Ņemot vērā, ka Valsts robežsardzei 2017.gadā valsts budžetā šādam mērķim finanšu līdzekļi nav paredzēti, ir nepieciešams papildu finansējums iepriekš minētā sprieduma izpildei.  </w:t>
            </w:r>
          </w:p>
          <w:p w14:paraId="0F8ACF86" w14:textId="2697DCF2" w:rsidR="0025634A" w:rsidRPr="00043A3E" w:rsidRDefault="003701C5" w:rsidP="003701C5">
            <w:pPr>
              <w:pStyle w:val="BodyTextIndent"/>
              <w:tabs>
                <w:tab w:val="left" w:pos="1260"/>
              </w:tabs>
              <w:spacing w:line="276" w:lineRule="auto"/>
              <w:ind w:left="0" w:firstLine="0"/>
              <w:rPr>
                <w:sz w:val="24"/>
              </w:rPr>
            </w:pPr>
            <w:r w:rsidRPr="00043A3E">
              <w:rPr>
                <w:sz w:val="24"/>
              </w:rPr>
              <w:t xml:space="preserve">    Rīkojuma projekts paredz Finanšu ministrijai no valsts budžeta programmas 02.00.00 „Līdzekļi neparedzētiem gadījumiem” piešķirt Iekšlietu ministrijai (Valsts robežsardzei) 20 000 </w:t>
            </w:r>
            <w:proofErr w:type="spellStart"/>
            <w:r w:rsidRPr="00043A3E">
              <w:rPr>
                <w:i/>
                <w:sz w:val="24"/>
              </w:rPr>
              <w:t>euro</w:t>
            </w:r>
            <w:proofErr w:type="spellEnd"/>
            <w:r w:rsidRPr="00043A3E">
              <w:rPr>
                <w:i/>
                <w:sz w:val="24"/>
              </w:rPr>
              <w:t>,</w:t>
            </w:r>
            <w:r w:rsidRPr="00043A3E">
              <w:rPr>
                <w:sz w:val="24"/>
              </w:rPr>
              <w:t xml:space="preserve"> lai izpildītu Latvijas Republikas Rīgas apgabaltiesas Civillietu tiesas kolēģijas 2016.gada 20.jūnija spriedumu lietā Nr.C32219015.</w:t>
            </w:r>
            <w:r w:rsidR="00A4037D" w:rsidRPr="00043A3E" w:rsidDel="007736C0">
              <w:t xml:space="preserve"> </w:t>
            </w:r>
          </w:p>
        </w:tc>
      </w:tr>
      <w:tr w:rsidR="00043A3E" w:rsidRPr="00043A3E" w14:paraId="156397CD" w14:textId="77777777" w:rsidTr="005C13FA">
        <w:trPr>
          <w:trHeight w:val="4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B73" w14:textId="77777777" w:rsidR="00262E2B" w:rsidRPr="00043A3E" w:rsidRDefault="002240B0" w:rsidP="00F32406">
            <w:pPr>
              <w:pStyle w:val="naiskr"/>
              <w:spacing w:before="0" w:after="0" w:line="276" w:lineRule="auto"/>
            </w:pPr>
            <w:r w:rsidRPr="00043A3E">
              <w:t>3</w:t>
            </w:r>
            <w:r w:rsidR="00262E2B" w:rsidRPr="00043A3E"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61C" w14:textId="77777777" w:rsidR="00262E2B" w:rsidRPr="00043A3E" w:rsidRDefault="001A4066" w:rsidP="00F32406">
            <w:pPr>
              <w:pStyle w:val="naiskr"/>
              <w:spacing w:before="0" w:after="0" w:line="276" w:lineRule="auto"/>
            </w:pPr>
            <w:r w:rsidRPr="00043A3E">
              <w:t>Projekta i</w:t>
            </w:r>
            <w:r w:rsidR="00262E2B" w:rsidRPr="00043A3E">
              <w:t>zstrād</w:t>
            </w:r>
            <w:r w:rsidR="00420870" w:rsidRPr="00043A3E">
              <w:t xml:space="preserve">ē </w:t>
            </w:r>
            <w:r w:rsidR="00262E2B" w:rsidRPr="00043A3E">
              <w:t>iesaistītās institūcijas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96A" w14:textId="77777777" w:rsidR="00262E2B" w:rsidRPr="00043A3E" w:rsidRDefault="00CB1F2F" w:rsidP="00F32406">
            <w:pPr>
              <w:pStyle w:val="naiskr"/>
              <w:spacing w:before="0" w:after="0" w:line="276" w:lineRule="auto"/>
            </w:pPr>
            <w:r w:rsidRPr="00043A3E">
              <w:rPr>
                <w:iCs/>
              </w:rPr>
              <w:t>Iekšlietu ministrija</w:t>
            </w:r>
            <w:r w:rsidR="003F3D2C" w:rsidRPr="00043A3E">
              <w:rPr>
                <w:iCs/>
              </w:rPr>
              <w:t xml:space="preserve"> un</w:t>
            </w:r>
            <w:r w:rsidR="008442AF" w:rsidRPr="00043A3E">
              <w:rPr>
                <w:iCs/>
              </w:rPr>
              <w:t xml:space="preserve"> Valsts </w:t>
            </w:r>
            <w:r w:rsidR="0014102F" w:rsidRPr="00043A3E">
              <w:rPr>
                <w:iCs/>
              </w:rPr>
              <w:t>robežsardze</w:t>
            </w:r>
            <w:r w:rsidR="003F3D2C" w:rsidRPr="00043A3E">
              <w:rPr>
                <w:iCs/>
              </w:rPr>
              <w:t>.</w:t>
            </w:r>
          </w:p>
        </w:tc>
      </w:tr>
      <w:tr w:rsidR="00043A3E" w:rsidRPr="00043A3E" w14:paraId="0E740689" w14:textId="77777777" w:rsidTr="005C13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11B" w14:textId="77777777" w:rsidR="00262E2B" w:rsidRPr="00043A3E" w:rsidRDefault="002240B0" w:rsidP="00F32406">
            <w:pPr>
              <w:pStyle w:val="naiskr"/>
              <w:spacing w:before="0" w:after="0" w:line="276" w:lineRule="auto"/>
            </w:pPr>
            <w:r w:rsidRPr="00043A3E">
              <w:t>4</w:t>
            </w:r>
            <w:r w:rsidR="00262E2B" w:rsidRPr="00043A3E"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409" w14:textId="77777777" w:rsidR="00262E2B" w:rsidRPr="00043A3E" w:rsidRDefault="00262E2B" w:rsidP="00F32406">
            <w:pPr>
              <w:pStyle w:val="naiskr"/>
              <w:spacing w:before="0" w:after="0" w:line="276" w:lineRule="auto"/>
            </w:pPr>
            <w:r w:rsidRPr="00043A3E">
              <w:t>Cita informācija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533" w14:textId="77777777" w:rsidR="00262E2B" w:rsidRPr="00043A3E" w:rsidRDefault="001B0056" w:rsidP="00F32406">
            <w:pPr>
              <w:pStyle w:val="naiskr"/>
              <w:spacing w:before="0" w:after="0" w:line="276" w:lineRule="auto"/>
            </w:pPr>
            <w:r w:rsidRPr="00043A3E">
              <w:t>Nav.</w:t>
            </w:r>
          </w:p>
        </w:tc>
      </w:tr>
      <w:tr w:rsidR="00043A3E" w:rsidRPr="00043A3E" w14:paraId="518898A9" w14:textId="77777777" w:rsidTr="00EA4F36"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A83" w14:textId="11023E46" w:rsidR="00790CE4" w:rsidRPr="00043A3E" w:rsidRDefault="00790CE4" w:rsidP="00790CE4">
            <w:pPr>
              <w:pStyle w:val="naiskr"/>
              <w:spacing w:before="0" w:after="0" w:line="276" w:lineRule="auto"/>
              <w:jc w:val="center"/>
              <w:rPr>
                <w:b/>
              </w:rPr>
            </w:pPr>
            <w:r w:rsidRPr="00043A3E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043A3E" w:rsidRPr="00043A3E" w14:paraId="1CC60805" w14:textId="77777777" w:rsidTr="005C13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F63" w14:textId="68E81FD8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lastRenderedPageBreak/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3AA" w14:textId="0680E61F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 xml:space="preserve">Sabiedrības </w:t>
            </w:r>
            <w:proofErr w:type="spellStart"/>
            <w:r w:rsidRPr="00043A3E">
              <w:t>mērķgrupas</w:t>
            </w:r>
            <w:proofErr w:type="spellEnd"/>
            <w:r w:rsidRPr="00043A3E">
              <w:t>, kuras tiesiskais regulējums ietekmē vai varētu ietekmēt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D69" w14:textId="41AEDE1A" w:rsidR="00790CE4" w:rsidRPr="00043A3E" w:rsidRDefault="00790CE4" w:rsidP="00790CE4">
            <w:pPr>
              <w:pStyle w:val="naiskr"/>
              <w:spacing w:before="0" w:after="0" w:line="276" w:lineRule="auto"/>
            </w:pPr>
            <w:r w:rsidRPr="00043A3E">
              <w:t>Valsts robežsardze,  četras fiziskās personas</w:t>
            </w:r>
            <w:r w:rsidR="007463E7">
              <w:t>.</w:t>
            </w:r>
            <w:bookmarkStart w:id="0" w:name="_GoBack"/>
            <w:bookmarkEnd w:id="0"/>
          </w:p>
        </w:tc>
      </w:tr>
      <w:tr w:rsidR="00043A3E" w:rsidRPr="00043A3E" w14:paraId="18118B5C" w14:textId="77777777" w:rsidTr="005C13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7CF" w14:textId="2C1A91A3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9A3" w14:textId="04D7B63B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Tiesiskā regulējuma ietekme uz tautsaimniecību un administratīvo slogu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6D9" w14:textId="4F1D827A" w:rsidR="00790CE4" w:rsidRPr="00043A3E" w:rsidRDefault="00CD62B1" w:rsidP="00F32406">
            <w:pPr>
              <w:pStyle w:val="naiskr"/>
              <w:spacing w:before="0" w:after="0" w:line="276" w:lineRule="auto"/>
            </w:pPr>
            <w:r w:rsidRPr="00043A3E">
              <w:t>Sabiedrības grupām un institūcijām projekta tiesiskais regulējums nemaina tiesības un pienākumus, kā arī veicamās darbībās.</w:t>
            </w:r>
          </w:p>
        </w:tc>
      </w:tr>
      <w:tr w:rsidR="00043A3E" w:rsidRPr="00043A3E" w14:paraId="389A1DC1" w14:textId="77777777" w:rsidTr="005C13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78C" w14:textId="1251F0D6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2A7" w14:textId="6F0E26EC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Administratīvo izmaksu monetārs novērtējums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6FC" w14:textId="5EECB0B6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Projekts šo jomu neskar.</w:t>
            </w:r>
          </w:p>
        </w:tc>
      </w:tr>
      <w:tr w:rsidR="00043A3E" w:rsidRPr="00043A3E" w14:paraId="207700FE" w14:textId="77777777" w:rsidTr="00D603B2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1CD" w14:textId="6C90F451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008" w14:textId="6CADF6F6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Cita informācija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C1F" w14:textId="6E9726C9" w:rsidR="00790CE4" w:rsidRPr="00043A3E" w:rsidRDefault="00790CE4" w:rsidP="00F32406">
            <w:pPr>
              <w:pStyle w:val="naiskr"/>
              <w:spacing w:before="0" w:after="0" w:line="276" w:lineRule="auto"/>
            </w:pPr>
            <w:r w:rsidRPr="00043A3E">
              <w:t>Nav.</w:t>
            </w:r>
          </w:p>
        </w:tc>
      </w:tr>
    </w:tbl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155"/>
        <w:gridCol w:w="1281"/>
        <w:gridCol w:w="1283"/>
        <w:gridCol w:w="1283"/>
        <w:gridCol w:w="1283"/>
        <w:gridCol w:w="1518"/>
      </w:tblGrid>
      <w:tr w:rsidR="00043A3E" w:rsidRPr="00043A3E" w14:paraId="5F40B544" w14:textId="77777777" w:rsidTr="00DA0C24">
        <w:trPr>
          <w:trHeight w:val="286"/>
          <w:jc w:val="center"/>
        </w:trPr>
        <w:tc>
          <w:tcPr>
            <w:tcW w:w="10224" w:type="dxa"/>
            <w:gridSpan w:val="7"/>
            <w:tcBorders>
              <w:top w:val="nil"/>
            </w:tcBorders>
          </w:tcPr>
          <w:p w14:paraId="142B614E" w14:textId="77777777" w:rsidR="00124F12" w:rsidRPr="00043A3E" w:rsidRDefault="00124F12" w:rsidP="00F32406">
            <w:pPr>
              <w:pStyle w:val="naisnod"/>
              <w:spacing w:before="0" w:after="0" w:line="276" w:lineRule="auto"/>
              <w:rPr>
                <w:i/>
              </w:rPr>
            </w:pPr>
            <w:r w:rsidRPr="00043A3E">
              <w:br w:type="page"/>
              <w:t>III</w:t>
            </w:r>
            <w:r w:rsidR="000941C5" w:rsidRPr="00043A3E">
              <w:t>.</w:t>
            </w:r>
            <w:r w:rsidRPr="00043A3E">
              <w:t xml:space="preserve"> Tiesību akta projekta ietekme uz valsts budžetu un pašvaldību budžetiem</w:t>
            </w:r>
          </w:p>
        </w:tc>
      </w:tr>
      <w:tr w:rsidR="00043A3E" w:rsidRPr="00043A3E" w14:paraId="7850F451" w14:textId="77777777" w:rsidTr="00AF1426">
        <w:trPr>
          <w:jc w:val="center"/>
        </w:trPr>
        <w:tc>
          <w:tcPr>
            <w:tcW w:w="3576" w:type="dxa"/>
            <w:gridSpan w:val="2"/>
            <w:vMerge w:val="restart"/>
            <w:vAlign w:val="center"/>
          </w:tcPr>
          <w:p w14:paraId="5076D9ED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043A3E">
              <w:rPr>
                <w:b/>
              </w:rPr>
              <w:t>Rādītāji</w:t>
            </w:r>
          </w:p>
        </w:tc>
        <w:tc>
          <w:tcPr>
            <w:tcW w:w="2564" w:type="dxa"/>
            <w:gridSpan w:val="2"/>
            <w:vMerge w:val="restart"/>
            <w:vAlign w:val="center"/>
          </w:tcPr>
          <w:p w14:paraId="7A934C56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043A3E">
              <w:rPr>
                <w:b/>
              </w:rPr>
              <w:t>201</w:t>
            </w:r>
            <w:r w:rsidR="005F3434" w:rsidRPr="00043A3E">
              <w:rPr>
                <w:b/>
              </w:rPr>
              <w:t>7</w:t>
            </w:r>
            <w:r w:rsidRPr="00043A3E">
              <w:rPr>
                <w:b/>
              </w:rPr>
              <w:t>.</w:t>
            </w:r>
            <w:r w:rsidR="00124F12" w:rsidRPr="00043A3E">
              <w:rPr>
                <w:b/>
              </w:rPr>
              <w:t xml:space="preserve"> gads</w:t>
            </w:r>
          </w:p>
        </w:tc>
        <w:tc>
          <w:tcPr>
            <w:tcW w:w="4084" w:type="dxa"/>
            <w:gridSpan w:val="3"/>
            <w:vAlign w:val="center"/>
          </w:tcPr>
          <w:p w14:paraId="7FE46704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Turpmākie trīs gadi</w:t>
            </w:r>
            <w:r w:rsidR="009E12D7" w:rsidRPr="00043A3E">
              <w:t xml:space="preserve"> (</w:t>
            </w:r>
            <w:proofErr w:type="spellStart"/>
            <w:r w:rsidR="00161DE0" w:rsidRPr="00043A3E">
              <w:rPr>
                <w:i/>
              </w:rPr>
              <w:t>euro</w:t>
            </w:r>
            <w:proofErr w:type="spellEnd"/>
            <w:r w:rsidR="009E12D7" w:rsidRPr="00043A3E">
              <w:t>)</w:t>
            </w:r>
          </w:p>
        </w:tc>
      </w:tr>
      <w:tr w:rsidR="00043A3E" w:rsidRPr="00043A3E" w14:paraId="0A287542" w14:textId="77777777" w:rsidTr="00AF1426">
        <w:trPr>
          <w:jc w:val="center"/>
        </w:trPr>
        <w:tc>
          <w:tcPr>
            <w:tcW w:w="3576" w:type="dxa"/>
            <w:gridSpan w:val="2"/>
            <w:vMerge/>
            <w:vAlign w:val="center"/>
          </w:tcPr>
          <w:p w14:paraId="54B9CEF8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14:paraId="7745F08F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83" w:type="dxa"/>
            <w:vAlign w:val="center"/>
          </w:tcPr>
          <w:p w14:paraId="512A9070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rPr>
                <w:b/>
                <w:bCs/>
              </w:rPr>
              <w:t>201</w:t>
            </w:r>
            <w:r w:rsidR="005F3434" w:rsidRPr="00043A3E">
              <w:rPr>
                <w:b/>
                <w:bCs/>
              </w:rPr>
              <w:t>8</w:t>
            </w:r>
            <w:r w:rsidRPr="00043A3E">
              <w:rPr>
                <w:b/>
                <w:bCs/>
              </w:rPr>
              <w:t>.</w:t>
            </w:r>
          </w:p>
        </w:tc>
        <w:tc>
          <w:tcPr>
            <w:tcW w:w="1283" w:type="dxa"/>
            <w:vAlign w:val="center"/>
          </w:tcPr>
          <w:p w14:paraId="68F40781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rPr>
                <w:b/>
                <w:bCs/>
              </w:rPr>
              <w:t>201</w:t>
            </w:r>
            <w:r w:rsidR="005F3434" w:rsidRPr="00043A3E">
              <w:rPr>
                <w:b/>
                <w:bCs/>
              </w:rPr>
              <w:t>9</w:t>
            </w:r>
            <w:r w:rsidRPr="00043A3E">
              <w:rPr>
                <w:b/>
                <w:bCs/>
              </w:rPr>
              <w:t>.</w:t>
            </w:r>
          </w:p>
        </w:tc>
        <w:tc>
          <w:tcPr>
            <w:tcW w:w="1518" w:type="dxa"/>
            <w:vAlign w:val="center"/>
          </w:tcPr>
          <w:p w14:paraId="74D0D280" w14:textId="77777777" w:rsidR="00124F12" w:rsidRPr="00043A3E" w:rsidRDefault="005F3434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rPr>
                <w:b/>
                <w:bCs/>
              </w:rPr>
              <w:t>2020</w:t>
            </w:r>
            <w:r w:rsidR="00CB1F2F" w:rsidRPr="00043A3E">
              <w:rPr>
                <w:b/>
                <w:bCs/>
              </w:rPr>
              <w:t>.</w:t>
            </w:r>
          </w:p>
        </w:tc>
      </w:tr>
      <w:tr w:rsidR="00043A3E" w:rsidRPr="00043A3E" w14:paraId="5C119E11" w14:textId="77777777" w:rsidTr="00AF1426">
        <w:trPr>
          <w:jc w:val="center"/>
        </w:trPr>
        <w:tc>
          <w:tcPr>
            <w:tcW w:w="3576" w:type="dxa"/>
            <w:gridSpan w:val="2"/>
            <w:vMerge/>
            <w:vAlign w:val="center"/>
          </w:tcPr>
          <w:p w14:paraId="4D272916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14:paraId="72600F19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Saskaņā ar valsts budžetu kārtējam gadam</w:t>
            </w:r>
          </w:p>
        </w:tc>
        <w:tc>
          <w:tcPr>
            <w:tcW w:w="1283" w:type="dxa"/>
            <w:vAlign w:val="center"/>
          </w:tcPr>
          <w:p w14:paraId="6A3037AD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Izmaiņas kārtējā gadā</w:t>
            </w:r>
            <w:r w:rsidR="009E12D7" w:rsidRPr="00043A3E">
              <w:t>,</w:t>
            </w:r>
            <w:r w:rsidRPr="00043A3E">
              <w:t xml:space="preserve"> salīdzinot ar budžetu kārtējam gadam</w:t>
            </w:r>
          </w:p>
        </w:tc>
        <w:tc>
          <w:tcPr>
            <w:tcW w:w="1283" w:type="dxa"/>
            <w:vAlign w:val="center"/>
          </w:tcPr>
          <w:p w14:paraId="56D4E2F4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Izmaiņas</w:t>
            </w:r>
            <w:r w:rsidR="00182C18" w:rsidRPr="00043A3E">
              <w:t>,</w:t>
            </w:r>
            <w:r w:rsidRPr="00043A3E">
              <w:t xml:space="preserve"> salīdzinot ar kārtējo (n) gadu</w:t>
            </w:r>
          </w:p>
        </w:tc>
        <w:tc>
          <w:tcPr>
            <w:tcW w:w="1283" w:type="dxa"/>
            <w:vAlign w:val="center"/>
          </w:tcPr>
          <w:p w14:paraId="40139530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Izmaiņas</w:t>
            </w:r>
            <w:r w:rsidR="00182C18" w:rsidRPr="00043A3E">
              <w:t>,</w:t>
            </w:r>
            <w:r w:rsidRPr="00043A3E">
              <w:t xml:space="preserve"> salīdzinot ar kārtējo (n) gadu</w:t>
            </w:r>
          </w:p>
        </w:tc>
        <w:tc>
          <w:tcPr>
            <w:tcW w:w="1518" w:type="dxa"/>
            <w:vAlign w:val="center"/>
          </w:tcPr>
          <w:p w14:paraId="4A4F3784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i/>
              </w:rPr>
            </w:pPr>
            <w:r w:rsidRPr="00043A3E">
              <w:t>Izmaiņas</w:t>
            </w:r>
            <w:r w:rsidR="00182C18" w:rsidRPr="00043A3E">
              <w:t>,</w:t>
            </w:r>
            <w:r w:rsidRPr="00043A3E">
              <w:t xml:space="preserve"> salīdzinot ar kārtējo (n) gadu</w:t>
            </w:r>
          </w:p>
        </w:tc>
      </w:tr>
      <w:tr w:rsidR="00043A3E" w:rsidRPr="00043A3E" w14:paraId="3B4F2AE7" w14:textId="77777777" w:rsidTr="00AF1426">
        <w:trPr>
          <w:jc w:val="center"/>
        </w:trPr>
        <w:tc>
          <w:tcPr>
            <w:tcW w:w="3576" w:type="dxa"/>
            <w:gridSpan w:val="2"/>
            <w:vAlign w:val="center"/>
          </w:tcPr>
          <w:p w14:paraId="2AE9C739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1</w:t>
            </w:r>
          </w:p>
        </w:tc>
        <w:tc>
          <w:tcPr>
            <w:tcW w:w="1281" w:type="dxa"/>
            <w:vAlign w:val="center"/>
          </w:tcPr>
          <w:p w14:paraId="658C8F66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2</w:t>
            </w:r>
          </w:p>
        </w:tc>
        <w:tc>
          <w:tcPr>
            <w:tcW w:w="1283" w:type="dxa"/>
            <w:vAlign w:val="center"/>
          </w:tcPr>
          <w:p w14:paraId="5C663703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3</w:t>
            </w:r>
          </w:p>
        </w:tc>
        <w:tc>
          <w:tcPr>
            <w:tcW w:w="1283" w:type="dxa"/>
            <w:vAlign w:val="center"/>
          </w:tcPr>
          <w:p w14:paraId="58594AB3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4</w:t>
            </w:r>
          </w:p>
        </w:tc>
        <w:tc>
          <w:tcPr>
            <w:tcW w:w="1283" w:type="dxa"/>
            <w:vAlign w:val="center"/>
          </w:tcPr>
          <w:p w14:paraId="7493A258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5</w:t>
            </w:r>
          </w:p>
        </w:tc>
        <w:tc>
          <w:tcPr>
            <w:tcW w:w="1518" w:type="dxa"/>
            <w:vAlign w:val="center"/>
          </w:tcPr>
          <w:p w14:paraId="5EC80AB2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</w:rPr>
            </w:pPr>
            <w:r w:rsidRPr="00043A3E">
              <w:rPr>
                <w:bCs/>
              </w:rPr>
              <w:t>6</w:t>
            </w:r>
          </w:p>
        </w:tc>
      </w:tr>
      <w:tr w:rsidR="00043A3E" w:rsidRPr="00043A3E" w14:paraId="7063EC86" w14:textId="77777777" w:rsidTr="00AF1426">
        <w:trPr>
          <w:jc w:val="center"/>
        </w:trPr>
        <w:tc>
          <w:tcPr>
            <w:tcW w:w="3576" w:type="dxa"/>
            <w:gridSpan w:val="2"/>
          </w:tcPr>
          <w:p w14:paraId="672DAA65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rPr>
                <w:i/>
              </w:rPr>
            </w:pPr>
            <w:r w:rsidRPr="00043A3E">
              <w:t>1. Budžeta ieņēmumi:</w:t>
            </w:r>
          </w:p>
        </w:tc>
        <w:tc>
          <w:tcPr>
            <w:tcW w:w="1281" w:type="dxa"/>
          </w:tcPr>
          <w:p w14:paraId="5DEED3A9" w14:textId="2D07CE6A" w:rsidR="00124F12" w:rsidRPr="00043A3E" w:rsidRDefault="008B64D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2E3AD49C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21FB32D3" w14:textId="77777777" w:rsidR="00124F12" w:rsidRPr="00043A3E" w:rsidRDefault="00D70CD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CD98D70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0113D1CA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6CB7D6DE" w14:textId="77777777" w:rsidTr="00AF1426">
        <w:trPr>
          <w:jc w:val="center"/>
        </w:trPr>
        <w:tc>
          <w:tcPr>
            <w:tcW w:w="3576" w:type="dxa"/>
            <w:gridSpan w:val="2"/>
          </w:tcPr>
          <w:p w14:paraId="4475CF16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rPr>
                <w:i/>
              </w:rPr>
            </w:pPr>
            <w:r w:rsidRPr="00043A3E">
              <w:t>1.1. valsts pamatbudžets, tai skaitā ieņēmumi no maksas pakalpojumiem un citi pašu ieņēmumi</w:t>
            </w:r>
          </w:p>
        </w:tc>
        <w:tc>
          <w:tcPr>
            <w:tcW w:w="1281" w:type="dxa"/>
          </w:tcPr>
          <w:p w14:paraId="76964E7D" w14:textId="1F86859D" w:rsidR="00124F12" w:rsidRPr="00043A3E" w:rsidRDefault="008B64D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F4E06E5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6F6B7833" w14:textId="77777777" w:rsidR="00124F12" w:rsidRPr="00043A3E" w:rsidRDefault="00D70CD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8EF23DB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593F4E9E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41FCFEDA" w14:textId="77777777" w:rsidTr="00AF1426">
        <w:trPr>
          <w:jc w:val="center"/>
        </w:trPr>
        <w:tc>
          <w:tcPr>
            <w:tcW w:w="3576" w:type="dxa"/>
            <w:gridSpan w:val="2"/>
          </w:tcPr>
          <w:p w14:paraId="63BAE9D3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rPr>
                <w:i/>
              </w:rPr>
            </w:pPr>
            <w:r w:rsidRPr="00043A3E">
              <w:t>1.2. valsts speciālais budžets</w:t>
            </w:r>
          </w:p>
        </w:tc>
        <w:tc>
          <w:tcPr>
            <w:tcW w:w="1281" w:type="dxa"/>
          </w:tcPr>
          <w:p w14:paraId="14A92224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78F746E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15726007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5FDAABA2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62F73D71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01ED3CF6" w14:textId="77777777" w:rsidTr="00AF1426">
        <w:trPr>
          <w:jc w:val="center"/>
        </w:trPr>
        <w:tc>
          <w:tcPr>
            <w:tcW w:w="3576" w:type="dxa"/>
            <w:gridSpan w:val="2"/>
          </w:tcPr>
          <w:p w14:paraId="21C9D321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rPr>
                <w:i/>
              </w:rPr>
            </w:pPr>
            <w:r w:rsidRPr="00043A3E">
              <w:t>1.3. pašvaldību budžets</w:t>
            </w:r>
          </w:p>
        </w:tc>
        <w:tc>
          <w:tcPr>
            <w:tcW w:w="1281" w:type="dxa"/>
          </w:tcPr>
          <w:p w14:paraId="56B55BF9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6964823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4E5A10AD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03E8BE5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2A89C23C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5F044B49" w14:textId="77777777" w:rsidTr="00AF1426">
        <w:trPr>
          <w:jc w:val="center"/>
        </w:trPr>
        <w:tc>
          <w:tcPr>
            <w:tcW w:w="3576" w:type="dxa"/>
            <w:gridSpan w:val="2"/>
          </w:tcPr>
          <w:p w14:paraId="05484F96" w14:textId="77777777" w:rsidR="007B7C73" w:rsidRPr="00043A3E" w:rsidRDefault="007B7C73" w:rsidP="00F32406">
            <w:pPr>
              <w:spacing w:line="276" w:lineRule="auto"/>
              <w:jc w:val="both"/>
            </w:pPr>
            <w:r w:rsidRPr="00043A3E">
              <w:t>2. Budžeta izdevumi:</w:t>
            </w:r>
          </w:p>
        </w:tc>
        <w:tc>
          <w:tcPr>
            <w:tcW w:w="1281" w:type="dxa"/>
          </w:tcPr>
          <w:p w14:paraId="4221D309" w14:textId="77777777" w:rsidR="007B7C73" w:rsidRPr="00043A3E" w:rsidRDefault="00C77E04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26A9CAD1" w14:textId="77777777" w:rsidR="007B7C73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+20 000</w:t>
            </w:r>
          </w:p>
        </w:tc>
        <w:tc>
          <w:tcPr>
            <w:tcW w:w="1283" w:type="dxa"/>
          </w:tcPr>
          <w:p w14:paraId="5AD67437" w14:textId="77777777" w:rsidR="007B7C73" w:rsidRPr="00043A3E" w:rsidRDefault="001435D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03535F9" w14:textId="77777777" w:rsidR="007B7C73" w:rsidRPr="00043A3E" w:rsidRDefault="007B7C73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4464830C" w14:textId="77777777" w:rsidR="007B7C73" w:rsidRPr="00043A3E" w:rsidRDefault="007B7C73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582EED22" w14:textId="77777777" w:rsidTr="00AF1426">
        <w:trPr>
          <w:jc w:val="center"/>
        </w:trPr>
        <w:tc>
          <w:tcPr>
            <w:tcW w:w="3576" w:type="dxa"/>
            <w:gridSpan w:val="2"/>
          </w:tcPr>
          <w:p w14:paraId="42C906E3" w14:textId="77777777" w:rsidR="007B7C73" w:rsidRPr="00043A3E" w:rsidRDefault="007B7C73" w:rsidP="00F32406">
            <w:pPr>
              <w:spacing w:line="276" w:lineRule="auto"/>
              <w:jc w:val="both"/>
            </w:pPr>
            <w:r w:rsidRPr="00043A3E">
              <w:t>2.1. valsts pamatbudžets</w:t>
            </w:r>
          </w:p>
        </w:tc>
        <w:tc>
          <w:tcPr>
            <w:tcW w:w="1281" w:type="dxa"/>
          </w:tcPr>
          <w:p w14:paraId="351A045D" w14:textId="77777777" w:rsidR="007B7C73" w:rsidRPr="00043A3E" w:rsidRDefault="00C77E04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42262BB7" w14:textId="77777777" w:rsidR="007B7C73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+20 000</w:t>
            </w:r>
          </w:p>
        </w:tc>
        <w:tc>
          <w:tcPr>
            <w:tcW w:w="1283" w:type="dxa"/>
          </w:tcPr>
          <w:p w14:paraId="4D67F3B5" w14:textId="77777777" w:rsidR="007B7C73" w:rsidRPr="00043A3E" w:rsidRDefault="001435D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27FD33A2" w14:textId="77777777" w:rsidR="007B7C73" w:rsidRPr="00043A3E" w:rsidRDefault="007B7C73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37B28F44" w14:textId="77777777" w:rsidR="007B7C73" w:rsidRPr="00043A3E" w:rsidRDefault="007B7C73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681FF0A5" w14:textId="77777777" w:rsidTr="00AF1426">
        <w:trPr>
          <w:jc w:val="center"/>
        </w:trPr>
        <w:tc>
          <w:tcPr>
            <w:tcW w:w="3576" w:type="dxa"/>
            <w:gridSpan w:val="2"/>
          </w:tcPr>
          <w:p w14:paraId="1B4C0B7E" w14:textId="77777777" w:rsidR="00124F12" w:rsidRPr="00043A3E" w:rsidRDefault="005060A1" w:rsidP="00F32406">
            <w:pPr>
              <w:spacing w:line="276" w:lineRule="auto"/>
              <w:jc w:val="both"/>
            </w:pPr>
            <w:r w:rsidRPr="00043A3E">
              <w:t>2.2.</w:t>
            </w:r>
            <w:r w:rsidR="00D00059" w:rsidRPr="00043A3E">
              <w:t xml:space="preserve"> </w:t>
            </w:r>
            <w:r w:rsidRPr="00043A3E">
              <w:t>valsts speciālais budžets</w:t>
            </w:r>
          </w:p>
        </w:tc>
        <w:tc>
          <w:tcPr>
            <w:tcW w:w="1281" w:type="dxa"/>
          </w:tcPr>
          <w:p w14:paraId="4F61A7F4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0752AE8" w14:textId="77777777" w:rsidR="00124F12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59FBFC5E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30D862E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28E158FF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5907666F" w14:textId="77777777" w:rsidTr="00AF1426">
        <w:trPr>
          <w:jc w:val="center"/>
        </w:trPr>
        <w:tc>
          <w:tcPr>
            <w:tcW w:w="3576" w:type="dxa"/>
            <w:gridSpan w:val="2"/>
          </w:tcPr>
          <w:p w14:paraId="2C5FEB1F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 xml:space="preserve">2.3. pašvaldību budžets </w:t>
            </w:r>
          </w:p>
        </w:tc>
        <w:tc>
          <w:tcPr>
            <w:tcW w:w="1281" w:type="dxa"/>
          </w:tcPr>
          <w:p w14:paraId="76CBBD6E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12F1582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658C91D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17280972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75FF2A51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6A2AA5BA" w14:textId="77777777" w:rsidTr="00AF1426">
        <w:trPr>
          <w:jc w:val="center"/>
        </w:trPr>
        <w:tc>
          <w:tcPr>
            <w:tcW w:w="3576" w:type="dxa"/>
            <w:gridSpan w:val="2"/>
          </w:tcPr>
          <w:p w14:paraId="0BF189DE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>3. Finansiālā ietekme: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42BF72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7B7624A" w14:textId="77777777" w:rsidR="00124F12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-20 000</w:t>
            </w:r>
          </w:p>
        </w:tc>
        <w:tc>
          <w:tcPr>
            <w:tcW w:w="1283" w:type="dxa"/>
          </w:tcPr>
          <w:p w14:paraId="11427D9D" w14:textId="77777777" w:rsidR="00124F12" w:rsidRPr="00043A3E" w:rsidRDefault="001435D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ED9A383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3E62AA43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6747F29B" w14:textId="77777777" w:rsidTr="00AF1426">
        <w:trPr>
          <w:jc w:val="center"/>
        </w:trPr>
        <w:tc>
          <w:tcPr>
            <w:tcW w:w="3576" w:type="dxa"/>
            <w:gridSpan w:val="2"/>
          </w:tcPr>
          <w:p w14:paraId="0124C52A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>3.1. valsts pamatbud</w:t>
            </w:r>
            <w:r w:rsidR="005060A1" w:rsidRPr="00043A3E">
              <w:t>žets</w:t>
            </w:r>
          </w:p>
        </w:tc>
        <w:tc>
          <w:tcPr>
            <w:tcW w:w="1281" w:type="dxa"/>
            <w:shd w:val="clear" w:color="auto" w:fill="auto"/>
          </w:tcPr>
          <w:p w14:paraId="7AAC81A5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46F68948" w14:textId="77777777" w:rsidR="00124F12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-20 000</w:t>
            </w:r>
          </w:p>
        </w:tc>
        <w:tc>
          <w:tcPr>
            <w:tcW w:w="1283" w:type="dxa"/>
          </w:tcPr>
          <w:p w14:paraId="7AFD7B93" w14:textId="77777777" w:rsidR="00124F12" w:rsidRPr="00043A3E" w:rsidRDefault="001435D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697AB03C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22C7D520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241D6D8C" w14:textId="77777777" w:rsidTr="00AF1426">
        <w:trPr>
          <w:jc w:val="center"/>
        </w:trPr>
        <w:tc>
          <w:tcPr>
            <w:tcW w:w="3576" w:type="dxa"/>
            <w:gridSpan w:val="2"/>
          </w:tcPr>
          <w:p w14:paraId="4E33172C" w14:textId="77777777" w:rsidR="00124F12" w:rsidRPr="00043A3E" w:rsidRDefault="005060A1" w:rsidP="00F32406">
            <w:pPr>
              <w:spacing w:line="276" w:lineRule="auto"/>
              <w:jc w:val="both"/>
            </w:pPr>
            <w:r w:rsidRPr="00043A3E">
              <w:t>3.2. speciālais budžets</w:t>
            </w:r>
          </w:p>
        </w:tc>
        <w:tc>
          <w:tcPr>
            <w:tcW w:w="1281" w:type="dxa"/>
            <w:shd w:val="clear" w:color="auto" w:fill="auto"/>
          </w:tcPr>
          <w:p w14:paraId="190CDE49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1DB84E32" w14:textId="77777777" w:rsidR="00124F12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429C8611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9D012F8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0E7470F0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4007B5DD" w14:textId="77777777" w:rsidTr="00AF1426">
        <w:trPr>
          <w:jc w:val="center"/>
        </w:trPr>
        <w:tc>
          <w:tcPr>
            <w:tcW w:w="3576" w:type="dxa"/>
            <w:gridSpan w:val="2"/>
          </w:tcPr>
          <w:p w14:paraId="18005CD8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 xml:space="preserve">3.3. pašvaldību budžets </w:t>
            </w:r>
          </w:p>
        </w:tc>
        <w:tc>
          <w:tcPr>
            <w:tcW w:w="1281" w:type="dxa"/>
            <w:shd w:val="clear" w:color="auto" w:fill="auto"/>
          </w:tcPr>
          <w:p w14:paraId="60F67ACC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6AD1C404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C59BA7A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695398E2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471D09A4" w14:textId="77777777" w:rsidR="00124F12" w:rsidRPr="00043A3E" w:rsidRDefault="00CB1F2F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447615E5" w14:textId="77777777" w:rsidTr="00AF1426">
        <w:trPr>
          <w:trHeight w:val="1380"/>
          <w:jc w:val="center"/>
        </w:trPr>
        <w:tc>
          <w:tcPr>
            <w:tcW w:w="3576" w:type="dxa"/>
            <w:gridSpan w:val="2"/>
          </w:tcPr>
          <w:p w14:paraId="02D8BE99" w14:textId="77777777" w:rsidR="00C77E04" w:rsidRPr="00043A3E" w:rsidRDefault="00C77E04" w:rsidP="00F32406">
            <w:pPr>
              <w:spacing w:line="276" w:lineRule="auto"/>
              <w:jc w:val="both"/>
            </w:pPr>
            <w:r w:rsidRPr="00043A3E">
              <w:t>4. Finanšu līdzekļi papildu izde</w:t>
            </w:r>
            <w:r w:rsidRPr="00043A3E">
              <w:softHyphen/>
              <w:t>vumu finansēšanai (kompensējošu izdevumu samazinājumu norāda ar "+" zīmi)</w:t>
            </w:r>
          </w:p>
        </w:tc>
        <w:tc>
          <w:tcPr>
            <w:tcW w:w="1281" w:type="dxa"/>
          </w:tcPr>
          <w:p w14:paraId="5014A8DB" w14:textId="77777777" w:rsidR="00C77E04" w:rsidRPr="00043A3E" w:rsidRDefault="00C77E04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</w:rPr>
            </w:pPr>
            <w:r w:rsidRPr="00043A3E">
              <w:t>X</w:t>
            </w:r>
          </w:p>
        </w:tc>
        <w:tc>
          <w:tcPr>
            <w:tcW w:w="1283" w:type="dxa"/>
          </w:tcPr>
          <w:p w14:paraId="439EB905" w14:textId="77777777" w:rsidR="00C77E04" w:rsidRPr="00043A3E" w:rsidRDefault="001B0056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+20 000</w:t>
            </w:r>
          </w:p>
        </w:tc>
        <w:tc>
          <w:tcPr>
            <w:tcW w:w="1283" w:type="dxa"/>
          </w:tcPr>
          <w:p w14:paraId="3B2CCF08" w14:textId="77777777" w:rsidR="00C77E04" w:rsidRPr="00043A3E" w:rsidRDefault="001435D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410F340F" w14:textId="77777777" w:rsidR="00C77E04" w:rsidRPr="00043A3E" w:rsidRDefault="00C77E04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7F4CE83B" w14:textId="77777777" w:rsidR="00C77E04" w:rsidRPr="00043A3E" w:rsidRDefault="00C77E04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26684F00" w14:textId="77777777" w:rsidTr="00AF1426">
        <w:trPr>
          <w:jc w:val="center"/>
        </w:trPr>
        <w:tc>
          <w:tcPr>
            <w:tcW w:w="3576" w:type="dxa"/>
            <w:gridSpan w:val="2"/>
          </w:tcPr>
          <w:p w14:paraId="0132D2C7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>5. Precizēta finansiālā ietekme:</w:t>
            </w:r>
          </w:p>
        </w:tc>
        <w:tc>
          <w:tcPr>
            <w:tcW w:w="1281" w:type="dxa"/>
            <w:vMerge w:val="restart"/>
          </w:tcPr>
          <w:p w14:paraId="15CCD4F1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</w:rPr>
            </w:pPr>
            <w:r w:rsidRPr="00043A3E">
              <w:t>X</w:t>
            </w:r>
          </w:p>
        </w:tc>
        <w:tc>
          <w:tcPr>
            <w:tcW w:w="1283" w:type="dxa"/>
          </w:tcPr>
          <w:p w14:paraId="6E11E150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EFDB582" w14:textId="77777777" w:rsidR="00124F12" w:rsidRPr="00043A3E" w:rsidRDefault="00282A20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26290CA0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0FD62C25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57948F26" w14:textId="77777777" w:rsidTr="00AF1426">
        <w:trPr>
          <w:jc w:val="center"/>
        </w:trPr>
        <w:tc>
          <w:tcPr>
            <w:tcW w:w="3576" w:type="dxa"/>
            <w:gridSpan w:val="2"/>
          </w:tcPr>
          <w:p w14:paraId="0AAB7863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>5.1. valsts pa</w:t>
            </w:r>
            <w:r w:rsidR="005060A1" w:rsidRPr="00043A3E">
              <w:t>matbudžets</w:t>
            </w:r>
          </w:p>
        </w:tc>
        <w:tc>
          <w:tcPr>
            <w:tcW w:w="1281" w:type="dxa"/>
            <w:vMerge/>
            <w:vAlign w:val="center"/>
          </w:tcPr>
          <w:p w14:paraId="6F362915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0BD2F089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36626C72" w14:textId="77777777" w:rsidR="00124F12" w:rsidRPr="00043A3E" w:rsidRDefault="00282A20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8E71F7C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55AFE297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121C2912" w14:textId="77777777" w:rsidTr="00AF1426">
        <w:trPr>
          <w:jc w:val="center"/>
        </w:trPr>
        <w:tc>
          <w:tcPr>
            <w:tcW w:w="3576" w:type="dxa"/>
            <w:gridSpan w:val="2"/>
          </w:tcPr>
          <w:p w14:paraId="79448BE7" w14:textId="77777777" w:rsidR="00124F12" w:rsidRPr="00043A3E" w:rsidRDefault="005060A1" w:rsidP="00F32406">
            <w:pPr>
              <w:spacing w:line="276" w:lineRule="auto"/>
              <w:jc w:val="both"/>
            </w:pPr>
            <w:r w:rsidRPr="00043A3E">
              <w:t>5.2. speciālais budžets</w:t>
            </w:r>
          </w:p>
        </w:tc>
        <w:tc>
          <w:tcPr>
            <w:tcW w:w="1281" w:type="dxa"/>
            <w:vMerge/>
            <w:vAlign w:val="center"/>
          </w:tcPr>
          <w:p w14:paraId="55B81AB9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12E60426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1D39F096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52CF689B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79ECF266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57D5824E" w14:textId="77777777" w:rsidTr="00AF1426">
        <w:trPr>
          <w:jc w:val="center"/>
        </w:trPr>
        <w:tc>
          <w:tcPr>
            <w:tcW w:w="3576" w:type="dxa"/>
            <w:gridSpan w:val="2"/>
          </w:tcPr>
          <w:p w14:paraId="5D604E4F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 xml:space="preserve">5.3. pašvaldību budžets </w:t>
            </w:r>
          </w:p>
        </w:tc>
        <w:tc>
          <w:tcPr>
            <w:tcW w:w="1281" w:type="dxa"/>
            <w:vMerge/>
            <w:vAlign w:val="center"/>
          </w:tcPr>
          <w:p w14:paraId="52A9246F" w14:textId="77777777" w:rsidR="00124F12" w:rsidRPr="00043A3E" w:rsidRDefault="00124F12" w:rsidP="00F32406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</w:rPr>
            </w:pPr>
          </w:p>
        </w:tc>
        <w:tc>
          <w:tcPr>
            <w:tcW w:w="1283" w:type="dxa"/>
          </w:tcPr>
          <w:p w14:paraId="3DE79A34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79139B99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283" w:type="dxa"/>
          </w:tcPr>
          <w:p w14:paraId="00452D34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  <w:tc>
          <w:tcPr>
            <w:tcW w:w="1518" w:type="dxa"/>
          </w:tcPr>
          <w:p w14:paraId="78E3D7AA" w14:textId="77777777" w:rsidR="00124F12" w:rsidRPr="00043A3E" w:rsidRDefault="0002585E" w:rsidP="00F32406">
            <w:pPr>
              <w:pStyle w:val="naisf"/>
              <w:spacing w:before="0" w:after="0" w:line="276" w:lineRule="auto"/>
              <w:ind w:firstLine="0"/>
              <w:jc w:val="center"/>
            </w:pPr>
            <w:r w:rsidRPr="00043A3E">
              <w:t>0</w:t>
            </w:r>
          </w:p>
        </w:tc>
      </w:tr>
      <w:tr w:rsidR="00043A3E" w:rsidRPr="00043A3E" w14:paraId="3810BCED" w14:textId="77777777" w:rsidTr="00AF1426">
        <w:trPr>
          <w:jc w:val="center"/>
        </w:trPr>
        <w:tc>
          <w:tcPr>
            <w:tcW w:w="3576" w:type="dxa"/>
            <w:gridSpan w:val="2"/>
          </w:tcPr>
          <w:p w14:paraId="34F4C1A1" w14:textId="77777777" w:rsidR="0095334F" w:rsidRPr="00043A3E" w:rsidRDefault="0095334F" w:rsidP="00F32406">
            <w:pPr>
              <w:spacing w:line="276" w:lineRule="auto"/>
              <w:jc w:val="both"/>
            </w:pPr>
            <w:r w:rsidRPr="00043A3E">
              <w:lastRenderedPageBreak/>
              <w:t>6.</w:t>
            </w:r>
            <w:r w:rsidR="00F5139D" w:rsidRPr="00043A3E">
              <w:t> </w:t>
            </w:r>
            <w:r w:rsidRPr="00043A3E">
              <w:t>Detalizēts ieņēmumu un izdevu</w:t>
            </w:r>
            <w:r w:rsidR="009E12D7" w:rsidRPr="00043A3E">
              <w:softHyphen/>
            </w:r>
            <w:r w:rsidRPr="00043A3E">
              <w:t>mu aprēķins (ja nepieciešams, detalizētu ieņēmumu un izdevumu aprēķinu var pievienot anotācijas pielikumā):</w:t>
            </w:r>
          </w:p>
        </w:tc>
        <w:tc>
          <w:tcPr>
            <w:tcW w:w="6648" w:type="dxa"/>
            <w:gridSpan w:val="5"/>
            <w:vMerge w:val="restart"/>
            <w:vAlign w:val="center"/>
          </w:tcPr>
          <w:p w14:paraId="2CB5086B" w14:textId="4F6FABD7" w:rsidR="0095334F" w:rsidRPr="00043A3E" w:rsidRDefault="00F354F6" w:rsidP="00EF35A8">
            <w:pPr>
              <w:pStyle w:val="naisf"/>
              <w:spacing w:before="0" w:after="0" w:line="276" w:lineRule="auto"/>
              <w:ind w:firstLine="0"/>
            </w:pPr>
            <w:r w:rsidRPr="00043A3E">
              <w:t xml:space="preserve">Rīkojuma projekts paredz piešķirt finansējumu 20 000 </w:t>
            </w:r>
            <w:proofErr w:type="spellStart"/>
            <w:r w:rsidRPr="00043A3E">
              <w:rPr>
                <w:i/>
              </w:rPr>
              <w:t>euro</w:t>
            </w:r>
            <w:proofErr w:type="spellEnd"/>
            <w:r w:rsidRPr="00043A3E">
              <w:t xml:space="preserve"> apmērā (6510 EKK “Kompensācijas, kuras izmaksā personām, pamatojoties uz Latvijas tiesu nolēmumiem”) Latvijas Republikas Rīgas apgabaltiesas Civillietu tiesas kolēģijas 2016.gada 20.jūnija sprieduma izpildei lietā Nr.C32219015.</w:t>
            </w:r>
          </w:p>
        </w:tc>
      </w:tr>
      <w:tr w:rsidR="00043A3E" w:rsidRPr="00043A3E" w14:paraId="4A07BBEC" w14:textId="77777777" w:rsidTr="00AF1426">
        <w:trPr>
          <w:jc w:val="center"/>
        </w:trPr>
        <w:tc>
          <w:tcPr>
            <w:tcW w:w="3576" w:type="dxa"/>
            <w:gridSpan w:val="2"/>
          </w:tcPr>
          <w:p w14:paraId="752C9195" w14:textId="77777777" w:rsidR="0095334F" w:rsidRPr="00043A3E" w:rsidRDefault="0095334F" w:rsidP="00F32406">
            <w:pPr>
              <w:spacing w:line="276" w:lineRule="auto"/>
              <w:jc w:val="both"/>
            </w:pPr>
            <w:r w:rsidRPr="00043A3E">
              <w:t>6.1.</w:t>
            </w:r>
            <w:r w:rsidR="00F5139D" w:rsidRPr="00043A3E">
              <w:t> </w:t>
            </w:r>
            <w:r w:rsidR="00D00059" w:rsidRPr="00043A3E">
              <w:t>d</w:t>
            </w:r>
            <w:r w:rsidRPr="00043A3E">
              <w:t>etalizēts ieņēmumu aprēķins</w:t>
            </w:r>
          </w:p>
        </w:tc>
        <w:tc>
          <w:tcPr>
            <w:tcW w:w="6648" w:type="dxa"/>
            <w:gridSpan w:val="5"/>
            <w:vMerge/>
          </w:tcPr>
          <w:p w14:paraId="49D9F7E4" w14:textId="77777777" w:rsidR="0095334F" w:rsidRPr="00043A3E" w:rsidRDefault="0095334F" w:rsidP="00F32406">
            <w:pPr>
              <w:pStyle w:val="naisf"/>
              <w:spacing w:before="0" w:after="0" w:line="276" w:lineRule="auto"/>
              <w:ind w:firstLine="0"/>
              <w:rPr>
                <w:b/>
                <w:i/>
              </w:rPr>
            </w:pPr>
          </w:p>
        </w:tc>
      </w:tr>
      <w:tr w:rsidR="00043A3E" w:rsidRPr="00043A3E" w14:paraId="2F1AE7CE" w14:textId="77777777" w:rsidTr="00AF1426">
        <w:trPr>
          <w:jc w:val="center"/>
        </w:trPr>
        <w:tc>
          <w:tcPr>
            <w:tcW w:w="3576" w:type="dxa"/>
            <w:gridSpan w:val="2"/>
          </w:tcPr>
          <w:p w14:paraId="25C11B43" w14:textId="77777777" w:rsidR="0095334F" w:rsidRPr="00043A3E" w:rsidRDefault="0095334F" w:rsidP="00F32406">
            <w:pPr>
              <w:spacing w:line="276" w:lineRule="auto"/>
              <w:jc w:val="both"/>
            </w:pPr>
            <w:r w:rsidRPr="00043A3E">
              <w:t xml:space="preserve">6.2. </w:t>
            </w:r>
            <w:r w:rsidR="00D00059" w:rsidRPr="00043A3E">
              <w:t>d</w:t>
            </w:r>
            <w:r w:rsidRPr="00043A3E">
              <w:t>etalizēts izdevumu aprēķins</w:t>
            </w:r>
          </w:p>
        </w:tc>
        <w:tc>
          <w:tcPr>
            <w:tcW w:w="6648" w:type="dxa"/>
            <w:gridSpan w:val="5"/>
            <w:vMerge/>
          </w:tcPr>
          <w:p w14:paraId="7C3F9A99" w14:textId="77777777" w:rsidR="0095334F" w:rsidRPr="00043A3E" w:rsidRDefault="0095334F" w:rsidP="00F32406">
            <w:pPr>
              <w:pStyle w:val="naisf"/>
              <w:spacing w:before="0" w:after="0" w:line="276" w:lineRule="auto"/>
              <w:ind w:firstLine="0"/>
              <w:rPr>
                <w:b/>
                <w:i/>
              </w:rPr>
            </w:pPr>
          </w:p>
        </w:tc>
      </w:tr>
      <w:tr w:rsidR="00043A3E" w:rsidRPr="00043A3E" w14:paraId="5CA5FC00" w14:textId="77777777" w:rsidTr="00AF1426">
        <w:trPr>
          <w:jc w:val="center"/>
        </w:trPr>
        <w:tc>
          <w:tcPr>
            <w:tcW w:w="3576" w:type="dxa"/>
            <w:gridSpan w:val="2"/>
          </w:tcPr>
          <w:p w14:paraId="363B8601" w14:textId="77777777" w:rsidR="00124F12" w:rsidRPr="00043A3E" w:rsidRDefault="00124F12" w:rsidP="00F32406">
            <w:pPr>
              <w:spacing w:line="276" w:lineRule="auto"/>
              <w:jc w:val="both"/>
            </w:pPr>
            <w:r w:rsidRPr="00043A3E">
              <w:t>7. Cita informācija</w:t>
            </w:r>
          </w:p>
        </w:tc>
        <w:tc>
          <w:tcPr>
            <w:tcW w:w="6648" w:type="dxa"/>
            <w:gridSpan w:val="5"/>
          </w:tcPr>
          <w:p w14:paraId="2490A8BC" w14:textId="77777777" w:rsidR="00C13593" w:rsidRPr="00043A3E" w:rsidRDefault="00C13593" w:rsidP="00F32406">
            <w:pPr>
              <w:pStyle w:val="naisf"/>
              <w:tabs>
                <w:tab w:val="left" w:pos="4644"/>
              </w:tabs>
              <w:spacing w:before="0" w:after="0" w:line="276" w:lineRule="auto"/>
              <w:ind w:firstLine="0"/>
            </w:pPr>
          </w:p>
        </w:tc>
      </w:tr>
      <w:tr w:rsidR="00043A3E" w:rsidRPr="00043A3E" w14:paraId="293263D1" w14:textId="77777777" w:rsidTr="00AF142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24" w:type="dxa"/>
            <w:gridSpan w:val="7"/>
            <w:tcBorders>
              <w:top w:val="single" w:sz="4" w:space="0" w:color="auto"/>
            </w:tcBorders>
          </w:tcPr>
          <w:p w14:paraId="66C185AE" w14:textId="77777777" w:rsidR="0023436E" w:rsidRPr="00043A3E" w:rsidRDefault="0023436E" w:rsidP="00F32406">
            <w:pPr>
              <w:pStyle w:val="naisnod"/>
              <w:spacing w:before="0" w:after="0" w:line="276" w:lineRule="auto"/>
              <w:ind w:left="57" w:right="57"/>
            </w:pPr>
            <w:r w:rsidRPr="00043A3E">
              <w:t>VII</w:t>
            </w:r>
            <w:r w:rsidR="000941C5" w:rsidRPr="00043A3E">
              <w:t>.</w:t>
            </w:r>
            <w:r w:rsidRPr="00043A3E">
              <w:t xml:space="preserve"> Tiesību akta projekta izpildes nodrošināšana un tās ietekme uz institūcijām</w:t>
            </w:r>
          </w:p>
        </w:tc>
      </w:tr>
      <w:tr w:rsidR="00043A3E" w:rsidRPr="00043A3E" w14:paraId="0618344A" w14:textId="77777777" w:rsidTr="00AF142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21" w:type="dxa"/>
          </w:tcPr>
          <w:p w14:paraId="0D2C0938" w14:textId="77777777" w:rsidR="0023436E" w:rsidRPr="00043A3E" w:rsidRDefault="0023436E" w:rsidP="00F32406">
            <w:pPr>
              <w:pStyle w:val="naisnod"/>
              <w:spacing w:before="0" w:after="0" w:line="276" w:lineRule="auto"/>
              <w:ind w:left="57" w:right="57"/>
              <w:jc w:val="left"/>
              <w:rPr>
                <w:b w:val="0"/>
              </w:rPr>
            </w:pPr>
            <w:r w:rsidRPr="00043A3E">
              <w:rPr>
                <w:b w:val="0"/>
              </w:rPr>
              <w:t>1.</w:t>
            </w:r>
          </w:p>
        </w:tc>
        <w:tc>
          <w:tcPr>
            <w:tcW w:w="4436" w:type="dxa"/>
            <w:gridSpan w:val="2"/>
          </w:tcPr>
          <w:p w14:paraId="6D6A56F9" w14:textId="77777777" w:rsidR="0023436E" w:rsidRPr="00043A3E" w:rsidRDefault="001A4066" w:rsidP="00F32406">
            <w:pPr>
              <w:pStyle w:val="naisf"/>
              <w:spacing w:before="0" w:after="0" w:line="276" w:lineRule="auto"/>
              <w:ind w:left="57" w:right="57" w:firstLine="0"/>
              <w:jc w:val="left"/>
            </w:pPr>
            <w:r w:rsidRPr="00043A3E">
              <w:t>P</w:t>
            </w:r>
            <w:r w:rsidR="0023436E" w:rsidRPr="00043A3E">
              <w:t xml:space="preserve">rojekta izpildē iesaistītās institūcijas </w:t>
            </w:r>
          </w:p>
        </w:tc>
        <w:tc>
          <w:tcPr>
            <w:tcW w:w="5367" w:type="dxa"/>
            <w:gridSpan w:val="4"/>
          </w:tcPr>
          <w:p w14:paraId="2397800D" w14:textId="77777777" w:rsidR="0023436E" w:rsidRPr="00043A3E" w:rsidRDefault="0002585E" w:rsidP="00F32406">
            <w:pPr>
              <w:pStyle w:val="naisnod"/>
              <w:spacing w:before="0" w:after="0" w:line="276" w:lineRule="auto"/>
              <w:ind w:left="57" w:right="57"/>
              <w:jc w:val="left"/>
              <w:rPr>
                <w:b w:val="0"/>
              </w:rPr>
            </w:pPr>
            <w:r w:rsidRPr="00043A3E">
              <w:rPr>
                <w:b w:val="0"/>
                <w:iCs/>
              </w:rPr>
              <w:t xml:space="preserve">Valsts </w:t>
            </w:r>
            <w:r w:rsidR="0014102F" w:rsidRPr="00043A3E">
              <w:rPr>
                <w:b w:val="0"/>
                <w:iCs/>
              </w:rPr>
              <w:t>robežsardze</w:t>
            </w:r>
            <w:r w:rsidR="008454CF" w:rsidRPr="00043A3E">
              <w:rPr>
                <w:b w:val="0"/>
                <w:iCs/>
              </w:rPr>
              <w:t>.</w:t>
            </w:r>
          </w:p>
        </w:tc>
      </w:tr>
      <w:tr w:rsidR="00043A3E" w:rsidRPr="00043A3E" w14:paraId="57682CB4" w14:textId="77777777" w:rsidTr="00AF142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21" w:type="dxa"/>
          </w:tcPr>
          <w:p w14:paraId="699AABE2" w14:textId="77777777" w:rsidR="0023436E" w:rsidRPr="00043A3E" w:rsidRDefault="0023436E" w:rsidP="00F32406">
            <w:pPr>
              <w:pStyle w:val="naisnod"/>
              <w:spacing w:before="0" w:after="0" w:line="276" w:lineRule="auto"/>
              <w:ind w:left="57" w:right="57"/>
              <w:jc w:val="left"/>
              <w:rPr>
                <w:b w:val="0"/>
              </w:rPr>
            </w:pPr>
            <w:r w:rsidRPr="00043A3E">
              <w:rPr>
                <w:b w:val="0"/>
              </w:rPr>
              <w:t>2.</w:t>
            </w:r>
          </w:p>
        </w:tc>
        <w:tc>
          <w:tcPr>
            <w:tcW w:w="4436" w:type="dxa"/>
            <w:gridSpan w:val="2"/>
          </w:tcPr>
          <w:p w14:paraId="6DC0F55C" w14:textId="77777777" w:rsidR="0023436E" w:rsidRPr="00043A3E" w:rsidRDefault="002240B0" w:rsidP="00F32406">
            <w:pPr>
              <w:pStyle w:val="naisf"/>
              <w:spacing w:before="0" w:after="0" w:line="276" w:lineRule="auto"/>
              <w:ind w:left="57" w:right="57" w:firstLine="0"/>
              <w:jc w:val="left"/>
            </w:pPr>
            <w:r w:rsidRPr="00043A3E">
              <w:t>Projekta izpildes ietekme uz pārvaldes funkcijām un institucionālo struktūru. Jaunu institūciju izveide, esošu institūciju likvidācija vai reorganizācija, to ietekme uz institūcijas cilvēkresursiem</w:t>
            </w:r>
            <w:r w:rsidR="0023436E" w:rsidRPr="00043A3E">
              <w:t xml:space="preserve"> </w:t>
            </w:r>
          </w:p>
        </w:tc>
        <w:tc>
          <w:tcPr>
            <w:tcW w:w="5367" w:type="dxa"/>
            <w:gridSpan w:val="4"/>
          </w:tcPr>
          <w:p w14:paraId="1E91B8B8" w14:textId="77777777" w:rsidR="0023436E" w:rsidRPr="00043A3E" w:rsidRDefault="0002585E" w:rsidP="00F32406">
            <w:pPr>
              <w:pStyle w:val="naisnod"/>
              <w:spacing w:before="0" w:after="0" w:line="276" w:lineRule="auto"/>
              <w:ind w:left="57" w:right="57"/>
              <w:jc w:val="left"/>
              <w:rPr>
                <w:b w:val="0"/>
              </w:rPr>
            </w:pPr>
            <w:r w:rsidRPr="00043A3E">
              <w:rPr>
                <w:b w:val="0"/>
                <w:iCs/>
              </w:rPr>
              <w:t>Projekts šo jomu neskar</w:t>
            </w:r>
            <w:r w:rsidR="00F74E26" w:rsidRPr="00043A3E">
              <w:rPr>
                <w:b w:val="0"/>
                <w:iCs/>
              </w:rPr>
              <w:t>.</w:t>
            </w:r>
          </w:p>
        </w:tc>
      </w:tr>
      <w:tr w:rsidR="00043A3E" w:rsidRPr="00043A3E" w14:paraId="7C69947D" w14:textId="77777777" w:rsidTr="00AF142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21" w:type="dxa"/>
          </w:tcPr>
          <w:p w14:paraId="5287E8A1" w14:textId="77777777" w:rsidR="0023436E" w:rsidRPr="00043A3E" w:rsidRDefault="002240B0" w:rsidP="00F32406">
            <w:pPr>
              <w:pStyle w:val="naiskr"/>
              <w:spacing w:before="0" w:after="0" w:line="276" w:lineRule="auto"/>
              <w:ind w:left="57" w:right="57"/>
            </w:pPr>
            <w:r w:rsidRPr="00043A3E">
              <w:t>3</w:t>
            </w:r>
            <w:r w:rsidR="0023436E" w:rsidRPr="00043A3E">
              <w:t>.</w:t>
            </w:r>
          </w:p>
        </w:tc>
        <w:tc>
          <w:tcPr>
            <w:tcW w:w="4436" w:type="dxa"/>
            <w:gridSpan w:val="2"/>
          </w:tcPr>
          <w:p w14:paraId="42F45044" w14:textId="77777777" w:rsidR="0023436E" w:rsidRPr="00043A3E" w:rsidRDefault="006C4607" w:rsidP="00F32406">
            <w:pPr>
              <w:pStyle w:val="naiskr"/>
              <w:spacing w:before="0" w:after="0" w:line="276" w:lineRule="auto"/>
              <w:ind w:left="57" w:right="57"/>
            </w:pPr>
            <w:r w:rsidRPr="00043A3E">
              <w:t>Cita informācija</w:t>
            </w:r>
          </w:p>
        </w:tc>
        <w:tc>
          <w:tcPr>
            <w:tcW w:w="5367" w:type="dxa"/>
            <w:gridSpan w:val="4"/>
          </w:tcPr>
          <w:p w14:paraId="31B80A22" w14:textId="77777777" w:rsidR="0023436E" w:rsidRPr="00043A3E" w:rsidRDefault="0023436E" w:rsidP="00F32406">
            <w:pPr>
              <w:pStyle w:val="naiskr"/>
              <w:spacing w:before="0" w:after="0" w:line="276" w:lineRule="auto"/>
              <w:ind w:left="57" w:right="57"/>
            </w:pPr>
            <w:r w:rsidRPr="00043A3E">
              <w:t>Nav</w:t>
            </w:r>
            <w:r w:rsidR="00F74E26" w:rsidRPr="00043A3E">
              <w:t>.</w:t>
            </w:r>
          </w:p>
        </w:tc>
      </w:tr>
    </w:tbl>
    <w:p w14:paraId="79726CF4" w14:textId="6357E373" w:rsidR="00214094" w:rsidRPr="00043A3E" w:rsidRDefault="00855161" w:rsidP="00F32406">
      <w:pPr>
        <w:pStyle w:val="naisf"/>
        <w:tabs>
          <w:tab w:val="left" w:pos="5760"/>
        </w:tabs>
        <w:spacing w:after="0" w:line="276" w:lineRule="auto"/>
        <w:ind w:firstLine="0"/>
      </w:pPr>
      <w:r w:rsidRPr="00043A3E">
        <w:rPr>
          <w:iCs/>
        </w:rPr>
        <w:t xml:space="preserve">Anotācijas </w:t>
      </w:r>
      <w:r w:rsidRPr="00043A3E">
        <w:t xml:space="preserve">IV, V un VI sadaļa </w:t>
      </w:r>
      <w:r w:rsidRPr="00043A3E">
        <w:rPr>
          <w:iCs/>
        </w:rPr>
        <w:t>– projekts šīs jomas neskar.</w:t>
      </w:r>
    </w:p>
    <w:p w14:paraId="35CABC0F" w14:textId="77777777" w:rsidR="00AF1426" w:rsidRPr="00043A3E" w:rsidRDefault="00AF1426" w:rsidP="00F32406">
      <w:pPr>
        <w:pStyle w:val="naisf"/>
        <w:tabs>
          <w:tab w:val="left" w:pos="6804"/>
        </w:tabs>
        <w:spacing w:before="0" w:after="0" w:line="276" w:lineRule="auto"/>
        <w:ind w:firstLine="0"/>
      </w:pPr>
    </w:p>
    <w:p w14:paraId="3D9D692F" w14:textId="77777777" w:rsidR="00EF523F" w:rsidRPr="00043A3E" w:rsidRDefault="00EF523F" w:rsidP="00F32406">
      <w:pPr>
        <w:pStyle w:val="naisf"/>
        <w:tabs>
          <w:tab w:val="left" w:pos="6804"/>
        </w:tabs>
        <w:spacing w:before="0" w:after="0" w:line="276" w:lineRule="auto"/>
        <w:ind w:firstLine="0"/>
      </w:pPr>
    </w:p>
    <w:p w14:paraId="5AD912D4" w14:textId="77777777" w:rsidR="00803D30" w:rsidRPr="00043A3E" w:rsidRDefault="00803D30" w:rsidP="00F32406">
      <w:pPr>
        <w:spacing w:line="276" w:lineRule="auto"/>
      </w:pPr>
      <w:r w:rsidRPr="00043A3E">
        <w:t>Iekšlietu ministrs</w:t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  <w:t>Rihards Kozlovskis</w:t>
      </w:r>
    </w:p>
    <w:p w14:paraId="54B4384A" w14:textId="77777777" w:rsidR="00803D30" w:rsidRPr="00043A3E" w:rsidRDefault="00803D30" w:rsidP="00F32406">
      <w:pPr>
        <w:spacing w:line="276" w:lineRule="auto"/>
      </w:pPr>
    </w:p>
    <w:p w14:paraId="20E05097" w14:textId="77777777" w:rsidR="00803D30" w:rsidRPr="00043A3E" w:rsidRDefault="00803D30" w:rsidP="00F32406">
      <w:pPr>
        <w:spacing w:line="276" w:lineRule="auto"/>
      </w:pPr>
    </w:p>
    <w:p w14:paraId="5880854C" w14:textId="77777777" w:rsidR="00803D30" w:rsidRPr="00043A3E" w:rsidRDefault="00803D30" w:rsidP="00F32406">
      <w:pPr>
        <w:spacing w:line="276" w:lineRule="auto"/>
      </w:pPr>
    </w:p>
    <w:p w14:paraId="5586A9A5" w14:textId="211EB0CF" w:rsidR="00803D30" w:rsidRPr="00043A3E" w:rsidRDefault="00803D30" w:rsidP="00F32406">
      <w:pPr>
        <w:spacing w:line="276" w:lineRule="auto"/>
      </w:pPr>
      <w:r w:rsidRPr="00043A3E">
        <w:t>Vīza:</w:t>
      </w:r>
      <w:r w:rsidR="00BA7E39" w:rsidRPr="00043A3E">
        <w:t xml:space="preserve"> </w:t>
      </w:r>
    </w:p>
    <w:p w14:paraId="2A271481" w14:textId="77777777" w:rsidR="00EF523F" w:rsidRPr="00043A3E" w:rsidRDefault="00803D30" w:rsidP="00F32406">
      <w:pPr>
        <w:spacing w:line="276" w:lineRule="auto"/>
        <w:rPr>
          <w:sz w:val="20"/>
          <w:szCs w:val="20"/>
        </w:rPr>
      </w:pPr>
      <w:r w:rsidRPr="00043A3E">
        <w:t>Valsts sekretāre</w:t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</w:r>
      <w:r w:rsidRPr="00043A3E">
        <w:tab/>
        <w:t>Ilze Pētersone–Godmane</w:t>
      </w:r>
    </w:p>
    <w:p w14:paraId="384A727A" w14:textId="77777777" w:rsidR="008454CF" w:rsidRPr="00043A3E" w:rsidRDefault="008454CF" w:rsidP="0089519A">
      <w:pPr>
        <w:rPr>
          <w:sz w:val="20"/>
          <w:szCs w:val="20"/>
        </w:rPr>
      </w:pPr>
    </w:p>
    <w:p w14:paraId="1B169574" w14:textId="77777777" w:rsidR="008454CF" w:rsidRPr="00043A3E" w:rsidRDefault="008454CF" w:rsidP="0089519A">
      <w:pPr>
        <w:rPr>
          <w:sz w:val="20"/>
          <w:szCs w:val="20"/>
        </w:rPr>
      </w:pPr>
    </w:p>
    <w:p w14:paraId="4C704288" w14:textId="77777777" w:rsidR="008454CF" w:rsidRPr="00043A3E" w:rsidRDefault="008454CF" w:rsidP="0089519A">
      <w:pPr>
        <w:rPr>
          <w:sz w:val="20"/>
          <w:szCs w:val="20"/>
        </w:rPr>
      </w:pPr>
    </w:p>
    <w:p w14:paraId="536A7836" w14:textId="77777777" w:rsidR="00964FD1" w:rsidRPr="00043A3E" w:rsidRDefault="00964FD1" w:rsidP="00964FD1">
      <w:pPr>
        <w:rPr>
          <w:sz w:val="20"/>
          <w:szCs w:val="20"/>
        </w:rPr>
      </w:pPr>
    </w:p>
    <w:p w14:paraId="77A98CEC" w14:textId="77777777" w:rsidR="008454CF" w:rsidRPr="00043A3E" w:rsidRDefault="008454CF" w:rsidP="0089519A">
      <w:pPr>
        <w:rPr>
          <w:sz w:val="20"/>
          <w:szCs w:val="20"/>
        </w:rPr>
      </w:pPr>
    </w:p>
    <w:p w14:paraId="5848A4EC" w14:textId="77777777" w:rsidR="00DE5D98" w:rsidRPr="00043A3E" w:rsidRDefault="00DE5D98" w:rsidP="00DE5D98">
      <w:pPr>
        <w:rPr>
          <w:rFonts w:asciiTheme="majorBidi" w:hAnsiTheme="majorBidi" w:cstheme="majorBidi"/>
          <w:sz w:val="20"/>
          <w:szCs w:val="20"/>
        </w:rPr>
      </w:pPr>
    </w:p>
    <w:p w14:paraId="75EBC80C" w14:textId="37EBD879" w:rsidR="00DE5D98" w:rsidRPr="00043A3E" w:rsidRDefault="00DE5D98" w:rsidP="00DE5D98">
      <w:pPr>
        <w:rPr>
          <w:rFonts w:asciiTheme="majorBidi" w:hAnsiTheme="majorBidi" w:cstheme="majorBidi"/>
          <w:sz w:val="20"/>
          <w:szCs w:val="20"/>
        </w:rPr>
      </w:pPr>
      <w:proofErr w:type="spellStart"/>
      <w:r w:rsidRPr="00043A3E">
        <w:rPr>
          <w:rFonts w:asciiTheme="majorBidi" w:hAnsiTheme="majorBidi" w:cstheme="majorBidi"/>
          <w:sz w:val="20"/>
          <w:szCs w:val="20"/>
        </w:rPr>
        <w:t>J.Iva</w:t>
      </w:r>
      <w:r w:rsidR="00F154DD" w:rsidRPr="00043A3E">
        <w:rPr>
          <w:rFonts w:asciiTheme="majorBidi" w:hAnsiTheme="majorBidi" w:cstheme="majorBidi"/>
          <w:sz w:val="20"/>
          <w:szCs w:val="20"/>
        </w:rPr>
        <w:t>n</w:t>
      </w:r>
      <w:r w:rsidRPr="00043A3E">
        <w:rPr>
          <w:rFonts w:asciiTheme="majorBidi" w:hAnsiTheme="majorBidi" w:cstheme="majorBidi"/>
          <w:sz w:val="20"/>
          <w:szCs w:val="20"/>
        </w:rPr>
        <w:t>ova</w:t>
      </w:r>
      <w:proofErr w:type="spellEnd"/>
      <w:r w:rsidRPr="00043A3E">
        <w:rPr>
          <w:rFonts w:asciiTheme="majorBidi" w:hAnsiTheme="majorBidi" w:cstheme="majorBidi"/>
          <w:sz w:val="20"/>
          <w:szCs w:val="20"/>
        </w:rPr>
        <w:t>, 67075674</w:t>
      </w:r>
    </w:p>
    <w:p w14:paraId="04027982" w14:textId="5CE54530" w:rsidR="005F3434" w:rsidRPr="00043A3E" w:rsidRDefault="00B948B1" w:rsidP="0089519A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color w:val="auto"/>
          <w:sz w:val="20"/>
          <w:szCs w:val="20"/>
          <w:u w:val="none"/>
        </w:rPr>
      </w:pPr>
      <w:hyperlink r:id="rId8" w:history="1">
        <w:r w:rsidR="00DE5D98" w:rsidRPr="00043A3E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Jelena.ivanova@rs.gov.lv</w:t>
        </w:r>
      </w:hyperlink>
      <w:r w:rsidR="00DE5D98" w:rsidRPr="00043A3E">
        <w:rPr>
          <w:rFonts w:asciiTheme="majorBidi" w:hAnsiTheme="majorBidi" w:cstheme="majorBidi"/>
          <w:sz w:val="20"/>
          <w:szCs w:val="20"/>
        </w:rPr>
        <w:t xml:space="preserve">  </w:t>
      </w:r>
    </w:p>
    <w:p w14:paraId="79B967BA" w14:textId="77777777" w:rsidR="00FB2BB2" w:rsidRPr="00043A3E" w:rsidRDefault="00FB2BB2" w:rsidP="0089519A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color w:val="auto"/>
          <w:sz w:val="20"/>
          <w:szCs w:val="20"/>
          <w:u w:val="none"/>
        </w:rPr>
      </w:pPr>
    </w:p>
    <w:sectPr w:rsidR="00FB2BB2" w:rsidRPr="00043A3E" w:rsidSect="00C31E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A1B8" w14:textId="77777777" w:rsidR="00B948B1" w:rsidRDefault="00B948B1">
      <w:r>
        <w:separator/>
      </w:r>
    </w:p>
  </w:endnote>
  <w:endnote w:type="continuationSeparator" w:id="0">
    <w:p w14:paraId="2C241DF9" w14:textId="77777777" w:rsidR="00B948B1" w:rsidRDefault="00B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2D3B" w14:textId="7DFC4BEF" w:rsidR="00FB04D8" w:rsidRPr="00F55539" w:rsidRDefault="00DE5D98" w:rsidP="00F74E26">
    <w:pPr>
      <w:pStyle w:val="Footer"/>
      <w:jc w:val="both"/>
      <w:rPr>
        <w:i/>
        <w:sz w:val="20"/>
        <w:szCs w:val="20"/>
      </w:rPr>
    </w:pPr>
    <w:r w:rsidRPr="00DE5D98">
      <w:rPr>
        <w:i/>
        <w:sz w:val="20"/>
        <w:szCs w:val="20"/>
      </w:rPr>
      <w:t>I</w:t>
    </w:r>
    <w:r w:rsidR="00043A3E">
      <w:rPr>
        <w:i/>
        <w:sz w:val="20"/>
        <w:szCs w:val="20"/>
      </w:rPr>
      <w:t>EMAnot_1904</w:t>
    </w:r>
    <w:r w:rsidRPr="00DE5D98">
      <w:rPr>
        <w:i/>
        <w:sz w:val="20"/>
        <w:szCs w:val="20"/>
      </w:rPr>
      <w:t>17_LNG.docx.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076E" w14:textId="2B1D1AB6" w:rsidR="00FB04D8" w:rsidRPr="00F55539" w:rsidRDefault="00DE5D98" w:rsidP="00043A3E">
    <w:pPr>
      <w:pStyle w:val="Footer"/>
      <w:jc w:val="both"/>
      <w:rPr>
        <w:i/>
        <w:sz w:val="20"/>
        <w:szCs w:val="20"/>
      </w:rPr>
    </w:pPr>
    <w:r w:rsidRPr="00DE5D98">
      <w:rPr>
        <w:i/>
        <w:sz w:val="20"/>
        <w:szCs w:val="20"/>
      </w:rPr>
      <w:t>I</w:t>
    </w:r>
    <w:r w:rsidR="00043A3E">
      <w:rPr>
        <w:i/>
        <w:sz w:val="20"/>
        <w:szCs w:val="20"/>
      </w:rPr>
      <w:t>EMAnot_1904</w:t>
    </w:r>
    <w:r w:rsidRPr="00DE5D98">
      <w:rPr>
        <w:i/>
        <w:sz w:val="20"/>
        <w:szCs w:val="20"/>
      </w:rPr>
      <w:t>17_LNG.docx.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A35A" w14:textId="77777777" w:rsidR="00B948B1" w:rsidRDefault="00B948B1">
      <w:r>
        <w:separator/>
      </w:r>
    </w:p>
  </w:footnote>
  <w:footnote w:type="continuationSeparator" w:id="0">
    <w:p w14:paraId="71C2A43C" w14:textId="77777777" w:rsidR="00B948B1" w:rsidRDefault="00B9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6396" w14:textId="77777777"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650E0" w14:textId="77777777" w:rsidR="00FB04D8" w:rsidRDefault="00FB0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DBBC" w14:textId="77777777"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3E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2A948A" w14:textId="77777777" w:rsidR="00FB04D8" w:rsidRDefault="00FB0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6A52" w14:textId="77777777" w:rsidR="00F74E26" w:rsidRPr="00877BAF" w:rsidRDefault="00F74E26" w:rsidP="00877BA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876"/>
    <w:multiLevelType w:val="hybridMultilevel"/>
    <w:tmpl w:val="2194A464"/>
    <w:lvl w:ilvl="0" w:tplc="86DA0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7260D"/>
    <w:multiLevelType w:val="hybridMultilevel"/>
    <w:tmpl w:val="0BCCC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2F07"/>
    <w:multiLevelType w:val="hybridMultilevel"/>
    <w:tmpl w:val="986A80D4"/>
    <w:lvl w:ilvl="0" w:tplc="3A70332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DE6D77"/>
    <w:multiLevelType w:val="hybridMultilevel"/>
    <w:tmpl w:val="84ECC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DBB6EFA"/>
    <w:multiLevelType w:val="hybridMultilevel"/>
    <w:tmpl w:val="C6F8B10E"/>
    <w:lvl w:ilvl="0" w:tplc="8B62C4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12A80"/>
    <w:multiLevelType w:val="hybridMultilevel"/>
    <w:tmpl w:val="35EAB2BC"/>
    <w:lvl w:ilvl="0" w:tplc="E13AE7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E0B29"/>
    <w:multiLevelType w:val="hybridMultilevel"/>
    <w:tmpl w:val="ADEE2D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5EF408AF"/>
    <w:multiLevelType w:val="hybridMultilevel"/>
    <w:tmpl w:val="94FCFDB0"/>
    <w:lvl w:ilvl="0" w:tplc="86DA02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2035CAE"/>
    <w:multiLevelType w:val="hybridMultilevel"/>
    <w:tmpl w:val="991C5A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abstractNum w:abstractNumId="23">
    <w:nsid w:val="7E597FB0"/>
    <w:multiLevelType w:val="hybridMultilevel"/>
    <w:tmpl w:val="D332D140"/>
    <w:lvl w:ilvl="0" w:tplc="3A703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21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23"/>
  </w:num>
  <w:num w:numId="15">
    <w:abstractNumId w:val="20"/>
  </w:num>
  <w:num w:numId="16">
    <w:abstractNumId w:val="22"/>
  </w:num>
  <w:num w:numId="17">
    <w:abstractNumId w:val="18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9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0646"/>
    <w:rsid w:val="00011D24"/>
    <w:rsid w:val="00013FF4"/>
    <w:rsid w:val="00020FE1"/>
    <w:rsid w:val="00022E13"/>
    <w:rsid w:val="0002585E"/>
    <w:rsid w:val="000274FE"/>
    <w:rsid w:val="00032388"/>
    <w:rsid w:val="00034E98"/>
    <w:rsid w:val="00035CE2"/>
    <w:rsid w:val="00036DA1"/>
    <w:rsid w:val="00043A3E"/>
    <w:rsid w:val="0005553B"/>
    <w:rsid w:val="000604D2"/>
    <w:rsid w:val="00067BEA"/>
    <w:rsid w:val="00077B54"/>
    <w:rsid w:val="00080B74"/>
    <w:rsid w:val="0009005E"/>
    <w:rsid w:val="00090983"/>
    <w:rsid w:val="000941C5"/>
    <w:rsid w:val="000A6451"/>
    <w:rsid w:val="000B064E"/>
    <w:rsid w:val="000B2C27"/>
    <w:rsid w:val="000B69CF"/>
    <w:rsid w:val="000C18C6"/>
    <w:rsid w:val="000C71F1"/>
    <w:rsid w:val="000C790C"/>
    <w:rsid w:val="000D20D0"/>
    <w:rsid w:val="000D2458"/>
    <w:rsid w:val="000D383B"/>
    <w:rsid w:val="000F061D"/>
    <w:rsid w:val="000F4794"/>
    <w:rsid w:val="00103347"/>
    <w:rsid w:val="0010564C"/>
    <w:rsid w:val="00124F12"/>
    <w:rsid w:val="001346FE"/>
    <w:rsid w:val="0014102F"/>
    <w:rsid w:val="001435DE"/>
    <w:rsid w:val="00144E3A"/>
    <w:rsid w:val="0015060C"/>
    <w:rsid w:val="0016018A"/>
    <w:rsid w:val="0016110F"/>
    <w:rsid w:val="00161DE0"/>
    <w:rsid w:val="00161F0E"/>
    <w:rsid w:val="00164484"/>
    <w:rsid w:val="00170E2A"/>
    <w:rsid w:val="00177394"/>
    <w:rsid w:val="00182C18"/>
    <w:rsid w:val="001831B9"/>
    <w:rsid w:val="00183CC2"/>
    <w:rsid w:val="001843F3"/>
    <w:rsid w:val="001900E4"/>
    <w:rsid w:val="00190F88"/>
    <w:rsid w:val="00191501"/>
    <w:rsid w:val="00193DFB"/>
    <w:rsid w:val="00194624"/>
    <w:rsid w:val="00197340"/>
    <w:rsid w:val="001A0589"/>
    <w:rsid w:val="001A4066"/>
    <w:rsid w:val="001A6AE4"/>
    <w:rsid w:val="001B0056"/>
    <w:rsid w:val="001B01FD"/>
    <w:rsid w:val="001B1D44"/>
    <w:rsid w:val="001B4A71"/>
    <w:rsid w:val="001C667C"/>
    <w:rsid w:val="001D5B54"/>
    <w:rsid w:val="001E1DBF"/>
    <w:rsid w:val="001E3DEB"/>
    <w:rsid w:val="001E4639"/>
    <w:rsid w:val="001E4A7D"/>
    <w:rsid w:val="001F4209"/>
    <w:rsid w:val="001F42C4"/>
    <w:rsid w:val="001F43A8"/>
    <w:rsid w:val="001F5CD6"/>
    <w:rsid w:val="0021263D"/>
    <w:rsid w:val="00213F0C"/>
    <w:rsid w:val="00214094"/>
    <w:rsid w:val="0021592D"/>
    <w:rsid w:val="0021639A"/>
    <w:rsid w:val="002228F2"/>
    <w:rsid w:val="00222D76"/>
    <w:rsid w:val="00223EB1"/>
    <w:rsid w:val="002240B0"/>
    <w:rsid w:val="00230B7B"/>
    <w:rsid w:val="00231344"/>
    <w:rsid w:val="0023436E"/>
    <w:rsid w:val="002347C0"/>
    <w:rsid w:val="00241A6C"/>
    <w:rsid w:val="00242D2B"/>
    <w:rsid w:val="00253066"/>
    <w:rsid w:val="0025634A"/>
    <w:rsid w:val="00262E2B"/>
    <w:rsid w:val="002661CA"/>
    <w:rsid w:val="0026665C"/>
    <w:rsid w:val="00270429"/>
    <w:rsid w:val="002723E9"/>
    <w:rsid w:val="00277929"/>
    <w:rsid w:val="00277F29"/>
    <w:rsid w:val="002808F4"/>
    <w:rsid w:val="00282A20"/>
    <w:rsid w:val="00283B82"/>
    <w:rsid w:val="002846E9"/>
    <w:rsid w:val="00284C34"/>
    <w:rsid w:val="0029066C"/>
    <w:rsid w:val="002913F9"/>
    <w:rsid w:val="00293BF1"/>
    <w:rsid w:val="002A1F05"/>
    <w:rsid w:val="002B50DB"/>
    <w:rsid w:val="002C12AB"/>
    <w:rsid w:val="002C7CAC"/>
    <w:rsid w:val="002D1A26"/>
    <w:rsid w:val="002D3306"/>
    <w:rsid w:val="002D48AA"/>
    <w:rsid w:val="002D5DD8"/>
    <w:rsid w:val="002D7BAA"/>
    <w:rsid w:val="002D7F54"/>
    <w:rsid w:val="002E3FF4"/>
    <w:rsid w:val="002F78C8"/>
    <w:rsid w:val="00301CF3"/>
    <w:rsid w:val="00306915"/>
    <w:rsid w:val="003218F8"/>
    <w:rsid w:val="0032715C"/>
    <w:rsid w:val="00327CC8"/>
    <w:rsid w:val="00337CA5"/>
    <w:rsid w:val="003456CA"/>
    <w:rsid w:val="00362478"/>
    <w:rsid w:val="00363E2A"/>
    <w:rsid w:val="003655D2"/>
    <w:rsid w:val="003701C5"/>
    <w:rsid w:val="00375B25"/>
    <w:rsid w:val="00380275"/>
    <w:rsid w:val="0038132C"/>
    <w:rsid w:val="00386365"/>
    <w:rsid w:val="003873AC"/>
    <w:rsid w:val="00391298"/>
    <w:rsid w:val="00395D66"/>
    <w:rsid w:val="00396542"/>
    <w:rsid w:val="0039685B"/>
    <w:rsid w:val="003A31A6"/>
    <w:rsid w:val="003A3AFB"/>
    <w:rsid w:val="003A7DD5"/>
    <w:rsid w:val="003A7F0C"/>
    <w:rsid w:val="003A7F79"/>
    <w:rsid w:val="003B5546"/>
    <w:rsid w:val="003B611B"/>
    <w:rsid w:val="003B6229"/>
    <w:rsid w:val="003B6404"/>
    <w:rsid w:val="003B64C6"/>
    <w:rsid w:val="003B74C0"/>
    <w:rsid w:val="003C3862"/>
    <w:rsid w:val="003C449B"/>
    <w:rsid w:val="003D21FF"/>
    <w:rsid w:val="003E3FD0"/>
    <w:rsid w:val="003F0112"/>
    <w:rsid w:val="003F071A"/>
    <w:rsid w:val="003F160B"/>
    <w:rsid w:val="003F3D2C"/>
    <w:rsid w:val="003F3D81"/>
    <w:rsid w:val="00400032"/>
    <w:rsid w:val="00400B5B"/>
    <w:rsid w:val="004028F2"/>
    <w:rsid w:val="00405A00"/>
    <w:rsid w:val="0041687C"/>
    <w:rsid w:val="00420870"/>
    <w:rsid w:val="004226C7"/>
    <w:rsid w:val="00430083"/>
    <w:rsid w:val="00432D0C"/>
    <w:rsid w:val="0043791B"/>
    <w:rsid w:val="00441483"/>
    <w:rsid w:val="00441BCB"/>
    <w:rsid w:val="00446E38"/>
    <w:rsid w:val="0045176A"/>
    <w:rsid w:val="00456332"/>
    <w:rsid w:val="00461826"/>
    <w:rsid w:val="004800F9"/>
    <w:rsid w:val="004834E7"/>
    <w:rsid w:val="0049134A"/>
    <w:rsid w:val="004A58CB"/>
    <w:rsid w:val="004B1795"/>
    <w:rsid w:val="004B56DD"/>
    <w:rsid w:val="004C020F"/>
    <w:rsid w:val="004C1AFD"/>
    <w:rsid w:val="004C558B"/>
    <w:rsid w:val="004D06FF"/>
    <w:rsid w:val="004F0724"/>
    <w:rsid w:val="004F1F88"/>
    <w:rsid w:val="004F3CFA"/>
    <w:rsid w:val="004F5F1B"/>
    <w:rsid w:val="00502374"/>
    <w:rsid w:val="005060A1"/>
    <w:rsid w:val="005072C8"/>
    <w:rsid w:val="00516072"/>
    <w:rsid w:val="005332EC"/>
    <w:rsid w:val="00534418"/>
    <w:rsid w:val="005353AB"/>
    <w:rsid w:val="00537C75"/>
    <w:rsid w:val="005560BC"/>
    <w:rsid w:val="005573BE"/>
    <w:rsid w:val="00560241"/>
    <w:rsid w:val="00562AC5"/>
    <w:rsid w:val="00572700"/>
    <w:rsid w:val="00573CDF"/>
    <w:rsid w:val="00576FE5"/>
    <w:rsid w:val="00580468"/>
    <w:rsid w:val="00582231"/>
    <w:rsid w:val="0058603B"/>
    <w:rsid w:val="00592624"/>
    <w:rsid w:val="0059431B"/>
    <w:rsid w:val="005A39CC"/>
    <w:rsid w:val="005B1A1F"/>
    <w:rsid w:val="005B4730"/>
    <w:rsid w:val="005C13FA"/>
    <w:rsid w:val="005C34B7"/>
    <w:rsid w:val="005C5C31"/>
    <w:rsid w:val="005C7B5B"/>
    <w:rsid w:val="005C7D1C"/>
    <w:rsid w:val="005C7D63"/>
    <w:rsid w:val="005D1F04"/>
    <w:rsid w:val="005D6B77"/>
    <w:rsid w:val="005E05D7"/>
    <w:rsid w:val="005E41E7"/>
    <w:rsid w:val="005E450F"/>
    <w:rsid w:val="005F12AF"/>
    <w:rsid w:val="005F3434"/>
    <w:rsid w:val="00607484"/>
    <w:rsid w:val="006118FC"/>
    <w:rsid w:val="0062298A"/>
    <w:rsid w:val="00626514"/>
    <w:rsid w:val="00626589"/>
    <w:rsid w:val="00632D6E"/>
    <w:rsid w:val="006339A0"/>
    <w:rsid w:val="006413A8"/>
    <w:rsid w:val="00642E56"/>
    <w:rsid w:val="00651E00"/>
    <w:rsid w:val="006652AE"/>
    <w:rsid w:val="00672636"/>
    <w:rsid w:val="00672A3F"/>
    <w:rsid w:val="00674572"/>
    <w:rsid w:val="00677C27"/>
    <w:rsid w:val="00683178"/>
    <w:rsid w:val="00686D4E"/>
    <w:rsid w:val="00687763"/>
    <w:rsid w:val="00692B0D"/>
    <w:rsid w:val="00693E0E"/>
    <w:rsid w:val="006A1AE3"/>
    <w:rsid w:val="006A1CA2"/>
    <w:rsid w:val="006A6C1E"/>
    <w:rsid w:val="006C30E1"/>
    <w:rsid w:val="006C4607"/>
    <w:rsid w:val="006D05EE"/>
    <w:rsid w:val="006D44D9"/>
    <w:rsid w:val="006D48F1"/>
    <w:rsid w:val="006F45BE"/>
    <w:rsid w:val="007004FC"/>
    <w:rsid w:val="0070345E"/>
    <w:rsid w:val="00703E80"/>
    <w:rsid w:val="007058D9"/>
    <w:rsid w:val="00706670"/>
    <w:rsid w:val="00711D12"/>
    <w:rsid w:val="00711F59"/>
    <w:rsid w:val="0071665F"/>
    <w:rsid w:val="0072417C"/>
    <w:rsid w:val="00734450"/>
    <w:rsid w:val="00744217"/>
    <w:rsid w:val="00745F67"/>
    <w:rsid w:val="007463E7"/>
    <w:rsid w:val="0075039E"/>
    <w:rsid w:val="00752D9D"/>
    <w:rsid w:val="00754784"/>
    <w:rsid w:val="00757C6E"/>
    <w:rsid w:val="00762BDA"/>
    <w:rsid w:val="00765323"/>
    <w:rsid w:val="00766466"/>
    <w:rsid w:val="007736C0"/>
    <w:rsid w:val="00775B88"/>
    <w:rsid w:val="007767CF"/>
    <w:rsid w:val="007805FD"/>
    <w:rsid w:val="007814CF"/>
    <w:rsid w:val="007825AA"/>
    <w:rsid w:val="0078382E"/>
    <w:rsid w:val="00784422"/>
    <w:rsid w:val="0078522C"/>
    <w:rsid w:val="00790CE4"/>
    <w:rsid w:val="0079739E"/>
    <w:rsid w:val="007B3B54"/>
    <w:rsid w:val="007B3FA0"/>
    <w:rsid w:val="007B7C73"/>
    <w:rsid w:val="007C0F2C"/>
    <w:rsid w:val="007C2BCC"/>
    <w:rsid w:val="007C312A"/>
    <w:rsid w:val="007C3617"/>
    <w:rsid w:val="007C4EF0"/>
    <w:rsid w:val="007C6F73"/>
    <w:rsid w:val="007D099D"/>
    <w:rsid w:val="007D5D26"/>
    <w:rsid w:val="007E2664"/>
    <w:rsid w:val="007E3ABF"/>
    <w:rsid w:val="007E5BFA"/>
    <w:rsid w:val="007E6689"/>
    <w:rsid w:val="007E731C"/>
    <w:rsid w:val="007E79FB"/>
    <w:rsid w:val="007F0A03"/>
    <w:rsid w:val="008010AA"/>
    <w:rsid w:val="00803D30"/>
    <w:rsid w:val="00810040"/>
    <w:rsid w:val="008115D5"/>
    <w:rsid w:val="00812FC9"/>
    <w:rsid w:val="0082023A"/>
    <w:rsid w:val="00821A7A"/>
    <w:rsid w:val="00822697"/>
    <w:rsid w:val="008253F8"/>
    <w:rsid w:val="008325E4"/>
    <w:rsid w:val="00832A2B"/>
    <w:rsid w:val="00843131"/>
    <w:rsid w:val="0084405E"/>
    <w:rsid w:val="008442AF"/>
    <w:rsid w:val="008454CF"/>
    <w:rsid w:val="00845811"/>
    <w:rsid w:val="00846994"/>
    <w:rsid w:val="00850451"/>
    <w:rsid w:val="00852042"/>
    <w:rsid w:val="008525DB"/>
    <w:rsid w:val="00852C39"/>
    <w:rsid w:val="008534C9"/>
    <w:rsid w:val="00855161"/>
    <w:rsid w:val="0085599D"/>
    <w:rsid w:val="0087510C"/>
    <w:rsid w:val="00877BAF"/>
    <w:rsid w:val="00891114"/>
    <w:rsid w:val="0089519A"/>
    <w:rsid w:val="008968D2"/>
    <w:rsid w:val="0089738E"/>
    <w:rsid w:val="008A0B1A"/>
    <w:rsid w:val="008B5FDB"/>
    <w:rsid w:val="008B64DF"/>
    <w:rsid w:val="008C50F4"/>
    <w:rsid w:val="008C5649"/>
    <w:rsid w:val="008E44A2"/>
    <w:rsid w:val="008E697D"/>
    <w:rsid w:val="008F2D36"/>
    <w:rsid w:val="008F479D"/>
    <w:rsid w:val="00903263"/>
    <w:rsid w:val="00906A21"/>
    <w:rsid w:val="009079C3"/>
    <w:rsid w:val="00910462"/>
    <w:rsid w:val="00915AB1"/>
    <w:rsid w:val="00917532"/>
    <w:rsid w:val="00920833"/>
    <w:rsid w:val="009215F9"/>
    <w:rsid w:val="009235BA"/>
    <w:rsid w:val="00924023"/>
    <w:rsid w:val="00924CE2"/>
    <w:rsid w:val="00925B9F"/>
    <w:rsid w:val="00931AED"/>
    <w:rsid w:val="00933131"/>
    <w:rsid w:val="00941E53"/>
    <w:rsid w:val="009476A3"/>
    <w:rsid w:val="009477D1"/>
    <w:rsid w:val="00950874"/>
    <w:rsid w:val="00952B6E"/>
    <w:rsid w:val="0095334F"/>
    <w:rsid w:val="00953483"/>
    <w:rsid w:val="00964FD1"/>
    <w:rsid w:val="00965897"/>
    <w:rsid w:val="00965B2B"/>
    <w:rsid w:val="0096765C"/>
    <w:rsid w:val="009727E4"/>
    <w:rsid w:val="0097664C"/>
    <w:rsid w:val="009770A5"/>
    <w:rsid w:val="0098037C"/>
    <w:rsid w:val="009813D0"/>
    <w:rsid w:val="00990B59"/>
    <w:rsid w:val="009934C5"/>
    <w:rsid w:val="00994C0F"/>
    <w:rsid w:val="00995061"/>
    <w:rsid w:val="009A12CF"/>
    <w:rsid w:val="009B22D7"/>
    <w:rsid w:val="009B72ED"/>
    <w:rsid w:val="009C07C4"/>
    <w:rsid w:val="009C6DEB"/>
    <w:rsid w:val="009D5552"/>
    <w:rsid w:val="009D6504"/>
    <w:rsid w:val="009E12D7"/>
    <w:rsid w:val="009E661A"/>
    <w:rsid w:val="00A06781"/>
    <w:rsid w:val="00A074C3"/>
    <w:rsid w:val="00A1177F"/>
    <w:rsid w:val="00A1509C"/>
    <w:rsid w:val="00A173BA"/>
    <w:rsid w:val="00A249B9"/>
    <w:rsid w:val="00A34260"/>
    <w:rsid w:val="00A4037D"/>
    <w:rsid w:val="00A4534E"/>
    <w:rsid w:val="00A516F8"/>
    <w:rsid w:val="00A67DE1"/>
    <w:rsid w:val="00A70CFD"/>
    <w:rsid w:val="00A725EE"/>
    <w:rsid w:val="00A72A0B"/>
    <w:rsid w:val="00A74C86"/>
    <w:rsid w:val="00A81E42"/>
    <w:rsid w:val="00A85539"/>
    <w:rsid w:val="00A864FE"/>
    <w:rsid w:val="00A86F41"/>
    <w:rsid w:val="00A87D04"/>
    <w:rsid w:val="00A934D3"/>
    <w:rsid w:val="00A950C5"/>
    <w:rsid w:val="00AA1D25"/>
    <w:rsid w:val="00AB1C7C"/>
    <w:rsid w:val="00AB2B1A"/>
    <w:rsid w:val="00AB397F"/>
    <w:rsid w:val="00AB5832"/>
    <w:rsid w:val="00AB6B37"/>
    <w:rsid w:val="00AC0BAD"/>
    <w:rsid w:val="00AC1E0D"/>
    <w:rsid w:val="00AC51F2"/>
    <w:rsid w:val="00AD3269"/>
    <w:rsid w:val="00AE5066"/>
    <w:rsid w:val="00AE5E24"/>
    <w:rsid w:val="00AE61B7"/>
    <w:rsid w:val="00AE6CBA"/>
    <w:rsid w:val="00AE79AD"/>
    <w:rsid w:val="00AF1426"/>
    <w:rsid w:val="00AF35E4"/>
    <w:rsid w:val="00AF5CDE"/>
    <w:rsid w:val="00B00454"/>
    <w:rsid w:val="00B11A57"/>
    <w:rsid w:val="00B211C3"/>
    <w:rsid w:val="00B21B1F"/>
    <w:rsid w:val="00B25597"/>
    <w:rsid w:val="00B267B9"/>
    <w:rsid w:val="00B33E09"/>
    <w:rsid w:val="00B34047"/>
    <w:rsid w:val="00B37DEF"/>
    <w:rsid w:val="00B47639"/>
    <w:rsid w:val="00B50676"/>
    <w:rsid w:val="00B50708"/>
    <w:rsid w:val="00B50C68"/>
    <w:rsid w:val="00B51293"/>
    <w:rsid w:val="00B51B5B"/>
    <w:rsid w:val="00B52333"/>
    <w:rsid w:val="00B52B1E"/>
    <w:rsid w:val="00B55481"/>
    <w:rsid w:val="00B56C32"/>
    <w:rsid w:val="00B57ACF"/>
    <w:rsid w:val="00B64BB1"/>
    <w:rsid w:val="00B6527A"/>
    <w:rsid w:val="00B71EB9"/>
    <w:rsid w:val="00B73166"/>
    <w:rsid w:val="00B8426C"/>
    <w:rsid w:val="00B91B8D"/>
    <w:rsid w:val="00B948B1"/>
    <w:rsid w:val="00B94E90"/>
    <w:rsid w:val="00BA7E39"/>
    <w:rsid w:val="00BB033D"/>
    <w:rsid w:val="00BB0A82"/>
    <w:rsid w:val="00BB39F1"/>
    <w:rsid w:val="00BB76C1"/>
    <w:rsid w:val="00BB7C94"/>
    <w:rsid w:val="00BC0A9D"/>
    <w:rsid w:val="00BC2880"/>
    <w:rsid w:val="00BE06C7"/>
    <w:rsid w:val="00BF30D4"/>
    <w:rsid w:val="00BF40ED"/>
    <w:rsid w:val="00BF5B5C"/>
    <w:rsid w:val="00BF5BC2"/>
    <w:rsid w:val="00C1133D"/>
    <w:rsid w:val="00C13593"/>
    <w:rsid w:val="00C16533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463E9"/>
    <w:rsid w:val="00C5384F"/>
    <w:rsid w:val="00C5646A"/>
    <w:rsid w:val="00C56964"/>
    <w:rsid w:val="00C6031B"/>
    <w:rsid w:val="00C62B20"/>
    <w:rsid w:val="00C656D5"/>
    <w:rsid w:val="00C67103"/>
    <w:rsid w:val="00C70B3C"/>
    <w:rsid w:val="00C71BB9"/>
    <w:rsid w:val="00C77E04"/>
    <w:rsid w:val="00C84A01"/>
    <w:rsid w:val="00C94C28"/>
    <w:rsid w:val="00C94F91"/>
    <w:rsid w:val="00C9547D"/>
    <w:rsid w:val="00CB0247"/>
    <w:rsid w:val="00CB1F2F"/>
    <w:rsid w:val="00CB3440"/>
    <w:rsid w:val="00CB562F"/>
    <w:rsid w:val="00CC1692"/>
    <w:rsid w:val="00CD138B"/>
    <w:rsid w:val="00CD239A"/>
    <w:rsid w:val="00CD3E31"/>
    <w:rsid w:val="00CD62B1"/>
    <w:rsid w:val="00CD74A3"/>
    <w:rsid w:val="00CE0527"/>
    <w:rsid w:val="00CE0D70"/>
    <w:rsid w:val="00CE1979"/>
    <w:rsid w:val="00CE4FAA"/>
    <w:rsid w:val="00CE5B23"/>
    <w:rsid w:val="00CF4F9F"/>
    <w:rsid w:val="00CF70AD"/>
    <w:rsid w:val="00CF7729"/>
    <w:rsid w:val="00CF7E14"/>
    <w:rsid w:val="00D00059"/>
    <w:rsid w:val="00D02AF4"/>
    <w:rsid w:val="00D107FA"/>
    <w:rsid w:val="00D12275"/>
    <w:rsid w:val="00D12766"/>
    <w:rsid w:val="00D20FF4"/>
    <w:rsid w:val="00D24D2C"/>
    <w:rsid w:val="00D26666"/>
    <w:rsid w:val="00D311E8"/>
    <w:rsid w:val="00D35881"/>
    <w:rsid w:val="00D3664F"/>
    <w:rsid w:val="00D3797A"/>
    <w:rsid w:val="00D56B76"/>
    <w:rsid w:val="00D603B2"/>
    <w:rsid w:val="00D603F6"/>
    <w:rsid w:val="00D6427D"/>
    <w:rsid w:val="00D70CD6"/>
    <w:rsid w:val="00D7540E"/>
    <w:rsid w:val="00D87062"/>
    <w:rsid w:val="00DA056F"/>
    <w:rsid w:val="00DA0C24"/>
    <w:rsid w:val="00DA6168"/>
    <w:rsid w:val="00DA79DC"/>
    <w:rsid w:val="00DA7DA5"/>
    <w:rsid w:val="00DB073B"/>
    <w:rsid w:val="00DB413E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DE5D98"/>
    <w:rsid w:val="00DF353E"/>
    <w:rsid w:val="00E02ABF"/>
    <w:rsid w:val="00E030AE"/>
    <w:rsid w:val="00E14995"/>
    <w:rsid w:val="00E179CD"/>
    <w:rsid w:val="00E20231"/>
    <w:rsid w:val="00E210B0"/>
    <w:rsid w:val="00E22930"/>
    <w:rsid w:val="00E23E8D"/>
    <w:rsid w:val="00E317E3"/>
    <w:rsid w:val="00E37F98"/>
    <w:rsid w:val="00E46559"/>
    <w:rsid w:val="00E65563"/>
    <w:rsid w:val="00E659E6"/>
    <w:rsid w:val="00E6670C"/>
    <w:rsid w:val="00E776E8"/>
    <w:rsid w:val="00E92C1F"/>
    <w:rsid w:val="00E95D4B"/>
    <w:rsid w:val="00EB02EA"/>
    <w:rsid w:val="00EB199F"/>
    <w:rsid w:val="00EB6C25"/>
    <w:rsid w:val="00EB6FFA"/>
    <w:rsid w:val="00EC23F7"/>
    <w:rsid w:val="00EC4BD8"/>
    <w:rsid w:val="00EC63EB"/>
    <w:rsid w:val="00ED412F"/>
    <w:rsid w:val="00ED5140"/>
    <w:rsid w:val="00EF0028"/>
    <w:rsid w:val="00EF35A8"/>
    <w:rsid w:val="00EF36B2"/>
    <w:rsid w:val="00EF523F"/>
    <w:rsid w:val="00EF56BC"/>
    <w:rsid w:val="00F1246B"/>
    <w:rsid w:val="00F12FC5"/>
    <w:rsid w:val="00F154DD"/>
    <w:rsid w:val="00F16861"/>
    <w:rsid w:val="00F201EC"/>
    <w:rsid w:val="00F208A9"/>
    <w:rsid w:val="00F32406"/>
    <w:rsid w:val="00F336FE"/>
    <w:rsid w:val="00F354F6"/>
    <w:rsid w:val="00F41D75"/>
    <w:rsid w:val="00F5139D"/>
    <w:rsid w:val="00F51CE7"/>
    <w:rsid w:val="00F55539"/>
    <w:rsid w:val="00F56C87"/>
    <w:rsid w:val="00F63DAC"/>
    <w:rsid w:val="00F72F67"/>
    <w:rsid w:val="00F7454F"/>
    <w:rsid w:val="00F74E26"/>
    <w:rsid w:val="00F77988"/>
    <w:rsid w:val="00F77F48"/>
    <w:rsid w:val="00FB04D8"/>
    <w:rsid w:val="00FB2BB2"/>
    <w:rsid w:val="00FB2C2D"/>
    <w:rsid w:val="00FB30F1"/>
    <w:rsid w:val="00FB5072"/>
    <w:rsid w:val="00FB53E7"/>
    <w:rsid w:val="00FD0332"/>
    <w:rsid w:val="00FD2A8A"/>
    <w:rsid w:val="00FD411F"/>
    <w:rsid w:val="00FD4E79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C4BE782"/>
  <w15:chartTrackingRefBased/>
  <w15:docId w15:val="{D6D33836-34B6-43FD-95A5-D70C303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71E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1EB9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CF7E14"/>
    <w:pPr>
      <w:spacing w:after="120"/>
      <w:ind w:left="283"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F7E14"/>
    <w:rPr>
      <w:sz w:val="28"/>
      <w:szCs w:val="24"/>
      <w:lang w:eastAsia="en-US"/>
    </w:rPr>
  </w:style>
  <w:style w:type="paragraph" w:styleId="NoSpacing">
    <w:name w:val="No Spacing"/>
    <w:uiPriority w:val="1"/>
    <w:qFormat/>
    <w:rsid w:val="00A40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ivanova@r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505C-CE33-4227-BA53-A5EA3F4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3529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IEManot_171213</vt:lpstr>
    </vt:vector>
  </TitlesOfParts>
  <Manager>Kaspars Āboliņš, tālr. 67219170</Manager>
  <Company>IEM Eiropas lietu un starptautiskās sadarbības departaments</Company>
  <LinksUpToDate>false</LinksUpToDate>
  <CharactersWithSpaces>5530</CharactersWithSpaces>
  <SharedDoc>false</SharedDoc>
  <HLinks>
    <vt:vector size="6" baseType="variant"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 "Par VP amatpersonas ar speciālo dienesta pakāpi dalību EUPOL AFGHANISTAN"</dc:subject>
  <dc:creator>Raivis Abele</dc:creator>
  <cp:keywords/>
  <dc:description/>
  <cp:lastModifiedBy>Arnis Slesars</cp:lastModifiedBy>
  <cp:revision>4</cp:revision>
  <cp:lastPrinted>2016-08-08T12:27:00Z</cp:lastPrinted>
  <dcterms:created xsi:type="dcterms:W3CDTF">2017-04-20T06:36:00Z</dcterms:created>
  <dcterms:modified xsi:type="dcterms:W3CDTF">2017-04-20T06:37:00Z</dcterms:modified>
  <cp:category>Sākotnējās ietekmes novērtējuma ziņojums (anotācija)</cp:category>
</cp:coreProperties>
</file>