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D" w:rsidRPr="00A014A1" w:rsidRDefault="00282C56" w:rsidP="00E6770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A1">
        <w:rPr>
          <w:rFonts w:ascii="Times New Roman" w:hAnsi="Times New Roman" w:cs="Times New Roman"/>
          <w:b/>
          <w:sz w:val="28"/>
          <w:szCs w:val="28"/>
        </w:rPr>
        <w:t xml:space="preserve">Izdevumu </w:t>
      </w:r>
      <w:r w:rsidR="00B0381F" w:rsidRPr="00A014A1">
        <w:rPr>
          <w:rFonts w:ascii="Times New Roman" w:hAnsi="Times New Roman" w:cs="Times New Roman"/>
          <w:b/>
          <w:sz w:val="28"/>
          <w:szCs w:val="28"/>
        </w:rPr>
        <w:t xml:space="preserve">aprēķins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2D726A" w:rsidRPr="00E67702" w:rsidTr="0056059F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E67702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E67702" w:rsidRDefault="00952B8E" w:rsidP="00560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2D726A" w:rsidRPr="00E67702" w:rsidTr="0056059F">
        <w:trPr>
          <w:trHeight w:val="4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26A" w:rsidRPr="00E67702" w:rsidRDefault="002D726A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EUMM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G</w:t>
            </w:r>
            <w:r w:rsidR="00DF3B6C"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eorgia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(01.0</w:t>
            </w:r>
            <w:r w:rsidR="00805AF1"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7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.2017.-31.12.2017.)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E67702" w:rsidRDefault="00DF3B6C" w:rsidP="00D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2017. gads</w:t>
            </w:r>
          </w:p>
        </w:tc>
      </w:tr>
      <w:tr w:rsidR="002D726A" w:rsidRPr="00E67702" w:rsidTr="0056059F">
        <w:trPr>
          <w:trHeight w:val="3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1000 - 9000 </w:t>
            </w:r>
            <w:r w:rsidR="002D726A"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615360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25 149</w:t>
            </w:r>
          </w:p>
        </w:tc>
      </w:tr>
      <w:tr w:rsidR="00615360" w:rsidRPr="00E67702" w:rsidTr="0056059F">
        <w:trPr>
          <w:trHeight w:val="4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15360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1000 - 2000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Kārtējie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60" w:rsidRPr="0056059F" w:rsidRDefault="00615360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6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23 928</w:t>
            </w:r>
          </w:p>
        </w:tc>
      </w:tr>
      <w:tr w:rsidR="002D726A" w:rsidRPr="00E67702" w:rsidTr="0056059F">
        <w:trPr>
          <w:trHeight w:val="4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1000 Atlīdzība</w:t>
            </w:r>
            <w:proofErr w:type="gram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EF11E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14 772</w:t>
            </w:r>
          </w:p>
        </w:tc>
      </w:tr>
      <w:tr w:rsidR="002D726A" w:rsidRPr="00E67702" w:rsidTr="0056059F">
        <w:trPr>
          <w:trHeight w:val="35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1100 Atalgojums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05AF1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</w:t>
            </w:r>
          </w:p>
        </w:tc>
      </w:tr>
      <w:tr w:rsidR="002D726A" w:rsidRPr="00E67702" w:rsidTr="0056059F">
        <w:trPr>
          <w:trHeight w:val="93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1149 Piemaksa par dalību starptautiskajā misijā</w:t>
            </w:r>
            <w:proofErr w:type="gram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vai operācijā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1422,87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(piemaksas apmērs par dalību starptautiskajā misijā un operācijā) x 1,4 (koefic</w:t>
            </w:r>
            <w:r w:rsidR="00952B8E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ents piemaksas aprēķināšanai) x </w:t>
            </w:r>
            <w:r w:rsidR="00805AF1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mēneši x1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05AF1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</w:t>
            </w:r>
          </w:p>
        </w:tc>
      </w:tr>
      <w:tr w:rsidR="002D726A" w:rsidRPr="00E67702" w:rsidTr="0056059F">
        <w:trPr>
          <w:trHeight w:val="7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2 820</w:t>
            </w:r>
          </w:p>
        </w:tc>
      </w:tr>
      <w:tr w:rsidR="002D726A" w:rsidRPr="00E67702" w:rsidTr="0056059F">
        <w:trPr>
          <w:trHeight w:val="6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3C4D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1210 Darba devēja valsts sociālās apdrošināšanas obligātās iemaksas </w:t>
            </w:r>
          </w:p>
          <w:p w:rsidR="002D726A" w:rsidRPr="00213C4D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</w:t>
            </w:r>
            <w:r w:rsidR="00805AF1"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="00805AF1"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23,59 %)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2 820</w:t>
            </w:r>
          </w:p>
        </w:tc>
      </w:tr>
      <w:tr w:rsidR="002D726A" w:rsidRPr="00E67702" w:rsidTr="0056059F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A52727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9 156</w:t>
            </w:r>
          </w:p>
        </w:tc>
      </w:tr>
      <w:tr w:rsidR="002D726A" w:rsidRPr="00E67702" w:rsidTr="0056059F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2D726A" w:rsidRPr="00E67702" w:rsidTr="0056059F">
        <w:trPr>
          <w:trHeight w:val="144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Default="002D726A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2122 Pārējie komandējumu un dienesta, darba braucienu izdevumi</w:t>
            </w:r>
          </w:p>
          <w:p w:rsidR="00213C4D" w:rsidRPr="00E67702" w:rsidRDefault="00213C4D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braucienam un bagāžai 569,50 EUR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brauciens x 569,50 EUR = 570 EUR x1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amatpersona = 570 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Apdrošināšana par ceļojuma dienām 0,60 EUR par 1 dienu x 1 amatpersona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2D726A" w:rsidRPr="00E67702" w:rsidTr="0056059F">
        <w:trPr>
          <w:trHeight w:val="4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A50147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8 585</w:t>
            </w:r>
          </w:p>
        </w:tc>
      </w:tr>
      <w:tr w:rsidR="002D726A" w:rsidRPr="00E67702" w:rsidTr="0056059F">
        <w:trPr>
          <w:trHeight w:val="42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2210 Pasta</w:t>
            </w:r>
            <w:proofErr w:type="gram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,</w:t>
            </w:r>
            <w:r w:rsidR="00A911E7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telefona un citi sakaru pakalpojumi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2D726A" w:rsidRPr="00E67702" w:rsidTr="0056059F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2219 Pārējie sakaru pakalpojumi :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85 EUR x </w:t>
            </w:r>
            <w:r w:rsidR="00805AF1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 x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2D726A" w:rsidRPr="00E67702" w:rsidTr="0056059F">
        <w:trPr>
          <w:trHeight w:val="6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41A3F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8 075</w:t>
            </w:r>
          </w:p>
        </w:tc>
      </w:tr>
      <w:tr w:rsidR="002D726A" w:rsidRPr="00E67702" w:rsidTr="0056059F">
        <w:trPr>
          <w:trHeight w:val="6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2234  Normatīvajos aktos noteiktie darba devēja veselības izdevumi darba ņēmējiem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Obligātās vakcinācijas: 170,74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 x</w:t>
            </w:r>
            <w:r w:rsidR="0021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</w:tbl>
    <w:p w:rsidR="0056059F" w:rsidRDefault="0056059F">
      <w:r>
        <w:br w:type="page"/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2D726A" w:rsidRPr="00E67702" w:rsidTr="0056059F">
        <w:trPr>
          <w:trHeight w:val="4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E67702" w:rsidRDefault="00362E49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>
              <w:lastRenderedPageBreak/>
              <w:br w:type="page"/>
            </w:r>
            <w:r w:rsidR="002D726A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2238 Ārvalstīs strādājošo darbinieku dzīvokļa īres un komunālo izdevumu kompensācija</w:t>
            </w:r>
          </w:p>
          <w:p w:rsidR="00E67702" w:rsidRPr="00E67702" w:rsidRDefault="00E67702" w:rsidP="005605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(dzīvojamās telpas) īres un komunālo pakalpojumu izdevumi: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15808,11 EUR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mēneši x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eši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41A3F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7 904</w:t>
            </w:r>
          </w:p>
        </w:tc>
      </w:tr>
      <w:tr w:rsidR="002D726A" w:rsidRPr="00E67702" w:rsidTr="0056059F">
        <w:trPr>
          <w:trHeight w:val="70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26A" w:rsidRPr="00E67702" w:rsidRDefault="008641FF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6A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1 036</w:t>
            </w:r>
          </w:p>
        </w:tc>
      </w:tr>
      <w:tr w:rsidR="008641FF" w:rsidRPr="00E67702" w:rsidTr="0056059F">
        <w:trPr>
          <w:trHeight w:val="41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FF" w:rsidRPr="00E67702" w:rsidRDefault="008641FF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2380 Specifiskie materiāli un inventārs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1FF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1 036</w:t>
            </w:r>
          </w:p>
        </w:tc>
      </w:tr>
      <w:tr w:rsidR="00DF3B6C" w:rsidRPr="00E67702" w:rsidTr="0056059F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C" w:rsidRPr="00E67702" w:rsidRDefault="00116985" w:rsidP="0011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br w:type="page"/>
            </w:r>
            <w:r w:rsidR="00DF3B6C" w:rsidRPr="00E677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2389 Pārējie specifiskas lietošanas materiāli un inventārs </w:t>
            </w:r>
          </w:p>
          <w:p w:rsidR="00DF3B6C" w:rsidRPr="00E67702" w:rsidRDefault="00213C4D" w:rsidP="0011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1036 EUR x 1 amatpersona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DF3B6C" w:rsidRPr="00E67702" w:rsidRDefault="00DF3B6C" w:rsidP="00116985">
            <w:pPr>
              <w:pStyle w:val="ListParagraph"/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Ziemas jaka 1 gab. x 170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170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Lietusmētelis 1 gab. x 80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80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F3B6C" w:rsidRPr="00E67702" w:rsidRDefault="00DF3B6C" w:rsidP="001169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Pulovers 1 gab. x 40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F3B6C" w:rsidRPr="00E67702" w:rsidRDefault="00DF3B6C" w:rsidP="001169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Cimdi 1 gab.  x 45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Šņorzābaki vasaras 1 gab. x 130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130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Šņorzābaki ziemas 1 gab. x 150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150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Kabatas nazis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45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Kabatas lukturītis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50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Lielais mantu maiss 2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</w:t>
            </w:r>
            <w:r w:rsidRPr="00E67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Mugursoma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80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80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Patruļas soma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105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105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Kartes soma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Blašķe ar somu 2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8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16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Pirmās medicīniskās palīdzības sniegšanai nepieciešamo medicīnisko materiālu soma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</w:t>
            </w:r>
            <w:r w:rsidRPr="00E67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Pirmās medicīniskās palīdzības sniegšanai nepieciešamo 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medicīnisko materiālu komplekts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komplekti</w:t>
            </w:r>
            <w:proofErr w:type="gram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= 40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DF3B6C" w:rsidP="00116985">
            <w:pPr>
              <w:pStyle w:val="ListParagraph"/>
              <w:spacing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Guļammaiss 1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40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40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C" w:rsidRPr="00E67702" w:rsidRDefault="00DF3B6C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1 036</w:t>
            </w:r>
          </w:p>
        </w:tc>
      </w:tr>
      <w:tr w:rsidR="000A1542" w:rsidRPr="00E67702" w:rsidTr="0056059F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542" w:rsidRPr="00E67702" w:rsidRDefault="000A1542" w:rsidP="001169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7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5 </w:t>
            </w:r>
            <w:proofErr w:type="gramStart"/>
            <w:r w:rsidRPr="00E67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 Pamatkapitāla veidošana</w:t>
            </w:r>
            <w:proofErr w:type="gramEnd"/>
            <w:r w:rsidRPr="00E67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1 221</w:t>
            </w:r>
          </w:p>
        </w:tc>
      </w:tr>
      <w:tr w:rsidR="000A1542" w:rsidRPr="00E67702" w:rsidTr="0056059F">
        <w:trPr>
          <w:trHeight w:val="8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1542" w:rsidRDefault="000A1542" w:rsidP="001169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67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5 239 Pārējie iepriekš neklasificētie pamatlīdzekļi</w:t>
            </w:r>
            <w:proofErr w:type="gramEnd"/>
          </w:p>
          <w:p w:rsidR="00213C4D" w:rsidRPr="00213C4D" w:rsidRDefault="00213C4D" w:rsidP="0011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D">
              <w:rPr>
                <w:rFonts w:ascii="Times New Roman" w:hAnsi="Times New Roman" w:cs="Times New Roman"/>
                <w:sz w:val="24"/>
                <w:szCs w:val="24"/>
              </w:rPr>
              <w:t>(122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EUR x 1 amatpersona)</w:t>
            </w:r>
          </w:p>
          <w:p w:rsidR="00DF3B6C" w:rsidRPr="00E67702" w:rsidRDefault="00213C4D" w:rsidP="00116985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Bruņu ķivere 1 </w:t>
            </w:r>
            <w:proofErr w:type="spellStart"/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761 </w:t>
            </w:r>
            <w:r w:rsidR="00DF3B6C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  <w:p w:rsidR="00DF3B6C" w:rsidRPr="00E67702" w:rsidRDefault="00213C4D" w:rsidP="001169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Bruņu veste 1 </w:t>
            </w:r>
            <w:proofErr w:type="spellStart"/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  <w:r w:rsidR="00DF3B6C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460 </w:t>
            </w:r>
            <w:r w:rsidR="00DF3B6C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1 221</w:t>
            </w:r>
          </w:p>
        </w:tc>
      </w:tr>
      <w:tr w:rsidR="00D330D7" w:rsidRPr="00E67702" w:rsidTr="0056059F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330D7" w:rsidRPr="00E67702" w:rsidRDefault="00D330D7" w:rsidP="00D330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A1542" w:rsidRPr="00E67702" w:rsidTr="0056059F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1542" w:rsidRPr="00E67702" w:rsidRDefault="00213C4D" w:rsidP="0011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EUMM </w:t>
            </w:r>
            <w:proofErr w:type="spellStart"/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Georgia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(01.0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.-3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06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42" w:rsidRPr="00E67702" w:rsidRDefault="00E67702" w:rsidP="00D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2018. gads</w:t>
            </w:r>
          </w:p>
        </w:tc>
      </w:tr>
      <w:tr w:rsidR="000A1542" w:rsidRPr="00E67702" w:rsidTr="0056059F">
        <w:trPr>
          <w:trHeight w:val="4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1000-9000 </w:t>
            </w:r>
            <w:r w:rsidR="000A1542"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23 757</w:t>
            </w:r>
          </w:p>
        </w:tc>
      </w:tr>
      <w:tr w:rsidR="00615360" w:rsidRPr="00E67702" w:rsidTr="0056059F">
        <w:trPr>
          <w:trHeight w:val="4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15360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 xml:space="preserve">1000-2000 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Kārtējie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60" w:rsidRPr="00E67702" w:rsidRDefault="00615360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23 757</w:t>
            </w:r>
          </w:p>
        </w:tc>
      </w:tr>
      <w:tr w:rsidR="000A1542" w:rsidRPr="00E67702" w:rsidTr="0056059F">
        <w:trPr>
          <w:trHeight w:val="42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1000 Atlīdzība</w:t>
            </w:r>
            <w:proofErr w:type="gram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14 772</w:t>
            </w:r>
          </w:p>
        </w:tc>
      </w:tr>
      <w:tr w:rsidR="000A1542" w:rsidRPr="00E67702" w:rsidTr="0056059F">
        <w:trPr>
          <w:trHeight w:val="41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1100 Atalgojums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11 952</w:t>
            </w:r>
          </w:p>
        </w:tc>
      </w:tr>
      <w:tr w:rsidR="000A1542" w:rsidRPr="00E67702" w:rsidTr="0056059F">
        <w:trPr>
          <w:trHeight w:val="4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D330D7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br w:type="page"/>
            </w:r>
            <w:proofErr w:type="gramStart"/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1149 Piemaksa par dalību starptautiskajā misijā</w:t>
            </w:r>
            <w:proofErr w:type="gramEnd"/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vai operācijā</w:t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1422,87</w:t>
            </w:r>
            <w:r w:rsidR="000A1542" w:rsidRPr="00E67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="000A1542" w:rsidRPr="00E67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(piemaksas apmērs par dalību starptautiskajā misijā un operācijā) x 1,4 (koefic</w:t>
            </w:r>
            <w:r w:rsidR="00952B8E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ents piemaksas aprēķināšanai) x 6 mēneši x</w:t>
            </w:r>
            <w:r w:rsidR="0036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11 952</w:t>
            </w:r>
          </w:p>
        </w:tc>
      </w:tr>
      <w:tr w:rsidR="000A1542" w:rsidRPr="00E67702" w:rsidTr="0056059F">
        <w:trPr>
          <w:trHeight w:val="6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lastRenderedPageBreak/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2 820</w:t>
            </w:r>
          </w:p>
        </w:tc>
      </w:tr>
      <w:tr w:rsidR="000A1542" w:rsidRPr="00E67702" w:rsidTr="0056059F">
        <w:trPr>
          <w:trHeight w:val="4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5605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1210 Darba devēja valsts sociālās apdrošināšanas obligātās iemaksas 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(11 952 EUR x 23,59 %)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2 820</w:t>
            </w:r>
          </w:p>
        </w:tc>
      </w:tr>
      <w:tr w:rsidR="000A1542" w:rsidRPr="00E67702" w:rsidTr="0056059F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A014A1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br w:type="page"/>
            </w:r>
            <w:r w:rsidR="00362E49">
              <w:br w:type="page"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8 985</w:t>
            </w:r>
          </w:p>
        </w:tc>
      </w:tr>
      <w:tr w:rsidR="000A1542" w:rsidRPr="00E67702" w:rsidTr="0056059F">
        <w:trPr>
          <w:trHeight w:val="3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0A1542" w:rsidRPr="00E67702" w:rsidTr="0056059F">
        <w:trPr>
          <w:trHeight w:val="10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Default="000A1542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2122 Pārējie komandējumu un dienesta, darba braucienu izdevumi</w:t>
            </w:r>
          </w:p>
          <w:p w:rsidR="00E67702" w:rsidRPr="00E67702" w:rsidRDefault="00E67702" w:rsidP="005605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  <w:r w:rsidR="00560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braucienam un bagāžai 569,50 EUR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Apdrošināšana par ceļojuma dienām 0,60 EUR par 1 dienu x 1 amatpersona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60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213C4D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0A1542" w:rsidRPr="00E67702" w:rsidTr="0056059F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E6770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8 414</w:t>
            </w:r>
          </w:p>
        </w:tc>
      </w:tr>
      <w:tr w:rsidR="000A1542" w:rsidRPr="00E67702" w:rsidTr="0056059F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Pr="00E67702" w:rsidRDefault="00E6770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2210 Pasta</w:t>
            </w:r>
            <w:proofErr w:type="gramEnd"/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, telefona un citi sakaru pakalpojumi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0A1542" w:rsidRPr="00E67702" w:rsidTr="0056059F">
        <w:trPr>
          <w:trHeight w:val="503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2219 Pārējie sakaru pakalpojumi :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85 EUR x 6mēneši x</w:t>
            </w:r>
            <w:r w:rsid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0A1542" w:rsidRPr="00E67702" w:rsidTr="0056059F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7 904</w:t>
            </w:r>
          </w:p>
        </w:tc>
      </w:tr>
      <w:tr w:rsidR="000A1542" w:rsidRPr="00E67702" w:rsidTr="0056059F">
        <w:trPr>
          <w:trHeight w:val="11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2238 Ārvalstīs strādājošo darbinieku dzīvokļa īres un komunālo izdevumu kompensācija</w:t>
            </w:r>
          </w:p>
          <w:p w:rsidR="00E67702" w:rsidRPr="00E67702" w:rsidRDefault="00E67702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(dzīvojamās telpas) īres un komunālo pakalpojumu izdevumi:</w:t>
            </w:r>
          </w:p>
          <w:p w:rsidR="00E67702" w:rsidRPr="00E67702" w:rsidRDefault="00E67702" w:rsidP="0011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15808,11 EUR 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2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6 mēn</w:t>
            </w:r>
            <w:r w:rsidR="00362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eši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2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E6770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7 904</w:t>
            </w:r>
          </w:p>
        </w:tc>
      </w:tr>
    </w:tbl>
    <w:p w:rsidR="00A52727" w:rsidRDefault="00A52727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A1" w:rsidRPr="00E67702" w:rsidRDefault="00A014A1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B1" w:rsidRPr="00362E49" w:rsidRDefault="00D777B1" w:rsidP="00A014A1">
      <w:pPr>
        <w:pStyle w:val="naisf"/>
        <w:ind w:firstLine="0"/>
        <w:rPr>
          <w:sz w:val="28"/>
          <w:szCs w:val="28"/>
        </w:rPr>
      </w:pPr>
      <w:r w:rsidRPr="00362E49">
        <w:rPr>
          <w:sz w:val="28"/>
          <w:szCs w:val="28"/>
        </w:rPr>
        <w:t>Iekš</w:t>
      </w:r>
      <w:r w:rsidR="00362E49">
        <w:rPr>
          <w:sz w:val="28"/>
          <w:szCs w:val="28"/>
        </w:rPr>
        <w:t>lietu ministrs</w:t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775BC9">
        <w:rPr>
          <w:sz w:val="28"/>
          <w:szCs w:val="28"/>
        </w:rPr>
        <w:tab/>
      </w:r>
      <w:r w:rsidRPr="00362E49">
        <w:rPr>
          <w:sz w:val="28"/>
          <w:szCs w:val="28"/>
        </w:rPr>
        <w:t>R</w:t>
      </w:r>
      <w:r w:rsidR="00FA5238" w:rsidRPr="00362E49">
        <w:rPr>
          <w:sz w:val="28"/>
          <w:szCs w:val="28"/>
        </w:rPr>
        <w:t>ihards</w:t>
      </w:r>
      <w:r w:rsidRPr="00362E49">
        <w:rPr>
          <w:sz w:val="28"/>
          <w:szCs w:val="28"/>
        </w:rPr>
        <w:t xml:space="preserve"> Kozlovskis</w:t>
      </w:r>
    </w:p>
    <w:p w:rsidR="00A014A1" w:rsidRPr="00362E49" w:rsidRDefault="00A014A1" w:rsidP="00D777B1">
      <w:pPr>
        <w:pStyle w:val="naisf"/>
        <w:ind w:firstLine="0"/>
        <w:rPr>
          <w:sz w:val="28"/>
          <w:szCs w:val="28"/>
        </w:rPr>
      </w:pPr>
    </w:p>
    <w:p w:rsidR="00775BC9" w:rsidRDefault="00D777B1" w:rsidP="00775BC9">
      <w:pPr>
        <w:pStyle w:val="naisf"/>
        <w:spacing w:before="0" w:after="0"/>
        <w:ind w:firstLine="0"/>
        <w:rPr>
          <w:sz w:val="28"/>
          <w:szCs w:val="28"/>
        </w:rPr>
      </w:pPr>
      <w:r w:rsidRPr="00362E49">
        <w:rPr>
          <w:sz w:val="28"/>
          <w:szCs w:val="28"/>
        </w:rPr>
        <w:t>Vīza:</w:t>
      </w:r>
      <w:r w:rsidR="00362E49">
        <w:rPr>
          <w:sz w:val="28"/>
          <w:szCs w:val="28"/>
        </w:rPr>
        <w:t xml:space="preserve"> </w:t>
      </w:r>
      <w:r w:rsidR="00B05D46">
        <w:rPr>
          <w:sz w:val="28"/>
          <w:szCs w:val="28"/>
        </w:rPr>
        <w:t>v</w:t>
      </w:r>
      <w:r w:rsidR="00775BC9">
        <w:rPr>
          <w:sz w:val="28"/>
          <w:szCs w:val="28"/>
        </w:rPr>
        <w:t>alsts sekretāra</w:t>
      </w:r>
    </w:p>
    <w:p w:rsidR="00D777B1" w:rsidRPr="00362E49" w:rsidRDefault="00775BC9" w:rsidP="00775BC9">
      <w:pPr>
        <w:pStyle w:val="naisf"/>
        <w:spacing w:before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pienākumu izpildītāja</w:t>
      </w:r>
      <w:r w:rsidR="00D777B1" w:rsidRPr="00362E49">
        <w:rPr>
          <w:sz w:val="28"/>
          <w:szCs w:val="28"/>
        </w:rPr>
        <w:tab/>
      </w:r>
      <w:r w:rsidR="00D777B1" w:rsidRPr="00362E49">
        <w:rPr>
          <w:sz w:val="28"/>
          <w:szCs w:val="28"/>
        </w:rPr>
        <w:tab/>
      </w:r>
      <w:r w:rsidR="00D777B1" w:rsidRPr="00362E49">
        <w:rPr>
          <w:sz w:val="28"/>
          <w:szCs w:val="28"/>
        </w:rPr>
        <w:tab/>
      </w:r>
      <w:r w:rsidR="00D777B1" w:rsidRPr="00362E49">
        <w:rPr>
          <w:sz w:val="28"/>
          <w:szCs w:val="28"/>
        </w:rPr>
        <w:tab/>
      </w:r>
      <w:r w:rsidR="00FA5238" w:rsidRPr="00362E49">
        <w:rPr>
          <w:sz w:val="28"/>
          <w:szCs w:val="28"/>
        </w:rPr>
        <w:t xml:space="preserve"> </w:t>
      </w:r>
      <w:r w:rsidR="00362E49">
        <w:rPr>
          <w:sz w:val="28"/>
          <w:szCs w:val="28"/>
        </w:rPr>
        <w:tab/>
      </w:r>
      <w:r w:rsidR="00E100BC">
        <w:rPr>
          <w:sz w:val="28"/>
          <w:szCs w:val="28"/>
        </w:rPr>
        <w:tab/>
        <w:t>Ingū</w:t>
      </w:r>
      <w:r>
        <w:rPr>
          <w:sz w:val="28"/>
          <w:szCs w:val="28"/>
        </w:rPr>
        <w:t>na Aire</w:t>
      </w:r>
    </w:p>
    <w:p w:rsidR="00E45EDD" w:rsidRPr="00E67702" w:rsidRDefault="00E45EDD" w:rsidP="00D777B1">
      <w:pPr>
        <w:pStyle w:val="naisf"/>
        <w:spacing w:before="0" w:after="0"/>
        <w:ind w:firstLine="0"/>
      </w:pPr>
    </w:p>
    <w:p w:rsidR="00E45EDD" w:rsidRPr="00E67702" w:rsidRDefault="00E45EDD" w:rsidP="00D777B1">
      <w:pPr>
        <w:pStyle w:val="naisf"/>
        <w:spacing w:before="0" w:after="0"/>
        <w:ind w:firstLine="0"/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56059F" w:rsidRDefault="0056059F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56059F" w:rsidRDefault="0056059F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56059F" w:rsidRDefault="0056059F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56059F" w:rsidRDefault="0056059F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56059F" w:rsidRDefault="0056059F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362E49" w:rsidRDefault="00362E49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A52727" w:rsidRDefault="00A52727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777B1" w:rsidRPr="00D777B1" w:rsidRDefault="00D777B1" w:rsidP="00D777B1">
      <w:pPr>
        <w:pStyle w:val="naisf"/>
        <w:spacing w:before="0" w:after="0"/>
        <w:ind w:firstLine="0"/>
        <w:rPr>
          <w:sz w:val="20"/>
          <w:szCs w:val="20"/>
        </w:rPr>
      </w:pPr>
      <w:r w:rsidRPr="00D777B1">
        <w:rPr>
          <w:sz w:val="20"/>
          <w:szCs w:val="20"/>
          <w:lang w:val="ru-RU"/>
        </w:rPr>
        <w:fldChar w:fldCharType="begin"/>
      </w:r>
      <w:r w:rsidRPr="00D777B1">
        <w:rPr>
          <w:sz w:val="20"/>
          <w:szCs w:val="20"/>
          <w:lang w:val="ru-RU"/>
        </w:rPr>
        <w:instrText xml:space="preserve"> TIME \@ "dd.MM.yyyy H:mm" </w:instrText>
      </w:r>
      <w:r w:rsidRPr="00D777B1">
        <w:rPr>
          <w:sz w:val="20"/>
          <w:szCs w:val="20"/>
          <w:lang w:val="ru-RU"/>
        </w:rPr>
        <w:fldChar w:fldCharType="separate"/>
      </w:r>
      <w:r w:rsidR="00E100BC">
        <w:rPr>
          <w:noProof/>
          <w:sz w:val="20"/>
          <w:szCs w:val="20"/>
          <w:lang w:val="ru-RU"/>
        </w:rPr>
        <w:t>16.05.2017 16:41</w:t>
      </w:r>
      <w:r w:rsidRPr="00D777B1">
        <w:rPr>
          <w:sz w:val="20"/>
          <w:szCs w:val="20"/>
          <w:lang w:val="ru-RU"/>
        </w:rPr>
        <w:fldChar w:fldCharType="end"/>
      </w:r>
    </w:p>
    <w:p w:rsidR="007E313B" w:rsidRDefault="007E313B" w:rsidP="00D777B1">
      <w:pPr>
        <w:pStyle w:val="BodyText"/>
        <w:jc w:val="left"/>
        <w:rPr>
          <w:rFonts w:eastAsiaTheme="minorHAnsi"/>
          <w:b w:val="0"/>
          <w:bCs w:val="0"/>
          <w:sz w:val="20"/>
          <w:szCs w:val="22"/>
        </w:rPr>
      </w:pPr>
      <w:r>
        <w:rPr>
          <w:rFonts w:eastAsiaTheme="minorHAnsi"/>
          <w:b w:val="0"/>
          <w:bCs w:val="0"/>
          <w:sz w:val="20"/>
          <w:szCs w:val="22"/>
        </w:rPr>
        <w:fldChar w:fldCharType="begin"/>
      </w:r>
      <w:r>
        <w:rPr>
          <w:rFonts w:eastAsiaTheme="minorHAnsi"/>
          <w:b w:val="0"/>
          <w:bCs w:val="0"/>
          <w:sz w:val="20"/>
          <w:szCs w:val="22"/>
        </w:rPr>
        <w:instrText xml:space="preserve"> NUMWORDS   \* MERGEFORMAT </w:instrText>
      </w:r>
      <w:r>
        <w:rPr>
          <w:rFonts w:eastAsiaTheme="minorHAnsi"/>
          <w:b w:val="0"/>
          <w:bCs w:val="0"/>
          <w:sz w:val="20"/>
          <w:szCs w:val="22"/>
        </w:rPr>
        <w:fldChar w:fldCharType="separate"/>
      </w:r>
      <w:r w:rsidR="00E100BC">
        <w:rPr>
          <w:rFonts w:eastAsiaTheme="minorHAnsi"/>
          <w:b w:val="0"/>
          <w:bCs w:val="0"/>
          <w:noProof/>
          <w:sz w:val="20"/>
          <w:szCs w:val="22"/>
        </w:rPr>
        <w:t>688</w:t>
      </w:r>
      <w:r>
        <w:rPr>
          <w:rFonts w:eastAsiaTheme="minorHAnsi"/>
          <w:b w:val="0"/>
          <w:bCs w:val="0"/>
          <w:sz w:val="20"/>
          <w:szCs w:val="22"/>
        </w:rPr>
        <w:fldChar w:fldCharType="end"/>
      </w:r>
      <w:bookmarkStart w:id="0" w:name="_GoBack"/>
      <w:bookmarkEnd w:id="0"/>
    </w:p>
    <w:p w:rsidR="005464E4" w:rsidRDefault="00D777B1" w:rsidP="00D777B1">
      <w:pPr>
        <w:pStyle w:val="BodyText"/>
        <w:jc w:val="left"/>
        <w:rPr>
          <w:b w:val="0"/>
          <w:sz w:val="20"/>
        </w:rPr>
      </w:pPr>
      <w:r w:rsidRPr="00D777B1">
        <w:rPr>
          <w:b w:val="0"/>
          <w:sz w:val="20"/>
        </w:rPr>
        <w:t>T.Černov</w:t>
      </w:r>
      <w:r>
        <w:rPr>
          <w:b w:val="0"/>
          <w:sz w:val="20"/>
        </w:rPr>
        <w:t>a,</w:t>
      </w:r>
      <w:r w:rsidR="005464E4">
        <w:rPr>
          <w:b w:val="0"/>
          <w:sz w:val="20"/>
        </w:rPr>
        <w:t xml:space="preserve"> </w:t>
      </w:r>
      <w:r>
        <w:rPr>
          <w:b w:val="0"/>
          <w:sz w:val="20"/>
        </w:rPr>
        <w:t>6721960</w:t>
      </w:r>
      <w:r w:rsidR="00023314">
        <w:rPr>
          <w:b w:val="0"/>
          <w:sz w:val="20"/>
        </w:rPr>
        <w:t>8</w:t>
      </w:r>
    </w:p>
    <w:p w:rsidR="00DA2CED" w:rsidRDefault="003967D5" w:rsidP="00D777B1">
      <w:pPr>
        <w:pStyle w:val="BodyText"/>
        <w:jc w:val="left"/>
      </w:pPr>
      <w:hyperlink r:id="rId8" w:history="1">
        <w:r w:rsidR="00D777B1" w:rsidRPr="00D777B1">
          <w:rPr>
            <w:rStyle w:val="Hyperlink"/>
            <w:b w:val="0"/>
            <w:sz w:val="20"/>
          </w:rPr>
          <w:t>tatjana.cernova@iem.gov.lv</w:t>
        </w:r>
      </w:hyperlink>
    </w:p>
    <w:sectPr w:rsidR="00DA2CED" w:rsidSect="005605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D5" w:rsidRDefault="003967D5" w:rsidP="007939AA">
      <w:pPr>
        <w:spacing w:after="0" w:line="240" w:lineRule="auto"/>
      </w:pPr>
      <w:r>
        <w:separator/>
      </w:r>
    </w:p>
  </w:endnote>
  <w:endnote w:type="continuationSeparator" w:id="0">
    <w:p w:rsidR="003967D5" w:rsidRDefault="003967D5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116985" w:rsidRDefault="00116985" w:rsidP="00A014A1">
    <w:pPr>
      <w:spacing w:after="0" w:line="240" w:lineRule="auto"/>
      <w:jc w:val="both"/>
      <w:rPr>
        <w:i/>
        <w:sz w:val="20"/>
        <w:szCs w:val="20"/>
      </w:rPr>
    </w:pPr>
    <w:r w:rsidRPr="00116985">
      <w:rPr>
        <w:rFonts w:ascii="Times New Roman" w:hAnsi="Times New Roman" w:cs="Times New Roman"/>
        <w:i/>
        <w:sz w:val="20"/>
        <w:szCs w:val="20"/>
      </w:rPr>
      <w:fldChar w:fldCharType="begin"/>
    </w:r>
    <w:r w:rsidRPr="00116985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16985">
      <w:rPr>
        <w:rFonts w:ascii="Times New Roman" w:hAnsi="Times New Roman" w:cs="Times New Roman"/>
        <w:i/>
        <w:sz w:val="20"/>
        <w:szCs w:val="20"/>
      </w:rPr>
      <w:fldChar w:fldCharType="separate"/>
    </w:r>
    <w:r w:rsidR="00B05D46">
      <w:rPr>
        <w:rFonts w:ascii="Times New Roman" w:hAnsi="Times New Roman" w:cs="Times New Roman"/>
        <w:i/>
        <w:noProof/>
        <w:sz w:val="20"/>
        <w:szCs w:val="20"/>
      </w:rPr>
      <w:t>IEManotp_240417_EUMM_GEO</w:t>
    </w:r>
    <w:r w:rsidRPr="00116985">
      <w:rPr>
        <w:rFonts w:ascii="Times New Roman" w:hAnsi="Times New Roman" w:cs="Times New Roman"/>
        <w:i/>
        <w:sz w:val="20"/>
        <w:szCs w:val="20"/>
      </w:rPr>
      <w:fldChar w:fldCharType="end"/>
    </w:r>
    <w:r w:rsidR="005464E4" w:rsidRPr="00116985">
      <w:rPr>
        <w:rFonts w:ascii="Times New Roman" w:hAnsi="Times New Roman" w:cs="Times New Roman"/>
        <w:i/>
        <w:sz w:val="20"/>
        <w:szCs w:val="20"/>
      </w:rPr>
      <w:t xml:space="preserve">; </w:t>
    </w:r>
    <w:r w:rsidR="006D47EA" w:rsidRPr="00116985">
      <w:rPr>
        <w:rFonts w:ascii="Times New Roman" w:hAnsi="Times New Roman" w:cs="Times New Roman"/>
        <w:i/>
        <w:sz w:val="20"/>
        <w:szCs w:val="20"/>
      </w:rPr>
      <w:t xml:space="preserve">Pielikums Ministru kabineta rīkojuma projekta “Par Valsts </w:t>
    </w:r>
    <w:r w:rsidR="00A52727" w:rsidRPr="00116985">
      <w:rPr>
        <w:rFonts w:ascii="Times New Roman" w:hAnsi="Times New Roman" w:cs="Times New Roman"/>
        <w:i/>
        <w:sz w:val="20"/>
        <w:szCs w:val="20"/>
      </w:rPr>
      <w:t>robežsardzes</w:t>
    </w:r>
    <w:r w:rsidR="006D47EA" w:rsidRPr="00116985">
      <w:rPr>
        <w:rFonts w:ascii="Times New Roman" w:hAnsi="Times New Roman" w:cs="Times New Roman"/>
        <w:i/>
        <w:sz w:val="20"/>
        <w:szCs w:val="20"/>
      </w:rPr>
      <w:t xml:space="preserve"> amatpersonas ar speciālo dienesta pakāpi dalīb</w:t>
    </w:r>
    <w:r w:rsidR="00A52727" w:rsidRPr="00116985">
      <w:rPr>
        <w:rFonts w:ascii="Times New Roman" w:hAnsi="Times New Roman" w:cs="Times New Roman"/>
        <w:i/>
        <w:sz w:val="20"/>
        <w:szCs w:val="20"/>
      </w:rPr>
      <w:t>u</w:t>
    </w:r>
    <w:r w:rsidR="006D47EA" w:rsidRPr="00116985">
      <w:rPr>
        <w:rFonts w:ascii="Times New Roman" w:hAnsi="Times New Roman" w:cs="Times New Roman"/>
        <w:i/>
        <w:sz w:val="20"/>
        <w:szCs w:val="20"/>
      </w:rPr>
      <w:t xml:space="preserve"> Eiropas Savienības novērošanas misijā Gruzijā (EUMM </w:t>
    </w:r>
    <w:proofErr w:type="spellStart"/>
    <w:r w:rsidR="006D47EA" w:rsidRPr="00116985">
      <w:rPr>
        <w:rFonts w:ascii="Times New Roman" w:hAnsi="Times New Roman" w:cs="Times New Roman"/>
        <w:i/>
        <w:sz w:val="20"/>
        <w:szCs w:val="20"/>
      </w:rPr>
      <w:t>Georgia</w:t>
    </w:r>
    <w:proofErr w:type="spellEnd"/>
    <w:r w:rsidR="006D47EA" w:rsidRPr="00116985">
      <w:rPr>
        <w:rFonts w:ascii="Times New Roman" w:hAnsi="Times New Roman" w:cs="Times New Roman"/>
        <w:i/>
        <w:sz w:val="20"/>
        <w:szCs w:val="20"/>
      </w:rPr>
      <w:t>) un finanšu līdzekļu piešķiršanu no valsts budžeta programmas “Līdzekļi neparedzētiem gadījumiem””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116985" w:rsidRDefault="00A014A1" w:rsidP="00A014A1">
    <w:pPr>
      <w:spacing w:after="0" w:line="240" w:lineRule="auto"/>
      <w:jc w:val="both"/>
      <w:rPr>
        <w:i/>
      </w:rPr>
    </w:pPr>
    <w:r w:rsidRPr="00116985">
      <w:rPr>
        <w:rFonts w:ascii="Times New Roman" w:hAnsi="Times New Roman" w:cs="Times New Roman"/>
        <w:i/>
        <w:sz w:val="20"/>
        <w:szCs w:val="20"/>
      </w:rPr>
      <w:fldChar w:fldCharType="begin"/>
    </w:r>
    <w:r w:rsidRPr="00116985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16985">
      <w:rPr>
        <w:rFonts w:ascii="Times New Roman" w:hAnsi="Times New Roman" w:cs="Times New Roman"/>
        <w:i/>
        <w:sz w:val="20"/>
        <w:szCs w:val="20"/>
      </w:rPr>
      <w:fldChar w:fldCharType="separate"/>
    </w:r>
    <w:r w:rsidR="00B05D46">
      <w:rPr>
        <w:rFonts w:ascii="Times New Roman" w:hAnsi="Times New Roman" w:cs="Times New Roman"/>
        <w:i/>
        <w:noProof/>
        <w:sz w:val="20"/>
        <w:szCs w:val="20"/>
      </w:rPr>
      <w:t>IEManotp_240417_EUMM_GEO</w:t>
    </w:r>
    <w:r w:rsidRPr="00116985">
      <w:rPr>
        <w:rFonts w:ascii="Times New Roman" w:hAnsi="Times New Roman" w:cs="Times New Roman"/>
        <w:i/>
        <w:sz w:val="20"/>
        <w:szCs w:val="20"/>
      </w:rPr>
      <w:fldChar w:fldCharType="end"/>
    </w:r>
    <w:r w:rsidR="00CD63BB" w:rsidRPr="00116985">
      <w:rPr>
        <w:rFonts w:ascii="Times New Roman" w:hAnsi="Times New Roman" w:cs="Times New Roman"/>
        <w:i/>
        <w:sz w:val="20"/>
        <w:szCs w:val="20"/>
      </w:rPr>
      <w:t xml:space="preserve">; Pielikums Ministru kabineta rīkojuma projekta “Par Valsts </w:t>
    </w:r>
    <w:r w:rsidR="00A52727" w:rsidRPr="00116985">
      <w:rPr>
        <w:rFonts w:ascii="Times New Roman" w:hAnsi="Times New Roman" w:cs="Times New Roman"/>
        <w:i/>
        <w:sz w:val="20"/>
        <w:szCs w:val="20"/>
      </w:rPr>
      <w:t>robežsardzes</w:t>
    </w:r>
    <w:r w:rsidR="00CD63BB" w:rsidRPr="00116985">
      <w:rPr>
        <w:rFonts w:ascii="Times New Roman" w:hAnsi="Times New Roman" w:cs="Times New Roman"/>
        <w:i/>
        <w:sz w:val="20"/>
        <w:szCs w:val="20"/>
      </w:rPr>
      <w:t xml:space="preserve"> amatpersonas ar speciālo dienesta pakāpi dalīb</w:t>
    </w:r>
    <w:r w:rsidR="00A52727" w:rsidRPr="00116985">
      <w:rPr>
        <w:rFonts w:ascii="Times New Roman" w:hAnsi="Times New Roman" w:cs="Times New Roman"/>
        <w:i/>
        <w:sz w:val="20"/>
        <w:szCs w:val="20"/>
      </w:rPr>
      <w:t>u</w:t>
    </w:r>
    <w:r w:rsidR="00CD63BB" w:rsidRPr="00116985">
      <w:rPr>
        <w:rFonts w:ascii="Times New Roman" w:hAnsi="Times New Roman" w:cs="Times New Roman"/>
        <w:i/>
        <w:sz w:val="20"/>
        <w:szCs w:val="20"/>
      </w:rPr>
      <w:t xml:space="preserve"> Eiropas Savienības novērošanas misijā Gruzijā (EUMM </w:t>
    </w:r>
    <w:proofErr w:type="spellStart"/>
    <w:r w:rsidR="00CD63BB" w:rsidRPr="00116985">
      <w:rPr>
        <w:rFonts w:ascii="Times New Roman" w:hAnsi="Times New Roman" w:cs="Times New Roman"/>
        <w:i/>
        <w:sz w:val="20"/>
        <w:szCs w:val="20"/>
      </w:rPr>
      <w:t>Georgia</w:t>
    </w:r>
    <w:proofErr w:type="spellEnd"/>
    <w:r w:rsidR="00CD63BB" w:rsidRPr="00116985">
      <w:rPr>
        <w:rFonts w:ascii="Times New Roman" w:hAnsi="Times New Roman" w:cs="Times New Roman"/>
        <w:i/>
        <w:sz w:val="20"/>
        <w:szCs w:val="20"/>
      </w:rPr>
      <w:t>) un finanšu līdzekļu piešķiršanu no valsts budžeta programmas “Līdzekļi neparedzētiem gadījumiem””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D5" w:rsidRDefault="003967D5" w:rsidP="007939AA">
      <w:pPr>
        <w:spacing w:after="0" w:line="240" w:lineRule="auto"/>
      </w:pPr>
      <w:r>
        <w:separator/>
      </w:r>
    </w:p>
  </w:footnote>
  <w:footnote w:type="continuationSeparator" w:id="0">
    <w:p w:rsidR="003967D5" w:rsidRDefault="003967D5" w:rsidP="007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7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464E4" w:rsidRPr="002641BD" w:rsidRDefault="005464E4">
        <w:pPr>
          <w:pStyle w:val="Header"/>
          <w:jc w:val="center"/>
          <w:rPr>
            <w:rFonts w:ascii="Times New Roman" w:hAnsi="Times New Roman" w:cs="Times New Roman"/>
          </w:rPr>
        </w:pPr>
        <w:r w:rsidRPr="002641BD">
          <w:rPr>
            <w:rFonts w:ascii="Times New Roman" w:hAnsi="Times New Roman" w:cs="Times New Roman"/>
          </w:rPr>
          <w:fldChar w:fldCharType="begin"/>
        </w:r>
        <w:r w:rsidRPr="002641BD">
          <w:rPr>
            <w:rFonts w:ascii="Times New Roman" w:hAnsi="Times New Roman" w:cs="Times New Roman"/>
          </w:rPr>
          <w:instrText xml:space="preserve"> PAGE   \* MERGEFORMAT </w:instrText>
        </w:r>
        <w:r w:rsidRPr="002641BD">
          <w:rPr>
            <w:rFonts w:ascii="Times New Roman" w:hAnsi="Times New Roman" w:cs="Times New Roman"/>
          </w:rPr>
          <w:fldChar w:fldCharType="separate"/>
        </w:r>
        <w:r w:rsidR="00E100BC">
          <w:rPr>
            <w:rFonts w:ascii="Times New Roman" w:hAnsi="Times New Roman" w:cs="Times New Roman"/>
            <w:noProof/>
          </w:rPr>
          <w:t>2</w:t>
        </w:r>
        <w:r w:rsidRPr="002641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464E4" w:rsidRDefault="0054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46" w:rsidRDefault="00DF3B6C" w:rsidP="00DF3B6C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56059F">
      <w:rPr>
        <w:rFonts w:ascii="Times New Roman" w:hAnsi="Times New Roman" w:cs="Times New Roman"/>
        <w:i/>
        <w:sz w:val="24"/>
        <w:szCs w:val="24"/>
      </w:rPr>
      <w:t>Pielikums</w:t>
    </w:r>
    <w:r w:rsidR="00A014A1" w:rsidRPr="0056059F">
      <w:rPr>
        <w:rFonts w:ascii="Times New Roman" w:hAnsi="Times New Roman" w:cs="Times New Roman"/>
        <w:i/>
        <w:sz w:val="24"/>
        <w:szCs w:val="24"/>
      </w:rPr>
      <w:t xml:space="preserve"> </w:t>
    </w:r>
  </w:p>
  <w:p w:rsidR="00E67702" w:rsidRPr="0056059F" w:rsidRDefault="00DF3B6C" w:rsidP="00DF3B6C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56059F">
      <w:rPr>
        <w:rFonts w:ascii="Times New Roman" w:hAnsi="Times New Roman" w:cs="Times New Roman"/>
        <w:i/>
        <w:sz w:val="24"/>
        <w:szCs w:val="24"/>
      </w:rPr>
      <w:t>Ministru kabineta rīkojuma projekta</w:t>
    </w:r>
  </w:p>
  <w:p w:rsidR="00DF3B6C" w:rsidRPr="0056059F" w:rsidRDefault="00E67702" w:rsidP="00DF3B6C">
    <w:pPr>
      <w:spacing w:after="0" w:line="240" w:lineRule="auto"/>
      <w:jc w:val="right"/>
      <w:rPr>
        <w:i/>
        <w:sz w:val="24"/>
        <w:szCs w:val="24"/>
      </w:rPr>
    </w:pPr>
    <w:r w:rsidRPr="0056059F">
      <w:rPr>
        <w:rFonts w:ascii="Times New Roman" w:hAnsi="Times New Roman" w:cs="Times New Roman"/>
        <w:i/>
        <w:sz w:val="24"/>
        <w:szCs w:val="24"/>
      </w:rPr>
      <w:t>“</w:t>
    </w:r>
    <w:r w:rsidR="00DF3B6C" w:rsidRPr="0056059F">
      <w:rPr>
        <w:rFonts w:ascii="Times New Roman" w:hAnsi="Times New Roman" w:cs="Times New Roman"/>
        <w:i/>
        <w:sz w:val="24"/>
        <w:szCs w:val="24"/>
      </w:rPr>
      <w:t xml:space="preserve">Par Valsts robežsardzes amatpersonas ar speciālo dienesta pakāpi dalību Eiropas Savienības novērošanas misijā Gruzijā (EUMM </w:t>
    </w:r>
    <w:proofErr w:type="spellStart"/>
    <w:r w:rsidR="00DF3B6C" w:rsidRPr="0056059F">
      <w:rPr>
        <w:rFonts w:ascii="Times New Roman" w:hAnsi="Times New Roman" w:cs="Times New Roman"/>
        <w:i/>
        <w:sz w:val="24"/>
        <w:szCs w:val="24"/>
      </w:rPr>
      <w:t>Georgia</w:t>
    </w:r>
    <w:proofErr w:type="spellEnd"/>
    <w:r w:rsidR="00DF3B6C" w:rsidRPr="0056059F">
      <w:rPr>
        <w:rFonts w:ascii="Times New Roman" w:hAnsi="Times New Roman" w:cs="Times New Roman"/>
        <w:i/>
        <w:sz w:val="24"/>
        <w:szCs w:val="24"/>
      </w:rPr>
      <w:t>) un finanšu līdzekļu piešķiršanu no valsts budžeta programmas “Līdzekļi neparedzētiem gadījumiem”” sākotnējās ietekmes novērtējuma ziņojumam (anotācijai)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4E"/>
    <w:multiLevelType w:val="multilevel"/>
    <w:tmpl w:val="29005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730"/>
    <w:multiLevelType w:val="hybridMultilevel"/>
    <w:tmpl w:val="B0BA51A2"/>
    <w:lvl w:ilvl="0" w:tplc="38E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37C"/>
    <w:multiLevelType w:val="hybridMultilevel"/>
    <w:tmpl w:val="F6048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E404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8188E"/>
    <w:multiLevelType w:val="hybridMultilevel"/>
    <w:tmpl w:val="73840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310E"/>
    <w:multiLevelType w:val="hybridMultilevel"/>
    <w:tmpl w:val="B1465BEA"/>
    <w:lvl w:ilvl="0" w:tplc="38E40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9"/>
    <w:rsid w:val="000028C6"/>
    <w:rsid w:val="0001432F"/>
    <w:rsid w:val="0002130F"/>
    <w:rsid w:val="00022A70"/>
    <w:rsid w:val="00022F97"/>
    <w:rsid w:val="00023314"/>
    <w:rsid w:val="00026C14"/>
    <w:rsid w:val="00027E96"/>
    <w:rsid w:val="00033E6E"/>
    <w:rsid w:val="000364EF"/>
    <w:rsid w:val="00053217"/>
    <w:rsid w:val="0005331B"/>
    <w:rsid w:val="00053942"/>
    <w:rsid w:val="00056F0F"/>
    <w:rsid w:val="0007264D"/>
    <w:rsid w:val="000754F0"/>
    <w:rsid w:val="00081990"/>
    <w:rsid w:val="00082AF9"/>
    <w:rsid w:val="000A04A5"/>
    <w:rsid w:val="000A1542"/>
    <w:rsid w:val="000A3CF1"/>
    <w:rsid w:val="000A54B9"/>
    <w:rsid w:val="000A7C11"/>
    <w:rsid w:val="000B28ED"/>
    <w:rsid w:val="000C20E6"/>
    <w:rsid w:val="000D0B1D"/>
    <w:rsid w:val="000D0DB4"/>
    <w:rsid w:val="000D3382"/>
    <w:rsid w:val="000E39A5"/>
    <w:rsid w:val="00100E44"/>
    <w:rsid w:val="00103D3F"/>
    <w:rsid w:val="00114524"/>
    <w:rsid w:val="00116985"/>
    <w:rsid w:val="00116B58"/>
    <w:rsid w:val="00125941"/>
    <w:rsid w:val="00131D9B"/>
    <w:rsid w:val="0013441A"/>
    <w:rsid w:val="00136C4D"/>
    <w:rsid w:val="001407A8"/>
    <w:rsid w:val="00141C06"/>
    <w:rsid w:val="0015108C"/>
    <w:rsid w:val="001546CD"/>
    <w:rsid w:val="00154AC3"/>
    <w:rsid w:val="001553CE"/>
    <w:rsid w:val="0016138D"/>
    <w:rsid w:val="00162261"/>
    <w:rsid w:val="00162D7F"/>
    <w:rsid w:val="0016386C"/>
    <w:rsid w:val="00174D01"/>
    <w:rsid w:val="0017501A"/>
    <w:rsid w:val="001766E1"/>
    <w:rsid w:val="001808C5"/>
    <w:rsid w:val="00185CED"/>
    <w:rsid w:val="0019096A"/>
    <w:rsid w:val="001919F6"/>
    <w:rsid w:val="0019318C"/>
    <w:rsid w:val="001969C8"/>
    <w:rsid w:val="001A2E94"/>
    <w:rsid w:val="001A488B"/>
    <w:rsid w:val="001A6B75"/>
    <w:rsid w:val="001B11D4"/>
    <w:rsid w:val="001B3136"/>
    <w:rsid w:val="001B4564"/>
    <w:rsid w:val="001B5E25"/>
    <w:rsid w:val="001E276D"/>
    <w:rsid w:val="001E7AB0"/>
    <w:rsid w:val="001F3B8D"/>
    <w:rsid w:val="001F4D83"/>
    <w:rsid w:val="00203696"/>
    <w:rsid w:val="002066E8"/>
    <w:rsid w:val="00207365"/>
    <w:rsid w:val="0021394D"/>
    <w:rsid w:val="00213C4D"/>
    <w:rsid w:val="00214B0E"/>
    <w:rsid w:val="00215600"/>
    <w:rsid w:val="00217536"/>
    <w:rsid w:val="00224046"/>
    <w:rsid w:val="00235D53"/>
    <w:rsid w:val="00235DE6"/>
    <w:rsid w:val="00235F74"/>
    <w:rsid w:val="00241A3F"/>
    <w:rsid w:val="00245761"/>
    <w:rsid w:val="00247584"/>
    <w:rsid w:val="00247ECE"/>
    <w:rsid w:val="00251F7D"/>
    <w:rsid w:val="00253AC9"/>
    <w:rsid w:val="00263206"/>
    <w:rsid w:val="00263F71"/>
    <w:rsid w:val="002641BD"/>
    <w:rsid w:val="002670C7"/>
    <w:rsid w:val="00276BBA"/>
    <w:rsid w:val="0027732D"/>
    <w:rsid w:val="002827C6"/>
    <w:rsid w:val="00282C56"/>
    <w:rsid w:val="002864ED"/>
    <w:rsid w:val="0028699F"/>
    <w:rsid w:val="00287797"/>
    <w:rsid w:val="00290A15"/>
    <w:rsid w:val="00292CE4"/>
    <w:rsid w:val="00293512"/>
    <w:rsid w:val="00297D0B"/>
    <w:rsid w:val="002A028D"/>
    <w:rsid w:val="002A1CC1"/>
    <w:rsid w:val="002B5AB1"/>
    <w:rsid w:val="002B6F65"/>
    <w:rsid w:val="002C12B6"/>
    <w:rsid w:val="002C4C4A"/>
    <w:rsid w:val="002C59BA"/>
    <w:rsid w:val="002C5C35"/>
    <w:rsid w:val="002C7560"/>
    <w:rsid w:val="002C78AD"/>
    <w:rsid w:val="002C7B90"/>
    <w:rsid w:val="002D4DDE"/>
    <w:rsid w:val="002D726A"/>
    <w:rsid w:val="002E30EE"/>
    <w:rsid w:val="002E4F79"/>
    <w:rsid w:val="002F4BF2"/>
    <w:rsid w:val="002F58DF"/>
    <w:rsid w:val="00306FF4"/>
    <w:rsid w:val="00317B06"/>
    <w:rsid w:val="00324977"/>
    <w:rsid w:val="00325BD6"/>
    <w:rsid w:val="00326469"/>
    <w:rsid w:val="00330561"/>
    <w:rsid w:val="00332F37"/>
    <w:rsid w:val="003353F3"/>
    <w:rsid w:val="00336572"/>
    <w:rsid w:val="00337107"/>
    <w:rsid w:val="00337E1E"/>
    <w:rsid w:val="003448E2"/>
    <w:rsid w:val="00351C43"/>
    <w:rsid w:val="00355866"/>
    <w:rsid w:val="00355A27"/>
    <w:rsid w:val="0036293F"/>
    <w:rsid w:val="00362E49"/>
    <w:rsid w:val="0036557F"/>
    <w:rsid w:val="00372DC1"/>
    <w:rsid w:val="00374290"/>
    <w:rsid w:val="00380E1B"/>
    <w:rsid w:val="00385DED"/>
    <w:rsid w:val="00392149"/>
    <w:rsid w:val="0039266F"/>
    <w:rsid w:val="003967D5"/>
    <w:rsid w:val="003A463B"/>
    <w:rsid w:val="003B55CC"/>
    <w:rsid w:val="003B6934"/>
    <w:rsid w:val="003C449E"/>
    <w:rsid w:val="003C73C5"/>
    <w:rsid w:val="003D573B"/>
    <w:rsid w:val="003D7887"/>
    <w:rsid w:val="003E63D9"/>
    <w:rsid w:val="003F1CCD"/>
    <w:rsid w:val="003F5A55"/>
    <w:rsid w:val="00402171"/>
    <w:rsid w:val="00402410"/>
    <w:rsid w:val="004048F8"/>
    <w:rsid w:val="00407CE9"/>
    <w:rsid w:val="00412E8C"/>
    <w:rsid w:val="00416399"/>
    <w:rsid w:val="00424999"/>
    <w:rsid w:val="00425B26"/>
    <w:rsid w:val="00435D1C"/>
    <w:rsid w:val="0043638F"/>
    <w:rsid w:val="0044136E"/>
    <w:rsid w:val="0044423B"/>
    <w:rsid w:val="0044471E"/>
    <w:rsid w:val="00445EBE"/>
    <w:rsid w:val="0045175C"/>
    <w:rsid w:val="00460B3E"/>
    <w:rsid w:val="004640D0"/>
    <w:rsid w:val="004719A6"/>
    <w:rsid w:val="004722A4"/>
    <w:rsid w:val="00476F78"/>
    <w:rsid w:val="0047700D"/>
    <w:rsid w:val="00480540"/>
    <w:rsid w:val="00484358"/>
    <w:rsid w:val="00486C80"/>
    <w:rsid w:val="00494DB6"/>
    <w:rsid w:val="00496D4E"/>
    <w:rsid w:val="004A15DE"/>
    <w:rsid w:val="004A3CAC"/>
    <w:rsid w:val="004B094A"/>
    <w:rsid w:val="004B5B69"/>
    <w:rsid w:val="004C3ADC"/>
    <w:rsid w:val="004C735A"/>
    <w:rsid w:val="004D2507"/>
    <w:rsid w:val="004D64A2"/>
    <w:rsid w:val="004D6CB5"/>
    <w:rsid w:val="004D7A7B"/>
    <w:rsid w:val="004E5838"/>
    <w:rsid w:val="004F09C8"/>
    <w:rsid w:val="004F7C37"/>
    <w:rsid w:val="005003CE"/>
    <w:rsid w:val="00505586"/>
    <w:rsid w:val="005100B6"/>
    <w:rsid w:val="005101B3"/>
    <w:rsid w:val="005129C8"/>
    <w:rsid w:val="00513EB4"/>
    <w:rsid w:val="00514CD8"/>
    <w:rsid w:val="005168ED"/>
    <w:rsid w:val="00517A50"/>
    <w:rsid w:val="005203C6"/>
    <w:rsid w:val="00521325"/>
    <w:rsid w:val="00522788"/>
    <w:rsid w:val="00522E3D"/>
    <w:rsid w:val="00523CA7"/>
    <w:rsid w:val="00541B37"/>
    <w:rsid w:val="00544736"/>
    <w:rsid w:val="005464E4"/>
    <w:rsid w:val="00554B98"/>
    <w:rsid w:val="0056059F"/>
    <w:rsid w:val="0056126A"/>
    <w:rsid w:val="00565EAE"/>
    <w:rsid w:val="00570E1D"/>
    <w:rsid w:val="00573CE6"/>
    <w:rsid w:val="0057552F"/>
    <w:rsid w:val="00575E25"/>
    <w:rsid w:val="00576AC9"/>
    <w:rsid w:val="00583AC1"/>
    <w:rsid w:val="005902CF"/>
    <w:rsid w:val="00591CF2"/>
    <w:rsid w:val="005934E6"/>
    <w:rsid w:val="00593508"/>
    <w:rsid w:val="00595DEF"/>
    <w:rsid w:val="00596476"/>
    <w:rsid w:val="005A1C67"/>
    <w:rsid w:val="005A3F81"/>
    <w:rsid w:val="005A61EE"/>
    <w:rsid w:val="005B5E9D"/>
    <w:rsid w:val="005C1AB7"/>
    <w:rsid w:val="005C6CE7"/>
    <w:rsid w:val="005C7969"/>
    <w:rsid w:val="005D1074"/>
    <w:rsid w:val="005D1540"/>
    <w:rsid w:val="005D1AFB"/>
    <w:rsid w:val="005D30BD"/>
    <w:rsid w:val="005E4FA2"/>
    <w:rsid w:val="005E7674"/>
    <w:rsid w:val="005F464B"/>
    <w:rsid w:val="005F5403"/>
    <w:rsid w:val="006031A5"/>
    <w:rsid w:val="00603484"/>
    <w:rsid w:val="006055C7"/>
    <w:rsid w:val="00615095"/>
    <w:rsid w:val="00615360"/>
    <w:rsid w:val="006157DF"/>
    <w:rsid w:val="006228EC"/>
    <w:rsid w:val="00626851"/>
    <w:rsid w:val="00637ADF"/>
    <w:rsid w:val="0064023F"/>
    <w:rsid w:val="00642B23"/>
    <w:rsid w:val="00644BD8"/>
    <w:rsid w:val="006516E8"/>
    <w:rsid w:val="00653AC8"/>
    <w:rsid w:val="00661E5D"/>
    <w:rsid w:val="00662304"/>
    <w:rsid w:val="006627BC"/>
    <w:rsid w:val="0067194F"/>
    <w:rsid w:val="0067409E"/>
    <w:rsid w:val="00674672"/>
    <w:rsid w:val="00682C14"/>
    <w:rsid w:val="00685D5C"/>
    <w:rsid w:val="00686C62"/>
    <w:rsid w:val="00691983"/>
    <w:rsid w:val="00694786"/>
    <w:rsid w:val="00697E7C"/>
    <w:rsid w:val="006B18D5"/>
    <w:rsid w:val="006B20AF"/>
    <w:rsid w:val="006B3350"/>
    <w:rsid w:val="006C135C"/>
    <w:rsid w:val="006D2751"/>
    <w:rsid w:val="006D47EA"/>
    <w:rsid w:val="006D50E8"/>
    <w:rsid w:val="006D7036"/>
    <w:rsid w:val="006E3CA7"/>
    <w:rsid w:val="006E486D"/>
    <w:rsid w:val="006E4E7E"/>
    <w:rsid w:val="006E4EC1"/>
    <w:rsid w:val="006E6B58"/>
    <w:rsid w:val="006F1EA0"/>
    <w:rsid w:val="006F2A63"/>
    <w:rsid w:val="006F3600"/>
    <w:rsid w:val="006F4264"/>
    <w:rsid w:val="0070324E"/>
    <w:rsid w:val="00707E68"/>
    <w:rsid w:val="0071059D"/>
    <w:rsid w:val="00711BB2"/>
    <w:rsid w:val="00717942"/>
    <w:rsid w:val="00725650"/>
    <w:rsid w:val="0072587A"/>
    <w:rsid w:val="00730CB7"/>
    <w:rsid w:val="00732EDB"/>
    <w:rsid w:val="007349AD"/>
    <w:rsid w:val="00734F43"/>
    <w:rsid w:val="0073656A"/>
    <w:rsid w:val="00737AE0"/>
    <w:rsid w:val="00740636"/>
    <w:rsid w:val="007408F8"/>
    <w:rsid w:val="00747C71"/>
    <w:rsid w:val="00752400"/>
    <w:rsid w:val="007641FB"/>
    <w:rsid w:val="00772E60"/>
    <w:rsid w:val="00775BC9"/>
    <w:rsid w:val="00780580"/>
    <w:rsid w:val="0078749E"/>
    <w:rsid w:val="007939AA"/>
    <w:rsid w:val="007C7095"/>
    <w:rsid w:val="007D0612"/>
    <w:rsid w:val="007D190C"/>
    <w:rsid w:val="007D54D1"/>
    <w:rsid w:val="007D5C78"/>
    <w:rsid w:val="007D6506"/>
    <w:rsid w:val="007E313B"/>
    <w:rsid w:val="007E70B8"/>
    <w:rsid w:val="007E713A"/>
    <w:rsid w:val="007E7E2D"/>
    <w:rsid w:val="007F2569"/>
    <w:rsid w:val="007F3A5E"/>
    <w:rsid w:val="007F5B86"/>
    <w:rsid w:val="007F645E"/>
    <w:rsid w:val="00802D88"/>
    <w:rsid w:val="00805AF1"/>
    <w:rsid w:val="00806013"/>
    <w:rsid w:val="00810506"/>
    <w:rsid w:val="008111A7"/>
    <w:rsid w:val="00811C85"/>
    <w:rsid w:val="00813FCD"/>
    <w:rsid w:val="00820045"/>
    <w:rsid w:val="0082042C"/>
    <w:rsid w:val="00821851"/>
    <w:rsid w:val="00827FF6"/>
    <w:rsid w:val="00830552"/>
    <w:rsid w:val="00835D28"/>
    <w:rsid w:val="0083633F"/>
    <w:rsid w:val="00837C73"/>
    <w:rsid w:val="00844D6E"/>
    <w:rsid w:val="008456A6"/>
    <w:rsid w:val="008464D5"/>
    <w:rsid w:val="00855462"/>
    <w:rsid w:val="00863397"/>
    <w:rsid w:val="008641FF"/>
    <w:rsid w:val="00864E3D"/>
    <w:rsid w:val="00871C0A"/>
    <w:rsid w:val="008733AC"/>
    <w:rsid w:val="008756C9"/>
    <w:rsid w:val="00882659"/>
    <w:rsid w:val="00884303"/>
    <w:rsid w:val="0088750D"/>
    <w:rsid w:val="0089327E"/>
    <w:rsid w:val="00894776"/>
    <w:rsid w:val="008A174A"/>
    <w:rsid w:val="008A37A0"/>
    <w:rsid w:val="008A4608"/>
    <w:rsid w:val="008B33E0"/>
    <w:rsid w:val="008B3DA9"/>
    <w:rsid w:val="008B738A"/>
    <w:rsid w:val="008B7885"/>
    <w:rsid w:val="008C1AF8"/>
    <w:rsid w:val="008C31AC"/>
    <w:rsid w:val="008C3292"/>
    <w:rsid w:val="008C683E"/>
    <w:rsid w:val="008C7A51"/>
    <w:rsid w:val="008D1EDE"/>
    <w:rsid w:val="008D4324"/>
    <w:rsid w:val="008F312E"/>
    <w:rsid w:val="008F596A"/>
    <w:rsid w:val="0090311C"/>
    <w:rsid w:val="00907FFE"/>
    <w:rsid w:val="00910256"/>
    <w:rsid w:val="00913034"/>
    <w:rsid w:val="009136BE"/>
    <w:rsid w:val="00913962"/>
    <w:rsid w:val="00913C9F"/>
    <w:rsid w:val="009204EB"/>
    <w:rsid w:val="00922244"/>
    <w:rsid w:val="009224E7"/>
    <w:rsid w:val="009260F3"/>
    <w:rsid w:val="00930E3D"/>
    <w:rsid w:val="00933592"/>
    <w:rsid w:val="00936FD7"/>
    <w:rsid w:val="00941483"/>
    <w:rsid w:val="0094410D"/>
    <w:rsid w:val="00944D27"/>
    <w:rsid w:val="00947631"/>
    <w:rsid w:val="00951141"/>
    <w:rsid w:val="00951BB9"/>
    <w:rsid w:val="00952144"/>
    <w:rsid w:val="009528B0"/>
    <w:rsid w:val="00952B8E"/>
    <w:rsid w:val="00953686"/>
    <w:rsid w:val="009559D3"/>
    <w:rsid w:val="009601AA"/>
    <w:rsid w:val="00966D80"/>
    <w:rsid w:val="009739D3"/>
    <w:rsid w:val="0097445A"/>
    <w:rsid w:val="0097768A"/>
    <w:rsid w:val="009824CA"/>
    <w:rsid w:val="0098505C"/>
    <w:rsid w:val="00987594"/>
    <w:rsid w:val="0098770C"/>
    <w:rsid w:val="00987962"/>
    <w:rsid w:val="00992E6C"/>
    <w:rsid w:val="009A4D97"/>
    <w:rsid w:val="009B1A5C"/>
    <w:rsid w:val="009B3FBA"/>
    <w:rsid w:val="009C01AA"/>
    <w:rsid w:val="009C2670"/>
    <w:rsid w:val="009D4493"/>
    <w:rsid w:val="009D4C8B"/>
    <w:rsid w:val="009E3581"/>
    <w:rsid w:val="009F3543"/>
    <w:rsid w:val="009F4DF8"/>
    <w:rsid w:val="009F5F8A"/>
    <w:rsid w:val="00A014A1"/>
    <w:rsid w:val="00A15F54"/>
    <w:rsid w:val="00A318F9"/>
    <w:rsid w:val="00A35893"/>
    <w:rsid w:val="00A35E6E"/>
    <w:rsid w:val="00A37F9B"/>
    <w:rsid w:val="00A4049C"/>
    <w:rsid w:val="00A41A12"/>
    <w:rsid w:val="00A42627"/>
    <w:rsid w:val="00A50147"/>
    <w:rsid w:val="00A52727"/>
    <w:rsid w:val="00A5328D"/>
    <w:rsid w:val="00A53B57"/>
    <w:rsid w:val="00A549B4"/>
    <w:rsid w:val="00A57267"/>
    <w:rsid w:val="00A62590"/>
    <w:rsid w:val="00A62972"/>
    <w:rsid w:val="00A65108"/>
    <w:rsid w:val="00A70B5B"/>
    <w:rsid w:val="00A76DE8"/>
    <w:rsid w:val="00A834D1"/>
    <w:rsid w:val="00A8474A"/>
    <w:rsid w:val="00A87222"/>
    <w:rsid w:val="00A911E7"/>
    <w:rsid w:val="00A941B5"/>
    <w:rsid w:val="00A94836"/>
    <w:rsid w:val="00A96ABA"/>
    <w:rsid w:val="00AA30CA"/>
    <w:rsid w:val="00AA36D7"/>
    <w:rsid w:val="00AB048A"/>
    <w:rsid w:val="00AB76E6"/>
    <w:rsid w:val="00AC2381"/>
    <w:rsid w:val="00AC302C"/>
    <w:rsid w:val="00AC3A97"/>
    <w:rsid w:val="00AC49B0"/>
    <w:rsid w:val="00AC74AC"/>
    <w:rsid w:val="00AD3C0F"/>
    <w:rsid w:val="00AE0E07"/>
    <w:rsid w:val="00AE1A23"/>
    <w:rsid w:val="00AE1C1A"/>
    <w:rsid w:val="00AE3A59"/>
    <w:rsid w:val="00AF376F"/>
    <w:rsid w:val="00AF6E29"/>
    <w:rsid w:val="00B00362"/>
    <w:rsid w:val="00B00D1A"/>
    <w:rsid w:val="00B0381F"/>
    <w:rsid w:val="00B05D46"/>
    <w:rsid w:val="00B170D4"/>
    <w:rsid w:val="00B17121"/>
    <w:rsid w:val="00B1780F"/>
    <w:rsid w:val="00B21451"/>
    <w:rsid w:val="00B266DF"/>
    <w:rsid w:val="00B31BC6"/>
    <w:rsid w:val="00B34425"/>
    <w:rsid w:val="00B370D3"/>
    <w:rsid w:val="00B41306"/>
    <w:rsid w:val="00B44B4A"/>
    <w:rsid w:val="00B45EAE"/>
    <w:rsid w:val="00B52CA1"/>
    <w:rsid w:val="00B53488"/>
    <w:rsid w:val="00B56849"/>
    <w:rsid w:val="00B613A4"/>
    <w:rsid w:val="00B6479A"/>
    <w:rsid w:val="00B64EF9"/>
    <w:rsid w:val="00B70F1E"/>
    <w:rsid w:val="00B77D61"/>
    <w:rsid w:val="00B812A5"/>
    <w:rsid w:val="00B860B7"/>
    <w:rsid w:val="00B90DEA"/>
    <w:rsid w:val="00B91CC6"/>
    <w:rsid w:val="00B93C19"/>
    <w:rsid w:val="00BA0582"/>
    <w:rsid w:val="00BA2BB5"/>
    <w:rsid w:val="00BA34EC"/>
    <w:rsid w:val="00BA35AE"/>
    <w:rsid w:val="00BA363E"/>
    <w:rsid w:val="00BB0396"/>
    <w:rsid w:val="00BB484F"/>
    <w:rsid w:val="00BC1635"/>
    <w:rsid w:val="00BC6501"/>
    <w:rsid w:val="00BD4158"/>
    <w:rsid w:val="00BD445E"/>
    <w:rsid w:val="00BD5032"/>
    <w:rsid w:val="00BD5C9F"/>
    <w:rsid w:val="00BD61BE"/>
    <w:rsid w:val="00BD7373"/>
    <w:rsid w:val="00BE2C15"/>
    <w:rsid w:val="00BE41BA"/>
    <w:rsid w:val="00BE592E"/>
    <w:rsid w:val="00BE66F4"/>
    <w:rsid w:val="00BF0D97"/>
    <w:rsid w:val="00BF18FA"/>
    <w:rsid w:val="00C02F0F"/>
    <w:rsid w:val="00C03E8B"/>
    <w:rsid w:val="00C065EA"/>
    <w:rsid w:val="00C14BE1"/>
    <w:rsid w:val="00C156C0"/>
    <w:rsid w:val="00C160E1"/>
    <w:rsid w:val="00C313CA"/>
    <w:rsid w:val="00C37306"/>
    <w:rsid w:val="00C419C9"/>
    <w:rsid w:val="00C50257"/>
    <w:rsid w:val="00C54298"/>
    <w:rsid w:val="00C54D46"/>
    <w:rsid w:val="00C54F30"/>
    <w:rsid w:val="00C67B31"/>
    <w:rsid w:val="00C75765"/>
    <w:rsid w:val="00C974CC"/>
    <w:rsid w:val="00CA5115"/>
    <w:rsid w:val="00CA769D"/>
    <w:rsid w:val="00CB3608"/>
    <w:rsid w:val="00CC18F9"/>
    <w:rsid w:val="00CD1E28"/>
    <w:rsid w:val="00CD63BB"/>
    <w:rsid w:val="00CD66A0"/>
    <w:rsid w:val="00CE2684"/>
    <w:rsid w:val="00CE314E"/>
    <w:rsid w:val="00D014BB"/>
    <w:rsid w:val="00D019D9"/>
    <w:rsid w:val="00D07B84"/>
    <w:rsid w:val="00D10354"/>
    <w:rsid w:val="00D10B8C"/>
    <w:rsid w:val="00D204BC"/>
    <w:rsid w:val="00D20DF9"/>
    <w:rsid w:val="00D2200C"/>
    <w:rsid w:val="00D2264B"/>
    <w:rsid w:val="00D23288"/>
    <w:rsid w:val="00D24F83"/>
    <w:rsid w:val="00D31269"/>
    <w:rsid w:val="00D330D7"/>
    <w:rsid w:val="00D332F2"/>
    <w:rsid w:val="00D35422"/>
    <w:rsid w:val="00D4088E"/>
    <w:rsid w:val="00D40A88"/>
    <w:rsid w:val="00D41DBD"/>
    <w:rsid w:val="00D427BF"/>
    <w:rsid w:val="00D51F20"/>
    <w:rsid w:val="00D63370"/>
    <w:rsid w:val="00D70807"/>
    <w:rsid w:val="00D7131D"/>
    <w:rsid w:val="00D7282E"/>
    <w:rsid w:val="00D750D4"/>
    <w:rsid w:val="00D777B1"/>
    <w:rsid w:val="00D77A8C"/>
    <w:rsid w:val="00D77C8D"/>
    <w:rsid w:val="00D8051B"/>
    <w:rsid w:val="00D81360"/>
    <w:rsid w:val="00D83E3C"/>
    <w:rsid w:val="00D87298"/>
    <w:rsid w:val="00D93C9D"/>
    <w:rsid w:val="00D96D09"/>
    <w:rsid w:val="00DA2CED"/>
    <w:rsid w:val="00DB0BFA"/>
    <w:rsid w:val="00DB21E1"/>
    <w:rsid w:val="00DB6128"/>
    <w:rsid w:val="00DB6DAA"/>
    <w:rsid w:val="00DC04F8"/>
    <w:rsid w:val="00DC5696"/>
    <w:rsid w:val="00DC7335"/>
    <w:rsid w:val="00DC7ADE"/>
    <w:rsid w:val="00DD1019"/>
    <w:rsid w:val="00DD1185"/>
    <w:rsid w:val="00DD3E7D"/>
    <w:rsid w:val="00DD6075"/>
    <w:rsid w:val="00DD7410"/>
    <w:rsid w:val="00DE3AE5"/>
    <w:rsid w:val="00DE4399"/>
    <w:rsid w:val="00DF320B"/>
    <w:rsid w:val="00DF3B6C"/>
    <w:rsid w:val="00DF3C94"/>
    <w:rsid w:val="00E0070E"/>
    <w:rsid w:val="00E01A8C"/>
    <w:rsid w:val="00E02B88"/>
    <w:rsid w:val="00E0579A"/>
    <w:rsid w:val="00E100BC"/>
    <w:rsid w:val="00E113C4"/>
    <w:rsid w:val="00E114D7"/>
    <w:rsid w:val="00E23DDC"/>
    <w:rsid w:val="00E357C2"/>
    <w:rsid w:val="00E35AB9"/>
    <w:rsid w:val="00E36338"/>
    <w:rsid w:val="00E3743D"/>
    <w:rsid w:val="00E37A16"/>
    <w:rsid w:val="00E40F6F"/>
    <w:rsid w:val="00E428DA"/>
    <w:rsid w:val="00E4493B"/>
    <w:rsid w:val="00E45EDD"/>
    <w:rsid w:val="00E51BB0"/>
    <w:rsid w:val="00E539BB"/>
    <w:rsid w:val="00E55FB4"/>
    <w:rsid w:val="00E628F6"/>
    <w:rsid w:val="00E6637D"/>
    <w:rsid w:val="00E66388"/>
    <w:rsid w:val="00E67702"/>
    <w:rsid w:val="00E76B29"/>
    <w:rsid w:val="00E83B8C"/>
    <w:rsid w:val="00E93833"/>
    <w:rsid w:val="00E97906"/>
    <w:rsid w:val="00EA3271"/>
    <w:rsid w:val="00EA4739"/>
    <w:rsid w:val="00EA7FCE"/>
    <w:rsid w:val="00EB1A57"/>
    <w:rsid w:val="00EB2C18"/>
    <w:rsid w:val="00EB2E52"/>
    <w:rsid w:val="00EB41D7"/>
    <w:rsid w:val="00EB57EC"/>
    <w:rsid w:val="00ED27C3"/>
    <w:rsid w:val="00ED7856"/>
    <w:rsid w:val="00ED79C9"/>
    <w:rsid w:val="00EE5CEB"/>
    <w:rsid w:val="00EF11E1"/>
    <w:rsid w:val="00F0010D"/>
    <w:rsid w:val="00F02071"/>
    <w:rsid w:val="00F023E3"/>
    <w:rsid w:val="00F0594A"/>
    <w:rsid w:val="00F21E18"/>
    <w:rsid w:val="00F2730D"/>
    <w:rsid w:val="00F37D11"/>
    <w:rsid w:val="00F41C59"/>
    <w:rsid w:val="00F41DB2"/>
    <w:rsid w:val="00F5128D"/>
    <w:rsid w:val="00F543C0"/>
    <w:rsid w:val="00F55AFC"/>
    <w:rsid w:val="00F74F80"/>
    <w:rsid w:val="00F772BF"/>
    <w:rsid w:val="00F805C6"/>
    <w:rsid w:val="00F8251D"/>
    <w:rsid w:val="00F83BF7"/>
    <w:rsid w:val="00F97168"/>
    <w:rsid w:val="00FA1D7D"/>
    <w:rsid w:val="00FA2291"/>
    <w:rsid w:val="00FA30C3"/>
    <w:rsid w:val="00FA5238"/>
    <w:rsid w:val="00FA6B33"/>
    <w:rsid w:val="00FB145C"/>
    <w:rsid w:val="00FB36C4"/>
    <w:rsid w:val="00FB56A5"/>
    <w:rsid w:val="00FB5A09"/>
    <w:rsid w:val="00FB7D82"/>
    <w:rsid w:val="00FC165E"/>
    <w:rsid w:val="00FC17D5"/>
    <w:rsid w:val="00FC18AA"/>
    <w:rsid w:val="00FC1F84"/>
    <w:rsid w:val="00FC2C89"/>
    <w:rsid w:val="00FC4E94"/>
    <w:rsid w:val="00FE36CC"/>
    <w:rsid w:val="00FF3230"/>
    <w:rsid w:val="00FF47E1"/>
    <w:rsid w:val="00FF4D7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9CE-F4CC-4247-9C3F-9B95797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AA"/>
  </w:style>
  <w:style w:type="paragraph" w:styleId="Footer">
    <w:name w:val="footer"/>
    <w:basedOn w:val="Normal"/>
    <w:link w:val="Foot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AA"/>
  </w:style>
  <w:style w:type="paragraph" w:styleId="BalloonText">
    <w:name w:val="Balloon Text"/>
    <w:basedOn w:val="Normal"/>
    <w:link w:val="BalloonTextChar"/>
    <w:uiPriority w:val="99"/>
    <w:semiHidden/>
    <w:unhideWhenUsed/>
    <w:rsid w:val="0033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D80"/>
    <w:pPr>
      <w:ind w:left="720"/>
      <w:contextualSpacing/>
    </w:pPr>
  </w:style>
  <w:style w:type="paragraph" w:styleId="BodyText">
    <w:name w:val="Body Text"/>
    <w:basedOn w:val="Normal"/>
    <w:link w:val="BodyTextChar"/>
    <w:rsid w:val="00D7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77B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777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777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ova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309-4656-4AB7-A4E4-C7D7BEBE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724</Words>
  <Characters>3723</Characters>
  <Application>Microsoft Office Word</Application>
  <DocSecurity>0</DocSecurity>
  <Lines>169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6</cp:revision>
  <cp:lastPrinted>2017-04-26T12:23:00Z</cp:lastPrinted>
  <dcterms:created xsi:type="dcterms:W3CDTF">2017-04-26T11:59:00Z</dcterms:created>
  <dcterms:modified xsi:type="dcterms:W3CDTF">2017-05-16T13:41:00Z</dcterms:modified>
</cp:coreProperties>
</file>