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77777777" w:rsidR="00DF47F0" w:rsidRPr="001C7ABB" w:rsidRDefault="00DF47F0" w:rsidP="00DF47F0">
      <w:pPr>
        <w:spacing w:line="240" w:lineRule="auto"/>
        <w:jc w:val="center"/>
        <w:rPr>
          <w:b/>
          <w:sz w:val="27"/>
          <w:szCs w:val="27"/>
        </w:rPr>
      </w:pPr>
      <w:r w:rsidRPr="001C7ABB">
        <w:rPr>
          <w:b/>
          <w:sz w:val="27"/>
          <w:szCs w:val="27"/>
        </w:rPr>
        <w:t>Informatīvais ziņojums</w:t>
      </w:r>
    </w:p>
    <w:p w14:paraId="73C7E879" w14:textId="77777777" w:rsidR="00836577" w:rsidRDefault="00DF47F0" w:rsidP="00DF47F0">
      <w:pPr>
        <w:spacing w:before="120" w:line="240" w:lineRule="auto"/>
        <w:jc w:val="center"/>
        <w:rPr>
          <w:b/>
          <w:sz w:val="27"/>
          <w:szCs w:val="27"/>
        </w:rPr>
      </w:pPr>
      <w:r w:rsidRPr="001C7ABB">
        <w:rPr>
          <w:b/>
          <w:sz w:val="27"/>
          <w:szCs w:val="27"/>
        </w:rPr>
        <w:t xml:space="preserve">par Eiropas Savienības Tieslietu un iekšlietu ministru padomes </w:t>
      </w:r>
    </w:p>
    <w:p w14:paraId="2681AFC9" w14:textId="03AC2A00" w:rsidR="00DF47F0" w:rsidRPr="001C7ABB" w:rsidRDefault="00DF47F0" w:rsidP="00836577">
      <w:pPr>
        <w:spacing w:after="240" w:line="240" w:lineRule="auto"/>
        <w:jc w:val="center"/>
        <w:rPr>
          <w:b/>
          <w:sz w:val="27"/>
          <w:szCs w:val="27"/>
        </w:rPr>
      </w:pPr>
      <w:r>
        <w:rPr>
          <w:b/>
          <w:sz w:val="27"/>
          <w:szCs w:val="27"/>
        </w:rPr>
        <w:t>2017.</w:t>
      </w:r>
      <w:r w:rsidR="00466F12">
        <w:rPr>
          <w:b/>
          <w:sz w:val="27"/>
          <w:szCs w:val="27"/>
        </w:rPr>
        <w:t xml:space="preserve"> </w:t>
      </w:r>
      <w:r w:rsidRPr="001C7ABB">
        <w:rPr>
          <w:b/>
          <w:sz w:val="27"/>
          <w:szCs w:val="27"/>
        </w:rPr>
        <w:t xml:space="preserve">gada </w:t>
      </w:r>
      <w:r w:rsidR="00466F12">
        <w:rPr>
          <w:b/>
          <w:sz w:val="27"/>
          <w:szCs w:val="27"/>
        </w:rPr>
        <w:t>8.-</w:t>
      </w:r>
      <w:r w:rsidR="000E4DC0">
        <w:rPr>
          <w:b/>
          <w:sz w:val="27"/>
          <w:szCs w:val="27"/>
        </w:rPr>
        <w:t>9.</w:t>
      </w:r>
      <w:r w:rsidR="00466F12">
        <w:rPr>
          <w:b/>
          <w:sz w:val="27"/>
          <w:szCs w:val="27"/>
        </w:rPr>
        <w:t xml:space="preserve"> </w:t>
      </w:r>
      <w:r w:rsidR="000E4DC0">
        <w:rPr>
          <w:b/>
          <w:sz w:val="27"/>
          <w:szCs w:val="27"/>
        </w:rPr>
        <w:t>jūnija</w:t>
      </w:r>
      <w:r>
        <w:rPr>
          <w:b/>
          <w:sz w:val="27"/>
          <w:szCs w:val="27"/>
        </w:rPr>
        <w:t xml:space="preserve"> </w:t>
      </w:r>
      <w:r w:rsidRPr="001C7ABB">
        <w:rPr>
          <w:b/>
          <w:sz w:val="27"/>
          <w:szCs w:val="27"/>
        </w:rPr>
        <w:t>sanāksmē iekļautajiem</w:t>
      </w:r>
      <w:r w:rsidR="000E4DC0">
        <w:rPr>
          <w:b/>
          <w:sz w:val="27"/>
          <w:szCs w:val="27"/>
        </w:rPr>
        <w:t xml:space="preserve"> iekšlietu jomas</w:t>
      </w:r>
      <w:r w:rsidRPr="001C7ABB">
        <w:rPr>
          <w:b/>
          <w:sz w:val="27"/>
          <w:szCs w:val="27"/>
        </w:rPr>
        <w:t xml:space="preserve"> jautājumiem</w:t>
      </w:r>
    </w:p>
    <w:p w14:paraId="649114C0" w14:textId="77777777" w:rsidR="004C0897" w:rsidRPr="006055EC" w:rsidRDefault="00DF47F0" w:rsidP="004C0897">
      <w:pPr>
        <w:spacing w:line="240" w:lineRule="auto"/>
        <w:jc w:val="center"/>
        <w:rPr>
          <w:b/>
          <w:sz w:val="28"/>
          <w:szCs w:val="28"/>
        </w:rPr>
      </w:pPr>
      <w:r>
        <w:rPr>
          <w:sz w:val="28"/>
          <w:szCs w:val="28"/>
        </w:rPr>
        <w:tab/>
      </w:r>
      <w:r w:rsidR="004C0897" w:rsidRPr="006055EC">
        <w:rPr>
          <w:b/>
          <w:sz w:val="28"/>
          <w:szCs w:val="28"/>
        </w:rPr>
        <w:t>I. Eiropas Savienības Tieslietu un iekšlietu ministru padomes sanāksmes darba kārtība</w:t>
      </w:r>
    </w:p>
    <w:p w14:paraId="2CD5E6E3" w14:textId="77777777" w:rsidR="004C0897" w:rsidRDefault="004C0897" w:rsidP="00DF47F0">
      <w:pPr>
        <w:spacing w:line="240" w:lineRule="auto"/>
        <w:jc w:val="both"/>
        <w:rPr>
          <w:sz w:val="28"/>
          <w:szCs w:val="28"/>
        </w:rPr>
      </w:pPr>
    </w:p>
    <w:p w14:paraId="250763D7" w14:textId="6A8150BC" w:rsidR="00DF47F0" w:rsidRDefault="00466F12" w:rsidP="004C0897">
      <w:pPr>
        <w:spacing w:line="240" w:lineRule="auto"/>
        <w:ind w:firstLine="360"/>
        <w:jc w:val="both"/>
        <w:rPr>
          <w:sz w:val="28"/>
          <w:szCs w:val="28"/>
        </w:rPr>
      </w:pPr>
      <w:r>
        <w:rPr>
          <w:sz w:val="28"/>
          <w:szCs w:val="28"/>
        </w:rPr>
        <w:t>2017. gada</w:t>
      </w:r>
      <w:r w:rsidR="00DF47F0">
        <w:rPr>
          <w:sz w:val="28"/>
          <w:szCs w:val="28"/>
        </w:rPr>
        <w:t xml:space="preserve"> </w:t>
      </w:r>
      <w:r>
        <w:rPr>
          <w:sz w:val="28"/>
          <w:szCs w:val="28"/>
        </w:rPr>
        <w:t>8.-</w:t>
      </w:r>
      <w:r w:rsidR="000E4DC0">
        <w:rPr>
          <w:sz w:val="28"/>
          <w:szCs w:val="28"/>
        </w:rPr>
        <w:t>9.</w:t>
      </w:r>
      <w:r>
        <w:rPr>
          <w:sz w:val="28"/>
          <w:szCs w:val="28"/>
        </w:rPr>
        <w:t xml:space="preserve"> </w:t>
      </w:r>
      <w:r w:rsidR="000E4DC0">
        <w:rPr>
          <w:sz w:val="28"/>
          <w:szCs w:val="28"/>
        </w:rPr>
        <w:t>jūnijā Luksemburgā</w:t>
      </w:r>
      <w:r w:rsidR="00DF47F0">
        <w:rPr>
          <w:sz w:val="28"/>
          <w:szCs w:val="28"/>
        </w:rPr>
        <w:t xml:space="preserve"> notiks Eiropas Savienības (turpmāk – ES) Tieslietu un iekšlietu ministru padomes (turpmāk – Padomes) sanāksme. Sanāksmes darba kārtībā ir iekļauti </w:t>
      </w:r>
      <w:r w:rsidR="000E4DC0">
        <w:rPr>
          <w:sz w:val="28"/>
          <w:szCs w:val="28"/>
        </w:rPr>
        <w:t>šād</w:t>
      </w:r>
      <w:r w:rsidR="003B6A6B">
        <w:rPr>
          <w:sz w:val="28"/>
          <w:szCs w:val="28"/>
        </w:rPr>
        <w:t>i</w:t>
      </w:r>
      <w:r w:rsidR="000E4DC0">
        <w:rPr>
          <w:sz w:val="28"/>
          <w:szCs w:val="28"/>
        </w:rPr>
        <w:t xml:space="preserve"> iekšlietu jomas jautājumi</w:t>
      </w:r>
      <w:r w:rsidR="00DF47F0">
        <w:rPr>
          <w:sz w:val="28"/>
          <w:szCs w:val="28"/>
        </w:rPr>
        <w:t>:</w:t>
      </w:r>
    </w:p>
    <w:p w14:paraId="278DECA0" w14:textId="77777777" w:rsidR="00DF47F0" w:rsidRDefault="00DF47F0" w:rsidP="00DF47F0">
      <w:pPr>
        <w:spacing w:line="240" w:lineRule="auto"/>
        <w:jc w:val="both"/>
        <w:rPr>
          <w:sz w:val="28"/>
          <w:szCs w:val="28"/>
        </w:rPr>
      </w:pPr>
    </w:p>
    <w:p w14:paraId="0ABB6E7A" w14:textId="375697A4" w:rsidR="00DF47F0" w:rsidRPr="00DF47F0" w:rsidRDefault="00141862" w:rsidP="00DF47F0">
      <w:pPr>
        <w:pStyle w:val="ListParagraph"/>
        <w:numPr>
          <w:ilvl w:val="0"/>
          <w:numId w:val="1"/>
        </w:numPr>
        <w:spacing w:line="240" w:lineRule="auto"/>
        <w:jc w:val="both"/>
        <w:rPr>
          <w:b/>
          <w:sz w:val="28"/>
          <w:szCs w:val="28"/>
        </w:rPr>
      </w:pPr>
      <w:r>
        <w:rPr>
          <w:b/>
          <w:sz w:val="28"/>
          <w:szCs w:val="28"/>
        </w:rPr>
        <w:t>Eiropas Pa</w:t>
      </w:r>
      <w:r w:rsidR="003D672E">
        <w:rPr>
          <w:b/>
          <w:sz w:val="28"/>
          <w:szCs w:val="28"/>
        </w:rPr>
        <w:t>rlamenta un Padomes R</w:t>
      </w:r>
      <w:r>
        <w:rPr>
          <w:b/>
          <w:sz w:val="28"/>
          <w:szCs w:val="28"/>
        </w:rPr>
        <w:t>egula, ar ko izveido Eiropas ceļošanas informācijas un atļauju sistēmu</w:t>
      </w:r>
    </w:p>
    <w:p w14:paraId="39852EFA" w14:textId="5B7FDFD4" w:rsidR="00952C1F" w:rsidRDefault="00952C1F" w:rsidP="00952C1F">
      <w:pPr>
        <w:spacing w:after="120" w:line="240" w:lineRule="auto"/>
        <w:ind w:firstLine="720"/>
        <w:jc w:val="both"/>
        <w:rPr>
          <w:sz w:val="28"/>
          <w:szCs w:val="28"/>
        </w:rPr>
      </w:pPr>
      <w:r w:rsidRPr="00952C1F">
        <w:rPr>
          <w:sz w:val="28"/>
          <w:szCs w:val="28"/>
        </w:rPr>
        <w:t>2016.</w:t>
      </w:r>
      <w:r w:rsidR="00466F12">
        <w:rPr>
          <w:sz w:val="28"/>
          <w:szCs w:val="28"/>
        </w:rPr>
        <w:t xml:space="preserve"> </w:t>
      </w:r>
      <w:r w:rsidRPr="00952C1F">
        <w:rPr>
          <w:sz w:val="28"/>
          <w:szCs w:val="28"/>
        </w:rPr>
        <w:t>gada 16.</w:t>
      </w:r>
      <w:r w:rsidR="00466F12">
        <w:rPr>
          <w:sz w:val="28"/>
          <w:szCs w:val="28"/>
        </w:rPr>
        <w:t xml:space="preserve"> </w:t>
      </w:r>
      <w:r w:rsidRPr="00952C1F">
        <w:rPr>
          <w:sz w:val="28"/>
          <w:szCs w:val="28"/>
        </w:rPr>
        <w:t xml:space="preserve">novembrī Komisija nāca klajā ar </w:t>
      </w:r>
      <w:r w:rsidRPr="003D672E">
        <w:rPr>
          <w:sz w:val="28"/>
          <w:szCs w:val="28"/>
        </w:rPr>
        <w:t>priekšlikumu E</w:t>
      </w:r>
      <w:r w:rsidR="003D672E">
        <w:rPr>
          <w:sz w:val="28"/>
          <w:szCs w:val="28"/>
        </w:rPr>
        <w:t xml:space="preserve">iropas </w:t>
      </w:r>
      <w:r w:rsidRPr="003D672E">
        <w:rPr>
          <w:sz w:val="28"/>
          <w:szCs w:val="28"/>
        </w:rPr>
        <w:t>P</w:t>
      </w:r>
      <w:r w:rsidR="003D672E">
        <w:rPr>
          <w:sz w:val="28"/>
          <w:szCs w:val="28"/>
        </w:rPr>
        <w:t>arlamenta</w:t>
      </w:r>
      <w:r w:rsidRPr="003D672E">
        <w:rPr>
          <w:sz w:val="28"/>
          <w:szCs w:val="28"/>
        </w:rPr>
        <w:t xml:space="preserve"> un Padomes Regulai, ar ko izveido ETIAS </w:t>
      </w:r>
      <w:r w:rsidRPr="00952C1F">
        <w:rPr>
          <w:sz w:val="28"/>
          <w:szCs w:val="28"/>
        </w:rPr>
        <w:t>(</w:t>
      </w:r>
      <w:r w:rsidRPr="00952C1F">
        <w:rPr>
          <w:i/>
          <w:sz w:val="28"/>
          <w:szCs w:val="28"/>
        </w:rPr>
        <w:t>turpmāk – Regulas projekts</w:t>
      </w:r>
      <w:r w:rsidRPr="00952C1F">
        <w:rPr>
          <w:sz w:val="28"/>
          <w:szCs w:val="28"/>
        </w:rPr>
        <w:t>)</w:t>
      </w:r>
      <w:r w:rsidRPr="004E1177">
        <w:rPr>
          <w:rStyle w:val="FootnoteReference"/>
          <w:sz w:val="28"/>
          <w:szCs w:val="28"/>
        </w:rPr>
        <w:footnoteReference w:id="1"/>
      </w:r>
      <w:r w:rsidRPr="00952C1F">
        <w:rPr>
          <w:sz w:val="28"/>
          <w:szCs w:val="28"/>
        </w:rPr>
        <w:t xml:space="preserve">. </w:t>
      </w:r>
    </w:p>
    <w:p w14:paraId="46A3FBC1" w14:textId="06165546" w:rsidR="00952C1F" w:rsidRPr="003D672E" w:rsidRDefault="00952C1F" w:rsidP="00952C1F">
      <w:pPr>
        <w:spacing w:after="120" w:line="240" w:lineRule="auto"/>
        <w:ind w:firstLine="720"/>
        <w:jc w:val="both"/>
        <w:rPr>
          <w:sz w:val="28"/>
          <w:szCs w:val="28"/>
        </w:rPr>
      </w:pPr>
      <w:r w:rsidRPr="00952C1F">
        <w:rPr>
          <w:sz w:val="28"/>
          <w:szCs w:val="28"/>
        </w:rPr>
        <w:t>Regulas projekts paredz izveidot ETIAS, lai dotu iespēju savlaicīgi izvērtēt, vai no vīzas prasības ieceļošanai dalībvalstīs</w:t>
      </w:r>
      <w:r>
        <w:rPr>
          <w:rStyle w:val="FootnoteReference"/>
          <w:sz w:val="28"/>
          <w:szCs w:val="28"/>
        </w:rPr>
        <w:footnoteReference w:id="2"/>
      </w:r>
      <w:r w:rsidRPr="00952C1F">
        <w:rPr>
          <w:sz w:val="28"/>
          <w:szCs w:val="28"/>
        </w:rPr>
        <w:t xml:space="preserve"> atbrīvoto trešo valstu pilsoņu</w:t>
      </w:r>
      <w:r w:rsidRPr="00952C1F">
        <w:rPr>
          <w:i/>
          <w:sz w:val="28"/>
          <w:szCs w:val="28"/>
        </w:rPr>
        <w:t xml:space="preserve"> </w:t>
      </w:r>
      <w:r w:rsidRPr="00952C1F">
        <w:rPr>
          <w:sz w:val="28"/>
          <w:szCs w:val="28"/>
        </w:rPr>
        <w:t xml:space="preserve">uzturēšanās dalībvalsts teritorijā </w:t>
      </w:r>
      <w:r w:rsidRPr="003D672E">
        <w:rPr>
          <w:sz w:val="28"/>
          <w:szCs w:val="28"/>
        </w:rPr>
        <w:t>nerada drošības, nelegālas migrācijas vai sabiedrības veselības risku.</w:t>
      </w:r>
    </w:p>
    <w:p w14:paraId="338A0722" w14:textId="33453EE2" w:rsidR="00952C1F" w:rsidRPr="00952C1F" w:rsidRDefault="00466F12" w:rsidP="00952C1F">
      <w:pPr>
        <w:spacing w:after="120" w:line="240" w:lineRule="auto"/>
        <w:ind w:firstLine="720"/>
        <w:jc w:val="both"/>
        <w:rPr>
          <w:sz w:val="28"/>
          <w:szCs w:val="28"/>
        </w:rPr>
      </w:pPr>
      <w:r>
        <w:rPr>
          <w:sz w:val="28"/>
          <w:szCs w:val="28"/>
        </w:rPr>
        <w:t>2016. gada</w:t>
      </w:r>
      <w:r w:rsidR="00952C1F">
        <w:rPr>
          <w:sz w:val="28"/>
          <w:szCs w:val="28"/>
        </w:rPr>
        <w:t xml:space="preserve"> </w:t>
      </w:r>
      <w:r>
        <w:rPr>
          <w:sz w:val="28"/>
          <w:szCs w:val="28"/>
        </w:rPr>
        <w:t>15.</w:t>
      </w:r>
      <w:r w:rsidRPr="004E1177">
        <w:rPr>
          <w:sz w:val="28"/>
          <w:szCs w:val="28"/>
        </w:rPr>
        <w:t xml:space="preserve"> decembra</w:t>
      </w:r>
      <w:r w:rsidR="00952C1F" w:rsidRPr="004E1177">
        <w:rPr>
          <w:sz w:val="28"/>
          <w:szCs w:val="28"/>
        </w:rPr>
        <w:t xml:space="preserve"> Eiropadomes secinājumos attiecībā uz ES iekšējās drošības ietvaros īstenojamajām iniciatīvām uzsvērts, ka </w:t>
      </w:r>
      <w:r w:rsidR="00952C1F" w:rsidRPr="003D672E">
        <w:rPr>
          <w:sz w:val="28"/>
          <w:szCs w:val="28"/>
        </w:rPr>
        <w:t>vienošanās par ETIAS priekšlikumu</w:t>
      </w:r>
      <w:r w:rsidR="00952C1F" w:rsidRPr="004E1177">
        <w:rPr>
          <w:sz w:val="28"/>
          <w:szCs w:val="28"/>
          <w:u w:val="single"/>
        </w:rPr>
        <w:t xml:space="preserve"> </w:t>
      </w:r>
      <w:r w:rsidR="00952C1F" w:rsidRPr="004E1177">
        <w:rPr>
          <w:sz w:val="28"/>
          <w:szCs w:val="28"/>
        </w:rPr>
        <w:t>starp abiem likumdevējiem – Padomi un E</w:t>
      </w:r>
      <w:r w:rsidR="003D672E">
        <w:rPr>
          <w:sz w:val="28"/>
          <w:szCs w:val="28"/>
        </w:rPr>
        <w:t xml:space="preserve">iropas </w:t>
      </w:r>
      <w:r w:rsidR="00952C1F" w:rsidRPr="004E1177">
        <w:rPr>
          <w:sz w:val="28"/>
          <w:szCs w:val="28"/>
        </w:rPr>
        <w:t>P</w:t>
      </w:r>
      <w:r w:rsidR="003D672E">
        <w:rPr>
          <w:sz w:val="28"/>
          <w:szCs w:val="28"/>
        </w:rPr>
        <w:t>arlamentu</w:t>
      </w:r>
      <w:r w:rsidR="00952C1F" w:rsidRPr="004E1177">
        <w:rPr>
          <w:sz w:val="28"/>
          <w:szCs w:val="28"/>
        </w:rPr>
        <w:t xml:space="preserve"> –</w:t>
      </w:r>
      <w:r w:rsidR="00952C1F" w:rsidRPr="003D672E">
        <w:rPr>
          <w:sz w:val="28"/>
          <w:szCs w:val="28"/>
        </w:rPr>
        <w:t xml:space="preserve"> panākama līdz </w:t>
      </w:r>
      <w:r w:rsidRPr="003D672E">
        <w:rPr>
          <w:sz w:val="28"/>
          <w:szCs w:val="28"/>
        </w:rPr>
        <w:t>2017. gada</w:t>
      </w:r>
      <w:r w:rsidR="00952C1F" w:rsidRPr="003D672E">
        <w:rPr>
          <w:sz w:val="28"/>
          <w:szCs w:val="28"/>
        </w:rPr>
        <w:t xml:space="preserve"> beigām</w:t>
      </w:r>
      <w:r w:rsidR="003D672E">
        <w:rPr>
          <w:sz w:val="28"/>
          <w:szCs w:val="28"/>
        </w:rPr>
        <w:t>.</w:t>
      </w:r>
    </w:p>
    <w:p w14:paraId="1A77E725" w14:textId="65BE3679" w:rsidR="00473976" w:rsidRDefault="003D672E" w:rsidP="00EB09FF">
      <w:pPr>
        <w:spacing w:line="240" w:lineRule="auto"/>
        <w:ind w:firstLine="720"/>
        <w:jc w:val="both"/>
        <w:rPr>
          <w:sz w:val="28"/>
          <w:szCs w:val="28"/>
        </w:rPr>
      </w:pPr>
      <w:r>
        <w:rPr>
          <w:sz w:val="28"/>
          <w:szCs w:val="28"/>
        </w:rPr>
        <w:t xml:space="preserve">Padomes sanāksmē </w:t>
      </w:r>
      <w:r w:rsidRPr="00EB06EF">
        <w:rPr>
          <w:sz w:val="28"/>
          <w:szCs w:val="28"/>
        </w:rPr>
        <w:t xml:space="preserve">ir </w:t>
      </w:r>
      <w:r>
        <w:rPr>
          <w:sz w:val="28"/>
          <w:szCs w:val="28"/>
        </w:rPr>
        <w:t>plānots</w:t>
      </w:r>
      <w:r w:rsidRPr="00EB06EF">
        <w:rPr>
          <w:sz w:val="28"/>
          <w:szCs w:val="28"/>
        </w:rPr>
        <w:t xml:space="preserve"> apstiprināt Prezidentūras piedāvāto teksta redakciju Regulas projektam kā Padomes vispārējo pieeju sarunu uzsākšanai ar E</w:t>
      </w:r>
      <w:r>
        <w:rPr>
          <w:sz w:val="28"/>
          <w:szCs w:val="28"/>
        </w:rPr>
        <w:t xml:space="preserve">iropas </w:t>
      </w:r>
      <w:r w:rsidRPr="00EB06EF">
        <w:rPr>
          <w:sz w:val="28"/>
          <w:szCs w:val="28"/>
        </w:rPr>
        <w:t>P</w:t>
      </w:r>
      <w:r>
        <w:rPr>
          <w:sz w:val="28"/>
          <w:szCs w:val="28"/>
        </w:rPr>
        <w:t>arlamentu</w:t>
      </w:r>
      <w:r w:rsidRPr="00EB06EF">
        <w:rPr>
          <w:sz w:val="28"/>
          <w:szCs w:val="28"/>
        </w:rPr>
        <w:t>.</w:t>
      </w:r>
    </w:p>
    <w:p w14:paraId="310FAD5E" w14:textId="77777777" w:rsidR="0082291E" w:rsidRDefault="0082291E" w:rsidP="00EB09FF">
      <w:pPr>
        <w:spacing w:line="240" w:lineRule="auto"/>
        <w:ind w:firstLine="720"/>
        <w:jc w:val="both"/>
        <w:rPr>
          <w:sz w:val="28"/>
          <w:szCs w:val="28"/>
        </w:rPr>
      </w:pPr>
      <w:r>
        <w:rPr>
          <w:sz w:val="28"/>
          <w:szCs w:val="28"/>
        </w:rPr>
        <w:t>Dalībai sanāksmē ir sagatavota nacionālā pozīcija.</w:t>
      </w:r>
    </w:p>
    <w:p w14:paraId="417AAC37" w14:textId="77777777" w:rsidR="0082291E" w:rsidRDefault="0082291E" w:rsidP="0082291E">
      <w:pPr>
        <w:spacing w:line="240" w:lineRule="auto"/>
        <w:jc w:val="both"/>
        <w:rPr>
          <w:sz w:val="28"/>
          <w:szCs w:val="28"/>
        </w:rPr>
      </w:pPr>
    </w:p>
    <w:p w14:paraId="1A2D953F" w14:textId="0B445571" w:rsidR="0082291E" w:rsidRPr="0082291E" w:rsidRDefault="00141862" w:rsidP="0082291E">
      <w:pPr>
        <w:pStyle w:val="ListParagraph"/>
        <w:numPr>
          <w:ilvl w:val="0"/>
          <w:numId w:val="1"/>
        </w:numPr>
        <w:spacing w:line="240" w:lineRule="auto"/>
        <w:jc w:val="both"/>
        <w:rPr>
          <w:b/>
          <w:sz w:val="28"/>
          <w:szCs w:val="28"/>
        </w:rPr>
      </w:pPr>
      <w:r>
        <w:rPr>
          <w:b/>
          <w:sz w:val="28"/>
          <w:szCs w:val="28"/>
        </w:rPr>
        <w:t>Šengenas informācijas sistēma</w:t>
      </w:r>
    </w:p>
    <w:p w14:paraId="13920705" w14:textId="6DE5D656" w:rsidR="00473976" w:rsidRDefault="00466F12" w:rsidP="00092FC1">
      <w:pPr>
        <w:spacing w:line="240" w:lineRule="auto"/>
        <w:ind w:firstLine="720"/>
        <w:jc w:val="both"/>
        <w:rPr>
          <w:sz w:val="28"/>
          <w:szCs w:val="28"/>
        </w:rPr>
      </w:pPr>
      <w:r>
        <w:rPr>
          <w:sz w:val="28"/>
          <w:szCs w:val="28"/>
        </w:rPr>
        <w:t>2016. gada</w:t>
      </w:r>
      <w:r w:rsidR="00473976">
        <w:rPr>
          <w:sz w:val="28"/>
          <w:szCs w:val="28"/>
        </w:rPr>
        <w:t xml:space="preserve"> decembrī Eiropas Komisija apstiprināja tiesību aktu pakotni Šengenas informācijas sistēmas (turpmāk – SIS) efektivitātes uzlabošanai policijas un tiesu sadarbības krimināllietās, robežu pārvaldības un atgriešanas jomā.</w:t>
      </w:r>
    </w:p>
    <w:p w14:paraId="130BFAE6" w14:textId="4E6CDAAC" w:rsidR="00473976" w:rsidRDefault="00473976" w:rsidP="00092FC1">
      <w:pPr>
        <w:spacing w:line="240" w:lineRule="auto"/>
        <w:ind w:firstLine="720"/>
        <w:jc w:val="both"/>
        <w:rPr>
          <w:sz w:val="28"/>
          <w:szCs w:val="28"/>
        </w:rPr>
      </w:pPr>
      <w:r>
        <w:rPr>
          <w:sz w:val="28"/>
          <w:szCs w:val="28"/>
        </w:rPr>
        <w:t>Līdzšinējās ekspertu diskusijās ir identificēti vairāki neatrisināti jautājumi. Šajā sanāksmē ministriem plānotas diskusijas par trim jaut</w:t>
      </w:r>
      <w:r w:rsidR="00026652">
        <w:rPr>
          <w:sz w:val="28"/>
          <w:szCs w:val="28"/>
        </w:rPr>
        <w:t>ājumiem:</w:t>
      </w:r>
    </w:p>
    <w:p w14:paraId="5032F84F" w14:textId="5CBFBF2C" w:rsidR="00026652" w:rsidRDefault="00026652" w:rsidP="00026652">
      <w:pPr>
        <w:pStyle w:val="ListParagraph"/>
        <w:numPr>
          <w:ilvl w:val="0"/>
          <w:numId w:val="1"/>
        </w:numPr>
        <w:spacing w:line="240" w:lineRule="auto"/>
        <w:jc w:val="both"/>
        <w:rPr>
          <w:sz w:val="28"/>
          <w:szCs w:val="28"/>
        </w:rPr>
      </w:pPr>
      <w:r w:rsidRPr="00026652">
        <w:rPr>
          <w:i/>
          <w:sz w:val="28"/>
          <w:szCs w:val="28"/>
        </w:rPr>
        <w:lastRenderedPageBreak/>
        <w:t>preventīvais brīdinājums par paaugstinātu risku, ka var tikt nolaupīts bērns</w:t>
      </w:r>
      <w:r>
        <w:rPr>
          <w:sz w:val="28"/>
          <w:szCs w:val="28"/>
        </w:rPr>
        <w:t xml:space="preserve"> – Eiropas Komisijas priekšlikums paredz novērst līdzšinējās nepilnības tiesību aktos, kas ļāva brīdinājumu ievadīt pēc tam, kad bērni jau ir pazuduši, ļaujot brīdinājumu ievadīt tad, kad pastāv konkrēts un acīmredzams risks, ka bērnu var nelikumīgi un nenovēršami aizvest no dalīb</w:t>
      </w:r>
      <w:r w:rsidR="00CF23CF">
        <w:rPr>
          <w:sz w:val="28"/>
          <w:szCs w:val="28"/>
        </w:rPr>
        <w:t>v</w:t>
      </w:r>
      <w:r>
        <w:rPr>
          <w:sz w:val="28"/>
          <w:szCs w:val="28"/>
        </w:rPr>
        <w:t xml:space="preserve">alsts. Atsevišķas dalībvalstis uzskata, ka šādi brīdinājumi būtu jāievieto arī </w:t>
      </w:r>
      <w:r w:rsidR="00CF23CF">
        <w:rPr>
          <w:sz w:val="28"/>
          <w:szCs w:val="28"/>
        </w:rPr>
        <w:t xml:space="preserve">citos gadījumos, kad bērni var pazust, piemēram, </w:t>
      </w:r>
      <w:r>
        <w:rPr>
          <w:sz w:val="28"/>
          <w:szCs w:val="28"/>
        </w:rPr>
        <w:t>par bērniem, kas pievienojas teroristiskiem grupējumiem. Ministri tiek aicināti paust viedokli par to, vai šādi preventīvie brīdinājumi būs lietderīgi; vai šādi brīdinājumi būtu jāattiecina arī uz</w:t>
      </w:r>
      <w:r w:rsidR="00CF23CF">
        <w:rPr>
          <w:sz w:val="28"/>
          <w:szCs w:val="28"/>
        </w:rPr>
        <w:t xml:space="preserve"> citiem gadījumiem, kad</w:t>
      </w:r>
      <w:r>
        <w:rPr>
          <w:sz w:val="28"/>
          <w:szCs w:val="28"/>
        </w:rPr>
        <w:t xml:space="preserve"> bērni var pazust; vai nepieciešama sinerģija starp SIS tiesību aktiem un tiesu sadarbības civillietās </w:t>
      </w:r>
      <w:proofErr w:type="spellStart"/>
      <w:r>
        <w:rPr>
          <w:sz w:val="28"/>
          <w:szCs w:val="28"/>
        </w:rPr>
        <w:t>instumentiem</w:t>
      </w:r>
      <w:proofErr w:type="spellEnd"/>
      <w:r>
        <w:rPr>
          <w:sz w:val="28"/>
          <w:szCs w:val="28"/>
        </w:rPr>
        <w:t>;</w:t>
      </w:r>
    </w:p>
    <w:p w14:paraId="29332D5B" w14:textId="6D650B40" w:rsidR="00026652" w:rsidRDefault="00026652" w:rsidP="00026652">
      <w:pPr>
        <w:pStyle w:val="ListParagraph"/>
        <w:numPr>
          <w:ilvl w:val="0"/>
          <w:numId w:val="1"/>
        </w:numPr>
        <w:spacing w:line="240" w:lineRule="auto"/>
        <w:jc w:val="both"/>
        <w:rPr>
          <w:sz w:val="28"/>
          <w:szCs w:val="28"/>
        </w:rPr>
      </w:pPr>
      <w:r>
        <w:rPr>
          <w:i/>
          <w:sz w:val="28"/>
          <w:szCs w:val="28"/>
        </w:rPr>
        <w:t>brīdinājums par personām</w:t>
      </w:r>
      <w:r w:rsidR="00466F12">
        <w:rPr>
          <w:i/>
          <w:sz w:val="28"/>
          <w:szCs w:val="28"/>
        </w:rPr>
        <w:t xml:space="preserve"> </w:t>
      </w:r>
      <w:r>
        <w:rPr>
          <w:i/>
          <w:sz w:val="28"/>
          <w:szCs w:val="28"/>
        </w:rPr>
        <w:t>/</w:t>
      </w:r>
      <w:r w:rsidR="00466F12">
        <w:rPr>
          <w:i/>
          <w:sz w:val="28"/>
          <w:szCs w:val="28"/>
        </w:rPr>
        <w:t xml:space="preserve"> </w:t>
      </w:r>
      <w:r>
        <w:rPr>
          <w:i/>
          <w:sz w:val="28"/>
          <w:szCs w:val="28"/>
        </w:rPr>
        <w:t>objektiem, uz kuriem attiektos izmeklēšanas pārbaudes (</w:t>
      </w:r>
      <w:proofErr w:type="spellStart"/>
      <w:r>
        <w:rPr>
          <w:i/>
          <w:sz w:val="28"/>
          <w:szCs w:val="28"/>
        </w:rPr>
        <w:t>inquiry</w:t>
      </w:r>
      <w:proofErr w:type="spellEnd"/>
      <w:r>
        <w:rPr>
          <w:i/>
          <w:sz w:val="28"/>
          <w:szCs w:val="28"/>
        </w:rPr>
        <w:t xml:space="preserve"> </w:t>
      </w:r>
      <w:proofErr w:type="spellStart"/>
      <w:r>
        <w:rPr>
          <w:i/>
          <w:sz w:val="28"/>
          <w:szCs w:val="28"/>
        </w:rPr>
        <w:t>checks</w:t>
      </w:r>
      <w:proofErr w:type="spellEnd"/>
      <w:r>
        <w:rPr>
          <w:i/>
          <w:sz w:val="28"/>
          <w:szCs w:val="28"/>
        </w:rPr>
        <w:t>)</w:t>
      </w:r>
      <w:r>
        <w:rPr>
          <w:sz w:val="28"/>
          <w:szCs w:val="28"/>
        </w:rPr>
        <w:t xml:space="preserve"> – tiek paredzēts ieviest jaunu pārbaudes veidu – “izmeklēšanas pārbaude”, lai atbalstītu pasākumus cīņā ar terorismu un smagiem noziegumiem. </w:t>
      </w:r>
      <w:r w:rsidRPr="00026652">
        <w:rPr>
          <w:sz w:val="28"/>
          <w:szCs w:val="28"/>
        </w:rPr>
        <w:t>Šis pārbaudes veids ļautu iestādēm apturēt un nopratināt attiecīgo personu, taču neietver personas pārmeklēšanu un aizturēšanu</w:t>
      </w:r>
      <w:r>
        <w:rPr>
          <w:sz w:val="28"/>
          <w:szCs w:val="28"/>
        </w:rPr>
        <w:t>. Ministri tiek aicināti paust viedokli par to, vai paziņojumu par šādām pārbaudēm būtu nepieciešams ievietot SIS un vai šādām pārbaudēm būtu jābūt obligātām</w:t>
      </w:r>
      <w:r w:rsidR="00952C1F">
        <w:rPr>
          <w:sz w:val="28"/>
          <w:szCs w:val="28"/>
        </w:rPr>
        <w:t>.</w:t>
      </w:r>
    </w:p>
    <w:p w14:paraId="55354163" w14:textId="094E7C8E" w:rsidR="00952C1F" w:rsidRPr="00952C1F" w:rsidRDefault="00952C1F" w:rsidP="00026652">
      <w:pPr>
        <w:pStyle w:val="ListParagraph"/>
        <w:numPr>
          <w:ilvl w:val="0"/>
          <w:numId w:val="1"/>
        </w:numPr>
        <w:spacing w:line="240" w:lineRule="auto"/>
        <w:jc w:val="both"/>
        <w:rPr>
          <w:i/>
          <w:sz w:val="28"/>
          <w:szCs w:val="28"/>
        </w:rPr>
      </w:pPr>
      <w:r w:rsidRPr="00952C1F">
        <w:rPr>
          <w:i/>
          <w:sz w:val="28"/>
          <w:szCs w:val="28"/>
        </w:rPr>
        <w:t>SIS izmantošanas uzlabošana tiesu sadarbības jomā</w:t>
      </w:r>
      <w:r>
        <w:rPr>
          <w:sz w:val="28"/>
          <w:szCs w:val="28"/>
        </w:rPr>
        <w:t xml:space="preserve"> – ministri tiek aicināti izteikt viedokli par to, vai būtu nepieciešams tālāk izpētīt jautājumu par SIS izmantošanas iespējām tiesu sadarbības krimināllietās jomā.</w:t>
      </w:r>
    </w:p>
    <w:p w14:paraId="770908A3" w14:textId="033A8477" w:rsidR="00092FC1" w:rsidRDefault="00141862" w:rsidP="00092FC1">
      <w:pPr>
        <w:spacing w:line="240" w:lineRule="auto"/>
        <w:ind w:firstLine="720"/>
        <w:jc w:val="both"/>
        <w:rPr>
          <w:sz w:val="28"/>
          <w:szCs w:val="28"/>
        </w:rPr>
      </w:pPr>
      <w:r>
        <w:rPr>
          <w:sz w:val="28"/>
          <w:szCs w:val="28"/>
        </w:rPr>
        <w:t xml:space="preserve">Dalībai sanāksmē ir sagatavota </w:t>
      </w:r>
      <w:r w:rsidR="00092FC1">
        <w:rPr>
          <w:sz w:val="28"/>
          <w:szCs w:val="28"/>
        </w:rPr>
        <w:t>nacionālā pozīcija.</w:t>
      </w:r>
    </w:p>
    <w:p w14:paraId="0EF63343" w14:textId="1E502224" w:rsidR="00092FC1" w:rsidRDefault="00092FC1" w:rsidP="00092FC1">
      <w:pPr>
        <w:spacing w:line="240" w:lineRule="auto"/>
        <w:ind w:firstLine="720"/>
        <w:jc w:val="both"/>
        <w:rPr>
          <w:sz w:val="28"/>
          <w:szCs w:val="28"/>
        </w:rPr>
      </w:pPr>
    </w:p>
    <w:p w14:paraId="5C46C84A" w14:textId="76376FF6" w:rsidR="00092FC1" w:rsidRPr="00092FC1" w:rsidRDefault="00466F12" w:rsidP="00092FC1">
      <w:pPr>
        <w:pStyle w:val="ListParagraph"/>
        <w:numPr>
          <w:ilvl w:val="0"/>
          <w:numId w:val="1"/>
        </w:numPr>
        <w:spacing w:line="240" w:lineRule="auto"/>
        <w:jc w:val="both"/>
        <w:rPr>
          <w:sz w:val="28"/>
          <w:szCs w:val="28"/>
        </w:rPr>
      </w:pPr>
      <w:r>
        <w:rPr>
          <w:b/>
          <w:sz w:val="28"/>
          <w:szCs w:val="28"/>
        </w:rPr>
        <w:t>Aktualitātes</w:t>
      </w:r>
      <w:r w:rsidR="00092FC1">
        <w:rPr>
          <w:b/>
          <w:sz w:val="28"/>
          <w:szCs w:val="28"/>
        </w:rPr>
        <w:t xml:space="preserve"> migrācijas jomā</w:t>
      </w:r>
    </w:p>
    <w:p w14:paraId="4ABAC044" w14:textId="188F4B6B" w:rsidR="004A4E0C" w:rsidRDefault="004A4E0C" w:rsidP="003C680D">
      <w:pPr>
        <w:spacing w:line="240" w:lineRule="auto"/>
        <w:ind w:firstLine="720"/>
        <w:jc w:val="both"/>
        <w:rPr>
          <w:sz w:val="28"/>
          <w:szCs w:val="28"/>
        </w:rPr>
      </w:pPr>
      <w:r>
        <w:rPr>
          <w:sz w:val="28"/>
          <w:szCs w:val="28"/>
        </w:rPr>
        <w:t>Migrācijas jautājumi turpina būt Eiropas Savienības darba kārtībā. Pēc pagājušā gada martā noslēgtās ES – Turcijas vienošanās spēkā stāšanās strauji samazinājās cilvēku plūsmas uz Grieķiju. Savukārt situācija Centrālajā Vidusjūrā turpina būt galvenais bažu iemesls ES dalībvalstīm. Uzlabojoties laika apstākļiem un sākoties vasaras sezonai, bažas par migrācijas plūsmu krasu pieaugumu pastiprinās.</w:t>
      </w:r>
    </w:p>
    <w:p w14:paraId="34E6E295" w14:textId="4131D10A" w:rsidR="004A4E0C" w:rsidRDefault="004A4E0C" w:rsidP="003C680D">
      <w:pPr>
        <w:spacing w:line="240" w:lineRule="auto"/>
        <w:ind w:firstLine="720"/>
        <w:jc w:val="both"/>
        <w:rPr>
          <w:sz w:val="28"/>
          <w:szCs w:val="28"/>
        </w:rPr>
      </w:pPr>
      <w:r>
        <w:rPr>
          <w:sz w:val="28"/>
          <w:szCs w:val="28"/>
        </w:rPr>
        <w:t>Šajā sanāksmē ministri tiks iepazīstināti ar pašreizējo situāciju, kā arī īstenoto pasākumu rezultātiem. Tāpat ministri apmainīsies ar viedokļiem par turpmāk veicamajiem pasākumiem, lai mazinātu migrācijas plūsmas.</w:t>
      </w:r>
    </w:p>
    <w:p w14:paraId="67337727" w14:textId="77777777" w:rsidR="009A6D7F" w:rsidRDefault="009A6D7F" w:rsidP="0082291E">
      <w:pPr>
        <w:spacing w:line="240" w:lineRule="auto"/>
        <w:ind w:firstLine="720"/>
        <w:jc w:val="both"/>
        <w:rPr>
          <w:sz w:val="28"/>
          <w:szCs w:val="28"/>
        </w:rPr>
      </w:pPr>
      <w:r>
        <w:rPr>
          <w:sz w:val="28"/>
          <w:szCs w:val="28"/>
        </w:rPr>
        <w:t>Jauna pozīcija netiks gatavota. Latvijas viedoklis atbilst līdz šim apstiprinātajām Latvijas pozīcijām migrācijas un patvēruma jomā.</w:t>
      </w:r>
    </w:p>
    <w:p w14:paraId="3C6EFDA4" w14:textId="77777777" w:rsidR="004C0897" w:rsidRDefault="004C0897" w:rsidP="009A6D7F">
      <w:pPr>
        <w:spacing w:line="240" w:lineRule="auto"/>
        <w:jc w:val="both"/>
        <w:rPr>
          <w:b/>
          <w:sz w:val="28"/>
          <w:szCs w:val="28"/>
          <w:u w:val="single"/>
        </w:rPr>
      </w:pPr>
    </w:p>
    <w:p w14:paraId="6F3CE8C0" w14:textId="77777777" w:rsidR="00466F12" w:rsidRDefault="00466F12">
      <w:pPr>
        <w:widowControl/>
        <w:spacing w:after="160" w:line="259" w:lineRule="auto"/>
        <w:rPr>
          <w:b/>
          <w:sz w:val="28"/>
          <w:szCs w:val="28"/>
          <w:u w:val="single"/>
        </w:rPr>
      </w:pPr>
      <w:r>
        <w:rPr>
          <w:b/>
          <w:sz w:val="28"/>
          <w:szCs w:val="28"/>
          <w:u w:val="single"/>
        </w:rPr>
        <w:br w:type="page"/>
      </w:r>
    </w:p>
    <w:p w14:paraId="09055AB1" w14:textId="47CF1A9E" w:rsidR="009A6D7F" w:rsidRPr="004C0897" w:rsidRDefault="009A6D7F" w:rsidP="009A6D7F">
      <w:pPr>
        <w:spacing w:line="240" w:lineRule="auto"/>
        <w:jc w:val="both"/>
        <w:rPr>
          <w:sz w:val="28"/>
          <w:szCs w:val="28"/>
        </w:rPr>
      </w:pPr>
      <w:r w:rsidRPr="004C0897">
        <w:rPr>
          <w:b/>
          <w:sz w:val="28"/>
          <w:szCs w:val="28"/>
          <w:u w:val="single"/>
        </w:rPr>
        <w:lastRenderedPageBreak/>
        <w:t>Latvijas viedoklis</w:t>
      </w:r>
      <w:r w:rsidRPr="004C0897">
        <w:rPr>
          <w:sz w:val="28"/>
          <w:szCs w:val="28"/>
        </w:rPr>
        <w:t>:</w:t>
      </w:r>
    </w:p>
    <w:p w14:paraId="77B6D7DE" w14:textId="3E2FD66D" w:rsidR="00345E83" w:rsidRDefault="009A6D7F" w:rsidP="00345E83">
      <w:pPr>
        <w:spacing w:after="120" w:line="240" w:lineRule="auto"/>
        <w:jc w:val="both"/>
        <w:rPr>
          <w:i/>
          <w:sz w:val="28"/>
          <w:szCs w:val="28"/>
        </w:rPr>
      </w:pPr>
      <w:r w:rsidRPr="004C0897">
        <w:rPr>
          <w:bCs/>
          <w:i/>
          <w:sz w:val="28"/>
          <w:szCs w:val="28"/>
        </w:rPr>
        <w:t xml:space="preserve">Latvija </w:t>
      </w:r>
      <w:r w:rsidR="00345E83">
        <w:rPr>
          <w:bCs/>
          <w:i/>
          <w:sz w:val="28"/>
          <w:szCs w:val="28"/>
        </w:rPr>
        <w:t xml:space="preserve">uzskata, ka nepieciešama </w:t>
      </w:r>
      <w:r w:rsidR="00345E83" w:rsidRPr="00345E83">
        <w:rPr>
          <w:b/>
          <w:i/>
          <w:sz w:val="28"/>
          <w:szCs w:val="28"/>
          <w:lang w:eastAsia="lv-LV"/>
        </w:rPr>
        <w:t>visaptveroša pieeja efektīvai un ilgtspējīgai migrācijas plūsmu pārvaldībai</w:t>
      </w:r>
      <w:r w:rsidR="00345E83" w:rsidRPr="00345E83">
        <w:rPr>
          <w:i/>
          <w:sz w:val="28"/>
          <w:szCs w:val="28"/>
          <w:lang w:eastAsia="lv-LV"/>
        </w:rPr>
        <w:t>, jo</w:t>
      </w:r>
      <w:r w:rsidR="00345E83" w:rsidRPr="00345E83">
        <w:rPr>
          <w:i/>
          <w:sz w:val="28"/>
          <w:szCs w:val="28"/>
        </w:rPr>
        <w:t xml:space="preserve"> neviens atsevišķs ES migrācijas politikas instruments vai pasākums nav universāls risinājums, kas nodrošinās rezultātu.</w:t>
      </w:r>
    </w:p>
    <w:p w14:paraId="42FEEAB3" w14:textId="66FC6BEB" w:rsidR="00345E83" w:rsidRPr="00345E83" w:rsidRDefault="00345E83" w:rsidP="00345E83">
      <w:pPr>
        <w:spacing w:after="120" w:line="240" w:lineRule="auto"/>
        <w:jc w:val="both"/>
        <w:rPr>
          <w:bCs/>
          <w:i/>
          <w:sz w:val="28"/>
          <w:szCs w:val="28"/>
        </w:rPr>
      </w:pPr>
      <w:r w:rsidRPr="00345E83">
        <w:rPr>
          <w:bCs/>
          <w:i/>
          <w:sz w:val="28"/>
          <w:szCs w:val="28"/>
        </w:rPr>
        <w:t>Latvijas vērtējumā</w:t>
      </w:r>
      <w:r w:rsidRPr="00345E83">
        <w:rPr>
          <w:b/>
          <w:bCs/>
          <w:i/>
          <w:sz w:val="28"/>
          <w:szCs w:val="28"/>
        </w:rPr>
        <w:t xml:space="preserve"> visaptverošas pieejas nodrošināšana ir vitāli svarīga</w:t>
      </w:r>
      <w:r w:rsidRPr="00345E83">
        <w:rPr>
          <w:bCs/>
          <w:i/>
          <w:sz w:val="28"/>
          <w:szCs w:val="28"/>
        </w:rPr>
        <w:t xml:space="preserve">, lai pēc iespējas apturētu migrācijas plūsmas pirms ES robežas. Šajā kontekstā būtiski ir turpināt </w:t>
      </w:r>
      <w:r w:rsidRPr="00345E83">
        <w:rPr>
          <w:b/>
          <w:bCs/>
          <w:i/>
          <w:sz w:val="28"/>
          <w:szCs w:val="28"/>
        </w:rPr>
        <w:t>stiprināt ārējo robežu pārvaldību</w:t>
      </w:r>
      <w:r w:rsidRPr="00345E83">
        <w:rPr>
          <w:bCs/>
          <w:i/>
          <w:sz w:val="28"/>
          <w:szCs w:val="28"/>
        </w:rPr>
        <w:t xml:space="preserve">. Tāpat ir jāpieliek maksimālas pūles </w:t>
      </w:r>
      <w:r w:rsidRPr="00345E83">
        <w:rPr>
          <w:b/>
          <w:bCs/>
          <w:i/>
          <w:sz w:val="28"/>
          <w:szCs w:val="28"/>
        </w:rPr>
        <w:t>efektīvas atgriešanas politikas īstenošanā</w:t>
      </w:r>
      <w:r w:rsidRPr="00345E83">
        <w:rPr>
          <w:bCs/>
          <w:i/>
          <w:sz w:val="28"/>
          <w:szCs w:val="28"/>
        </w:rPr>
        <w:t xml:space="preserve">, tādējādi mazinot </w:t>
      </w:r>
      <w:proofErr w:type="spellStart"/>
      <w:r w:rsidRPr="00345E83">
        <w:rPr>
          <w:bCs/>
          <w:i/>
          <w:sz w:val="28"/>
          <w:szCs w:val="28"/>
        </w:rPr>
        <w:t>pull</w:t>
      </w:r>
      <w:proofErr w:type="spellEnd"/>
      <w:r w:rsidRPr="00345E83">
        <w:rPr>
          <w:bCs/>
          <w:i/>
          <w:sz w:val="28"/>
          <w:szCs w:val="28"/>
        </w:rPr>
        <w:t xml:space="preserve"> faktorus. Nozīmīga loma ir arī efektīvai </w:t>
      </w:r>
      <w:r w:rsidRPr="00345E83">
        <w:rPr>
          <w:b/>
          <w:bCs/>
          <w:i/>
          <w:sz w:val="28"/>
          <w:szCs w:val="28"/>
        </w:rPr>
        <w:t>sadarbībai ar galvenajām migrantu izcelsmes un tranzīta valstīm</w:t>
      </w:r>
      <w:r w:rsidRPr="00345E83">
        <w:rPr>
          <w:bCs/>
          <w:i/>
          <w:sz w:val="28"/>
          <w:szCs w:val="28"/>
        </w:rPr>
        <w:t xml:space="preserve"> un </w:t>
      </w:r>
      <w:r w:rsidRPr="00345E83">
        <w:rPr>
          <w:b/>
          <w:bCs/>
          <w:i/>
          <w:sz w:val="28"/>
          <w:szCs w:val="28"/>
        </w:rPr>
        <w:t xml:space="preserve">stratēģiskai komunikācijai </w:t>
      </w:r>
      <w:r w:rsidRPr="00345E83">
        <w:rPr>
          <w:bCs/>
          <w:i/>
          <w:sz w:val="28"/>
          <w:szCs w:val="28"/>
        </w:rPr>
        <w:t xml:space="preserve">galvenajos migrantu </w:t>
      </w:r>
      <w:proofErr w:type="spellStart"/>
      <w:r w:rsidRPr="00345E83">
        <w:rPr>
          <w:bCs/>
          <w:i/>
          <w:sz w:val="28"/>
          <w:szCs w:val="28"/>
        </w:rPr>
        <w:t>tranzītpunktos</w:t>
      </w:r>
      <w:proofErr w:type="spellEnd"/>
      <w:r w:rsidRPr="00345E83">
        <w:rPr>
          <w:bCs/>
          <w:i/>
          <w:sz w:val="28"/>
          <w:szCs w:val="28"/>
        </w:rPr>
        <w:t>, lai neradītu cilvēkos veltas cerības.</w:t>
      </w:r>
    </w:p>
    <w:p w14:paraId="7A65B7AB" w14:textId="2B442537" w:rsidR="00345E83" w:rsidRPr="00345E83" w:rsidRDefault="00345E83" w:rsidP="00345E83">
      <w:pPr>
        <w:spacing w:after="120" w:line="240" w:lineRule="auto"/>
        <w:jc w:val="both"/>
        <w:rPr>
          <w:bCs/>
          <w:i/>
          <w:sz w:val="28"/>
          <w:szCs w:val="28"/>
        </w:rPr>
      </w:pPr>
      <w:r>
        <w:rPr>
          <w:i/>
          <w:sz w:val="28"/>
          <w:szCs w:val="28"/>
        </w:rPr>
        <w:t xml:space="preserve">Latvija piekrīt, ka </w:t>
      </w:r>
      <w:r w:rsidRPr="00345E83">
        <w:rPr>
          <w:b/>
          <w:i/>
          <w:sz w:val="28"/>
          <w:szCs w:val="28"/>
        </w:rPr>
        <w:t>solidaritāte un atbildība</w:t>
      </w:r>
      <w:r>
        <w:rPr>
          <w:i/>
          <w:sz w:val="28"/>
          <w:szCs w:val="28"/>
        </w:rPr>
        <w:t xml:space="preserve"> ir neatņemami ES migrācijas un patvēruma politiku elementi. Vienlaikus Latvija stingri iestājas par to, ka dalība jebkādos </w:t>
      </w:r>
      <w:r w:rsidRPr="00345E83">
        <w:rPr>
          <w:b/>
          <w:bCs/>
          <w:i/>
          <w:sz w:val="28"/>
          <w:szCs w:val="28"/>
        </w:rPr>
        <w:t>solidaritātes pasākumos var tikt īstenota tikai un vienīgi uz brīvprātības pamatiem</w:t>
      </w:r>
      <w:r w:rsidRPr="00345E83">
        <w:rPr>
          <w:bCs/>
          <w:i/>
          <w:sz w:val="28"/>
          <w:szCs w:val="28"/>
        </w:rPr>
        <w:t>.</w:t>
      </w:r>
    </w:p>
    <w:p w14:paraId="0D735B0E" w14:textId="77777777" w:rsidR="00345E83" w:rsidRDefault="00345E83" w:rsidP="00345E83">
      <w:pPr>
        <w:spacing w:line="240" w:lineRule="auto"/>
        <w:jc w:val="both"/>
        <w:rPr>
          <w:i/>
          <w:sz w:val="28"/>
          <w:szCs w:val="28"/>
        </w:rPr>
      </w:pPr>
    </w:p>
    <w:p w14:paraId="1D78D33F" w14:textId="01364814" w:rsidR="00345E83" w:rsidRDefault="00345E83" w:rsidP="00345E83">
      <w:pPr>
        <w:spacing w:line="240" w:lineRule="auto"/>
        <w:jc w:val="both"/>
        <w:rPr>
          <w:sz w:val="28"/>
          <w:szCs w:val="28"/>
        </w:rPr>
      </w:pPr>
      <w:r>
        <w:rPr>
          <w:sz w:val="28"/>
          <w:szCs w:val="28"/>
        </w:rPr>
        <w:t xml:space="preserve">Līdztekus šiem jautājumiem ministri tiks informēti par panākto progresu diskusijās par Eiropas Kopējās Patvēruma sistēmas reformu, pašreizējo situāciju atgriešanas īstenošanā, kā arī iepazīstināti ar progresa ziņojumu </w:t>
      </w:r>
      <w:proofErr w:type="gramStart"/>
      <w:r>
        <w:rPr>
          <w:sz w:val="28"/>
          <w:szCs w:val="28"/>
        </w:rPr>
        <w:t>par Padomes ceļveža informācijas apmaiņas un informācijas</w:t>
      </w:r>
      <w:proofErr w:type="gramEnd"/>
      <w:r>
        <w:rPr>
          <w:sz w:val="28"/>
          <w:szCs w:val="28"/>
        </w:rPr>
        <w:t xml:space="preserve"> pārvaldības uzlabošanā īstenošanu</w:t>
      </w:r>
      <w:r w:rsidR="00473976">
        <w:rPr>
          <w:sz w:val="28"/>
          <w:szCs w:val="28"/>
        </w:rPr>
        <w:t>. Igaunijas delegācija iepazīstinās ar darba programmu iekšlietu jomā turpmākajiem sešiem mēnešiem.</w:t>
      </w:r>
    </w:p>
    <w:p w14:paraId="3F4CE357" w14:textId="77777777" w:rsidR="00345E83" w:rsidRPr="00345E83" w:rsidRDefault="00345E83" w:rsidP="00345E83">
      <w:pPr>
        <w:spacing w:line="240" w:lineRule="auto"/>
        <w:jc w:val="both"/>
        <w:rPr>
          <w:b/>
          <w:sz w:val="28"/>
          <w:szCs w:val="28"/>
        </w:rPr>
      </w:pPr>
    </w:p>
    <w:p w14:paraId="29454F9A" w14:textId="77777777" w:rsidR="004C0897" w:rsidRPr="006055EC" w:rsidRDefault="004C0897" w:rsidP="004C0897">
      <w:pPr>
        <w:spacing w:line="240" w:lineRule="auto"/>
        <w:jc w:val="center"/>
        <w:rPr>
          <w:b/>
          <w:sz w:val="28"/>
          <w:szCs w:val="28"/>
        </w:rPr>
      </w:pPr>
      <w:r w:rsidRPr="006055EC">
        <w:rPr>
          <w:b/>
          <w:sz w:val="28"/>
          <w:szCs w:val="28"/>
        </w:rPr>
        <w:t>II. Latvijas delegācija</w:t>
      </w:r>
    </w:p>
    <w:p w14:paraId="630B9B63" w14:textId="77777777" w:rsidR="004C0897" w:rsidRPr="006055EC" w:rsidRDefault="004C0897" w:rsidP="004C0897">
      <w:pPr>
        <w:spacing w:line="240" w:lineRule="auto"/>
        <w:jc w:val="center"/>
        <w:rPr>
          <w:b/>
          <w:sz w:val="28"/>
          <w:szCs w:val="28"/>
        </w:rPr>
      </w:pPr>
    </w:p>
    <w:p w14:paraId="4F551A01" w14:textId="77777777" w:rsidR="004C0897" w:rsidRPr="006055EC" w:rsidRDefault="004C0897" w:rsidP="004C0897">
      <w:pPr>
        <w:spacing w:line="240" w:lineRule="auto"/>
        <w:ind w:firstLine="567"/>
        <w:jc w:val="both"/>
        <w:rPr>
          <w:sz w:val="28"/>
          <w:szCs w:val="28"/>
        </w:rPr>
      </w:pPr>
      <w:r w:rsidRPr="006055EC">
        <w:rPr>
          <w:sz w:val="28"/>
          <w:szCs w:val="28"/>
        </w:rPr>
        <w:t xml:space="preserve">Latvijas delegāciju Padomes sanāksmes laikā vadīs </w:t>
      </w:r>
      <w:r>
        <w:rPr>
          <w:sz w:val="28"/>
          <w:szCs w:val="28"/>
        </w:rPr>
        <w:t xml:space="preserve">iekšlietu ministrs Rihards </w:t>
      </w:r>
      <w:r w:rsidRPr="006055EC">
        <w:rPr>
          <w:sz w:val="28"/>
          <w:szCs w:val="28"/>
        </w:rPr>
        <w:t>Kozlovskis.</w:t>
      </w:r>
    </w:p>
    <w:p w14:paraId="386F1C3D" w14:textId="77777777" w:rsidR="00380A37" w:rsidRDefault="00380A37" w:rsidP="004C0897">
      <w:pPr>
        <w:spacing w:line="240" w:lineRule="auto"/>
        <w:jc w:val="both"/>
        <w:rPr>
          <w:sz w:val="28"/>
          <w:szCs w:val="28"/>
        </w:rPr>
      </w:pPr>
    </w:p>
    <w:p w14:paraId="613000C0" w14:textId="77777777" w:rsidR="004C0897" w:rsidRDefault="004C0897" w:rsidP="004C0897">
      <w:pPr>
        <w:spacing w:line="240" w:lineRule="auto"/>
        <w:jc w:val="both"/>
        <w:rPr>
          <w:sz w:val="28"/>
          <w:szCs w:val="28"/>
        </w:rPr>
      </w:pPr>
    </w:p>
    <w:p w14:paraId="0999C26F" w14:textId="6C6B2B75" w:rsidR="004C0897" w:rsidRDefault="004C0897" w:rsidP="004C0897">
      <w:pPr>
        <w:spacing w:line="240" w:lineRule="auto"/>
        <w:jc w:val="both"/>
        <w:rPr>
          <w:sz w:val="28"/>
          <w:szCs w:val="28"/>
        </w:rPr>
      </w:pPr>
      <w:r>
        <w:rPr>
          <w:sz w:val="28"/>
          <w:szCs w:val="28"/>
        </w:rPr>
        <w:t>Iekšlietu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0A37">
        <w:rPr>
          <w:sz w:val="28"/>
          <w:szCs w:val="28"/>
        </w:rPr>
        <w:t xml:space="preserve">Rihards </w:t>
      </w:r>
      <w:r>
        <w:rPr>
          <w:sz w:val="28"/>
          <w:szCs w:val="28"/>
        </w:rPr>
        <w:t>Kozlovskis</w:t>
      </w:r>
    </w:p>
    <w:p w14:paraId="11765868" w14:textId="77777777" w:rsidR="00B33F4A" w:rsidRDefault="00B33F4A" w:rsidP="004C0897">
      <w:pPr>
        <w:spacing w:line="240" w:lineRule="auto"/>
        <w:jc w:val="both"/>
        <w:rPr>
          <w:sz w:val="28"/>
          <w:szCs w:val="28"/>
        </w:rPr>
      </w:pPr>
    </w:p>
    <w:p w14:paraId="042A4CA6" w14:textId="77777777" w:rsidR="00B33F4A" w:rsidRDefault="00B33F4A" w:rsidP="004C0897">
      <w:pPr>
        <w:spacing w:line="240" w:lineRule="auto"/>
        <w:jc w:val="both"/>
        <w:rPr>
          <w:sz w:val="28"/>
          <w:szCs w:val="28"/>
        </w:rPr>
      </w:pPr>
    </w:p>
    <w:p w14:paraId="65CB3EFD" w14:textId="77777777" w:rsidR="00B33F4A" w:rsidRDefault="00B33F4A" w:rsidP="004C0897">
      <w:pPr>
        <w:spacing w:line="240" w:lineRule="auto"/>
        <w:jc w:val="both"/>
        <w:rPr>
          <w:sz w:val="28"/>
          <w:szCs w:val="28"/>
        </w:rPr>
      </w:pPr>
    </w:p>
    <w:p w14:paraId="413C6313" w14:textId="77777777" w:rsidR="00B33F4A" w:rsidRDefault="00B33F4A" w:rsidP="004C0897">
      <w:pPr>
        <w:spacing w:line="240" w:lineRule="auto"/>
        <w:jc w:val="both"/>
        <w:rPr>
          <w:sz w:val="28"/>
          <w:szCs w:val="28"/>
        </w:rPr>
      </w:pPr>
    </w:p>
    <w:p w14:paraId="44B1B0B6" w14:textId="77777777" w:rsidR="00B33F4A" w:rsidRDefault="00B33F4A" w:rsidP="004C0897">
      <w:pPr>
        <w:spacing w:line="240" w:lineRule="auto"/>
        <w:jc w:val="both"/>
        <w:rPr>
          <w:sz w:val="28"/>
          <w:szCs w:val="28"/>
        </w:rPr>
      </w:pPr>
    </w:p>
    <w:p w14:paraId="6F28C4DF" w14:textId="2128A67C" w:rsidR="00380A37" w:rsidRDefault="00642BFF" w:rsidP="004C0897">
      <w:pPr>
        <w:spacing w:line="240" w:lineRule="auto"/>
        <w:jc w:val="both"/>
        <w:rPr>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Pr>
          <w:bCs/>
          <w:noProof/>
          <w:sz w:val="20"/>
        </w:rPr>
        <w:t>02.06.2017.</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Pr>
          <w:bCs/>
          <w:noProof/>
          <w:sz w:val="20"/>
        </w:rPr>
        <w:t>13:07</w:t>
      </w:r>
      <w:r w:rsidRPr="00AA7525">
        <w:rPr>
          <w:bCs/>
          <w:sz w:val="20"/>
        </w:rPr>
        <w:fldChar w:fldCharType="end"/>
      </w:r>
    </w:p>
    <w:p w14:paraId="047110C7" w14:textId="77777777" w:rsidR="00466F12" w:rsidRDefault="00466F12" w:rsidP="00466F12">
      <w:pPr>
        <w:spacing w:line="240" w:lineRule="auto"/>
        <w:jc w:val="both"/>
        <w:rPr>
          <w:sz w:val="20"/>
        </w:rPr>
      </w:pPr>
      <w:r>
        <w:rPr>
          <w:sz w:val="20"/>
        </w:rPr>
        <w:fldChar w:fldCharType="begin"/>
      </w:r>
      <w:r>
        <w:rPr>
          <w:sz w:val="20"/>
        </w:rPr>
        <w:instrText xml:space="preserve"> NUMWORDS   \* MERGEFORMAT </w:instrText>
      </w:r>
      <w:r>
        <w:rPr>
          <w:sz w:val="20"/>
        </w:rPr>
        <w:fldChar w:fldCharType="separate"/>
      </w:r>
      <w:r w:rsidR="00324E28">
        <w:rPr>
          <w:noProof/>
          <w:sz w:val="20"/>
        </w:rPr>
        <w:t>743</w:t>
      </w:r>
      <w:r>
        <w:rPr>
          <w:sz w:val="20"/>
        </w:rPr>
        <w:fldChar w:fldCharType="end"/>
      </w:r>
      <w:bookmarkStart w:id="0" w:name="_GoBack"/>
      <w:bookmarkEnd w:id="0"/>
    </w:p>
    <w:p w14:paraId="009D4E5B" w14:textId="77777777" w:rsidR="00466F12" w:rsidRDefault="00466F12" w:rsidP="00466F12">
      <w:pPr>
        <w:spacing w:line="240" w:lineRule="auto"/>
        <w:jc w:val="both"/>
        <w:rPr>
          <w:sz w:val="20"/>
        </w:rPr>
      </w:pPr>
      <w:r>
        <w:rPr>
          <w:sz w:val="20"/>
        </w:rPr>
        <w:t>Eiropas lietu un starptautiskās sadarbības departamenta</w:t>
      </w:r>
    </w:p>
    <w:p w14:paraId="2DD3A50B" w14:textId="77777777" w:rsidR="00466F12" w:rsidRDefault="00466F12" w:rsidP="00466F12">
      <w:pPr>
        <w:spacing w:line="240" w:lineRule="auto"/>
        <w:jc w:val="both"/>
        <w:rPr>
          <w:sz w:val="20"/>
        </w:rPr>
      </w:pPr>
      <w:r>
        <w:rPr>
          <w:sz w:val="20"/>
        </w:rPr>
        <w:t>Eiropas lietu nodaļas vadītāja</w:t>
      </w:r>
    </w:p>
    <w:p w14:paraId="2B6F6260" w14:textId="77777777" w:rsidR="00466F12" w:rsidRDefault="00466F12" w:rsidP="00466F12">
      <w:pPr>
        <w:spacing w:line="240" w:lineRule="auto"/>
        <w:jc w:val="both"/>
        <w:rPr>
          <w:sz w:val="20"/>
        </w:rPr>
      </w:pPr>
      <w:r>
        <w:rPr>
          <w:sz w:val="20"/>
        </w:rPr>
        <w:t>I.Muceniece</w:t>
      </w:r>
    </w:p>
    <w:p w14:paraId="6B1DD7E0" w14:textId="77777777" w:rsidR="00466F12" w:rsidRDefault="00466F12" w:rsidP="00466F12">
      <w:pPr>
        <w:spacing w:line="240" w:lineRule="auto"/>
        <w:jc w:val="both"/>
        <w:rPr>
          <w:sz w:val="20"/>
        </w:rPr>
      </w:pPr>
      <w:r>
        <w:rPr>
          <w:sz w:val="20"/>
        </w:rPr>
        <w:t>67219170</w:t>
      </w:r>
    </w:p>
    <w:p w14:paraId="4457B49F" w14:textId="5E768C39" w:rsidR="00380A37" w:rsidRDefault="00466F12" w:rsidP="004C0897">
      <w:pPr>
        <w:spacing w:line="240" w:lineRule="auto"/>
        <w:jc w:val="both"/>
        <w:rPr>
          <w:sz w:val="20"/>
        </w:rPr>
      </w:pPr>
      <w:hyperlink r:id="rId8" w:history="1">
        <w:r w:rsidRPr="002B115C">
          <w:rPr>
            <w:rStyle w:val="Hyperlink"/>
            <w:sz w:val="20"/>
          </w:rPr>
          <w:t>iveta.muceniece@iem.gov.lv</w:t>
        </w:r>
      </w:hyperlink>
    </w:p>
    <w:sectPr w:rsidR="00380A37" w:rsidSect="0094143C">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8097" w14:textId="77777777" w:rsidR="008C7EDA" w:rsidRDefault="008C7EDA" w:rsidP="004C0897">
      <w:pPr>
        <w:spacing w:line="240" w:lineRule="auto"/>
      </w:pPr>
      <w:r>
        <w:separator/>
      </w:r>
    </w:p>
  </w:endnote>
  <w:endnote w:type="continuationSeparator" w:id="0">
    <w:p w14:paraId="5EABA73E" w14:textId="77777777" w:rsidR="008C7EDA" w:rsidRDefault="008C7ED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7EF" w14:textId="701265A2" w:rsidR="004C0897" w:rsidRPr="000E4DC0" w:rsidRDefault="000E4DC0" w:rsidP="000E4DC0">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642BFF">
      <w:rPr>
        <w:i/>
        <w:noProof/>
        <w:sz w:val="20"/>
      </w:rPr>
      <w:t>IEMzino_020617</w:t>
    </w:r>
    <w:r w:rsidRPr="006F1016">
      <w:rPr>
        <w:i/>
        <w:sz w:val="20"/>
      </w:rPr>
      <w:fldChar w:fldCharType="end"/>
    </w:r>
    <w:r w:rsidRPr="006F1016">
      <w:rPr>
        <w:i/>
        <w:sz w:val="20"/>
      </w:rPr>
      <w:t xml:space="preserve">; </w:t>
    </w:r>
    <w:r w:rsidR="00466F12" w:rsidRPr="00466F12">
      <w:rPr>
        <w:i/>
        <w:sz w:val="20"/>
      </w:rPr>
      <w:t>Informatīvais ziņojums par Eiropas Savienības Tieslietu un iekšlietu ministru padomes 2017. gada 8.-9. jūnija sanāksmē iekļautajiem iekšlietu jomas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1"/>
  <w:bookmarkStart w:id="2" w:name="OLE_LINK2"/>
  <w:bookmarkStart w:id="3" w:name="_Hlk484078203"/>
  <w:p w14:paraId="7EFBB045" w14:textId="09767E93" w:rsidR="006F1016" w:rsidRPr="006F1016" w:rsidRDefault="006F1016" w:rsidP="00466F12">
    <w:pPr>
      <w:pStyle w:val="Footer"/>
      <w:jc w:val="both"/>
      <w:rPr>
        <w:i/>
        <w:sz w:val="20"/>
      </w:rPr>
    </w:pPr>
    <w:r w:rsidRPr="006F1016">
      <w:rPr>
        <w:i/>
        <w:sz w:val="20"/>
      </w:rPr>
      <w:fldChar w:fldCharType="begin"/>
    </w:r>
    <w:r w:rsidRPr="006F1016">
      <w:rPr>
        <w:i/>
        <w:sz w:val="20"/>
      </w:rPr>
      <w:instrText xml:space="preserve"> FILENAME   \* MERGEFORMAT </w:instrText>
    </w:r>
    <w:r w:rsidRPr="006F1016">
      <w:rPr>
        <w:i/>
        <w:sz w:val="20"/>
      </w:rPr>
      <w:fldChar w:fldCharType="separate"/>
    </w:r>
    <w:r w:rsidR="00642BFF">
      <w:rPr>
        <w:i/>
        <w:noProof/>
        <w:sz w:val="20"/>
      </w:rPr>
      <w:t>IEMzino_020617</w:t>
    </w:r>
    <w:r w:rsidRPr="006F1016">
      <w:rPr>
        <w:i/>
        <w:sz w:val="20"/>
      </w:rPr>
      <w:fldChar w:fldCharType="end"/>
    </w:r>
    <w:r w:rsidRPr="006F1016">
      <w:rPr>
        <w:i/>
        <w:sz w:val="20"/>
      </w:rPr>
      <w:t xml:space="preserve">; Informatīvais ziņojums par </w:t>
    </w:r>
    <w:bookmarkEnd w:id="1"/>
    <w:bookmarkEnd w:id="2"/>
    <w:bookmarkEnd w:id="3"/>
    <w:r w:rsidR="00466F12" w:rsidRPr="00466F12">
      <w:rPr>
        <w:i/>
        <w:sz w:val="20"/>
      </w:rPr>
      <w:t>Eiropas Savienības Tieslietu un iekšlietu ministru padomes 2017. gada 8.-9. jūnija sanāksmē iekļautajiem iekšlietu jomas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1665F" w14:textId="77777777" w:rsidR="008C7EDA" w:rsidRDefault="008C7EDA" w:rsidP="004C0897">
      <w:pPr>
        <w:spacing w:line="240" w:lineRule="auto"/>
      </w:pPr>
      <w:r>
        <w:separator/>
      </w:r>
    </w:p>
  </w:footnote>
  <w:footnote w:type="continuationSeparator" w:id="0">
    <w:p w14:paraId="78DAB751" w14:textId="77777777" w:rsidR="008C7EDA" w:rsidRDefault="008C7EDA" w:rsidP="004C0897">
      <w:pPr>
        <w:spacing w:line="240" w:lineRule="auto"/>
      </w:pPr>
      <w:r>
        <w:continuationSeparator/>
      </w:r>
    </w:p>
  </w:footnote>
  <w:footnote w:id="1">
    <w:p w14:paraId="1BFDE897" w14:textId="77777777" w:rsidR="00952C1F" w:rsidRPr="00D12E15" w:rsidRDefault="00952C1F" w:rsidP="00952C1F">
      <w:pPr>
        <w:pStyle w:val="FootnoteText"/>
      </w:pPr>
      <w:r>
        <w:rPr>
          <w:rStyle w:val="FootnoteReference"/>
        </w:rPr>
        <w:footnoteRef/>
      </w:r>
      <w:r w:rsidRPr="00D12E15">
        <w:t xml:space="preserve">COM(2016) 731 </w:t>
      </w:r>
      <w:proofErr w:type="spellStart"/>
      <w:r w:rsidRPr="00D12E15">
        <w:t>final</w:t>
      </w:r>
      <w:proofErr w:type="spellEnd"/>
    </w:p>
  </w:footnote>
  <w:footnote w:id="2">
    <w:p w14:paraId="76D0BBA6" w14:textId="3838A4CE" w:rsidR="00952C1F" w:rsidRPr="00EB06EF" w:rsidRDefault="00952C1F" w:rsidP="00952C1F">
      <w:pPr>
        <w:pStyle w:val="FootnoteText"/>
      </w:pPr>
      <w:r>
        <w:rPr>
          <w:rStyle w:val="FootnoteReference"/>
        </w:rPr>
        <w:footnoteRef/>
      </w:r>
      <w:r w:rsidRPr="00EB06EF">
        <w:t>Šengenas valstis +</w:t>
      </w:r>
      <w:r>
        <w:t xml:space="preserve"> Bulgārij</w:t>
      </w:r>
      <w:r w:rsidR="00466F12">
        <w:t>a, Kipra, Horvātija un Rumānija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15EBF240" w:rsidR="0094143C" w:rsidRDefault="0094143C">
        <w:pPr>
          <w:pStyle w:val="Header"/>
          <w:jc w:val="center"/>
        </w:pPr>
        <w:r>
          <w:fldChar w:fldCharType="begin"/>
        </w:r>
        <w:r>
          <w:instrText xml:space="preserve"> PAGE   \* MERGEFORMAT </w:instrText>
        </w:r>
        <w:r>
          <w:fldChar w:fldCharType="separate"/>
        </w:r>
        <w:r w:rsidR="00324E28">
          <w:rPr>
            <w:noProof/>
          </w:rPr>
          <w:t>3</w:t>
        </w:r>
        <w:r>
          <w:rPr>
            <w:noProof/>
          </w:rPr>
          <w:fldChar w:fldCharType="end"/>
        </w:r>
      </w:p>
    </w:sdtContent>
  </w:sdt>
  <w:p w14:paraId="41DC92AF" w14:textId="740A2276" w:rsidR="0094143C" w:rsidRPr="0094143C" w:rsidRDefault="0094143C" w:rsidP="0094143C">
    <w:pPr>
      <w:pStyle w:val="Header"/>
      <w:jc w:val="right"/>
      <w:rPr>
        <w:i/>
      </w:rPr>
    </w:pPr>
    <w:r>
      <w:rPr>
        <w:i/>
      </w:rPr>
      <w:t>Pielikums Nr.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96C2" w14:textId="55A347E6" w:rsidR="0094143C" w:rsidRPr="0094143C" w:rsidRDefault="0094143C" w:rsidP="0094143C">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26652"/>
    <w:rsid w:val="00082394"/>
    <w:rsid w:val="00092FC1"/>
    <w:rsid w:val="000E4DC0"/>
    <w:rsid w:val="00117FB6"/>
    <w:rsid w:val="001323CC"/>
    <w:rsid w:val="00141862"/>
    <w:rsid w:val="00171F63"/>
    <w:rsid w:val="002E5FC3"/>
    <w:rsid w:val="00324E28"/>
    <w:rsid w:val="00327AE5"/>
    <w:rsid w:val="00345E83"/>
    <w:rsid w:val="00380A37"/>
    <w:rsid w:val="00396E58"/>
    <w:rsid w:val="003B6A6B"/>
    <w:rsid w:val="003C680D"/>
    <w:rsid w:val="003D672E"/>
    <w:rsid w:val="00466F12"/>
    <w:rsid w:val="00473976"/>
    <w:rsid w:val="004A4E0C"/>
    <w:rsid w:val="004C0897"/>
    <w:rsid w:val="004C769D"/>
    <w:rsid w:val="004C76A9"/>
    <w:rsid w:val="005214A3"/>
    <w:rsid w:val="005E5997"/>
    <w:rsid w:val="00642BFF"/>
    <w:rsid w:val="006F1016"/>
    <w:rsid w:val="00780408"/>
    <w:rsid w:val="00785F8B"/>
    <w:rsid w:val="007E3874"/>
    <w:rsid w:val="0082291E"/>
    <w:rsid w:val="00836577"/>
    <w:rsid w:val="00882CE3"/>
    <w:rsid w:val="008B139E"/>
    <w:rsid w:val="008B7F97"/>
    <w:rsid w:val="008C7EDA"/>
    <w:rsid w:val="0094143C"/>
    <w:rsid w:val="00952C1F"/>
    <w:rsid w:val="00981DA7"/>
    <w:rsid w:val="009A6D7F"/>
    <w:rsid w:val="00A431E7"/>
    <w:rsid w:val="00A74CEE"/>
    <w:rsid w:val="00B33F4A"/>
    <w:rsid w:val="00B914F0"/>
    <w:rsid w:val="00C93866"/>
    <w:rsid w:val="00CF23CF"/>
    <w:rsid w:val="00DC2C50"/>
    <w:rsid w:val="00DF47F0"/>
    <w:rsid w:val="00EB09FF"/>
    <w:rsid w:val="00EF08B4"/>
    <w:rsid w:val="00EF4B0B"/>
    <w:rsid w:val="00F91AD1"/>
    <w:rsid w:val="00F949B2"/>
    <w:rsid w:val="00FA4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F0"/>
    <w:pPr>
      <w:widowControl w:val="0"/>
      <w:spacing w:after="0" w:line="360" w:lineRule="auto"/>
    </w:pPr>
    <w:rPr>
      <w:rFonts w:ascii="Times New Roman" w:eastAsia="Times New Roman" w:hAnsi="Times New Roman" w:cs="Times New Roman"/>
      <w:sz w:val="24"/>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basedOn w:val="Normal"/>
    <w:link w:val="FootnoteTextChar"/>
    <w:semiHidden/>
    <w:unhideWhenUsed/>
    <w:rsid w:val="00117FB6"/>
    <w:pPr>
      <w:spacing w:line="240" w:lineRule="auto"/>
    </w:pPr>
    <w:rPr>
      <w:sz w:val="20"/>
    </w:rPr>
  </w:style>
  <w:style w:type="character" w:customStyle="1" w:styleId="FootnoteTextChar">
    <w:name w:val="Footnote Text Char"/>
    <w:basedOn w:val="DefaultParagraphFont"/>
    <w:link w:val="FootnoteText"/>
    <w:uiPriority w:val="99"/>
    <w:semiHidden/>
    <w:rsid w:val="00117FB6"/>
    <w:rPr>
      <w:rFonts w:ascii="Times New Roman" w:eastAsia="Times New Roman" w:hAnsi="Times New Roman" w:cs="Times New Roman"/>
      <w:sz w:val="20"/>
      <w:szCs w:val="20"/>
      <w:lang w:eastAsia="fr-BE"/>
    </w:rPr>
  </w:style>
  <w:style w:type="character" w:styleId="FootnoteReference">
    <w:name w:val="footnote reference"/>
    <w:basedOn w:val="DefaultParagraphFont"/>
    <w:semiHidden/>
    <w:unhideWhenUsed/>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7BC7-34F0-44ED-B63F-1CC0C87F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5405</Characters>
  <Application>Microsoft Office Word</Application>
  <DocSecurity>0</DocSecurity>
  <Lines>131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Igors Silantjevs</cp:lastModifiedBy>
  <cp:revision>4</cp:revision>
  <cp:lastPrinted>2017-06-02T10:00:00Z</cp:lastPrinted>
  <dcterms:created xsi:type="dcterms:W3CDTF">2017-06-02T10:00:00Z</dcterms:created>
  <dcterms:modified xsi:type="dcterms:W3CDTF">2017-06-02T10:15:00Z</dcterms:modified>
</cp:coreProperties>
</file>