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p>
    <w:p w:rsidR="00585B7B" w:rsidRDefault="00CC06AB" w:rsidP="00044C6E">
      <w:pPr>
        <w:pStyle w:val="BodyText"/>
        <w:spacing w:after="0"/>
        <w:jc w:val="center"/>
        <w:rPr>
          <w:b/>
          <w:sz w:val="26"/>
          <w:szCs w:val="26"/>
        </w:rPr>
      </w:pPr>
      <w:r>
        <w:rPr>
          <w:b/>
          <w:sz w:val="26"/>
          <w:szCs w:val="26"/>
        </w:rPr>
        <w:t>“</w:t>
      </w:r>
      <w:r w:rsidR="00265EBE" w:rsidRPr="00265EBE">
        <w:rPr>
          <w:b/>
          <w:sz w:val="26"/>
          <w:szCs w:val="26"/>
        </w:rPr>
        <w:t>Par naudas balv</w:t>
      </w:r>
      <w:r w:rsidR="00154D22">
        <w:rPr>
          <w:b/>
          <w:sz w:val="26"/>
          <w:szCs w:val="26"/>
        </w:rPr>
        <w:t>u</w:t>
      </w:r>
      <w:r w:rsidR="00265EBE" w:rsidRPr="00265EBE">
        <w:rPr>
          <w:b/>
          <w:sz w:val="26"/>
          <w:szCs w:val="26"/>
        </w:rPr>
        <w:t xml:space="preserve"> piešķiršanu</w:t>
      </w:r>
      <w:r>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6914B3">
          <w:rPr>
            <w:b/>
            <w:sz w:val="26"/>
            <w:szCs w:val="26"/>
          </w:rPr>
          <w:t>ziņojums</w:t>
        </w:r>
      </w:smartTag>
      <w:r w:rsidR="00585B7B" w:rsidRPr="006914B3">
        <w:rPr>
          <w:b/>
          <w:sz w:val="26"/>
          <w:szCs w:val="26"/>
        </w:rPr>
        <w:t xml:space="preserve"> (anotācija)</w:t>
      </w:r>
    </w:p>
    <w:p w:rsidR="00265EBE" w:rsidRPr="009B2F21" w:rsidRDefault="00265EBE" w:rsidP="00044C6E">
      <w:pPr>
        <w:pStyle w:val="BodyText"/>
        <w:spacing w:after="0"/>
        <w:jc w:val="center"/>
        <w:rPr>
          <w:b/>
          <w:sz w:val="28"/>
          <w:szCs w:val="28"/>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317B6A" w:rsidTr="005A09BC">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317B6A" w:rsidTr="005A09BC">
        <w:trPr>
          <w:trHeight w:val="630"/>
        </w:trPr>
        <w:tc>
          <w:tcPr>
            <w:tcW w:w="709" w:type="dxa"/>
          </w:tcPr>
          <w:p w:rsidR="00585B7B" w:rsidRPr="00317B6A" w:rsidRDefault="00585B7B" w:rsidP="00BD696A">
            <w:pPr>
              <w:pStyle w:val="naiskr"/>
              <w:spacing w:before="0" w:after="0"/>
              <w:jc w:val="center"/>
            </w:pPr>
            <w:r w:rsidRPr="00317B6A">
              <w:t>1.</w:t>
            </w:r>
          </w:p>
        </w:tc>
        <w:tc>
          <w:tcPr>
            <w:tcW w:w="2547" w:type="dxa"/>
          </w:tcPr>
          <w:p w:rsidR="00585B7B" w:rsidRPr="00317B6A" w:rsidRDefault="00585B7B" w:rsidP="00916055">
            <w:pPr>
              <w:pStyle w:val="naiskr"/>
              <w:spacing w:before="0" w:after="0"/>
              <w:ind w:left="141" w:hanging="10"/>
            </w:pPr>
            <w:r w:rsidRPr="00317B6A">
              <w:t>Pamatojums</w:t>
            </w:r>
          </w:p>
        </w:tc>
        <w:tc>
          <w:tcPr>
            <w:tcW w:w="6804" w:type="dxa"/>
          </w:tcPr>
          <w:p w:rsidR="00545E63" w:rsidRPr="00545E63" w:rsidRDefault="00545E63" w:rsidP="00545E63">
            <w:pPr>
              <w:pStyle w:val="ListParagraph"/>
              <w:numPr>
                <w:ilvl w:val="0"/>
                <w:numId w:val="9"/>
              </w:numPr>
              <w:ind w:left="425" w:right="142" w:hanging="354"/>
              <w:jc w:val="both"/>
            </w:pPr>
            <w:r w:rsidRPr="00545E63">
              <w:t>Nepieciešamība izteikt Ministru kabineta pateicību naudas izteiksmē, lai visaugstākajā izpildvaras līmenī novērtētu tenisistes Jeļenas Ostapenko sasniegumu – izcīnīto pirmo vietu Francijas atklātajā čempionātā tenisā (</w:t>
            </w:r>
            <w:r w:rsidRPr="00545E63">
              <w:rPr>
                <w:i/>
              </w:rPr>
              <w:t>French Open</w:t>
            </w:r>
            <w:r w:rsidRPr="00545E63">
              <w:t>) sieviešu vienspēlēs un iegūto augstākā līmeņa starptautisko tenisa sacensību (</w:t>
            </w:r>
            <w:r w:rsidRPr="00545E63">
              <w:rPr>
                <w:i/>
              </w:rPr>
              <w:t>Grand Slam</w:t>
            </w:r>
            <w:r w:rsidRPr="00545E63">
              <w:t>) uzvarētājas titulu, kā arī novērtētu šī sasnieguma ietekmi uz pozitīva Latvijas arējā tēla veidošanu.</w:t>
            </w:r>
          </w:p>
          <w:p w:rsidR="00A80C14" w:rsidRDefault="00777057" w:rsidP="00A80C14">
            <w:pPr>
              <w:pStyle w:val="ListParagraph"/>
              <w:numPr>
                <w:ilvl w:val="0"/>
                <w:numId w:val="9"/>
              </w:numPr>
              <w:ind w:left="425" w:right="142" w:hanging="354"/>
              <w:jc w:val="both"/>
            </w:pPr>
            <w:r w:rsidRPr="00545E63">
              <w:t>Ministru kabineta 2009.gada 22.decembra noteikumu Nr.1644 “Kārtība, kādā pieprasa un izlieto budžeta programmas “Līdzekļi neparedzētiem gadījumiem” līdzekļus” 2. un 3.punkts.</w:t>
            </w:r>
          </w:p>
          <w:p w:rsidR="00A80C14" w:rsidRPr="00317B6A" w:rsidRDefault="00A80C14" w:rsidP="00A80C14">
            <w:pPr>
              <w:pStyle w:val="ListParagraph"/>
              <w:numPr>
                <w:ilvl w:val="0"/>
                <w:numId w:val="9"/>
              </w:numPr>
              <w:ind w:left="425" w:right="142" w:hanging="354"/>
              <w:jc w:val="both"/>
            </w:pPr>
            <w:r w:rsidRPr="00A80C14">
              <w:t>Latvijas Nacionālās sporta padomes 2017.gada 14.jūnija sēdē nolemtais (prot Nr.3 5.§, 5.2.apakšpunkts).</w:t>
            </w:r>
          </w:p>
        </w:tc>
      </w:tr>
      <w:tr w:rsidR="00585B7B" w:rsidRPr="00317B6A" w:rsidTr="005A09BC">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804" w:type="dxa"/>
          </w:tcPr>
          <w:p w:rsidR="002C2867" w:rsidRDefault="00152CED" w:rsidP="00DD0436">
            <w:pPr>
              <w:ind w:left="132" w:right="127"/>
              <w:jc w:val="both"/>
              <w:rPr>
                <w:rFonts w:eastAsia="Times New Roman"/>
                <w:color w:val="000000"/>
              </w:rPr>
            </w:pPr>
            <w:r>
              <w:rPr>
                <w:rFonts w:eastAsia="Times New Roman"/>
                <w:color w:val="000000"/>
              </w:rPr>
              <w:tab/>
              <w:t xml:space="preserve">2017.gada </w:t>
            </w:r>
            <w:r w:rsidR="00B051E6">
              <w:rPr>
                <w:rFonts w:eastAsia="Times New Roman"/>
                <w:color w:val="000000"/>
              </w:rPr>
              <w:t xml:space="preserve">10.jūnijā Latvijas tenisiste Jeļena Ostapenko </w:t>
            </w:r>
            <w:r w:rsidR="004C1D09">
              <w:t xml:space="preserve"> izcīnīja</w:t>
            </w:r>
            <w:r w:rsidR="00B051E6" w:rsidRPr="00545E63">
              <w:t xml:space="preserve"> pirmo vietu Francijas atklātajā čempionātā tenisā (</w:t>
            </w:r>
            <w:r w:rsidR="00B051E6" w:rsidRPr="00545E63">
              <w:rPr>
                <w:i/>
              </w:rPr>
              <w:t>French Open</w:t>
            </w:r>
            <w:r w:rsidR="00B051E6" w:rsidRPr="00545E63">
              <w:t xml:space="preserve">) sieviešu vienspēlēs un </w:t>
            </w:r>
            <w:r w:rsidR="002F1327">
              <w:t>ieguva</w:t>
            </w:r>
            <w:r w:rsidR="00B051E6" w:rsidRPr="00545E63">
              <w:t xml:space="preserve"> augstākā līmeņa starptautisko tenisa sacensību (</w:t>
            </w:r>
            <w:r w:rsidR="00B051E6" w:rsidRPr="00545E63">
              <w:rPr>
                <w:i/>
              </w:rPr>
              <w:t>Grand Slam</w:t>
            </w:r>
            <w:r w:rsidR="00B051E6" w:rsidRPr="00545E63">
              <w:t>) uzvarētājas titulu</w:t>
            </w:r>
            <w:r w:rsidR="00AA34DE">
              <w:t xml:space="preserve">. </w:t>
            </w:r>
            <w:r w:rsidRPr="00152CED">
              <w:rPr>
                <w:rFonts w:eastAsia="Times New Roman"/>
                <w:color w:val="000000"/>
              </w:rPr>
              <w:t xml:space="preserve">Līdz šim vēl nevienam Latvijas sportistam profesionālajā </w:t>
            </w:r>
            <w:r w:rsidR="00AA34DE">
              <w:rPr>
                <w:rFonts w:eastAsia="Times New Roman"/>
                <w:color w:val="000000"/>
              </w:rPr>
              <w:t>tenisā</w:t>
            </w:r>
            <w:r w:rsidRPr="00152CED">
              <w:rPr>
                <w:rFonts w:eastAsia="Times New Roman"/>
                <w:color w:val="000000"/>
              </w:rPr>
              <w:t xml:space="preserve"> nebija izdevies </w:t>
            </w:r>
            <w:r w:rsidR="00AA34DE">
              <w:rPr>
                <w:rFonts w:eastAsia="Times New Roman"/>
                <w:color w:val="000000"/>
              </w:rPr>
              <w:t>vienspēlēs iegūt</w:t>
            </w:r>
            <w:r w:rsidR="0054598E">
              <w:rPr>
                <w:rFonts w:eastAsia="Times New Roman"/>
                <w:color w:val="000000"/>
              </w:rPr>
              <w:t xml:space="preserve"> </w:t>
            </w:r>
            <w:r w:rsidR="0054598E" w:rsidRPr="00545E63">
              <w:rPr>
                <w:i/>
              </w:rPr>
              <w:t>Grand Slam</w:t>
            </w:r>
            <w:r w:rsidR="0054598E" w:rsidRPr="00545E63">
              <w:t xml:space="preserve"> uzvarētāja titulu</w:t>
            </w:r>
            <w:r w:rsidR="0054598E">
              <w:t>.</w:t>
            </w:r>
            <w:r w:rsidR="00DD0436">
              <w:t xml:space="preserve"> </w:t>
            </w:r>
            <w:r w:rsidR="00562EC6">
              <w:t>J.</w:t>
            </w:r>
            <w:r w:rsidR="00DD0436">
              <w:t xml:space="preserve">Ostapenko uzvaru </w:t>
            </w:r>
            <w:r w:rsidR="00DD0436" w:rsidRPr="00AF750E">
              <w:rPr>
                <w:i/>
              </w:rPr>
              <w:t>French Open</w:t>
            </w:r>
            <w:r w:rsidR="00DD0436">
              <w:t xml:space="preserve"> atspoguļoja mediji daudzās pasaules valstīs (t.sk. lielākie pasaules</w:t>
            </w:r>
            <w:r w:rsidR="005D2A40">
              <w:t xml:space="preserve"> mediji), turklāt finālspēles TV auditorija </w:t>
            </w:r>
            <w:r w:rsidR="008E1715">
              <w:t xml:space="preserve">visā pasaulē </w:t>
            </w:r>
            <w:r w:rsidR="005D2A40">
              <w:t>bija vismaz 500 miljoni skatītāju.</w:t>
            </w:r>
            <w:r w:rsidR="00D82FCA">
              <w:t xml:space="preserve"> Šis sasniegums ir atzīstams par izcilāko sasniegumu Latvijas tenisa</w:t>
            </w:r>
            <w:r w:rsidR="0079314E">
              <w:t xml:space="preserve"> vēsturē</w:t>
            </w:r>
            <w:r w:rsidR="00D82FCA">
              <w:t xml:space="preserve">, kā arī par vienu no izcilākajiem sasniegumiem </w:t>
            </w:r>
            <w:r w:rsidR="00D82FCA" w:rsidRPr="00D82FCA">
              <w:t>Latvijas sporta vēsturē</w:t>
            </w:r>
            <w:r w:rsidR="001D3F72">
              <w:t xml:space="preserve"> kopumā</w:t>
            </w:r>
            <w:r w:rsidR="00D82FCA">
              <w:t>.</w:t>
            </w:r>
          </w:p>
          <w:p w:rsidR="008E1715" w:rsidRDefault="00E35ED4" w:rsidP="00B33B7C">
            <w:pPr>
              <w:ind w:left="132" w:right="127"/>
              <w:jc w:val="both"/>
              <w:rPr>
                <w:rFonts w:eastAsia="Times New Roman"/>
                <w:color w:val="000000"/>
              </w:rPr>
            </w:pPr>
            <w:r>
              <w:rPr>
                <w:rFonts w:eastAsia="Times New Roman"/>
                <w:color w:val="000000"/>
              </w:rPr>
              <w:tab/>
              <w:t xml:space="preserve">Saskaņā ar Sporta likuma 14.panta pirmo daļu </w:t>
            </w:r>
            <w:r w:rsidRPr="00E35ED4">
              <w:rPr>
                <w:rFonts w:eastAsia="Times New Roman"/>
                <w:color w:val="000000"/>
              </w:rPr>
              <w:t>Latvijas sportistiem, viņu treneriem, sportistus apkalpojošajiem sporta darbiniekiem, tai skaitā sporta ārstiem, apkalpojošajam personālam un attiecīgajām sporta federācijām Ministru kabinets var piešķirt naudas balvas par izciliem sasniegumiem sportā.</w:t>
            </w:r>
            <w:r>
              <w:rPr>
                <w:rFonts w:eastAsia="Times New Roman"/>
                <w:color w:val="000000"/>
              </w:rPr>
              <w:t xml:space="preserve"> Ievērojot Sporta likuma 14.panta otrajā daļā noteikto deleģējumu, Ministru kabinets ir izdevis </w:t>
            </w:r>
            <w:r w:rsidRPr="00E35ED4">
              <w:rPr>
                <w:rFonts w:eastAsia="Times New Roman"/>
                <w:color w:val="000000"/>
              </w:rPr>
              <w:t>Ministru kabineta 2012.gada 3.janvāra noteikum</w:t>
            </w:r>
            <w:r>
              <w:rPr>
                <w:rFonts w:eastAsia="Times New Roman"/>
                <w:color w:val="000000"/>
              </w:rPr>
              <w:t>us</w:t>
            </w:r>
            <w:r w:rsidRPr="00E35ED4">
              <w:rPr>
                <w:rFonts w:eastAsia="Times New Roman"/>
                <w:color w:val="000000"/>
              </w:rPr>
              <w:t xml:space="preserve"> Nr.26 “Noteikumi par kārtību, kādā piešķiramas naudas balvas par izciliem sasniegumiem sportā, un naudas balvas apmēru” (turpmāk – Noteikumi).</w:t>
            </w:r>
            <w:r w:rsidR="00B33B7C">
              <w:rPr>
                <w:rFonts w:eastAsia="Times New Roman"/>
                <w:color w:val="000000"/>
              </w:rPr>
              <w:t xml:space="preserve"> Saskaņā ar Noteikumu 3.punktu naudas balvas par izciliem sasniegumiem sportā p</w:t>
            </w:r>
            <w:r w:rsidR="00B33B7C" w:rsidRPr="00B33B7C">
              <w:rPr>
                <w:rFonts w:eastAsia="Times New Roman"/>
                <w:color w:val="000000"/>
              </w:rPr>
              <w:t>iešķir par sasniegumiem, kas izcīnīti oficiālajās starptautiskajās klātienes sporta sacensībās, kuras ir iekļautas attiecīgās starptautiskās sporta federācijas sacensību kalendārā, ja minētā sporta federācija ir atzīta Starptautiskajā Olimpiskajā komitejā (IOC) vai Starptautiskajā Paralimpiskajā komitejā (IPC) vai ir Starptautisko sporta federāciju asociācijas (</w:t>
            </w:r>
            <w:r w:rsidR="00B33B7C" w:rsidRPr="00B33B7C">
              <w:rPr>
                <w:rFonts w:eastAsia="Times New Roman"/>
                <w:i/>
                <w:color w:val="000000"/>
              </w:rPr>
              <w:t>SportAccord</w:t>
            </w:r>
            <w:r w:rsidR="00B33B7C" w:rsidRPr="00B33B7C">
              <w:rPr>
                <w:rFonts w:eastAsia="Times New Roman"/>
                <w:color w:val="000000"/>
              </w:rPr>
              <w:t xml:space="preserve">) biedre. </w:t>
            </w:r>
            <w:r w:rsidR="008E1715">
              <w:rPr>
                <w:rFonts w:eastAsia="Times New Roman"/>
                <w:color w:val="000000"/>
              </w:rPr>
              <w:t>Noteikumu 3.punktā minētie sporta sacensību veidi (līmeņi), par sasniegumiem kurās var tikt piešķirtas naudas balvas, neparedz šādas</w:t>
            </w:r>
            <w:r w:rsidR="00DF2576">
              <w:rPr>
                <w:rFonts w:eastAsia="Times New Roman"/>
                <w:color w:val="000000"/>
              </w:rPr>
              <w:t xml:space="preserve"> (</w:t>
            </w:r>
            <w:r w:rsidR="00DF2576" w:rsidRPr="00DF2576">
              <w:rPr>
                <w:rFonts w:eastAsia="Times New Roman"/>
                <w:i/>
                <w:color w:val="000000"/>
              </w:rPr>
              <w:t>Grand Slam</w:t>
            </w:r>
            <w:r w:rsidR="00DF2576">
              <w:rPr>
                <w:rFonts w:eastAsia="Times New Roman"/>
                <w:color w:val="000000"/>
              </w:rPr>
              <w:t>)</w:t>
            </w:r>
            <w:r w:rsidR="008E1715">
              <w:rPr>
                <w:rFonts w:eastAsia="Times New Roman"/>
                <w:color w:val="000000"/>
              </w:rPr>
              <w:t xml:space="preserve"> sacensības.</w:t>
            </w:r>
          </w:p>
          <w:p w:rsidR="006745D6" w:rsidRDefault="008E1715" w:rsidP="00B33B7C">
            <w:pPr>
              <w:ind w:left="132" w:right="127"/>
              <w:jc w:val="both"/>
              <w:rPr>
                <w:rFonts w:eastAsia="Times New Roman"/>
                <w:color w:val="000000"/>
              </w:rPr>
            </w:pPr>
            <w:r>
              <w:rPr>
                <w:rFonts w:eastAsia="Times New Roman"/>
                <w:color w:val="000000"/>
              </w:rPr>
              <w:tab/>
            </w:r>
            <w:r w:rsidR="006745D6" w:rsidRPr="00545E63">
              <w:rPr>
                <w:i/>
              </w:rPr>
              <w:t xml:space="preserve"> Grand Slam</w:t>
            </w:r>
            <w:r w:rsidR="006745D6">
              <w:t xml:space="preserve"> turnīri tiek uzskatīti par a</w:t>
            </w:r>
            <w:r w:rsidR="006745D6" w:rsidRPr="00545E63">
              <w:t>ugstākā līmeņa starptautis</w:t>
            </w:r>
            <w:r w:rsidR="006745D6">
              <w:t xml:space="preserve">kajām tenisa sacensībām un gada laikā ir tikai četri šādi turnīri – </w:t>
            </w:r>
            <w:r w:rsidR="006745D6" w:rsidRPr="00DF636C">
              <w:rPr>
                <w:i/>
              </w:rPr>
              <w:t>Australian Open</w:t>
            </w:r>
            <w:r w:rsidR="006745D6">
              <w:t xml:space="preserve"> (Austrālijā), </w:t>
            </w:r>
            <w:r w:rsidR="006745D6" w:rsidRPr="00DF636C">
              <w:rPr>
                <w:i/>
              </w:rPr>
              <w:t>French Open</w:t>
            </w:r>
            <w:r w:rsidR="006745D6">
              <w:t xml:space="preserve"> (Francijā), </w:t>
            </w:r>
            <w:r w:rsidR="006745D6" w:rsidRPr="00DF636C">
              <w:rPr>
                <w:i/>
              </w:rPr>
              <w:t>Wimbledon</w:t>
            </w:r>
            <w:r w:rsidR="006745D6">
              <w:t xml:space="preserve"> (Lielbritānijā) un </w:t>
            </w:r>
            <w:r w:rsidR="006745D6" w:rsidRPr="00DF636C">
              <w:rPr>
                <w:i/>
              </w:rPr>
              <w:t>US Open</w:t>
            </w:r>
            <w:r w:rsidR="006745D6">
              <w:t xml:space="preserve"> (Amerikas Savienotajās valstīs). </w:t>
            </w:r>
            <w:r w:rsidR="00676EAC">
              <w:rPr>
                <w:rFonts w:eastAsia="Times New Roman"/>
                <w:color w:val="000000"/>
              </w:rPr>
              <w:t xml:space="preserve">Lai gan teniss ir olimpiskais sporta veids, tā starptautiskās </w:t>
            </w:r>
            <w:r w:rsidR="00DF636C">
              <w:rPr>
                <w:rFonts w:eastAsia="Times New Roman"/>
                <w:color w:val="000000"/>
              </w:rPr>
              <w:lastRenderedPageBreak/>
              <w:t>specifikas</w:t>
            </w:r>
            <w:r w:rsidR="001F6C88">
              <w:rPr>
                <w:rFonts w:eastAsia="Times New Roman"/>
                <w:color w:val="000000"/>
              </w:rPr>
              <w:t xml:space="preserve"> un komercializācijas </w:t>
            </w:r>
            <w:r w:rsidR="00DF636C">
              <w:rPr>
                <w:rFonts w:eastAsia="Times New Roman"/>
                <w:color w:val="000000"/>
              </w:rPr>
              <w:t>dēļ tenisā netiek organizēti pasaules čempionāti vai Eiropas čempionāti, kā arī nenotiek pasaules kausa izcīņa</w:t>
            </w:r>
            <w:r w:rsidR="006745D6">
              <w:rPr>
                <w:rFonts w:eastAsia="Times New Roman"/>
                <w:color w:val="000000"/>
              </w:rPr>
              <w:t xml:space="preserve">. Līdzīga situācija vēl ir arī profesionālajā golfā. Tādejādi, ievērojot šobrīd spēkā esošo Noteikumu redakciju, valsts (Ministru kabineta) naudas balva par J.Ostapenko izcilo sasniegumu sportā </w:t>
            </w:r>
            <w:r w:rsidR="006745D6">
              <w:t xml:space="preserve">nevar tikt piešķirta. </w:t>
            </w:r>
            <w:r w:rsidR="006745D6">
              <w:rPr>
                <w:rFonts w:eastAsia="Times New Roman"/>
                <w:color w:val="000000"/>
              </w:rPr>
              <w:t>Šādā situācijā starptautiskās sporta veida specifikas dēļ cietējs ir sportists.</w:t>
            </w:r>
          </w:p>
          <w:p w:rsidR="005F438C" w:rsidRDefault="00E256D1" w:rsidP="00E45FE8">
            <w:pPr>
              <w:ind w:left="132" w:right="127"/>
              <w:jc w:val="both"/>
            </w:pPr>
            <w:r>
              <w:rPr>
                <w:rFonts w:eastAsia="Times New Roman"/>
                <w:color w:val="000000"/>
              </w:rPr>
              <w:tab/>
            </w:r>
            <w:r w:rsidR="005F438C">
              <w:rPr>
                <w:rFonts w:eastAsia="Times New Roman"/>
                <w:color w:val="000000"/>
              </w:rPr>
              <w:t xml:space="preserve">Par sporta nozari atbildīgās Izglītības un zinātnes ministrijas (turpmāk – IZM) ieskatā šādā situācijā, kura Latvijas sporta vēsturē ir unikāla, ir jārod atbilstošs risinājums, lai, neskatoties uz </w:t>
            </w:r>
            <w:r w:rsidR="006745D6">
              <w:rPr>
                <w:rFonts w:eastAsia="Times New Roman"/>
                <w:color w:val="000000"/>
              </w:rPr>
              <w:t>sporta veida specifiku</w:t>
            </w:r>
            <w:r w:rsidR="005F438C">
              <w:rPr>
                <w:rFonts w:eastAsia="Times New Roman"/>
                <w:color w:val="000000"/>
              </w:rPr>
              <w:t xml:space="preserve">, ievērojot sportā pastāvošo godīgas spēles principu, </w:t>
            </w:r>
            <w:r w:rsidR="005F438C">
              <w:t xml:space="preserve">visaugstākajā izpildvaras līmenī varētu novērtēt šo Latvijas </w:t>
            </w:r>
            <w:r w:rsidR="00E45FE8">
              <w:t xml:space="preserve">tenisa un visas Latvijas sporta </w:t>
            </w:r>
            <w:r w:rsidR="005F438C">
              <w:t>vēsturē izcilo</w:t>
            </w:r>
            <w:r w:rsidR="00E45FE8">
              <w:t xml:space="preserve"> J.Ostapenko </w:t>
            </w:r>
            <w:r w:rsidR="005F438C">
              <w:t xml:space="preserve">sasniegumu un izteikt pateicību, piešķirot </w:t>
            </w:r>
            <w:r w:rsidR="00E45FE8">
              <w:t xml:space="preserve">J.Ostapneko </w:t>
            </w:r>
            <w:r w:rsidR="005F438C">
              <w:t>naudas balvu</w:t>
            </w:r>
            <w:r w:rsidR="00862B83">
              <w:t>, vienlaikus neveicot Grozījumus Noteikumos, lai tos pielāgotu vienam konkrētam gadījumam</w:t>
            </w:r>
            <w:r w:rsidR="00E45FE8">
              <w:t>.</w:t>
            </w:r>
          </w:p>
          <w:p w:rsidR="008D2554" w:rsidRDefault="005F438C" w:rsidP="003B2F26">
            <w:pPr>
              <w:ind w:left="137" w:right="142"/>
              <w:jc w:val="both"/>
            </w:pPr>
            <w:r>
              <w:tab/>
            </w:r>
            <w:r w:rsidRPr="00F20FE3">
              <w:t>Saskaņā ar Ministru kabineta 2009.gada</w:t>
            </w:r>
            <w:r>
              <w:t xml:space="preserve"> 22.decembra noteikumu Nr.1644 “</w:t>
            </w:r>
            <w:r w:rsidRPr="00F20FE3">
              <w:t>Kārtība, kādā pieprasa</w:t>
            </w:r>
            <w:r>
              <w:t xml:space="preserve"> un izlieto budžeta programmas “</w:t>
            </w:r>
            <w:r w:rsidRPr="00F20FE3">
              <w:t xml:space="preserve">Līdzekļi neparedzētiem gadījumiem” līdzekļus” 3.punktu budžeta programmā </w:t>
            </w:r>
            <w:r>
              <w:t>“</w:t>
            </w:r>
            <w:r w:rsidRPr="00F20FE3">
              <w:t xml:space="preserve">Līdzekļi neparedzētiem gadījumiem” paredzētos līdzekļus piešķir valsts pamatbudžeta apropriācijās neparedzētiem izdevumiem katastrofu un dabas stihiju seku novēršanai, to radīto zaudējumu kompensēšanai, citiem neparedzētiem gadījumiem un </w:t>
            </w:r>
            <w:r w:rsidRPr="00F20FE3">
              <w:rPr>
                <w:u w:val="single"/>
              </w:rPr>
              <w:t>valstiski īpaši nozīmīgiem pasākumiem</w:t>
            </w:r>
            <w:r w:rsidRPr="00F20FE3">
              <w:t>. Līdzekļu piešķiršanu valstiski īpaši nozīmīgiem pasākumiem paredz arī Likuma par budžetu un finanšu vadību 12.panta pirmā daļa.</w:t>
            </w:r>
            <w:r>
              <w:t xml:space="preserve"> IZM ieskatā </w:t>
            </w:r>
            <w:r w:rsidR="003B2F26">
              <w:t xml:space="preserve">J.Ostapenko sasniegums, izcīnot </w:t>
            </w:r>
            <w:r w:rsidR="003B2F26" w:rsidRPr="003B2F26">
              <w:t>pirmo vietu Francijas atklātajā čempionātā tenisā (</w:t>
            </w:r>
            <w:r w:rsidR="003B2F26" w:rsidRPr="003B2F26">
              <w:rPr>
                <w:i/>
              </w:rPr>
              <w:t>French Open</w:t>
            </w:r>
            <w:r w:rsidR="003B2F26" w:rsidRPr="003B2F26">
              <w:t xml:space="preserve">) sieviešu vienspēlēs un </w:t>
            </w:r>
            <w:r w:rsidR="003B2F26">
              <w:t>iegūstot</w:t>
            </w:r>
            <w:r w:rsidR="003B2F26" w:rsidRPr="003B2F26">
              <w:t xml:space="preserve"> </w:t>
            </w:r>
            <w:r w:rsidR="003B2F26" w:rsidRPr="003B2F26">
              <w:rPr>
                <w:i/>
              </w:rPr>
              <w:t>Grand Slam</w:t>
            </w:r>
            <w:r w:rsidR="003B2F26" w:rsidRPr="003B2F26">
              <w:t xml:space="preserve"> uzvarētā</w:t>
            </w:r>
            <w:r w:rsidR="003B2F26">
              <w:t xml:space="preserve">jas titulu, </w:t>
            </w:r>
            <w:r>
              <w:t xml:space="preserve">kā arī, ņemot vērā šī </w:t>
            </w:r>
            <w:r w:rsidRPr="00777057">
              <w:t xml:space="preserve">sasnieguma ietekmi uz </w:t>
            </w:r>
            <w:r w:rsidR="003B2F26" w:rsidRPr="003B2F26">
              <w:t>pozitīv</w:t>
            </w:r>
            <w:r w:rsidR="003B2F26">
              <w:t xml:space="preserve">a Latvijas arējā tēla veidošanu, </w:t>
            </w:r>
            <w:r>
              <w:t xml:space="preserve">būtu uzskatāms par </w:t>
            </w:r>
            <w:r w:rsidRPr="00F20FE3">
              <w:t>valstiski īpaši nozīmīgu pasākumu</w:t>
            </w:r>
            <w:r>
              <w:t xml:space="preserve">. </w:t>
            </w:r>
          </w:p>
          <w:p w:rsidR="005F438C" w:rsidRDefault="005F438C" w:rsidP="003B2F26">
            <w:pPr>
              <w:ind w:left="137" w:right="142"/>
              <w:jc w:val="both"/>
            </w:pPr>
            <w:r>
              <w:t xml:space="preserve">Tomēr </w:t>
            </w:r>
            <w:r w:rsidR="004C1D09">
              <w:t>lēmumu</w:t>
            </w:r>
            <w:r>
              <w:t>, vai šis sasniegums par tādu ir atzīstams, var pieņemt tikai Ministru kabinets.</w:t>
            </w:r>
          </w:p>
          <w:p w:rsidR="00FB4369" w:rsidRDefault="005F438C" w:rsidP="00AD5066">
            <w:pPr>
              <w:ind w:left="137" w:right="142"/>
              <w:jc w:val="both"/>
            </w:pPr>
            <w:r>
              <w:tab/>
              <w:t>Attiecībā uz piešķiramās  naudas balvas apmēru, lai ievērotu godīgas spēles un vienlīdzības principus</w:t>
            </w:r>
            <w:r w:rsidR="00AD5066">
              <w:t xml:space="preserve"> (t.sk. arī attiecībā uz Ministru kabineta 2017.gada 11.aprīļa rīkojumā Nr.186 “Par naudas balvas piešķiršanu Mairim Briedim” noteikto)</w:t>
            </w:r>
            <w:r>
              <w:t>, šajā gadījumā varētu tikt piemērots Noteikumu 11.3.apakšpunktā noteiktais naudas balvas par sportista</w:t>
            </w:r>
            <w:r w:rsidR="00AF6F95">
              <w:t xml:space="preserve"> olimpiskajos</w:t>
            </w:r>
            <w:r>
              <w:t xml:space="preserve"> individuālajos sporta veidos un disciplīnās </w:t>
            </w:r>
            <w:r w:rsidR="00154D22">
              <w:t xml:space="preserve"> pasaules čempionātā </w:t>
            </w:r>
            <w:r w:rsidR="00AF6F95">
              <w:t>piešķiram</w:t>
            </w:r>
            <w:r w:rsidR="006049F3">
              <w:t>ais</w:t>
            </w:r>
            <w:r w:rsidR="00AF6F95">
              <w:t xml:space="preserve"> naudas balvas apmēr</w:t>
            </w:r>
            <w:r w:rsidR="006049F3">
              <w:t>s</w:t>
            </w:r>
            <w:r w:rsidR="00AF6F95">
              <w:t xml:space="preserve"> – līdz 28 458 </w:t>
            </w:r>
            <w:r w:rsidR="00AF6F95" w:rsidRPr="00AF6F95">
              <w:rPr>
                <w:i/>
              </w:rPr>
              <w:t>euro</w:t>
            </w:r>
            <w:r w:rsidR="00AF6F95">
              <w:t>.</w:t>
            </w:r>
            <w:r w:rsidR="008D2554">
              <w:t xml:space="preserve"> Tāpat šajā gadījumā varētu tikt piemērots arī Noteikumu 23.punkt</w:t>
            </w:r>
            <w:r w:rsidR="00B23A02">
              <w:t xml:space="preserve">ā noteiktais, ka sportista trenerim </w:t>
            </w:r>
            <w:r w:rsidR="008D2554" w:rsidRPr="008D2554">
              <w:t>piešķir naudas balv</w:t>
            </w:r>
            <w:r w:rsidR="00B23A02">
              <w:t xml:space="preserve">u </w:t>
            </w:r>
            <w:r w:rsidR="008D2554" w:rsidRPr="008D2554">
              <w:t>līdz 50 % apmērā no noteiktā viena sportista</w:t>
            </w:r>
            <w:r w:rsidR="00B23A02">
              <w:t xml:space="preserve"> naudas balvas apmēra, </w:t>
            </w:r>
            <w:r w:rsidR="00701BCF">
              <w:t xml:space="preserve">tādejādi </w:t>
            </w:r>
            <w:r w:rsidR="00B23A02">
              <w:t xml:space="preserve">J.Ostapenko trenerei Jeļenai Jakovļevai piešķiramās naudas balvas apmērs ir līdz 14 229 </w:t>
            </w:r>
            <w:r w:rsidR="00B23A02" w:rsidRPr="00B23A02">
              <w:rPr>
                <w:i/>
              </w:rPr>
              <w:t>euro</w:t>
            </w:r>
            <w:r w:rsidR="00B23A02">
              <w:t>.</w:t>
            </w:r>
          </w:p>
          <w:p w:rsidR="00FB4369" w:rsidRDefault="00FB4369" w:rsidP="00FB4369">
            <w:pPr>
              <w:ind w:left="137" w:right="142"/>
              <w:jc w:val="both"/>
            </w:pPr>
            <w:r>
              <w:tab/>
            </w:r>
            <w:r w:rsidR="008D08C5">
              <w:t xml:space="preserve">Minētais jautājums tika izskatīts </w:t>
            </w:r>
            <w:r w:rsidR="00FD4DEF">
              <w:t xml:space="preserve"> </w:t>
            </w:r>
            <w:r w:rsidR="00FD4DEF" w:rsidRPr="00FD4DEF">
              <w:t>Latvijas Nacionālās sporta padomes 2017.gada 14.jūnija sēdē</w:t>
            </w:r>
            <w:r w:rsidR="00FD4DEF">
              <w:t>, kurā tika nolemts</w:t>
            </w:r>
            <w:r w:rsidR="00FD4DEF" w:rsidRPr="00FD4DEF">
              <w:t xml:space="preserve"> (prot Nr.3 5.§, 5.2.apakšpunkts)</w:t>
            </w:r>
            <w:r w:rsidR="00FD4DEF">
              <w:t xml:space="preserve"> </w:t>
            </w:r>
            <w:r w:rsidRPr="00E73FBF">
              <w:t xml:space="preserve"> </w:t>
            </w:r>
            <w:r>
              <w:t>a</w:t>
            </w:r>
            <w:r w:rsidRPr="00E73FBF">
              <w:t xml:space="preserve">icināt Ministru kabinetu no valsts budžeta </w:t>
            </w:r>
            <w:r w:rsidRPr="00125600">
              <w:t xml:space="preserve">programmas 02.00.00 “Līdzekļi neparedzētiem gadījumiem” piešķirt </w:t>
            </w:r>
            <w:r w:rsidR="00562EC6">
              <w:t>IZM</w:t>
            </w:r>
            <w:r w:rsidRPr="00125600">
              <w:t xml:space="preserve"> 42 687 </w:t>
            </w:r>
            <w:r w:rsidRPr="00125600">
              <w:rPr>
                <w:i/>
              </w:rPr>
              <w:t>euro</w:t>
            </w:r>
            <w:r w:rsidRPr="00125600">
              <w:t xml:space="preserve">, lai izmaksātu naudas balvu 28 458 </w:t>
            </w:r>
            <w:r w:rsidRPr="00125600">
              <w:rPr>
                <w:i/>
              </w:rPr>
              <w:t xml:space="preserve"> euro</w:t>
            </w:r>
            <w:r w:rsidRPr="00125600">
              <w:t xml:space="preserve"> (t.sk. 6218 EUR nodokļu samaksai) </w:t>
            </w:r>
            <w:r w:rsidR="00562EC6">
              <w:t>J.</w:t>
            </w:r>
            <w:r w:rsidRPr="00125600">
              <w:t xml:space="preserve">Ostapenko un 14 229 </w:t>
            </w:r>
            <w:r w:rsidRPr="00125600">
              <w:rPr>
                <w:i/>
              </w:rPr>
              <w:t xml:space="preserve"> euro</w:t>
            </w:r>
            <w:r w:rsidRPr="00125600">
              <w:t xml:space="preserve"> (t.sk. 2945 </w:t>
            </w:r>
            <w:r w:rsidRPr="00125600">
              <w:rPr>
                <w:i/>
              </w:rPr>
              <w:t xml:space="preserve"> euro</w:t>
            </w:r>
            <w:r w:rsidRPr="00125600">
              <w:t xml:space="preserve"> nodokļu samaksai) trenerei </w:t>
            </w:r>
            <w:r w:rsidR="00562EC6">
              <w:t>J.</w:t>
            </w:r>
            <w:r w:rsidRPr="00125600">
              <w:t xml:space="preserve">Jakovļevai par </w:t>
            </w:r>
            <w:r w:rsidR="00562EC6">
              <w:t>J.</w:t>
            </w:r>
            <w:r w:rsidRPr="00125600">
              <w:t xml:space="preserve">Ostapenko izciliem sasniegumiem – izcīnīto pirmo vietu Francijas </w:t>
            </w:r>
            <w:r w:rsidRPr="00125600">
              <w:lastRenderedPageBreak/>
              <w:t>atklātajā čempionātā tenisā (</w:t>
            </w:r>
            <w:r w:rsidRPr="00125600">
              <w:rPr>
                <w:i/>
              </w:rPr>
              <w:t>French Open</w:t>
            </w:r>
            <w:r w:rsidRPr="00125600">
              <w:t xml:space="preserve">) sieviešu </w:t>
            </w:r>
            <w:r w:rsidRPr="00E73FBF">
              <w:t>vienspēlēs un iegūto augstākā līmeņa starptautisko tenisa sacensību (</w:t>
            </w:r>
            <w:r w:rsidRPr="00E73FBF">
              <w:rPr>
                <w:i/>
              </w:rPr>
              <w:t>Grand Slam</w:t>
            </w:r>
            <w:r w:rsidRPr="00E73FBF">
              <w:t>) uzvarētājas titulu – un to ietekmi uz pozitīva Latvijas arējā tēla veidošanu.</w:t>
            </w:r>
          </w:p>
          <w:p w:rsidR="00562EC6" w:rsidRDefault="005F438C" w:rsidP="00AF6F95">
            <w:pPr>
              <w:ind w:left="132" w:right="127"/>
              <w:jc w:val="both"/>
              <w:rPr>
                <w:rFonts w:eastAsia="Times New Roman"/>
              </w:rPr>
            </w:pPr>
            <w:r>
              <w:rPr>
                <w:rFonts w:eastAsia="Times New Roman"/>
              </w:rPr>
              <w:tab/>
            </w:r>
            <w:r w:rsidRPr="00F20FE3">
              <w:rPr>
                <w:rFonts w:eastAsia="Times New Roman"/>
              </w:rPr>
              <w:t>Ievērojot minēto, IZM ir izstrādājusi Ministru kabineta rīkojuma projektu “</w:t>
            </w:r>
            <w:r w:rsidRPr="005F438C">
              <w:rPr>
                <w:rFonts w:eastAsia="Times New Roman"/>
              </w:rPr>
              <w:t>Par naudas balv</w:t>
            </w:r>
            <w:r w:rsidR="00562EC6">
              <w:rPr>
                <w:rFonts w:eastAsia="Times New Roman"/>
              </w:rPr>
              <w:t>u</w:t>
            </w:r>
            <w:r w:rsidRPr="005F438C">
              <w:rPr>
                <w:rFonts w:eastAsia="Times New Roman"/>
              </w:rPr>
              <w:t xml:space="preserve"> piešķiršanu</w:t>
            </w:r>
            <w:r w:rsidR="00562EC6">
              <w:rPr>
                <w:rFonts w:eastAsia="Times New Roman"/>
              </w:rPr>
              <w:t>”</w:t>
            </w:r>
            <w:r w:rsidR="00AF6F95">
              <w:rPr>
                <w:rFonts w:eastAsia="Times New Roman"/>
              </w:rPr>
              <w:t xml:space="preserve">, kurš paredz uzdevumu </w:t>
            </w:r>
            <w:r w:rsidR="00AF6F95" w:rsidRPr="00AF6F95">
              <w:rPr>
                <w:rFonts w:eastAsia="Times New Roman"/>
              </w:rPr>
              <w:t>Finanšu ministrijai no valsts budžeta programmas 02.00.00 “Līdzekļi neparedzētiem gadījumiem” piešķirt</w:t>
            </w:r>
            <w:r w:rsidR="00562EC6">
              <w:rPr>
                <w:rFonts w:eastAsia="Times New Roman"/>
              </w:rPr>
              <w:t xml:space="preserve"> IZM</w:t>
            </w:r>
            <w:r w:rsidR="00562EC6" w:rsidRPr="00562EC6">
              <w:rPr>
                <w:rFonts w:eastAsia="Times New Roman"/>
              </w:rPr>
              <w:t xml:space="preserve"> </w:t>
            </w:r>
            <w:r w:rsidR="00562EC6">
              <w:rPr>
                <w:rFonts w:eastAsia="Times New Roman"/>
              </w:rPr>
              <w:br/>
            </w:r>
            <w:r w:rsidR="00562EC6" w:rsidRPr="00562EC6">
              <w:rPr>
                <w:rFonts w:eastAsia="Times New Roman"/>
              </w:rPr>
              <w:t xml:space="preserve">42 687 </w:t>
            </w:r>
            <w:r w:rsidR="00562EC6" w:rsidRPr="00562EC6">
              <w:rPr>
                <w:rFonts w:eastAsia="Times New Roman"/>
                <w:i/>
              </w:rPr>
              <w:t>euro</w:t>
            </w:r>
            <w:r w:rsidR="00562EC6" w:rsidRPr="00562EC6">
              <w:rPr>
                <w:rFonts w:eastAsia="Times New Roman"/>
              </w:rPr>
              <w:t xml:space="preserve">, lai izmaksātu naudas balvu 28 458 </w:t>
            </w:r>
            <w:r w:rsidR="00562EC6" w:rsidRPr="00562EC6">
              <w:rPr>
                <w:rFonts w:eastAsia="Times New Roman"/>
                <w:i/>
              </w:rPr>
              <w:t>euro</w:t>
            </w:r>
            <w:r w:rsidR="00562EC6" w:rsidRPr="00562EC6">
              <w:rPr>
                <w:rFonts w:eastAsia="Times New Roman"/>
              </w:rPr>
              <w:t xml:space="preserve"> (t.sk. 6218 euro nodokļu samaksai) </w:t>
            </w:r>
            <w:r w:rsidR="00562EC6">
              <w:rPr>
                <w:rFonts w:eastAsia="Times New Roman"/>
              </w:rPr>
              <w:t>J.</w:t>
            </w:r>
            <w:r w:rsidR="00562EC6" w:rsidRPr="00562EC6">
              <w:rPr>
                <w:rFonts w:eastAsia="Times New Roman"/>
              </w:rPr>
              <w:t xml:space="preserve">Ostapenko un naudas balvu 14 229 </w:t>
            </w:r>
            <w:r w:rsidR="00562EC6" w:rsidRPr="00562EC6">
              <w:rPr>
                <w:rFonts w:eastAsia="Times New Roman"/>
                <w:i/>
              </w:rPr>
              <w:t>euro</w:t>
            </w:r>
            <w:r w:rsidR="00562EC6" w:rsidRPr="00562EC6">
              <w:rPr>
                <w:rFonts w:eastAsia="Times New Roman"/>
              </w:rPr>
              <w:t xml:space="preserve"> (t.sk. 2945 </w:t>
            </w:r>
            <w:r w:rsidR="00562EC6" w:rsidRPr="00562EC6">
              <w:rPr>
                <w:rFonts w:eastAsia="Times New Roman"/>
                <w:i/>
              </w:rPr>
              <w:t>euro</w:t>
            </w:r>
            <w:r w:rsidR="00562EC6" w:rsidRPr="00562EC6">
              <w:rPr>
                <w:rFonts w:eastAsia="Times New Roman"/>
              </w:rPr>
              <w:t xml:space="preserve"> nodokļu samaksai) trenerei </w:t>
            </w:r>
            <w:r w:rsidR="00562EC6">
              <w:rPr>
                <w:rFonts w:eastAsia="Times New Roman"/>
              </w:rPr>
              <w:t>J.</w:t>
            </w:r>
            <w:r w:rsidR="00562EC6" w:rsidRPr="00562EC6">
              <w:rPr>
                <w:rFonts w:eastAsia="Times New Roman"/>
              </w:rPr>
              <w:t xml:space="preserve">Jakovļevai par </w:t>
            </w:r>
            <w:r w:rsidR="00562EC6">
              <w:rPr>
                <w:rFonts w:eastAsia="Times New Roman"/>
              </w:rPr>
              <w:t>J.</w:t>
            </w:r>
            <w:r w:rsidR="00562EC6" w:rsidRPr="00562EC6">
              <w:rPr>
                <w:rFonts w:eastAsia="Times New Roman"/>
              </w:rPr>
              <w:t>Ostapenko izciliem sasniegumiem – izcīnīto pirmo vietu Francijas atklātajā čempionātā tenisā (</w:t>
            </w:r>
            <w:r w:rsidR="00562EC6" w:rsidRPr="00562EC6">
              <w:rPr>
                <w:rFonts w:eastAsia="Times New Roman"/>
                <w:i/>
              </w:rPr>
              <w:t>French Open</w:t>
            </w:r>
            <w:r w:rsidR="00562EC6" w:rsidRPr="00562EC6">
              <w:rPr>
                <w:rFonts w:eastAsia="Times New Roman"/>
              </w:rPr>
              <w:t>) sieviešu vienspēlēs un iegūto augstākā līmeņa starptautisko tenisa sacensību (</w:t>
            </w:r>
            <w:r w:rsidR="00562EC6" w:rsidRPr="00562EC6">
              <w:rPr>
                <w:rFonts w:eastAsia="Times New Roman"/>
                <w:i/>
              </w:rPr>
              <w:t>Grand Slam</w:t>
            </w:r>
            <w:r w:rsidR="00562EC6" w:rsidRPr="00562EC6">
              <w:rPr>
                <w:rFonts w:eastAsia="Times New Roman"/>
              </w:rPr>
              <w:t>) uzvarētājas titulu – un to ietekmi uz pozitīva Latvijas arējā tēla veidošanu</w:t>
            </w:r>
            <w:r w:rsidR="00143072">
              <w:rPr>
                <w:rFonts w:eastAsia="Times New Roman"/>
              </w:rPr>
              <w:t>.</w:t>
            </w:r>
          </w:p>
          <w:p w:rsidR="000520D5" w:rsidRPr="00AF6F95" w:rsidRDefault="000520D5" w:rsidP="000520D5">
            <w:pPr>
              <w:ind w:left="132" w:right="127"/>
              <w:jc w:val="both"/>
              <w:rPr>
                <w:rFonts w:eastAsia="Times New Roman"/>
              </w:rPr>
            </w:pPr>
            <w:r>
              <w:rPr>
                <w:rFonts w:eastAsia="Times New Roman"/>
              </w:rPr>
              <w:tab/>
              <w:t>Ministru kabineta r</w:t>
            </w:r>
            <w:r w:rsidRPr="000520D5">
              <w:rPr>
                <w:rFonts w:eastAsia="Times New Roman"/>
              </w:rPr>
              <w:t xml:space="preserve">īkojuma projektā atsevišķi ir norādīts maksājamā iedzīvotāju ienākuma nodokļa apmērs (likuma “Par iedzīvotāju ienākuma nodokli” 9.panta pirmās daļas 10.punkts), kas tiek ietverts ar naudas balvu apbalvojamai personai piešķiramajā naudas balvā. Tādejādi iedzīvotāju ienākuma nodokļa maksājums (23% no summas, kas pārsniedz 1423 </w:t>
            </w:r>
            <w:r w:rsidRPr="00290BDD">
              <w:rPr>
                <w:rFonts w:eastAsia="Times New Roman"/>
                <w:i/>
              </w:rPr>
              <w:t>euro</w:t>
            </w:r>
            <w:r w:rsidRPr="000520D5">
              <w:rPr>
                <w:rFonts w:eastAsia="Times New Roman"/>
              </w:rPr>
              <w:t>) naudas balvas saņēmējam jāsedz pašam (no saņemtās naudas balvas).</w:t>
            </w:r>
          </w:p>
        </w:tc>
      </w:tr>
      <w:tr w:rsidR="00585B7B" w:rsidRPr="00317B6A" w:rsidTr="005A09BC">
        <w:trPr>
          <w:trHeight w:val="476"/>
        </w:trPr>
        <w:tc>
          <w:tcPr>
            <w:tcW w:w="709" w:type="dxa"/>
          </w:tcPr>
          <w:p w:rsidR="00585B7B" w:rsidRPr="00317B6A" w:rsidRDefault="00005A9D" w:rsidP="00BD696A">
            <w:pPr>
              <w:pStyle w:val="naiskr"/>
              <w:spacing w:before="0" w:after="0"/>
              <w:jc w:val="center"/>
            </w:pPr>
            <w:r w:rsidRPr="00317B6A">
              <w:lastRenderedPageBreak/>
              <w:t>3.</w:t>
            </w:r>
          </w:p>
        </w:tc>
        <w:tc>
          <w:tcPr>
            <w:tcW w:w="2547" w:type="dxa"/>
          </w:tcPr>
          <w:p w:rsidR="00585B7B" w:rsidRPr="00317B6A" w:rsidRDefault="00005A9D" w:rsidP="00916055">
            <w:pPr>
              <w:pStyle w:val="naiskr"/>
              <w:spacing w:before="0" w:after="0"/>
              <w:ind w:left="141"/>
            </w:pPr>
            <w:r w:rsidRPr="00317B6A">
              <w:t>Projekta izstrādē iesaistītās institūcijas</w:t>
            </w:r>
          </w:p>
        </w:tc>
        <w:tc>
          <w:tcPr>
            <w:tcW w:w="6804" w:type="dxa"/>
          </w:tcPr>
          <w:p w:rsidR="00643E6C" w:rsidRPr="00143072" w:rsidRDefault="00DC332F" w:rsidP="003636C5">
            <w:pPr>
              <w:ind w:left="132" w:right="127"/>
              <w:jc w:val="both"/>
              <w:rPr>
                <w:rFonts w:eastAsia="Times New Roman"/>
              </w:rPr>
            </w:pPr>
            <w:r w:rsidRPr="00317B6A">
              <w:t>Ministru kabineta rīkojuma projektu</w:t>
            </w:r>
            <w:r w:rsidR="002D62A9" w:rsidRPr="00317B6A">
              <w:t xml:space="preserve"> </w:t>
            </w:r>
            <w:r w:rsidRPr="00317B6A">
              <w:t xml:space="preserve">izstrādāja IZM. </w:t>
            </w:r>
            <w:r w:rsidR="00FA520F">
              <w:t xml:space="preserve">Ministru kabineta rīkojuma projekta izstrādes laikā uzklausīts arī publiskajā telpā izteiktais sabiedrības viedoklis par </w:t>
            </w:r>
            <w:r w:rsidR="00143072">
              <w:t>J.Ostapenko</w:t>
            </w:r>
            <w:r w:rsidR="00FA520F">
              <w:t xml:space="preserve"> sasnieguma nozīmīgumu un  </w:t>
            </w:r>
            <w:r w:rsidR="00FA520F" w:rsidRPr="00FA520F">
              <w:t xml:space="preserve">šī sasnieguma ietekmi </w:t>
            </w:r>
            <w:r w:rsidR="00143072" w:rsidRPr="00562EC6">
              <w:rPr>
                <w:rFonts w:eastAsia="Times New Roman"/>
              </w:rPr>
              <w:t xml:space="preserve"> uz pozitīva Latvijas arējā tēla veidošanu</w:t>
            </w:r>
            <w:r w:rsidR="00143072">
              <w:rPr>
                <w:rFonts w:eastAsia="Times New Roman"/>
              </w:rPr>
              <w:t>.</w:t>
            </w:r>
            <w:r w:rsidR="003636C5">
              <w:rPr>
                <w:rFonts w:eastAsia="Times New Roman"/>
              </w:rPr>
              <w:t xml:space="preserve"> Tāpat jautājums tika izskatīts </w:t>
            </w:r>
            <w:r w:rsidR="003636C5" w:rsidRPr="00FD4DEF">
              <w:t>Latvijas Nacionālās sporta padomes 2017.gada 14.jūnija sēdē</w:t>
            </w:r>
            <w:r w:rsidR="003636C5">
              <w:t>. I</w:t>
            </w:r>
            <w:r w:rsidR="00DC384C">
              <w:t xml:space="preserve">evērojot minēto, </w:t>
            </w:r>
            <w:r w:rsidR="002F6EEF" w:rsidRPr="00317B6A">
              <w:t>papildus pasākumi sabiedrības iesaistei nebija nepieciešam</w:t>
            </w:r>
            <w:r w:rsidR="00DF03FB" w:rsidRPr="00317B6A">
              <w:t>i</w:t>
            </w:r>
            <w:r w:rsidR="00DC384C">
              <w:t>.</w:t>
            </w:r>
          </w:p>
        </w:tc>
      </w:tr>
      <w:tr w:rsidR="00585B7B" w:rsidRPr="00317B6A" w:rsidTr="005A09BC">
        <w:trPr>
          <w:trHeight w:val="2771"/>
        </w:trPr>
        <w:tc>
          <w:tcPr>
            <w:tcW w:w="709" w:type="dxa"/>
          </w:tcPr>
          <w:p w:rsidR="00585B7B" w:rsidRPr="00317B6A" w:rsidRDefault="00005A9D" w:rsidP="00BD696A">
            <w:pPr>
              <w:pStyle w:val="naiskr"/>
              <w:spacing w:before="0" w:after="0"/>
              <w:jc w:val="center"/>
            </w:pPr>
            <w:r w:rsidRPr="00317B6A">
              <w:t>4</w:t>
            </w:r>
            <w:r w:rsidR="00585B7B" w:rsidRPr="00317B6A">
              <w:t>.</w:t>
            </w:r>
          </w:p>
        </w:tc>
        <w:tc>
          <w:tcPr>
            <w:tcW w:w="2547" w:type="dxa"/>
          </w:tcPr>
          <w:p w:rsidR="00585B7B" w:rsidRPr="00317B6A" w:rsidRDefault="00585B7B" w:rsidP="00916055">
            <w:pPr>
              <w:pStyle w:val="naiskr"/>
              <w:spacing w:before="0" w:after="0"/>
              <w:ind w:left="141"/>
            </w:pPr>
            <w:r w:rsidRPr="00317B6A">
              <w:t>Cita informācija</w:t>
            </w:r>
          </w:p>
        </w:tc>
        <w:tc>
          <w:tcPr>
            <w:tcW w:w="6804" w:type="dxa"/>
          </w:tcPr>
          <w:p w:rsidR="006A26FB" w:rsidRDefault="00BA1459" w:rsidP="00DA1D64">
            <w:pPr>
              <w:ind w:left="114" w:right="127"/>
              <w:jc w:val="both"/>
            </w:pPr>
            <w:r>
              <w:tab/>
            </w:r>
            <w:r w:rsidR="00291AF4" w:rsidRPr="00317B6A">
              <w:t>Ministru kabineta r</w:t>
            </w:r>
            <w:r w:rsidR="00E5461A" w:rsidRPr="00317B6A">
              <w:t xml:space="preserve">īkojuma projekts tiešā veidā attiecas uz </w:t>
            </w:r>
            <w:r w:rsidR="00FA520F" w:rsidRPr="00317B6A">
              <w:t xml:space="preserve"> budžeta un finanšu politiku</w:t>
            </w:r>
            <w:r w:rsidR="00291AF4" w:rsidRPr="00317B6A">
              <w:t xml:space="preserve">. Pastarpināti Ministru kabineta rīkojuma projekts attiecas uz </w:t>
            </w:r>
            <w:r w:rsidR="00FA520F" w:rsidRPr="00317B6A">
              <w:t>tūrisma, sporta un brīvā laika politiku (sporta politiku)</w:t>
            </w:r>
            <w:r w:rsidR="00291AF4" w:rsidRPr="00317B6A">
              <w:t>.</w:t>
            </w:r>
          </w:p>
          <w:p w:rsidR="00BA1459" w:rsidRPr="00317B6A" w:rsidRDefault="00BA1459" w:rsidP="00005120">
            <w:pPr>
              <w:ind w:left="137" w:right="142"/>
              <w:jc w:val="both"/>
            </w:pPr>
            <w:r>
              <w:tab/>
              <w:t xml:space="preserve"> </w:t>
            </w:r>
            <w:r w:rsidRPr="00FD4DEF">
              <w:t>Lat</w:t>
            </w:r>
            <w:r>
              <w:t>vijas Nacionālā sporta padome 2017.gada 14.jūnijā (</w:t>
            </w:r>
            <w:r w:rsidRPr="00FD4DEF">
              <w:t>prot Nr.3 5.§, 5.</w:t>
            </w:r>
            <w:r>
              <w:t>4</w:t>
            </w:r>
            <w:r w:rsidRPr="00FD4DEF">
              <w:t>.apakšpunkts)</w:t>
            </w:r>
            <w:r>
              <w:t xml:space="preserve"> </w:t>
            </w:r>
            <w:r w:rsidR="00005120">
              <w:t>IZM tika dots uzdevums</w:t>
            </w:r>
            <w:r w:rsidRPr="00FB4369">
              <w:t>, izstrādājot priekšlikumus par izmaiņām naudas balvu par izciliem sasniegumiem sportā piešķiršanā, izvērtēt šāda veida sasniegumu specifiku un sniegt priekšlikumus par turpmāk piemērojamo praksi šādos gadījumos.</w:t>
            </w:r>
          </w:p>
        </w:tc>
      </w:tr>
    </w:tbl>
    <w:p w:rsidR="005A09BC" w:rsidRDefault="005A09BC" w:rsidP="005A09BC">
      <w:pPr>
        <w:tabs>
          <w:tab w:val="center" w:pos="4535"/>
        </w:tabs>
      </w:pPr>
      <w:r>
        <w:tab/>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317B6A" w:rsidTr="005A09BC">
        <w:trPr>
          <w:trHeight w:val="361"/>
          <w:jc w:val="center"/>
        </w:trPr>
        <w:tc>
          <w:tcPr>
            <w:tcW w:w="10060" w:type="dxa"/>
            <w:gridSpan w:val="6"/>
            <w:vAlign w:val="center"/>
          </w:tcPr>
          <w:p w:rsidR="009B774A" w:rsidRPr="00317B6A" w:rsidRDefault="009B774A" w:rsidP="001A0506">
            <w:pPr>
              <w:jc w:val="center"/>
              <w:rPr>
                <w:b/>
                <w:i/>
              </w:rPr>
            </w:pPr>
            <w:r w:rsidRPr="00317B6A">
              <w:br w:type="page"/>
            </w:r>
            <w:r w:rsidRPr="00317B6A">
              <w:br w:type="page"/>
            </w:r>
            <w:r w:rsidRPr="00317B6A">
              <w:rPr>
                <w:b/>
              </w:rPr>
              <w:t>III. Tiesību akta projekta ietekme uz valsts budžetu un pašvaldību budžetiem</w:t>
            </w:r>
          </w:p>
        </w:tc>
      </w:tr>
      <w:tr w:rsidR="009B774A" w:rsidRPr="00317B6A" w:rsidTr="005A09BC">
        <w:trPr>
          <w:jc w:val="center"/>
        </w:trPr>
        <w:tc>
          <w:tcPr>
            <w:tcW w:w="3507" w:type="dxa"/>
            <w:vMerge w:val="restart"/>
            <w:vAlign w:val="center"/>
          </w:tcPr>
          <w:p w:rsidR="009B774A" w:rsidRPr="00317B6A" w:rsidRDefault="009B774A" w:rsidP="001A0506">
            <w:pPr>
              <w:jc w:val="center"/>
              <w:rPr>
                <w:b/>
              </w:rPr>
            </w:pPr>
            <w:r w:rsidRPr="00317B6A">
              <w:rPr>
                <w:b/>
              </w:rPr>
              <w:t>Rādītāji</w:t>
            </w:r>
          </w:p>
        </w:tc>
        <w:tc>
          <w:tcPr>
            <w:tcW w:w="2981" w:type="dxa"/>
            <w:gridSpan w:val="2"/>
            <w:vMerge w:val="restart"/>
            <w:vAlign w:val="center"/>
          </w:tcPr>
          <w:p w:rsidR="009B774A" w:rsidRPr="00317B6A" w:rsidRDefault="009B774A" w:rsidP="00DF158A">
            <w:pPr>
              <w:jc w:val="center"/>
              <w:rPr>
                <w:b/>
              </w:rPr>
            </w:pPr>
            <w:r w:rsidRPr="00317B6A">
              <w:rPr>
                <w:b/>
              </w:rPr>
              <w:t>201</w:t>
            </w:r>
            <w:r w:rsidR="00317B6A">
              <w:rPr>
                <w:b/>
              </w:rPr>
              <w:t>7</w:t>
            </w:r>
          </w:p>
        </w:tc>
        <w:tc>
          <w:tcPr>
            <w:tcW w:w="3572" w:type="dxa"/>
            <w:gridSpan w:val="3"/>
            <w:vAlign w:val="center"/>
          </w:tcPr>
          <w:p w:rsidR="009B774A" w:rsidRPr="00317B6A" w:rsidRDefault="009B774A" w:rsidP="001A0506">
            <w:pPr>
              <w:jc w:val="center"/>
              <w:rPr>
                <w:b/>
                <w:i/>
              </w:rPr>
            </w:pPr>
            <w:r w:rsidRPr="00317B6A">
              <w:t>Turpmākie trīs gadi (</w:t>
            </w:r>
            <w:r w:rsidRPr="00317B6A">
              <w:rPr>
                <w:i/>
              </w:rPr>
              <w:t>euro</w:t>
            </w:r>
            <w:r w:rsidRPr="00317B6A">
              <w:t>)</w:t>
            </w:r>
          </w:p>
        </w:tc>
      </w:tr>
      <w:tr w:rsidR="009B774A" w:rsidRPr="00317B6A" w:rsidTr="005A09BC">
        <w:trPr>
          <w:jc w:val="center"/>
        </w:trPr>
        <w:tc>
          <w:tcPr>
            <w:tcW w:w="3507" w:type="dxa"/>
            <w:vMerge/>
            <w:vAlign w:val="center"/>
          </w:tcPr>
          <w:p w:rsidR="009B774A" w:rsidRPr="00317B6A" w:rsidRDefault="009B774A" w:rsidP="001A0506">
            <w:pPr>
              <w:jc w:val="center"/>
              <w:rPr>
                <w:b/>
                <w:i/>
              </w:rPr>
            </w:pPr>
          </w:p>
        </w:tc>
        <w:tc>
          <w:tcPr>
            <w:tcW w:w="2981" w:type="dxa"/>
            <w:gridSpan w:val="2"/>
            <w:vMerge/>
            <w:vAlign w:val="center"/>
          </w:tcPr>
          <w:p w:rsidR="009B774A" w:rsidRPr="00317B6A" w:rsidRDefault="009B774A" w:rsidP="001A0506">
            <w:pPr>
              <w:jc w:val="center"/>
              <w:rPr>
                <w:b/>
                <w:i/>
              </w:rPr>
            </w:pPr>
          </w:p>
        </w:tc>
        <w:tc>
          <w:tcPr>
            <w:tcW w:w="1189" w:type="dxa"/>
            <w:vAlign w:val="center"/>
          </w:tcPr>
          <w:p w:rsidR="009B774A" w:rsidRPr="00317B6A" w:rsidRDefault="009B774A" w:rsidP="00DF158A">
            <w:pPr>
              <w:jc w:val="center"/>
              <w:rPr>
                <w:b/>
                <w:i/>
              </w:rPr>
            </w:pPr>
            <w:r w:rsidRPr="00317B6A">
              <w:rPr>
                <w:b/>
                <w:bCs/>
              </w:rPr>
              <w:t>201</w:t>
            </w:r>
            <w:r w:rsidR="00317B6A">
              <w:rPr>
                <w:b/>
                <w:bCs/>
              </w:rPr>
              <w:t>8</w:t>
            </w:r>
          </w:p>
        </w:tc>
        <w:tc>
          <w:tcPr>
            <w:tcW w:w="1194" w:type="dxa"/>
            <w:vAlign w:val="center"/>
          </w:tcPr>
          <w:p w:rsidR="009B774A" w:rsidRPr="00317B6A" w:rsidRDefault="009B774A" w:rsidP="00DF158A">
            <w:pPr>
              <w:jc w:val="center"/>
              <w:rPr>
                <w:b/>
                <w:i/>
              </w:rPr>
            </w:pPr>
            <w:r w:rsidRPr="00317B6A">
              <w:rPr>
                <w:b/>
                <w:bCs/>
              </w:rPr>
              <w:t>201</w:t>
            </w:r>
            <w:r w:rsidR="00317B6A">
              <w:rPr>
                <w:b/>
                <w:bCs/>
              </w:rPr>
              <w:t>9</w:t>
            </w:r>
          </w:p>
        </w:tc>
        <w:tc>
          <w:tcPr>
            <w:tcW w:w="1189" w:type="dxa"/>
            <w:vAlign w:val="center"/>
          </w:tcPr>
          <w:p w:rsidR="009B774A" w:rsidRPr="00317B6A" w:rsidRDefault="00317B6A" w:rsidP="001A0506">
            <w:pPr>
              <w:jc w:val="center"/>
              <w:rPr>
                <w:b/>
                <w:i/>
              </w:rPr>
            </w:pPr>
            <w:r>
              <w:rPr>
                <w:b/>
                <w:bCs/>
              </w:rPr>
              <w:t>2020</w:t>
            </w:r>
          </w:p>
        </w:tc>
      </w:tr>
      <w:tr w:rsidR="009B774A" w:rsidRPr="00317B6A" w:rsidTr="005A09BC">
        <w:trPr>
          <w:jc w:val="center"/>
        </w:trPr>
        <w:tc>
          <w:tcPr>
            <w:tcW w:w="3507" w:type="dxa"/>
            <w:vMerge/>
            <w:vAlign w:val="center"/>
          </w:tcPr>
          <w:p w:rsidR="009B774A" w:rsidRPr="00317B6A" w:rsidRDefault="009B774A" w:rsidP="001A0506">
            <w:pPr>
              <w:jc w:val="center"/>
              <w:rPr>
                <w:b/>
                <w:i/>
              </w:rPr>
            </w:pPr>
          </w:p>
        </w:tc>
        <w:tc>
          <w:tcPr>
            <w:tcW w:w="1617" w:type="dxa"/>
            <w:vAlign w:val="center"/>
          </w:tcPr>
          <w:p w:rsidR="009B774A" w:rsidRPr="00317B6A" w:rsidRDefault="009B774A" w:rsidP="001A0506">
            <w:pPr>
              <w:jc w:val="center"/>
              <w:rPr>
                <w:b/>
                <w:i/>
              </w:rPr>
            </w:pPr>
            <w:r w:rsidRPr="00317B6A">
              <w:t>saskaņā ar valsts budžetu kārtējam gadam</w:t>
            </w:r>
          </w:p>
        </w:tc>
        <w:tc>
          <w:tcPr>
            <w:tcW w:w="1364" w:type="dxa"/>
            <w:vAlign w:val="center"/>
          </w:tcPr>
          <w:p w:rsidR="009B774A" w:rsidRPr="00317B6A" w:rsidRDefault="009B774A" w:rsidP="001A0506">
            <w:pPr>
              <w:jc w:val="center"/>
              <w:rPr>
                <w:b/>
                <w:i/>
              </w:rPr>
            </w:pPr>
            <w:r w:rsidRPr="00317B6A">
              <w:t>izmaiņas kārtējā gadā, salīdzinot ar budžetu kārtējam gadam</w:t>
            </w:r>
          </w:p>
        </w:tc>
        <w:tc>
          <w:tcPr>
            <w:tcW w:w="1189" w:type="dxa"/>
            <w:vAlign w:val="center"/>
          </w:tcPr>
          <w:p w:rsidR="009B774A" w:rsidRPr="00317B6A" w:rsidRDefault="009B774A" w:rsidP="001A0506">
            <w:pPr>
              <w:jc w:val="center"/>
              <w:rPr>
                <w:b/>
                <w:i/>
              </w:rPr>
            </w:pPr>
            <w:r w:rsidRPr="00317B6A">
              <w:t>izmaiņas, salīdzinot ar kārtējo  gadu</w:t>
            </w:r>
          </w:p>
        </w:tc>
        <w:tc>
          <w:tcPr>
            <w:tcW w:w="1194" w:type="dxa"/>
            <w:vAlign w:val="center"/>
          </w:tcPr>
          <w:p w:rsidR="009B774A" w:rsidRPr="00317B6A" w:rsidRDefault="009B774A" w:rsidP="001A0506">
            <w:pPr>
              <w:jc w:val="center"/>
              <w:rPr>
                <w:b/>
                <w:i/>
              </w:rPr>
            </w:pPr>
            <w:r w:rsidRPr="00317B6A">
              <w:t>izmaiņas, salīdzinot ar kārtējo  gadu</w:t>
            </w:r>
          </w:p>
        </w:tc>
        <w:tc>
          <w:tcPr>
            <w:tcW w:w="1189" w:type="dxa"/>
            <w:vAlign w:val="center"/>
          </w:tcPr>
          <w:p w:rsidR="009B774A" w:rsidRPr="00317B6A" w:rsidRDefault="009B774A" w:rsidP="001A0506">
            <w:pPr>
              <w:jc w:val="center"/>
              <w:rPr>
                <w:b/>
                <w:i/>
              </w:rPr>
            </w:pPr>
            <w:r w:rsidRPr="00317B6A">
              <w:t>izmaiņas, salīdzinot ar kārtējo  gadu</w:t>
            </w:r>
          </w:p>
        </w:tc>
      </w:tr>
      <w:tr w:rsidR="009B774A" w:rsidRPr="00317B6A" w:rsidTr="005A09BC">
        <w:trPr>
          <w:jc w:val="center"/>
        </w:trPr>
        <w:tc>
          <w:tcPr>
            <w:tcW w:w="3507" w:type="dxa"/>
            <w:vAlign w:val="center"/>
          </w:tcPr>
          <w:p w:rsidR="009B774A" w:rsidRPr="00317B6A" w:rsidRDefault="009B774A" w:rsidP="001A0506">
            <w:pPr>
              <w:jc w:val="center"/>
              <w:rPr>
                <w:bCs/>
              </w:rPr>
            </w:pPr>
            <w:r w:rsidRPr="00317B6A">
              <w:rPr>
                <w:bCs/>
              </w:rPr>
              <w:t>1</w:t>
            </w:r>
          </w:p>
        </w:tc>
        <w:tc>
          <w:tcPr>
            <w:tcW w:w="1617" w:type="dxa"/>
            <w:vAlign w:val="center"/>
          </w:tcPr>
          <w:p w:rsidR="009B774A" w:rsidRPr="00317B6A" w:rsidRDefault="009B774A" w:rsidP="001A0506">
            <w:pPr>
              <w:jc w:val="center"/>
              <w:rPr>
                <w:bCs/>
              </w:rPr>
            </w:pPr>
            <w:r w:rsidRPr="00317B6A">
              <w:rPr>
                <w:bCs/>
              </w:rPr>
              <w:t>2</w:t>
            </w:r>
          </w:p>
        </w:tc>
        <w:tc>
          <w:tcPr>
            <w:tcW w:w="1364" w:type="dxa"/>
            <w:vAlign w:val="center"/>
          </w:tcPr>
          <w:p w:rsidR="009B774A" w:rsidRPr="00317B6A" w:rsidRDefault="009B774A" w:rsidP="001A0506">
            <w:pPr>
              <w:jc w:val="center"/>
              <w:rPr>
                <w:bCs/>
              </w:rPr>
            </w:pPr>
            <w:r w:rsidRPr="00317B6A">
              <w:rPr>
                <w:bCs/>
              </w:rPr>
              <w:t>3</w:t>
            </w:r>
          </w:p>
        </w:tc>
        <w:tc>
          <w:tcPr>
            <w:tcW w:w="1189" w:type="dxa"/>
            <w:vAlign w:val="center"/>
          </w:tcPr>
          <w:p w:rsidR="009B774A" w:rsidRPr="00317B6A" w:rsidRDefault="009B774A" w:rsidP="001A0506">
            <w:pPr>
              <w:jc w:val="center"/>
              <w:rPr>
                <w:bCs/>
              </w:rPr>
            </w:pPr>
            <w:r w:rsidRPr="00317B6A">
              <w:rPr>
                <w:bCs/>
              </w:rPr>
              <w:t>4</w:t>
            </w:r>
          </w:p>
        </w:tc>
        <w:tc>
          <w:tcPr>
            <w:tcW w:w="1194" w:type="dxa"/>
            <w:vAlign w:val="center"/>
          </w:tcPr>
          <w:p w:rsidR="009B774A" w:rsidRPr="00317B6A" w:rsidRDefault="009B774A" w:rsidP="001A0506">
            <w:pPr>
              <w:jc w:val="center"/>
              <w:rPr>
                <w:bCs/>
              </w:rPr>
            </w:pPr>
            <w:r w:rsidRPr="00317B6A">
              <w:rPr>
                <w:bCs/>
              </w:rPr>
              <w:t>5</w:t>
            </w:r>
          </w:p>
        </w:tc>
        <w:tc>
          <w:tcPr>
            <w:tcW w:w="1189" w:type="dxa"/>
            <w:vAlign w:val="center"/>
          </w:tcPr>
          <w:p w:rsidR="009B774A" w:rsidRPr="00317B6A" w:rsidRDefault="009B774A" w:rsidP="001A0506">
            <w:pPr>
              <w:jc w:val="center"/>
              <w:rPr>
                <w:bCs/>
              </w:rPr>
            </w:pPr>
            <w:r w:rsidRPr="00317B6A">
              <w:rPr>
                <w:bCs/>
              </w:rPr>
              <w:t>6</w:t>
            </w:r>
          </w:p>
        </w:tc>
      </w:tr>
      <w:tr w:rsidR="0005209B" w:rsidRPr="00317B6A" w:rsidTr="005A09BC">
        <w:trPr>
          <w:jc w:val="center"/>
        </w:trPr>
        <w:tc>
          <w:tcPr>
            <w:tcW w:w="3507" w:type="dxa"/>
          </w:tcPr>
          <w:p w:rsidR="0005209B" w:rsidRPr="00317B6A" w:rsidRDefault="0005209B" w:rsidP="0005209B">
            <w:pPr>
              <w:rPr>
                <w:i/>
              </w:rPr>
            </w:pPr>
            <w:r w:rsidRPr="00317B6A">
              <w:lastRenderedPageBreak/>
              <w:t>1. Budžeta ieņēmumi:</w:t>
            </w:r>
          </w:p>
        </w:tc>
        <w:tc>
          <w:tcPr>
            <w:tcW w:w="1617" w:type="dxa"/>
          </w:tcPr>
          <w:p w:rsidR="0005209B" w:rsidRPr="00317B6A" w:rsidRDefault="004A56AF" w:rsidP="0005209B">
            <w:pPr>
              <w:jc w:val="center"/>
              <w:rPr>
                <w:b/>
              </w:rPr>
            </w:pPr>
            <w:r w:rsidRPr="00317B6A">
              <w:rPr>
                <w:b/>
              </w:rPr>
              <w:t>0</w:t>
            </w:r>
          </w:p>
        </w:tc>
        <w:tc>
          <w:tcPr>
            <w:tcW w:w="1364" w:type="dxa"/>
          </w:tcPr>
          <w:p w:rsidR="0005209B" w:rsidRPr="00317B6A" w:rsidRDefault="004A56AF" w:rsidP="007A1337">
            <w:pPr>
              <w:jc w:val="center"/>
              <w:rPr>
                <w:b/>
              </w:rPr>
            </w:pPr>
            <w:r w:rsidRPr="00317B6A">
              <w:rPr>
                <w:b/>
              </w:rPr>
              <w:t>0</w:t>
            </w:r>
          </w:p>
        </w:tc>
        <w:tc>
          <w:tcPr>
            <w:tcW w:w="1189" w:type="dxa"/>
          </w:tcPr>
          <w:p w:rsidR="0005209B" w:rsidRPr="00317B6A" w:rsidRDefault="0005209B" w:rsidP="0005209B">
            <w:pPr>
              <w:jc w:val="center"/>
              <w:rPr>
                <w:b/>
              </w:rPr>
            </w:pPr>
            <w:r w:rsidRPr="00317B6A">
              <w:rPr>
                <w:b/>
              </w:rPr>
              <w:t>0</w:t>
            </w:r>
          </w:p>
        </w:tc>
        <w:tc>
          <w:tcPr>
            <w:tcW w:w="1194" w:type="dxa"/>
          </w:tcPr>
          <w:p w:rsidR="0005209B" w:rsidRPr="00317B6A" w:rsidRDefault="0005209B" w:rsidP="0005209B">
            <w:pPr>
              <w:jc w:val="center"/>
              <w:rPr>
                <w:b/>
              </w:rPr>
            </w:pPr>
            <w:r w:rsidRPr="00317B6A">
              <w:rPr>
                <w:b/>
              </w:rPr>
              <w:t>0</w:t>
            </w:r>
          </w:p>
        </w:tc>
        <w:tc>
          <w:tcPr>
            <w:tcW w:w="1189" w:type="dxa"/>
          </w:tcPr>
          <w:p w:rsidR="0005209B" w:rsidRPr="00317B6A" w:rsidRDefault="0005209B" w:rsidP="0005209B">
            <w:pPr>
              <w:jc w:val="center"/>
              <w:rPr>
                <w:b/>
              </w:rPr>
            </w:pPr>
            <w:r w:rsidRPr="00317B6A">
              <w:rPr>
                <w:b/>
              </w:rPr>
              <w:t>0</w:t>
            </w:r>
          </w:p>
        </w:tc>
      </w:tr>
      <w:tr w:rsidR="0005209B" w:rsidRPr="00317B6A" w:rsidTr="005A09BC">
        <w:trPr>
          <w:jc w:val="center"/>
        </w:trPr>
        <w:tc>
          <w:tcPr>
            <w:tcW w:w="3507" w:type="dxa"/>
          </w:tcPr>
          <w:p w:rsidR="0005209B" w:rsidRPr="00317B6A" w:rsidRDefault="0005209B" w:rsidP="0005209B">
            <w:pPr>
              <w:rPr>
                <w:i/>
              </w:rPr>
            </w:pPr>
            <w:r w:rsidRPr="00317B6A">
              <w:t>1.1. valsts pamatbudžets, tai skaitā ieņēmumi no maksas pakalpojumiem un citi pašu ieņēmumi</w:t>
            </w:r>
          </w:p>
        </w:tc>
        <w:tc>
          <w:tcPr>
            <w:tcW w:w="1617" w:type="dxa"/>
          </w:tcPr>
          <w:p w:rsidR="0005209B" w:rsidRPr="00317B6A" w:rsidRDefault="0005209B" w:rsidP="0005209B">
            <w:pPr>
              <w:jc w:val="center"/>
              <w:rPr>
                <w:i/>
              </w:rPr>
            </w:pPr>
          </w:p>
        </w:tc>
        <w:tc>
          <w:tcPr>
            <w:tcW w:w="1364" w:type="dxa"/>
          </w:tcPr>
          <w:p w:rsidR="0005209B" w:rsidRPr="00317B6A" w:rsidRDefault="0005209B" w:rsidP="0005209B">
            <w:pPr>
              <w:jc w:val="center"/>
              <w:rPr>
                <w:i/>
              </w:rPr>
            </w:pPr>
          </w:p>
        </w:tc>
        <w:tc>
          <w:tcPr>
            <w:tcW w:w="1189" w:type="dxa"/>
          </w:tcPr>
          <w:p w:rsidR="0005209B" w:rsidRPr="00317B6A" w:rsidRDefault="0005209B" w:rsidP="0005209B">
            <w:pPr>
              <w:jc w:val="center"/>
              <w:rPr>
                <w:i/>
              </w:rPr>
            </w:pPr>
          </w:p>
        </w:tc>
        <w:tc>
          <w:tcPr>
            <w:tcW w:w="1194" w:type="dxa"/>
          </w:tcPr>
          <w:p w:rsidR="0005209B" w:rsidRPr="00317B6A" w:rsidRDefault="0005209B" w:rsidP="0005209B">
            <w:pPr>
              <w:jc w:val="center"/>
              <w:rPr>
                <w:i/>
              </w:rPr>
            </w:pPr>
          </w:p>
        </w:tc>
        <w:tc>
          <w:tcPr>
            <w:tcW w:w="1189" w:type="dxa"/>
          </w:tcPr>
          <w:p w:rsidR="0005209B" w:rsidRPr="00317B6A" w:rsidRDefault="0005209B" w:rsidP="0005209B">
            <w:pPr>
              <w:jc w:val="center"/>
              <w:rPr>
                <w:i/>
              </w:rPr>
            </w:pPr>
          </w:p>
        </w:tc>
      </w:tr>
      <w:tr w:rsidR="009B774A" w:rsidRPr="00317B6A" w:rsidTr="005A09BC">
        <w:trPr>
          <w:jc w:val="center"/>
        </w:trPr>
        <w:tc>
          <w:tcPr>
            <w:tcW w:w="3507" w:type="dxa"/>
          </w:tcPr>
          <w:p w:rsidR="009B774A" w:rsidRPr="00317B6A" w:rsidRDefault="009B774A" w:rsidP="001A0506">
            <w:pPr>
              <w:rPr>
                <w:i/>
              </w:rPr>
            </w:pPr>
            <w:r w:rsidRPr="00317B6A">
              <w:t>1.2. valsts speciālais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5A09BC">
        <w:trPr>
          <w:jc w:val="center"/>
        </w:trPr>
        <w:tc>
          <w:tcPr>
            <w:tcW w:w="3507" w:type="dxa"/>
          </w:tcPr>
          <w:p w:rsidR="009B774A" w:rsidRPr="00317B6A" w:rsidRDefault="009B774A" w:rsidP="001A0506">
            <w:pPr>
              <w:rPr>
                <w:i/>
              </w:rPr>
            </w:pPr>
            <w:r w:rsidRPr="00317B6A">
              <w:t>1.3. pašvaldību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AF6F95" w:rsidRPr="00317B6A" w:rsidTr="005A09BC">
        <w:trPr>
          <w:jc w:val="center"/>
        </w:trPr>
        <w:tc>
          <w:tcPr>
            <w:tcW w:w="3507" w:type="dxa"/>
          </w:tcPr>
          <w:p w:rsidR="00AF6F95" w:rsidRPr="00317B6A" w:rsidRDefault="00AF6F95" w:rsidP="00AF6F95">
            <w:r w:rsidRPr="00317B6A">
              <w:t>2. Budžeta izdevumi:</w:t>
            </w:r>
          </w:p>
        </w:tc>
        <w:tc>
          <w:tcPr>
            <w:tcW w:w="1617" w:type="dxa"/>
          </w:tcPr>
          <w:p w:rsidR="00AF6F95" w:rsidRPr="00317B6A" w:rsidRDefault="00AF6F95" w:rsidP="00AF6F95">
            <w:pPr>
              <w:jc w:val="center"/>
              <w:rPr>
                <w:b/>
              </w:rPr>
            </w:pPr>
            <w:r w:rsidRPr="00317B6A">
              <w:rPr>
                <w:b/>
              </w:rPr>
              <w:t>0</w:t>
            </w:r>
          </w:p>
        </w:tc>
        <w:tc>
          <w:tcPr>
            <w:tcW w:w="1364" w:type="dxa"/>
          </w:tcPr>
          <w:p w:rsidR="00AF6F95" w:rsidRPr="00AE1E2B" w:rsidRDefault="00710E3C" w:rsidP="00710E3C">
            <w:pPr>
              <w:jc w:val="center"/>
              <w:rPr>
                <w:b/>
              </w:rPr>
            </w:pPr>
            <w:r>
              <w:rPr>
                <w:b/>
              </w:rPr>
              <w:t>42 687</w:t>
            </w:r>
          </w:p>
        </w:tc>
        <w:tc>
          <w:tcPr>
            <w:tcW w:w="1189" w:type="dxa"/>
          </w:tcPr>
          <w:p w:rsidR="00AF6F95" w:rsidRPr="00317B6A" w:rsidRDefault="00AF6F95" w:rsidP="00AF6F95">
            <w:pPr>
              <w:jc w:val="center"/>
              <w:rPr>
                <w:b/>
              </w:rPr>
            </w:pPr>
            <w:r w:rsidRPr="00317B6A">
              <w:rPr>
                <w:b/>
              </w:rPr>
              <w:t>0</w:t>
            </w:r>
          </w:p>
        </w:tc>
        <w:tc>
          <w:tcPr>
            <w:tcW w:w="1194" w:type="dxa"/>
          </w:tcPr>
          <w:p w:rsidR="00AF6F95" w:rsidRPr="00317B6A" w:rsidRDefault="00AF6F95" w:rsidP="00AF6F95">
            <w:pPr>
              <w:jc w:val="center"/>
              <w:rPr>
                <w:b/>
              </w:rPr>
            </w:pPr>
            <w:r w:rsidRPr="00317B6A">
              <w:rPr>
                <w:b/>
              </w:rPr>
              <w:t>0</w:t>
            </w:r>
          </w:p>
        </w:tc>
        <w:tc>
          <w:tcPr>
            <w:tcW w:w="1189" w:type="dxa"/>
          </w:tcPr>
          <w:p w:rsidR="00AF6F95" w:rsidRPr="00317B6A" w:rsidRDefault="00AF6F95" w:rsidP="00AF6F95">
            <w:pPr>
              <w:jc w:val="center"/>
              <w:rPr>
                <w:b/>
              </w:rPr>
            </w:pPr>
            <w:r w:rsidRPr="00317B6A">
              <w:rPr>
                <w:b/>
              </w:rPr>
              <w:t>0</w:t>
            </w:r>
          </w:p>
        </w:tc>
      </w:tr>
      <w:tr w:rsidR="00AF6F95" w:rsidRPr="00317B6A" w:rsidTr="005A09BC">
        <w:trPr>
          <w:jc w:val="center"/>
        </w:trPr>
        <w:tc>
          <w:tcPr>
            <w:tcW w:w="3507" w:type="dxa"/>
          </w:tcPr>
          <w:p w:rsidR="00AF6F95" w:rsidRPr="00317B6A" w:rsidRDefault="00AF6F95" w:rsidP="00AF6F95">
            <w:r w:rsidRPr="00317B6A">
              <w:t>2.1. valsts pamatbudžets</w:t>
            </w:r>
          </w:p>
        </w:tc>
        <w:tc>
          <w:tcPr>
            <w:tcW w:w="1617" w:type="dxa"/>
          </w:tcPr>
          <w:p w:rsidR="00AF6F95" w:rsidRPr="00317B6A" w:rsidRDefault="00AF6F95" w:rsidP="00AF6F95">
            <w:pPr>
              <w:jc w:val="center"/>
              <w:rPr>
                <w:i/>
              </w:rPr>
            </w:pPr>
            <w:r w:rsidRPr="00317B6A">
              <w:rPr>
                <w:i/>
              </w:rPr>
              <w:t>0</w:t>
            </w:r>
          </w:p>
        </w:tc>
        <w:tc>
          <w:tcPr>
            <w:tcW w:w="1364" w:type="dxa"/>
          </w:tcPr>
          <w:p w:rsidR="00AF6F95" w:rsidRPr="00AE1E2B" w:rsidRDefault="00710E3C" w:rsidP="00710E3C">
            <w:pPr>
              <w:jc w:val="center"/>
              <w:rPr>
                <w:i/>
              </w:rPr>
            </w:pPr>
            <w:r>
              <w:rPr>
                <w:i/>
              </w:rPr>
              <w:t>42 687</w:t>
            </w:r>
          </w:p>
        </w:tc>
        <w:tc>
          <w:tcPr>
            <w:tcW w:w="1189" w:type="dxa"/>
          </w:tcPr>
          <w:p w:rsidR="00AF6F95" w:rsidRPr="00317B6A" w:rsidRDefault="00AF6F95" w:rsidP="00AF6F95">
            <w:pPr>
              <w:jc w:val="center"/>
              <w:rPr>
                <w:i/>
              </w:rPr>
            </w:pPr>
            <w:r w:rsidRPr="00317B6A">
              <w:rPr>
                <w:i/>
              </w:rPr>
              <w:t>0</w:t>
            </w:r>
          </w:p>
        </w:tc>
        <w:tc>
          <w:tcPr>
            <w:tcW w:w="1194" w:type="dxa"/>
          </w:tcPr>
          <w:p w:rsidR="00AF6F95" w:rsidRPr="00317B6A" w:rsidRDefault="00AF6F95" w:rsidP="00AF6F95">
            <w:pPr>
              <w:jc w:val="center"/>
              <w:rPr>
                <w:i/>
              </w:rPr>
            </w:pPr>
            <w:r w:rsidRPr="00317B6A">
              <w:rPr>
                <w:i/>
              </w:rPr>
              <w:t>0</w:t>
            </w:r>
          </w:p>
        </w:tc>
        <w:tc>
          <w:tcPr>
            <w:tcW w:w="1189" w:type="dxa"/>
          </w:tcPr>
          <w:p w:rsidR="00AF6F95" w:rsidRPr="00317B6A" w:rsidRDefault="00AF6F95" w:rsidP="00AF6F95">
            <w:pPr>
              <w:jc w:val="center"/>
              <w:rPr>
                <w:i/>
              </w:rPr>
            </w:pPr>
            <w:r w:rsidRPr="00317B6A">
              <w:rPr>
                <w:i/>
              </w:rPr>
              <w:t>0</w:t>
            </w:r>
          </w:p>
        </w:tc>
      </w:tr>
      <w:tr w:rsidR="00AF6F95" w:rsidRPr="00317B6A" w:rsidTr="005A09BC">
        <w:trPr>
          <w:jc w:val="center"/>
        </w:trPr>
        <w:tc>
          <w:tcPr>
            <w:tcW w:w="3507" w:type="dxa"/>
          </w:tcPr>
          <w:p w:rsidR="00AF6F95" w:rsidRPr="00317B6A" w:rsidRDefault="00AF6F95" w:rsidP="00AF6F95">
            <w:r w:rsidRPr="00317B6A">
              <w:t>2.2. valsts speciālais budžets</w:t>
            </w:r>
          </w:p>
        </w:tc>
        <w:tc>
          <w:tcPr>
            <w:tcW w:w="1617" w:type="dxa"/>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5A09BC">
        <w:trPr>
          <w:jc w:val="center"/>
        </w:trPr>
        <w:tc>
          <w:tcPr>
            <w:tcW w:w="3507" w:type="dxa"/>
          </w:tcPr>
          <w:p w:rsidR="00AF6F95" w:rsidRPr="00317B6A" w:rsidRDefault="00AF6F95" w:rsidP="00AF6F95">
            <w:r w:rsidRPr="00317B6A">
              <w:t xml:space="preserve">2.3. pašvaldību budžets </w:t>
            </w:r>
          </w:p>
        </w:tc>
        <w:tc>
          <w:tcPr>
            <w:tcW w:w="1617" w:type="dxa"/>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5A09BC">
        <w:trPr>
          <w:jc w:val="center"/>
        </w:trPr>
        <w:tc>
          <w:tcPr>
            <w:tcW w:w="3507" w:type="dxa"/>
          </w:tcPr>
          <w:p w:rsidR="00AF6F95" w:rsidRPr="00317B6A" w:rsidRDefault="00AF6F95" w:rsidP="00AF6F95">
            <w:r w:rsidRPr="00317B6A">
              <w:t>3. Finansiālā ietekme:</w:t>
            </w:r>
          </w:p>
        </w:tc>
        <w:tc>
          <w:tcPr>
            <w:tcW w:w="1617" w:type="dxa"/>
            <w:shd w:val="clear" w:color="auto" w:fill="auto"/>
          </w:tcPr>
          <w:p w:rsidR="00AF6F95" w:rsidRPr="00317B6A" w:rsidRDefault="00AF6F95" w:rsidP="00AF6F95">
            <w:pPr>
              <w:jc w:val="center"/>
              <w:rPr>
                <w:b/>
              </w:rPr>
            </w:pPr>
            <w:r w:rsidRPr="00317B6A">
              <w:rPr>
                <w:b/>
              </w:rPr>
              <w:t>0</w:t>
            </w:r>
          </w:p>
        </w:tc>
        <w:tc>
          <w:tcPr>
            <w:tcW w:w="1364" w:type="dxa"/>
          </w:tcPr>
          <w:p w:rsidR="00AF6F95" w:rsidRPr="00AE1E2B" w:rsidRDefault="00AF6F95" w:rsidP="00AF6F95">
            <w:pPr>
              <w:jc w:val="center"/>
              <w:rPr>
                <w:b/>
              </w:rPr>
            </w:pPr>
            <w:r>
              <w:rPr>
                <w:b/>
              </w:rPr>
              <w:t xml:space="preserve">- </w:t>
            </w:r>
            <w:r w:rsidR="00710E3C">
              <w:rPr>
                <w:b/>
              </w:rPr>
              <w:t>42 687</w:t>
            </w:r>
          </w:p>
        </w:tc>
        <w:tc>
          <w:tcPr>
            <w:tcW w:w="1189" w:type="dxa"/>
          </w:tcPr>
          <w:p w:rsidR="00AF6F95" w:rsidRPr="00317B6A" w:rsidRDefault="00AF6F95" w:rsidP="00AF6F95">
            <w:pPr>
              <w:jc w:val="center"/>
              <w:rPr>
                <w:b/>
              </w:rPr>
            </w:pPr>
            <w:r w:rsidRPr="00317B6A">
              <w:rPr>
                <w:b/>
              </w:rPr>
              <w:t>0</w:t>
            </w:r>
          </w:p>
        </w:tc>
        <w:tc>
          <w:tcPr>
            <w:tcW w:w="1194" w:type="dxa"/>
          </w:tcPr>
          <w:p w:rsidR="00AF6F95" w:rsidRPr="00317B6A" w:rsidRDefault="00AF6F95" w:rsidP="00AF6F95">
            <w:pPr>
              <w:jc w:val="center"/>
              <w:rPr>
                <w:b/>
              </w:rPr>
            </w:pPr>
            <w:r w:rsidRPr="00317B6A">
              <w:rPr>
                <w:b/>
              </w:rPr>
              <w:t>0</w:t>
            </w:r>
          </w:p>
        </w:tc>
        <w:tc>
          <w:tcPr>
            <w:tcW w:w="1189" w:type="dxa"/>
          </w:tcPr>
          <w:p w:rsidR="00AF6F95" w:rsidRPr="00317B6A" w:rsidRDefault="00AF6F95" w:rsidP="00AF6F95">
            <w:pPr>
              <w:jc w:val="center"/>
              <w:rPr>
                <w:b/>
              </w:rPr>
            </w:pPr>
            <w:r w:rsidRPr="00317B6A">
              <w:rPr>
                <w:b/>
              </w:rPr>
              <w:t>0</w:t>
            </w:r>
          </w:p>
        </w:tc>
      </w:tr>
      <w:tr w:rsidR="00AF6F95" w:rsidRPr="00317B6A" w:rsidTr="005A09BC">
        <w:trPr>
          <w:jc w:val="center"/>
        </w:trPr>
        <w:tc>
          <w:tcPr>
            <w:tcW w:w="3507" w:type="dxa"/>
          </w:tcPr>
          <w:p w:rsidR="00AF6F95" w:rsidRPr="00317B6A" w:rsidRDefault="00AF6F95" w:rsidP="00AF6F95">
            <w:r w:rsidRPr="00317B6A">
              <w:t>3.1. valsts pamatbudžets</w:t>
            </w:r>
          </w:p>
        </w:tc>
        <w:tc>
          <w:tcPr>
            <w:tcW w:w="1617" w:type="dxa"/>
            <w:shd w:val="clear" w:color="auto" w:fill="auto"/>
          </w:tcPr>
          <w:p w:rsidR="00AF6F95" w:rsidRPr="00317B6A" w:rsidRDefault="00AF6F95" w:rsidP="00AF6F95">
            <w:pPr>
              <w:jc w:val="center"/>
              <w:rPr>
                <w:i/>
              </w:rPr>
            </w:pPr>
            <w:r w:rsidRPr="00317B6A">
              <w:rPr>
                <w:i/>
              </w:rPr>
              <w:t>0</w:t>
            </w:r>
          </w:p>
        </w:tc>
        <w:tc>
          <w:tcPr>
            <w:tcW w:w="1364" w:type="dxa"/>
          </w:tcPr>
          <w:p w:rsidR="00AF6F95" w:rsidRPr="00AE1E2B" w:rsidRDefault="00AF6F95" w:rsidP="00AF6F95">
            <w:pPr>
              <w:jc w:val="center"/>
              <w:rPr>
                <w:i/>
              </w:rPr>
            </w:pPr>
            <w:r>
              <w:rPr>
                <w:i/>
              </w:rPr>
              <w:t xml:space="preserve">- </w:t>
            </w:r>
            <w:r w:rsidR="00710E3C">
              <w:rPr>
                <w:i/>
              </w:rPr>
              <w:t>42 687</w:t>
            </w:r>
          </w:p>
        </w:tc>
        <w:tc>
          <w:tcPr>
            <w:tcW w:w="1189" w:type="dxa"/>
          </w:tcPr>
          <w:p w:rsidR="00AF6F95" w:rsidRPr="00317B6A" w:rsidRDefault="00AF6F95" w:rsidP="00AF6F95">
            <w:pPr>
              <w:jc w:val="center"/>
              <w:rPr>
                <w:i/>
              </w:rPr>
            </w:pPr>
            <w:r w:rsidRPr="00317B6A">
              <w:rPr>
                <w:i/>
              </w:rPr>
              <w:t>0</w:t>
            </w:r>
          </w:p>
        </w:tc>
        <w:tc>
          <w:tcPr>
            <w:tcW w:w="1194" w:type="dxa"/>
          </w:tcPr>
          <w:p w:rsidR="00AF6F95" w:rsidRPr="00317B6A" w:rsidRDefault="00AF6F95" w:rsidP="00AF6F95">
            <w:pPr>
              <w:jc w:val="center"/>
              <w:rPr>
                <w:i/>
              </w:rPr>
            </w:pPr>
            <w:r w:rsidRPr="00317B6A">
              <w:rPr>
                <w:i/>
              </w:rPr>
              <w:t>0</w:t>
            </w:r>
          </w:p>
        </w:tc>
        <w:tc>
          <w:tcPr>
            <w:tcW w:w="1189" w:type="dxa"/>
          </w:tcPr>
          <w:p w:rsidR="00AF6F95" w:rsidRPr="00317B6A" w:rsidRDefault="00AF6F95" w:rsidP="00AF6F95">
            <w:pPr>
              <w:jc w:val="center"/>
              <w:rPr>
                <w:i/>
              </w:rPr>
            </w:pPr>
            <w:r w:rsidRPr="00317B6A">
              <w:rPr>
                <w:i/>
              </w:rPr>
              <w:t>0</w:t>
            </w:r>
          </w:p>
        </w:tc>
      </w:tr>
      <w:tr w:rsidR="00AF6F95" w:rsidRPr="00317B6A" w:rsidTr="005A09BC">
        <w:trPr>
          <w:jc w:val="center"/>
        </w:trPr>
        <w:tc>
          <w:tcPr>
            <w:tcW w:w="3507" w:type="dxa"/>
          </w:tcPr>
          <w:p w:rsidR="00AF6F95" w:rsidRPr="00317B6A" w:rsidRDefault="00AF6F95" w:rsidP="00AF6F95">
            <w:r w:rsidRPr="00317B6A">
              <w:t>3.2. speciālais budžets</w:t>
            </w:r>
          </w:p>
        </w:tc>
        <w:tc>
          <w:tcPr>
            <w:tcW w:w="1617" w:type="dxa"/>
            <w:shd w:val="clear" w:color="auto" w:fill="auto"/>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5A09BC">
        <w:trPr>
          <w:jc w:val="center"/>
        </w:trPr>
        <w:tc>
          <w:tcPr>
            <w:tcW w:w="3507" w:type="dxa"/>
          </w:tcPr>
          <w:p w:rsidR="00AF6F95" w:rsidRPr="00317B6A" w:rsidRDefault="00AF6F95" w:rsidP="00AF6F95">
            <w:r w:rsidRPr="00317B6A">
              <w:t xml:space="preserve">3.3. pašvaldību budžets </w:t>
            </w:r>
          </w:p>
        </w:tc>
        <w:tc>
          <w:tcPr>
            <w:tcW w:w="1617" w:type="dxa"/>
            <w:shd w:val="clear" w:color="auto" w:fill="auto"/>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5A09BC">
        <w:trPr>
          <w:jc w:val="center"/>
        </w:trPr>
        <w:tc>
          <w:tcPr>
            <w:tcW w:w="3507" w:type="dxa"/>
            <w:vMerge w:val="restart"/>
          </w:tcPr>
          <w:p w:rsidR="00AF6F95" w:rsidRPr="00317B6A" w:rsidRDefault="00AF6F95" w:rsidP="00AF6F95">
            <w:r w:rsidRPr="00317B6A">
              <w:t xml:space="preserve">4. Finanšu līdzekļi papildu izdevumu finansēšanai (kompensējošu izdevumu samazinājumu norāda ar </w:t>
            </w:r>
            <w:r>
              <w:t>“</w:t>
            </w:r>
            <w:r w:rsidRPr="00317B6A">
              <w:t>+</w:t>
            </w:r>
            <w:r>
              <w:t>”</w:t>
            </w:r>
            <w:r w:rsidRPr="00317B6A">
              <w:t xml:space="preserve"> zīmi)</w:t>
            </w:r>
          </w:p>
        </w:tc>
        <w:tc>
          <w:tcPr>
            <w:tcW w:w="1617" w:type="dxa"/>
            <w:vMerge w:val="restart"/>
          </w:tcPr>
          <w:p w:rsidR="00AF6F95" w:rsidRPr="00317B6A" w:rsidRDefault="00AF6F95" w:rsidP="00AF6F95">
            <w:pPr>
              <w:jc w:val="center"/>
              <w:rPr>
                <w:i/>
              </w:rPr>
            </w:pPr>
            <w:r w:rsidRPr="00317B6A">
              <w:t>X</w:t>
            </w:r>
          </w:p>
        </w:tc>
        <w:tc>
          <w:tcPr>
            <w:tcW w:w="1364" w:type="dxa"/>
          </w:tcPr>
          <w:p w:rsidR="00AF6F95" w:rsidRPr="00710E3C" w:rsidRDefault="00710E3C" w:rsidP="00AF6F95">
            <w:pPr>
              <w:jc w:val="center"/>
            </w:pPr>
            <w:r w:rsidRPr="00710E3C">
              <w:t>42 687</w:t>
            </w:r>
          </w:p>
        </w:tc>
        <w:tc>
          <w:tcPr>
            <w:tcW w:w="1189" w:type="dxa"/>
          </w:tcPr>
          <w:p w:rsidR="00AF6F95" w:rsidRPr="00317B6A" w:rsidRDefault="00AF6F95" w:rsidP="00AF6F95">
            <w:pPr>
              <w:jc w:val="center"/>
            </w:pPr>
            <w:r w:rsidRPr="00317B6A">
              <w:t>0</w:t>
            </w:r>
          </w:p>
        </w:tc>
        <w:tc>
          <w:tcPr>
            <w:tcW w:w="1194" w:type="dxa"/>
          </w:tcPr>
          <w:p w:rsidR="00AF6F95" w:rsidRPr="00317B6A" w:rsidRDefault="00AF6F95" w:rsidP="00AF6F95">
            <w:pPr>
              <w:jc w:val="center"/>
            </w:pPr>
            <w:r w:rsidRPr="00317B6A">
              <w:t>0</w:t>
            </w:r>
          </w:p>
        </w:tc>
        <w:tc>
          <w:tcPr>
            <w:tcW w:w="1189" w:type="dxa"/>
          </w:tcPr>
          <w:p w:rsidR="00AF6F95" w:rsidRPr="00317B6A" w:rsidRDefault="00AF6F95" w:rsidP="00AF6F95">
            <w:pPr>
              <w:jc w:val="center"/>
            </w:pPr>
            <w:r w:rsidRPr="00317B6A">
              <w:t>0</w:t>
            </w:r>
          </w:p>
        </w:tc>
      </w:tr>
      <w:tr w:rsidR="009B774A" w:rsidRPr="00317B6A" w:rsidTr="005A09BC">
        <w:trPr>
          <w:jc w:val="center"/>
        </w:trPr>
        <w:tc>
          <w:tcPr>
            <w:tcW w:w="3507" w:type="dxa"/>
            <w:vMerge/>
          </w:tcPr>
          <w:p w:rsidR="009B774A" w:rsidRPr="00317B6A" w:rsidRDefault="009B774A" w:rsidP="001A0506"/>
        </w:tc>
        <w:tc>
          <w:tcPr>
            <w:tcW w:w="1617" w:type="dxa"/>
            <w:vMerge/>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5A09BC">
        <w:trPr>
          <w:jc w:val="center"/>
        </w:trPr>
        <w:tc>
          <w:tcPr>
            <w:tcW w:w="3507" w:type="dxa"/>
            <w:vMerge/>
          </w:tcPr>
          <w:p w:rsidR="009B774A" w:rsidRPr="00317B6A" w:rsidRDefault="009B774A" w:rsidP="001A0506"/>
        </w:tc>
        <w:tc>
          <w:tcPr>
            <w:tcW w:w="1617" w:type="dxa"/>
            <w:vMerge/>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5A09BC">
        <w:trPr>
          <w:jc w:val="center"/>
        </w:trPr>
        <w:tc>
          <w:tcPr>
            <w:tcW w:w="3507" w:type="dxa"/>
          </w:tcPr>
          <w:p w:rsidR="009B774A" w:rsidRPr="00317B6A" w:rsidRDefault="009B774A" w:rsidP="001A0506">
            <w:r w:rsidRPr="00317B6A">
              <w:t>5. Precizēta finansiālā ietekme:</w:t>
            </w:r>
          </w:p>
        </w:tc>
        <w:tc>
          <w:tcPr>
            <w:tcW w:w="1617" w:type="dxa"/>
            <w:vMerge w:val="restart"/>
          </w:tcPr>
          <w:p w:rsidR="009B774A" w:rsidRPr="00317B6A" w:rsidRDefault="009B774A" w:rsidP="001A0506">
            <w:pPr>
              <w:jc w:val="center"/>
              <w:rPr>
                <w:i/>
              </w:rPr>
            </w:pPr>
            <w:r w:rsidRPr="00317B6A">
              <w:t>X</w:t>
            </w:r>
          </w:p>
        </w:tc>
        <w:tc>
          <w:tcPr>
            <w:tcW w:w="136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5A09BC">
        <w:trPr>
          <w:jc w:val="center"/>
        </w:trPr>
        <w:tc>
          <w:tcPr>
            <w:tcW w:w="3507" w:type="dxa"/>
          </w:tcPr>
          <w:p w:rsidR="009B774A" w:rsidRPr="00317B6A" w:rsidRDefault="009B774A" w:rsidP="001A0506">
            <w:r w:rsidRPr="00317B6A">
              <w:t>5.1. valsts pamatbudžets</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5A09BC">
        <w:trPr>
          <w:jc w:val="center"/>
        </w:trPr>
        <w:tc>
          <w:tcPr>
            <w:tcW w:w="3507" w:type="dxa"/>
          </w:tcPr>
          <w:p w:rsidR="009B774A" w:rsidRPr="00317B6A" w:rsidRDefault="009B774A" w:rsidP="001A0506">
            <w:r w:rsidRPr="00317B6A">
              <w:t>5.2. speciālais budžets</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5A09BC">
        <w:trPr>
          <w:jc w:val="center"/>
        </w:trPr>
        <w:tc>
          <w:tcPr>
            <w:tcW w:w="3507" w:type="dxa"/>
          </w:tcPr>
          <w:p w:rsidR="009B774A" w:rsidRPr="00317B6A" w:rsidRDefault="009B774A" w:rsidP="001A0506">
            <w:r w:rsidRPr="00317B6A">
              <w:t xml:space="preserve">5.3. pašvaldību budžets </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5A09BC">
        <w:trPr>
          <w:jc w:val="center"/>
        </w:trPr>
        <w:tc>
          <w:tcPr>
            <w:tcW w:w="3507" w:type="dxa"/>
          </w:tcPr>
          <w:p w:rsidR="009B774A" w:rsidRPr="00317B6A" w:rsidRDefault="009B774A" w:rsidP="001A0506">
            <w:r w:rsidRPr="00317B6A">
              <w:t>6. Detalizēts ieņēmumu un izdevumu aprēķins (ja nepie</w:t>
            </w:r>
            <w:r w:rsidRPr="00317B6A">
              <w:softHyphen/>
              <w:t>ciešams, detalizētu ieņēmumu un izdevumu aprēķinu var pie</w:t>
            </w:r>
            <w:r w:rsidRPr="00317B6A">
              <w:softHyphen/>
              <w:t>vienot anotācijas pielikumā):</w:t>
            </w:r>
          </w:p>
        </w:tc>
        <w:tc>
          <w:tcPr>
            <w:tcW w:w="6553" w:type="dxa"/>
            <w:gridSpan w:val="5"/>
            <w:vMerge w:val="restart"/>
            <w:shd w:val="clear" w:color="auto" w:fill="auto"/>
          </w:tcPr>
          <w:p w:rsidR="0046135E" w:rsidRPr="00317B6A" w:rsidRDefault="000520D5" w:rsidP="000520D5">
            <w:pPr>
              <w:jc w:val="both"/>
              <w:rPr>
                <w:rFonts w:eastAsia="Times New Roman"/>
                <w:color w:val="000000"/>
              </w:rPr>
            </w:pPr>
            <w:r>
              <w:t>Nav.</w:t>
            </w:r>
          </w:p>
        </w:tc>
      </w:tr>
      <w:tr w:rsidR="009B774A" w:rsidRPr="00317B6A" w:rsidTr="005A09BC">
        <w:trPr>
          <w:jc w:val="center"/>
        </w:trPr>
        <w:tc>
          <w:tcPr>
            <w:tcW w:w="3507" w:type="dxa"/>
          </w:tcPr>
          <w:p w:rsidR="009B774A" w:rsidRPr="00317B6A" w:rsidRDefault="009B774A" w:rsidP="001A0506">
            <w:r w:rsidRPr="00317B6A">
              <w:t>6.1. detalizēts ieņēmumu aprēķins</w:t>
            </w:r>
          </w:p>
        </w:tc>
        <w:tc>
          <w:tcPr>
            <w:tcW w:w="6553" w:type="dxa"/>
            <w:gridSpan w:val="5"/>
            <w:vMerge/>
            <w:shd w:val="clear" w:color="auto" w:fill="auto"/>
          </w:tcPr>
          <w:p w:rsidR="009B774A" w:rsidRPr="00317B6A" w:rsidRDefault="009B774A" w:rsidP="001A0506">
            <w:pPr>
              <w:rPr>
                <w:b/>
                <w:i/>
              </w:rPr>
            </w:pPr>
          </w:p>
        </w:tc>
      </w:tr>
      <w:tr w:rsidR="009B774A" w:rsidRPr="00317B6A" w:rsidTr="005A09BC">
        <w:trPr>
          <w:jc w:val="center"/>
        </w:trPr>
        <w:tc>
          <w:tcPr>
            <w:tcW w:w="3507" w:type="dxa"/>
          </w:tcPr>
          <w:p w:rsidR="009B774A" w:rsidRPr="00317B6A" w:rsidRDefault="009B774A" w:rsidP="001A0506">
            <w:r w:rsidRPr="00317B6A">
              <w:t>6.2. detalizēts izdevumu aprēķins</w:t>
            </w:r>
          </w:p>
        </w:tc>
        <w:tc>
          <w:tcPr>
            <w:tcW w:w="6553" w:type="dxa"/>
            <w:gridSpan w:val="5"/>
            <w:vMerge/>
            <w:shd w:val="clear" w:color="auto" w:fill="auto"/>
          </w:tcPr>
          <w:p w:rsidR="009B774A" w:rsidRPr="00317B6A" w:rsidRDefault="009B774A" w:rsidP="001A0506">
            <w:pPr>
              <w:rPr>
                <w:b/>
                <w:i/>
              </w:rPr>
            </w:pPr>
          </w:p>
        </w:tc>
      </w:tr>
      <w:tr w:rsidR="009B774A" w:rsidRPr="00317B6A" w:rsidTr="005A09BC">
        <w:trPr>
          <w:trHeight w:val="399"/>
          <w:jc w:val="center"/>
        </w:trPr>
        <w:tc>
          <w:tcPr>
            <w:tcW w:w="3507" w:type="dxa"/>
          </w:tcPr>
          <w:p w:rsidR="009B774A" w:rsidRPr="00317B6A" w:rsidRDefault="009B774A" w:rsidP="001A0506">
            <w:r w:rsidRPr="00317B6A">
              <w:t>7. Cita informācija</w:t>
            </w:r>
          </w:p>
        </w:tc>
        <w:tc>
          <w:tcPr>
            <w:tcW w:w="6553" w:type="dxa"/>
            <w:gridSpan w:val="5"/>
            <w:shd w:val="clear" w:color="auto" w:fill="auto"/>
          </w:tcPr>
          <w:p w:rsidR="009B774A" w:rsidRPr="00317B6A" w:rsidRDefault="000520D5" w:rsidP="00F53178">
            <w:pPr>
              <w:jc w:val="both"/>
            </w:pPr>
            <w:r w:rsidRPr="000520D5">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520B00" w:rsidRPr="0008616C" w:rsidRDefault="00520B00" w:rsidP="00464CD0">
      <w:pPr>
        <w:ind w:left="-567" w:right="-427"/>
        <w:jc w:val="both"/>
        <w:rPr>
          <w:i/>
        </w:rPr>
      </w:pPr>
    </w:p>
    <w:p w:rsidR="001F23A6" w:rsidRPr="0008616C" w:rsidRDefault="001F23A6" w:rsidP="00464CD0">
      <w:pPr>
        <w:ind w:left="-567" w:right="-427"/>
        <w:jc w:val="both"/>
        <w:rPr>
          <w:i/>
        </w:rPr>
      </w:pPr>
      <w:r w:rsidRPr="0008616C">
        <w:rPr>
          <w:i/>
        </w:rPr>
        <w:t xml:space="preserve">Anotācijas </w:t>
      </w:r>
      <w:r w:rsidR="0002179F" w:rsidRPr="0008616C">
        <w:rPr>
          <w:i/>
        </w:rPr>
        <w:t xml:space="preserve">II, </w:t>
      </w:r>
      <w:r w:rsidR="007A605D" w:rsidRPr="0008616C">
        <w:rPr>
          <w:i/>
        </w:rPr>
        <w:t xml:space="preserve">IV, </w:t>
      </w:r>
      <w:r w:rsidR="0002179F" w:rsidRPr="0008616C">
        <w:rPr>
          <w:i/>
        </w:rPr>
        <w:t xml:space="preserve">V, VI un VII </w:t>
      </w:r>
      <w:r w:rsidRPr="0008616C">
        <w:rPr>
          <w:i/>
        </w:rPr>
        <w:t xml:space="preserve">sadaļa – </w:t>
      </w:r>
      <w:r w:rsidR="00464CD0" w:rsidRPr="0008616C">
        <w:rPr>
          <w:i/>
        </w:rPr>
        <w:t>Ministru kabineta r</w:t>
      </w:r>
      <w:r w:rsidRPr="0008616C">
        <w:rPr>
          <w:i/>
        </w:rPr>
        <w:t>īkojuma projekts šīs jomas neskar.</w:t>
      </w:r>
    </w:p>
    <w:p w:rsidR="00585B7B" w:rsidRDefault="00585B7B" w:rsidP="00D96FCD"/>
    <w:p w:rsidR="00710E3C" w:rsidRPr="0008616C" w:rsidRDefault="00710E3C" w:rsidP="00D96FCD"/>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Default="00585B7B" w:rsidP="00D96FCD"/>
    <w:p w:rsidR="00710E3C" w:rsidRPr="0008616C" w:rsidRDefault="00710E3C"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5A09BC" w:rsidRDefault="005A09BC" w:rsidP="00D96FCD">
      <w:pPr>
        <w:jc w:val="both"/>
        <w:rPr>
          <w:sz w:val="22"/>
          <w:szCs w:val="22"/>
        </w:rPr>
      </w:pPr>
    </w:p>
    <w:p w:rsidR="00E244D0" w:rsidRPr="002D62A9" w:rsidRDefault="00FE4165" w:rsidP="00E244D0">
      <w:pPr>
        <w:ind w:left="720"/>
        <w:rPr>
          <w:sz w:val="22"/>
          <w:szCs w:val="22"/>
        </w:rPr>
      </w:pPr>
      <w:r>
        <w:rPr>
          <w:sz w:val="22"/>
          <w:szCs w:val="22"/>
        </w:rPr>
        <w:t>15</w:t>
      </w:r>
      <w:r w:rsidR="00044C6E">
        <w:rPr>
          <w:sz w:val="22"/>
          <w:szCs w:val="22"/>
        </w:rPr>
        <w:t>.0</w:t>
      </w:r>
      <w:r>
        <w:rPr>
          <w:sz w:val="22"/>
          <w:szCs w:val="22"/>
        </w:rPr>
        <w:t>6</w:t>
      </w:r>
      <w:r w:rsidR="00044C6E">
        <w:rPr>
          <w:sz w:val="22"/>
          <w:szCs w:val="22"/>
        </w:rPr>
        <w:t>.</w:t>
      </w:r>
      <w:r w:rsidR="00E244D0" w:rsidRPr="002D62A9">
        <w:rPr>
          <w:sz w:val="22"/>
          <w:szCs w:val="22"/>
        </w:rPr>
        <w:t>201</w:t>
      </w:r>
      <w:r w:rsidR="00044C6E">
        <w:rPr>
          <w:sz w:val="22"/>
          <w:szCs w:val="22"/>
        </w:rPr>
        <w:t>7</w:t>
      </w:r>
      <w:r w:rsidR="00E244D0" w:rsidRPr="002D62A9">
        <w:rPr>
          <w:sz w:val="22"/>
          <w:szCs w:val="22"/>
        </w:rPr>
        <w:t xml:space="preserve">. </w:t>
      </w:r>
      <w:r w:rsidR="00D1611B">
        <w:rPr>
          <w:sz w:val="22"/>
          <w:szCs w:val="22"/>
        </w:rPr>
        <w:t>1</w:t>
      </w:r>
      <w:r w:rsidR="00FF3C93">
        <w:rPr>
          <w:sz w:val="22"/>
          <w:szCs w:val="22"/>
        </w:rPr>
        <w:t>1</w:t>
      </w:r>
      <w:r>
        <w:rPr>
          <w:sz w:val="22"/>
          <w:szCs w:val="22"/>
        </w:rPr>
        <w:t>:</w:t>
      </w:r>
      <w:r w:rsidR="00FF3C93">
        <w:rPr>
          <w:sz w:val="22"/>
          <w:szCs w:val="22"/>
        </w:rPr>
        <w:t>30</w:t>
      </w:r>
      <w:bookmarkStart w:id="3" w:name="_GoBack"/>
      <w:bookmarkEnd w:id="3"/>
    </w:p>
    <w:p w:rsidR="0046135E" w:rsidRDefault="006049F3" w:rsidP="00E244D0">
      <w:pPr>
        <w:ind w:left="720"/>
        <w:rPr>
          <w:sz w:val="22"/>
          <w:szCs w:val="22"/>
        </w:rPr>
      </w:pPr>
      <w:r>
        <w:rPr>
          <w:sz w:val="22"/>
          <w:szCs w:val="22"/>
        </w:rPr>
        <w:t>1378</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5A09BC">
      <w:headerReference w:type="default" r:id="rId8"/>
      <w:footerReference w:type="default" r:id="rId9"/>
      <w:footerReference w:type="first" r:id="rId10"/>
      <w:pgSz w:w="11906" w:h="16838" w:code="9"/>
      <w:pgMar w:top="993" w:right="1134" w:bottom="1134" w:left="1701" w:header="567"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E8" w:rsidRDefault="00C90DE8" w:rsidP="00123E9B">
      <w:r>
        <w:separator/>
      </w:r>
    </w:p>
  </w:endnote>
  <w:endnote w:type="continuationSeparator" w:id="0">
    <w:p w:rsidR="00C90DE8" w:rsidRDefault="00C90DE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D335A0" w:rsidRDefault="00D335A0" w:rsidP="00D335A0">
    <w:pPr>
      <w:ind w:left="-567" w:right="-568"/>
      <w:jc w:val="both"/>
    </w:pPr>
    <w:r>
      <w:rPr>
        <w:sz w:val="22"/>
        <w:szCs w:val="22"/>
      </w:rPr>
      <w:t>IZMAnot_150617_teniss;</w:t>
    </w:r>
    <w:r w:rsidRPr="004816F6">
      <w:rPr>
        <w:sz w:val="22"/>
        <w:szCs w:val="22"/>
      </w:rPr>
      <w:t xml:space="preserve"> Ministru kabineta rīkojuma projekta </w:t>
    </w:r>
    <w:r>
      <w:rPr>
        <w:sz w:val="22"/>
        <w:szCs w:val="22"/>
      </w:rPr>
      <w:t>“</w:t>
    </w:r>
    <w:r w:rsidRPr="00265EBE">
      <w:rPr>
        <w:sz w:val="22"/>
        <w:szCs w:val="22"/>
      </w:rPr>
      <w:t>Par naudas balv</w:t>
    </w:r>
    <w:r w:rsidR="00154D22">
      <w:rPr>
        <w:sz w:val="22"/>
        <w:szCs w:val="22"/>
      </w:rPr>
      <w:t>u</w:t>
    </w:r>
    <w:r w:rsidRPr="00265EBE">
      <w:rPr>
        <w:sz w:val="22"/>
        <w:szCs w:val="22"/>
      </w:rPr>
      <w:t xml:space="preserve"> piešķiršanu</w:t>
    </w:r>
    <w:r>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D335A0">
      <w:rPr>
        <w:sz w:val="22"/>
        <w:szCs w:val="22"/>
      </w:rPr>
      <w:t>150617</w:t>
    </w:r>
    <w:r>
      <w:rPr>
        <w:sz w:val="22"/>
        <w:szCs w:val="22"/>
      </w:rPr>
      <w:t>_</w:t>
    </w:r>
    <w:r w:rsidR="00D335A0">
      <w:rPr>
        <w:sz w:val="22"/>
        <w:szCs w:val="22"/>
      </w:rPr>
      <w:t>teniss</w:t>
    </w:r>
    <w:r>
      <w:rPr>
        <w:sz w:val="22"/>
        <w:szCs w:val="22"/>
      </w:rPr>
      <w:t>;</w:t>
    </w:r>
    <w:r w:rsidRPr="004816F6">
      <w:rPr>
        <w:sz w:val="22"/>
        <w:szCs w:val="22"/>
      </w:rPr>
      <w:t xml:space="preserve"> Ministru kabineta rīkojuma projekta </w:t>
    </w:r>
    <w:r w:rsidR="00CC06AB">
      <w:rPr>
        <w:sz w:val="22"/>
        <w:szCs w:val="22"/>
      </w:rPr>
      <w:t>“</w:t>
    </w:r>
    <w:r w:rsidR="00265EBE" w:rsidRPr="00265EBE">
      <w:rPr>
        <w:sz w:val="22"/>
        <w:szCs w:val="22"/>
      </w:rPr>
      <w:t>Par naudas balv</w:t>
    </w:r>
    <w:r w:rsidR="00154D22">
      <w:rPr>
        <w:sz w:val="22"/>
        <w:szCs w:val="22"/>
      </w:rPr>
      <w:t>u</w:t>
    </w:r>
    <w:r w:rsidR="00265EBE" w:rsidRPr="00265EBE">
      <w:rPr>
        <w:sz w:val="22"/>
        <w:szCs w:val="22"/>
      </w:rPr>
      <w:t xml:space="preserve"> piešķiršanu</w:t>
    </w:r>
    <w:r w:rsidR="00D335A0">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E8" w:rsidRDefault="00C90DE8" w:rsidP="00123E9B">
      <w:r>
        <w:separator/>
      </w:r>
    </w:p>
  </w:footnote>
  <w:footnote w:type="continuationSeparator" w:id="0">
    <w:p w:rsidR="00C90DE8" w:rsidRDefault="00C90DE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FF3C9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7" w15:restartNumberingAfterBreak="0">
    <w:nsid w:val="58963C39"/>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59067CA2"/>
    <w:multiLevelType w:val="hybridMultilevel"/>
    <w:tmpl w:val="A85A0CC6"/>
    <w:lvl w:ilvl="0" w:tplc="1D1AC3BC">
      <w:start w:val="1"/>
      <w:numFmt w:val="decimal"/>
      <w:lvlText w:val="(%1)"/>
      <w:lvlJc w:val="left"/>
      <w:pPr>
        <w:ind w:left="720" w:hanging="360"/>
      </w:pPr>
      <w:rPr>
        <w:rFonts w:eastAsiaTheme="minorHAnsi" w:hint="default"/>
        <w:sz w:val="2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2"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9"/>
  </w:num>
  <w:num w:numId="3">
    <w:abstractNumId w:val="16"/>
  </w:num>
  <w:num w:numId="4">
    <w:abstractNumId w:val="22"/>
  </w:num>
  <w:num w:numId="5">
    <w:abstractNumId w:val="14"/>
  </w:num>
  <w:num w:numId="6">
    <w:abstractNumId w:val="15"/>
  </w:num>
  <w:num w:numId="7">
    <w:abstractNumId w:val="4"/>
  </w:num>
  <w:num w:numId="8">
    <w:abstractNumId w:val="1"/>
  </w:num>
  <w:num w:numId="9">
    <w:abstractNumId w:val="7"/>
  </w:num>
  <w:num w:numId="10">
    <w:abstractNumId w:val="24"/>
  </w:num>
  <w:num w:numId="11">
    <w:abstractNumId w:val="21"/>
  </w:num>
  <w:num w:numId="12">
    <w:abstractNumId w:val="5"/>
  </w:num>
  <w:num w:numId="13">
    <w:abstractNumId w:val="2"/>
  </w:num>
  <w:num w:numId="14">
    <w:abstractNumId w:val="3"/>
  </w:num>
  <w:num w:numId="15">
    <w:abstractNumId w:val="20"/>
  </w:num>
  <w:num w:numId="16">
    <w:abstractNumId w:val="25"/>
  </w:num>
  <w:num w:numId="17">
    <w:abstractNumId w:val="10"/>
  </w:num>
  <w:num w:numId="18">
    <w:abstractNumId w:val="11"/>
  </w:num>
  <w:num w:numId="19">
    <w:abstractNumId w:val="9"/>
  </w:num>
  <w:num w:numId="20">
    <w:abstractNumId w:val="6"/>
  </w:num>
  <w:num w:numId="21">
    <w:abstractNumId w:val="13"/>
  </w:num>
  <w:num w:numId="22">
    <w:abstractNumId w:val="23"/>
  </w:num>
  <w:num w:numId="23">
    <w:abstractNumId w:val="12"/>
  </w:num>
  <w:num w:numId="24">
    <w:abstractNumId w:val="0"/>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546"/>
    <w:rsid w:val="00002604"/>
    <w:rsid w:val="00002DDF"/>
    <w:rsid w:val="00004CD6"/>
    <w:rsid w:val="00005120"/>
    <w:rsid w:val="0000524B"/>
    <w:rsid w:val="00005A9D"/>
    <w:rsid w:val="00006D42"/>
    <w:rsid w:val="00010140"/>
    <w:rsid w:val="000103AD"/>
    <w:rsid w:val="00010590"/>
    <w:rsid w:val="000120DA"/>
    <w:rsid w:val="00012EAE"/>
    <w:rsid w:val="00014BD0"/>
    <w:rsid w:val="00020664"/>
    <w:rsid w:val="000216EC"/>
    <w:rsid w:val="0002179F"/>
    <w:rsid w:val="000219F0"/>
    <w:rsid w:val="00024A0F"/>
    <w:rsid w:val="00027332"/>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20D5"/>
    <w:rsid w:val="000541F8"/>
    <w:rsid w:val="00054553"/>
    <w:rsid w:val="00054B65"/>
    <w:rsid w:val="00054FEE"/>
    <w:rsid w:val="00055608"/>
    <w:rsid w:val="00055F70"/>
    <w:rsid w:val="000577FD"/>
    <w:rsid w:val="000622F7"/>
    <w:rsid w:val="00063019"/>
    <w:rsid w:val="0006651A"/>
    <w:rsid w:val="00066658"/>
    <w:rsid w:val="000673CA"/>
    <w:rsid w:val="00070F02"/>
    <w:rsid w:val="00071C49"/>
    <w:rsid w:val="00072966"/>
    <w:rsid w:val="00072B98"/>
    <w:rsid w:val="00072F6C"/>
    <w:rsid w:val="000730C8"/>
    <w:rsid w:val="00073118"/>
    <w:rsid w:val="000732D1"/>
    <w:rsid w:val="00074405"/>
    <w:rsid w:val="00074B8C"/>
    <w:rsid w:val="00076F56"/>
    <w:rsid w:val="000777A0"/>
    <w:rsid w:val="000777F6"/>
    <w:rsid w:val="00080116"/>
    <w:rsid w:val="00080CC1"/>
    <w:rsid w:val="00081477"/>
    <w:rsid w:val="00081CEB"/>
    <w:rsid w:val="00082C6B"/>
    <w:rsid w:val="000849C2"/>
    <w:rsid w:val="00084C38"/>
    <w:rsid w:val="0008599C"/>
    <w:rsid w:val="0008616C"/>
    <w:rsid w:val="00090BFF"/>
    <w:rsid w:val="000912B2"/>
    <w:rsid w:val="000915A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3F4"/>
    <w:rsid w:val="000D003C"/>
    <w:rsid w:val="000D00F8"/>
    <w:rsid w:val="000D6486"/>
    <w:rsid w:val="000D7A09"/>
    <w:rsid w:val="000E058D"/>
    <w:rsid w:val="000E0815"/>
    <w:rsid w:val="000E2489"/>
    <w:rsid w:val="000E3B94"/>
    <w:rsid w:val="000E4A2A"/>
    <w:rsid w:val="000E4A57"/>
    <w:rsid w:val="000E5FDF"/>
    <w:rsid w:val="000E6027"/>
    <w:rsid w:val="000F1AC0"/>
    <w:rsid w:val="000F3894"/>
    <w:rsid w:val="0010198A"/>
    <w:rsid w:val="00101C45"/>
    <w:rsid w:val="00103760"/>
    <w:rsid w:val="00103A3D"/>
    <w:rsid w:val="00106424"/>
    <w:rsid w:val="001106D1"/>
    <w:rsid w:val="00111433"/>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3B63"/>
    <w:rsid w:val="001344F5"/>
    <w:rsid w:val="00134CEC"/>
    <w:rsid w:val="001350A6"/>
    <w:rsid w:val="00135577"/>
    <w:rsid w:val="00136D87"/>
    <w:rsid w:val="001376F8"/>
    <w:rsid w:val="00137B8C"/>
    <w:rsid w:val="00137FAC"/>
    <w:rsid w:val="0014095C"/>
    <w:rsid w:val="001413A9"/>
    <w:rsid w:val="00143072"/>
    <w:rsid w:val="00143747"/>
    <w:rsid w:val="00147CBF"/>
    <w:rsid w:val="00147D9A"/>
    <w:rsid w:val="00150D62"/>
    <w:rsid w:val="0015243B"/>
    <w:rsid w:val="00152C87"/>
    <w:rsid w:val="00152CED"/>
    <w:rsid w:val="00154D22"/>
    <w:rsid w:val="00156760"/>
    <w:rsid w:val="00157F12"/>
    <w:rsid w:val="00161261"/>
    <w:rsid w:val="0016142A"/>
    <w:rsid w:val="00162670"/>
    <w:rsid w:val="00166975"/>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5946"/>
    <w:rsid w:val="00185F8B"/>
    <w:rsid w:val="00186DF5"/>
    <w:rsid w:val="0018701C"/>
    <w:rsid w:val="001904B3"/>
    <w:rsid w:val="00191B0F"/>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323"/>
    <w:rsid w:val="001B657F"/>
    <w:rsid w:val="001C00EB"/>
    <w:rsid w:val="001C15CD"/>
    <w:rsid w:val="001C20B9"/>
    <w:rsid w:val="001C2FDE"/>
    <w:rsid w:val="001C403D"/>
    <w:rsid w:val="001C49BD"/>
    <w:rsid w:val="001C4BA3"/>
    <w:rsid w:val="001C5FC4"/>
    <w:rsid w:val="001C606E"/>
    <w:rsid w:val="001C60B1"/>
    <w:rsid w:val="001C62B1"/>
    <w:rsid w:val="001C77E5"/>
    <w:rsid w:val="001D0913"/>
    <w:rsid w:val="001D0F7F"/>
    <w:rsid w:val="001D17EA"/>
    <w:rsid w:val="001D1F6A"/>
    <w:rsid w:val="001D2466"/>
    <w:rsid w:val="001D2E9F"/>
    <w:rsid w:val="001D3147"/>
    <w:rsid w:val="001D3F72"/>
    <w:rsid w:val="001D4A15"/>
    <w:rsid w:val="001D6D92"/>
    <w:rsid w:val="001D7C74"/>
    <w:rsid w:val="001E35C4"/>
    <w:rsid w:val="001E59CD"/>
    <w:rsid w:val="001E6110"/>
    <w:rsid w:val="001E6E40"/>
    <w:rsid w:val="001E72D6"/>
    <w:rsid w:val="001F04C7"/>
    <w:rsid w:val="001F0A3C"/>
    <w:rsid w:val="001F23A6"/>
    <w:rsid w:val="001F2EBF"/>
    <w:rsid w:val="001F373F"/>
    <w:rsid w:val="001F4E27"/>
    <w:rsid w:val="001F5166"/>
    <w:rsid w:val="001F60F4"/>
    <w:rsid w:val="001F6C88"/>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E27"/>
    <w:rsid w:val="00224F0F"/>
    <w:rsid w:val="00225615"/>
    <w:rsid w:val="0022719E"/>
    <w:rsid w:val="00231984"/>
    <w:rsid w:val="00232B87"/>
    <w:rsid w:val="002339F0"/>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500E"/>
    <w:rsid w:val="002553DA"/>
    <w:rsid w:val="00255BAD"/>
    <w:rsid w:val="00257B3B"/>
    <w:rsid w:val="002637C0"/>
    <w:rsid w:val="00265EBE"/>
    <w:rsid w:val="00266356"/>
    <w:rsid w:val="00267302"/>
    <w:rsid w:val="00270408"/>
    <w:rsid w:val="00270E39"/>
    <w:rsid w:val="00272248"/>
    <w:rsid w:val="00273D63"/>
    <w:rsid w:val="002744DD"/>
    <w:rsid w:val="00274B5E"/>
    <w:rsid w:val="00274E8A"/>
    <w:rsid w:val="002761F4"/>
    <w:rsid w:val="002819CC"/>
    <w:rsid w:val="00283DB6"/>
    <w:rsid w:val="0028791A"/>
    <w:rsid w:val="00290115"/>
    <w:rsid w:val="002903DB"/>
    <w:rsid w:val="00290940"/>
    <w:rsid w:val="00290BDD"/>
    <w:rsid w:val="0029164A"/>
    <w:rsid w:val="002918AC"/>
    <w:rsid w:val="00291A48"/>
    <w:rsid w:val="00291AF4"/>
    <w:rsid w:val="00294045"/>
    <w:rsid w:val="00295345"/>
    <w:rsid w:val="00295551"/>
    <w:rsid w:val="002975AC"/>
    <w:rsid w:val="002A1E5B"/>
    <w:rsid w:val="002A22CB"/>
    <w:rsid w:val="002A41DA"/>
    <w:rsid w:val="002A6F37"/>
    <w:rsid w:val="002B03B2"/>
    <w:rsid w:val="002B2EB9"/>
    <w:rsid w:val="002B3051"/>
    <w:rsid w:val="002B4D56"/>
    <w:rsid w:val="002B5C0B"/>
    <w:rsid w:val="002B6351"/>
    <w:rsid w:val="002B6933"/>
    <w:rsid w:val="002B784B"/>
    <w:rsid w:val="002C06E5"/>
    <w:rsid w:val="002C0946"/>
    <w:rsid w:val="002C117A"/>
    <w:rsid w:val="002C2590"/>
    <w:rsid w:val="002C2867"/>
    <w:rsid w:val="002C2C3F"/>
    <w:rsid w:val="002C50CA"/>
    <w:rsid w:val="002C602F"/>
    <w:rsid w:val="002C7C2B"/>
    <w:rsid w:val="002D4F98"/>
    <w:rsid w:val="002D50D6"/>
    <w:rsid w:val="002D5DA0"/>
    <w:rsid w:val="002D62A9"/>
    <w:rsid w:val="002D6D46"/>
    <w:rsid w:val="002D77A9"/>
    <w:rsid w:val="002E011D"/>
    <w:rsid w:val="002E09A5"/>
    <w:rsid w:val="002E0B47"/>
    <w:rsid w:val="002E0BB9"/>
    <w:rsid w:val="002E40BB"/>
    <w:rsid w:val="002E6A3D"/>
    <w:rsid w:val="002E742C"/>
    <w:rsid w:val="002F120E"/>
    <w:rsid w:val="002F1327"/>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17B6A"/>
    <w:rsid w:val="003202C1"/>
    <w:rsid w:val="003225F6"/>
    <w:rsid w:val="00326649"/>
    <w:rsid w:val="003268E2"/>
    <w:rsid w:val="00326D04"/>
    <w:rsid w:val="00326FFD"/>
    <w:rsid w:val="00331B78"/>
    <w:rsid w:val="00332AD8"/>
    <w:rsid w:val="00334502"/>
    <w:rsid w:val="00335F59"/>
    <w:rsid w:val="00337C76"/>
    <w:rsid w:val="00341757"/>
    <w:rsid w:val="003418C3"/>
    <w:rsid w:val="003435FA"/>
    <w:rsid w:val="003445A2"/>
    <w:rsid w:val="003478B4"/>
    <w:rsid w:val="00350D8D"/>
    <w:rsid w:val="00351AA0"/>
    <w:rsid w:val="00352F47"/>
    <w:rsid w:val="00353516"/>
    <w:rsid w:val="0035445A"/>
    <w:rsid w:val="0035463A"/>
    <w:rsid w:val="00357A2C"/>
    <w:rsid w:val="003608F0"/>
    <w:rsid w:val="003620CD"/>
    <w:rsid w:val="003636C5"/>
    <w:rsid w:val="00363F09"/>
    <w:rsid w:val="00364A83"/>
    <w:rsid w:val="00367957"/>
    <w:rsid w:val="003705EF"/>
    <w:rsid w:val="003710C1"/>
    <w:rsid w:val="003719EC"/>
    <w:rsid w:val="00376CEF"/>
    <w:rsid w:val="003773F8"/>
    <w:rsid w:val="00381A75"/>
    <w:rsid w:val="00383F46"/>
    <w:rsid w:val="00386F10"/>
    <w:rsid w:val="00387612"/>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2F26"/>
    <w:rsid w:val="003B4005"/>
    <w:rsid w:val="003B465C"/>
    <w:rsid w:val="003B5F90"/>
    <w:rsid w:val="003B6D50"/>
    <w:rsid w:val="003C0796"/>
    <w:rsid w:val="003C1075"/>
    <w:rsid w:val="003C2496"/>
    <w:rsid w:val="003C5AE5"/>
    <w:rsid w:val="003C691E"/>
    <w:rsid w:val="003D01AF"/>
    <w:rsid w:val="003D4908"/>
    <w:rsid w:val="003D5EAB"/>
    <w:rsid w:val="003D7335"/>
    <w:rsid w:val="003E40B5"/>
    <w:rsid w:val="003E4A67"/>
    <w:rsid w:val="003E4DD8"/>
    <w:rsid w:val="003E6E62"/>
    <w:rsid w:val="003F0BF1"/>
    <w:rsid w:val="003F1F82"/>
    <w:rsid w:val="003F2A27"/>
    <w:rsid w:val="003F43C8"/>
    <w:rsid w:val="003F45A5"/>
    <w:rsid w:val="003F5CC4"/>
    <w:rsid w:val="003F608E"/>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135E"/>
    <w:rsid w:val="00463D46"/>
    <w:rsid w:val="00463FD8"/>
    <w:rsid w:val="00464CD0"/>
    <w:rsid w:val="00465A28"/>
    <w:rsid w:val="00466E6C"/>
    <w:rsid w:val="0046707D"/>
    <w:rsid w:val="00467FEB"/>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6A8A"/>
    <w:rsid w:val="0048724F"/>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1D09"/>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0FE2"/>
    <w:rsid w:val="00503618"/>
    <w:rsid w:val="00503DC4"/>
    <w:rsid w:val="00504DBF"/>
    <w:rsid w:val="00506A1E"/>
    <w:rsid w:val="00506F79"/>
    <w:rsid w:val="00510210"/>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07A"/>
    <w:rsid w:val="00535B15"/>
    <w:rsid w:val="005362A9"/>
    <w:rsid w:val="00540235"/>
    <w:rsid w:val="005418EE"/>
    <w:rsid w:val="0054241F"/>
    <w:rsid w:val="005431CC"/>
    <w:rsid w:val="0054456F"/>
    <w:rsid w:val="00545639"/>
    <w:rsid w:val="0054598E"/>
    <w:rsid w:val="00545E63"/>
    <w:rsid w:val="005462AF"/>
    <w:rsid w:val="005511F9"/>
    <w:rsid w:val="00551AA8"/>
    <w:rsid w:val="00552059"/>
    <w:rsid w:val="00554CE1"/>
    <w:rsid w:val="005562DC"/>
    <w:rsid w:val="005575F5"/>
    <w:rsid w:val="00557E2F"/>
    <w:rsid w:val="00560101"/>
    <w:rsid w:val="00562EC6"/>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9BC"/>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A40"/>
    <w:rsid w:val="005D2C19"/>
    <w:rsid w:val="005D4A0C"/>
    <w:rsid w:val="005D564D"/>
    <w:rsid w:val="005D5F69"/>
    <w:rsid w:val="005D64B0"/>
    <w:rsid w:val="005D66E2"/>
    <w:rsid w:val="005D6B61"/>
    <w:rsid w:val="005D6B8A"/>
    <w:rsid w:val="005E40D9"/>
    <w:rsid w:val="005E4159"/>
    <w:rsid w:val="005E4DF4"/>
    <w:rsid w:val="005F22A7"/>
    <w:rsid w:val="005F3AA1"/>
    <w:rsid w:val="005F438C"/>
    <w:rsid w:val="005F6A42"/>
    <w:rsid w:val="00600DCE"/>
    <w:rsid w:val="00600E72"/>
    <w:rsid w:val="0060231D"/>
    <w:rsid w:val="00604944"/>
    <w:rsid w:val="006049F3"/>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2ABF"/>
    <w:rsid w:val="00643E05"/>
    <w:rsid w:val="00643E6C"/>
    <w:rsid w:val="0064591A"/>
    <w:rsid w:val="00653952"/>
    <w:rsid w:val="00653B95"/>
    <w:rsid w:val="00654274"/>
    <w:rsid w:val="0065692E"/>
    <w:rsid w:val="006606C8"/>
    <w:rsid w:val="00662C4D"/>
    <w:rsid w:val="0066443C"/>
    <w:rsid w:val="00664540"/>
    <w:rsid w:val="0066504D"/>
    <w:rsid w:val="00666844"/>
    <w:rsid w:val="00667079"/>
    <w:rsid w:val="00670B6E"/>
    <w:rsid w:val="00671666"/>
    <w:rsid w:val="0067238F"/>
    <w:rsid w:val="00672827"/>
    <w:rsid w:val="00672CAB"/>
    <w:rsid w:val="006745D6"/>
    <w:rsid w:val="00676453"/>
    <w:rsid w:val="00676573"/>
    <w:rsid w:val="006769A6"/>
    <w:rsid w:val="00676EAC"/>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4818"/>
    <w:rsid w:val="006A5B29"/>
    <w:rsid w:val="006A69A4"/>
    <w:rsid w:val="006A792B"/>
    <w:rsid w:val="006A7A10"/>
    <w:rsid w:val="006A7BBB"/>
    <w:rsid w:val="006B0031"/>
    <w:rsid w:val="006B01F8"/>
    <w:rsid w:val="006B1489"/>
    <w:rsid w:val="006B1546"/>
    <w:rsid w:val="006B2095"/>
    <w:rsid w:val="006B232C"/>
    <w:rsid w:val="006B25C7"/>
    <w:rsid w:val="006B2C1D"/>
    <w:rsid w:val="006B5FDC"/>
    <w:rsid w:val="006B76EE"/>
    <w:rsid w:val="006C1D18"/>
    <w:rsid w:val="006C5D57"/>
    <w:rsid w:val="006D03B1"/>
    <w:rsid w:val="006D0962"/>
    <w:rsid w:val="006D3C88"/>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1BCF"/>
    <w:rsid w:val="007040D2"/>
    <w:rsid w:val="007052C3"/>
    <w:rsid w:val="00705BB4"/>
    <w:rsid w:val="00706CAC"/>
    <w:rsid w:val="00707D91"/>
    <w:rsid w:val="00710206"/>
    <w:rsid w:val="007103A6"/>
    <w:rsid w:val="00710893"/>
    <w:rsid w:val="00710E3C"/>
    <w:rsid w:val="00712406"/>
    <w:rsid w:val="00712C28"/>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42E2"/>
    <w:rsid w:val="00746067"/>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057"/>
    <w:rsid w:val="00781BCE"/>
    <w:rsid w:val="00783B51"/>
    <w:rsid w:val="00785F44"/>
    <w:rsid w:val="00791E64"/>
    <w:rsid w:val="0079257F"/>
    <w:rsid w:val="0079314E"/>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9D7"/>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5095"/>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05BB2"/>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2B83"/>
    <w:rsid w:val="008634F5"/>
    <w:rsid w:val="00865F4A"/>
    <w:rsid w:val="0086671A"/>
    <w:rsid w:val="0087128F"/>
    <w:rsid w:val="00871CB3"/>
    <w:rsid w:val="008723BF"/>
    <w:rsid w:val="008736C0"/>
    <w:rsid w:val="00873AFB"/>
    <w:rsid w:val="00873ED2"/>
    <w:rsid w:val="00877B2E"/>
    <w:rsid w:val="00880012"/>
    <w:rsid w:val="008805E8"/>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B2279"/>
    <w:rsid w:val="008B27BF"/>
    <w:rsid w:val="008B50AE"/>
    <w:rsid w:val="008B53EA"/>
    <w:rsid w:val="008B55F4"/>
    <w:rsid w:val="008C06F7"/>
    <w:rsid w:val="008C28CD"/>
    <w:rsid w:val="008C4BE1"/>
    <w:rsid w:val="008C68D2"/>
    <w:rsid w:val="008C716F"/>
    <w:rsid w:val="008D08C5"/>
    <w:rsid w:val="008D1C7C"/>
    <w:rsid w:val="008D2554"/>
    <w:rsid w:val="008D28DE"/>
    <w:rsid w:val="008D2C97"/>
    <w:rsid w:val="008D563E"/>
    <w:rsid w:val="008D63FB"/>
    <w:rsid w:val="008D645D"/>
    <w:rsid w:val="008D7B3A"/>
    <w:rsid w:val="008D7D52"/>
    <w:rsid w:val="008E0672"/>
    <w:rsid w:val="008E08B5"/>
    <w:rsid w:val="008E0A34"/>
    <w:rsid w:val="008E120E"/>
    <w:rsid w:val="008E1715"/>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3D45"/>
    <w:rsid w:val="009343C2"/>
    <w:rsid w:val="00935F6C"/>
    <w:rsid w:val="009414A1"/>
    <w:rsid w:val="00942D3A"/>
    <w:rsid w:val="00943700"/>
    <w:rsid w:val="00943C3C"/>
    <w:rsid w:val="00944333"/>
    <w:rsid w:val="00944E24"/>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7F8"/>
    <w:rsid w:val="00967D62"/>
    <w:rsid w:val="00970D16"/>
    <w:rsid w:val="0097189A"/>
    <w:rsid w:val="0097200A"/>
    <w:rsid w:val="00976CDB"/>
    <w:rsid w:val="009848C9"/>
    <w:rsid w:val="009849CF"/>
    <w:rsid w:val="009879C2"/>
    <w:rsid w:val="00987CF4"/>
    <w:rsid w:val="00990076"/>
    <w:rsid w:val="00991790"/>
    <w:rsid w:val="00991845"/>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1FEB"/>
    <w:rsid w:val="009D207C"/>
    <w:rsid w:val="009D2B33"/>
    <w:rsid w:val="009D39C9"/>
    <w:rsid w:val="009D45E8"/>
    <w:rsid w:val="009D482E"/>
    <w:rsid w:val="009D4EC8"/>
    <w:rsid w:val="009D53EB"/>
    <w:rsid w:val="009D54A8"/>
    <w:rsid w:val="009D593E"/>
    <w:rsid w:val="009D5CF1"/>
    <w:rsid w:val="009E0E18"/>
    <w:rsid w:val="009E39D6"/>
    <w:rsid w:val="009E4529"/>
    <w:rsid w:val="009E465E"/>
    <w:rsid w:val="009E5842"/>
    <w:rsid w:val="009E6B71"/>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18AC"/>
    <w:rsid w:val="00A07D34"/>
    <w:rsid w:val="00A10BB0"/>
    <w:rsid w:val="00A12196"/>
    <w:rsid w:val="00A13034"/>
    <w:rsid w:val="00A1339D"/>
    <w:rsid w:val="00A13445"/>
    <w:rsid w:val="00A13CB9"/>
    <w:rsid w:val="00A15252"/>
    <w:rsid w:val="00A15B3C"/>
    <w:rsid w:val="00A17D77"/>
    <w:rsid w:val="00A2036F"/>
    <w:rsid w:val="00A208FB"/>
    <w:rsid w:val="00A21DDA"/>
    <w:rsid w:val="00A22F12"/>
    <w:rsid w:val="00A23073"/>
    <w:rsid w:val="00A231FE"/>
    <w:rsid w:val="00A2356A"/>
    <w:rsid w:val="00A24920"/>
    <w:rsid w:val="00A25A59"/>
    <w:rsid w:val="00A26E8E"/>
    <w:rsid w:val="00A310E9"/>
    <w:rsid w:val="00A3143D"/>
    <w:rsid w:val="00A31762"/>
    <w:rsid w:val="00A33031"/>
    <w:rsid w:val="00A354B5"/>
    <w:rsid w:val="00A36173"/>
    <w:rsid w:val="00A37386"/>
    <w:rsid w:val="00A373E1"/>
    <w:rsid w:val="00A400FE"/>
    <w:rsid w:val="00A42763"/>
    <w:rsid w:val="00A43A10"/>
    <w:rsid w:val="00A43A41"/>
    <w:rsid w:val="00A43F04"/>
    <w:rsid w:val="00A444EC"/>
    <w:rsid w:val="00A45BBB"/>
    <w:rsid w:val="00A46C40"/>
    <w:rsid w:val="00A51F07"/>
    <w:rsid w:val="00A524B8"/>
    <w:rsid w:val="00A562C5"/>
    <w:rsid w:val="00A5709C"/>
    <w:rsid w:val="00A57753"/>
    <w:rsid w:val="00A62569"/>
    <w:rsid w:val="00A631A3"/>
    <w:rsid w:val="00A64217"/>
    <w:rsid w:val="00A65993"/>
    <w:rsid w:val="00A660A8"/>
    <w:rsid w:val="00A6630D"/>
    <w:rsid w:val="00A7205F"/>
    <w:rsid w:val="00A720FA"/>
    <w:rsid w:val="00A7341A"/>
    <w:rsid w:val="00A739AB"/>
    <w:rsid w:val="00A75FB6"/>
    <w:rsid w:val="00A80C14"/>
    <w:rsid w:val="00A81A75"/>
    <w:rsid w:val="00A820BD"/>
    <w:rsid w:val="00A8540A"/>
    <w:rsid w:val="00A861B7"/>
    <w:rsid w:val="00A8706A"/>
    <w:rsid w:val="00A877FE"/>
    <w:rsid w:val="00A9391C"/>
    <w:rsid w:val="00A94CC5"/>
    <w:rsid w:val="00A960A0"/>
    <w:rsid w:val="00AA0527"/>
    <w:rsid w:val="00AA170E"/>
    <w:rsid w:val="00AA2CC8"/>
    <w:rsid w:val="00AA34DE"/>
    <w:rsid w:val="00AA3C68"/>
    <w:rsid w:val="00AA4269"/>
    <w:rsid w:val="00AA4363"/>
    <w:rsid w:val="00AA5CA7"/>
    <w:rsid w:val="00AB15C3"/>
    <w:rsid w:val="00AB1ED1"/>
    <w:rsid w:val="00AB1FD4"/>
    <w:rsid w:val="00AB251D"/>
    <w:rsid w:val="00AB3339"/>
    <w:rsid w:val="00AB3A31"/>
    <w:rsid w:val="00AB656C"/>
    <w:rsid w:val="00AB7722"/>
    <w:rsid w:val="00AC4230"/>
    <w:rsid w:val="00AC60AC"/>
    <w:rsid w:val="00AC624B"/>
    <w:rsid w:val="00AC7A31"/>
    <w:rsid w:val="00AD02C1"/>
    <w:rsid w:val="00AD1E01"/>
    <w:rsid w:val="00AD32CE"/>
    <w:rsid w:val="00AD4674"/>
    <w:rsid w:val="00AD4F07"/>
    <w:rsid w:val="00AD5066"/>
    <w:rsid w:val="00AD584F"/>
    <w:rsid w:val="00AE3049"/>
    <w:rsid w:val="00AE38F5"/>
    <w:rsid w:val="00AE4B54"/>
    <w:rsid w:val="00AE5461"/>
    <w:rsid w:val="00AE58E4"/>
    <w:rsid w:val="00AF0996"/>
    <w:rsid w:val="00AF31BD"/>
    <w:rsid w:val="00AF3580"/>
    <w:rsid w:val="00AF3FB7"/>
    <w:rsid w:val="00AF6F95"/>
    <w:rsid w:val="00AF750E"/>
    <w:rsid w:val="00AF76C1"/>
    <w:rsid w:val="00B002F8"/>
    <w:rsid w:val="00B010A9"/>
    <w:rsid w:val="00B039A9"/>
    <w:rsid w:val="00B0417C"/>
    <w:rsid w:val="00B0437E"/>
    <w:rsid w:val="00B051E6"/>
    <w:rsid w:val="00B06326"/>
    <w:rsid w:val="00B106F1"/>
    <w:rsid w:val="00B109B1"/>
    <w:rsid w:val="00B10B0B"/>
    <w:rsid w:val="00B12FF4"/>
    <w:rsid w:val="00B13442"/>
    <w:rsid w:val="00B1425E"/>
    <w:rsid w:val="00B23A02"/>
    <w:rsid w:val="00B244D4"/>
    <w:rsid w:val="00B251F9"/>
    <w:rsid w:val="00B25F1D"/>
    <w:rsid w:val="00B2782A"/>
    <w:rsid w:val="00B324F4"/>
    <w:rsid w:val="00B336D8"/>
    <w:rsid w:val="00B33B7C"/>
    <w:rsid w:val="00B34BFA"/>
    <w:rsid w:val="00B356A4"/>
    <w:rsid w:val="00B411EC"/>
    <w:rsid w:val="00B41C0A"/>
    <w:rsid w:val="00B429CA"/>
    <w:rsid w:val="00B44F22"/>
    <w:rsid w:val="00B45EDD"/>
    <w:rsid w:val="00B45F3D"/>
    <w:rsid w:val="00B471E0"/>
    <w:rsid w:val="00B50F81"/>
    <w:rsid w:val="00B51F02"/>
    <w:rsid w:val="00B5360F"/>
    <w:rsid w:val="00B537A2"/>
    <w:rsid w:val="00B53979"/>
    <w:rsid w:val="00B54EA7"/>
    <w:rsid w:val="00B57455"/>
    <w:rsid w:val="00B61944"/>
    <w:rsid w:val="00B61F69"/>
    <w:rsid w:val="00B6216C"/>
    <w:rsid w:val="00B65B75"/>
    <w:rsid w:val="00B6639D"/>
    <w:rsid w:val="00B70B33"/>
    <w:rsid w:val="00B724CA"/>
    <w:rsid w:val="00B735A2"/>
    <w:rsid w:val="00B74628"/>
    <w:rsid w:val="00B760A2"/>
    <w:rsid w:val="00B77651"/>
    <w:rsid w:val="00B80C47"/>
    <w:rsid w:val="00B81322"/>
    <w:rsid w:val="00B835B7"/>
    <w:rsid w:val="00B857B3"/>
    <w:rsid w:val="00B862CD"/>
    <w:rsid w:val="00B86487"/>
    <w:rsid w:val="00B87192"/>
    <w:rsid w:val="00B92E1A"/>
    <w:rsid w:val="00B93654"/>
    <w:rsid w:val="00B94951"/>
    <w:rsid w:val="00B95D33"/>
    <w:rsid w:val="00B96B6E"/>
    <w:rsid w:val="00B96CA3"/>
    <w:rsid w:val="00B97591"/>
    <w:rsid w:val="00BA006C"/>
    <w:rsid w:val="00BA1459"/>
    <w:rsid w:val="00BA20B0"/>
    <w:rsid w:val="00BA3159"/>
    <w:rsid w:val="00BA372F"/>
    <w:rsid w:val="00BA4E67"/>
    <w:rsid w:val="00BA5CA2"/>
    <w:rsid w:val="00BA6156"/>
    <w:rsid w:val="00BA6305"/>
    <w:rsid w:val="00BA7940"/>
    <w:rsid w:val="00BB2EEE"/>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8A3"/>
    <w:rsid w:val="00BE2B40"/>
    <w:rsid w:val="00BE31BF"/>
    <w:rsid w:val="00BE3D54"/>
    <w:rsid w:val="00BE466B"/>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447B"/>
    <w:rsid w:val="00C1556E"/>
    <w:rsid w:val="00C17CB6"/>
    <w:rsid w:val="00C217A1"/>
    <w:rsid w:val="00C221FB"/>
    <w:rsid w:val="00C23CCC"/>
    <w:rsid w:val="00C24859"/>
    <w:rsid w:val="00C25CDA"/>
    <w:rsid w:val="00C2704C"/>
    <w:rsid w:val="00C27E98"/>
    <w:rsid w:val="00C301CF"/>
    <w:rsid w:val="00C309F0"/>
    <w:rsid w:val="00C30CED"/>
    <w:rsid w:val="00C31183"/>
    <w:rsid w:val="00C31C0D"/>
    <w:rsid w:val="00C33847"/>
    <w:rsid w:val="00C340E9"/>
    <w:rsid w:val="00C34365"/>
    <w:rsid w:val="00C345C2"/>
    <w:rsid w:val="00C378BC"/>
    <w:rsid w:val="00C4017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7DF4"/>
    <w:rsid w:val="00C8314D"/>
    <w:rsid w:val="00C84C2B"/>
    <w:rsid w:val="00C85CD7"/>
    <w:rsid w:val="00C85EE2"/>
    <w:rsid w:val="00C879A4"/>
    <w:rsid w:val="00C87AEC"/>
    <w:rsid w:val="00C90DE8"/>
    <w:rsid w:val="00C92FD7"/>
    <w:rsid w:val="00C93F04"/>
    <w:rsid w:val="00C94CAC"/>
    <w:rsid w:val="00C9721C"/>
    <w:rsid w:val="00C979E0"/>
    <w:rsid w:val="00CA2964"/>
    <w:rsid w:val="00CA2CEA"/>
    <w:rsid w:val="00CA3413"/>
    <w:rsid w:val="00CA41C9"/>
    <w:rsid w:val="00CA636D"/>
    <w:rsid w:val="00CA693C"/>
    <w:rsid w:val="00CA6985"/>
    <w:rsid w:val="00CA7F67"/>
    <w:rsid w:val="00CB07AB"/>
    <w:rsid w:val="00CB15EC"/>
    <w:rsid w:val="00CB483C"/>
    <w:rsid w:val="00CB5545"/>
    <w:rsid w:val="00CB5F57"/>
    <w:rsid w:val="00CB6605"/>
    <w:rsid w:val="00CB7A72"/>
    <w:rsid w:val="00CC06AB"/>
    <w:rsid w:val="00CC0D14"/>
    <w:rsid w:val="00CC1D18"/>
    <w:rsid w:val="00CC3E80"/>
    <w:rsid w:val="00CC49D6"/>
    <w:rsid w:val="00CC5FD9"/>
    <w:rsid w:val="00CC7F63"/>
    <w:rsid w:val="00CD39F8"/>
    <w:rsid w:val="00CD5672"/>
    <w:rsid w:val="00CD6134"/>
    <w:rsid w:val="00CD6622"/>
    <w:rsid w:val="00CD7C93"/>
    <w:rsid w:val="00CE0B01"/>
    <w:rsid w:val="00CE133F"/>
    <w:rsid w:val="00CE2B81"/>
    <w:rsid w:val="00CE5941"/>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1611B"/>
    <w:rsid w:val="00D20F65"/>
    <w:rsid w:val="00D215ED"/>
    <w:rsid w:val="00D219E7"/>
    <w:rsid w:val="00D24153"/>
    <w:rsid w:val="00D24CBA"/>
    <w:rsid w:val="00D26C8A"/>
    <w:rsid w:val="00D26D28"/>
    <w:rsid w:val="00D30434"/>
    <w:rsid w:val="00D312C9"/>
    <w:rsid w:val="00D31A61"/>
    <w:rsid w:val="00D323CD"/>
    <w:rsid w:val="00D32A64"/>
    <w:rsid w:val="00D335A0"/>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4A7A"/>
    <w:rsid w:val="00D66BC1"/>
    <w:rsid w:val="00D714BA"/>
    <w:rsid w:val="00D7505B"/>
    <w:rsid w:val="00D75260"/>
    <w:rsid w:val="00D75B70"/>
    <w:rsid w:val="00D804C5"/>
    <w:rsid w:val="00D820D1"/>
    <w:rsid w:val="00D82401"/>
    <w:rsid w:val="00D82AE2"/>
    <w:rsid w:val="00D82C4E"/>
    <w:rsid w:val="00D82FCA"/>
    <w:rsid w:val="00D84EAF"/>
    <w:rsid w:val="00D850A4"/>
    <w:rsid w:val="00D856AD"/>
    <w:rsid w:val="00D85715"/>
    <w:rsid w:val="00D90152"/>
    <w:rsid w:val="00D91223"/>
    <w:rsid w:val="00D934BA"/>
    <w:rsid w:val="00D93950"/>
    <w:rsid w:val="00D96230"/>
    <w:rsid w:val="00D96853"/>
    <w:rsid w:val="00D96FCD"/>
    <w:rsid w:val="00D978F5"/>
    <w:rsid w:val="00D978FE"/>
    <w:rsid w:val="00DA1D64"/>
    <w:rsid w:val="00DA20D6"/>
    <w:rsid w:val="00DA2A6C"/>
    <w:rsid w:val="00DA2B2B"/>
    <w:rsid w:val="00DA30DA"/>
    <w:rsid w:val="00DA3AED"/>
    <w:rsid w:val="00DA77B4"/>
    <w:rsid w:val="00DA7BE4"/>
    <w:rsid w:val="00DB16B2"/>
    <w:rsid w:val="00DB2BB1"/>
    <w:rsid w:val="00DB6BB3"/>
    <w:rsid w:val="00DB7AA7"/>
    <w:rsid w:val="00DC03E0"/>
    <w:rsid w:val="00DC11F3"/>
    <w:rsid w:val="00DC332F"/>
    <w:rsid w:val="00DC384C"/>
    <w:rsid w:val="00DC4DFE"/>
    <w:rsid w:val="00DC5E40"/>
    <w:rsid w:val="00DC69F0"/>
    <w:rsid w:val="00DC7BFF"/>
    <w:rsid w:val="00DD0436"/>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2576"/>
    <w:rsid w:val="00DF44D5"/>
    <w:rsid w:val="00DF4AB3"/>
    <w:rsid w:val="00DF5003"/>
    <w:rsid w:val="00DF5249"/>
    <w:rsid w:val="00DF5932"/>
    <w:rsid w:val="00DF636C"/>
    <w:rsid w:val="00E000FD"/>
    <w:rsid w:val="00E00DF7"/>
    <w:rsid w:val="00E0777F"/>
    <w:rsid w:val="00E10EA9"/>
    <w:rsid w:val="00E110EE"/>
    <w:rsid w:val="00E1136E"/>
    <w:rsid w:val="00E1182B"/>
    <w:rsid w:val="00E14286"/>
    <w:rsid w:val="00E167E0"/>
    <w:rsid w:val="00E16A35"/>
    <w:rsid w:val="00E16D38"/>
    <w:rsid w:val="00E216EA"/>
    <w:rsid w:val="00E21B4B"/>
    <w:rsid w:val="00E244D0"/>
    <w:rsid w:val="00E256D1"/>
    <w:rsid w:val="00E25793"/>
    <w:rsid w:val="00E27C4D"/>
    <w:rsid w:val="00E27F1F"/>
    <w:rsid w:val="00E30761"/>
    <w:rsid w:val="00E316B0"/>
    <w:rsid w:val="00E33A6E"/>
    <w:rsid w:val="00E33CDF"/>
    <w:rsid w:val="00E33F44"/>
    <w:rsid w:val="00E34D42"/>
    <w:rsid w:val="00E35E8A"/>
    <w:rsid w:val="00E35ED4"/>
    <w:rsid w:val="00E3681A"/>
    <w:rsid w:val="00E379F0"/>
    <w:rsid w:val="00E37D81"/>
    <w:rsid w:val="00E401A6"/>
    <w:rsid w:val="00E43562"/>
    <w:rsid w:val="00E457D2"/>
    <w:rsid w:val="00E45FE8"/>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5DD"/>
    <w:rsid w:val="00E578D1"/>
    <w:rsid w:val="00E60466"/>
    <w:rsid w:val="00E608C5"/>
    <w:rsid w:val="00E64579"/>
    <w:rsid w:val="00E64BB6"/>
    <w:rsid w:val="00E65245"/>
    <w:rsid w:val="00E65992"/>
    <w:rsid w:val="00E66017"/>
    <w:rsid w:val="00E71979"/>
    <w:rsid w:val="00E72113"/>
    <w:rsid w:val="00E724B9"/>
    <w:rsid w:val="00E73AE3"/>
    <w:rsid w:val="00E754E7"/>
    <w:rsid w:val="00E75A29"/>
    <w:rsid w:val="00E75C2F"/>
    <w:rsid w:val="00E80F7A"/>
    <w:rsid w:val="00E81CA7"/>
    <w:rsid w:val="00E83297"/>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67EB"/>
    <w:rsid w:val="00EB7D72"/>
    <w:rsid w:val="00EC0598"/>
    <w:rsid w:val="00EC0869"/>
    <w:rsid w:val="00EC091D"/>
    <w:rsid w:val="00EC37B3"/>
    <w:rsid w:val="00EC44B4"/>
    <w:rsid w:val="00EC5AE4"/>
    <w:rsid w:val="00EC6941"/>
    <w:rsid w:val="00EC7BBC"/>
    <w:rsid w:val="00ED1710"/>
    <w:rsid w:val="00ED29EB"/>
    <w:rsid w:val="00ED6681"/>
    <w:rsid w:val="00ED6E3A"/>
    <w:rsid w:val="00EE0F72"/>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20F"/>
    <w:rsid w:val="00FA5567"/>
    <w:rsid w:val="00FA58CB"/>
    <w:rsid w:val="00FA5D27"/>
    <w:rsid w:val="00FA5D9A"/>
    <w:rsid w:val="00FA6CFA"/>
    <w:rsid w:val="00FB0A94"/>
    <w:rsid w:val="00FB1C5D"/>
    <w:rsid w:val="00FB4369"/>
    <w:rsid w:val="00FB4613"/>
    <w:rsid w:val="00FB4C81"/>
    <w:rsid w:val="00FB6841"/>
    <w:rsid w:val="00FC1724"/>
    <w:rsid w:val="00FC27DB"/>
    <w:rsid w:val="00FC33E9"/>
    <w:rsid w:val="00FC6855"/>
    <w:rsid w:val="00FC6911"/>
    <w:rsid w:val="00FC73D9"/>
    <w:rsid w:val="00FC7A5E"/>
    <w:rsid w:val="00FD1F87"/>
    <w:rsid w:val="00FD35D0"/>
    <w:rsid w:val="00FD4DEF"/>
    <w:rsid w:val="00FD60CF"/>
    <w:rsid w:val="00FD681B"/>
    <w:rsid w:val="00FD7331"/>
    <w:rsid w:val="00FD7FF0"/>
    <w:rsid w:val="00FE0E03"/>
    <w:rsid w:val="00FE3414"/>
    <w:rsid w:val="00FE3673"/>
    <w:rsid w:val="00FE4165"/>
    <w:rsid w:val="00FF049C"/>
    <w:rsid w:val="00FF19DC"/>
    <w:rsid w:val="00FF2188"/>
    <w:rsid w:val="00FF3272"/>
    <w:rsid w:val="00FF3C93"/>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7770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1988-AFA1-4E75-A979-E007DA8F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6943</Words>
  <Characters>3959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naudas balvu piešķiršanu”</vt:lpstr>
    </vt:vector>
  </TitlesOfParts>
  <Company>Izglītības un zinātnes ministrija, Sporta departaments</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naudas balvu piešķiršanu”</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94</cp:revision>
  <cp:lastPrinted>2014-08-11T11:23:00Z</cp:lastPrinted>
  <dcterms:created xsi:type="dcterms:W3CDTF">2017-04-06T06:33:00Z</dcterms:created>
  <dcterms:modified xsi:type="dcterms:W3CDTF">2017-06-15T08:36:00Z</dcterms:modified>
</cp:coreProperties>
</file>