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B" w:rsidRPr="002D5824" w:rsidRDefault="00FF616B" w:rsidP="004F7644">
      <w:pPr>
        <w:jc w:val="center"/>
        <w:rPr>
          <w:b/>
          <w:sz w:val="28"/>
          <w:szCs w:val="28"/>
        </w:rPr>
      </w:pPr>
      <w:bookmarkStart w:id="0" w:name="OLE_LINK13"/>
      <w:bookmarkStart w:id="1" w:name="OLE_LINK14"/>
      <w:bookmarkStart w:id="2" w:name="OLE_LINK87"/>
      <w:r w:rsidRPr="002D5824">
        <w:rPr>
          <w:b/>
          <w:sz w:val="28"/>
          <w:szCs w:val="28"/>
        </w:rPr>
        <w:t xml:space="preserve">Ministru kabineta noteikumu projekta </w:t>
      </w:r>
    </w:p>
    <w:p w:rsidR="00BD7C16" w:rsidRPr="002D5824" w:rsidRDefault="00AE5891" w:rsidP="004F7644">
      <w:pPr>
        <w:jc w:val="center"/>
        <w:rPr>
          <w:b/>
          <w:sz w:val="28"/>
          <w:szCs w:val="28"/>
        </w:rPr>
      </w:pPr>
      <w:r w:rsidRPr="002A4E07">
        <w:rPr>
          <w:b/>
          <w:sz w:val="28"/>
          <w:szCs w:val="28"/>
        </w:rPr>
        <w:t xml:space="preserve"> „</w:t>
      </w:r>
      <w:hyperlink r:id="rId9" w:tgtFrame="_blank" w:history="1">
        <w:r w:rsidRPr="00DA675D">
          <w:rPr>
            <w:b/>
            <w:sz w:val="28"/>
            <w:szCs w:val="28"/>
          </w:rPr>
          <w:t xml:space="preserve">Noteikumi par </w:t>
        </w:r>
        <w:r w:rsidR="00464D65">
          <w:rPr>
            <w:b/>
            <w:sz w:val="28"/>
            <w:szCs w:val="28"/>
          </w:rPr>
          <w:t>oficiālās</w:t>
        </w:r>
        <w:r w:rsidRPr="00DA675D">
          <w:rPr>
            <w:b/>
            <w:sz w:val="28"/>
            <w:szCs w:val="28"/>
          </w:rPr>
          <w:t xml:space="preserve"> statistikas apkopošanu kultūras jomā</w:t>
        </w:r>
      </w:hyperlink>
      <w:r w:rsidRPr="002A4E07">
        <w:rPr>
          <w:b/>
          <w:sz w:val="28"/>
          <w:szCs w:val="28"/>
        </w:rPr>
        <w:t>”</w:t>
      </w:r>
      <w:r w:rsidR="004717A8" w:rsidRPr="002D5824">
        <w:rPr>
          <w:b/>
          <w:sz w:val="28"/>
          <w:szCs w:val="28"/>
        </w:rPr>
        <w:t>”</w:t>
      </w:r>
      <w:r w:rsidR="00FF616B" w:rsidRPr="002D5824">
        <w:rPr>
          <w:b/>
          <w:sz w:val="28"/>
          <w:szCs w:val="28"/>
        </w:rPr>
        <w:t xml:space="preserve"> </w:t>
      </w:r>
    </w:p>
    <w:p w:rsidR="00FF616B" w:rsidRPr="002D5824" w:rsidRDefault="00FF616B" w:rsidP="004F7644">
      <w:pPr>
        <w:jc w:val="center"/>
        <w:rPr>
          <w:b/>
          <w:sz w:val="28"/>
          <w:szCs w:val="28"/>
        </w:rPr>
      </w:pPr>
      <w:r w:rsidRPr="002D5824">
        <w:rPr>
          <w:b/>
          <w:sz w:val="28"/>
          <w:szCs w:val="28"/>
        </w:rPr>
        <w:t xml:space="preserve">sākotnējās ietekmes novērtējuma </w:t>
      </w:r>
      <w:smartTag w:uri="schemas-tilde-lv/tildestengine" w:element="veidnes">
        <w:smartTagPr>
          <w:attr w:name="id" w:val="-1"/>
          <w:attr w:name="baseform" w:val="ziņojums"/>
          <w:attr w:name="text" w:val="ziņojums"/>
        </w:smartTagPr>
        <w:r w:rsidRPr="002D5824">
          <w:rPr>
            <w:b/>
            <w:sz w:val="28"/>
            <w:szCs w:val="28"/>
          </w:rPr>
          <w:t>ziņojums</w:t>
        </w:r>
      </w:smartTag>
      <w:r w:rsidRPr="002D5824">
        <w:rPr>
          <w:b/>
          <w:sz w:val="28"/>
          <w:szCs w:val="28"/>
        </w:rPr>
        <w:t xml:space="preserve"> (anotācija)</w:t>
      </w:r>
    </w:p>
    <w:tbl>
      <w:tblPr>
        <w:tblpPr w:leftFromText="180" w:rightFromText="180" w:vertAnchor="text" w:horzAnchor="margin"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3404"/>
        <w:gridCol w:w="5247"/>
      </w:tblGrid>
      <w:tr w:rsidR="0025775C" w:rsidRPr="002D5824" w:rsidTr="0025775C">
        <w:trPr>
          <w:trHeight w:val="415"/>
        </w:trPr>
        <w:tc>
          <w:tcPr>
            <w:tcW w:w="5000" w:type="pct"/>
            <w:gridSpan w:val="3"/>
            <w:vAlign w:val="center"/>
          </w:tcPr>
          <w:bookmarkEnd w:id="0"/>
          <w:bookmarkEnd w:id="1"/>
          <w:bookmarkEnd w:id="2"/>
          <w:p w:rsidR="0025775C" w:rsidRPr="002D5824" w:rsidRDefault="0025775C" w:rsidP="0025775C">
            <w:pPr>
              <w:pStyle w:val="naisnod"/>
              <w:spacing w:before="0" w:after="0"/>
              <w:rPr>
                <w:sz w:val="28"/>
                <w:szCs w:val="28"/>
              </w:rPr>
            </w:pPr>
            <w:r w:rsidRPr="002D5824">
              <w:rPr>
                <w:sz w:val="28"/>
                <w:szCs w:val="28"/>
              </w:rPr>
              <w:t>I. Tiesību akta projekta izstrādes nepieciešamība</w:t>
            </w:r>
          </w:p>
        </w:tc>
      </w:tr>
      <w:tr w:rsidR="0025775C" w:rsidRPr="002D5824" w:rsidTr="0025775C">
        <w:trPr>
          <w:trHeight w:val="630"/>
        </w:trPr>
        <w:tc>
          <w:tcPr>
            <w:tcW w:w="237" w:type="pct"/>
          </w:tcPr>
          <w:p w:rsidR="0025775C" w:rsidRPr="002D5824" w:rsidRDefault="0025775C" w:rsidP="0025775C">
            <w:pPr>
              <w:pStyle w:val="naiskr"/>
              <w:spacing w:before="0" w:after="0"/>
              <w:jc w:val="center"/>
              <w:rPr>
                <w:sz w:val="28"/>
                <w:szCs w:val="28"/>
              </w:rPr>
            </w:pPr>
            <w:r w:rsidRPr="002D5824">
              <w:rPr>
                <w:sz w:val="28"/>
                <w:szCs w:val="28"/>
              </w:rPr>
              <w:t>1.</w:t>
            </w:r>
          </w:p>
        </w:tc>
        <w:tc>
          <w:tcPr>
            <w:tcW w:w="1874" w:type="pct"/>
          </w:tcPr>
          <w:p w:rsidR="0025775C" w:rsidRPr="002D5824" w:rsidRDefault="0025775C" w:rsidP="0025775C">
            <w:pPr>
              <w:pStyle w:val="naiskr"/>
              <w:spacing w:before="0" w:after="0"/>
              <w:ind w:left="57" w:right="57" w:hanging="10"/>
              <w:rPr>
                <w:sz w:val="28"/>
                <w:szCs w:val="28"/>
              </w:rPr>
            </w:pPr>
            <w:r w:rsidRPr="002D5824">
              <w:rPr>
                <w:sz w:val="28"/>
                <w:szCs w:val="28"/>
              </w:rPr>
              <w:t>Pamatojums</w:t>
            </w:r>
          </w:p>
        </w:tc>
        <w:tc>
          <w:tcPr>
            <w:tcW w:w="2889" w:type="pct"/>
          </w:tcPr>
          <w:p w:rsidR="0025775C" w:rsidRPr="002D5824" w:rsidRDefault="0025775C" w:rsidP="0025775C">
            <w:pPr>
              <w:jc w:val="both"/>
              <w:rPr>
                <w:sz w:val="28"/>
                <w:szCs w:val="28"/>
              </w:rPr>
            </w:pPr>
            <w:r w:rsidRPr="002D5824">
              <w:rPr>
                <w:sz w:val="28"/>
                <w:szCs w:val="28"/>
              </w:rPr>
              <w:t xml:space="preserve">Ministru kabineta noteikumu projekts „Noteikumi par </w:t>
            </w:r>
            <w:r>
              <w:rPr>
                <w:sz w:val="28"/>
                <w:szCs w:val="28"/>
              </w:rPr>
              <w:t>oficiālās</w:t>
            </w:r>
            <w:r w:rsidRPr="002D5824">
              <w:rPr>
                <w:sz w:val="28"/>
                <w:szCs w:val="28"/>
              </w:rPr>
              <w:t xml:space="preserve"> statistikas apkopošanu kultūras jomā”” (turpmāk –</w:t>
            </w:r>
            <w:r>
              <w:rPr>
                <w:sz w:val="28"/>
                <w:szCs w:val="28"/>
              </w:rPr>
              <w:t xml:space="preserve"> P</w:t>
            </w:r>
            <w:r w:rsidRPr="00406D48">
              <w:rPr>
                <w:sz w:val="28"/>
                <w:szCs w:val="28"/>
              </w:rPr>
              <w:t>rojekts) izstrādāts, pamatojoties uz Statistikas likuma 11.pantu.</w:t>
            </w:r>
          </w:p>
        </w:tc>
      </w:tr>
      <w:tr w:rsidR="0025775C" w:rsidRPr="002D5824" w:rsidTr="0025775C">
        <w:trPr>
          <w:trHeight w:val="472"/>
        </w:trPr>
        <w:tc>
          <w:tcPr>
            <w:tcW w:w="237" w:type="pct"/>
          </w:tcPr>
          <w:p w:rsidR="0025775C" w:rsidRPr="002D5824" w:rsidRDefault="0025775C" w:rsidP="0025775C">
            <w:pPr>
              <w:pStyle w:val="naiskr"/>
              <w:spacing w:before="0" w:after="0"/>
              <w:jc w:val="center"/>
              <w:rPr>
                <w:sz w:val="28"/>
                <w:szCs w:val="28"/>
              </w:rPr>
            </w:pPr>
            <w:r w:rsidRPr="002D5824">
              <w:rPr>
                <w:sz w:val="28"/>
                <w:szCs w:val="28"/>
              </w:rPr>
              <w:t>2.</w:t>
            </w:r>
          </w:p>
        </w:tc>
        <w:tc>
          <w:tcPr>
            <w:tcW w:w="1874" w:type="pct"/>
          </w:tcPr>
          <w:p w:rsidR="0025775C" w:rsidRPr="002D5824" w:rsidRDefault="0025775C" w:rsidP="0025775C">
            <w:pPr>
              <w:pStyle w:val="naiskr"/>
              <w:tabs>
                <w:tab w:val="left" w:pos="170"/>
              </w:tabs>
              <w:spacing w:before="0" w:after="0"/>
              <w:ind w:left="57" w:right="57"/>
              <w:rPr>
                <w:sz w:val="28"/>
                <w:szCs w:val="28"/>
              </w:rPr>
            </w:pPr>
            <w:r w:rsidRPr="002D5824">
              <w:rPr>
                <w:sz w:val="28"/>
                <w:szCs w:val="28"/>
              </w:rPr>
              <w:t>Pašreizējā situācija un problēmas, kuru risināšanai tiesību akta projekts izstrādāts, tiesiskā regulējuma mērķis un būtība</w:t>
            </w:r>
          </w:p>
        </w:tc>
        <w:tc>
          <w:tcPr>
            <w:tcW w:w="2889" w:type="pct"/>
          </w:tcPr>
          <w:p w:rsidR="00BF3279" w:rsidRPr="00BF3279" w:rsidRDefault="00BF3279" w:rsidP="00BF3279">
            <w:pPr>
              <w:pStyle w:val="ParastaisWeb"/>
              <w:spacing w:before="0" w:beforeAutospacing="0" w:after="0" w:afterAutospacing="0"/>
              <w:jc w:val="both"/>
              <w:rPr>
                <w:color w:val="000000" w:themeColor="text1"/>
                <w:sz w:val="28"/>
                <w:szCs w:val="28"/>
                <w:lang w:val="lv-LV"/>
              </w:rPr>
            </w:pPr>
            <w:r w:rsidRPr="00627C51">
              <w:rPr>
                <w:color w:val="000000" w:themeColor="text1"/>
                <w:sz w:val="28"/>
                <w:szCs w:val="28"/>
                <w:lang w:val="lv-LV"/>
              </w:rPr>
              <w:t xml:space="preserve">Šobrīd </w:t>
            </w:r>
            <w:r>
              <w:rPr>
                <w:color w:val="000000" w:themeColor="text1"/>
                <w:sz w:val="28"/>
                <w:szCs w:val="28"/>
                <w:lang w:val="lv-LV"/>
              </w:rPr>
              <w:t xml:space="preserve">oficiālās statistikas apkopošanu kultūras jomā un to veidlapu paraugus   nosaka </w:t>
            </w:r>
            <w:r w:rsidRPr="00BF3279">
              <w:rPr>
                <w:color w:val="000000" w:themeColor="text1"/>
                <w:sz w:val="28"/>
                <w:szCs w:val="28"/>
                <w:lang w:val="lv-LV"/>
              </w:rPr>
              <w:t xml:space="preserve"> Ministru kabineta 2009.gada 22.septembra noteikumi Nr.1074 „Noteikumi par valsts statistikas apkopošanu kultūras jomā””</w:t>
            </w:r>
            <w:r w:rsidR="001E0810">
              <w:rPr>
                <w:color w:val="000000" w:themeColor="text1"/>
                <w:sz w:val="28"/>
                <w:szCs w:val="28"/>
                <w:lang w:val="lv-LV"/>
              </w:rPr>
              <w:t xml:space="preserve"> (turpmāk – Noteikumi Nr.1074)</w:t>
            </w:r>
            <w:r>
              <w:rPr>
                <w:color w:val="000000" w:themeColor="text1"/>
                <w:sz w:val="28"/>
                <w:szCs w:val="28"/>
                <w:lang w:val="lv-LV"/>
              </w:rPr>
              <w:t xml:space="preserve">. </w:t>
            </w:r>
            <w:r>
              <w:rPr>
                <w:sz w:val="28"/>
                <w:szCs w:val="28"/>
                <w:lang w:val="lv-LV"/>
              </w:rPr>
              <w:t xml:space="preserve"> Ņemot vērā Statistikas likuma 11.pantu un pārejas noteikumu 2.punkta 11.apakš</w:t>
            </w:r>
            <w:r w:rsidRPr="00627C51">
              <w:rPr>
                <w:color w:val="000000" w:themeColor="text1"/>
                <w:sz w:val="28"/>
                <w:szCs w:val="28"/>
                <w:lang w:val="lv-LV"/>
              </w:rPr>
              <w:t xml:space="preserve">punktu </w:t>
            </w:r>
            <w:r>
              <w:rPr>
                <w:color w:val="000000" w:themeColor="text1"/>
                <w:sz w:val="28"/>
                <w:szCs w:val="28"/>
                <w:lang w:val="lv-LV"/>
              </w:rPr>
              <w:t xml:space="preserve">Kultūras ministrija sadarbībā ar </w:t>
            </w:r>
            <w:r w:rsidRPr="00BF3279">
              <w:rPr>
                <w:sz w:val="28"/>
                <w:szCs w:val="28"/>
                <w:lang w:val="lv-LV"/>
              </w:rPr>
              <w:t>Kultūras informācijas sistēmu centr</w:t>
            </w:r>
            <w:r>
              <w:rPr>
                <w:sz w:val="28"/>
                <w:szCs w:val="28"/>
                <w:lang w:val="lv-LV"/>
              </w:rPr>
              <w:t>u un</w:t>
            </w:r>
            <w:r w:rsidRPr="00BF3279">
              <w:rPr>
                <w:sz w:val="28"/>
                <w:szCs w:val="28"/>
                <w:lang w:val="lv-LV"/>
              </w:rPr>
              <w:t xml:space="preserve"> Valsts z</w:t>
            </w:r>
            <w:r>
              <w:rPr>
                <w:sz w:val="28"/>
                <w:szCs w:val="28"/>
                <w:lang w:val="lv-LV"/>
              </w:rPr>
              <w:t>emes dienestu ir aktualizējusi un izstrādājusi jaunu</w:t>
            </w:r>
            <w:r w:rsidRPr="00BF3279">
              <w:rPr>
                <w:sz w:val="28"/>
                <w:szCs w:val="28"/>
                <w:lang w:val="lv-LV"/>
              </w:rPr>
              <w:t xml:space="preserve"> Ministru kabineta noteikumu projektu „Noteikumi par oficiālās statistikas apkopošanu kultūras jomā”, iepriekš sagatavotos grozījumus Projektā iestrādājot Ministru kabineta noteikumu projektā „Noteikumi par oficiālās statistikas apkopošanu kultūras jomā”.</w:t>
            </w:r>
          </w:p>
          <w:p w:rsidR="00BF3279" w:rsidRDefault="00BF3279" w:rsidP="0025775C">
            <w:pPr>
              <w:pStyle w:val="ParastaisWeb"/>
              <w:spacing w:before="0" w:beforeAutospacing="0" w:after="0" w:afterAutospacing="0"/>
              <w:jc w:val="both"/>
              <w:rPr>
                <w:sz w:val="28"/>
                <w:szCs w:val="28"/>
                <w:lang w:val="lv-LV"/>
              </w:rPr>
            </w:pPr>
          </w:p>
          <w:p w:rsidR="0025775C" w:rsidRDefault="0025775C" w:rsidP="0025775C">
            <w:pPr>
              <w:pStyle w:val="ParastaisWeb"/>
              <w:spacing w:before="0" w:beforeAutospacing="0" w:after="0" w:afterAutospacing="0"/>
              <w:jc w:val="both"/>
              <w:rPr>
                <w:sz w:val="28"/>
                <w:szCs w:val="28"/>
                <w:lang w:val="lv-LV"/>
              </w:rPr>
            </w:pPr>
            <w:r>
              <w:rPr>
                <w:sz w:val="28"/>
                <w:szCs w:val="28"/>
                <w:lang w:val="lv-LV"/>
              </w:rPr>
              <w:t>Projekta</w:t>
            </w:r>
            <w:r w:rsidRPr="002D5824">
              <w:rPr>
                <w:sz w:val="28"/>
                <w:szCs w:val="28"/>
                <w:lang w:val="lv-LV"/>
              </w:rPr>
              <w:t xml:space="preserve"> 3.punkts paredz, ka </w:t>
            </w:r>
            <w:r>
              <w:rPr>
                <w:sz w:val="28"/>
                <w:szCs w:val="28"/>
                <w:lang w:val="lv-LV"/>
              </w:rPr>
              <w:t>oficiālās</w:t>
            </w:r>
            <w:r w:rsidRPr="002D5824">
              <w:rPr>
                <w:sz w:val="28"/>
                <w:szCs w:val="28"/>
                <w:lang w:val="lv-LV"/>
              </w:rPr>
              <w:t xml:space="preserve"> statistikas veidlapas aizpilda elektroniskajā datu bāzē „Latvijas digitālā kultūras karte” (turpmāk – </w:t>
            </w:r>
            <w:r>
              <w:rPr>
                <w:sz w:val="28"/>
                <w:szCs w:val="28"/>
                <w:lang w:val="lv-LV"/>
              </w:rPr>
              <w:t>kultūras karte</w:t>
            </w:r>
            <w:r w:rsidRPr="002D5824">
              <w:rPr>
                <w:sz w:val="28"/>
                <w:szCs w:val="28"/>
                <w:lang w:val="lv-LV"/>
              </w:rPr>
              <w:t xml:space="preserve">) tīmekļa vietnē </w:t>
            </w:r>
            <w:hyperlink r:id="rId10" w:history="1">
              <w:r w:rsidRPr="002D5824">
                <w:rPr>
                  <w:rStyle w:val="Hipersaite"/>
                  <w:sz w:val="28"/>
                  <w:szCs w:val="28"/>
                  <w:lang w:val="lv-LV"/>
                </w:rPr>
                <w:t>www.kulturaskarte.lv</w:t>
              </w:r>
            </w:hyperlink>
            <w:r>
              <w:rPr>
                <w:sz w:val="28"/>
                <w:szCs w:val="28"/>
                <w:lang w:val="lv-LV"/>
              </w:rPr>
              <w:t>.</w:t>
            </w:r>
          </w:p>
          <w:p w:rsidR="0025775C" w:rsidRDefault="0025775C" w:rsidP="0025775C">
            <w:pPr>
              <w:pStyle w:val="ParastaisWeb"/>
              <w:spacing w:before="0" w:beforeAutospacing="0" w:after="0" w:afterAutospacing="0"/>
              <w:jc w:val="both"/>
              <w:rPr>
                <w:sz w:val="28"/>
                <w:szCs w:val="28"/>
                <w:lang w:val="lv-LV"/>
              </w:rPr>
            </w:pPr>
          </w:p>
          <w:p w:rsidR="0025775C" w:rsidRDefault="0025775C" w:rsidP="0025775C">
            <w:pPr>
              <w:pStyle w:val="ParastaisWeb"/>
              <w:spacing w:before="0" w:beforeAutospacing="0" w:after="0" w:afterAutospacing="0"/>
              <w:jc w:val="both"/>
              <w:rPr>
                <w:sz w:val="28"/>
                <w:szCs w:val="28"/>
                <w:lang w:val="lv-LV"/>
              </w:rPr>
            </w:pPr>
            <w:r>
              <w:rPr>
                <w:sz w:val="28"/>
                <w:szCs w:val="28"/>
                <w:lang w:val="lv-LV"/>
              </w:rPr>
              <w:t>Saskaņā ar Projekta</w:t>
            </w:r>
            <w:r w:rsidRPr="002D5824">
              <w:rPr>
                <w:sz w:val="28"/>
                <w:szCs w:val="28"/>
                <w:lang w:val="lv-LV"/>
              </w:rPr>
              <w:t xml:space="preserve"> 4.3.apakšpunktu veidlapas </w:t>
            </w:r>
            <w:r>
              <w:rPr>
                <w:sz w:val="28"/>
                <w:szCs w:val="28"/>
                <w:lang w:val="lv-LV"/>
              </w:rPr>
              <w:t>kultūras kartē</w:t>
            </w:r>
            <w:r w:rsidRPr="002D5824">
              <w:rPr>
                <w:sz w:val="28"/>
                <w:szCs w:val="28"/>
                <w:lang w:val="lv-LV"/>
              </w:rPr>
              <w:t xml:space="preserve"> aizpilda pašvaldību profesionālās ievirzes mākslas skolas, mūzikas skolas un mākslas un mūzikas skolas. </w:t>
            </w:r>
            <w:r>
              <w:rPr>
                <w:sz w:val="28"/>
                <w:szCs w:val="28"/>
                <w:lang w:val="lv-LV"/>
              </w:rPr>
              <w:t>Projekta</w:t>
            </w:r>
            <w:r w:rsidRPr="002D5824">
              <w:rPr>
                <w:sz w:val="28"/>
                <w:szCs w:val="28"/>
                <w:lang w:val="lv-LV"/>
              </w:rPr>
              <w:t xml:space="preserve"> 3.pielikums nosaka sniedzamās informācijas veidu. Saskaņā ar </w:t>
            </w:r>
            <w:r>
              <w:rPr>
                <w:sz w:val="28"/>
                <w:szCs w:val="28"/>
                <w:lang w:val="lv-LV"/>
              </w:rPr>
              <w:t xml:space="preserve">Ministru kabineta 2010.gada 17.augusta </w:t>
            </w:r>
            <w:r w:rsidRPr="002D5824">
              <w:rPr>
                <w:sz w:val="28"/>
                <w:szCs w:val="28"/>
                <w:lang w:val="lv-LV"/>
              </w:rPr>
              <w:t xml:space="preserve">noteikumiem Nr.788 </w:t>
            </w:r>
            <w:r>
              <w:rPr>
                <w:sz w:val="28"/>
                <w:szCs w:val="28"/>
                <w:lang w:val="lv-LV"/>
              </w:rPr>
              <w:t>„</w:t>
            </w:r>
            <w:r w:rsidRPr="00B46E5D">
              <w:rPr>
                <w:bCs/>
                <w:sz w:val="28"/>
                <w:szCs w:val="28"/>
                <w:lang w:val="lv-LV"/>
              </w:rPr>
              <w:t xml:space="preserve">Valsts izglītības informācijas </w:t>
            </w:r>
            <w:r w:rsidRPr="00B46E5D">
              <w:rPr>
                <w:bCs/>
                <w:sz w:val="28"/>
                <w:szCs w:val="28"/>
                <w:lang w:val="lv-LV"/>
              </w:rPr>
              <w:lastRenderedPageBreak/>
              <w:t>sistēmas saturs, uzturēšanas un aktualizācijas kārtība</w:t>
            </w:r>
            <w:r>
              <w:rPr>
                <w:bCs/>
                <w:sz w:val="28"/>
                <w:szCs w:val="28"/>
                <w:lang w:val="lv-LV"/>
              </w:rPr>
              <w:t xml:space="preserve">” </w:t>
            </w:r>
            <w:r w:rsidRPr="002D5824">
              <w:rPr>
                <w:sz w:val="28"/>
                <w:szCs w:val="28"/>
                <w:lang w:val="lv-LV"/>
              </w:rPr>
              <w:t>Valsts izglītības informācijas sistēmā (</w:t>
            </w:r>
            <w:r>
              <w:rPr>
                <w:sz w:val="28"/>
                <w:szCs w:val="28"/>
                <w:lang w:val="lv-LV"/>
              </w:rPr>
              <w:t>turpmāk – sistēma)</w:t>
            </w:r>
            <w:r w:rsidRPr="002D5824">
              <w:rPr>
                <w:sz w:val="28"/>
                <w:szCs w:val="28"/>
                <w:lang w:val="lv-LV"/>
              </w:rPr>
              <w:t xml:space="preserve"> iekļauj informāciju par visām izglītības iestādēm, kuras reģistrētas Izglītības iestāžu reģistrā. Lai novērstu informācijas dublēšanu un samazinātu administratīvo slogu, </w:t>
            </w:r>
            <w:r>
              <w:rPr>
                <w:sz w:val="28"/>
                <w:szCs w:val="28"/>
                <w:lang w:val="lv-LV"/>
              </w:rPr>
              <w:t>salīdzinot ar līdz šim spēkā esošajiem Ministru kabineta 2009.gada 22.septembra noteikumiem Nr.1074 „</w:t>
            </w:r>
            <w:r w:rsidRPr="00301B7F">
              <w:rPr>
                <w:sz w:val="28"/>
                <w:szCs w:val="28"/>
                <w:lang w:val="lv-LV"/>
              </w:rPr>
              <w:t>Noteikumi par valsts stati</w:t>
            </w:r>
            <w:r>
              <w:rPr>
                <w:sz w:val="28"/>
                <w:szCs w:val="28"/>
                <w:lang w:val="lv-LV"/>
              </w:rPr>
              <w:t xml:space="preserve">stikas apkopošanu kultūras jomā” (turpmāk – Noteikumi Nr.1074) </w:t>
            </w:r>
            <w:r w:rsidRPr="002D5824">
              <w:rPr>
                <w:sz w:val="28"/>
                <w:szCs w:val="28"/>
                <w:lang w:val="lv-LV"/>
              </w:rPr>
              <w:t xml:space="preserve">būtiski samazināms </w:t>
            </w:r>
            <w:r>
              <w:rPr>
                <w:sz w:val="28"/>
                <w:szCs w:val="28"/>
                <w:lang w:val="lv-LV"/>
              </w:rPr>
              <w:t>kultūras kartē</w:t>
            </w:r>
            <w:r w:rsidRPr="002D5824">
              <w:rPr>
                <w:sz w:val="28"/>
                <w:szCs w:val="28"/>
                <w:lang w:val="lv-LV"/>
              </w:rPr>
              <w:t xml:space="preserve"> sniedzamās informācijas apjoms, saglabājot kontaktinformāciju, ziņas par infrastruktūru un atsevišķus datus par pedagoģisko personālu un audzēkņiem, kas noteiktos griezumos nav pieejami </w:t>
            </w:r>
            <w:r>
              <w:rPr>
                <w:sz w:val="28"/>
                <w:szCs w:val="28"/>
                <w:lang w:val="lv-LV"/>
              </w:rPr>
              <w:t>sistēmā</w:t>
            </w:r>
            <w:r w:rsidRPr="002D5824">
              <w:rPr>
                <w:sz w:val="28"/>
                <w:szCs w:val="28"/>
                <w:lang w:val="lv-LV" w:eastAsia="lv-LV"/>
              </w:rPr>
              <w:t>.</w:t>
            </w:r>
          </w:p>
          <w:p w:rsidR="0025775C" w:rsidRDefault="0025775C" w:rsidP="0025775C">
            <w:pPr>
              <w:pStyle w:val="ParastaisWeb"/>
              <w:spacing w:before="0" w:beforeAutospacing="0" w:after="0" w:afterAutospacing="0"/>
              <w:jc w:val="both"/>
              <w:rPr>
                <w:sz w:val="28"/>
                <w:szCs w:val="28"/>
                <w:lang w:val="lv-LV"/>
              </w:rPr>
            </w:pPr>
          </w:p>
          <w:p w:rsidR="0025775C" w:rsidRPr="002D5824" w:rsidRDefault="0025775C" w:rsidP="0025775C">
            <w:pPr>
              <w:pStyle w:val="ParastaisWeb"/>
              <w:spacing w:before="0" w:beforeAutospacing="0" w:after="0" w:afterAutospacing="0"/>
              <w:jc w:val="both"/>
              <w:rPr>
                <w:sz w:val="28"/>
                <w:szCs w:val="28"/>
                <w:lang w:val="lv-LV"/>
              </w:rPr>
            </w:pPr>
            <w:r>
              <w:rPr>
                <w:sz w:val="28"/>
                <w:szCs w:val="28"/>
                <w:lang w:val="lv-LV"/>
              </w:rPr>
              <w:t>Saskaņā ar N</w:t>
            </w:r>
            <w:r w:rsidRPr="002D5824">
              <w:rPr>
                <w:sz w:val="28"/>
                <w:szCs w:val="28"/>
                <w:lang w:val="lv-LV"/>
              </w:rPr>
              <w:t>oteikumu</w:t>
            </w:r>
            <w:r>
              <w:rPr>
                <w:sz w:val="28"/>
                <w:szCs w:val="28"/>
                <w:lang w:val="lv-LV"/>
              </w:rPr>
              <w:t xml:space="preserve"> Nr.1074</w:t>
            </w:r>
            <w:r w:rsidRPr="002D5824">
              <w:rPr>
                <w:sz w:val="28"/>
                <w:szCs w:val="28"/>
                <w:lang w:val="lv-LV"/>
              </w:rPr>
              <w:t xml:space="preserve"> 4.8., 4.11. un 4.12.apakšpunktu veidlapu „Nozīmīgi pasākumi” </w:t>
            </w:r>
            <w:r>
              <w:rPr>
                <w:sz w:val="28"/>
                <w:szCs w:val="28"/>
                <w:lang w:val="lv-LV"/>
              </w:rPr>
              <w:t>kultūras kartē</w:t>
            </w:r>
            <w:r w:rsidRPr="002D5824">
              <w:rPr>
                <w:sz w:val="28"/>
                <w:szCs w:val="28"/>
                <w:lang w:val="lv-LV"/>
              </w:rPr>
              <w:t xml:space="preserve"> aizpilda pašvaldības un Kultūras ministrijas resora institūcijas. Ņemot vērā, ka informācijas</w:t>
            </w:r>
            <w:r>
              <w:rPr>
                <w:sz w:val="28"/>
                <w:szCs w:val="28"/>
                <w:lang w:val="lv-LV"/>
              </w:rPr>
              <w:t xml:space="preserve"> par aktuālajām kultūras norisēm (norišu vieta, laiks, apraksti u.c.)</w:t>
            </w:r>
            <w:r w:rsidRPr="002D5824">
              <w:rPr>
                <w:sz w:val="28"/>
                <w:szCs w:val="28"/>
                <w:lang w:val="lv-LV"/>
              </w:rPr>
              <w:t xml:space="preserve"> apkopošana neietilpst K</w:t>
            </w:r>
            <w:r>
              <w:rPr>
                <w:sz w:val="28"/>
                <w:szCs w:val="28"/>
                <w:lang w:val="lv-LV"/>
              </w:rPr>
              <w:t>ultūras ministrijai</w:t>
            </w:r>
            <w:r w:rsidRPr="002D5824">
              <w:rPr>
                <w:sz w:val="28"/>
                <w:szCs w:val="28"/>
                <w:lang w:val="lv-LV"/>
              </w:rPr>
              <w:t xml:space="preserve"> noteiktajās funkcijās un šādas informācijas kvalitātes nodro</w:t>
            </w:r>
            <w:r>
              <w:rPr>
                <w:sz w:val="28"/>
                <w:szCs w:val="28"/>
                <w:lang w:val="lv-LV"/>
              </w:rPr>
              <w:t>š</w:t>
            </w:r>
            <w:r w:rsidRPr="002D5824">
              <w:rPr>
                <w:sz w:val="28"/>
                <w:szCs w:val="28"/>
                <w:lang w:val="lv-LV"/>
              </w:rPr>
              <w:t>inā</w:t>
            </w:r>
            <w:r>
              <w:rPr>
                <w:sz w:val="28"/>
                <w:szCs w:val="28"/>
                <w:lang w:val="lv-LV"/>
              </w:rPr>
              <w:t>šanai būtu nepieciešama papildu</w:t>
            </w:r>
            <w:r w:rsidRPr="002D5824">
              <w:rPr>
                <w:sz w:val="28"/>
                <w:szCs w:val="28"/>
                <w:lang w:val="lv-LV"/>
              </w:rPr>
              <w:t xml:space="preserve"> cilvēkresursu iesaiste, kā arī ņemot vērā to, ka līdzīga informācija tiek apkopota Latvijas oficiālajā tūrisma portālā </w:t>
            </w:r>
            <w:hyperlink r:id="rId11" w:history="1">
              <w:r w:rsidRPr="002D5824">
                <w:rPr>
                  <w:sz w:val="28"/>
                  <w:szCs w:val="28"/>
                  <w:lang w:val="lv-LV"/>
                </w:rPr>
                <w:t>www.latvia.travel</w:t>
              </w:r>
            </w:hyperlink>
            <w:r w:rsidRPr="002D5824">
              <w:rPr>
                <w:sz w:val="28"/>
                <w:szCs w:val="28"/>
                <w:lang w:val="lv-LV"/>
              </w:rPr>
              <w:t xml:space="preserve">, pašvaldību un privātās informācijas vietnēs, </w:t>
            </w:r>
            <w:r w:rsidRPr="002D5824">
              <w:rPr>
                <w:color w:val="444444"/>
                <w:sz w:val="28"/>
                <w:szCs w:val="28"/>
                <w:lang w:val="lv-LV"/>
              </w:rPr>
              <w:t>l</w:t>
            </w:r>
            <w:r w:rsidRPr="002D5824">
              <w:rPr>
                <w:sz w:val="28"/>
                <w:szCs w:val="28"/>
                <w:lang w:val="lv-LV"/>
              </w:rPr>
              <w:t xml:space="preserve">ai samazinātu administratīvo slogu, informācija par nozīmīgiem pasākumiem turpmāk </w:t>
            </w:r>
            <w:r>
              <w:rPr>
                <w:sz w:val="28"/>
                <w:szCs w:val="28"/>
                <w:lang w:val="lv-LV"/>
              </w:rPr>
              <w:t>kultūras kartē</w:t>
            </w:r>
            <w:r w:rsidRPr="002D5824">
              <w:rPr>
                <w:sz w:val="28"/>
                <w:szCs w:val="28"/>
                <w:lang w:val="lv-LV"/>
              </w:rPr>
              <w:t xml:space="preserve"> </w:t>
            </w:r>
            <w:r>
              <w:rPr>
                <w:sz w:val="28"/>
                <w:szCs w:val="28"/>
                <w:lang w:val="lv-LV"/>
              </w:rPr>
              <w:t>netiks apkopota. Minētās informācijas izslēgšana no kultūras kartes nav pretrunā ar tās mērķiem</w:t>
            </w:r>
          </w:p>
          <w:p w:rsidR="0025775C" w:rsidRPr="002D5824" w:rsidRDefault="0025775C" w:rsidP="0025775C">
            <w:pPr>
              <w:pStyle w:val="ParastaisWeb"/>
              <w:spacing w:before="0" w:beforeAutospacing="0" w:after="0" w:afterAutospacing="0"/>
              <w:jc w:val="both"/>
              <w:rPr>
                <w:sz w:val="28"/>
                <w:szCs w:val="28"/>
                <w:lang w:val="lv-LV"/>
              </w:rPr>
            </w:pPr>
          </w:p>
          <w:p w:rsidR="0025775C" w:rsidRPr="002D5824" w:rsidRDefault="0025775C" w:rsidP="0025775C">
            <w:pPr>
              <w:pStyle w:val="ParastaisWeb"/>
              <w:spacing w:before="0" w:beforeAutospacing="0" w:after="0" w:afterAutospacing="0"/>
              <w:jc w:val="both"/>
              <w:rPr>
                <w:sz w:val="28"/>
                <w:szCs w:val="28"/>
                <w:lang w:val="lv-LV"/>
              </w:rPr>
            </w:pPr>
            <w:r w:rsidRPr="002D5824">
              <w:rPr>
                <w:sz w:val="28"/>
                <w:szCs w:val="28"/>
                <w:lang w:val="lv-LV"/>
              </w:rPr>
              <w:t xml:space="preserve">Saskaņā ar Ministru kabineta 2015.gada 17.novembra noteikumu Nr.649 „Kārtība, kādā tiek aprēķināta un sadalīta valsts budžeta mērķdotācija māksliniecisko kolektīvu vadītāju darba samaksai un valsts sociālās apdrošināšanas obligātajām iemaksām” </w:t>
            </w:r>
            <w:r w:rsidRPr="002D5824">
              <w:rPr>
                <w:sz w:val="28"/>
                <w:szCs w:val="28"/>
                <w:lang w:val="lv-LV"/>
              </w:rPr>
              <w:lastRenderedPageBreak/>
              <w:t xml:space="preserve">4.punktu, mērķdotācijas apmēru aprēķināšanai tiek izmantoti dati, ko kolektīva dibinātājs sniedzis </w:t>
            </w:r>
            <w:r>
              <w:rPr>
                <w:sz w:val="28"/>
                <w:szCs w:val="28"/>
                <w:lang w:val="lv-LV"/>
              </w:rPr>
              <w:t>kultūras kartē</w:t>
            </w:r>
            <w:r w:rsidRPr="002D5824">
              <w:rPr>
                <w:sz w:val="28"/>
                <w:szCs w:val="28"/>
                <w:lang w:val="lv-LV"/>
              </w:rPr>
              <w:t xml:space="preserve">. </w:t>
            </w:r>
            <w:r>
              <w:rPr>
                <w:sz w:val="28"/>
                <w:szCs w:val="28"/>
                <w:lang w:val="lv-LV"/>
              </w:rPr>
              <w:t xml:space="preserve">Ņemot vērā, ka daļa sniedzamās informācijas ir pieejama Latvijas Nacionālajam kultūras centram (dalība skatēs, izstādēs u.c.), lai </w:t>
            </w:r>
            <w:r w:rsidRPr="002D5824">
              <w:rPr>
                <w:sz w:val="28"/>
                <w:szCs w:val="28"/>
                <w:lang w:val="lv-LV"/>
              </w:rPr>
              <w:t>no</w:t>
            </w:r>
            <w:r>
              <w:rPr>
                <w:sz w:val="28"/>
                <w:szCs w:val="28"/>
                <w:lang w:val="lv-LV"/>
              </w:rPr>
              <w:t>vērs</w:t>
            </w:r>
            <w:r w:rsidRPr="002D5824">
              <w:rPr>
                <w:sz w:val="28"/>
                <w:szCs w:val="28"/>
                <w:lang w:val="lv-LV"/>
              </w:rPr>
              <w:t xml:space="preserve">tu </w:t>
            </w:r>
            <w:r>
              <w:rPr>
                <w:sz w:val="28"/>
                <w:szCs w:val="28"/>
                <w:lang w:val="lv-LV"/>
              </w:rPr>
              <w:t>papildus darbu</w:t>
            </w:r>
            <w:r w:rsidRPr="002D5824">
              <w:rPr>
                <w:sz w:val="28"/>
                <w:szCs w:val="28"/>
                <w:lang w:val="lv-LV"/>
              </w:rPr>
              <w:t xml:space="preserve"> </w:t>
            </w:r>
            <w:r>
              <w:rPr>
                <w:sz w:val="28"/>
                <w:szCs w:val="28"/>
                <w:lang w:val="lv-LV"/>
              </w:rPr>
              <w:t>māksliniecisko kolektīvu dibinātājiem, 4.pielikumā uzskaitīto sniedzamo datu apjoms samazināts</w:t>
            </w:r>
            <w:r w:rsidRPr="002D5824">
              <w:rPr>
                <w:sz w:val="28"/>
                <w:szCs w:val="28"/>
                <w:lang w:val="lv-LV"/>
              </w:rPr>
              <w:t>.</w:t>
            </w:r>
          </w:p>
          <w:p w:rsidR="0025775C" w:rsidRPr="002D5824" w:rsidRDefault="0025775C" w:rsidP="0025775C">
            <w:pPr>
              <w:pStyle w:val="ParastaisWeb"/>
              <w:spacing w:before="0" w:beforeAutospacing="0" w:after="0" w:afterAutospacing="0"/>
              <w:jc w:val="both"/>
              <w:rPr>
                <w:sz w:val="28"/>
                <w:szCs w:val="28"/>
                <w:lang w:val="lv-LV"/>
              </w:rPr>
            </w:pPr>
          </w:p>
          <w:p w:rsidR="0025775C" w:rsidRDefault="0025775C" w:rsidP="0025775C">
            <w:pPr>
              <w:pStyle w:val="ParastaisWeb"/>
              <w:spacing w:before="0" w:beforeAutospacing="0" w:after="0" w:afterAutospacing="0"/>
              <w:jc w:val="both"/>
              <w:rPr>
                <w:sz w:val="28"/>
                <w:szCs w:val="28"/>
                <w:lang w:val="lv-LV"/>
              </w:rPr>
            </w:pPr>
            <w:r w:rsidRPr="002D5824">
              <w:rPr>
                <w:sz w:val="28"/>
                <w:szCs w:val="28"/>
                <w:lang w:val="lv-LV"/>
              </w:rPr>
              <w:t>Saskaņā ar Muzeju likuma 9.panta piekto daļu K</w:t>
            </w:r>
            <w:r>
              <w:rPr>
                <w:sz w:val="28"/>
                <w:szCs w:val="28"/>
                <w:lang w:val="lv-LV"/>
              </w:rPr>
              <w:t>ultūras ministrija</w:t>
            </w:r>
            <w:r w:rsidRPr="002D5824">
              <w:rPr>
                <w:sz w:val="28"/>
                <w:szCs w:val="28"/>
                <w:lang w:val="lv-LV"/>
              </w:rPr>
              <w:t xml:space="preserve"> veido un uztur </w:t>
            </w:r>
            <w:r>
              <w:rPr>
                <w:sz w:val="28"/>
                <w:szCs w:val="28"/>
                <w:lang w:val="lv-LV"/>
              </w:rPr>
              <w:t>m</w:t>
            </w:r>
            <w:r w:rsidRPr="002D5824">
              <w:rPr>
                <w:sz w:val="28"/>
                <w:szCs w:val="28"/>
                <w:lang w:val="lv-LV"/>
              </w:rPr>
              <w:t xml:space="preserve">uzeju reģistru. Savukārt saskaņā ar Bibliotēku likuma 8.panta pirmo daļu ikviena bibliotēka reģistrējama </w:t>
            </w:r>
            <w:r>
              <w:rPr>
                <w:sz w:val="28"/>
                <w:szCs w:val="28"/>
                <w:lang w:val="lv-LV"/>
              </w:rPr>
              <w:t>Kultūras ministrijā</w:t>
            </w:r>
            <w:r w:rsidRPr="002D5824">
              <w:rPr>
                <w:sz w:val="28"/>
                <w:szCs w:val="28"/>
                <w:lang w:val="lv-LV"/>
              </w:rPr>
              <w:t xml:space="preserve"> mēneša laikā pēc tās nodibināšanas, un atbilstoši minētā panta ceturtajai daļai mēneša laikā pēc iesnieguma par bibliotēkas reģistrāciju iesniegšanas </w:t>
            </w:r>
            <w:r>
              <w:rPr>
                <w:sz w:val="28"/>
                <w:szCs w:val="28"/>
                <w:lang w:val="lv-LV"/>
              </w:rPr>
              <w:t>Kultūras ministrijā</w:t>
            </w:r>
            <w:r w:rsidRPr="002D5824">
              <w:rPr>
                <w:sz w:val="28"/>
                <w:szCs w:val="28"/>
                <w:lang w:val="lv-LV"/>
              </w:rPr>
              <w:t xml:space="preserve"> tā tiek uzņemta Bibliotēku reģistrā. Informācija par </w:t>
            </w:r>
            <w:r>
              <w:rPr>
                <w:sz w:val="28"/>
                <w:szCs w:val="28"/>
                <w:lang w:val="lv-LV"/>
              </w:rPr>
              <w:t>m</w:t>
            </w:r>
            <w:r w:rsidRPr="002D5824">
              <w:rPr>
                <w:sz w:val="28"/>
                <w:szCs w:val="28"/>
                <w:lang w:val="lv-LV"/>
              </w:rPr>
              <w:t xml:space="preserve">uzeju reģistra un Bibliotēku reģistra datiem pieejama </w:t>
            </w:r>
            <w:r>
              <w:rPr>
                <w:sz w:val="28"/>
                <w:szCs w:val="28"/>
                <w:lang w:val="lv-LV"/>
              </w:rPr>
              <w:t>kultūras kartē</w:t>
            </w:r>
            <w:r w:rsidRPr="002D5824">
              <w:rPr>
                <w:sz w:val="28"/>
                <w:szCs w:val="28"/>
                <w:lang w:val="lv-LV"/>
              </w:rPr>
              <w:t xml:space="preserve">. </w:t>
            </w:r>
          </w:p>
          <w:p w:rsidR="0025775C" w:rsidRPr="002D5824" w:rsidRDefault="0025775C" w:rsidP="0025775C">
            <w:pPr>
              <w:pStyle w:val="ParastaisWeb"/>
              <w:spacing w:before="0" w:beforeAutospacing="0" w:after="0" w:afterAutospacing="0"/>
              <w:jc w:val="both"/>
              <w:rPr>
                <w:sz w:val="28"/>
                <w:szCs w:val="28"/>
                <w:lang w:val="lv-LV"/>
              </w:rPr>
            </w:pPr>
          </w:p>
          <w:p w:rsidR="0025775C" w:rsidRDefault="0025775C" w:rsidP="0025775C">
            <w:pPr>
              <w:pStyle w:val="ParastaisWeb"/>
              <w:spacing w:before="0" w:beforeAutospacing="0" w:after="0" w:afterAutospacing="0"/>
              <w:jc w:val="both"/>
              <w:rPr>
                <w:sz w:val="28"/>
                <w:szCs w:val="28"/>
                <w:lang w:val="lv-LV"/>
              </w:rPr>
            </w:pPr>
            <w:r>
              <w:rPr>
                <w:sz w:val="28"/>
                <w:szCs w:val="28"/>
                <w:lang w:val="lv-LV"/>
              </w:rPr>
              <w:t xml:space="preserve">Saskaņā ar Projekta </w:t>
            </w:r>
            <w:r w:rsidRPr="002D5824">
              <w:rPr>
                <w:sz w:val="28"/>
                <w:szCs w:val="28"/>
                <w:lang w:val="lv-LV"/>
              </w:rPr>
              <w:t xml:space="preserve">4.1.apakšpunktu </w:t>
            </w:r>
            <w:r>
              <w:rPr>
                <w:sz w:val="28"/>
                <w:szCs w:val="28"/>
                <w:lang w:val="lv-LV"/>
              </w:rPr>
              <w:t xml:space="preserve">kultūras kartes </w:t>
            </w:r>
            <w:r w:rsidRPr="002D5824">
              <w:rPr>
                <w:sz w:val="28"/>
                <w:szCs w:val="28"/>
                <w:lang w:val="lv-LV"/>
              </w:rPr>
              <w:t>elektroniskajā datubāzē pieejama informācija par akreditētajiem valsts, pašvaldību, autonomajiem un privātajiem muzejiem,</w:t>
            </w:r>
            <w:r>
              <w:rPr>
                <w:sz w:val="28"/>
                <w:szCs w:val="28"/>
                <w:lang w:val="lv-LV"/>
              </w:rPr>
              <w:t xml:space="preserve"> saskaņā ar Projekta  </w:t>
            </w:r>
            <w:r w:rsidRPr="002D5824">
              <w:rPr>
                <w:sz w:val="28"/>
                <w:szCs w:val="28"/>
                <w:lang w:val="lv-LV"/>
              </w:rPr>
              <w:t xml:space="preserve">4.2.apakšpunktā noteikto </w:t>
            </w:r>
            <w:r>
              <w:rPr>
                <w:sz w:val="28"/>
                <w:szCs w:val="28"/>
                <w:lang w:val="lv-LV"/>
              </w:rPr>
              <w:t xml:space="preserve">kultūras kartes </w:t>
            </w:r>
            <w:r w:rsidRPr="002D5824">
              <w:rPr>
                <w:sz w:val="28"/>
                <w:szCs w:val="28"/>
                <w:lang w:val="lv-LV"/>
              </w:rPr>
              <w:t>elektroniskajā datubāzē pieejama informācija par valsts, pašvaldību un citu atvasināto publisko personu dibinātajām un privātajām bibliotēkām</w:t>
            </w:r>
            <w:r>
              <w:rPr>
                <w:sz w:val="28"/>
                <w:szCs w:val="28"/>
                <w:lang w:val="lv-LV"/>
              </w:rPr>
              <w:t xml:space="preserve">, saskaņā ar Projekta 4.3.apakšpunktu kultūras kartes elektroniskajā datubāzē pieejama informācija par pašvaldību profesionālās ievirzes mākslas skolām, mūzikas skolām un mākslas un mūzikas vidusskolām, saskaņā ar Projekta 4.4.apakšpunktu kultūras kartes elektroniskajā datubāzē pieejama informācija par pašvaldību, autonomajiem un privātajiem kultūras centriem, saskaņā ar Projekta 4.5.apakšpunktu kultūras kartes elektroniskajā datubāzē pieejama informācija par valsts un pašvaldību </w:t>
            </w:r>
            <w:r>
              <w:rPr>
                <w:sz w:val="28"/>
                <w:szCs w:val="28"/>
                <w:lang w:val="lv-LV"/>
              </w:rPr>
              <w:lastRenderedPageBreak/>
              <w:t>dibinātajiem un privātajiem teātriem, saskaņā ar Projekta 4.6.apakšpunktu kultūras kartes elektroniskajā datubāzē pieejama informācija par valsts, pašvaldību un privātajām koncertorganizācijām un saskaņā ar Projekta 4.1</w:t>
            </w:r>
            <w:r w:rsidR="0002107B">
              <w:rPr>
                <w:sz w:val="28"/>
                <w:szCs w:val="28"/>
                <w:lang w:val="lv-LV"/>
              </w:rPr>
              <w:t>3</w:t>
            </w:r>
            <w:r>
              <w:rPr>
                <w:sz w:val="28"/>
                <w:szCs w:val="28"/>
                <w:lang w:val="lv-LV"/>
              </w:rPr>
              <w:t>.apakšpunktu kultūras kartes elektroniskajā datubāzē pieejama informācija par kino izrādīšanas vietām</w:t>
            </w:r>
            <w:r w:rsidRPr="002D5824">
              <w:rPr>
                <w:sz w:val="28"/>
                <w:szCs w:val="28"/>
                <w:lang w:val="lv-LV"/>
              </w:rPr>
              <w:t>. Informācijā par muzeju</w:t>
            </w:r>
            <w:r>
              <w:rPr>
                <w:sz w:val="28"/>
                <w:szCs w:val="28"/>
                <w:lang w:val="lv-LV"/>
              </w:rPr>
              <w:t>,</w:t>
            </w:r>
            <w:r w:rsidRPr="002D5824">
              <w:rPr>
                <w:sz w:val="28"/>
                <w:szCs w:val="28"/>
                <w:lang w:val="lv-LV"/>
              </w:rPr>
              <w:t xml:space="preserve"> bibliotēku</w:t>
            </w:r>
            <w:r>
              <w:rPr>
                <w:sz w:val="28"/>
                <w:szCs w:val="28"/>
                <w:lang w:val="lv-LV"/>
              </w:rPr>
              <w:t>, mūzikas un mākslas skolu, kultūras centru, teātru, koncertorganizāciju un kino izrādīšanas vietu</w:t>
            </w:r>
            <w:r w:rsidRPr="002D5824">
              <w:rPr>
                <w:sz w:val="28"/>
                <w:szCs w:val="28"/>
                <w:lang w:val="lv-LV"/>
              </w:rPr>
              <w:t xml:space="preserve"> infrastruktūras raksturojumu pašlaik netiek iekļauta norāde par </w:t>
            </w:r>
            <w:r>
              <w:rPr>
                <w:sz w:val="28"/>
                <w:szCs w:val="28"/>
                <w:lang w:val="lv-LV"/>
              </w:rPr>
              <w:t>Nekustamā īpašuma valsts k</w:t>
            </w:r>
            <w:r w:rsidRPr="002D5824">
              <w:rPr>
                <w:sz w:val="28"/>
                <w:szCs w:val="28"/>
                <w:lang w:val="lv-LV"/>
              </w:rPr>
              <w:t>adastra informācijas sistēmā piešķirto kadastra apzīmējumu</w:t>
            </w:r>
            <w:r>
              <w:rPr>
                <w:sz w:val="28"/>
                <w:szCs w:val="28"/>
                <w:lang w:val="lv-LV"/>
              </w:rPr>
              <w:t xml:space="preserve"> un lietošanas veidu</w:t>
            </w:r>
            <w:r w:rsidRPr="002D5824">
              <w:rPr>
                <w:sz w:val="28"/>
                <w:szCs w:val="28"/>
                <w:lang w:val="lv-LV"/>
              </w:rPr>
              <w:t xml:space="preserve">, kas nepieciešama nekustamā īpašuma nodokļa atvieglojumu un atbrīvojumu piešķiršanai. </w:t>
            </w:r>
          </w:p>
          <w:p w:rsidR="0025775C" w:rsidRPr="002D5824" w:rsidRDefault="0025775C" w:rsidP="0025775C">
            <w:pPr>
              <w:pStyle w:val="ParastaisWeb"/>
              <w:spacing w:before="0" w:beforeAutospacing="0" w:after="0" w:afterAutospacing="0"/>
              <w:jc w:val="both"/>
              <w:rPr>
                <w:sz w:val="28"/>
                <w:szCs w:val="28"/>
                <w:lang w:val="lv-LV"/>
              </w:rPr>
            </w:pPr>
          </w:p>
          <w:p w:rsidR="0025775C" w:rsidRPr="002D5824" w:rsidRDefault="0025775C" w:rsidP="0025775C">
            <w:pPr>
              <w:pStyle w:val="ParastaisWeb"/>
              <w:spacing w:before="0" w:beforeAutospacing="0" w:after="0" w:afterAutospacing="0"/>
              <w:jc w:val="both"/>
              <w:rPr>
                <w:sz w:val="28"/>
                <w:szCs w:val="28"/>
                <w:lang w:val="lv-LV"/>
              </w:rPr>
            </w:pPr>
            <w:r w:rsidRPr="002D5824">
              <w:rPr>
                <w:sz w:val="28"/>
                <w:szCs w:val="28"/>
                <w:lang w:val="lv-LV"/>
              </w:rPr>
              <w:t xml:space="preserve">Lai īstenotu Ministru kabineta 2015.gada 20.oktobra sēdes protokollēmumā </w:t>
            </w:r>
            <w:r>
              <w:rPr>
                <w:sz w:val="28"/>
                <w:szCs w:val="28"/>
                <w:lang w:val="lv-LV"/>
              </w:rPr>
              <w:t xml:space="preserve">(prot. Nr.55 </w:t>
            </w:r>
            <w:r w:rsidRPr="002D5824">
              <w:rPr>
                <w:sz w:val="28"/>
                <w:szCs w:val="28"/>
                <w:lang w:val="lv-LV"/>
              </w:rPr>
              <w:t>19.§</w:t>
            </w:r>
            <w:r>
              <w:rPr>
                <w:sz w:val="28"/>
                <w:szCs w:val="28"/>
                <w:lang w:val="lv-LV"/>
              </w:rPr>
              <w:t>)</w:t>
            </w:r>
            <w:r w:rsidRPr="002D5824">
              <w:rPr>
                <w:sz w:val="28"/>
                <w:szCs w:val="28"/>
                <w:lang w:val="lv-LV"/>
              </w:rPr>
              <w:t xml:space="preserve"> </w:t>
            </w:r>
            <w:r>
              <w:rPr>
                <w:sz w:val="28"/>
                <w:szCs w:val="28"/>
                <w:lang w:val="lv-LV"/>
              </w:rPr>
              <w:t>„</w:t>
            </w:r>
            <w:r w:rsidRPr="002D5824">
              <w:rPr>
                <w:sz w:val="28"/>
                <w:szCs w:val="28"/>
                <w:lang w:val="lv-LV"/>
              </w:rPr>
              <w:t>Par Valsts kontroles revīzijas lietā Nr.5.1-2-17/2012 konstatēto problēmu novēršanu</w:t>
            </w:r>
            <w:r>
              <w:rPr>
                <w:sz w:val="28"/>
                <w:szCs w:val="28"/>
                <w:lang w:val="lv-LV"/>
              </w:rPr>
              <w:t>”</w:t>
            </w:r>
            <w:r w:rsidRPr="002D5824">
              <w:rPr>
                <w:sz w:val="28"/>
                <w:szCs w:val="28"/>
                <w:lang w:val="lv-LV"/>
              </w:rPr>
              <w:t xml:space="preserve"> noteikto –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(tai skaitā lietošanas veidu) un noteiktā kārtībā iesniegt Ministru kabinetā sagatavotos normatīvo aktu projektus –</w:t>
            </w:r>
            <w:r>
              <w:rPr>
                <w:sz w:val="28"/>
                <w:szCs w:val="28"/>
                <w:lang w:val="lv-LV"/>
              </w:rPr>
              <w:t xml:space="preserve"> P</w:t>
            </w:r>
            <w:r w:rsidRPr="00D83AE8">
              <w:rPr>
                <w:sz w:val="28"/>
                <w:szCs w:val="28"/>
                <w:lang w:val="lv-LV"/>
              </w:rPr>
              <w:t xml:space="preserve">rojekts ir papildināts ar informāciju par </w:t>
            </w:r>
            <w:r w:rsidR="007D61B0" w:rsidRPr="007D61B0">
              <w:rPr>
                <w:sz w:val="28"/>
                <w:szCs w:val="28"/>
                <w:lang w:val="lv-LV"/>
              </w:rPr>
              <w:t>ēkas vai telpu grupas</w:t>
            </w:r>
            <w:r w:rsidRPr="00D83AE8">
              <w:rPr>
                <w:sz w:val="28"/>
                <w:szCs w:val="28"/>
                <w:lang w:val="lv-LV"/>
              </w:rPr>
              <w:t>, kurā darbojas kultūras institūcija, kadastra apzīmējumu un lietošanas veidu, kas nepieciešams, lai pārraugošā iestāde izvērtētu Nekustamā īpašuma valsts kadastra informācijās sistēmā reģistrētā ēkas vai telpu grupas lietošanas veida atbilstību faktiskajai darbībai, kā arī nodokļu atvieglojumu un atbrīvojumu piešķiršanai.</w:t>
            </w:r>
            <w:r w:rsidRPr="002D5824">
              <w:rPr>
                <w:sz w:val="28"/>
                <w:szCs w:val="28"/>
                <w:lang w:val="lv-LV"/>
              </w:rPr>
              <w:t xml:space="preserve"> </w:t>
            </w:r>
          </w:p>
          <w:p w:rsidR="0025775C" w:rsidRPr="002D5824" w:rsidRDefault="0025775C" w:rsidP="0025775C">
            <w:pPr>
              <w:pStyle w:val="ParastaisWeb"/>
              <w:spacing w:before="0" w:beforeAutospacing="0" w:after="0" w:afterAutospacing="0"/>
              <w:jc w:val="both"/>
              <w:rPr>
                <w:sz w:val="28"/>
                <w:szCs w:val="28"/>
                <w:lang w:val="lv-LV"/>
              </w:rPr>
            </w:pPr>
          </w:p>
          <w:p w:rsidR="0025775C" w:rsidRDefault="0025775C" w:rsidP="0025775C">
            <w:pPr>
              <w:pStyle w:val="ParastaisWeb"/>
              <w:spacing w:before="0" w:beforeAutospacing="0" w:after="0" w:afterAutospacing="0"/>
              <w:jc w:val="both"/>
              <w:rPr>
                <w:sz w:val="28"/>
                <w:szCs w:val="28"/>
                <w:lang w:val="lv-LV"/>
              </w:rPr>
            </w:pPr>
            <w:r>
              <w:rPr>
                <w:sz w:val="28"/>
                <w:szCs w:val="28"/>
                <w:lang w:val="lv-LV"/>
              </w:rPr>
              <w:t xml:space="preserve">Saskaņā ar Projekta </w:t>
            </w:r>
            <w:r w:rsidRPr="002D5824">
              <w:rPr>
                <w:sz w:val="28"/>
                <w:szCs w:val="28"/>
                <w:lang w:val="lv-LV"/>
              </w:rPr>
              <w:t xml:space="preserve">4.1., 4.2., 4.4., 4.5., 4.6., 4.7., 4.8., </w:t>
            </w:r>
            <w:r>
              <w:rPr>
                <w:sz w:val="28"/>
                <w:szCs w:val="28"/>
                <w:lang w:val="lv-LV"/>
              </w:rPr>
              <w:t>4.9., 4.11., un 4.13.</w:t>
            </w:r>
            <w:r w:rsidRPr="002D5824">
              <w:rPr>
                <w:sz w:val="28"/>
                <w:szCs w:val="28"/>
                <w:lang w:val="lv-LV"/>
              </w:rPr>
              <w:t xml:space="preserve">apakšpunktu veidlapas </w:t>
            </w:r>
            <w:r>
              <w:rPr>
                <w:sz w:val="28"/>
                <w:szCs w:val="28"/>
                <w:lang w:val="lv-LV"/>
              </w:rPr>
              <w:t>kultūras kartē</w:t>
            </w:r>
            <w:r w:rsidRPr="002D5824">
              <w:rPr>
                <w:sz w:val="28"/>
                <w:szCs w:val="28"/>
                <w:lang w:val="lv-LV"/>
              </w:rPr>
              <w:t xml:space="preserve"> aizpilda akreditētie </w:t>
            </w:r>
            <w:r w:rsidRPr="002D5824">
              <w:rPr>
                <w:sz w:val="28"/>
                <w:szCs w:val="28"/>
                <w:lang w:val="lv-LV"/>
              </w:rPr>
              <w:lastRenderedPageBreak/>
              <w:t xml:space="preserve">valsts, pašvaldību, autonomie un privātie muzeji, valsts, pašvaldību un citu atvasināto publisko personu dibinātās un privātās bibliotēkas, pašvaldību, autonomie un privātie kultūras centri, valsts un pašvaldību dibinātie un privātie teātri, valsts, pašvaldību un privātās koncertorganizācijas, Latvijas Nacionālais arhīvs, pašvaldības, </w:t>
            </w:r>
            <w:r>
              <w:rPr>
                <w:sz w:val="28"/>
                <w:szCs w:val="28"/>
                <w:lang w:val="lv-LV"/>
              </w:rPr>
              <w:t xml:space="preserve">pārvaldes institūcijas, </w:t>
            </w:r>
            <w:r w:rsidRPr="002D5824">
              <w:rPr>
                <w:sz w:val="28"/>
                <w:szCs w:val="28"/>
                <w:lang w:val="lv-LV"/>
              </w:rPr>
              <w:t>K</w:t>
            </w:r>
            <w:r>
              <w:rPr>
                <w:sz w:val="28"/>
                <w:szCs w:val="28"/>
                <w:lang w:val="lv-LV"/>
              </w:rPr>
              <w:t>ultūras ministrija</w:t>
            </w:r>
            <w:r w:rsidRPr="002D5824">
              <w:rPr>
                <w:sz w:val="28"/>
                <w:szCs w:val="28"/>
                <w:lang w:val="lv-LV"/>
              </w:rPr>
              <w:t xml:space="preserve">, </w:t>
            </w:r>
            <w:r>
              <w:rPr>
                <w:sz w:val="28"/>
                <w:szCs w:val="28"/>
                <w:lang w:val="lv-LV"/>
              </w:rPr>
              <w:t>biedrība „</w:t>
            </w:r>
            <w:r w:rsidRPr="002D5824">
              <w:rPr>
                <w:sz w:val="28"/>
                <w:szCs w:val="28"/>
                <w:lang w:val="lv-LV"/>
              </w:rPr>
              <w:t>Latvijas Mākslinieku savienība</w:t>
            </w:r>
            <w:r>
              <w:rPr>
                <w:sz w:val="28"/>
                <w:szCs w:val="28"/>
                <w:lang w:val="lv-LV"/>
              </w:rPr>
              <w:t>”</w:t>
            </w:r>
            <w:r w:rsidRPr="002D5824">
              <w:rPr>
                <w:sz w:val="28"/>
                <w:szCs w:val="28"/>
                <w:lang w:val="lv-LV"/>
              </w:rPr>
              <w:t xml:space="preserve">, </w:t>
            </w:r>
            <w:r>
              <w:rPr>
                <w:sz w:val="28"/>
                <w:szCs w:val="28"/>
                <w:lang w:val="lv-LV"/>
              </w:rPr>
              <w:t>biedrība „</w:t>
            </w:r>
            <w:r w:rsidRPr="002D5824">
              <w:rPr>
                <w:sz w:val="28"/>
                <w:szCs w:val="28"/>
                <w:lang w:val="lv-LV"/>
              </w:rPr>
              <w:t>Latvijas Komponistu savienība</w:t>
            </w:r>
            <w:r>
              <w:rPr>
                <w:sz w:val="28"/>
                <w:szCs w:val="28"/>
                <w:lang w:val="lv-LV"/>
              </w:rPr>
              <w:t>” un</w:t>
            </w:r>
            <w:r w:rsidRPr="002D5824">
              <w:rPr>
                <w:sz w:val="28"/>
                <w:szCs w:val="28"/>
                <w:lang w:val="lv-LV"/>
              </w:rPr>
              <w:t xml:space="preserve"> kinoteātri</w:t>
            </w:r>
            <w:r>
              <w:rPr>
                <w:sz w:val="28"/>
                <w:szCs w:val="28"/>
                <w:lang w:val="lv-LV"/>
              </w:rPr>
              <w:t>.</w:t>
            </w:r>
            <w:r w:rsidRPr="002D5824">
              <w:rPr>
                <w:sz w:val="28"/>
                <w:szCs w:val="28"/>
                <w:lang w:val="lv-LV"/>
              </w:rPr>
              <w:t xml:space="preserve"> </w:t>
            </w:r>
            <w:r>
              <w:rPr>
                <w:sz w:val="28"/>
                <w:szCs w:val="28"/>
                <w:lang w:val="lv-LV"/>
              </w:rPr>
              <w:t>Projekta</w:t>
            </w:r>
            <w:r w:rsidRPr="002D5824">
              <w:rPr>
                <w:sz w:val="28"/>
                <w:szCs w:val="28"/>
                <w:lang w:val="lv-LV"/>
              </w:rPr>
              <w:t xml:space="preserve"> 1., 2., 4., 5., 6., 7., 8.,</w:t>
            </w:r>
            <w:r>
              <w:rPr>
                <w:sz w:val="28"/>
                <w:szCs w:val="28"/>
                <w:lang w:val="lv-LV"/>
              </w:rPr>
              <w:t xml:space="preserve"> 9.,</w:t>
            </w:r>
            <w:r w:rsidRPr="002D5824">
              <w:rPr>
                <w:sz w:val="28"/>
                <w:szCs w:val="28"/>
                <w:lang w:val="lv-LV"/>
              </w:rPr>
              <w:t xml:space="preserve"> 11., 13.</w:t>
            </w:r>
            <w:r>
              <w:rPr>
                <w:sz w:val="28"/>
                <w:szCs w:val="28"/>
                <w:lang w:val="lv-LV"/>
              </w:rPr>
              <w:t>, 14. un 15</w:t>
            </w:r>
            <w:r w:rsidRPr="002D5824">
              <w:rPr>
                <w:sz w:val="28"/>
                <w:szCs w:val="28"/>
                <w:lang w:val="lv-LV"/>
              </w:rPr>
              <w:t xml:space="preserve">.pielikums nosaka sniedzamās informācijas veidu un apjomu. Kopš </w:t>
            </w:r>
            <w:r>
              <w:rPr>
                <w:sz w:val="28"/>
                <w:szCs w:val="28"/>
                <w:lang w:val="lv-LV"/>
              </w:rPr>
              <w:t>kultūras kartes</w:t>
            </w:r>
            <w:r w:rsidRPr="002D5824">
              <w:rPr>
                <w:sz w:val="28"/>
                <w:szCs w:val="28"/>
                <w:lang w:val="lv-LV"/>
              </w:rPr>
              <w:t xml:space="preserve"> izveides minēto institūciju aizpildāmajās veidlapās nepieciešams veikt precizējumus, gan uzlabojot formulējumus atbilstoši aktuālajām prasībām, gan svītrojot informācijas pieprasījumus, k</w:t>
            </w:r>
            <w:r>
              <w:rPr>
                <w:sz w:val="28"/>
                <w:szCs w:val="28"/>
                <w:lang w:val="lv-LV"/>
              </w:rPr>
              <w:t>as</w:t>
            </w:r>
            <w:r w:rsidRPr="002D5824">
              <w:rPr>
                <w:sz w:val="28"/>
                <w:szCs w:val="28"/>
                <w:lang w:val="lv-LV"/>
              </w:rPr>
              <w:t xml:space="preserve"> ir novecojuši </w:t>
            </w:r>
            <w:r>
              <w:rPr>
                <w:sz w:val="28"/>
                <w:szCs w:val="28"/>
                <w:lang w:val="lv-LV"/>
              </w:rPr>
              <w:t>vai</w:t>
            </w:r>
            <w:r w:rsidRPr="002D5824">
              <w:rPr>
                <w:sz w:val="28"/>
                <w:szCs w:val="28"/>
                <w:lang w:val="lv-LV"/>
              </w:rPr>
              <w:t xml:space="preserve"> nelietderīgi (piemēram, faksa numurs, interneta pieslēguma veids), gan pārstrukturējot datus, lai nodrošinātu ērtāku un pārskatāmāku datu ievadi respondentiem.</w:t>
            </w:r>
          </w:p>
          <w:p w:rsidR="0025775C" w:rsidRPr="002D5824" w:rsidRDefault="0025775C" w:rsidP="0025775C">
            <w:pPr>
              <w:pStyle w:val="ParastaisWeb"/>
              <w:spacing w:before="0" w:beforeAutospacing="0" w:after="0" w:afterAutospacing="0"/>
              <w:jc w:val="both"/>
              <w:rPr>
                <w:sz w:val="28"/>
                <w:szCs w:val="28"/>
                <w:lang w:val="lv-LV"/>
              </w:rPr>
            </w:pPr>
            <w:r w:rsidRPr="002D5824">
              <w:rPr>
                <w:sz w:val="28"/>
                <w:szCs w:val="28"/>
                <w:lang w:val="lv-LV"/>
              </w:rPr>
              <w:t xml:space="preserve"> </w:t>
            </w:r>
          </w:p>
          <w:p w:rsidR="0025775C" w:rsidRDefault="0025775C" w:rsidP="0025775C">
            <w:pPr>
              <w:jc w:val="both"/>
              <w:rPr>
                <w:sz w:val="28"/>
                <w:szCs w:val="28"/>
              </w:rPr>
            </w:pPr>
            <w:r>
              <w:rPr>
                <w:sz w:val="28"/>
                <w:szCs w:val="28"/>
              </w:rPr>
              <w:t xml:space="preserve">Saskaņā ar Projekta </w:t>
            </w:r>
            <w:r w:rsidRPr="002D5824">
              <w:rPr>
                <w:sz w:val="28"/>
                <w:szCs w:val="28"/>
              </w:rPr>
              <w:t xml:space="preserve">4.11.apakšpunktu </w:t>
            </w:r>
            <w:r>
              <w:rPr>
                <w:sz w:val="28"/>
                <w:szCs w:val="28"/>
              </w:rPr>
              <w:t>oficiālās</w:t>
            </w:r>
            <w:r w:rsidRPr="002D5824">
              <w:rPr>
                <w:sz w:val="28"/>
                <w:szCs w:val="28"/>
              </w:rPr>
              <w:t xml:space="preserve"> statistikas veidlapas, kurās ietverta informācija par pārvaldes institūcijām, nevalstiskajām organizācijām, radošajām rezidencēm, radošajām industrijām un mākslas galerijām, elektroniskajā datu bāzē aizpilda </w:t>
            </w:r>
            <w:r>
              <w:rPr>
                <w:sz w:val="28"/>
                <w:szCs w:val="28"/>
              </w:rPr>
              <w:t>Kultūras ministrija</w:t>
            </w:r>
            <w:r w:rsidRPr="002D5824">
              <w:rPr>
                <w:sz w:val="28"/>
                <w:szCs w:val="28"/>
              </w:rPr>
              <w:t>. Ņemot vērā līdzšinējo pieredzi datu apkopošanā un ieguldīto resursu samēru attiecībā pret informācijas izmantojumu, kā arī ņemot vērā nepieciešamību ekonomēt resursus, lai pilnvērtīgi īstenotu</w:t>
            </w:r>
            <w:r>
              <w:rPr>
                <w:sz w:val="28"/>
                <w:szCs w:val="28"/>
              </w:rPr>
              <w:t xml:space="preserve"> Kultūras ministrijas</w:t>
            </w:r>
            <w:r w:rsidRPr="002D5824">
              <w:rPr>
                <w:sz w:val="28"/>
                <w:szCs w:val="28"/>
              </w:rPr>
              <w:t xml:space="preserve"> noteiktās pamatfunkcijas, minēto institūciju pārskatu informatīvais apjoms ir samazināts.</w:t>
            </w:r>
          </w:p>
          <w:p w:rsidR="0025775C" w:rsidRDefault="0025775C" w:rsidP="0025775C">
            <w:pPr>
              <w:jc w:val="both"/>
              <w:rPr>
                <w:sz w:val="28"/>
                <w:szCs w:val="28"/>
              </w:rPr>
            </w:pPr>
          </w:p>
          <w:p w:rsidR="0025775C" w:rsidRDefault="0025775C" w:rsidP="0025775C">
            <w:pPr>
              <w:jc w:val="both"/>
              <w:rPr>
                <w:color w:val="000000"/>
                <w:sz w:val="28"/>
                <w:szCs w:val="28"/>
              </w:rPr>
            </w:pPr>
            <w:r>
              <w:rPr>
                <w:sz w:val="28"/>
                <w:szCs w:val="28"/>
              </w:rPr>
              <w:t xml:space="preserve">Projekta 6.punktā noteikti oficiālās statistikas pārskatu veidlapu aizpildes, pārbaudes un apstiprināšanas termiņi. Termiņi noteikti saskaņā ar grafiku, kurā veidlapās sniegtie dati </w:t>
            </w:r>
            <w:r>
              <w:rPr>
                <w:sz w:val="28"/>
                <w:szCs w:val="28"/>
              </w:rPr>
              <w:lastRenderedPageBreak/>
              <w:t>iesniedzami Centrālajā statistikas pārvaldē.</w:t>
            </w:r>
            <w:r w:rsidRPr="002D5824">
              <w:rPr>
                <w:sz w:val="28"/>
                <w:szCs w:val="28"/>
              </w:rPr>
              <w:t xml:space="preserve"> </w:t>
            </w:r>
            <w:r w:rsidRPr="002D5824">
              <w:rPr>
                <w:color w:val="000000"/>
                <w:sz w:val="28"/>
                <w:szCs w:val="28"/>
              </w:rPr>
              <w:t xml:space="preserve"> </w:t>
            </w:r>
          </w:p>
          <w:p w:rsidR="0025775C" w:rsidRDefault="0025775C" w:rsidP="0025775C">
            <w:pPr>
              <w:jc w:val="both"/>
              <w:rPr>
                <w:sz w:val="28"/>
                <w:szCs w:val="28"/>
              </w:rPr>
            </w:pPr>
            <w:r>
              <w:rPr>
                <w:sz w:val="28"/>
                <w:szCs w:val="28"/>
              </w:rPr>
              <w:t>Saskaņā ar N</w:t>
            </w:r>
            <w:r w:rsidRPr="002D5824">
              <w:rPr>
                <w:sz w:val="28"/>
                <w:szCs w:val="28"/>
              </w:rPr>
              <w:t>oteikumu</w:t>
            </w:r>
            <w:r>
              <w:rPr>
                <w:sz w:val="28"/>
                <w:szCs w:val="28"/>
              </w:rPr>
              <w:t xml:space="preserve"> Nr.1074</w:t>
            </w:r>
            <w:r w:rsidRPr="002D5824">
              <w:rPr>
                <w:sz w:val="28"/>
                <w:szCs w:val="28"/>
              </w:rPr>
              <w:t xml:space="preserve"> 4.1</w:t>
            </w:r>
            <w:r>
              <w:rPr>
                <w:sz w:val="28"/>
                <w:szCs w:val="28"/>
              </w:rPr>
              <w:t>5.</w:t>
            </w:r>
            <w:r w:rsidRPr="002D5824">
              <w:rPr>
                <w:sz w:val="28"/>
                <w:szCs w:val="28"/>
              </w:rPr>
              <w:t xml:space="preserve">apakšpunktu veidlapas </w:t>
            </w:r>
            <w:r>
              <w:rPr>
                <w:sz w:val="28"/>
                <w:szCs w:val="28"/>
              </w:rPr>
              <w:t>kultūras kartē</w:t>
            </w:r>
            <w:r w:rsidRPr="002D5824">
              <w:rPr>
                <w:sz w:val="28"/>
                <w:szCs w:val="28"/>
              </w:rPr>
              <w:t xml:space="preserve"> aizpilda kinoteātri.</w:t>
            </w:r>
            <w:r>
              <w:rPr>
                <w:sz w:val="28"/>
                <w:szCs w:val="28"/>
              </w:rPr>
              <w:t xml:space="preserve"> Ņemot vērā, ka daļa aktīvu kino izrādīšanas vietu nav atzīstamas par kinoteātriem (piemēram, Latgales vēstniecība „GORS”, Dobeles, Jelgavas un Jēkabpils kultūras nami u.c.), kā arī to, ka patlaban kinoteātra statuss nav nošķirams pēc tehniskā aprīkojuma kvalitātes, vārds „kinoteātris” noteikumos visās vietās aizstāts ar vispārīgu nosaukumu „kino izrādīšanas vieta”. Lai nodrošinātu provizorisku datu sagatavošanu </w:t>
            </w:r>
            <w:r w:rsidRPr="0027580F">
              <w:rPr>
                <w:sz w:val="28"/>
                <w:szCs w:val="28"/>
              </w:rPr>
              <w:t xml:space="preserve">iesniegšanai Eiropas Audiovizuālajai observatorijai, </w:t>
            </w:r>
            <w:r w:rsidRPr="00F667F5">
              <w:rPr>
                <w:sz w:val="28"/>
                <w:szCs w:val="28"/>
              </w:rPr>
              <w:t>Starptautiskajai neprofesionālo kinematogrāfistu savienībai UNICA un starptautiskajai Eiropas kinoteātru organizācijai Media Salles</w:t>
            </w:r>
            <w:r>
              <w:rPr>
                <w:sz w:val="28"/>
                <w:szCs w:val="28"/>
              </w:rPr>
              <w:t>, kino izrādīšanas vietu statistikas pārskatu iesniegšanas termiņš par iepriekšējo kalendāro gadu pārcelts uz kārtējā gada 15.janvāri.</w:t>
            </w:r>
          </w:p>
          <w:p w:rsidR="0025775C" w:rsidRDefault="0025775C" w:rsidP="0025775C">
            <w:pPr>
              <w:jc w:val="both"/>
              <w:rPr>
                <w:sz w:val="28"/>
                <w:szCs w:val="28"/>
              </w:rPr>
            </w:pPr>
            <w:r>
              <w:rPr>
                <w:sz w:val="28"/>
                <w:szCs w:val="28"/>
              </w:rPr>
              <w:t xml:space="preserve"> </w:t>
            </w:r>
          </w:p>
          <w:p w:rsidR="0025775C" w:rsidRPr="002D5824" w:rsidRDefault="0025775C" w:rsidP="00AD25E0">
            <w:pPr>
              <w:jc w:val="both"/>
              <w:rPr>
                <w:sz w:val="28"/>
                <w:szCs w:val="28"/>
              </w:rPr>
            </w:pPr>
            <w:r>
              <w:rPr>
                <w:sz w:val="28"/>
                <w:szCs w:val="28"/>
              </w:rPr>
              <w:t>Noteikumi Nr.1074 ir spēkā līdz 2017.gada 31.maijam, tāpēc Projekt</w:t>
            </w:r>
            <w:r w:rsidR="00AD25E0">
              <w:rPr>
                <w:sz w:val="28"/>
                <w:szCs w:val="28"/>
              </w:rPr>
              <w:t>ā paredzēts, ka tas stāsies spēkā</w:t>
            </w:r>
            <w:r w:rsidR="00995D87">
              <w:rPr>
                <w:sz w:val="28"/>
                <w:szCs w:val="28"/>
              </w:rPr>
              <w:t xml:space="preserve"> no 2017.gada 1.jūnija</w:t>
            </w:r>
            <w:r>
              <w:rPr>
                <w:sz w:val="28"/>
                <w:szCs w:val="28"/>
              </w:rPr>
              <w:t xml:space="preserve">. Savukārt datu saņemšanu no </w:t>
            </w:r>
            <w:r w:rsidRPr="00A14A2B">
              <w:rPr>
                <w:sz w:val="28"/>
                <w:szCs w:val="28"/>
              </w:rPr>
              <w:t>Nekustamā īpašuma valsts kadastra informācijas sistēmas</w:t>
            </w:r>
            <w:r>
              <w:rPr>
                <w:sz w:val="28"/>
                <w:szCs w:val="28"/>
              </w:rPr>
              <w:t xml:space="preserve"> paredzēts uzsākt no 2018.gada 1.janvāra (Projekta 12.punkts).</w:t>
            </w:r>
          </w:p>
        </w:tc>
      </w:tr>
      <w:tr w:rsidR="0025775C" w:rsidRPr="002D5824" w:rsidTr="0025775C">
        <w:trPr>
          <w:trHeight w:val="582"/>
        </w:trPr>
        <w:tc>
          <w:tcPr>
            <w:tcW w:w="237" w:type="pct"/>
          </w:tcPr>
          <w:p w:rsidR="0025775C" w:rsidRPr="002D5824" w:rsidRDefault="0025775C" w:rsidP="0025775C">
            <w:pPr>
              <w:pStyle w:val="naiskr"/>
              <w:spacing w:before="0" w:after="0"/>
              <w:jc w:val="center"/>
              <w:rPr>
                <w:sz w:val="28"/>
                <w:szCs w:val="28"/>
              </w:rPr>
            </w:pPr>
            <w:r w:rsidRPr="002D5824">
              <w:rPr>
                <w:sz w:val="28"/>
                <w:szCs w:val="28"/>
              </w:rPr>
              <w:lastRenderedPageBreak/>
              <w:t>3.</w:t>
            </w:r>
          </w:p>
        </w:tc>
        <w:tc>
          <w:tcPr>
            <w:tcW w:w="1874" w:type="pct"/>
          </w:tcPr>
          <w:p w:rsidR="0025775C" w:rsidRPr="002D5824" w:rsidRDefault="0025775C" w:rsidP="0025775C">
            <w:pPr>
              <w:pStyle w:val="naiskr"/>
              <w:spacing w:before="0" w:after="0"/>
              <w:ind w:left="57" w:right="57"/>
              <w:rPr>
                <w:sz w:val="28"/>
                <w:szCs w:val="28"/>
              </w:rPr>
            </w:pPr>
            <w:r w:rsidRPr="002D5824">
              <w:rPr>
                <w:sz w:val="28"/>
                <w:szCs w:val="28"/>
              </w:rPr>
              <w:t>Projekta izstrādē iesaistītās institūcijas</w:t>
            </w:r>
          </w:p>
        </w:tc>
        <w:tc>
          <w:tcPr>
            <w:tcW w:w="2889" w:type="pct"/>
          </w:tcPr>
          <w:p w:rsidR="0025775C" w:rsidRPr="002D5824" w:rsidRDefault="0025775C" w:rsidP="0025775C">
            <w:pPr>
              <w:pStyle w:val="naiskr"/>
              <w:spacing w:before="0" w:after="0"/>
              <w:ind w:left="57"/>
              <w:jc w:val="both"/>
              <w:rPr>
                <w:sz w:val="28"/>
                <w:szCs w:val="28"/>
              </w:rPr>
            </w:pPr>
            <w:r w:rsidRPr="002D5824">
              <w:rPr>
                <w:sz w:val="28"/>
                <w:szCs w:val="28"/>
              </w:rPr>
              <w:t xml:space="preserve">Kultūras ministrija, Latvijas </w:t>
            </w:r>
            <w:r>
              <w:rPr>
                <w:sz w:val="28"/>
                <w:szCs w:val="28"/>
              </w:rPr>
              <w:t>Nacionālā bibliotēka, Latvijas N</w:t>
            </w:r>
            <w:r w:rsidRPr="002D5824">
              <w:rPr>
                <w:sz w:val="28"/>
                <w:szCs w:val="28"/>
              </w:rPr>
              <w:t>acionālais kultūras centrs, Latvijas Nacionālais arhīvs, Nacionālais kino centrs, Kultūras informācijas sistēmu centrs</w:t>
            </w:r>
            <w:r>
              <w:rPr>
                <w:sz w:val="28"/>
                <w:szCs w:val="28"/>
              </w:rPr>
              <w:t>, Valsts zemes dienests.</w:t>
            </w:r>
          </w:p>
        </w:tc>
      </w:tr>
      <w:tr w:rsidR="0025775C" w:rsidRPr="002D5824" w:rsidTr="0025775C">
        <w:trPr>
          <w:trHeight w:val="396"/>
        </w:trPr>
        <w:tc>
          <w:tcPr>
            <w:tcW w:w="237" w:type="pct"/>
          </w:tcPr>
          <w:p w:rsidR="0025775C" w:rsidRPr="002D5824" w:rsidRDefault="0025775C" w:rsidP="0025775C">
            <w:pPr>
              <w:pStyle w:val="naiskr"/>
              <w:spacing w:before="0" w:after="0"/>
              <w:jc w:val="center"/>
              <w:rPr>
                <w:sz w:val="28"/>
                <w:szCs w:val="28"/>
              </w:rPr>
            </w:pPr>
            <w:r w:rsidRPr="002D5824">
              <w:rPr>
                <w:sz w:val="28"/>
                <w:szCs w:val="28"/>
              </w:rPr>
              <w:t>4.</w:t>
            </w:r>
          </w:p>
        </w:tc>
        <w:tc>
          <w:tcPr>
            <w:tcW w:w="1874" w:type="pct"/>
          </w:tcPr>
          <w:p w:rsidR="0025775C" w:rsidRPr="002D5824" w:rsidRDefault="0025775C" w:rsidP="0025775C">
            <w:pPr>
              <w:pStyle w:val="naiskr"/>
              <w:spacing w:before="0" w:after="0"/>
              <w:ind w:left="57" w:right="57"/>
              <w:rPr>
                <w:sz w:val="28"/>
                <w:szCs w:val="28"/>
              </w:rPr>
            </w:pPr>
            <w:r w:rsidRPr="002D5824">
              <w:rPr>
                <w:sz w:val="28"/>
                <w:szCs w:val="28"/>
              </w:rPr>
              <w:t>Cita informācija</w:t>
            </w:r>
          </w:p>
        </w:tc>
        <w:tc>
          <w:tcPr>
            <w:tcW w:w="2889" w:type="pct"/>
          </w:tcPr>
          <w:p w:rsidR="0025775C" w:rsidRPr="002D5824" w:rsidRDefault="0025775C" w:rsidP="0025775C">
            <w:pPr>
              <w:pStyle w:val="naiskr"/>
              <w:tabs>
                <w:tab w:val="center" w:pos="2425"/>
              </w:tabs>
              <w:spacing w:before="0" w:after="0"/>
              <w:ind w:left="57" w:right="145"/>
              <w:jc w:val="both"/>
              <w:rPr>
                <w:sz w:val="28"/>
                <w:szCs w:val="28"/>
              </w:rPr>
            </w:pPr>
            <w:r w:rsidRPr="002D5824">
              <w:rPr>
                <w:sz w:val="28"/>
                <w:szCs w:val="28"/>
              </w:rPr>
              <w:t>Nav</w:t>
            </w:r>
            <w:r w:rsidRPr="002D5824">
              <w:rPr>
                <w:sz w:val="28"/>
                <w:szCs w:val="28"/>
              </w:rPr>
              <w:tab/>
            </w:r>
          </w:p>
        </w:tc>
      </w:tr>
    </w:tbl>
    <w:p w:rsidR="00852042" w:rsidRPr="002D5824" w:rsidRDefault="00852042" w:rsidP="006C4607">
      <w:pPr>
        <w:pStyle w:val="naisf"/>
        <w:spacing w:before="0" w:after="0"/>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3404"/>
        <w:gridCol w:w="5247"/>
      </w:tblGrid>
      <w:tr w:rsidR="0062298A" w:rsidRPr="002D5824" w:rsidTr="005666C0">
        <w:tc>
          <w:tcPr>
            <w:tcW w:w="5000" w:type="pct"/>
            <w:gridSpan w:val="3"/>
            <w:vAlign w:val="center"/>
          </w:tcPr>
          <w:p w:rsidR="0062298A" w:rsidRPr="002D5824" w:rsidRDefault="0062298A" w:rsidP="006C4607">
            <w:pPr>
              <w:pStyle w:val="naisnod"/>
              <w:spacing w:before="0" w:after="0"/>
              <w:rPr>
                <w:sz w:val="28"/>
                <w:szCs w:val="28"/>
              </w:rPr>
            </w:pPr>
            <w:r w:rsidRPr="002D5824">
              <w:rPr>
                <w:sz w:val="28"/>
                <w:szCs w:val="28"/>
              </w:rPr>
              <w:t>II</w:t>
            </w:r>
            <w:r w:rsidR="000941C5" w:rsidRPr="002D5824">
              <w:rPr>
                <w:sz w:val="28"/>
                <w:szCs w:val="28"/>
              </w:rPr>
              <w:t>.</w:t>
            </w:r>
            <w:r w:rsidRPr="002D5824">
              <w:rPr>
                <w:sz w:val="28"/>
                <w:szCs w:val="28"/>
              </w:rPr>
              <w:t xml:space="preserve"> Tiesību akta projekta ietekme uz sabiedrību</w:t>
            </w:r>
            <w:r w:rsidR="00CF08BE" w:rsidRPr="002D5824">
              <w:rPr>
                <w:sz w:val="28"/>
                <w:szCs w:val="28"/>
              </w:rPr>
              <w:t>, tautsaimniecības attīstību un administratīvo slogu</w:t>
            </w:r>
          </w:p>
        </w:tc>
      </w:tr>
      <w:tr w:rsidR="0062298A" w:rsidRPr="002D5824" w:rsidTr="00F667F5">
        <w:trPr>
          <w:trHeight w:val="275"/>
        </w:trPr>
        <w:tc>
          <w:tcPr>
            <w:tcW w:w="237" w:type="pct"/>
          </w:tcPr>
          <w:p w:rsidR="0062298A" w:rsidRPr="002D5824" w:rsidRDefault="0062298A" w:rsidP="00C74B99">
            <w:pPr>
              <w:pStyle w:val="naiskr"/>
              <w:spacing w:before="0" w:after="0"/>
              <w:jc w:val="center"/>
              <w:rPr>
                <w:sz w:val="28"/>
                <w:szCs w:val="28"/>
              </w:rPr>
            </w:pPr>
            <w:r w:rsidRPr="002D5824">
              <w:rPr>
                <w:sz w:val="28"/>
                <w:szCs w:val="28"/>
              </w:rPr>
              <w:t>1.</w:t>
            </w:r>
          </w:p>
        </w:tc>
        <w:tc>
          <w:tcPr>
            <w:tcW w:w="1874" w:type="pct"/>
          </w:tcPr>
          <w:p w:rsidR="0062298A" w:rsidRPr="002D5824" w:rsidRDefault="00C27A08" w:rsidP="00F7395B">
            <w:pPr>
              <w:pStyle w:val="naiskr"/>
              <w:spacing w:before="0" w:after="0"/>
              <w:ind w:left="57" w:right="57"/>
              <w:rPr>
                <w:sz w:val="28"/>
                <w:szCs w:val="28"/>
              </w:rPr>
            </w:pPr>
            <w:r w:rsidRPr="002D5824">
              <w:rPr>
                <w:sz w:val="28"/>
                <w:szCs w:val="28"/>
              </w:rPr>
              <w:t>Sabiedrības mērķgrupa</w:t>
            </w:r>
            <w:r w:rsidR="00CF08BE" w:rsidRPr="002D5824">
              <w:rPr>
                <w:sz w:val="28"/>
                <w:szCs w:val="28"/>
              </w:rPr>
              <w:t>s, kuras tiesiskais regulējums ietekmē vai varētu ietekmēt</w:t>
            </w:r>
          </w:p>
        </w:tc>
        <w:tc>
          <w:tcPr>
            <w:tcW w:w="2889" w:type="pct"/>
          </w:tcPr>
          <w:p w:rsidR="00BF3279" w:rsidRDefault="00B34545" w:rsidP="005666C0">
            <w:pPr>
              <w:pStyle w:val="ParastaisWeb"/>
              <w:spacing w:before="0" w:beforeAutospacing="0" w:after="0" w:afterAutospacing="0"/>
              <w:ind w:left="-1"/>
              <w:jc w:val="both"/>
              <w:rPr>
                <w:sz w:val="28"/>
                <w:szCs w:val="28"/>
                <w:lang w:val="lv-LV"/>
              </w:rPr>
            </w:pPr>
            <w:r w:rsidRPr="002D5824">
              <w:rPr>
                <w:sz w:val="28"/>
                <w:szCs w:val="28"/>
                <w:lang w:val="lv-LV"/>
              </w:rPr>
              <w:t>Valsts un pašvaldību pārziņā esošās kultūras institūcijas</w:t>
            </w:r>
            <w:r w:rsidR="00BE7D37">
              <w:rPr>
                <w:sz w:val="28"/>
                <w:szCs w:val="28"/>
                <w:lang w:val="lv-LV"/>
              </w:rPr>
              <w:t>, nevalstiskās organizācijas un privātās institūcijas, kas darbojas kultūras jomā</w:t>
            </w:r>
            <w:r w:rsidRPr="002D5824">
              <w:rPr>
                <w:sz w:val="28"/>
                <w:szCs w:val="28"/>
                <w:lang w:val="lv-LV"/>
              </w:rPr>
              <w:t>.</w:t>
            </w:r>
          </w:p>
          <w:p w:rsidR="00B34545" w:rsidRPr="002D5824" w:rsidRDefault="00B34545" w:rsidP="00BF3279">
            <w:pPr>
              <w:pStyle w:val="ParastaisWeb"/>
              <w:spacing w:before="0" w:beforeAutospacing="0" w:after="0" w:afterAutospacing="0"/>
              <w:ind w:left="-1"/>
              <w:jc w:val="both"/>
              <w:rPr>
                <w:sz w:val="28"/>
                <w:szCs w:val="28"/>
                <w:lang w:val="lv-LV"/>
              </w:rPr>
            </w:pPr>
            <w:r w:rsidRPr="002D5824">
              <w:rPr>
                <w:sz w:val="28"/>
                <w:szCs w:val="28"/>
                <w:lang w:val="lv-LV"/>
              </w:rPr>
              <w:lastRenderedPageBreak/>
              <w:t>Mērķgrupas aptuvenais skaitliskais apmērs:</w:t>
            </w:r>
          </w:p>
          <w:p w:rsidR="00323A9A" w:rsidRDefault="00B34545" w:rsidP="00BF3279">
            <w:pPr>
              <w:pStyle w:val="naiskr"/>
              <w:spacing w:before="0" w:after="0"/>
              <w:ind w:left="-1" w:right="57"/>
              <w:jc w:val="both"/>
              <w:rPr>
                <w:sz w:val="28"/>
                <w:szCs w:val="28"/>
              </w:rPr>
            </w:pPr>
            <w:r w:rsidRPr="002D5824">
              <w:rPr>
                <w:sz w:val="28"/>
                <w:szCs w:val="28"/>
              </w:rPr>
              <w:t>680 valsts, pašvaldību un privātās kultūras institūcijas, 3</w:t>
            </w:r>
            <w:r w:rsidR="00BF3279">
              <w:rPr>
                <w:sz w:val="28"/>
                <w:szCs w:val="28"/>
              </w:rPr>
              <w:t> </w:t>
            </w:r>
            <w:r w:rsidRPr="002D5824">
              <w:rPr>
                <w:sz w:val="28"/>
                <w:szCs w:val="28"/>
              </w:rPr>
              <w:t>980 mākslinieciskie kolektīvi, kā arī 900 nevalstiskās organizācijas.</w:t>
            </w:r>
          </w:p>
          <w:p w:rsidR="007A5A32" w:rsidRDefault="007A5A32" w:rsidP="00B34545">
            <w:pPr>
              <w:pStyle w:val="naiskr"/>
              <w:spacing w:before="0" w:after="0"/>
              <w:ind w:left="57" w:right="57"/>
              <w:jc w:val="both"/>
              <w:rPr>
                <w:sz w:val="28"/>
                <w:szCs w:val="28"/>
              </w:rPr>
            </w:pPr>
          </w:p>
          <w:p w:rsidR="007A5A32" w:rsidRPr="002D5824" w:rsidRDefault="007A5A32" w:rsidP="00BF3279">
            <w:pPr>
              <w:pStyle w:val="naiskr"/>
              <w:spacing w:before="0" w:after="0"/>
              <w:ind w:left="-1" w:right="57"/>
              <w:jc w:val="both"/>
              <w:rPr>
                <w:sz w:val="28"/>
                <w:szCs w:val="28"/>
              </w:rPr>
            </w:pPr>
            <w:r>
              <w:rPr>
                <w:sz w:val="28"/>
                <w:szCs w:val="28"/>
              </w:rPr>
              <w:t>Samazinot oficiālās statistikas veidlapu pārskatos sniedzamo informāciju samazināms administratīvais slogs virknei sabiedrības mērķgrupu – mākslas un mūzikas skolām un vidusskolām, pašvaldībām un to iestādēm, Kultūras ministrijai, tādējādi radot ieguvumu – iespēju vairāk resursu novirzīt institūciju primāro funkciju īstenošanai.</w:t>
            </w:r>
          </w:p>
        </w:tc>
      </w:tr>
      <w:tr w:rsidR="0062298A" w:rsidRPr="002D5824" w:rsidTr="005666C0">
        <w:trPr>
          <w:trHeight w:val="517"/>
        </w:trPr>
        <w:tc>
          <w:tcPr>
            <w:tcW w:w="237" w:type="pct"/>
            <w:tcBorders>
              <w:bottom w:val="single" w:sz="4" w:space="0" w:color="auto"/>
            </w:tcBorders>
          </w:tcPr>
          <w:p w:rsidR="0062298A" w:rsidRPr="002D5824" w:rsidRDefault="004F6303" w:rsidP="00C74B99">
            <w:pPr>
              <w:pStyle w:val="naiskr"/>
              <w:spacing w:before="0" w:after="0"/>
              <w:jc w:val="center"/>
              <w:rPr>
                <w:sz w:val="28"/>
                <w:szCs w:val="28"/>
              </w:rPr>
            </w:pPr>
            <w:r w:rsidRPr="002D5824">
              <w:rPr>
                <w:sz w:val="28"/>
                <w:szCs w:val="28"/>
              </w:rPr>
              <w:lastRenderedPageBreak/>
              <w:t>2</w:t>
            </w:r>
            <w:r w:rsidR="0062298A" w:rsidRPr="002D5824">
              <w:rPr>
                <w:sz w:val="28"/>
                <w:szCs w:val="28"/>
              </w:rPr>
              <w:t>.</w:t>
            </w:r>
          </w:p>
        </w:tc>
        <w:tc>
          <w:tcPr>
            <w:tcW w:w="1874" w:type="pct"/>
            <w:tcBorders>
              <w:bottom w:val="single" w:sz="4" w:space="0" w:color="auto"/>
            </w:tcBorders>
          </w:tcPr>
          <w:p w:rsidR="00C1133D" w:rsidRPr="00B72E56" w:rsidRDefault="000C790C" w:rsidP="004F6303">
            <w:pPr>
              <w:pStyle w:val="naiskr"/>
              <w:spacing w:before="0" w:after="0"/>
              <w:ind w:left="57" w:right="57"/>
              <w:rPr>
                <w:sz w:val="28"/>
                <w:szCs w:val="28"/>
              </w:rPr>
            </w:pPr>
            <w:r w:rsidRPr="00B72E56">
              <w:rPr>
                <w:sz w:val="28"/>
                <w:szCs w:val="28"/>
              </w:rPr>
              <w:t>Tiesiskā r</w:t>
            </w:r>
            <w:r w:rsidR="003D21FF" w:rsidRPr="00B72E56">
              <w:rPr>
                <w:sz w:val="28"/>
                <w:szCs w:val="28"/>
              </w:rPr>
              <w:t>egulējuma</w:t>
            </w:r>
            <w:r w:rsidR="004F6303" w:rsidRPr="00B72E56">
              <w:rPr>
                <w:sz w:val="28"/>
                <w:szCs w:val="28"/>
              </w:rPr>
              <w:t xml:space="preserve"> i</w:t>
            </w:r>
            <w:r w:rsidR="00C27A08" w:rsidRPr="00B72E56">
              <w:rPr>
                <w:sz w:val="28"/>
                <w:szCs w:val="28"/>
              </w:rPr>
              <w:t>etekme</w:t>
            </w:r>
            <w:r w:rsidR="004F6303" w:rsidRPr="00B72E56">
              <w:rPr>
                <w:sz w:val="28"/>
                <w:szCs w:val="28"/>
              </w:rPr>
              <w:t xml:space="preserve"> uz tautsaimniecību un administratīvo slogu</w:t>
            </w:r>
          </w:p>
        </w:tc>
        <w:tc>
          <w:tcPr>
            <w:tcW w:w="2889" w:type="pct"/>
            <w:tcBorders>
              <w:bottom w:val="single" w:sz="4" w:space="0" w:color="auto"/>
            </w:tcBorders>
          </w:tcPr>
          <w:p w:rsidR="00B97857" w:rsidRDefault="00A84D0A" w:rsidP="00B97857">
            <w:pPr>
              <w:pStyle w:val="ParastaisWeb"/>
              <w:spacing w:before="0" w:beforeAutospacing="0" w:after="0" w:afterAutospacing="0"/>
              <w:ind w:left="-1"/>
              <w:jc w:val="both"/>
              <w:rPr>
                <w:b/>
                <w:bCs/>
                <w:sz w:val="28"/>
                <w:szCs w:val="28"/>
                <w:lang w:val="lv-LV"/>
              </w:rPr>
            </w:pPr>
            <w:r>
              <w:rPr>
                <w:sz w:val="28"/>
                <w:szCs w:val="28"/>
                <w:lang w:val="lv-LV"/>
              </w:rPr>
              <w:t>P</w:t>
            </w:r>
            <w:r w:rsidR="00703069">
              <w:rPr>
                <w:sz w:val="28"/>
                <w:szCs w:val="28"/>
                <w:lang w:val="lv-LV"/>
              </w:rPr>
              <w:t xml:space="preserve">rojekts izstrādāts, lai pilnveidotu kultūras institūciju datu informāciju. </w:t>
            </w:r>
            <w:r w:rsidR="00915BCE" w:rsidRPr="00B72E56">
              <w:rPr>
                <w:sz w:val="28"/>
                <w:szCs w:val="28"/>
                <w:lang w:val="lv-LV"/>
              </w:rPr>
              <w:t xml:space="preserve">Tiesiskajam regulējumam būs pozitīva ietekme, tas dos iespēju </w:t>
            </w:r>
            <w:r w:rsidR="00B34545" w:rsidRPr="00B72E56">
              <w:rPr>
                <w:sz w:val="28"/>
                <w:szCs w:val="28"/>
                <w:lang w:val="lv-LV"/>
              </w:rPr>
              <w:t>samazināt administrat</w:t>
            </w:r>
            <w:r w:rsidR="00B72E56">
              <w:rPr>
                <w:sz w:val="28"/>
                <w:szCs w:val="28"/>
                <w:lang w:val="lv-LV"/>
              </w:rPr>
              <w:t xml:space="preserve">īvo slogu, nepieprasot </w:t>
            </w:r>
            <w:r w:rsidR="00B34545" w:rsidRPr="00B72E56">
              <w:rPr>
                <w:sz w:val="28"/>
                <w:szCs w:val="28"/>
                <w:lang w:val="lv-LV"/>
              </w:rPr>
              <w:t>un neapstrādājot lieku informācijas daudzumu, kā arī nodrošinot vienotu informācijas iegūšanas procesu un novēršot informācijas dublēšanu</w:t>
            </w:r>
            <w:r w:rsidR="00915BCE" w:rsidRPr="00B72E56">
              <w:rPr>
                <w:sz w:val="28"/>
                <w:szCs w:val="28"/>
                <w:lang w:val="lv-LV"/>
              </w:rPr>
              <w:t xml:space="preserve">. </w:t>
            </w:r>
            <w:r w:rsidR="002D5824" w:rsidRPr="00B72E56">
              <w:rPr>
                <w:sz w:val="28"/>
                <w:szCs w:val="28"/>
                <w:lang w:val="lv-LV" w:eastAsia="lv-LV"/>
              </w:rPr>
              <w:t>Atbilst</w:t>
            </w:r>
            <w:r w:rsidR="004F3EF0">
              <w:rPr>
                <w:sz w:val="28"/>
                <w:szCs w:val="28"/>
                <w:lang w:val="lv-LV" w:eastAsia="lv-LV"/>
              </w:rPr>
              <w:t xml:space="preserve">oši Statistikas likuma 5.panta </w:t>
            </w:r>
            <w:r w:rsidR="00051B94">
              <w:rPr>
                <w:sz w:val="28"/>
                <w:szCs w:val="28"/>
                <w:lang w:val="lv-LV" w:eastAsia="lv-LV"/>
              </w:rPr>
              <w:t>pirmās daļas</w:t>
            </w:r>
            <w:r w:rsidR="002D5824" w:rsidRPr="00B72E56">
              <w:rPr>
                <w:sz w:val="28"/>
                <w:szCs w:val="28"/>
                <w:lang w:val="lv-LV" w:eastAsia="lv-LV"/>
              </w:rPr>
              <w:t xml:space="preserve"> 2.punktam </w:t>
            </w:r>
            <w:r w:rsidR="002D5824" w:rsidRPr="00B72E56">
              <w:rPr>
                <w:sz w:val="28"/>
                <w:szCs w:val="28"/>
                <w:lang w:val="lv-LV"/>
              </w:rPr>
              <w:t>tiesiskais regulējums ietver nepieciešamību nodrošināt datus, lai pildītu normatīvajos aktos noteiktās valsts institūciju funkcijas</w:t>
            </w:r>
            <w:r w:rsidR="00051B94">
              <w:rPr>
                <w:sz w:val="28"/>
                <w:szCs w:val="28"/>
                <w:lang w:val="lv-LV"/>
              </w:rPr>
              <w:t xml:space="preserve"> un </w:t>
            </w:r>
            <w:r w:rsidR="005666C0">
              <w:rPr>
                <w:sz w:val="28"/>
                <w:szCs w:val="28"/>
                <w:lang w:val="lv-LV" w:eastAsia="lv-LV"/>
              </w:rPr>
              <w:t xml:space="preserve">Statistikas likuma </w:t>
            </w:r>
            <w:r w:rsidR="002D5824" w:rsidRPr="00B72E56">
              <w:rPr>
                <w:sz w:val="28"/>
                <w:szCs w:val="28"/>
                <w:lang w:val="lv-LV" w:eastAsia="lv-LV"/>
              </w:rPr>
              <w:t xml:space="preserve">7.panta </w:t>
            </w:r>
            <w:r w:rsidR="00051B94">
              <w:rPr>
                <w:sz w:val="28"/>
                <w:szCs w:val="28"/>
                <w:lang w:val="lv-LV" w:eastAsia="lv-LV"/>
              </w:rPr>
              <w:t xml:space="preserve">otrās daļas </w:t>
            </w:r>
            <w:r w:rsidR="005666C0">
              <w:rPr>
                <w:sz w:val="28"/>
                <w:szCs w:val="28"/>
                <w:lang w:val="lv-LV" w:eastAsia="lv-LV"/>
              </w:rPr>
              <w:t>10.</w:t>
            </w:r>
            <w:r w:rsidR="002D5824" w:rsidRPr="00B72E56">
              <w:rPr>
                <w:sz w:val="28"/>
                <w:szCs w:val="28"/>
                <w:lang w:val="lv-LV" w:eastAsia="lv-LV"/>
              </w:rPr>
              <w:t xml:space="preserve">punktam </w:t>
            </w:r>
            <w:r w:rsidR="002D5824" w:rsidRPr="00B72E56">
              <w:rPr>
                <w:sz w:val="28"/>
                <w:szCs w:val="28"/>
                <w:lang w:val="lv-LV"/>
              </w:rPr>
              <w:t>tiesiskais regulējums īsteno administratīvā sloga samazināšanu datu nodrošināšanas procesā.</w:t>
            </w:r>
            <w:r w:rsidR="002D5824" w:rsidRPr="00B72E56">
              <w:rPr>
                <w:rFonts w:ascii="Arial" w:hAnsi="Arial" w:cs="Arial"/>
                <w:lang w:val="lv-LV"/>
              </w:rPr>
              <w:t xml:space="preserve"> </w:t>
            </w:r>
            <w:r w:rsidR="00B34545" w:rsidRPr="00B72E56">
              <w:rPr>
                <w:sz w:val="28"/>
                <w:szCs w:val="28"/>
                <w:lang w:val="lv-LV"/>
              </w:rPr>
              <w:t xml:space="preserve">Tiks uzlabota </w:t>
            </w:r>
            <w:r w:rsidR="00051B94">
              <w:rPr>
                <w:sz w:val="28"/>
                <w:szCs w:val="28"/>
                <w:lang w:val="lv-LV"/>
              </w:rPr>
              <w:t>kultūras kartē</w:t>
            </w:r>
            <w:r w:rsidR="00051B94" w:rsidRPr="00B72E56">
              <w:rPr>
                <w:sz w:val="28"/>
                <w:szCs w:val="28"/>
                <w:lang w:val="lv-LV"/>
              </w:rPr>
              <w:t xml:space="preserve"> </w:t>
            </w:r>
            <w:r w:rsidR="00B34545" w:rsidRPr="00B72E56">
              <w:rPr>
                <w:sz w:val="28"/>
                <w:szCs w:val="28"/>
                <w:lang w:val="lv-LV"/>
              </w:rPr>
              <w:t xml:space="preserve">pieejamo pārskatu aizpildes formu aktualitāte un precizitāte, atvieglojot </w:t>
            </w:r>
            <w:r w:rsidR="00B72E56">
              <w:rPr>
                <w:sz w:val="28"/>
                <w:szCs w:val="28"/>
                <w:lang w:val="lv-LV"/>
              </w:rPr>
              <w:t>valsts, pašvaldību un privāto kultūras institūciju</w:t>
            </w:r>
            <w:r w:rsidR="00B34545" w:rsidRPr="00B72E56">
              <w:rPr>
                <w:sz w:val="28"/>
                <w:szCs w:val="28"/>
                <w:lang w:val="lv-LV"/>
              </w:rPr>
              <w:t xml:space="preserve"> darbu un nodrošinot precīzu informāciju normatīvajos aktos noteikto valsts institūciju funkciju veikšanai.</w:t>
            </w:r>
          </w:p>
        </w:tc>
      </w:tr>
      <w:tr w:rsidR="0062298A" w:rsidRPr="002D5824" w:rsidTr="005666C0">
        <w:trPr>
          <w:trHeight w:val="70"/>
        </w:trPr>
        <w:tc>
          <w:tcPr>
            <w:tcW w:w="237" w:type="pct"/>
            <w:tcBorders>
              <w:bottom w:val="single" w:sz="4" w:space="0" w:color="auto"/>
            </w:tcBorders>
          </w:tcPr>
          <w:p w:rsidR="0062298A" w:rsidRPr="002D5824" w:rsidRDefault="00C74B99" w:rsidP="00C74B99">
            <w:pPr>
              <w:pStyle w:val="naiskr"/>
              <w:spacing w:before="0" w:after="0"/>
              <w:jc w:val="center"/>
              <w:rPr>
                <w:sz w:val="28"/>
                <w:szCs w:val="28"/>
              </w:rPr>
            </w:pPr>
            <w:r w:rsidRPr="002D5824">
              <w:rPr>
                <w:sz w:val="28"/>
                <w:szCs w:val="28"/>
              </w:rPr>
              <w:t>3</w:t>
            </w:r>
            <w:r w:rsidR="0062298A" w:rsidRPr="002D5824">
              <w:rPr>
                <w:sz w:val="28"/>
                <w:szCs w:val="28"/>
              </w:rPr>
              <w:t>.</w:t>
            </w:r>
          </w:p>
        </w:tc>
        <w:tc>
          <w:tcPr>
            <w:tcW w:w="1874" w:type="pct"/>
            <w:tcBorders>
              <w:bottom w:val="single" w:sz="4" w:space="0" w:color="auto"/>
            </w:tcBorders>
          </w:tcPr>
          <w:p w:rsidR="00AE5066" w:rsidRPr="002D5824" w:rsidRDefault="00C27A08" w:rsidP="00F7395B">
            <w:pPr>
              <w:pStyle w:val="naiskr"/>
              <w:spacing w:before="0" w:after="0"/>
              <w:ind w:left="57" w:right="57"/>
              <w:rPr>
                <w:sz w:val="28"/>
                <w:szCs w:val="28"/>
              </w:rPr>
            </w:pPr>
            <w:r w:rsidRPr="002D5824">
              <w:rPr>
                <w:sz w:val="28"/>
                <w:szCs w:val="28"/>
              </w:rPr>
              <w:t xml:space="preserve">Administratīvo izmaksu </w:t>
            </w:r>
            <w:r w:rsidR="00502374" w:rsidRPr="002D5824">
              <w:rPr>
                <w:sz w:val="28"/>
                <w:szCs w:val="28"/>
              </w:rPr>
              <w:t xml:space="preserve">monetārs </w:t>
            </w:r>
            <w:r w:rsidRPr="002D5824">
              <w:rPr>
                <w:sz w:val="28"/>
                <w:szCs w:val="28"/>
              </w:rPr>
              <w:t>novērtējums</w:t>
            </w:r>
          </w:p>
        </w:tc>
        <w:tc>
          <w:tcPr>
            <w:tcW w:w="2889" w:type="pct"/>
            <w:tcBorders>
              <w:bottom w:val="single" w:sz="4" w:space="0" w:color="auto"/>
            </w:tcBorders>
            <w:shd w:val="clear" w:color="auto" w:fill="auto"/>
          </w:tcPr>
          <w:p w:rsidR="0062298A" w:rsidRPr="00432823" w:rsidRDefault="004E2849" w:rsidP="000208E9">
            <w:pPr>
              <w:pStyle w:val="naiskr"/>
              <w:spacing w:before="0" w:after="0"/>
              <w:ind w:left="57" w:right="57"/>
              <w:jc w:val="both"/>
              <w:rPr>
                <w:sz w:val="28"/>
                <w:szCs w:val="28"/>
              </w:rPr>
            </w:pPr>
            <w:r>
              <w:rPr>
                <w:sz w:val="28"/>
                <w:szCs w:val="28"/>
              </w:rPr>
              <w:t>Projekts šo jomu neskar.</w:t>
            </w:r>
          </w:p>
        </w:tc>
      </w:tr>
      <w:tr w:rsidR="0062298A" w:rsidRPr="002D5824" w:rsidTr="005666C0">
        <w:trPr>
          <w:trHeight w:val="426"/>
        </w:trPr>
        <w:tc>
          <w:tcPr>
            <w:tcW w:w="237" w:type="pct"/>
            <w:tcBorders>
              <w:top w:val="single" w:sz="4" w:space="0" w:color="auto"/>
            </w:tcBorders>
          </w:tcPr>
          <w:p w:rsidR="0062298A" w:rsidRPr="002D5824" w:rsidRDefault="00C74B99" w:rsidP="00C74B99">
            <w:pPr>
              <w:pStyle w:val="naiskr"/>
              <w:spacing w:before="0" w:after="0"/>
              <w:jc w:val="center"/>
              <w:rPr>
                <w:sz w:val="28"/>
                <w:szCs w:val="28"/>
              </w:rPr>
            </w:pPr>
            <w:r w:rsidRPr="002D5824">
              <w:rPr>
                <w:sz w:val="28"/>
                <w:szCs w:val="28"/>
              </w:rPr>
              <w:t>4</w:t>
            </w:r>
            <w:r w:rsidR="0062298A" w:rsidRPr="002D5824">
              <w:rPr>
                <w:sz w:val="28"/>
                <w:szCs w:val="28"/>
              </w:rPr>
              <w:t>.</w:t>
            </w:r>
          </w:p>
        </w:tc>
        <w:tc>
          <w:tcPr>
            <w:tcW w:w="1874" w:type="pct"/>
            <w:tcBorders>
              <w:top w:val="single" w:sz="4" w:space="0" w:color="auto"/>
            </w:tcBorders>
          </w:tcPr>
          <w:p w:rsidR="0062298A" w:rsidRPr="002D5824" w:rsidRDefault="009E12D7" w:rsidP="00F7395B">
            <w:pPr>
              <w:pStyle w:val="naiskr"/>
              <w:spacing w:before="0" w:after="0"/>
              <w:ind w:left="57" w:right="57"/>
              <w:rPr>
                <w:sz w:val="28"/>
                <w:szCs w:val="28"/>
              </w:rPr>
            </w:pPr>
            <w:r w:rsidRPr="002D5824">
              <w:rPr>
                <w:sz w:val="28"/>
                <w:szCs w:val="28"/>
              </w:rPr>
              <w:t>Cita informācija</w:t>
            </w:r>
          </w:p>
        </w:tc>
        <w:tc>
          <w:tcPr>
            <w:tcW w:w="2889" w:type="pct"/>
            <w:tcBorders>
              <w:top w:val="single" w:sz="4" w:space="0" w:color="auto"/>
            </w:tcBorders>
            <w:shd w:val="clear" w:color="auto" w:fill="auto"/>
          </w:tcPr>
          <w:p w:rsidR="0062298A" w:rsidRPr="002D5824" w:rsidRDefault="0062298A" w:rsidP="00F7395B">
            <w:pPr>
              <w:pStyle w:val="naiskr"/>
              <w:spacing w:before="0" w:after="0"/>
              <w:ind w:left="57" w:right="57"/>
              <w:jc w:val="both"/>
              <w:rPr>
                <w:sz w:val="28"/>
                <w:szCs w:val="28"/>
              </w:rPr>
            </w:pPr>
            <w:r w:rsidRPr="002D5824">
              <w:rPr>
                <w:sz w:val="28"/>
                <w:szCs w:val="28"/>
              </w:rPr>
              <w:t>Nav</w:t>
            </w:r>
          </w:p>
        </w:tc>
      </w:tr>
    </w:tbl>
    <w:p w:rsidR="0027580F" w:rsidRPr="0027580F" w:rsidRDefault="0027580F" w:rsidP="006C4607">
      <w:pPr>
        <w:pStyle w:val="naiskr"/>
        <w:tabs>
          <w:tab w:val="left" w:pos="2628"/>
        </w:tabs>
        <w:spacing w:before="0" w:after="0"/>
        <w:rPr>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1196"/>
        <w:gridCol w:w="1321"/>
        <w:gridCol w:w="1305"/>
        <w:gridCol w:w="1305"/>
        <w:gridCol w:w="1190"/>
      </w:tblGrid>
      <w:tr w:rsidR="00D82592" w:rsidRPr="005666C0" w:rsidTr="00B55C34">
        <w:trPr>
          <w:trHeight w:val="360"/>
        </w:trPr>
        <w:tc>
          <w:tcPr>
            <w:tcW w:w="5000" w:type="pct"/>
            <w:gridSpan w:val="6"/>
            <w:shd w:val="clear" w:color="auto" w:fill="auto"/>
            <w:hideMark/>
          </w:tcPr>
          <w:p w:rsidR="00D82592" w:rsidRPr="005666C0" w:rsidRDefault="00D82592" w:rsidP="005666C0">
            <w:pPr>
              <w:jc w:val="center"/>
              <w:rPr>
                <w:b/>
                <w:bCs/>
                <w:sz w:val="28"/>
                <w:szCs w:val="28"/>
              </w:rPr>
            </w:pPr>
            <w:r w:rsidRPr="005666C0">
              <w:rPr>
                <w:b/>
                <w:bCs/>
                <w:sz w:val="28"/>
                <w:szCs w:val="28"/>
              </w:rPr>
              <w:t>III. Tiesību akta projekta ietekme uz valsts budžetu un pašvaldību budžetiem</w:t>
            </w:r>
          </w:p>
        </w:tc>
      </w:tr>
      <w:tr w:rsidR="00D82592" w:rsidRPr="005666C0" w:rsidTr="00B55C34">
        <w:tc>
          <w:tcPr>
            <w:tcW w:w="1519" w:type="pct"/>
            <w:vMerge w:val="restart"/>
            <w:shd w:val="clear" w:color="auto" w:fill="auto"/>
            <w:hideMark/>
          </w:tcPr>
          <w:p w:rsidR="00D82592" w:rsidRPr="005666C0" w:rsidRDefault="00D82592" w:rsidP="005666C0">
            <w:pPr>
              <w:ind w:firstLine="300"/>
              <w:jc w:val="center"/>
              <w:rPr>
                <w:b/>
                <w:bCs/>
                <w:sz w:val="28"/>
                <w:szCs w:val="28"/>
              </w:rPr>
            </w:pPr>
            <w:r w:rsidRPr="005666C0">
              <w:rPr>
                <w:b/>
                <w:bCs/>
                <w:sz w:val="28"/>
                <w:szCs w:val="28"/>
              </w:rPr>
              <w:t>Rādītāji</w:t>
            </w:r>
          </w:p>
        </w:tc>
        <w:tc>
          <w:tcPr>
            <w:tcW w:w="1387" w:type="pct"/>
            <w:gridSpan w:val="2"/>
            <w:vMerge w:val="restart"/>
            <w:shd w:val="clear" w:color="auto" w:fill="auto"/>
            <w:hideMark/>
          </w:tcPr>
          <w:p w:rsidR="00D82592" w:rsidRPr="005666C0" w:rsidRDefault="00BF3279" w:rsidP="00BF3279">
            <w:pPr>
              <w:ind w:firstLine="300"/>
              <w:jc w:val="center"/>
              <w:rPr>
                <w:b/>
                <w:bCs/>
                <w:sz w:val="28"/>
                <w:szCs w:val="28"/>
              </w:rPr>
            </w:pPr>
            <w:r w:rsidRPr="005666C0">
              <w:rPr>
                <w:b/>
                <w:bCs/>
                <w:sz w:val="28"/>
                <w:szCs w:val="28"/>
              </w:rPr>
              <w:t>201</w:t>
            </w:r>
            <w:r>
              <w:rPr>
                <w:b/>
                <w:bCs/>
                <w:sz w:val="28"/>
                <w:szCs w:val="28"/>
              </w:rPr>
              <w:t>7</w:t>
            </w:r>
            <w:r w:rsidR="0027580F" w:rsidRPr="005666C0">
              <w:rPr>
                <w:b/>
                <w:bCs/>
                <w:sz w:val="28"/>
                <w:szCs w:val="28"/>
              </w:rPr>
              <w:t>.</w:t>
            </w:r>
            <w:r w:rsidR="00D82592" w:rsidRPr="005666C0">
              <w:rPr>
                <w:b/>
                <w:bCs/>
                <w:sz w:val="28"/>
                <w:szCs w:val="28"/>
              </w:rPr>
              <w:t>gads</w:t>
            </w:r>
          </w:p>
        </w:tc>
        <w:tc>
          <w:tcPr>
            <w:tcW w:w="2094" w:type="pct"/>
            <w:gridSpan w:val="3"/>
            <w:shd w:val="clear" w:color="auto" w:fill="auto"/>
            <w:hideMark/>
          </w:tcPr>
          <w:p w:rsidR="00D82592" w:rsidRPr="005666C0" w:rsidRDefault="00D82592" w:rsidP="005666C0">
            <w:pPr>
              <w:ind w:firstLine="300"/>
              <w:jc w:val="center"/>
              <w:rPr>
                <w:sz w:val="28"/>
                <w:szCs w:val="28"/>
              </w:rPr>
            </w:pPr>
            <w:r w:rsidRPr="005666C0">
              <w:rPr>
                <w:sz w:val="28"/>
                <w:szCs w:val="28"/>
              </w:rPr>
              <w:t>Turpmākie trīs gadi (</w:t>
            </w:r>
            <w:r w:rsidRPr="005666C0">
              <w:rPr>
                <w:i/>
                <w:iCs/>
                <w:sz w:val="28"/>
                <w:szCs w:val="28"/>
              </w:rPr>
              <w:t>euro</w:t>
            </w:r>
            <w:r w:rsidRPr="005666C0">
              <w:rPr>
                <w:sz w:val="28"/>
                <w:szCs w:val="28"/>
              </w:rPr>
              <w:t>)</w:t>
            </w:r>
          </w:p>
        </w:tc>
      </w:tr>
      <w:tr w:rsidR="00D82592" w:rsidRPr="005666C0" w:rsidTr="00B55C34">
        <w:tc>
          <w:tcPr>
            <w:tcW w:w="1519" w:type="pct"/>
            <w:vMerge/>
            <w:shd w:val="clear" w:color="auto" w:fill="auto"/>
            <w:hideMark/>
          </w:tcPr>
          <w:p w:rsidR="00D82592" w:rsidRPr="005666C0" w:rsidRDefault="00D82592" w:rsidP="005666C0">
            <w:pPr>
              <w:rPr>
                <w:b/>
                <w:bCs/>
                <w:sz w:val="28"/>
                <w:szCs w:val="28"/>
              </w:rPr>
            </w:pPr>
          </w:p>
        </w:tc>
        <w:tc>
          <w:tcPr>
            <w:tcW w:w="1387" w:type="pct"/>
            <w:gridSpan w:val="2"/>
            <w:vMerge/>
            <w:shd w:val="clear" w:color="auto" w:fill="auto"/>
            <w:hideMark/>
          </w:tcPr>
          <w:p w:rsidR="00D82592" w:rsidRPr="005666C0" w:rsidRDefault="00D82592" w:rsidP="005666C0">
            <w:pPr>
              <w:rPr>
                <w:b/>
                <w:bCs/>
                <w:sz w:val="28"/>
                <w:szCs w:val="28"/>
              </w:rPr>
            </w:pPr>
          </w:p>
        </w:tc>
        <w:tc>
          <w:tcPr>
            <w:tcW w:w="719" w:type="pct"/>
            <w:shd w:val="clear" w:color="auto" w:fill="auto"/>
            <w:hideMark/>
          </w:tcPr>
          <w:p w:rsidR="00D82592" w:rsidRPr="005666C0" w:rsidRDefault="00BF3279" w:rsidP="00BF3279">
            <w:pPr>
              <w:jc w:val="center"/>
              <w:rPr>
                <w:b/>
                <w:bCs/>
                <w:sz w:val="28"/>
                <w:szCs w:val="28"/>
              </w:rPr>
            </w:pPr>
            <w:r w:rsidRPr="005666C0">
              <w:rPr>
                <w:b/>
                <w:bCs/>
                <w:sz w:val="28"/>
                <w:szCs w:val="28"/>
              </w:rPr>
              <w:t>201</w:t>
            </w:r>
            <w:r>
              <w:rPr>
                <w:b/>
                <w:bCs/>
                <w:sz w:val="28"/>
                <w:szCs w:val="28"/>
              </w:rPr>
              <w:t>8</w:t>
            </w:r>
          </w:p>
        </w:tc>
        <w:tc>
          <w:tcPr>
            <w:tcW w:w="719" w:type="pct"/>
            <w:shd w:val="clear" w:color="auto" w:fill="auto"/>
            <w:hideMark/>
          </w:tcPr>
          <w:p w:rsidR="00D82592" w:rsidRPr="005666C0" w:rsidRDefault="00BF3279" w:rsidP="00BF3279">
            <w:pPr>
              <w:jc w:val="center"/>
              <w:rPr>
                <w:b/>
                <w:bCs/>
                <w:sz w:val="28"/>
                <w:szCs w:val="28"/>
              </w:rPr>
            </w:pPr>
            <w:r w:rsidRPr="005666C0">
              <w:rPr>
                <w:b/>
                <w:bCs/>
                <w:sz w:val="28"/>
                <w:szCs w:val="28"/>
              </w:rPr>
              <w:t>201</w:t>
            </w:r>
            <w:r>
              <w:rPr>
                <w:b/>
                <w:bCs/>
                <w:sz w:val="28"/>
                <w:szCs w:val="28"/>
              </w:rPr>
              <w:t>9</w:t>
            </w:r>
          </w:p>
        </w:tc>
        <w:tc>
          <w:tcPr>
            <w:tcW w:w="655" w:type="pct"/>
            <w:shd w:val="clear" w:color="auto" w:fill="auto"/>
            <w:hideMark/>
          </w:tcPr>
          <w:p w:rsidR="00D82592" w:rsidRPr="005666C0" w:rsidRDefault="00BF3279" w:rsidP="00BF3279">
            <w:pPr>
              <w:ind w:firstLine="24"/>
              <w:jc w:val="center"/>
              <w:rPr>
                <w:b/>
                <w:bCs/>
                <w:sz w:val="28"/>
                <w:szCs w:val="28"/>
              </w:rPr>
            </w:pPr>
            <w:r w:rsidRPr="005666C0">
              <w:rPr>
                <w:b/>
                <w:bCs/>
                <w:sz w:val="28"/>
                <w:szCs w:val="28"/>
              </w:rPr>
              <w:t>20</w:t>
            </w:r>
            <w:r>
              <w:rPr>
                <w:b/>
                <w:bCs/>
                <w:sz w:val="28"/>
                <w:szCs w:val="28"/>
              </w:rPr>
              <w:t>20</w:t>
            </w:r>
          </w:p>
        </w:tc>
      </w:tr>
      <w:tr w:rsidR="00D82592" w:rsidRPr="005666C0" w:rsidTr="00B55C34">
        <w:tc>
          <w:tcPr>
            <w:tcW w:w="1519" w:type="pct"/>
            <w:vMerge/>
            <w:shd w:val="clear" w:color="auto" w:fill="auto"/>
            <w:hideMark/>
          </w:tcPr>
          <w:p w:rsidR="00D82592" w:rsidRPr="005666C0" w:rsidRDefault="00D82592" w:rsidP="005666C0">
            <w:pPr>
              <w:rPr>
                <w:b/>
                <w:bCs/>
                <w:sz w:val="28"/>
                <w:szCs w:val="28"/>
              </w:rPr>
            </w:pPr>
          </w:p>
        </w:tc>
        <w:tc>
          <w:tcPr>
            <w:tcW w:w="659" w:type="pct"/>
            <w:shd w:val="clear" w:color="auto" w:fill="auto"/>
            <w:hideMark/>
          </w:tcPr>
          <w:p w:rsidR="00D82592" w:rsidRPr="005666C0" w:rsidRDefault="00D82592" w:rsidP="005666C0">
            <w:pPr>
              <w:jc w:val="center"/>
              <w:rPr>
                <w:sz w:val="28"/>
                <w:szCs w:val="28"/>
              </w:rPr>
            </w:pPr>
            <w:r w:rsidRPr="005666C0">
              <w:rPr>
                <w:sz w:val="28"/>
                <w:szCs w:val="28"/>
              </w:rPr>
              <w:t>saskaņā ar valsts budžetu kārtējam gadam</w:t>
            </w:r>
          </w:p>
        </w:tc>
        <w:tc>
          <w:tcPr>
            <w:tcW w:w="728" w:type="pct"/>
            <w:shd w:val="clear" w:color="auto" w:fill="auto"/>
            <w:hideMark/>
          </w:tcPr>
          <w:p w:rsidR="00D82592" w:rsidRPr="005666C0" w:rsidRDefault="00D82592" w:rsidP="005666C0">
            <w:pPr>
              <w:jc w:val="center"/>
              <w:rPr>
                <w:sz w:val="28"/>
                <w:szCs w:val="28"/>
              </w:rPr>
            </w:pPr>
            <w:r w:rsidRPr="005666C0">
              <w:rPr>
                <w:sz w:val="28"/>
                <w:szCs w:val="28"/>
              </w:rPr>
              <w:t>izmaiņas kārtējā gadā, salīdzinot ar valsts budžetu kārtējam gadam</w:t>
            </w:r>
          </w:p>
        </w:tc>
        <w:tc>
          <w:tcPr>
            <w:tcW w:w="719" w:type="pct"/>
            <w:shd w:val="clear" w:color="auto" w:fill="auto"/>
            <w:hideMark/>
          </w:tcPr>
          <w:p w:rsidR="00D82592" w:rsidRPr="005666C0" w:rsidRDefault="00D82592" w:rsidP="00BF3279">
            <w:pPr>
              <w:jc w:val="center"/>
              <w:rPr>
                <w:sz w:val="28"/>
                <w:szCs w:val="28"/>
              </w:rPr>
            </w:pPr>
            <w:r w:rsidRPr="005666C0">
              <w:rPr>
                <w:sz w:val="28"/>
                <w:szCs w:val="28"/>
              </w:rPr>
              <w:t>izmaiņas, salīdzinot ar kārtējo (</w:t>
            </w:r>
            <w:r w:rsidR="00BF3279" w:rsidRPr="005666C0">
              <w:rPr>
                <w:sz w:val="28"/>
                <w:szCs w:val="28"/>
              </w:rPr>
              <w:t>201</w:t>
            </w:r>
            <w:r w:rsidR="00BF3279">
              <w:rPr>
                <w:sz w:val="28"/>
                <w:szCs w:val="28"/>
              </w:rPr>
              <w:t>7</w:t>
            </w:r>
            <w:r w:rsidRPr="005666C0">
              <w:rPr>
                <w:sz w:val="28"/>
                <w:szCs w:val="28"/>
              </w:rPr>
              <w:t>) gadu</w:t>
            </w:r>
          </w:p>
        </w:tc>
        <w:tc>
          <w:tcPr>
            <w:tcW w:w="719" w:type="pct"/>
            <w:shd w:val="clear" w:color="auto" w:fill="auto"/>
            <w:hideMark/>
          </w:tcPr>
          <w:p w:rsidR="00D82592" w:rsidRPr="005666C0" w:rsidRDefault="00D82592" w:rsidP="00BF3279">
            <w:pPr>
              <w:jc w:val="center"/>
              <w:rPr>
                <w:sz w:val="28"/>
                <w:szCs w:val="28"/>
              </w:rPr>
            </w:pPr>
            <w:r w:rsidRPr="005666C0">
              <w:rPr>
                <w:sz w:val="28"/>
                <w:szCs w:val="28"/>
              </w:rPr>
              <w:t>izmaiņas, salīdzinot ar kārtējo (</w:t>
            </w:r>
            <w:r w:rsidR="00BF3279">
              <w:rPr>
                <w:sz w:val="28"/>
                <w:szCs w:val="28"/>
              </w:rPr>
              <w:t>2017</w:t>
            </w:r>
            <w:r w:rsidR="004E2849" w:rsidRPr="005666C0">
              <w:rPr>
                <w:sz w:val="28"/>
                <w:szCs w:val="28"/>
              </w:rPr>
              <w:t>)</w:t>
            </w:r>
            <w:r w:rsidRPr="005666C0">
              <w:rPr>
                <w:sz w:val="28"/>
                <w:szCs w:val="28"/>
              </w:rPr>
              <w:t xml:space="preserve"> gadu</w:t>
            </w:r>
          </w:p>
        </w:tc>
        <w:tc>
          <w:tcPr>
            <w:tcW w:w="655" w:type="pct"/>
            <w:shd w:val="clear" w:color="auto" w:fill="auto"/>
            <w:hideMark/>
          </w:tcPr>
          <w:p w:rsidR="00D82592" w:rsidRPr="005666C0" w:rsidRDefault="00D82592" w:rsidP="00BF3279">
            <w:pPr>
              <w:ind w:hanging="116"/>
              <w:jc w:val="center"/>
              <w:rPr>
                <w:sz w:val="28"/>
                <w:szCs w:val="28"/>
              </w:rPr>
            </w:pPr>
            <w:r w:rsidRPr="005666C0">
              <w:rPr>
                <w:sz w:val="28"/>
                <w:szCs w:val="28"/>
              </w:rPr>
              <w:t>izmaiņas, salīdzinot ar kārtējo (</w:t>
            </w:r>
            <w:r w:rsidR="00BF3279">
              <w:rPr>
                <w:sz w:val="28"/>
                <w:szCs w:val="28"/>
              </w:rPr>
              <w:t>2017</w:t>
            </w:r>
            <w:r w:rsidRPr="005666C0">
              <w:rPr>
                <w:sz w:val="28"/>
                <w:szCs w:val="28"/>
              </w:rPr>
              <w:t>) gadu</w:t>
            </w:r>
          </w:p>
        </w:tc>
      </w:tr>
      <w:tr w:rsidR="00D82592" w:rsidRPr="005666C0" w:rsidTr="00B55C34">
        <w:tc>
          <w:tcPr>
            <w:tcW w:w="1519" w:type="pct"/>
            <w:shd w:val="clear" w:color="auto" w:fill="auto"/>
            <w:hideMark/>
          </w:tcPr>
          <w:p w:rsidR="00D82592" w:rsidRPr="005666C0" w:rsidRDefault="00D82592" w:rsidP="00BF3279">
            <w:pPr>
              <w:ind w:firstLine="34"/>
              <w:jc w:val="center"/>
              <w:rPr>
                <w:sz w:val="28"/>
                <w:szCs w:val="28"/>
              </w:rPr>
            </w:pPr>
            <w:r w:rsidRPr="005666C0">
              <w:rPr>
                <w:sz w:val="28"/>
                <w:szCs w:val="28"/>
              </w:rPr>
              <w:t>1</w:t>
            </w:r>
          </w:p>
        </w:tc>
        <w:tc>
          <w:tcPr>
            <w:tcW w:w="659" w:type="pct"/>
            <w:shd w:val="clear" w:color="auto" w:fill="auto"/>
            <w:hideMark/>
          </w:tcPr>
          <w:p w:rsidR="00D82592" w:rsidRPr="005666C0" w:rsidRDefault="00D82592" w:rsidP="00BF3279">
            <w:pPr>
              <w:ind w:firstLine="42"/>
              <w:jc w:val="center"/>
              <w:rPr>
                <w:sz w:val="28"/>
                <w:szCs w:val="28"/>
              </w:rPr>
            </w:pPr>
            <w:r w:rsidRPr="005666C0">
              <w:rPr>
                <w:sz w:val="28"/>
                <w:szCs w:val="28"/>
              </w:rPr>
              <w:t>2</w:t>
            </w:r>
          </w:p>
        </w:tc>
        <w:tc>
          <w:tcPr>
            <w:tcW w:w="728" w:type="pct"/>
            <w:shd w:val="clear" w:color="auto" w:fill="auto"/>
            <w:hideMark/>
          </w:tcPr>
          <w:p w:rsidR="00D82592" w:rsidRPr="005666C0" w:rsidRDefault="00D82592" w:rsidP="00BF3279">
            <w:pPr>
              <w:ind w:hanging="20"/>
              <w:jc w:val="center"/>
              <w:rPr>
                <w:sz w:val="28"/>
                <w:szCs w:val="28"/>
              </w:rPr>
            </w:pPr>
            <w:r w:rsidRPr="005666C0">
              <w:rPr>
                <w:sz w:val="28"/>
                <w:szCs w:val="28"/>
              </w:rPr>
              <w:t>3</w:t>
            </w:r>
          </w:p>
        </w:tc>
        <w:tc>
          <w:tcPr>
            <w:tcW w:w="719" w:type="pct"/>
            <w:shd w:val="clear" w:color="auto" w:fill="auto"/>
            <w:hideMark/>
          </w:tcPr>
          <w:p w:rsidR="00D82592" w:rsidRPr="005666C0" w:rsidRDefault="00D82592" w:rsidP="00BF3279">
            <w:pPr>
              <w:jc w:val="center"/>
              <w:rPr>
                <w:sz w:val="28"/>
                <w:szCs w:val="28"/>
              </w:rPr>
            </w:pPr>
            <w:r w:rsidRPr="005666C0">
              <w:rPr>
                <w:sz w:val="28"/>
                <w:szCs w:val="28"/>
              </w:rPr>
              <w:t>4</w:t>
            </w:r>
          </w:p>
        </w:tc>
        <w:tc>
          <w:tcPr>
            <w:tcW w:w="719" w:type="pct"/>
            <w:shd w:val="clear" w:color="auto" w:fill="auto"/>
            <w:hideMark/>
          </w:tcPr>
          <w:p w:rsidR="00D82592" w:rsidRPr="005666C0" w:rsidRDefault="00D82592" w:rsidP="00BF3279">
            <w:pPr>
              <w:jc w:val="center"/>
              <w:rPr>
                <w:sz w:val="28"/>
                <w:szCs w:val="28"/>
              </w:rPr>
            </w:pPr>
            <w:r w:rsidRPr="005666C0">
              <w:rPr>
                <w:sz w:val="28"/>
                <w:szCs w:val="28"/>
              </w:rPr>
              <w:t>5</w:t>
            </w:r>
          </w:p>
        </w:tc>
        <w:tc>
          <w:tcPr>
            <w:tcW w:w="655" w:type="pct"/>
            <w:shd w:val="clear" w:color="auto" w:fill="auto"/>
            <w:hideMark/>
          </w:tcPr>
          <w:p w:rsidR="00D82592" w:rsidRPr="005666C0" w:rsidRDefault="00D82592" w:rsidP="00BF3279">
            <w:pPr>
              <w:ind w:firstLine="24"/>
              <w:jc w:val="center"/>
              <w:rPr>
                <w:sz w:val="28"/>
                <w:szCs w:val="28"/>
              </w:rPr>
            </w:pPr>
            <w:r w:rsidRPr="005666C0">
              <w:rPr>
                <w:sz w:val="28"/>
                <w:szCs w:val="28"/>
              </w:rPr>
              <w:t>6</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1. Budžeta ieņēmumi:</w:t>
            </w:r>
          </w:p>
        </w:tc>
        <w:tc>
          <w:tcPr>
            <w:tcW w:w="659" w:type="pct"/>
            <w:shd w:val="clear" w:color="auto" w:fill="auto"/>
            <w:hideMark/>
          </w:tcPr>
          <w:p w:rsidR="00D82592" w:rsidRPr="005666C0" w:rsidRDefault="00D82592" w:rsidP="005666C0">
            <w:pPr>
              <w:rPr>
                <w:sz w:val="28"/>
                <w:szCs w:val="28"/>
              </w:rPr>
            </w:pPr>
            <w:r w:rsidRPr="005666C0">
              <w:rPr>
                <w:sz w:val="28"/>
                <w:szCs w:val="28"/>
              </w:rPr>
              <w:t> </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1.1. valsts pamatbudžets, tai skaitā ieņēmumi no maksas pakalpojumiem un citi pašu ieņēmumi</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28" w:type="pct"/>
            <w:shd w:val="clear" w:color="auto" w:fill="auto"/>
            <w:hideMark/>
          </w:tcPr>
          <w:p w:rsidR="00D82592" w:rsidRPr="005666C0" w:rsidRDefault="00E037A7" w:rsidP="005666C0">
            <w:pPr>
              <w:rPr>
                <w:sz w:val="28"/>
                <w:szCs w:val="28"/>
              </w:rPr>
            </w:pPr>
            <w:r w:rsidRPr="005666C0">
              <w:rPr>
                <w:sz w:val="28"/>
                <w:szCs w:val="28"/>
              </w:rPr>
              <w:t>0</w:t>
            </w:r>
            <w:r w:rsidR="00D82592"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655"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1.2. valsts speciālais budžets</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28" w:type="pct"/>
            <w:shd w:val="clear" w:color="auto" w:fill="auto"/>
            <w:hideMark/>
          </w:tcPr>
          <w:p w:rsidR="00D82592" w:rsidRPr="005666C0" w:rsidRDefault="00D82592" w:rsidP="005666C0">
            <w:pPr>
              <w:rPr>
                <w:sz w:val="28"/>
                <w:szCs w:val="28"/>
              </w:rPr>
            </w:pPr>
            <w:r w:rsidRPr="005666C0">
              <w:rPr>
                <w:sz w:val="28"/>
                <w:szCs w:val="28"/>
              </w:rPr>
              <w:t> </w:t>
            </w:r>
            <w:r w:rsidR="004E2849" w:rsidRPr="005666C0">
              <w:rPr>
                <w:sz w:val="28"/>
                <w:szCs w:val="28"/>
              </w:rPr>
              <w:t>0</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655"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1.3. pašvaldību budžets</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28"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655"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2. Budžeta izdevumi:</w:t>
            </w:r>
          </w:p>
        </w:tc>
        <w:tc>
          <w:tcPr>
            <w:tcW w:w="659" w:type="pct"/>
            <w:shd w:val="clear" w:color="auto" w:fill="auto"/>
            <w:hideMark/>
          </w:tcPr>
          <w:p w:rsidR="00D82592" w:rsidRPr="005666C0" w:rsidRDefault="00D82592" w:rsidP="005666C0">
            <w:pPr>
              <w:rPr>
                <w:sz w:val="28"/>
                <w:szCs w:val="28"/>
              </w:rPr>
            </w:pPr>
            <w:r w:rsidRPr="005666C0">
              <w:rPr>
                <w:sz w:val="28"/>
                <w:szCs w:val="28"/>
              </w:rPr>
              <w:t> </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2.1. valsts pamatbudžets</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27580F" w:rsidRPr="005666C0">
              <w:rPr>
                <w:sz w:val="28"/>
                <w:szCs w:val="28"/>
              </w:rPr>
              <w:t>0</w:t>
            </w:r>
          </w:p>
        </w:tc>
        <w:tc>
          <w:tcPr>
            <w:tcW w:w="728" w:type="pct"/>
            <w:shd w:val="clear" w:color="auto" w:fill="auto"/>
            <w:hideMark/>
          </w:tcPr>
          <w:p w:rsidR="00D82592" w:rsidRPr="005666C0" w:rsidRDefault="00D82592" w:rsidP="005666C0">
            <w:pPr>
              <w:rPr>
                <w:sz w:val="28"/>
                <w:szCs w:val="28"/>
              </w:rPr>
            </w:pPr>
            <w:r w:rsidRPr="005666C0">
              <w:rPr>
                <w:sz w:val="28"/>
                <w:szCs w:val="28"/>
              </w:rPr>
              <w:t> </w:t>
            </w:r>
            <w:r w:rsidR="004E2849" w:rsidRPr="005666C0">
              <w:rPr>
                <w:sz w:val="28"/>
                <w:szCs w:val="28"/>
              </w:rPr>
              <w:t>0</w:t>
            </w:r>
          </w:p>
        </w:tc>
        <w:tc>
          <w:tcPr>
            <w:tcW w:w="719" w:type="pct"/>
            <w:shd w:val="clear" w:color="auto" w:fill="auto"/>
            <w:hideMark/>
          </w:tcPr>
          <w:p w:rsidR="00D82592" w:rsidRPr="005666C0" w:rsidRDefault="00E037A7" w:rsidP="005666C0">
            <w:pPr>
              <w:rPr>
                <w:sz w:val="28"/>
                <w:szCs w:val="28"/>
              </w:rPr>
            </w:pPr>
            <w:r w:rsidRPr="005666C0">
              <w:rPr>
                <w:sz w:val="28"/>
                <w:szCs w:val="28"/>
              </w:rPr>
              <w:t>0</w:t>
            </w:r>
          </w:p>
        </w:tc>
        <w:tc>
          <w:tcPr>
            <w:tcW w:w="719" w:type="pct"/>
            <w:shd w:val="clear" w:color="auto" w:fill="auto"/>
            <w:hideMark/>
          </w:tcPr>
          <w:p w:rsidR="00D82592" w:rsidRPr="005666C0" w:rsidRDefault="00E037A7" w:rsidP="005666C0">
            <w:pPr>
              <w:rPr>
                <w:sz w:val="28"/>
                <w:szCs w:val="28"/>
              </w:rPr>
            </w:pPr>
            <w:r w:rsidRPr="005666C0">
              <w:rPr>
                <w:sz w:val="28"/>
                <w:szCs w:val="28"/>
              </w:rPr>
              <w:t>0</w:t>
            </w:r>
          </w:p>
        </w:tc>
        <w:tc>
          <w:tcPr>
            <w:tcW w:w="655" w:type="pct"/>
            <w:shd w:val="clear" w:color="auto" w:fill="auto"/>
            <w:hideMark/>
          </w:tcPr>
          <w:p w:rsidR="00D82592" w:rsidRPr="005666C0" w:rsidRDefault="00E037A7" w:rsidP="005666C0">
            <w:pPr>
              <w:rPr>
                <w:sz w:val="28"/>
                <w:szCs w:val="28"/>
              </w:rPr>
            </w:pPr>
            <w:r w:rsidRPr="005666C0">
              <w:rPr>
                <w:sz w:val="28"/>
                <w:szCs w:val="28"/>
              </w:rPr>
              <w:t>0</w:t>
            </w:r>
            <w:r w:rsidR="00D82592"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2.2. valsts speciālais budžets</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28"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19" w:type="pct"/>
            <w:shd w:val="clear" w:color="auto" w:fill="auto"/>
            <w:hideMark/>
          </w:tcPr>
          <w:p w:rsidR="00D82592" w:rsidRPr="005666C0" w:rsidRDefault="00E037A7" w:rsidP="005666C0">
            <w:pPr>
              <w:rPr>
                <w:sz w:val="28"/>
                <w:szCs w:val="28"/>
              </w:rPr>
            </w:pPr>
            <w:r w:rsidRPr="005666C0">
              <w:rPr>
                <w:sz w:val="28"/>
                <w:szCs w:val="28"/>
              </w:rPr>
              <w:t>0</w:t>
            </w:r>
          </w:p>
        </w:tc>
        <w:tc>
          <w:tcPr>
            <w:tcW w:w="719" w:type="pct"/>
            <w:shd w:val="clear" w:color="auto" w:fill="auto"/>
            <w:hideMark/>
          </w:tcPr>
          <w:p w:rsidR="00D82592" w:rsidRPr="005666C0" w:rsidRDefault="00E037A7" w:rsidP="005666C0">
            <w:pPr>
              <w:rPr>
                <w:sz w:val="28"/>
                <w:szCs w:val="28"/>
              </w:rPr>
            </w:pPr>
            <w:r w:rsidRPr="005666C0">
              <w:rPr>
                <w:sz w:val="28"/>
                <w:szCs w:val="28"/>
              </w:rPr>
              <w:t>0</w:t>
            </w:r>
          </w:p>
        </w:tc>
        <w:tc>
          <w:tcPr>
            <w:tcW w:w="655" w:type="pct"/>
            <w:shd w:val="clear" w:color="auto" w:fill="auto"/>
            <w:hideMark/>
          </w:tcPr>
          <w:p w:rsidR="00D82592" w:rsidRPr="005666C0" w:rsidRDefault="00E037A7" w:rsidP="005666C0">
            <w:pPr>
              <w:rPr>
                <w:sz w:val="28"/>
                <w:szCs w:val="28"/>
              </w:rPr>
            </w:pPr>
            <w:r w:rsidRPr="005666C0">
              <w:rPr>
                <w:sz w:val="28"/>
                <w:szCs w:val="28"/>
              </w:rPr>
              <w:t>0</w:t>
            </w:r>
            <w:r w:rsidR="00D82592"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2.3. pašvaldību budžets</w:t>
            </w:r>
          </w:p>
        </w:tc>
        <w:tc>
          <w:tcPr>
            <w:tcW w:w="659" w:type="pct"/>
            <w:shd w:val="clear" w:color="auto" w:fill="auto"/>
            <w:hideMark/>
          </w:tcPr>
          <w:p w:rsidR="00D82592" w:rsidRPr="005666C0" w:rsidRDefault="00D82592" w:rsidP="005666C0">
            <w:pPr>
              <w:rPr>
                <w:sz w:val="28"/>
                <w:szCs w:val="28"/>
              </w:rPr>
            </w:pPr>
            <w:r w:rsidRPr="005666C0">
              <w:rPr>
                <w:sz w:val="28"/>
                <w:szCs w:val="28"/>
              </w:rPr>
              <w:t> </w:t>
            </w:r>
            <w:r w:rsidR="00E037A7" w:rsidRPr="005666C0">
              <w:rPr>
                <w:sz w:val="28"/>
                <w:szCs w:val="28"/>
              </w:rPr>
              <w:t>0</w:t>
            </w:r>
          </w:p>
        </w:tc>
        <w:tc>
          <w:tcPr>
            <w:tcW w:w="728" w:type="pct"/>
            <w:shd w:val="clear" w:color="auto" w:fill="auto"/>
            <w:hideMark/>
          </w:tcPr>
          <w:p w:rsidR="00D82592" w:rsidRPr="005666C0" w:rsidRDefault="004E2849" w:rsidP="005666C0">
            <w:pPr>
              <w:rPr>
                <w:sz w:val="28"/>
                <w:szCs w:val="28"/>
              </w:rPr>
            </w:pPr>
            <w:r w:rsidRPr="005666C0">
              <w:rPr>
                <w:sz w:val="28"/>
                <w:szCs w:val="28"/>
              </w:rPr>
              <w:t>0</w:t>
            </w:r>
            <w:r w:rsidR="00E037A7" w:rsidRPr="005666C0">
              <w:rPr>
                <w:sz w:val="28"/>
                <w:szCs w:val="28"/>
              </w:rPr>
              <w:t xml:space="preserve"> </w:t>
            </w:r>
          </w:p>
        </w:tc>
        <w:tc>
          <w:tcPr>
            <w:tcW w:w="719" w:type="pct"/>
            <w:shd w:val="clear" w:color="auto" w:fill="auto"/>
            <w:hideMark/>
          </w:tcPr>
          <w:p w:rsidR="00D82592" w:rsidRPr="005666C0" w:rsidRDefault="004E2849" w:rsidP="005666C0">
            <w:pPr>
              <w:rPr>
                <w:sz w:val="28"/>
                <w:szCs w:val="28"/>
              </w:rPr>
            </w:pPr>
            <w:r w:rsidRPr="005666C0">
              <w:rPr>
                <w:sz w:val="28"/>
                <w:szCs w:val="28"/>
              </w:rPr>
              <w:t>0</w:t>
            </w:r>
            <w:r w:rsidR="00E037A7" w:rsidRPr="005666C0">
              <w:rPr>
                <w:sz w:val="28"/>
                <w:szCs w:val="28"/>
              </w:rPr>
              <w:t xml:space="preserve"> </w:t>
            </w:r>
          </w:p>
        </w:tc>
        <w:tc>
          <w:tcPr>
            <w:tcW w:w="719" w:type="pct"/>
            <w:shd w:val="clear" w:color="auto" w:fill="auto"/>
            <w:hideMark/>
          </w:tcPr>
          <w:p w:rsidR="00D82592" w:rsidRPr="005666C0" w:rsidRDefault="004E2849" w:rsidP="005666C0">
            <w:pPr>
              <w:rPr>
                <w:sz w:val="28"/>
                <w:szCs w:val="28"/>
              </w:rPr>
            </w:pPr>
            <w:r w:rsidRPr="005666C0">
              <w:rPr>
                <w:sz w:val="28"/>
                <w:szCs w:val="28"/>
              </w:rPr>
              <w:t>0</w:t>
            </w:r>
            <w:r w:rsidR="00E037A7" w:rsidRPr="005666C0">
              <w:rPr>
                <w:sz w:val="28"/>
                <w:szCs w:val="28"/>
              </w:rPr>
              <w:t xml:space="preserve"> </w:t>
            </w:r>
          </w:p>
        </w:tc>
        <w:tc>
          <w:tcPr>
            <w:tcW w:w="655" w:type="pct"/>
            <w:shd w:val="clear" w:color="auto" w:fill="auto"/>
            <w:hideMark/>
          </w:tcPr>
          <w:p w:rsidR="00D82592" w:rsidRPr="005666C0" w:rsidRDefault="004E2849" w:rsidP="005666C0">
            <w:pPr>
              <w:rPr>
                <w:sz w:val="28"/>
                <w:szCs w:val="28"/>
              </w:rPr>
            </w:pPr>
            <w:r w:rsidRPr="005666C0">
              <w:rPr>
                <w:sz w:val="28"/>
                <w:szCs w:val="28"/>
              </w:rPr>
              <w:t>0</w:t>
            </w:r>
            <w:r w:rsidR="00E037A7" w:rsidRPr="005666C0">
              <w:rPr>
                <w:sz w:val="28"/>
                <w:szCs w:val="28"/>
              </w:rPr>
              <w:t xml:space="preserve">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3. Finansiālā ietekme:</w:t>
            </w:r>
          </w:p>
        </w:tc>
        <w:tc>
          <w:tcPr>
            <w:tcW w:w="659" w:type="pct"/>
            <w:shd w:val="clear" w:color="auto" w:fill="auto"/>
            <w:hideMark/>
          </w:tcPr>
          <w:p w:rsidR="00D82592" w:rsidRPr="005666C0" w:rsidRDefault="00D82592" w:rsidP="005666C0">
            <w:pPr>
              <w:rPr>
                <w:sz w:val="28"/>
                <w:szCs w:val="28"/>
              </w:rPr>
            </w:pPr>
            <w:r w:rsidRPr="005666C0">
              <w:rPr>
                <w:sz w:val="28"/>
                <w:szCs w:val="28"/>
              </w:rPr>
              <w:t> </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3.1. valsts pamatbudžets</w:t>
            </w:r>
          </w:p>
        </w:tc>
        <w:tc>
          <w:tcPr>
            <w:tcW w:w="659" w:type="pct"/>
            <w:shd w:val="clear" w:color="auto" w:fill="auto"/>
            <w:hideMark/>
          </w:tcPr>
          <w:p w:rsidR="00D82592" w:rsidRPr="005666C0" w:rsidRDefault="004E2849" w:rsidP="005666C0">
            <w:pPr>
              <w:rPr>
                <w:sz w:val="28"/>
                <w:szCs w:val="28"/>
              </w:rPr>
            </w:pPr>
            <w:r w:rsidRPr="005666C0">
              <w:rPr>
                <w:sz w:val="28"/>
                <w:szCs w:val="28"/>
              </w:rPr>
              <w:t>0</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r w:rsidR="007E3F8C" w:rsidRPr="005666C0">
              <w:rPr>
                <w:sz w:val="28"/>
                <w:szCs w:val="28"/>
              </w:rPr>
              <w:t>0</w:t>
            </w:r>
          </w:p>
        </w:tc>
        <w:tc>
          <w:tcPr>
            <w:tcW w:w="719" w:type="pct"/>
            <w:shd w:val="clear" w:color="auto" w:fill="auto"/>
            <w:hideMark/>
          </w:tcPr>
          <w:p w:rsidR="00D82592" w:rsidRPr="005666C0" w:rsidRDefault="007E3F8C" w:rsidP="005666C0">
            <w:pPr>
              <w:rPr>
                <w:sz w:val="28"/>
                <w:szCs w:val="28"/>
              </w:rPr>
            </w:pPr>
            <w:r w:rsidRPr="005666C0">
              <w:rPr>
                <w:sz w:val="28"/>
                <w:szCs w:val="28"/>
              </w:rPr>
              <w:t>0</w:t>
            </w:r>
          </w:p>
        </w:tc>
        <w:tc>
          <w:tcPr>
            <w:tcW w:w="655" w:type="pct"/>
            <w:shd w:val="clear" w:color="auto" w:fill="auto"/>
            <w:hideMark/>
          </w:tcPr>
          <w:p w:rsidR="00D82592" w:rsidRPr="005666C0" w:rsidRDefault="007E3F8C" w:rsidP="005666C0">
            <w:pPr>
              <w:rPr>
                <w:sz w:val="28"/>
                <w:szCs w:val="28"/>
              </w:rPr>
            </w:pPr>
            <w:r w:rsidRPr="005666C0">
              <w:rPr>
                <w:sz w:val="28"/>
                <w:szCs w:val="28"/>
              </w:rPr>
              <w:t>0</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3.2. speciālais budžets</w:t>
            </w:r>
          </w:p>
        </w:tc>
        <w:tc>
          <w:tcPr>
            <w:tcW w:w="659" w:type="pct"/>
            <w:shd w:val="clear" w:color="auto" w:fill="auto"/>
            <w:hideMark/>
          </w:tcPr>
          <w:p w:rsidR="00D82592" w:rsidRPr="005666C0" w:rsidRDefault="007E3F8C" w:rsidP="005666C0">
            <w:pPr>
              <w:rPr>
                <w:sz w:val="28"/>
                <w:szCs w:val="28"/>
              </w:rPr>
            </w:pPr>
            <w:r w:rsidRPr="005666C0">
              <w:rPr>
                <w:sz w:val="28"/>
                <w:szCs w:val="28"/>
              </w:rPr>
              <w:t>0</w:t>
            </w:r>
          </w:p>
        </w:tc>
        <w:tc>
          <w:tcPr>
            <w:tcW w:w="728" w:type="pct"/>
            <w:shd w:val="clear" w:color="auto" w:fill="auto"/>
            <w:hideMark/>
          </w:tcPr>
          <w:p w:rsidR="00D82592" w:rsidRPr="005666C0" w:rsidRDefault="007E3F8C" w:rsidP="005666C0">
            <w:pPr>
              <w:rPr>
                <w:sz w:val="28"/>
                <w:szCs w:val="28"/>
              </w:rPr>
            </w:pPr>
            <w:r w:rsidRPr="005666C0">
              <w:rPr>
                <w:sz w:val="28"/>
                <w:szCs w:val="28"/>
              </w:rPr>
              <w:t>0</w:t>
            </w:r>
          </w:p>
        </w:tc>
        <w:tc>
          <w:tcPr>
            <w:tcW w:w="719" w:type="pct"/>
            <w:shd w:val="clear" w:color="auto" w:fill="auto"/>
            <w:hideMark/>
          </w:tcPr>
          <w:p w:rsidR="00D82592" w:rsidRPr="005666C0" w:rsidRDefault="007E3F8C" w:rsidP="005666C0">
            <w:pPr>
              <w:rPr>
                <w:sz w:val="28"/>
                <w:szCs w:val="28"/>
              </w:rPr>
            </w:pPr>
            <w:r w:rsidRPr="005666C0">
              <w:rPr>
                <w:sz w:val="28"/>
                <w:szCs w:val="28"/>
              </w:rPr>
              <w:t>0</w:t>
            </w:r>
          </w:p>
        </w:tc>
        <w:tc>
          <w:tcPr>
            <w:tcW w:w="719" w:type="pct"/>
            <w:shd w:val="clear" w:color="auto" w:fill="auto"/>
            <w:hideMark/>
          </w:tcPr>
          <w:p w:rsidR="00D82592" w:rsidRPr="005666C0" w:rsidRDefault="007E3F8C" w:rsidP="005666C0">
            <w:pPr>
              <w:rPr>
                <w:sz w:val="28"/>
                <w:szCs w:val="28"/>
              </w:rPr>
            </w:pPr>
            <w:r w:rsidRPr="005666C0">
              <w:rPr>
                <w:sz w:val="28"/>
                <w:szCs w:val="28"/>
              </w:rPr>
              <w:t>0</w:t>
            </w:r>
          </w:p>
        </w:tc>
        <w:tc>
          <w:tcPr>
            <w:tcW w:w="655" w:type="pct"/>
            <w:shd w:val="clear" w:color="auto" w:fill="auto"/>
            <w:hideMark/>
          </w:tcPr>
          <w:p w:rsidR="00D82592" w:rsidRPr="005666C0" w:rsidRDefault="007E3F8C" w:rsidP="005666C0">
            <w:pPr>
              <w:rPr>
                <w:sz w:val="28"/>
                <w:szCs w:val="28"/>
              </w:rPr>
            </w:pPr>
            <w:r w:rsidRPr="005666C0">
              <w:rPr>
                <w:sz w:val="28"/>
                <w:szCs w:val="28"/>
              </w:rPr>
              <w:t>0</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3.3. pašvaldību budžets</w:t>
            </w:r>
          </w:p>
        </w:tc>
        <w:tc>
          <w:tcPr>
            <w:tcW w:w="659" w:type="pct"/>
            <w:shd w:val="clear" w:color="auto" w:fill="auto"/>
            <w:hideMark/>
          </w:tcPr>
          <w:p w:rsidR="00D82592" w:rsidRPr="005666C0" w:rsidRDefault="007E3F8C" w:rsidP="005666C0">
            <w:pPr>
              <w:rPr>
                <w:sz w:val="28"/>
                <w:szCs w:val="28"/>
              </w:rPr>
            </w:pPr>
            <w:r w:rsidRPr="005666C0">
              <w:rPr>
                <w:sz w:val="28"/>
                <w:szCs w:val="28"/>
              </w:rPr>
              <w:t>0</w:t>
            </w:r>
          </w:p>
        </w:tc>
        <w:tc>
          <w:tcPr>
            <w:tcW w:w="728" w:type="pct"/>
            <w:shd w:val="clear" w:color="auto" w:fill="auto"/>
            <w:hideMark/>
          </w:tcPr>
          <w:p w:rsidR="00D82592" w:rsidRPr="005666C0" w:rsidRDefault="007E3F8C" w:rsidP="005666C0">
            <w:pPr>
              <w:rPr>
                <w:sz w:val="28"/>
                <w:szCs w:val="28"/>
              </w:rPr>
            </w:pPr>
            <w:r w:rsidRPr="005666C0">
              <w:rPr>
                <w:sz w:val="28"/>
                <w:szCs w:val="28"/>
              </w:rPr>
              <w:t>0</w:t>
            </w:r>
          </w:p>
        </w:tc>
        <w:tc>
          <w:tcPr>
            <w:tcW w:w="719" w:type="pct"/>
            <w:shd w:val="clear" w:color="auto" w:fill="auto"/>
            <w:hideMark/>
          </w:tcPr>
          <w:p w:rsidR="00D82592" w:rsidRPr="005666C0" w:rsidRDefault="007E3F8C" w:rsidP="005666C0">
            <w:pPr>
              <w:rPr>
                <w:sz w:val="28"/>
                <w:szCs w:val="28"/>
              </w:rPr>
            </w:pPr>
            <w:r w:rsidRPr="005666C0">
              <w:rPr>
                <w:sz w:val="28"/>
                <w:szCs w:val="28"/>
              </w:rPr>
              <w:t>0</w:t>
            </w:r>
          </w:p>
        </w:tc>
        <w:tc>
          <w:tcPr>
            <w:tcW w:w="719" w:type="pct"/>
            <w:shd w:val="clear" w:color="auto" w:fill="auto"/>
            <w:hideMark/>
          </w:tcPr>
          <w:p w:rsidR="00D82592" w:rsidRPr="005666C0" w:rsidRDefault="007E3F8C" w:rsidP="005666C0">
            <w:pPr>
              <w:rPr>
                <w:sz w:val="28"/>
                <w:szCs w:val="28"/>
              </w:rPr>
            </w:pPr>
            <w:r w:rsidRPr="005666C0">
              <w:rPr>
                <w:sz w:val="28"/>
                <w:szCs w:val="28"/>
              </w:rPr>
              <w:t>0</w:t>
            </w:r>
          </w:p>
        </w:tc>
        <w:tc>
          <w:tcPr>
            <w:tcW w:w="655" w:type="pct"/>
            <w:shd w:val="clear" w:color="auto" w:fill="auto"/>
            <w:hideMark/>
          </w:tcPr>
          <w:p w:rsidR="00D82592" w:rsidRPr="005666C0" w:rsidRDefault="007E3F8C" w:rsidP="005666C0">
            <w:pPr>
              <w:rPr>
                <w:sz w:val="28"/>
                <w:szCs w:val="28"/>
              </w:rPr>
            </w:pPr>
            <w:r w:rsidRPr="005666C0">
              <w:rPr>
                <w:sz w:val="28"/>
                <w:szCs w:val="28"/>
              </w:rPr>
              <w:t>0</w:t>
            </w:r>
          </w:p>
        </w:tc>
      </w:tr>
      <w:tr w:rsidR="00D82592" w:rsidRPr="005666C0" w:rsidTr="00B55C34">
        <w:tc>
          <w:tcPr>
            <w:tcW w:w="1519" w:type="pct"/>
            <w:vMerge w:val="restart"/>
            <w:shd w:val="clear" w:color="auto" w:fill="auto"/>
            <w:hideMark/>
          </w:tcPr>
          <w:p w:rsidR="00D82592" w:rsidRPr="005666C0" w:rsidRDefault="00D82592" w:rsidP="005666C0">
            <w:pPr>
              <w:rPr>
                <w:sz w:val="28"/>
                <w:szCs w:val="28"/>
              </w:rPr>
            </w:pPr>
            <w:r w:rsidRPr="005666C0">
              <w:rPr>
                <w:sz w:val="28"/>
                <w:szCs w:val="28"/>
              </w:rPr>
              <w:t>4. Finanšu līdzekļi papildu izdevumu finansēšanai (kompensējošu izdevumu samazinājumu norāda ar "+" zīmi)</w:t>
            </w:r>
          </w:p>
        </w:tc>
        <w:tc>
          <w:tcPr>
            <w:tcW w:w="659" w:type="pct"/>
            <w:vMerge w:val="restart"/>
            <w:shd w:val="clear" w:color="auto" w:fill="auto"/>
            <w:hideMark/>
          </w:tcPr>
          <w:p w:rsidR="00D82592" w:rsidRPr="005666C0" w:rsidRDefault="00D82592" w:rsidP="005666C0">
            <w:pPr>
              <w:ind w:firstLine="300"/>
              <w:jc w:val="center"/>
              <w:rPr>
                <w:sz w:val="28"/>
                <w:szCs w:val="28"/>
              </w:rPr>
            </w:pPr>
            <w:r w:rsidRPr="005666C0">
              <w:rPr>
                <w:sz w:val="28"/>
                <w:szCs w:val="28"/>
              </w:rPr>
              <w:t>X</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vMerge/>
            <w:shd w:val="clear" w:color="auto" w:fill="auto"/>
            <w:hideMark/>
          </w:tcPr>
          <w:p w:rsidR="00D82592" w:rsidRPr="005666C0" w:rsidRDefault="00D82592" w:rsidP="005666C0">
            <w:pPr>
              <w:rPr>
                <w:sz w:val="28"/>
                <w:szCs w:val="28"/>
              </w:rPr>
            </w:pPr>
          </w:p>
        </w:tc>
        <w:tc>
          <w:tcPr>
            <w:tcW w:w="659" w:type="pct"/>
            <w:vMerge/>
            <w:shd w:val="clear" w:color="auto" w:fill="auto"/>
            <w:hideMark/>
          </w:tcPr>
          <w:p w:rsidR="00D82592" w:rsidRPr="005666C0" w:rsidRDefault="00D82592" w:rsidP="005666C0">
            <w:pPr>
              <w:rPr>
                <w:sz w:val="28"/>
                <w:szCs w:val="28"/>
              </w:rPr>
            </w:pP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vMerge/>
            <w:shd w:val="clear" w:color="auto" w:fill="auto"/>
            <w:hideMark/>
          </w:tcPr>
          <w:p w:rsidR="00D82592" w:rsidRPr="005666C0" w:rsidRDefault="00D82592" w:rsidP="005666C0">
            <w:pPr>
              <w:rPr>
                <w:sz w:val="28"/>
                <w:szCs w:val="28"/>
              </w:rPr>
            </w:pPr>
          </w:p>
        </w:tc>
        <w:tc>
          <w:tcPr>
            <w:tcW w:w="659" w:type="pct"/>
            <w:vMerge/>
            <w:shd w:val="clear" w:color="auto" w:fill="auto"/>
            <w:hideMark/>
          </w:tcPr>
          <w:p w:rsidR="00D82592" w:rsidRPr="005666C0" w:rsidRDefault="00D82592" w:rsidP="005666C0">
            <w:pPr>
              <w:rPr>
                <w:sz w:val="28"/>
                <w:szCs w:val="28"/>
              </w:rPr>
            </w:pP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5. Precizēta finansiālā ietekme:</w:t>
            </w:r>
          </w:p>
        </w:tc>
        <w:tc>
          <w:tcPr>
            <w:tcW w:w="659" w:type="pct"/>
            <w:vMerge w:val="restart"/>
            <w:shd w:val="clear" w:color="auto" w:fill="auto"/>
            <w:hideMark/>
          </w:tcPr>
          <w:p w:rsidR="00D82592" w:rsidRPr="005666C0" w:rsidRDefault="00D82592" w:rsidP="005666C0">
            <w:pPr>
              <w:ind w:firstLine="300"/>
              <w:jc w:val="center"/>
              <w:rPr>
                <w:sz w:val="28"/>
                <w:szCs w:val="28"/>
              </w:rPr>
            </w:pPr>
            <w:r w:rsidRPr="005666C0">
              <w:rPr>
                <w:sz w:val="28"/>
                <w:szCs w:val="28"/>
              </w:rPr>
              <w:t>X</w:t>
            </w: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 xml:space="preserve">5.1. valsts </w:t>
            </w:r>
            <w:r w:rsidRPr="005666C0">
              <w:rPr>
                <w:sz w:val="28"/>
                <w:szCs w:val="28"/>
              </w:rPr>
              <w:lastRenderedPageBreak/>
              <w:t>pamatbudžets</w:t>
            </w:r>
          </w:p>
        </w:tc>
        <w:tc>
          <w:tcPr>
            <w:tcW w:w="659" w:type="pct"/>
            <w:vMerge/>
            <w:shd w:val="clear" w:color="auto" w:fill="auto"/>
            <w:hideMark/>
          </w:tcPr>
          <w:p w:rsidR="00D82592" w:rsidRPr="005666C0" w:rsidRDefault="00D82592" w:rsidP="005666C0">
            <w:pPr>
              <w:rPr>
                <w:sz w:val="28"/>
                <w:szCs w:val="28"/>
              </w:rPr>
            </w:pP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lastRenderedPageBreak/>
              <w:t>5.2. speciālais budžets</w:t>
            </w:r>
          </w:p>
        </w:tc>
        <w:tc>
          <w:tcPr>
            <w:tcW w:w="659" w:type="pct"/>
            <w:vMerge/>
            <w:shd w:val="clear" w:color="auto" w:fill="auto"/>
            <w:hideMark/>
          </w:tcPr>
          <w:p w:rsidR="00D82592" w:rsidRPr="005666C0" w:rsidRDefault="00D82592" w:rsidP="005666C0">
            <w:pPr>
              <w:rPr>
                <w:sz w:val="28"/>
                <w:szCs w:val="28"/>
              </w:rPr>
            </w:pP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5.3. pašvaldību budžets</w:t>
            </w:r>
          </w:p>
        </w:tc>
        <w:tc>
          <w:tcPr>
            <w:tcW w:w="659" w:type="pct"/>
            <w:vMerge/>
            <w:shd w:val="clear" w:color="auto" w:fill="auto"/>
            <w:hideMark/>
          </w:tcPr>
          <w:p w:rsidR="00D82592" w:rsidRPr="005666C0" w:rsidRDefault="00D82592" w:rsidP="005666C0">
            <w:pPr>
              <w:rPr>
                <w:sz w:val="28"/>
                <w:szCs w:val="28"/>
              </w:rPr>
            </w:pPr>
          </w:p>
        </w:tc>
        <w:tc>
          <w:tcPr>
            <w:tcW w:w="728"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719" w:type="pct"/>
            <w:shd w:val="clear" w:color="auto" w:fill="auto"/>
            <w:hideMark/>
          </w:tcPr>
          <w:p w:rsidR="00D82592" w:rsidRPr="005666C0" w:rsidRDefault="00D82592" w:rsidP="005666C0">
            <w:pPr>
              <w:rPr>
                <w:sz w:val="28"/>
                <w:szCs w:val="28"/>
              </w:rPr>
            </w:pPr>
            <w:r w:rsidRPr="005666C0">
              <w:rPr>
                <w:sz w:val="28"/>
                <w:szCs w:val="28"/>
              </w:rPr>
              <w:t> </w:t>
            </w:r>
          </w:p>
        </w:tc>
        <w:tc>
          <w:tcPr>
            <w:tcW w:w="655" w:type="pct"/>
            <w:shd w:val="clear" w:color="auto" w:fill="auto"/>
            <w:hideMark/>
          </w:tcPr>
          <w:p w:rsidR="00D82592" w:rsidRPr="005666C0" w:rsidRDefault="00D82592" w:rsidP="005666C0">
            <w:pPr>
              <w:rPr>
                <w:sz w:val="28"/>
                <w:szCs w:val="28"/>
              </w:rPr>
            </w:pPr>
            <w:r w:rsidRPr="005666C0">
              <w:rPr>
                <w:sz w:val="28"/>
                <w:szCs w:val="28"/>
              </w:rPr>
              <w:t> </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6. Detalizēts ieņēmumu un izdevumu aprēķins (ja nepieciešams, detalizētu ieņēmumu un izdevumu aprēķinu var pievienot anotācijas pielikumā):</w:t>
            </w:r>
          </w:p>
        </w:tc>
        <w:tc>
          <w:tcPr>
            <w:tcW w:w="3481" w:type="pct"/>
            <w:gridSpan w:val="5"/>
            <w:vMerge w:val="restart"/>
            <w:shd w:val="clear" w:color="auto" w:fill="auto"/>
            <w:hideMark/>
          </w:tcPr>
          <w:p w:rsidR="00142D51" w:rsidRPr="005666C0" w:rsidRDefault="005666C0" w:rsidP="007D61B0">
            <w:pPr>
              <w:jc w:val="both"/>
              <w:rPr>
                <w:sz w:val="28"/>
                <w:szCs w:val="28"/>
              </w:rPr>
            </w:pPr>
            <w:r>
              <w:rPr>
                <w:sz w:val="28"/>
                <w:szCs w:val="28"/>
              </w:rPr>
              <w:t>Īstenojot P</w:t>
            </w:r>
            <w:r w:rsidR="00656AF6" w:rsidRPr="005666C0">
              <w:rPr>
                <w:sz w:val="28"/>
                <w:szCs w:val="28"/>
              </w:rPr>
              <w:t xml:space="preserve">rojektā paredzēto kultūras institūciju adrešu informācijas papildināšanu ar nekustamā īpašuma valsts kadastra informācijas sistēmā piešķirto kadastra apzīmējumu, plānotas izmaksas 9 500 </w:t>
            </w:r>
            <w:r w:rsidR="00656AF6" w:rsidRPr="005666C0">
              <w:rPr>
                <w:i/>
                <w:sz w:val="28"/>
                <w:szCs w:val="28"/>
              </w:rPr>
              <w:t>euro</w:t>
            </w:r>
            <w:r w:rsidRPr="005666C0">
              <w:rPr>
                <w:sz w:val="28"/>
                <w:szCs w:val="28"/>
              </w:rPr>
              <w:t xml:space="preserve"> </w:t>
            </w:r>
            <w:r w:rsidR="00656AF6" w:rsidRPr="005666C0">
              <w:rPr>
                <w:sz w:val="28"/>
                <w:szCs w:val="28"/>
              </w:rPr>
              <w:t xml:space="preserve">apmērā (t.sk. PVN), lai nodrošinātu Nekustamā īpašuma valsts kadastra informācijas sistēmā esošo datu par kultūras institūciju lietoto </w:t>
            </w:r>
            <w:r w:rsidR="007D61B0" w:rsidRPr="007D61B0">
              <w:rPr>
                <w:sz w:val="28"/>
                <w:szCs w:val="28"/>
              </w:rPr>
              <w:t>ēk</w:t>
            </w:r>
            <w:r w:rsidR="007D61B0">
              <w:rPr>
                <w:sz w:val="28"/>
                <w:szCs w:val="28"/>
              </w:rPr>
              <w:t>u</w:t>
            </w:r>
            <w:r w:rsidR="007D61B0" w:rsidRPr="007D61B0">
              <w:rPr>
                <w:sz w:val="28"/>
                <w:szCs w:val="28"/>
              </w:rPr>
              <w:t xml:space="preserve"> vai telpu grup</w:t>
            </w:r>
            <w:r w:rsidR="007D61B0">
              <w:rPr>
                <w:sz w:val="28"/>
                <w:szCs w:val="28"/>
              </w:rPr>
              <w:t>u</w:t>
            </w:r>
            <w:r w:rsidR="00656AF6" w:rsidRPr="005666C0">
              <w:rPr>
                <w:sz w:val="28"/>
                <w:szCs w:val="28"/>
              </w:rPr>
              <w:t xml:space="preserve"> kadastra </w:t>
            </w:r>
            <w:r w:rsidR="003D4956">
              <w:rPr>
                <w:sz w:val="28"/>
                <w:szCs w:val="28"/>
              </w:rPr>
              <w:t>a</w:t>
            </w:r>
            <w:r w:rsidR="00656AF6" w:rsidRPr="005666C0">
              <w:rPr>
                <w:sz w:val="28"/>
                <w:szCs w:val="28"/>
              </w:rPr>
              <w:t xml:space="preserve">pzīmējumiem importēšanu kultūras kartes sistēmā (pirmreizēja datu ielāde un funkcionalitāte, kas atļautu kadastra datus ielasīt automātiski pēc objekta adreses, izmaiņas datu attēlošanā publiskajā portālā un sistēmā). Datu </w:t>
            </w:r>
            <w:r w:rsidR="00210E36" w:rsidRPr="005666C0">
              <w:rPr>
                <w:sz w:val="28"/>
                <w:szCs w:val="28"/>
              </w:rPr>
              <w:t xml:space="preserve">importēšana </w:t>
            </w:r>
            <w:r w:rsidR="00656AF6" w:rsidRPr="005666C0">
              <w:rPr>
                <w:sz w:val="28"/>
                <w:szCs w:val="28"/>
              </w:rPr>
              <w:t xml:space="preserve">tiks īstenota kā ārpakalpojums, ko nodrošinās Kultūras informācijas sistēmu centrs. </w:t>
            </w:r>
            <w:r w:rsidR="004E2849" w:rsidRPr="005666C0">
              <w:rPr>
                <w:sz w:val="28"/>
                <w:szCs w:val="28"/>
              </w:rPr>
              <w:t>Finansējums pirmreizējai datu ielādei tiks nodrošināts esošo budžeta līdzekļu ietvaros.</w:t>
            </w: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6.1. detalizēts ieņēmumu aprēķins</w:t>
            </w:r>
          </w:p>
        </w:tc>
        <w:tc>
          <w:tcPr>
            <w:tcW w:w="3481" w:type="pct"/>
            <w:gridSpan w:val="5"/>
            <w:vMerge/>
            <w:shd w:val="clear" w:color="auto" w:fill="auto"/>
            <w:hideMark/>
          </w:tcPr>
          <w:p w:rsidR="00D82592" w:rsidRPr="005666C0" w:rsidRDefault="00D82592" w:rsidP="005666C0">
            <w:pPr>
              <w:rPr>
                <w:sz w:val="28"/>
                <w:szCs w:val="28"/>
              </w:rPr>
            </w:pPr>
          </w:p>
        </w:tc>
      </w:tr>
      <w:tr w:rsidR="00D82592" w:rsidRPr="005666C0" w:rsidTr="00B55C34">
        <w:tc>
          <w:tcPr>
            <w:tcW w:w="1519" w:type="pct"/>
            <w:shd w:val="clear" w:color="auto" w:fill="auto"/>
            <w:hideMark/>
          </w:tcPr>
          <w:p w:rsidR="00D82592" w:rsidRPr="005666C0" w:rsidRDefault="00D82592" w:rsidP="005666C0">
            <w:pPr>
              <w:rPr>
                <w:sz w:val="28"/>
                <w:szCs w:val="28"/>
              </w:rPr>
            </w:pPr>
            <w:r w:rsidRPr="005666C0">
              <w:rPr>
                <w:sz w:val="28"/>
                <w:szCs w:val="28"/>
              </w:rPr>
              <w:t>6.2. detalizēts izdevumu aprēķins</w:t>
            </w:r>
          </w:p>
        </w:tc>
        <w:tc>
          <w:tcPr>
            <w:tcW w:w="3481" w:type="pct"/>
            <w:gridSpan w:val="5"/>
            <w:vMerge/>
            <w:shd w:val="clear" w:color="auto" w:fill="auto"/>
            <w:hideMark/>
          </w:tcPr>
          <w:p w:rsidR="00D82592" w:rsidRPr="005666C0" w:rsidRDefault="00D82592" w:rsidP="005666C0">
            <w:pPr>
              <w:rPr>
                <w:sz w:val="28"/>
                <w:szCs w:val="28"/>
              </w:rPr>
            </w:pPr>
          </w:p>
        </w:tc>
      </w:tr>
      <w:tr w:rsidR="00D82592" w:rsidRPr="005666C0" w:rsidTr="00B55C34">
        <w:trPr>
          <w:trHeight w:val="555"/>
        </w:trPr>
        <w:tc>
          <w:tcPr>
            <w:tcW w:w="1519" w:type="pct"/>
            <w:shd w:val="clear" w:color="auto" w:fill="auto"/>
            <w:hideMark/>
          </w:tcPr>
          <w:p w:rsidR="00D82592" w:rsidRPr="005666C0" w:rsidRDefault="00D82592" w:rsidP="005666C0">
            <w:pPr>
              <w:rPr>
                <w:sz w:val="28"/>
                <w:szCs w:val="28"/>
              </w:rPr>
            </w:pPr>
            <w:r w:rsidRPr="005666C0">
              <w:rPr>
                <w:sz w:val="28"/>
                <w:szCs w:val="28"/>
              </w:rPr>
              <w:t>7. Cita informācija</w:t>
            </w:r>
          </w:p>
        </w:tc>
        <w:tc>
          <w:tcPr>
            <w:tcW w:w="3481" w:type="pct"/>
            <w:gridSpan w:val="5"/>
            <w:shd w:val="clear" w:color="auto" w:fill="auto"/>
            <w:hideMark/>
          </w:tcPr>
          <w:p w:rsidR="00D82592" w:rsidRPr="005666C0" w:rsidRDefault="005666C0" w:rsidP="005666C0">
            <w:pPr>
              <w:jc w:val="both"/>
              <w:rPr>
                <w:sz w:val="28"/>
                <w:szCs w:val="28"/>
              </w:rPr>
            </w:pPr>
            <w:r>
              <w:rPr>
                <w:sz w:val="28"/>
                <w:szCs w:val="28"/>
              </w:rPr>
              <w:t>P</w:t>
            </w:r>
            <w:r w:rsidR="007E3F8C" w:rsidRPr="005666C0">
              <w:rPr>
                <w:sz w:val="28"/>
                <w:szCs w:val="28"/>
              </w:rPr>
              <w:t xml:space="preserve">rojektā paredzētā kultūras kartē iekļautās institūciju adrešu informācijas papildināšana ar kadastra numuru vai kadastra apzīmējumu sekmēs </w:t>
            </w:r>
            <w:r w:rsidR="007E3F8C" w:rsidRPr="005666C0">
              <w:rPr>
                <w:bCs/>
                <w:sz w:val="28"/>
                <w:szCs w:val="28"/>
              </w:rPr>
              <w:t>pašvaldības darbību efektivitāti, administrējot nekustamā īpašuma nodokli</w:t>
            </w:r>
            <w:r w:rsidR="00142D51" w:rsidRPr="005666C0">
              <w:rPr>
                <w:bCs/>
                <w:sz w:val="28"/>
                <w:szCs w:val="28"/>
              </w:rPr>
              <w:t>. Muzeju reģistra un Bibliotēku reģistra informācijas</w:t>
            </w:r>
            <w:r w:rsidR="007E3F8C" w:rsidRPr="005666C0">
              <w:rPr>
                <w:bCs/>
                <w:sz w:val="28"/>
                <w:szCs w:val="28"/>
              </w:rPr>
              <w:t xml:space="preserve"> un kadastra datu informācijas </w:t>
            </w:r>
            <w:r w:rsidR="00142D51" w:rsidRPr="005666C0">
              <w:rPr>
                <w:bCs/>
                <w:sz w:val="28"/>
                <w:szCs w:val="28"/>
              </w:rPr>
              <w:t xml:space="preserve">pieejamība vienā datu bāzē ļaus samazināt pašvaldību darba apjomu, kā arī administratīvo slogu, nepieprasot </w:t>
            </w:r>
            <w:r w:rsidR="007E3F8C" w:rsidRPr="005666C0">
              <w:rPr>
                <w:sz w:val="28"/>
                <w:szCs w:val="28"/>
              </w:rPr>
              <w:t>no nodokļu maksātājiem informāciju, kas ir nepieciešama nekustamā īpašuma nodokļa atvieglojumu un atbrīvojumu piešķiršanai.</w:t>
            </w:r>
          </w:p>
        </w:tc>
      </w:tr>
    </w:tbl>
    <w:p w:rsidR="00D82592" w:rsidRPr="00D82592" w:rsidRDefault="00D82592" w:rsidP="006C4607">
      <w:pPr>
        <w:pStyle w:val="naiskr"/>
        <w:tabs>
          <w:tab w:val="left" w:pos="2628"/>
        </w:tabs>
        <w:spacing w:before="0" w:after="0"/>
        <w:rPr>
          <w:sz w:val="28"/>
          <w:szCs w:val="28"/>
        </w:rPr>
      </w:pPr>
    </w:p>
    <w:p w:rsidR="004F48CB" w:rsidRPr="002D5824" w:rsidRDefault="004F48CB" w:rsidP="004F48CB">
      <w:pPr>
        <w:rPr>
          <w:i/>
          <w:sz w:val="28"/>
          <w:szCs w:val="28"/>
        </w:rPr>
      </w:pPr>
      <w:r w:rsidRPr="002D5824">
        <w:rPr>
          <w:i/>
          <w:sz w:val="28"/>
          <w:szCs w:val="28"/>
        </w:rPr>
        <w:t xml:space="preserve">Anotācijas </w:t>
      </w:r>
      <w:r w:rsidR="00AE5891">
        <w:rPr>
          <w:i/>
          <w:sz w:val="28"/>
          <w:szCs w:val="28"/>
        </w:rPr>
        <w:t xml:space="preserve">IV un V </w:t>
      </w:r>
      <w:r w:rsidRPr="002D5824">
        <w:rPr>
          <w:i/>
          <w:sz w:val="28"/>
          <w:szCs w:val="28"/>
        </w:rPr>
        <w:t>sadaļa –</w:t>
      </w:r>
      <w:r w:rsidR="00F667F5">
        <w:rPr>
          <w:i/>
          <w:sz w:val="28"/>
          <w:szCs w:val="28"/>
        </w:rPr>
        <w:t xml:space="preserve"> P</w:t>
      </w:r>
      <w:r w:rsidRPr="002D5824">
        <w:rPr>
          <w:i/>
          <w:sz w:val="28"/>
          <w:szCs w:val="28"/>
        </w:rPr>
        <w:t>rojekts šo jomu neskar.</w:t>
      </w:r>
    </w:p>
    <w:p w:rsidR="00EB20AA" w:rsidRPr="002D5824" w:rsidRDefault="00EB20AA" w:rsidP="006C4607">
      <w:pPr>
        <w:pStyle w:val="naiskr"/>
        <w:tabs>
          <w:tab w:val="left" w:pos="2628"/>
        </w:tabs>
        <w:spacing w:before="0" w:after="0"/>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3828"/>
        <w:gridCol w:w="4845"/>
      </w:tblGrid>
      <w:tr w:rsidR="00CB704A" w:rsidRPr="002D5824" w:rsidTr="00F667F5">
        <w:tc>
          <w:tcPr>
            <w:tcW w:w="5000" w:type="pct"/>
            <w:gridSpan w:val="3"/>
            <w:tcBorders>
              <w:top w:val="single" w:sz="4" w:space="0" w:color="auto"/>
            </w:tcBorders>
          </w:tcPr>
          <w:p w:rsidR="00CB704A" w:rsidRPr="002D5824" w:rsidRDefault="00CB704A" w:rsidP="00CB704A">
            <w:pPr>
              <w:pStyle w:val="naisnod"/>
              <w:spacing w:before="0" w:after="0"/>
              <w:ind w:left="57" w:right="57"/>
              <w:rPr>
                <w:sz w:val="28"/>
                <w:szCs w:val="28"/>
              </w:rPr>
            </w:pPr>
            <w:r w:rsidRPr="002D5824">
              <w:rPr>
                <w:sz w:val="28"/>
                <w:szCs w:val="28"/>
              </w:rPr>
              <w:t>VI. Sabiedrības līdzdalība un komunikācijas aktivitātes</w:t>
            </w:r>
          </w:p>
        </w:tc>
      </w:tr>
      <w:tr w:rsidR="00CB704A" w:rsidRPr="002D5824" w:rsidTr="00F667F5">
        <w:trPr>
          <w:trHeight w:val="427"/>
        </w:trPr>
        <w:tc>
          <w:tcPr>
            <w:tcW w:w="249" w:type="pct"/>
          </w:tcPr>
          <w:p w:rsidR="00CB704A" w:rsidRPr="002D5824" w:rsidRDefault="00CB704A" w:rsidP="009D6AEF">
            <w:pPr>
              <w:pStyle w:val="naisnod"/>
              <w:spacing w:before="0" w:after="0"/>
              <w:ind w:left="57" w:right="57"/>
              <w:rPr>
                <w:b w:val="0"/>
                <w:sz w:val="28"/>
                <w:szCs w:val="28"/>
              </w:rPr>
            </w:pPr>
            <w:r w:rsidRPr="002D5824">
              <w:rPr>
                <w:b w:val="0"/>
                <w:sz w:val="28"/>
                <w:szCs w:val="28"/>
              </w:rPr>
              <w:t>1.</w:t>
            </w:r>
          </w:p>
        </w:tc>
        <w:tc>
          <w:tcPr>
            <w:tcW w:w="2097" w:type="pct"/>
          </w:tcPr>
          <w:p w:rsidR="00CB704A" w:rsidRPr="002D5824" w:rsidRDefault="001A54A8" w:rsidP="00CB704A">
            <w:pPr>
              <w:pStyle w:val="naisf"/>
              <w:spacing w:before="0" w:after="0"/>
              <w:ind w:left="57" w:right="57" w:firstLine="0"/>
              <w:jc w:val="left"/>
              <w:rPr>
                <w:sz w:val="28"/>
                <w:szCs w:val="28"/>
              </w:rPr>
            </w:pPr>
            <w:r w:rsidRPr="002D5824">
              <w:rPr>
                <w:sz w:val="28"/>
                <w:szCs w:val="28"/>
              </w:rPr>
              <w:t>Plānotās sabiedrības līdzdalības un komunikācijas aktivitātes saistībā ar projektu</w:t>
            </w:r>
            <w:r w:rsidR="00CB704A" w:rsidRPr="002D5824">
              <w:rPr>
                <w:sz w:val="28"/>
                <w:szCs w:val="28"/>
              </w:rPr>
              <w:t xml:space="preserve"> </w:t>
            </w:r>
          </w:p>
        </w:tc>
        <w:tc>
          <w:tcPr>
            <w:tcW w:w="2655" w:type="pct"/>
          </w:tcPr>
          <w:p w:rsidR="00F54B5E" w:rsidRPr="002D5824" w:rsidRDefault="00A84D0A" w:rsidP="00AE5891">
            <w:pPr>
              <w:pStyle w:val="Komentrateksts"/>
              <w:jc w:val="both"/>
              <w:rPr>
                <w:b/>
                <w:sz w:val="28"/>
                <w:szCs w:val="28"/>
              </w:rPr>
            </w:pPr>
            <w:r>
              <w:rPr>
                <w:sz w:val="28"/>
                <w:szCs w:val="28"/>
              </w:rPr>
              <w:t>P</w:t>
            </w:r>
            <w:r w:rsidR="002D5824" w:rsidRPr="002D5824">
              <w:rPr>
                <w:sz w:val="28"/>
                <w:szCs w:val="28"/>
              </w:rPr>
              <w:t xml:space="preserve">rojekts attiecas uz noteiktu personu loku – </w:t>
            </w:r>
            <w:r w:rsidR="002056E1">
              <w:rPr>
                <w:sz w:val="28"/>
                <w:szCs w:val="28"/>
              </w:rPr>
              <w:t xml:space="preserve">kultūras </w:t>
            </w:r>
            <w:r w:rsidR="002D5824" w:rsidRPr="002D5824">
              <w:rPr>
                <w:sz w:val="28"/>
                <w:szCs w:val="28"/>
              </w:rPr>
              <w:t>nozaru institūcijām</w:t>
            </w:r>
            <w:r w:rsidR="002D5824">
              <w:rPr>
                <w:sz w:val="28"/>
                <w:szCs w:val="28"/>
              </w:rPr>
              <w:t>.</w:t>
            </w:r>
            <w:r w:rsidR="002D5824" w:rsidRPr="002D5824">
              <w:rPr>
                <w:sz w:val="28"/>
                <w:szCs w:val="28"/>
              </w:rPr>
              <w:t xml:space="preserve"> </w:t>
            </w:r>
          </w:p>
        </w:tc>
      </w:tr>
      <w:tr w:rsidR="00CB704A" w:rsidRPr="002D5824" w:rsidTr="00F667F5">
        <w:trPr>
          <w:trHeight w:val="463"/>
        </w:trPr>
        <w:tc>
          <w:tcPr>
            <w:tcW w:w="249" w:type="pct"/>
          </w:tcPr>
          <w:p w:rsidR="00CB704A" w:rsidRPr="002D5824" w:rsidRDefault="00CB704A" w:rsidP="009D6AEF">
            <w:pPr>
              <w:pStyle w:val="naisnod"/>
              <w:spacing w:before="0" w:after="0"/>
              <w:ind w:left="57" w:right="57"/>
              <w:rPr>
                <w:b w:val="0"/>
                <w:sz w:val="28"/>
                <w:szCs w:val="28"/>
              </w:rPr>
            </w:pPr>
            <w:r w:rsidRPr="002D5824">
              <w:rPr>
                <w:b w:val="0"/>
                <w:sz w:val="28"/>
                <w:szCs w:val="28"/>
              </w:rPr>
              <w:t>2.</w:t>
            </w:r>
          </w:p>
        </w:tc>
        <w:tc>
          <w:tcPr>
            <w:tcW w:w="2097" w:type="pct"/>
          </w:tcPr>
          <w:p w:rsidR="00CB704A" w:rsidRPr="002D5824" w:rsidRDefault="001A54A8" w:rsidP="00CB704A">
            <w:pPr>
              <w:pStyle w:val="naisf"/>
              <w:spacing w:before="0" w:after="0"/>
              <w:ind w:left="57" w:right="57" w:firstLine="0"/>
              <w:jc w:val="left"/>
              <w:rPr>
                <w:sz w:val="28"/>
                <w:szCs w:val="28"/>
              </w:rPr>
            </w:pPr>
            <w:r w:rsidRPr="002D5824">
              <w:rPr>
                <w:sz w:val="28"/>
                <w:szCs w:val="28"/>
              </w:rPr>
              <w:t>Sabiedrības līdzdalība projekta izstrādē</w:t>
            </w:r>
          </w:p>
        </w:tc>
        <w:tc>
          <w:tcPr>
            <w:tcW w:w="2655" w:type="pct"/>
          </w:tcPr>
          <w:p w:rsidR="0074640A" w:rsidRPr="002D5824" w:rsidRDefault="00F667F5" w:rsidP="00F667F5">
            <w:pPr>
              <w:ind w:right="-1"/>
              <w:jc w:val="both"/>
              <w:rPr>
                <w:b/>
                <w:sz w:val="28"/>
                <w:szCs w:val="28"/>
              </w:rPr>
            </w:pPr>
            <w:r>
              <w:rPr>
                <w:sz w:val="28"/>
                <w:szCs w:val="28"/>
              </w:rPr>
              <w:t>P</w:t>
            </w:r>
            <w:r w:rsidR="00817CB9" w:rsidRPr="002D5824">
              <w:rPr>
                <w:sz w:val="28"/>
                <w:szCs w:val="28"/>
              </w:rPr>
              <w:t xml:space="preserve">rojekta </w:t>
            </w:r>
            <w:r>
              <w:rPr>
                <w:sz w:val="28"/>
                <w:szCs w:val="28"/>
              </w:rPr>
              <w:t>izstrādes ietvaros</w:t>
            </w:r>
            <w:r w:rsidR="00817CB9" w:rsidRPr="002D5824">
              <w:rPr>
                <w:sz w:val="28"/>
                <w:szCs w:val="28"/>
              </w:rPr>
              <w:t xml:space="preserve"> </w:t>
            </w:r>
            <w:r w:rsidR="00B34545" w:rsidRPr="002D5824">
              <w:rPr>
                <w:sz w:val="28"/>
                <w:szCs w:val="28"/>
              </w:rPr>
              <w:t>Kultūras ministrija</w:t>
            </w:r>
            <w:r w:rsidR="00AC73A9" w:rsidRPr="002D5824">
              <w:rPr>
                <w:sz w:val="28"/>
                <w:szCs w:val="28"/>
              </w:rPr>
              <w:t xml:space="preserve"> </w:t>
            </w:r>
            <w:r w:rsidR="00817CB9" w:rsidRPr="002D5824">
              <w:rPr>
                <w:sz w:val="28"/>
                <w:szCs w:val="28"/>
              </w:rPr>
              <w:t>ir veikusi konsultācijas</w:t>
            </w:r>
            <w:r>
              <w:rPr>
                <w:sz w:val="28"/>
                <w:szCs w:val="28"/>
              </w:rPr>
              <w:t xml:space="preserve"> </w:t>
            </w:r>
            <w:r w:rsidR="00817CB9" w:rsidRPr="002D5824">
              <w:rPr>
                <w:sz w:val="28"/>
                <w:szCs w:val="28"/>
              </w:rPr>
              <w:t>visu jomu pārrau</w:t>
            </w:r>
            <w:r>
              <w:rPr>
                <w:sz w:val="28"/>
                <w:szCs w:val="28"/>
              </w:rPr>
              <w:t>gošajām institūcijām, kuru darbības jomu skar</w:t>
            </w:r>
            <w:r w:rsidR="00817CB9" w:rsidRPr="002D5824">
              <w:rPr>
                <w:sz w:val="28"/>
                <w:szCs w:val="28"/>
              </w:rPr>
              <w:t xml:space="preserve"> </w:t>
            </w:r>
            <w:r>
              <w:rPr>
                <w:sz w:val="28"/>
                <w:szCs w:val="28"/>
              </w:rPr>
              <w:t>Projektā paredzētais regulējums</w:t>
            </w:r>
            <w:r w:rsidR="00AC73A9" w:rsidRPr="002D5824">
              <w:rPr>
                <w:sz w:val="28"/>
                <w:szCs w:val="28"/>
              </w:rPr>
              <w:t xml:space="preserve">. </w:t>
            </w:r>
          </w:p>
        </w:tc>
      </w:tr>
      <w:tr w:rsidR="00CB704A" w:rsidRPr="002D5824" w:rsidTr="00F667F5">
        <w:trPr>
          <w:trHeight w:val="269"/>
        </w:trPr>
        <w:tc>
          <w:tcPr>
            <w:tcW w:w="249" w:type="pct"/>
          </w:tcPr>
          <w:p w:rsidR="00CB704A" w:rsidRPr="002D5824" w:rsidRDefault="00CB704A" w:rsidP="009D6AEF">
            <w:pPr>
              <w:pStyle w:val="naiskr"/>
              <w:spacing w:before="0" w:after="0"/>
              <w:ind w:left="57" w:right="57"/>
              <w:jc w:val="center"/>
              <w:rPr>
                <w:sz w:val="28"/>
                <w:szCs w:val="28"/>
              </w:rPr>
            </w:pPr>
            <w:r w:rsidRPr="002D5824">
              <w:rPr>
                <w:sz w:val="28"/>
                <w:szCs w:val="28"/>
              </w:rPr>
              <w:t>3.</w:t>
            </w:r>
          </w:p>
        </w:tc>
        <w:tc>
          <w:tcPr>
            <w:tcW w:w="2097" w:type="pct"/>
          </w:tcPr>
          <w:p w:rsidR="00CB704A" w:rsidRPr="002D5824" w:rsidRDefault="001A54A8" w:rsidP="00CB704A">
            <w:pPr>
              <w:pStyle w:val="naiskr"/>
              <w:spacing w:before="0" w:after="0"/>
              <w:ind w:left="57" w:right="57"/>
              <w:rPr>
                <w:sz w:val="28"/>
                <w:szCs w:val="28"/>
              </w:rPr>
            </w:pPr>
            <w:r w:rsidRPr="002D5824">
              <w:rPr>
                <w:sz w:val="28"/>
                <w:szCs w:val="28"/>
              </w:rPr>
              <w:t>Sabiedrības līdzdalības rezultāti</w:t>
            </w:r>
          </w:p>
        </w:tc>
        <w:tc>
          <w:tcPr>
            <w:tcW w:w="2655" w:type="pct"/>
          </w:tcPr>
          <w:p w:rsidR="00CB704A" w:rsidRPr="002D5824" w:rsidRDefault="00F667F5" w:rsidP="00F667F5">
            <w:pPr>
              <w:pStyle w:val="naiskr"/>
              <w:spacing w:before="0" w:after="0"/>
              <w:ind w:right="57"/>
              <w:jc w:val="both"/>
              <w:rPr>
                <w:sz w:val="28"/>
                <w:szCs w:val="28"/>
              </w:rPr>
            </w:pPr>
            <w:r w:rsidRPr="002D5824">
              <w:rPr>
                <w:sz w:val="28"/>
                <w:szCs w:val="28"/>
              </w:rPr>
              <w:t xml:space="preserve">Kultūras ministrija ir </w:t>
            </w:r>
            <w:r>
              <w:rPr>
                <w:sz w:val="28"/>
                <w:szCs w:val="28"/>
              </w:rPr>
              <w:t xml:space="preserve">ņēmusi vērā </w:t>
            </w:r>
            <w:r>
              <w:rPr>
                <w:sz w:val="28"/>
                <w:szCs w:val="28"/>
              </w:rPr>
              <w:lastRenderedPageBreak/>
              <w:t>ieteikumus</w:t>
            </w:r>
            <w:r w:rsidRPr="002D5824">
              <w:rPr>
                <w:sz w:val="28"/>
                <w:szCs w:val="28"/>
              </w:rPr>
              <w:t xml:space="preserve"> un saskaņojusi izmaiņas ar visu jomu pārraugošajām institūcijām, kuru </w:t>
            </w:r>
            <w:r>
              <w:rPr>
                <w:sz w:val="28"/>
                <w:szCs w:val="28"/>
              </w:rPr>
              <w:t>darbības jomu skar</w:t>
            </w:r>
            <w:r w:rsidRPr="002D5824">
              <w:rPr>
                <w:sz w:val="28"/>
                <w:szCs w:val="28"/>
              </w:rPr>
              <w:t xml:space="preserve"> </w:t>
            </w:r>
            <w:r>
              <w:rPr>
                <w:sz w:val="28"/>
                <w:szCs w:val="28"/>
              </w:rPr>
              <w:t>Projektā paredzētais regulējums</w:t>
            </w:r>
            <w:r w:rsidRPr="002D5824">
              <w:rPr>
                <w:sz w:val="28"/>
                <w:szCs w:val="28"/>
              </w:rPr>
              <w:t>.</w:t>
            </w:r>
          </w:p>
        </w:tc>
      </w:tr>
      <w:tr w:rsidR="001A54A8" w:rsidRPr="002D5824" w:rsidTr="00F667F5">
        <w:trPr>
          <w:trHeight w:val="269"/>
        </w:trPr>
        <w:tc>
          <w:tcPr>
            <w:tcW w:w="249" w:type="pct"/>
          </w:tcPr>
          <w:p w:rsidR="001A54A8" w:rsidRPr="002D5824" w:rsidRDefault="001A54A8" w:rsidP="009D6AEF">
            <w:pPr>
              <w:pStyle w:val="naiskr"/>
              <w:spacing w:before="0" w:after="0"/>
              <w:ind w:left="57" w:right="57"/>
              <w:jc w:val="center"/>
              <w:rPr>
                <w:sz w:val="28"/>
                <w:szCs w:val="28"/>
              </w:rPr>
            </w:pPr>
            <w:r w:rsidRPr="002D5824">
              <w:rPr>
                <w:sz w:val="28"/>
                <w:szCs w:val="28"/>
              </w:rPr>
              <w:lastRenderedPageBreak/>
              <w:t>4.</w:t>
            </w:r>
          </w:p>
        </w:tc>
        <w:tc>
          <w:tcPr>
            <w:tcW w:w="2097" w:type="pct"/>
          </w:tcPr>
          <w:p w:rsidR="001A54A8" w:rsidRPr="002D5824" w:rsidRDefault="001A54A8" w:rsidP="00CB704A">
            <w:pPr>
              <w:pStyle w:val="naiskr"/>
              <w:spacing w:before="0" w:after="0"/>
              <w:ind w:left="57" w:right="57"/>
              <w:rPr>
                <w:sz w:val="28"/>
                <w:szCs w:val="28"/>
              </w:rPr>
            </w:pPr>
            <w:r w:rsidRPr="002D5824">
              <w:rPr>
                <w:sz w:val="28"/>
                <w:szCs w:val="28"/>
              </w:rPr>
              <w:t>Cita informācija</w:t>
            </w:r>
          </w:p>
        </w:tc>
        <w:tc>
          <w:tcPr>
            <w:tcW w:w="2655" w:type="pct"/>
          </w:tcPr>
          <w:p w:rsidR="001A54A8" w:rsidRPr="002D5824" w:rsidRDefault="00B34545" w:rsidP="00A209ED">
            <w:pPr>
              <w:pStyle w:val="naiskr"/>
              <w:spacing w:before="0" w:after="0"/>
              <w:ind w:right="57"/>
              <w:jc w:val="both"/>
              <w:rPr>
                <w:sz w:val="28"/>
                <w:szCs w:val="28"/>
              </w:rPr>
            </w:pPr>
            <w:r w:rsidRPr="002D5824">
              <w:rPr>
                <w:sz w:val="28"/>
                <w:szCs w:val="28"/>
              </w:rPr>
              <w:t>Nav</w:t>
            </w:r>
          </w:p>
        </w:tc>
      </w:tr>
    </w:tbl>
    <w:p w:rsidR="00F667F5" w:rsidRPr="002D5824" w:rsidRDefault="00F667F5" w:rsidP="00F667F5">
      <w:pPr>
        <w:pStyle w:val="naisf"/>
        <w:spacing w:before="0" w:after="0"/>
        <w:ind w:firstLine="374"/>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3828"/>
        <w:gridCol w:w="4845"/>
      </w:tblGrid>
      <w:tr w:rsidR="0023436E" w:rsidRPr="002D5824" w:rsidTr="00F667F5">
        <w:tc>
          <w:tcPr>
            <w:tcW w:w="5000" w:type="pct"/>
            <w:gridSpan w:val="3"/>
            <w:tcBorders>
              <w:top w:val="single" w:sz="4" w:space="0" w:color="auto"/>
            </w:tcBorders>
          </w:tcPr>
          <w:p w:rsidR="0023436E" w:rsidRPr="002D5824" w:rsidRDefault="0023436E" w:rsidP="007D099D">
            <w:pPr>
              <w:pStyle w:val="naisnod"/>
              <w:spacing w:before="0" w:after="0"/>
              <w:ind w:left="57" w:right="57"/>
              <w:rPr>
                <w:sz w:val="28"/>
                <w:szCs w:val="28"/>
              </w:rPr>
            </w:pPr>
            <w:r w:rsidRPr="002D5824">
              <w:rPr>
                <w:sz w:val="28"/>
                <w:szCs w:val="28"/>
              </w:rPr>
              <w:t>VII</w:t>
            </w:r>
            <w:r w:rsidR="000941C5" w:rsidRPr="002D5824">
              <w:rPr>
                <w:sz w:val="28"/>
                <w:szCs w:val="28"/>
              </w:rPr>
              <w:t>.</w:t>
            </w:r>
            <w:r w:rsidRPr="002D5824">
              <w:rPr>
                <w:sz w:val="28"/>
                <w:szCs w:val="28"/>
              </w:rPr>
              <w:t xml:space="preserve"> Tiesību akta projekta izpildes nodrošināšana un tās ietekme uz institūcijām</w:t>
            </w:r>
          </w:p>
        </w:tc>
      </w:tr>
      <w:tr w:rsidR="0023436E" w:rsidRPr="002D5824" w:rsidTr="00F667F5">
        <w:trPr>
          <w:trHeight w:val="427"/>
        </w:trPr>
        <w:tc>
          <w:tcPr>
            <w:tcW w:w="249" w:type="pct"/>
          </w:tcPr>
          <w:p w:rsidR="0023436E" w:rsidRPr="002D5824" w:rsidRDefault="0023436E" w:rsidP="009D6AEF">
            <w:pPr>
              <w:pStyle w:val="naisnod"/>
              <w:spacing w:before="0" w:after="0"/>
              <w:ind w:left="57" w:right="57"/>
              <w:rPr>
                <w:b w:val="0"/>
                <w:sz w:val="28"/>
                <w:szCs w:val="28"/>
              </w:rPr>
            </w:pPr>
            <w:r w:rsidRPr="002D5824">
              <w:rPr>
                <w:b w:val="0"/>
                <w:sz w:val="28"/>
                <w:szCs w:val="28"/>
              </w:rPr>
              <w:t>1.</w:t>
            </w:r>
          </w:p>
        </w:tc>
        <w:tc>
          <w:tcPr>
            <w:tcW w:w="2097" w:type="pct"/>
          </w:tcPr>
          <w:p w:rsidR="0023436E" w:rsidRPr="002D5824" w:rsidRDefault="001A4066" w:rsidP="007D099D">
            <w:pPr>
              <w:pStyle w:val="naisf"/>
              <w:spacing w:before="0" w:after="0"/>
              <w:ind w:left="57" w:right="57" w:firstLine="0"/>
              <w:jc w:val="left"/>
              <w:rPr>
                <w:sz w:val="28"/>
                <w:szCs w:val="28"/>
              </w:rPr>
            </w:pPr>
            <w:r w:rsidRPr="002D5824">
              <w:rPr>
                <w:sz w:val="28"/>
                <w:szCs w:val="28"/>
              </w:rPr>
              <w:t>P</w:t>
            </w:r>
            <w:r w:rsidR="0023436E" w:rsidRPr="002D5824">
              <w:rPr>
                <w:sz w:val="28"/>
                <w:szCs w:val="28"/>
              </w:rPr>
              <w:t xml:space="preserve">rojekta izpildē iesaistītās institūcijas </w:t>
            </w:r>
          </w:p>
        </w:tc>
        <w:tc>
          <w:tcPr>
            <w:tcW w:w="2654" w:type="pct"/>
          </w:tcPr>
          <w:p w:rsidR="0023436E" w:rsidRPr="002D5824" w:rsidRDefault="001939CE" w:rsidP="00AA586E">
            <w:pPr>
              <w:pStyle w:val="naisnod"/>
              <w:spacing w:before="0" w:after="0"/>
              <w:ind w:left="-29" w:right="57"/>
              <w:jc w:val="both"/>
              <w:rPr>
                <w:b w:val="0"/>
                <w:sz w:val="28"/>
                <w:szCs w:val="28"/>
              </w:rPr>
            </w:pPr>
            <w:r w:rsidRPr="002D5824">
              <w:rPr>
                <w:b w:val="0"/>
                <w:sz w:val="28"/>
                <w:szCs w:val="28"/>
              </w:rPr>
              <w:t>Kultūras ministrija</w:t>
            </w:r>
            <w:r w:rsidR="00CA72B0" w:rsidRPr="002D5824">
              <w:rPr>
                <w:b w:val="0"/>
                <w:sz w:val="28"/>
                <w:szCs w:val="28"/>
              </w:rPr>
              <w:t xml:space="preserve">, </w:t>
            </w:r>
            <w:r w:rsidR="002D5824">
              <w:rPr>
                <w:b w:val="0"/>
                <w:sz w:val="28"/>
                <w:szCs w:val="28"/>
              </w:rPr>
              <w:t xml:space="preserve">Kultūras informācijas sistēmu centrs, </w:t>
            </w:r>
            <w:r w:rsidR="00CA72B0" w:rsidRPr="002D5824">
              <w:rPr>
                <w:b w:val="0"/>
                <w:sz w:val="28"/>
                <w:szCs w:val="28"/>
              </w:rPr>
              <w:t xml:space="preserve">Valsts </w:t>
            </w:r>
            <w:r w:rsidR="00AA586E">
              <w:rPr>
                <w:b w:val="0"/>
                <w:sz w:val="28"/>
                <w:szCs w:val="28"/>
              </w:rPr>
              <w:t>z</w:t>
            </w:r>
            <w:r w:rsidR="00CA72B0" w:rsidRPr="002D5824">
              <w:rPr>
                <w:b w:val="0"/>
                <w:sz w:val="28"/>
                <w:szCs w:val="28"/>
              </w:rPr>
              <w:t>emes dienests</w:t>
            </w:r>
            <w:r w:rsidR="009D6AEF" w:rsidRPr="002D5824">
              <w:rPr>
                <w:b w:val="0"/>
                <w:sz w:val="28"/>
                <w:szCs w:val="28"/>
              </w:rPr>
              <w:t>.</w:t>
            </w:r>
          </w:p>
        </w:tc>
      </w:tr>
      <w:tr w:rsidR="0023436E" w:rsidRPr="002D5824" w:rsidTr="00F667F5">
        <w:trPr>
          <w:trHeight w:val="463"/>
        </w:trPr>
        <w:tc>
          <w:tcPr>
            <w:tcW w:w="249" w:type="pct"/>
          </w:tcPr>
          <w:p w:rsidR="0023436E" w:rsidRPr="002D5824" w:rsidRDefault="0023436E" w:rsidP="009D6AEF">
            <w:pPr>
              <w:pStyle w:val="naisnod"/>
              <w:spacing w:before="0" w:after="0"/>
              <w:ind w:left="57" w:right="57"/>
              <w:rPr>
                <w:b w:val="0"/>
                <w:sz w:val="28"/>
                <w:szCs w:val="28"/>
              </w:rPr>
            </w:pPr>
            <w:r w:rsidRPr="002D5824">
              <w:rPr>
                <w:b w:val="0"/>
                <w:sz w:val="28"/>
                <w:szCs w:val="28"/>
              </w:rPr>
              <w:t>2.</w:t>
            </w:r>
          </w:p>
        </w:tc>
        <w:tc>
          <w:tcPr>
            <w:tcW w:w="2097" w:type="pct"/>
          </w:tcPr>
          <w:p w:rsidR="008B13D9" w:rsidRPr="002D5824" w:rsidRDefault="001A4066" w:rsidP="008B13D9">
            <w:pPr>
              <w:pStyle w:val="naisf"/>
              <w:spacing w:before="0" w:after="0"/>
              <w:ind w:left="57" w:right="57" w:firstLine="0"/>
              <w:jc w:val="left"/>
              <w:rPr>
                <w:sz w:val="28"/>
                <w:szCs w:val="28"/>
              </w:rPr>
            </w:pPr>
            <w:r w:rsidRPr="002D5824">
              <w:rPr>
                <w:sz w:val="28"/>
                <w:szCs w:val="28"/>
              </w:rPr>
              <w:t>Projekta i</w:t>
            </w:r>
            <w:r w:rsidR="0023436E" w:rsidRPr="002D5824">
              <w:rPr>
                <w:sz w:val="28"/>
                <w:szCs w:val="28"/>
              </w:rPr>
              <w:t xml:space="preserve">zpildes ietekme uz pārvaldes funkcijām </w:t>
            </w:r>
            <w:r w:rsidR="008B13D9" w:rsidRPr="002D5824">
              <w:rPr>
                <w:sz w:val="28"/>
                <w:szCs w:val="28"/>
              </w:rPr>
              <w:t>un institucionālo struktūru.</w:t>
            </w:r>
          </w:p>
          <w:p w:rsidR="0023436E" w:rsidRPr="002D5824" w:rsidRDefault="008B13D9" w:rsidP="008B13D9">
            <w:pPr>
              <w:pStyle w:val="naisf"/>
              <w:spacing w:before="0" w:after="0"/>
              <w:ind w:left="57" w:right="57" w:firstLine="0"/>
              <w:jc w:val="left"/>
              <w:rPr>
                <w:sz w:val="28"/>
                <w:szCs w:val="28"/>
              </w:rPr>
            </w:pPr>
            <w:r w:rsidRPr="002D5824">
              <w:rPr>
                <w:sz w:val="28"/>
                <w:szCs w:val="28"/>
              </w:rPr>
              <w:t>Jaunu institūciju izveide, esošu institūciju likvidācija vai reorganizācija, to ietekme uz institūcijas cilvēkresursiem</w:t>
            </w:r>
          </w:p>
        </w:tc>
        <w:tc>
          <w:tcPr>
            <w:tcW w:w="2654" w:type="pct"/>
          </w:tcPr>
          <w:p w:rsidR="0023436E" w:rsidRPr="00F667F5" w:rsidRDefault="00F667F5" w:rsidP="00F203DA">
            <w:pPr>
              <w:autoSpaceDE w:val="0"/>
              <w:autoSpaceDN w:val="0"/>
              <w:adjustRightInd w:val="0"/>
              <w:jc w:val="both"/>
              <w:rPr>
                <w:sz w:val="28"/>
                <w:szCs w:val="28"/>
              </w:rPr>
            </w:pPr>
            <w:r w:rsidRPr="00F667F5">
              <w:rPr>
                <w:sz w:val="28"/>
                <w:szCs w:val="28"/>
              </w:rPr>
              <w:t>Projekts šo jomu neskar.</w:t>
            </w:r>
          </w:p>
        </w:tc>
      </w:tr>
      <w:tr w:rsidR="0023436E" w:rsidRPr="002D5824" w:rsidTr="00F667F5">
        <w:trPr>
          <w:trHeight w:val="269"/>
        </w:trPr>
        <w:tc>
          <w:tcPr>
            <w:tcW w:w="249" w:type="pct"/>
          </w:tcPr>
          <w:p w:rsidR="0023436E" w:rsidRPr="002D5824" w:rsidRDefault="00CA5633" w:rsidP="009D6AEF">
            <w:pPr>
              <w:pStyle w:val="naiskr"/>
              <w:spacing w:before="0" w:after="0"/>
              <w:ind w:left="57" w:right="57"/>
              <w:jc w:val="center"/>
              <w:rPr>
                <w:sz w:val="28"/>
                <w:szCs w:val="28"/>
              </w:rPr>
            </w:pPr>
            <w:r w:rsidRPr="002D5824">
              <w:rPr>
                <w:sz w:val="28"/>
                <w:szCs w:val="28"/>
              </w:rPr>
              <w:t>3.</w:t>
            </w:r>
          </w:p>
        </w:tc>
        <w:tc>
          <w:tcPr>
            <w:tcW w:w="2097" w:type="pct"/>
          </w:tcPr>
          <w:p w:rsidR="0023436E" w:rsidRPr="002D5824" w:rsidRDefault="006C4607" w:rsidP="007D099D">
            <w:pPr>
              <w:pStyle w:val="naiskr"/>
              <w:spacing w:before="0" w:after="0"/>
              <w:ind w:left="57" w:right="57"/>
              <w:rPr>
                <w:sz w:val="28"/>
                <w:szCs w:val="28"/>
              </w:rPr>
            </w:pPr>
            <w:r w:rsidRPr="002D5824">
              <w:rPr>
                <w:sz w:val="28"/>
                <w:szCs w:val="28"/>
              </w:rPr>
              <w:t>Cita informācija</w:t>
            </w:r>
          </w:p>
        </w:tc>
        <w:tc>
          <w:tcPr>
            <w:tcW w:w="2654" w:type="pct"/>
          </w:tcPr>
          <w:p w:rsidR="0023436E" w:rsidRPr="002D5824" w:rsidRDefault="0023436E" w:rsidP="007D099D">
            <w:pPr>
              <w:pStyle w:val="naiskr"/>
              <w:spacing w:before="0" w:after="0"/>
              <w:ind w:left="57" w:right="57"/>
              <w:rPr>
                <w:sz w:val="28"/>
                <w:szCs w:val="28"/>
              </w:rPr>
            </w:pPr>
            <w:r w:rsidRPr="002D5824">
              <w:rPr>
                <w:sz w:val="28"/>
                <w:szCs w:val="28"/>
              </w:rPr>
              <w:t>Nav</w:t>
            </w:r>
          </w:p>
        </w:tc>
      </w:tr>
    </w:tbl>
    <w:p w:rsidR="00B55C34" w:rsidRDefault="00B55C34" w:rsidP="00EF674D">
      <w:pPr>
        <w:ind w:left="142"/>
        <w:jc w:val="both"/>
        <w:rPr>
          <w:sz w:val="28"/>
          <w:szCs w:val="28"/>
        </w:rPr>
      </w:pPr>
    </w:p>
    <w:p w:rsidR="00963FCD" w:rsidRPr="002D5824" w:rsidRDefault="00963FCD" w:rsidP="00EF674D">
      <w:pPr>
        <w:ind w:left="142"/>
        <w:jc w:val="both"/>
        <w:rPr>
          <w:sz w:val="28"/>
          <w:szCs w:val="28"/>
        </w:rPr>
      </w:pPr>
    </w:p>
    <w:p w:rsidR="00EF674D" w:rsidRPr="002D5824" w:rsidRDefault="00EF674D" w:rsidP="00EF674D">
      <w:pPr>
        <w:tabs>
          <w:tab w:val="left" w:pos="6804"/>
        </w:tabs>
        <w:ind w:left="284" w:hanging="142"/>
        <w:jc w:val="both"/>
        <w:rPr>
          <w:sz w:val="28"/>
          <w:szCs w:val="28"/>
        </w:rPr>
      </w:pPr>
      <w:r w:rsidRPr="002D5824">
        <w:rPr>
          <w:sz w:val="28"/>
          <w:szCs w:val="28"/>
        </w:rPr>
        <w:t>Kultūras ministre</w:t>
      </w:r>
      <w:r w:rsidRPr="002D5824">
        <w:rPr>
          <w:sz w:val="28"/>
          <w:szCs w:val="28"/>
        </w:rPr>
        <w:tab/>
        <w:t>D.Melbārde</w:t>
      </w:r>
    </w:p>
    <w:p w:rsidR="00EF674D" w:rsidRPr="002D5824" w:rsidRDefault="00EF674D" w:rsidP="00EF674D">
      <w:pPr>
        <w:ind w:left="142"/>
        <w:rPr>
          <w:color w:val="000000"/>
          <w:sz w:val="28"/>
          <w:szCs w:val="28"/>
        </w:rPr>
      </w:pPr>
    </w:p>
    <w:p w:rsidR="00EF674D" w:rsidRPr="002D5824" w:rsidRDefault="00EF674D" w:rsidP="00EF674D">
      <w:pPr>
        <w:tabs>
          <w:tab w:val="left" w:pos="6804"/>
        </w:tabs>
        <w:ind w:firstLine="142"/>
        <w:rPr>
          <w:color w:val="000000"/>
          <w:sz w:val="28"/>
          <w:szCs w:val="28"/>
        </w:rPr>
      </w:pPr>
      <w:r w:rsidRPr="002D5824">
        <w:rPr>
          <w:color w:val="000000"/>
          <w:sz w:val="28"/>
          <w:szCs w:val="28"/>
        </w:rPr>
        <w:t xml:space="preserve">Vīza: Valsts </w:t>
      </w:r>
      <w:r w:rsidR="00AD25E0" w:rsidRPr="002D5824">
        <w:rPr>
          <w:color w:val="000000"/>
          <w:sz w:val="28"/>
          <w:szCs w:val="28"/>
        </w:rPr>
        <w:t>sekretār</w:t>
      </w:r>
      <w:r w:rsidR="00400F37">
        <w:rPr>
          <w:color w:val="000000"/>
          <w:sz w:val="28"/>
          <w:szCs w:val="28"/>
        </w:rPr>
        <w:t>s</w:t>
      </w:r>
      <w:r w:rsidR="00F037A0" w:rsidRPr="002D5824">
        <w:rPr>
          <w:color w:val="000000"/>
          <w:sz w:val="28"/>
          <w:szCs w:val="28"/>
        </w:rPr>
        <w:tab/>
      </w:r>
      <w:r w:rsidR="00400F37">
        <w:rPr>
          <w:color w:val="000000"/>
          <w:sz w:val="28"/>
          <w:szCs w:val="28"/>
        </w:rPr>
        <w:t>S.Voldiņš</w:t>
      </w:r>
    </w:p>
    <w:p w:rsidR="00EF674D" w:rsidRPr="002D5824" w:rsidRDefault="00EF674D" w:rsidP="00EF674D">
      <w:pPr>
        <w:tabs>
          <w:tab w:val="left" w:pos="6840"/>
        </w:tabs>
        <w:jc w:val="both"/>
        <w:rPr>
          <w:sz w:val="28"/>
          <w:szCs w:val="28"/>
        </w:rPr>
      </w:pPr>
    </w:p>
    <w:p w:rsidR="00154C0A" w:rsidRDefault="00154C0A" w:rsidP="00EF674D">
      <w:pPr>
        <w:tabs>
          <w:tab w:val="left" w:pos="6840"/>
        </w:tabs>
        <w:jc w:val="both"/>
        <w:rPr>
          <w:sz w:val="28"/>
          <w:szCs w:val="28"/>
        </w:rPr>
      </w:pPr>
    </w:p>
    <w:p w:rsidR="009E6454" w:rsidRPr="002D5824" w:rsidRDefault="009E6454" w:rsidP="00EF674D">
      <w:pPr>
        <w:tabs>
          <w:tab w:val="left" w:pos="6840"/>
        </w:tabs>
        <w:jc w:val="both"/>
        <w:rPr>
          <w:sz w:val="28"/>
          <w:szCs w:val="28"/>
        </w:rPr>
      </w:pPr>
    </w:p>
    <w:p w:rsidR="004F7644" w:rsidRPr="004201E3" w:rsidRDefault="004F7644" w:rsidP="002870D7">
      <w:pPr>
        <w:rPr>
          <w:sz w:val="20"/>
          <w:szCs w:val="20"/>
        </w:rPr>
      </w:pPr>
      <w:r w:rsidRPr="004201E3">
        <w:rPr>
          <w:sz w:val="20"/>
          <w:szCs w:val="20"/>
        </w:rPr>
        <w:t xml:space="preserve">Turlaja </w:t>
      </w:r>
      <w:bookmarkStart w:id="3" w:name="OLE_LINK88"/>
      <w:bookmarkStart w:id="4" w:name="OLE_LINK89"/>
      <w:r w:rsidRPr="004201E3">
        <w:rPr>
          <w:sz w:val="20"/>
          <w:szCs w:val="20"/>
        </w:rPr>
        <w:t>67330250</w:t>
      </w:r>
    </w:p>
    <w:bookmarkStart w:id="5" w:name="OLE_LINK9"/>
    <w:bookmarkStart w:id="6" w:name="OLE_LINK10"/>
    <w:p w:rsidR="00D00651" w:rsidRPr="002D5824" w:rsidRDefault="00D610DC" w:rsidP="002870D7">
      <w:pPr>
        <w:rPr>
          <w:sz w:val="22"/>
          <w:szCs w:val="22"/>
        </w:rPr>
      </w:pPr>
      <w:r w:rsidRPr="004201E3">
        <w:rPr>
          <w:sz w:val="20"/>
          <w:szCs w:val="20"/>
        </w:rPr>
        <w:fldChar w:fldCharType="begin"/>
      </w:r>
      <w:r w:rsidR="004F7644" w:rsidRPr="004201E3">
        <w:rPr>
          <w:sz w:val="20"/>
          <w:szCs w:val="20"/>
        </w:rPr>
        <w:instrText xml:space="preserve"> HYPERLINK "mailto:</w:instrText>
      </w:r>
      <w:r w:rsidR="00B97857" w:rsidRPr="004201E3">
        <w:rPr>
          <w:sz w:val="20"/>
          <w:szCs w:val="20"/>
        </w:rPr>
        <w:instrText>Laura.Turlaja@km.gov.lv</w:instrText>
      </w:r>
      <w:r w:rsidR="004F7644" w:rsidRPr="004201E3">
        <w:rPr>
          <w:sz w:val="20"/>
          <w:szCs w:val="20"/>
        </w:rPr>
        <w:instrText xml:space="preserve">" </w:instrText>
      </w:r>
      <w:r w:rsidRPr="004201E3">
        <w:rPr>
          <w:sz w:val="20"/>
          <w:szCs w:val="20"/>
        </w:rPr>
        <w:fldChar w:fldCharType="separate"/>
      </w:r>
      <w:r w:rsidR="004F7644" w:rsidRPr="004201E3">
        <w:rPr>
          <w:rStyle w:val="Hipersaite"/>
          <w:sz w:val="20"/>
          <w:szCs w:val="20"/>
        </w:rPr>
        <w:t>Laura.Turlaja@km.gov.lv</w:t>
      </w:r>
      <w:r w:rsidRPr="004201E3">
        <w:rPr>
          <w:sz w:val="20"/>
          <w:szCs w:val="20"/>
        </w:rPr>
        <w:fldChar w:fldCharType="end"/>
      </w:r>
      <w:bookmarkEnd w:id="5"/>
      <w:bookmarkEnd w:id="6"/>
      <w:bookmarkEnd w:id="3"/>
      <w:bookmarkEnd w:id="4"/>
    </w:p>
    <w:sectPr w:rsidR="00D00651" w:rsidRPr="002D5824" w:rsidSect="004E7BE5">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79" w:rsidRDefault="00BF3279">
      <w:r>
        <w:separator/>
      </w:r>
    </w:p>
    <w:p w:rsidR="00BF3279" w:rsidRDefault="00BF3279"/>
    <w:p w:rsidR="00BF3279" w:rsidRDefault="00BF3279"/>
  </w:endnote>
  <w:endnote w:type="continuationSeparator" w:id="0">
    <w:p w:rsidR="00BF3279" w:rsidRDefault="00BF3279">
      <w:r>
        <w:continuationSeparator/>
      </w:r>
    </w:p>
    <w:p w:rsidR="00BF3279" w:rsidRDefault="00BF3279"/>
    <w:p w:rsidR="00BF3279" w:rsidRDefault="00BF32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32" w:rsidRDefault="0039553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9" w:rsidRPr="004F7644" w:rsidRDefault="00BF3279" w:rsidP="00AE5891">
    <w:pPr>
      <w:jc w:val="both"/>
      <w:rPr>
        <w:bCs/>
        <w:sz w:val="20"/>
        <w:szCs w:val="20"/>
      </w:rPr>
    </w:pPr>
    <w:r w:rsidRPr="004F7644">
      <w:rPr>
        <w:sz w:val="20"/>
        <w:szCs w:val="20"/>
      </w:rPr>
      <w:t>KMAnot_</w:t>
    </w:r>
    <w:r w:rsidR="007D61B0">
      <w:rPr>
        <w:sz w:val="20"/>
        <w:szCs w:val="20"/>
      </w:rPr>
      <w:t>2</w:t>
    </w:r>
    <w:r w:rsidR="00395532">
      <w:rPr>
        <w:sz w:val="20"/>
        <w:szCs w:val="20"/>
      </w:rPr>
      <w:t>5</w:t>
    </w:r>
    <w:r w:rsidR="003F72C4" w:rsidRPr="003F72C4">
      <w:rPr>
        <w:sz w:val="20"/>
        <w:szCs w:val="20"/>
      </w:rPr>
      <w:t>0517</w:t>
    </w:r>
    <w:r w:rsidRPr="004F7644">
      <w:rPr>
        <w:sz w:val="20"/>
        <w:szCs w:val="20"/>
      </w:rPr>
      <w:t>_kultūras_joma_statistika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9" w:rsidRDefault="00BF3279" w:rsidP="00BD7C16">
    <w:pPr>
      <w:jc w:val="both"/>
      <w:rPr>
        <w:sz w:val="22"/>
        <w:szCs w:val="22"/>
      </w:rPr>
    </w:pPr>
  </w:p>
  <w:p w:rsidR="00BF3279" w:rsidRPr="00BD7C16" w:rsidRDefault="00BF3279" w:rsidP="004F7644">
    <w:pPr>
      <w:jc w:val="both"/>
      <w:rPr>
        <w:bCs/>
        <w:sz w:val="22"/>
        <w:szCs w:val="22"/>
      </w:rPr>
    </w:pPr>
    <w:r w:rsidRPr="004F7644">
      <w:rPr>
        <w:sz w:val="20"/>
        <w:szCs w:val="20"/>
      </w:rPr>
      <w:t>KMAnot_</w:t>
    </w:r>
    <w:r w:rsidR="00395532">
      <w:rPr>
        <w:sz w:val="20"/>
        <w:szCs w:val="20"/>
      </w:rPr>
      <w:t>25</w:t>
    </w:r>
    <w:r w:rsidR="003F72C4" w:rsidRPr="003F72C4">
      <w:rPr>
        <w:sz w:val="20"/>
        <w:szCs w:val="20"/>
      </w:rPr>
      <w:t>0517</w:t>
    </w:r>
    <w:r w:rsidRPr="004F7644">
      <w:rPr>
        <w:sz w:val="20"/>
        <w:szCs w:val="20"/>
      </w:rPr>
      <w:t>_kultūras_joma_statistika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79" w:rsidRDefault="00BF3279">
      <w:r>
        <w:separator/>
      </w:r>
    </w:p>
    <w:p w:rsidR="00BF3279" w:rsidRDefault="00BF3279"/>
    <w:p w:rsidR="00BF3279" w:rsidRDefault="00BF3279"/>
  </w:footnote>
  <w:footnote w:type="continuationSeparator" w:id="0">
    <w:p w:rsidR="00BF3279" w:rsidRDefault="00BF3279">
      <w:r>
        <w:continuationSeparator/>
      </w:r>
    </w:p>
    <w:p w:rsidR="00BF3279" w:rsidRDefault="00BF3279"/>
    <w:p w:rsidR="00BF3279" w:rsidRDefault="00BF32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9" w:rsidRDefault="00D610DC" w:rsidP="003C449B">
    <w:pPr>
      <w:pStyle w:val="Galvene"/>
      <w:framePr w:wrap="around" w:vAnchor="text" w:hAnchor="margin" w:xAlign="center" w:y="1"/>
      <w:rPr>
        <w:rStyle w:val="Lappusesnumurs"/>
      </w:rPr>
    </w:pPr>
    <w:r>
      <w:rPr>
        <w:rStyle w:val="Lappusesnumurs"/>
      </w:rPr>
      <w:fldChar w:fldCharType="begin"/>
    </w:r>
    <w:r w:rsidR="00BF3279">
      <w:rPr>
        <w:rStyle w:val="Lappusesnumurs"/>
      </w:rPr>
      <w:instrText xml:space="preserve">PAGE  </w:instrText>
    </w:r>
    <w:r>
      <w:rPr>
        <w:rStyle w:val="Lappusesnumurs"/>
      </w:rPr>
      <w:fldChar w:fldCharType="end"/>
    </w:r>
  </w:p>
  <w:p w:rsidR="00BF3279" w:rsidRDefault="00BF3279">
    <w:pPr>
      <w:pStyle w:val="Galvene"/>
    </w:pPr>
  </w:p>
  <w:p w:rsidR="00BF3279" w:rsidRDefault="00BF3279"/>
  <w:p w:rsidR="00BF3279" w:rsidRDefault="00BF32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79" w:rsidRPr="001E0810" w:rsidRDefault="00D610DC" w:rsidP="00B12CE4">
    <w:pPr>
      <w:pStyle w:val="Galvene"/>
      <w:framePr w:wrap="around" w:vAnchor="text" w:hAnchor="page" w:x="6226" w:y="12"/>
      <w:rPr>
        <w:rStyle w:val="Lappusesnumurs"/>
      </w:rPr>
    </w:pPr>
    <w:r w:rsidRPr="001E0810">
      <w:rPr>
        <w:rStyle w:val="Lappusesnumurs"/>
      </w:rPr>
      <w:fldChar w:fldCharType="begin"/>
    </w:r>
    <w:r w:rsidR="00BF3279" w:rsidRPr="001E0810">
      <w:rPr>
        <w:rStyle w:val="Lappusesnumurs"/>
      </w:rPr>
      <w:instrText xml:space="preserve">PAGE  </w:instrText>
    </w:r>
    <w:r w:rsidRPr="001E0810">
      <w:rPr>
        <w:rStyle w:val="Lappusesnumurs"/>
      </w:rPr>
      <w:fldChar w:fldCharType="separate"/>
    </w:r>
    <w:r w:rsidR="003D13D1">
      <w:rPr>
        <w:rStyle w:val="Lappusesnumurs"/>
        <w:noProof/>
      </w:rPr>
      <w:t>2</w:t>
    </w:r>
    <w:r w:rsidRPr="001E0810">
      <w:rPr>
        <w:rStyle w:val="Lappusesnumurs"/>
      </w:rPr>
      <w:fldChar w:fldCharType="end"/>
    </w:r>
  </w:p>
  <w:p w:rsidR="00BF3279" w:rsidRDefault="00BF3279" w:rsidP="00F667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32" w:rsidRDefault="0039553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EF6"/>
    <w:multiLevelType w:val="hybridMultilevel"/>
    <w:tmpl w:val="FF8AE81A"/>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897EE1"/>
    <w:multiLevelType w:val="hybridMultilevel"/>
    <w:tmpl w:val="82489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F95F8C"/>
    <w:multiLevelType w:val="multilevel"/>
    <w:tmpl w:val="5DC823EA"/>
    <w:lvl w:ilvl="0">
      <w:start w:val="1"/>
      <w:numFmt w:val="decimal"/>
      <w:lvlText w:val="%1."/>
      <w:lvlJc w:val="left"/>
      <w:pPr>
        <w:tabs>
          <w:tab w:val="num" w:pos="4613"/>
        </w:tabs>
        <w:ind w:left="4613" w:hanging="360"/>
      </w:pPr>
      <w:rPr>
        <w:b w:val="0"/>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B1126F"/>
    <w:multiLevelType w:val="hybridMultilevel"/>
    <w:tmpl w:val="23E6914E"/>
    <w:lvl w:ilvl="0" w:tplc="297A99D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5">
    <w:nsid w:val="13944460"/>
    <w:multiLevelType w:val="hybridMultilevel"/>
    <w:tmpl w:val="756087A0"/>
    <w:lvl w:ilvl="0" w:tplc="9A8099C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E3AD0"/>
    <w:multiLevelType w:val="hybridMultilevel"/>
    <w:tmpl w:val="661E00AC"/>
    <w:lvl w:ilvl="0" w:tplc="C05E5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7FA2F4D"/>
    <w:multiLevelType w:val="hybridMultilevel"/>
    <w:tmpl w:val="6ECC1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AE22F5B"/>
    <w:multiLevelType w:val="hybridMultilevel"/>
    <w:tmpl w:val="023C05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36926E5"/>
    <w:multiLevelType w:val="hybridMultilevel"/>
    <w:tmpl w:val="302C7BE2"/>
    <w:lvl w:ilvl="0" w:tplc="9BC439B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38177E"/>
    <w:multiLevelType w:val="hybridMultilevel"/>
    <w:tmpl w:val="FC68B29C"/>
    <w:lvl w:ilvl="0" w:tplc="1B32BB40">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7CFC1E63"/>
    <w:multiLevelType w:val="hybridMultilevel"/>
    <w:tmpl w:val="F46EB886"/>
    <w:lvl w:ilvl="0" w:tplc="C36242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6"/>
  </w:num>
  <w:num w:numId="5">
    <w:abstractNumId w:val="3"/>
  </w:num>
  <w:num w:numId="6">
    <w:abstractNumId w:val="17"/>
  </w:num>
  <w:num w:numId="7">
    <w:abstractNumId w:val="21"/>
  </w:num>
  <w:num w:numId="8">
    <w:abstractNumId w:val="13"/>
  </w:num>
  <w:num w:numId="9">
    <w:abstractNumId w:val="7"/>
  </w:num>
  <w:num w:numId="10">
    <w:abstractNumId w:val="14"/>
  </w:num>
  <w:num w:numId="11">
    <w:abstractNumId w:val="15"/>
  </w:num>
  <w:num w:numId="12">
    <w:abstractNumId w:val="18"/>
  </w:num>
  <w:num w:numId="13">
    <w:abstractNumId w:val="19"/>
  </w:num>
  <w:num w:numId="14">
    <w:abstractNumId w:val="4"/>
  </w:num>
  <w:num w:numId="15">
    <w:abstractNumId w:val="2"/>
  </w:num>
  <w:num w:numId="16">
    <w:abstractNumId w:val="0"/>
  </w:num>
  <w:num w:numId="17">
    <w:abstractNumId w:val="16"/>
  </w:num>
  <w:num w:numId="18">
    <w:abstractNumId w:val="12"/>
  </w:num>
  <w:num w:numId="19">
    <w:abstractNumId w:val="22"/>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8C5649"/>
    <w:rsid w:val="000020C2"/>
    <w:rsid w:val="00005CCB"/>
    <w:rsid w:val="00011D24"/>
    <w:rsid w:val="00012740"/>
    <w:rsid w:val="00013FF4"/>
    <w:rsid w:val="00014C88"/>
    <w:rsid w:val="00015D5D"/>
    <w:rsid w:val="0001615B"/>
    <w:rsid w:val="000208E9"/>
    <w:rsid w:val="00020D13"/>
    <w:rsid w:val="00020FE1"/>
    <w:rsid w:val="0002107B"/>
    <w:rsid w:val="00021F50"/>
    <w:rsid w:val="00022E13"/>
    <w:rsid w:val="000237D9"/>
    <w:rsid w:val="00025C8C"/>
    <w:rsid w:val="00032388"/>
    <w:rsid w:val="0003427F"/>
    <w:rsid w:val="00035CE2"/>
    <w:rsid w:val="00037902"/>
    <w:rsid w:val="00042753"/>
    <w:rsid w:val="00044AA8"/>
    <w:rsid w:val="0004549E"/>
    <w:rsid w:val="00051858"/>
    <w:rsid w:val="00051B94"/>
    <w:rsid w:val="0005255D"/>
    <w:rsid w:val="00054A96"/>
    <w:rsid w:val="0005553B"/>
    <w:rsid w:val="00055B95"/>
    <w:rsid w:val="000604D2"/>
    <w:rsid w:val="00064165"/>
    <w:rsid w:val="0007461C"/>
    <w:rsid w:val="0009005E"/>
    <w:rsid w:val="00090097"/>
    <w:rsid w:val="0009218F"/>
    <w:rsid w:val="000941C5"/>
    <w:rsid w:val="000A4294"/>
    <w:rsid w:val="000A5927"/>
    <w:rsid w:val="000A6451"/>
    <w:rsid w:val="000B064E"/>
    <w:rsid w:val="000B2E9C"/>
    <w:rsid w:val="000B3A48"/>
    <w:rsid w:val="000B4B75"/>
    <w:rsid w:val="000B4F51"/>
    <w:rsid w:val="000B69CF"/>
    <w:rsid w:val="000C28C2"/>
    <w:rsid w:val="000C42B0"/>
    <w:rsid w:val="000C49CF"/>
    <w:rsid w:val="000C790C"/>
    <w:rsid w:val="000D264C"/>
    <w:rsid w:val="000E5A6B"/>
    <w:rsid w:val="000E7106"/>
    <w:rsid w:val="000F0015"/>
    <w:rsid w:val="000F061D"/>
    <w:rsid w:val="000F4794"/>
    <w:rsid w:val="000F6868"/>
    <w:rsid w:val="000F79E8"/>
    <w:rsid w:val="00100DA3"/>
    <w:rsid w:val="00105F44"/>
    <w:rsid w:val="00107F4E"/>
    <w:rsid w:val="001159E1"/>
    <w:rsid w:val="001171D1"/>
    <w:rsid w:val="00121C46"/>
    <w:rsid w:val="00122D6A"/>
    <w:rsid w:val="00123CFB"/>
    <w:rsid w:val="00124CA8"/>
    <w:rsid w:val="00124F12"/>
    <w:rsid w:val="0012579C"/>
    <w:rsid w:val="00130CC4"/>
    <w:rsid w:val="00135B48"/>
    <w:rsid w:val="0014155B"/>
    <w:rsid w:val="00142D51"/>
    <w:rsid w:val="00144E3A"/>
    <w:rsid w:val="001461A9"/>
    <w:rsid w:val="001474ED"/>
    <w:rsid w:val="0015060C"/>
    <w:rsid w:val="0015195B"/>
    <w:rsid w:val="00154C0A"/>
    <w:rsid w:val="0016018A"/>
    <w:rsid w:val="00161F0E"/>
    <w:rsid w:val="0016349E"/>
    <w:rsid w:val="00170E2A"/>
    <w:rsid w:val="0017680A"/>
    <w:rsid w:val="00177394"/>
    <w:rsid w:val="00177C11"/>
    <w:rsid w:val="00180987"/>
    <w:rsid w:val="001820B7"/>
    <w:rsid w:val="00182C18"/>
    <w:rsid w:val="0018341F"/>
    <w:rsid w:val="00183CC2"/>
    <w:rsid w:val="001900E4"/>
    <w:rsid w:val="00190F88"/>
    <w:rsid w:val="0019301A"/>
    <w:rsid w:val="001939CE"/>
    <w:rsid w:val="00197FFA"/>
    <w:rsid w:val="001A4066"/>
    <w:rsid w:val="001A4EF4"/>
    <w:rsid w:val="001A54A8"/>
    <w:rsid w:val="001A5C6A"/>
    <w:rsid w:val="001A6AE4"/>
    <w:rsid w:val="001B01FD"/>
    <w:rsid w:val="001B27DB"/>
    <w:rsid w:val="001B4A71"/>
    <w:rsid w:val="001B5903"/>
    <w:rsid w:val="001B5E62"/>
    <w:rsid w:val="001B5F83"/>
    <w:rsid w:val="001B7820"/>
    <w:rsid w:val="001C095F"/>
    <w:rsid w:val="001C1882"/>
    <w:rsid w:val="001C3560"/>
    <w:rsid w:val="001C5848"/>
    <w:rsid w:val="001C6860"/>
    <w:rsid w:val="001D0DE4"/>
    <w:rsid w:val="001D2F79"/>
    <w:rsid w:val="001D40E5"/>
    <w:rsid w:val="001D582E"/>
    <w:rsid w:val="001D5B54"/>
    <w:rsid w:val="001D66FE"/>
    <w:rsid w:val="001E0810"/>
    <w:rsid w:val="001E11C7"/>
    <w:rsid w:val="001E1DBF"/>
    <w:rsid w:val="001E4639"/>
    <w:rsid w:val="001E48CD"/>
    <w:rsid w:val="001E4A7D"/>
    <w:rsid w:val="001E6B96"/>
    <w:rsid w:val="001E7608"/>
    <w:rsid w:val="001F1922"/>
    <w:rsid w:val="001F3782"/>
    <w:rsid w:val="001F4209"/>
    <w:rsid w:val="001F43A8"/>
    <w:rsid w:val="001F4A27"/>
    <w:rsid w:val="001F4F6C"/>
    <w:rsid w:val="001F5A82"/>
    <w:rsid w:val="001F5CD6"/>
    <w:rsid w:val="00205458"/>
    <w:rsid w:val="002056E1"/>
    <w:rsid w:val="00207323"/>
    <w:rsid w:val="00207E1F"/>
    <w:rsid w:val="00207F23"/>
    <w:rsid w:val="00210E36"/>
    <w:rsid w:val="00211CA1"/>
    <w:rsid w:val="0021263D"/>
    <w:rsid w:val="00213F0C"/>
    <w:rsid w:val="00214094"/>
    <w:rsid w:val="0021592D"/>
    <w:rsid w:val="002169C2"/>
    <w:rsid w:val="00217810"/>
    <w:rsid w:val="00222D76"/>
    <w:rsid w:val="00223EB1"/>
    <w:rsid w:val="002250C5"/>
    <w:rsid w:val="00227959"/>
    <w:rsid w:val="00231344"/>
    <w:rsid w:val="0023436E"/>
    <w:rsid w:val="002347C0"/>
    <w:rsid w:val="002365EA"/>
    <w:rsid w:val="00241846"/>
    <w:rsid w:val="00241A6C"/>
    <w:rsid w:val="00242D2B"/>
    <w:rsid w:val="00242D58"/>
    <w:rsid w:val="002460CB"/>
    <w:rsid w:val="002479FD"/>
    <w:rsid w:val="0025536E"/>
    <w:rsid w:val="002576A4"/>
    <w:rsid w:val="0025775C"/>
    <w:rsid w:val="00261663"/>
    <w:rsid w:val="00261BCF"/>
    <w:rsid w:val="00262E2B"/>
    <w:rsid w:val="00270096"/>
    <w:rsid w:val="00270429"/>
    <w:rsid w:val="00270772"/>
    <w:rsid w:val="002723E9"/>
    <w:rsid w:val="002737F7"/>
    <w:rsid w:val="00274E73"/>
    <w:rsid w:val="0027580F"/>
    <w:rsid w:val="00277929"/>
    <w:rsid w:val="00281692"/>
    <w:rsid w:val="0028249A"/>
    <w:rsid w:val="00282EFD"/>
    <w:rsid w:val="00283B82"/>
    <w:rsid w:val="002846E9"/>
    <w:rsid w:val="00284C34"/>
    <w:rsid w:val="002859D9"/>
    <w:rsid w:val="002870D7"/>
    <w:rsid w:val="0028762B"/>
    <w:rsid w:val="00287640"/>
    <w:rsid w:val="0029066C"/>
    <w:rsid w:val="0029371E"/>
    <w:rsid w:val="00294435"/>
    <w:rsid w:val="0029455E"/>
    <w:rsid w:val="0029628D"/>
    <w:rsid w:val="00297728"/>
    <w:rsid w:val="002A2622"/>
    <w:rsid w:val="002A380D"/>
    <w:rsid w:val="002A7339"/>
    <w:rsid w:val="002A7B04"/>
    <w:rsid w:val="002B2CEC"/>
    <w:rsid w:val="002B4371"/>
    <w:rsid w:val="002B50DB"/>
    <w:rsid w:val="002C12AB"/>
    <w:rsid w:val="002C2C67"/>
    <w:rsid w:val="002C32DF"/>
    <w:rsid w:val="002C7CAC"/>
    <w:rsid w:val="002D137C"/>
    <w:rsid w:val="002D162F"/>
    <w:rsid w:val="002D3306"/>
    <w:rsid w:val="002D3AAB"/>
    <w:rsid w:val="002D48AA"/>
    <w:rsid w:val="002D5824"/>
    <w:rsid w:val="002D7BAA"/>
    <w:rsid w:val="002D7F54"/>
    <w:rsid w:val="002E348E"/>
    <w:rsid w:val="002E3FF4"/>
    <w:rsid w:val="002F78C8"/>
    <w:rsid w:val="002F7944"/>
    <w:rsid w:val="0030137F"/>
    <w:rsid w:val="00301B7F"/>
    <w:rsid w:val="00301CF3"/>
    <w:rsid w:val="00302583"/>
    <w:rsid w:val="00302DF8"/>
    <w:rsid w:val="003064CB"/>
    <w:rsid w:val="00310D64"/>
    <w:rsid w:val="00323A9A"/>
    <w:rsid w:val="00324D87"/>
    <w:rsid w:val="0032715C"/>
    <w:rsid w:val="00332B3A"/>
    <w:rsid w:val="0033567C"/>
    <w:rsid w:val="00337CA5"/>
    <w:rsid w:val="003404F5"/>
    <w:rsid w:val="0034094C"/>
    <w:rsid w:val="00340D3F"/>
    <w:rsid w:val="0034254D"/>
    <w:rsid w:val="00342F1B"/>
    <w:rsid w:val="00344A1C"/>
    <w:rsid w:val="00346A70"/>
    <w:rsid w:val="00350906"/>
    <w:rsid w:val="00350A31"/>
    <w:rsid w:val="00352970"/>
    <w:rsid w:val="0035467F"/>
    <w:rsid w:val="00356B18"/>
    <w:rsid w:val="00361965"/>
    <w:rsid w:val="00362478"/>
    <w:rsid w:val="003651E4"/>
    <w:rsid w:val="0036723A"/>
    <w:rsid w:val="0037082C"/>
    <w:rsid w:val="00371BA2"/>
    <w:rsid w:val="00374BD1"/>
    <w:rsid w:val="00374D26"/>
    <w:rsid w:val="00375B25"/>
    <w:rsid w:val="00377B2A"/>
    <w:rsid w:val="0038132C"/>
    <w:rsid w:val="003816A9"/>
    <w:rsid w:val="00385D65"/>
    <w:rsid w:val="00390B34"/>
    <w:rsid w:val="00392FA3"/>
    <w:rsid w:val="003933F5"/>
    <w:rsid w:val="00395532"/>
    <w:rsid w:val="00396542"/>
    <w:rsid w:val="0039685B"/>
    <w:rsid w:val="003A0A0E"/>
    <w:rsid w:val="003A16AA"/>
    <w:rsid w:val="003A31A6"/>
    <w:rsid w:val="003A4041"/>
    <w:rsid w:val="003A608D"/>
    <w:rsid w:val="003A7876"/>
    <w:rsid w:val="003A7F0C"/>
    <w:rsid w:val="003A7F79"/>
    <w:rsid w:val="003B05AE"/>
    <w:rsid w:val="003B08D3"/>
    <w:rsid w:val="003B1226"/>
    <w:rsid w:val="003B2675"/>
    <w:rsid w:val="003B30F2"/>
    <w:rsid w:val="003B3544"/>
    <w:rsid w:val="003B4E2C"/>
    <w:rsid w:val="003B559F"/>
    <w:rsid w:val="003B6404"/>
    <w:rsid w:val="003B64C6"/>
    <w:rsid w:val="003C03A2"/>
    <w:rsid w:val="003C2F94"/>
    <w:rsid w:val="003C449B"/>
    <w:rsid w:val="003C5AC8"/>
    <w:rsid w:val="003D0652"/>
    <w:rsid w:val="003D105D"/>
    <w:rsid w:val="003D13D1"/>
    <w:rsid w:val="003D21FF"/>
    <w:rsid w:val="003D3D61"/>
    <w:rsid w:val="003D4956"/>
    <w:rsid w:val="003D6F2D"/>
    <w:rsid w:val="003D719C"/>
    <w:rsid w:val="003E08D0"/>
    <w:rsid w:val="003E2A06"/>
    <w:rsid w:val="003F0112"/>
    <w:rsid w:val="003F071A"/>
    <w:rsid w:val="003F160B"/>
    <w:rsid w:val="003F19F3"/>
    <w:rsid w:val="003F2E3F"/>
    <w:rsid w:val="003F7080"/>
    <w:rsid w:val="003F72C4"/>
    <w:rsid w:val="00400032"/>
    <w:rsid w:val="00400B5B"/>
    <w:rsid w:val="00400F37"/>
    <w:rsid w:val="00405A00"/>
    <w:rsid w:val="00406D48"/>
    <w:rsid w:val="004070BD"/>
    <w:rsid w:val="00407B77"/>
    <w:rsid w:val="004201E3"/>
    <w:rsid w:val="00420870"/>
    <w:rsid w:val="00424EE4"/>
    <w:rsid w:val="00425577"/>
    <w:rsid w:val="004272BF"/>
    <w:rsid w:val="004312F6"/>
    <w:rsid w:val="00432823"/>
    <w:rsid w:val="00432D0C"/>
    <w:rsid w:val="0043791B"/>
    <w:rsid w:val="00437AA8"/>
    <w:rsid w:val="00441483"/>
    <w:rsid w:val="00441BCB"/>
    <w:rsid w:val="00443AD7"/>
    <w:rsid w:val="00445B28"/>
    <w:rsid w:val="004506C0"/>
    <w:rsid w:val="00451555"/>
    <w:rsid w:val="0045176A"/>
    <w:rsid w:val="00451CAA"/>
    <w:rsid w:val="00452545"/>
    <w:rsid w:val="0045379B"/>
    <w:rsid w:val="00453F56"/>
    <w:rsid w:val="00454B7C"/>
    <w:rsid w:val="00456332"/>
    <w:rsid w:val="0045736A"/>
    <w:rsid w:val="00460E7D"/>
    <w:rsid w:val="00461826"/>
    <w:rsid w:val="00461D02"/>
    <w:rsid w:val="00462787"/>
    <w:rsid w:val="00464D65"/>
    <w:rsid w:val="004656FD"/>
    <w:rsid w:val="004717A8"/>
    <w:rsid w:val="00477B9C"/>
    <w:rsid w:val="00477DB3"/>
    <w:rsid w:val="004800F9"/>
    <w:rsid w:val="00481A83"/>
    <w:rsid w:val="00490F29"/>
    <w:rsid w:val="0049134A"/>
    <w:rsid w:val="004A00E9"/>
    <w:rsid w:val="004A4F94"/>
    <w:rsid w:val="004A58CB"/>
    <w:rsid w:val="004A6133"/>
    <w:rsid w:val="004A66D7"/>
    <w:rsid w:val="004A7323"/>
    <w:rsid w:val="004B1795"/>
    <w:rsid w:val="004B56DD"/>
    <w:rsid w:val="004B5EC5"/>
    <w:rsid w:val="004B5F94"/>
    <w:rsid w:val="004B61DF"/>
    <w:rsid w:val="004C020F"/>
    <w:rsid w:val="004C1AFD"/>
    <w:rsid w:val="004C3532"/>
    <w:rsid w:val="004C5537"/>
    <w:rsid w:val="004C558B"/>
    <w:rsid w:val="004C62B4"/>
    <w:rsid w:val="004C6604"/>
    <w:rsid w:val="004D00C0"/>
    <w:rsid w:val="004D4D60"/>
    <w:rsid w:val="004E00CF"/>
    <w:rsid w:val="004E2849"/>
    <w:rsid w:val="004E3BA9"/>
    <w:rsid w:val="004E3F10"/>
    <w:rsid w:val="004E548A"/>
    <w:rsid w:val="004E7BE5"/>
    <w:rsid w:val="004F0464"/>
    <w:rsid w:val="004F1F88"/>
    <w:rsid w:val="004F3EF0"/>
    <w:rsid w:val="004F44C5"/>
    <w:rsid w:val="004F48CB"/>
    <w:rsid w:val="004F5F1B"/>
    <w:rsid w:val="004F6303"/>
    <w:rsid w:val="004F7644"/>
    <w:rsid w:val="0050235F"/>
    <w:rsid w:val="00502374"/>
    <w:rsid w:val="005049E3"/>
    <w:rsid w:val="005060A1"/>
    <w:rsid w:val="00510E4E"/>
    <w:rsid w:val="00512BD5"/>
    <w:rsid w:val="005138A6"/>
    <w:rsid w:val="00516072"/>
    <w:rsid w:val="00516A47"/>
    <w:rsid w:val="0052028A"/>
    <w:rsid w:val="005206CE"/>
    <w:rsid w:val="00522B1A"/>
    <w:rsid w:val="005231CF"/>
    <w:rsid w:val="00523C0C"/>
    <w:rsid w:val="00526A06"/>
    <w:rsid w:val="005271BF"/>
    <w:rsid w:val="0053176F"/>
    <w:rsid w:val="0053303F"/>
    <w:rsid w:val="005332EC"/>
    <w:rsid w:val="00534418"/>
    <w:rsid w:val="0053482E"/>
    <w:rsid w:val="005348E2"/>
    <w:rsid w:val="005353AB"/>
    <w:rsid w:val="00535E05"/>
    <w:rsid w:val="005401EF"/>
    <w:rsid w:val="0054213E"/>
    <w:rsid w:val="00545C1E"/>
    <w:rsid w:val="005479F6"/>
    <w:rsid w:val="005528C3"/>
    <w:rsid w:val="00553931"/>
    <w:rsid w:val="005560BC"/>
    <w:rsid w:val="005573BE"/>
    <w:rsid w:val="0056627E"/>
    <w:rsid w:val="005666C0"/>
    <w:rsid w:val="00572121"/>
    <w:rsid w:val="00572700"/>
    <w:rsid w:val="005740EB"/>
    <w:rsid w:val="00580468"/>
    <w:rsid w:val="005804B2"/>
    <w:rsid w:val="00582231"/>
    <w:rsid w:val="0058550B"/>
    <w:rsid w:val="0058603B"/>
    <w:rsid w:val="00587E31"/>
    <w:rsid w:val="00594108"/>
    <w:rsid w:val="0059431B"/>
    <w:rsid w:val="00594D10"/>
    <w:rsid w:val="00594EB9"/>
    <w:rsid w:val="005A39CC"/>
    <w:rsid w:val="005A58F7"/>
    <w:rsid w:val="005B4730"/>
    <w:rsid w:val="005B71E7"/>
    <w:rsid w:val="005B767D"/>
    <w:rsid w:val="005C3DA7"/>
    <w:rsid w:val="005C6EC4"/>
    <w:rsid w:val="005D503D"/>
    <w:rsid w:val="005D54E0"/>
    <w:rsid w:val="005D721F"/>
    <w:rsid w:val="005E05D7"/>
    <w:rsid w:val="005E2074"/>
    <w:rsid w:val="005E3BBC"/>
    <w:rsid w:val="005E41E7"/>
    <w:rsid w:val="005E450F"/>
    <w:rsid w:val="005E45E6"/>
    <w:rsid w:val="005E5360"/>
    <w:rsid w:val="005E697F"/>
    <w:rsid w:val="005F194F"/>
    <w:rsid w:val="005F4888"/>
    <w:rsid w:val="005F5B9D"/>
    <w:rsid w:val="005F7C7B"/>
    <w:rsid w:val="00601931"/>
    <w:rsid w:val="00603FDB"/>
    <w:rsid w:val="006055CF"/>
    <w:rsid w:val="006062F1"/>
    <w:rsid w:val="00611385"/>
    <w:rsid w:val="0061584F"/>
    <w:rsid w:val="00622796"/>
    <w:rsid w:val="0062298A"/>
    <w:rsid w:val="00622F0B"/>
    <w:rsid w:val="006239B6"/>
    <w:rsid w:val="00623EBD"/>
    <w:rsid w:val="0062490B"/>
    <w:rsid w:val="0062591C"/>
    <w:rsid w:val="00625E20"/>
    <w:rsid w:val="006260F4"/>
    <w:rsid w:val="00626514"/>
    <w:rsid w:val="00626589"/>
    <w:rsid w:val="00626E62"/>
    <w:rsid w:val="006339A0"/>
    <w:rsid w:val="006413A8"/>
    <w:rsid w:val="00642983"/>
    <w:rsid w:val="00642E56"/>
    <w:rsid w:val="006430F4"/>
    <w:rsid w:val="00643827"/>
    <w:rsid w:val="00643908"/>
    <w:rsid w:val="006441E0"/>
    <w:rsid w:val="00644815"/>
    <w:rsid w:val="00644E76"/>
    <w:rsid w:val="00646879"/>
    <w:rsid w:val="00651E00"/>
    <w:rsid w:val="00655E24"/>
    <w:rsid w:val="00656AF6"/>
    <w:rsid w:val="00664878"/>
    <w:rsid w:val="00664935"/>
    <w:rsid w:val="006652B7"/>
    <w:rsid w:val="00666286"/>
    <w:rsid w:val="0066743A"/>
    <w:rsid w:val="00671429"/>
    <w:rsid w:val="00674572"/>
    <w:rsid w:val="0068144F"/>
    <w:rsid w:val="0068291C"/>
    <w:rsid w:val="00687763"/>
    <w:rsid w:val="00692B0D"/>
    <w:rsid w:val="00693E0E"/>
    <w:rsid w:val="006A03B0"/>
    <w:rsid w:val="006A1AE3"/>
    <w:rsid w:val="006A36F7"/>
    <w:rsid w:val="006A50D2"/>
    <w:rsid w:val="006A672B"/>
    <w:rsid w:val="006A6F90"/>
    <w:rsid w:val="006B6DA1"/>
    <w:rsid w:val="006C30E1"/>
    <w:rsid w:val="006C3ECE"/>
    <w:rsid w:val="006C4607"/>
    <w:rsid w:val="006C66B6"/>
    <w:rsid w:val="006C6C8A"/>
    <w:rsid w:val="006D179F"/>
    <w:rsid w:val="006D48F1"/>
    <w:rsid w:val="006F0602"/>
    <w:rsid w:val="006F1978"/>
    <w:rsid w:val="006F3CB2"/>
    <w:rsid w:val="006F3FDA"/>
    <w:rsid w:val="006F45BE"/>
    <w:rsid w:val="006F47FD"/>
    <w:rsid w:val="006F4CAC"/>
    <w:rsid w:val="006F5D5D"/>
    <w:rsid w:val="006F68AA"/>
    <w:rsid w:val="007004FC"/>
    <w:rsid w:val="007010F8"/>
    <w:rsid w:val="007019DC"/>
    <w:rsid w:val="007022B3"/>
    <w:rsid w:val="00702D6B"/>
    <w:rsid w:val="00702F35"/>
    <w:rsid w:val="00702FED"/>
    <w:rsid w:val="00703069"/>
    <w:rsid w:val="00703EEA"/>
    <w:rsid w:val="00704992"/>
    <w:rsid w:val="00706670"/>
    <w:rsid w:val="00707404"/>
    <w:rsid w:val="00711F59"/>
    <w:rsid w:val="007126FB"/>
    <w:rsid w:val="007135C4"/>
    <w:rsid w:val="00713AF1"/>
    <w:rsid w:val="00714038"/>
    <w:rsid w:val="00717F51"/>
    <w:rsid w:val="007226AB"/>
    <w:rsid w:val="0072415A"/>
    <w:rsid w:val="0072417C"/>
    <w:rsid w:val="00730BE0"/>
    <w:rsid w:val="00731D7A"/>
    <w:rsid w:val="0073248E"/>
    <w:rsid w:val="0073277F"/>
    <w:rsid w:val="00734450"/>
    <w:rsid w:val="00734B45"/>
    <w:rsid w:val="0073784C"/>
    <w:rsid w:val="00744A6D"/>
    <w:rsid w:val="0074578B"/>
    <w:rsid w:val="00745F67"/>
    <w:rsid w:val="0074640A"/>
    <w:rsid w:val="007464B0"/>
    <w:rsid w:val="00747115"/>
    <w:rsid w:val="0075039E"/>
    <w:rsid w:val="00752D9D"/>
    <w:rsid w:val="00753357"/>
    <w:rsid w:val="00754784"/>
    <w:rsid w:val="00757C6E"/>
    <w:rsid w:val="00760F9C"/>
    <w:rsid w:val="00761A34"/>
    <w:rsid w:val="00761D7E"/>
    <w:rsid w:val="00762BDA"/>
    <w:rsid w:val="0076409B"/>
    <w:rsid w:val="00764AB3"/>
    <w:rsid w:val="00764F21"/>
    <w:rsid w:val="0076514E"/>
    <w:rsid w:val="007655DF"/>
    <w:rsid w:val="007656DA"/>
    <w:rsid w:val="00772F8F"/>
    <w:rsid w:val="00774BA3"/>
    <w:rsid w:val="00776181"/>
    <w:rsid w:val="0077735A"/>
    <w:rsid w:val="007805FD"/>
    <w:rsid w:val="00780CA5"/>
    <w:rsid w:val="00784422"/>
    <w:rsid w:val="0078649F"/>
    <w:rsid w:val="00786679"/>
    <w:rsid w:val="00791883"/>
    <w:rsid w:val="00791B3F"/>
    <w:rsid w:val="00792F32"/>
    <w:rsid w:val="00794126"/>
    <w:rsid w:val="0079563D"/>
    <w:rsid w:val="007A5A32"/>
    <w:rsid w:val="007A78A8"/>
    <w:rsid w:val="007B31DF"/>
    <w:rsid w:val="007B3B54"/>
    <w:rsid w:val="007B3FA0"/>
    <w:rsid w:val="007B4869"/>
    <w:rsid w:val="007B654E"/>
    <w:rsid w:val="007C0F2C"/>
    <w:rsid w:val="007C2BCC"/>
    <w:rsid w:val="007C469A"/>
    <w:rsid w:val="007C4EF0"/>
    <w:rsid w:val="007C5359"/>
    <w:rsid w:val="007C6039"/>
    <w:rsid w:val="007C6061"/>
    <w:rsid w:val="007D099D"/>
    <w:rsid w:val="007D2D2D"/>
    <w:rsid w:val="007D3775"/>
    <w:rsid w:val="007D61B0"/>
    <w:rsid w:val="007E2664"/>
    <w:rsid w:val="007E3ABF"/>
    <w:rsid w:val="007E3F8C"/>
    <w:rsid w:val="007E3FD6"/>
    <w:rsid w:val="007E5BFA"/>
    <w:rsid w:val="007E6689"/>
    <w:rsid w:val="007E7226"/>
    <w:rsid w:val="007E731C"/>
    <w:rsid w:val="007F0A03"/>
    <w:rsid w:val="007F137E"/>
    <w:rsid w:val="007F2307"/>
    <w:rsid w:val="007F3BE7"/>
    <w:rsid w:val="007F4ACF"/>
    <w:rsid w:val="007F6223"/>
    <w:rsid w:val="00801047"/>
    <w:rsid w:val="008025B4"/>
    <w:rsid w:val="00803FF4"/>
    <w:rsid w:val="00804733"/>
    <w:rsid w:val="00805E7B"/>
    <w:rsid w:val="0080687D"/>
    <w:rsid w:val="00810040"/>
    <w:rsid w:val="00815F7B"/>
    <w:rsid w:val="00817CB9"/>
    <w:rsid w:val="0082023A"/>
    <w:rsid w:val="00821A7A"/>
    <w:rsid w:val="008253F8"/>
    <w:rsid w:val="00830DE5"/>
    <w:rsid w:val="0083240E"/>
    <w:rsid w:val="008325E4"/>
    <w:rsid w:val="00832A2B"/>
    <w:rsid w:val="0083524B"/>
    <w:rsid w:val="0084019C"/>
    <w:rsid w:val="00845811"/>
    <w:rsid w:val="00846994"/>
    <w:rsid w:val="00850451"/>
    <w:rsid w:val="00850EEF"/>
    <w:rsid w:val="00851AD3"/>
    <w:rsid w:val="00852042"/>
    <w:rsid w:val="00853447"/>
    <w:rsid w:val="008534C9"/>
    <w:rsid w:val="0085599D"/>
    <w:rsid w:val="00861016"/>
    <w:rsid w:val="008617E0"/>
    <w:rsid w:val="008623D1"/>
    <w:rsid w:val="008663D8"/>
    <w:rsid w:val="00866A22"/>
    <w:rsid w:val="0086721D"/>
    <w:rsid w:val="00871E34"/>
    <w:rsid w:val="00872443"/>
    <w:rsid w:val="00872AB4"/>
    <w:rsid w:val="0087381A"/>
    <w:rsid w:val="00874DE5"/>
    <w:rsid w:val="00874E0D"/>
    <w:rsid w:val="0087510C"/>
    <w:rsid w:val="00880866"/>
    <w:rsid w:val="00882F2C"/>
    <w:rsid w:val="0088380B"/>
    <w:rsid w:val="00887D3A"/>
    <w:rsid w:val="00890345"/>
    <w:rsid w:val="008906F6"/>
    <w:rsid w:val="008913EF"/>
    <w:rsid w:val="0089291C"/>
    <w:rsid w:val="00892DEA"/>
    <w:rsid w:val="00893753"/>
    <w:rsid w:val="008938F1"/>
    <w:rsid w:val="00893DC7"/>
    <w:rsid w:val="00894487"/>
    <w:rsid w:val="00894F0B"/>
    <w:rsid w:val="008968D2"/>
    <w:rsid w:val="00896BEC"/>
    <w:rsid w:val="00896F4E"/>
    <w:rsid w:val="0089738E"/>
    <w:rsid w:val="008A051F"/>
    <w:rsid w:val="008A2AB2"/>
    <w:rsid w:val="008A2BD6"/>
    <w:rsid w:val="008A5BD4"/>
    <w:rsid w:val="008A73D9"/>
    <w:rsid w:val="008A7754"/>
    <w:rsid w:val="008B0227"/>
    <w:rsid w:val="008B13D9"/>
    <w:rsid w:val="008B5FDB"/>
    <w:rsid w:val="008C00CE"/>
    <w:rsid w:val="008C1978"/>
    <w:rsid w:val="008C3B20"/>
    <w:rsid w:val="008C50F4"/>
    <w:rsid w:val="008C5649"/>
    <w:rsid w:val="008C579B"/>
    <w:rsid w:val="008D5C13"/>
    <w:rsid w:val="008D6DD0"/>
    <w:rsid w:val="008E0619"/>
    <w:rsid w:val="008E2CE6"/>
    <w:rsid w:val="008E44A2"/>
    <w:rsid w:val="008E5EBD"/>
    <w:rsid w:val="008E697D"/>
    <w:rsid w:val="008F1296"/>
    <w:rsid w:val="008F54D4"/>
    <w:rsid w:val="008F599C"/>
    <w:rsid w:val="008F6844"/>
    <w:rsid w:val="008F6997"/>
    <w:rsid w:val="009021B7"/>
    <w:rsid w:val="00902E7B"/>
    <w:rsid w:val="00903263"/>
    <w:rsid w:val="00906A21"/>
    <w:rsid w:val="00906E4E"/>
    <w:rsid w:val="009079C3"/>
    <w:rsid w:val="00910462"/>
    <w:rsid w:val="00910A41"/>
    <w:rsid w:val="00910D93"/>
    <w:rsid w:val="009128B3"/>
    <w:rsid w:val="00913D6F"/>
    <w:rsid w:val="0091469E"/>
    <w:rsid w:val="00915AB1"/>
    <w:rsid w:val="00915BCE"/>
    <w:rsid w:val="009171E4"/>
    <w:rsid w:val="00917532"/>
    <w:rsid w:val="0092161B"/>
    <w:rsid w:val="00921911"/>
    <w:rsid w:val="009235BA"/>
    <w:rsid w:val="0092392E"/>
    <w:rsid w:val="00924023"/>
    <w:rsid w:val="00924CE2"/>
    <w:rsid w:val="00925B3E"/>
    <w:rsid w:val="00925B9F"/>
    <w:rsid w:val="0092705A"/>
    <w:rsid w:val="00931A47"/>
    <w:rsid w:val="00931AED"/>
    <w:rsid w:val="0093487C"/>
    <w:rsid w:val="009476A3"/>
    <w:rsid w:val="0095334F"/>
    <w:rsid w:val="00953578"/>
    <w:rsid w:val="00953A53"/>
    <w:rsid w:val="00954962"/>
    <w:rsid w:val="00957FF1"/>
    <w:rsid w:val="00961422"/>
    <w:rsid w:val="00961436"/>
    <w:rsid w:val="00961D86"/>
    <w:rsid w:val="00963FCD"/>
    <w:rsid w:val="00964FF3"/>
    <w:rsid w:val="009657D9"/>
    <w:rsid w:val="00965897"/>
    <w:rsid w:val="009661AC"/>
    <w:rsid w:val="0096665B"/>
    <w:rsid w:val="009673C6"/>
    <w:rsid w:val="0096765C"/>
    <w:rsid w:val="0097214B"/>
    <w:rsid w:val="009727E4"/>
    <w:rsid w:val="00972B6C"/>
    <w:rsid w:val="00972DF4"/>
    <w:rsid w:val="00976D7F"/>
    <w:rsid w:val="00977635"/>
    <w:rsid w:val="00977CAF"/>
    <w:rsid w:val="00981E27"/>
    <w:rsid w:val="009870A2"/>
    <w:rsid w:val="00991DCA"/>
    <w:rsid w:val="0099282A"/>
    <w:rsid w:val="009934C5"/>
    <w:rsid w:val="00994C0F"/>
    <w:rsid w:val="00995D87"/>
    <w:rsid w:val="009A3462"/>
    <w:rsid w:val="009A6922"/>
    <w:rsid w:val="009B22D7"/>
    <w:rsid w:val="009B4197"/>
    <w:rsid w:val="009B6879"/>
    <w:rsid w:val="009B72ED"/>
    <w:rsid w:val="009B7B50"/>
    <w:rsid w:val="009C2BA2"/>
    <w:rsid w:val="009C6DEB"/>
    <w:rsid w:val="009C7726"/>
    <w:rsid w:val="009C7994"/>
    <w:rsid w:val="009D0EE8"/>
    <w:rsid w:val="009D1193"/>
    <w:rsid w:val="009D5132"/>
    <w:rsid w:val="009D6504"/>
    <w:rsid w:val="009D6AEF"/>
    <w:rsid w:val="009D740B"/>
    <w:rsid w:val="009D7A47"/>
    <w:rsid w:val="009E0B06"/>
    <w:rsid w:val="009E12D7"/>
    <w:rsid w:val="009E2DE5"/>
    <w:rsid w:val="009E6454"/>
    <w:rsid w:val="009E661A"/>
    <w:rsid w:val="009F014B"/>
    <w:rsid w:val="00A06781"/>
    <w:rsid w:val="00A06F64"/>
    <w:rsid w:val="00A074C3"/>
    <w:rsid w:val="00A10CC6"/>
    <w:rsid w:val="00A10ECF"/>
    <w:rsid w:val="00A13442"/>
    <w:rsid w:val="00A1387C"/>
    <w:rsid w:val="00A140AA"/>
    <w:rsid w:val="00A1509C"/>
    <w:rsid w:val="00A15D83"/>
    <w:rsid w:val="00A168DC"/>
    <w:rsid w:val="00A2066E"/>
    <w:rsid w:val="00A209ED"/>
    <w:rsid w:val="00A2402B"/>
    <w:rsid w:val="00A249B9"/>
    <w:rsid w:val="00A2694E"/>
    <w:rsid w:val="00A271E2"/>
    <w:rsid w:val="00A34260"/>
    <w:rsid w:val="00A5008F"/>
    <w:rsid w:val="00A57081"/>
    <w:rsid w:val="00A57639"/>
    <w:rsid w:val="00A600BE"/>
    <w:rsid w:val="00A61E08"/>
    <w:rsid w:val="00A64754"/>
    <w:rsid w:val="00A64B3A"/>
    <w:rsid w:val="00A65159"/>
    <w:rsid w:val="00A65D11"/>
    <w:rsid w:val="00A70CFD"/>
    <w:rsid w:val="00A72A0B"/>
    <w:rsid w:val="00A74546"/>
    <w:rsid w:val="00A75AD9"/>
    <w:rsid w:val="00A77953"/>
    <w:rsid w:val="00A81E42"/>
    <w:rsid w:val="00A8274B"/>
    <w:rsid w:val="00A83E26"/>
    <w:rsid w:val="00A84D0A"/>
    <w:rsid w:val="00A864FE"/>
    <w:rsid w:val="00A86F41"/>
    <w:rsid w:val="00A87D04"/>
    <w:rsid w:val="00A94CEB"/>
    <w:rsid w:val="00A94F27"/>
    <w:rsid w:val="00A950C5"/>
    <w:rsid w:val="00AA04AE"/>
    <w:rsid w:val="00AA1D25"/>
    <w:rsid w:val="00AA3466"/>
    <w:rsid w:val="00AA4485"/>
    <w:rsid w:val="00AA586E"/>
    <w:rsid w:val="00AB2B1A"/>
    <w:rsid w:val="00AB397F"/>
    <w:rsid w:val="00AB3B8D"/>
    <w:rsid w:val="00AB5832"/>
    <w:rsid w:val="00AB5B49"/>
    <w:rsid w:val="00AB7863"/>
    <w:rsid w:val="00AC1350"/>
    <w:rsid w:val="00AC4B61"/>
    <w:rsid w:val="00AC51F2"/>
    <w:rsid w:val="00AC73A9"/>
    <w:rsid w:val="00AC7486"/>
    <w:rsid w:val="00AC7B5E"/>
    <w:rsid w:val="00AD10CC"/>
    <w:rsid w:val="00AD1227"/>
    <w:rsid w:val="00AD21B3"/>
    <w:rsid w:val="00AD25E0"/>
    <w:rsid w:val="00AD2BF0"/>
    <w:rsid w:val="00AD3269"/>
    <w:rsid w:val="00AD5BF4"/>
    <w:rsid w:val="00AD6508"/>
    <w:rsid w:val="00AE0F72"/>
    <w:rsid w:val="00AE4F1B"/>
    <w:rsid w:val="00AE5066"/>
    <w:rsid w:val="00AE5891"/>
    <w:rsid w:val="00AE5E24"/>
    <w:rsid w:val="00AE61B7"/>
    <w:rsid w:val="00AE631F"/>
    <w:rsid w:val="00AE6CBA"/>
    <w:rsid w:val="00AE74F3"/>
    <w:rsid w:val="00AE75F8"/>
    <w:rsid w:val="00AE79AD"/>
    <w:rsid w:val="00AF019E"/>
    <w:rsid w:val="00AF295C"/>
    <w:rsid w:val="00AF35E4"/>
    <w:rsid w:val="00AF5CDE"/>
    <w:rsid w:val="00AF6335"/>
    <w:rsid w:val="00B04037"/>
    <w:rsid w:val="00B0524D"/>
    <w:rsid w:val="00B05CF8"/>
    <w:rsid w:val="00B11A57"/>
    <w:rsid w:val="00B12397"/>
    <w:rsid w:val="00B12C3D"/>
    <w:rsid w:val="00B12CE4"/>
    <w:rsid w:val="00B15E44"/>
    <w:rsid w:val="00B211C3"/>
    <w:rsid w:val="00B24EAB"/>
    <w:rsid w:val="00B25597"/>
    <w:rsid w:val="00B25664"/>
    <w:rsid w:val="00B267B9"/>
    <w:rsid w:val="00B27A69"/>
    <w:rsid w:val="00B27F07"/>
    <w:rsid w:val="00B33E09"/>
    <w:rsid w:val="00B34545"/>
    <w:rsid w:val="00B354C3"/>
    <w:rsid w:val="00B35666"/>
    <w:rsid w:val="00B4301E"/>
    <w:rsid w:val="00B45A42"/>
    <w:rsid w:val="00B46354"/>
    <w:rsid w:val="00B46E5D"/>
    <w:rsid w:val="00B50181"/>
    <w:rsid w:val="00B50708"/>
    <w:rsid w:val="00B50C68"/>
    <w:rsid w:val="00B51293"/>
    <w:rsid w:val="00B52B1E"/>
    <w:rsid w:val="00B538B9"/>
    <w:rsid w:val="00B552F4"/>
    <w:rsid w:val="00B55481"/>
    <w:rsid w:val="00B55C34"/>
    <w:rsid w:val="00B5608A"/>
    <w:rsid w:val="00B56C32"/>
    <w:rsid w:val="00B57ACF"/>
    <w:rsid w:val="00B61409"/>
    <w:rsid w:val="00B64BB1"/>
    <w:rsid w:val="00B7247E"/>
    <w:rsid w:val="00B72E56"/>
    <w:rsid w:val="00B73166"/>
    <w:rsid w:val="00B736DC"/>
    <w:rsid w:val="00B738CF"/>
    <w:rsid w:val="00B7397C"/>
    <w:rsid w:val="00B8426C"/>
    <w:rsid w:val="00B84468"/>
    <w:rsid w:val="00B90CD5"/>
    <w:rsid w:val="00B91B8D"/>
    <w:rsid w:val="00B93619"/>
    <w:rsid w:val="00B94E90"/>
    <w:rsid w:val="00B96590"/>
    <w:rsid w:val="00B97857"/>
    <w:rsid w:val="00BA2CBD"/>
    <w:rsid w:val="00BA5A05"/>
    <w:rsid w:val="00BB0413"/>
    <w:rsid w:val="00BB0A82"/>
    <w:rsid w:val="00BB271F"/>
    <w:rsid w:val="00BB4CEA"/>
    <w:rsid w:val="00BB7C94"/>
    <w:rsid w:val="00BC0A9D"/>
    <w:rsid w:val="00BC0D5F"/>
    <w:rsid w:val="00BC1858"/>
    <w:rsid w:val="00BC304E"/>
    <w:rsid w:val="00BC31D4"/>
    <w:rsid w:val="00BC4EE2"/>
    <w:rsid w:val="00BD05AF"/>
    <w:rsid w:val="00BD09E4"/>
    <w:rsid w:val="00BD1013"/>
    <w:rsid w:val="00BD1E5E"/>
    <w:rsid w:val="00BD2719"/>
    <w:rsid w:val="00BD304E"/>
    <w:rsid w:val="00BD7C16"/>
    <w:rsid w:val="00BE13E7"/>
    <w:rsid w:val="00BE6572"/>
    <w:rsid w:val="00BE7D37"/>
    <w:rsid w:val="00BF15FC"/>
    <w:rsid w:val="00BF1A88"/>
    <w:rsid w:val="00BF3279"/>
    <w:rsid w:val="00BF40ED"/>
    <w:rsid w:val="00BF5BC2"/>
    <w:rsid w:val="00BF7EBC"/>
    <w:rsid w:val="00C036E5"/>
    <w:rsid w:val="00C03E4C"/>
    <w:rsid w:val="00C07F7E"/>
    <w:rsid w:val="00C1133D"/>
    <w:rsid w:val="00C11867"/>
    <w:rsid w:val="00C1455C"/>
    <w:rsid w:val="00C2381F"/>
    <w:rsid w:val="00C27A08"/>
    <w:rsid w:val="00C31312"/>
    <w:rsid w:val="00C314C5"/>
    <w:rsid w:val="00C31E36"/>
    <w:rsid w:val="00C31F1F"/>
    <w:rsid w:val="00C326C6"/>
    <w:rsid w:val="00C345A9"/>
    <w:rsid w:val="00C35295"/>
    <w:rsid w:val="00C36089"/>
    <w:rsid w:val="00C36357"/>
    <w:rsid w:val="00C36ADD"/>
    <w:rsid w:val="00C36E74"/>
    <w:rsid w:val="00C375BA"/>
    <w:rsid w:val="00C376D9"/>
    <w:rsid w:val="00C40595"/>
    <w:rsid w:val="00C41621"/>
    <w:rsid w:val="00C449FA"/>
    <w:rsid w:val="00C506C3"/>
    <w:rsid w:val="00C50E7F"/>
    <w:rsid w:val="00C5384F"/>
    <w:rsid w:val="00C53FB3"/>
    <w:rsid w:val="00C54CD8"/>
    <w:rsid w:val="00C55065"/>
    <w:rsid w:val="00C56964"/>
    <w:rsid w:val="00C57E13"/>
    <w:rsid w:val="00C60AF6"/>
    <w:rsid w:val="00C6204A"/>
    <w:rsid w:val="00C621FF"/>
    <w:rsid w:val="00C63623"/>
    <w:rsid w:val="00C656D5"/>
    <w:rsid w:val="00C66BA9"/>
    <w:rsid w:val="00C67103"/>
    <w:rsid w:val="00C7100C"/>
    <w:rsid w:val="00C7150A"/>
    <w:rsid w:val="00C71BB9"/>
    <w:rsid w:val="00C72627"/>
    <w:rsid w:val="00C74B99"/>
    <w:rsid w:val="00C8293E"/>
    <w:rsid w:val="00C844A2"/>
    <w:rsid w:val="00C86ADD"/>
    <w:rsid w:val="00C90541"/>
    <w:rsid w:val="00C94C28"/>
    <w:rsid w:val="00C95273"/>
    <w:rsid w:val="00C966DC"/>
    <w:rsid w:val="00CA0F43"/>
    <w:rsid w:val="00CA1AB8"/>
    <w:rsid w:val="00CA2A52"/>
    <w:rsid w:val="00CA2BE6"/>
    <w:rsid w:val="00CA55D4"/>
    <w:rsid w:val="00CA5633"/>
    <w:rsid w:val="00CA72B0"/>
    <w:rsid w:val="00CB0247"/>
    <w:rsid w:val="00CB1E85"/>
    <w:rsid w:val="00CB2EA5"/>
    <w:rsid w:val="00CB3440"/>
    <w:rsid w:val="00CB5134"/>
    <w:rsid w:val="00CB55C7"/>
    <w:rsid w:val="00CB704A"/>
    <w:rsid w:val="00CC12EF"/>
    <w:rsid w:val="00CC1692"/>
    <w:rsid w:val="00CC4F40"/>
    <w:rsid w:val="00CC54EB"/>
    <w:rsid w:val="00CC752C"/>
    <w:rsid w:val="00CC7739"/>
    <w:rsid w:val="00CD138B"/>
    <w:rsid w:val="00CD20C0"/>
    <w:rsid w:val="00CD3E31"/>
    <w:rsid w:val="00CD4039"/>
    <w:rsid w:val="00CD4913"/>
    <w:rsid w:val="00CD5996"/>
    <w:rsid w:val="00CD5F65"/>
    <w:rsid w:val="00CD61A9"/>
    <w:rsid w:val="00CD74A3"/>
    <w:rsid w:val="00CE0527"/>
    <w:rsid w:val="00CE2390"/>
    <w:rsid w:val="00CE2AAD"/>
    <w:rsid w:val="00CE5044"/>
    <w:rsid w:val="00CE5B23"/>
    <w:rsid w:val="00CE7819"/>
    <w:rsid w:val="00CE7ECE"/>
    <w:rsid w:val="00CF0472"/>
    <w:rsid w:val="00CF08BE"/>
    <w:rsid w:val="00CF4238"/>
    <w:rsid w:val="00CF70AD"/>
    <w:rsid w:val="00CF7729"/>
    <w:rsid w:val="00D00059"/>
    <w:rsid w:val="00D00651"/>
    <w:rsid w:val="00D02261"/>
    <w:rsid w:val="00D030BD"/>
    <w:rsid w:val="00D053CF"/>
    <w:rsid w:val="00D07A9B"/>
    <w:rsid w:val="00D107FA"/>
    <w:rsid w:val="00D10C66"/>
    <w:rsid w:val="00D11B0B"/>
    <w:rsid w:val="00D12275"/>
    <w:rsid w:val="00D12766"/>
    <w:rsid w:val="00D20FF4"/>
    <w:rsid w:val="00D226E1"/>
    <w:rsid w:val="00D23CF6"/>
    <w:rsid w:val="00D24D2C"/>
    <w:rsid w:val="00D34688"/>
    <w:rsid w:val="00D35881"/>
    <w:rsid w:val="00D44208"/>
    <w:rsid w:val="00D4663B"/>
    <w:rsid w:val="00D502BA"/>
    <w:rsid w:val="00D53FDB"/>
    <w:rsid w:val="00D610DC"/>
    <w:rsid w:val="00D6196F"/>
    <w:rsid w:val="00D62227"/>
    <w:rsid w:val="00D6500E"/>
    <w:rsid w:val="00D65FDE"/>
    <w:rsid w:val="00D66483"/>
    <w:rsid w:val="00D66498"/>
    <w:rsid w:val="00D82592"/>
    <w:rsid w:val="00D83AE8"/>
    <w:rsid w:val="00D90064"/>
    <w:rsid w:val="00D918C7"/>
    <w:rsid w:val="00D9731C"/>
    <w:rsid w:val="00DA2F2E"/>
    <w:rsid w:val="00DA33A0"/>
    <w:rsid w:val="00DA3C65"/>
    <w:rsid w:val="00DA7DA5"/>
    <w:rsid w:val="00DB073B"/>
    <w:rsid w:val="00DB09A1"/>
    <w:rsid w:val="00DB3B38"/>
    <w:rsid w:val="00DB78F0"/>
    <w:rsid w:val="00DC0CEA"/>
    <w:rsid w:val="00DC17EB"/>
    <w:rsid w:val="00DC1905"/>
    <w:rsid w:val="00DC2E43"/>
    <w:rsid w:val="00DC407E"/>
    <w:rsid w:val="00DC4B42"/>
    <w:rsid w:val="00DC5815"/>
    <w:rsid w:val="00DD095C"/>
    <w:rsid w:val="00DD1020"/>
    <w:rsid w:val="00DD1330"/>
    <w:rsid w:val="00DE0B83"/>
    <w:rsid w:val="00DE1A81"/>
    <w:rsid w:val="00DE1C13"/>
    <w:rsid w:val="00DE431B"/>
    <w:rsid w:val="00DE49C7"/>
    <w:rsid w:val="00DE49E3"/>
    <w:rsid w:val="00DE4E10"/>
    <w:rsid w:val="00DE51BB"/>
    <w:rsid w:val="00DE7EFF"/>
    <w:rsid w:val="00DF09EB"/>
    <w:rsid w:val="00DF27B4"/>
    <w:rsid w:val="00E02ABF"/>
    <w:rsid w:val="00E037A7"/>
    <w:rsid w:val="00E06A24"/>
    <w:rsid w:val="00E135F3"/>
    <w:rsid w:val="00E14995"/>
    <w:rsid w:val="00E15B25"/>
    <w:rsid w:val="00E179CD"/>
    <w:rsid w:val="00E22820"/>
    <w:rsid w:val="00E2387B"/>
    <w:rsid w:val="00E23E8D"/>
    <w:rsid w:val="00E3056C"/>
    <w:rsid w:val="00E31F38"/>
    <w:rsid w:val="00E341B4"/>
    <w:rsid w:val="00E354F9"/>
    <w:rsid w:val="00E37F98"/>
    <w:rsid w:val="00E41DBC"/>
    <w:rsid w:val="00E41EEE"/>
    <w:rsid w:val="00E46058"/>
    <w:rsid w:val="00E46421"/>
    <w:rsid w:val="00E46559"/>
    <w:rsid w:val="00E466BA"/>
    <w:rsid w:val="00E51456"/>
    <w:rsid w:val="00E542AE"/>
    <w:rsid w:val="00E6670C"/>
    <w:rsid w:val="00E70C10"/>
    <w:rsid w:val="00E72C79"/>
    <w:rsid w:val="00E74AA2"/>
    <w:rsid w:val="00E76286"/>
    <w:rsid w:val="00E776E8"/>
    <w:rsid w:val="00E837B1"/>
    <w:rsid w:val="00E84F28"/>
    <w:rsid w:val="00E87B73"/>
    <w:rsid w:val="00E9017E"/>
    <w:rsid w:val="00E92C1F"/>
    <w:rsid w:val="00E94EB9"/>
    <w:rsid w:val="00E95D4B"/>
    <w:rsid w:val="00E96063"/>
    <w:rsid w:val="00EA2008"/>
    <w:rsid w:val="00EA2770"/>
    <w:rsid w:val="00EA5461"/>
    <w:rsid w:val="00EA698A"/>
    <w:rsid w:val="00EA7A1E"/>
    <w:rsid w:val="00EB0408"/>
    <w:rsid w:val="00EB199F"/>
    <w:rsid w:val="00EB20AA"/>
    <w:rsid w:val="00EB22C9"/>
    <w:rsid w:val="00EB3D94"/>
    <w:rsid w:val="00EB4BB9"/>
    <w:rsid w:val="00EB629A"/>
    <w:rsid w:val="00EC23F7"/>
    <w:rsid w:val="00EC24F0"/>
    <w:rsid w:val="00EC2568"/>
    <w:rsid w:val="00EC49E1"/>
    <w:rsid w:val="00EC4BD8"/>
    <w:rsid w:val="00EC60C6"/>
    <w:rsid w:val="00EC63EB"/>
    <w:rsid w:val="00ED2F78"/>
    <w:rsid w:val="00ED412F"/>
    <w:rsid w:val="00EE29EB"/>
    <w:rsid w:val="00EE2ADA"/>
    <w:rsid w:val="00EE644A"/>
    <w:rsid w:val="00EE64EA"/>
    <w:rsid w:val="00EE6F07"/>
    <w:rsid w:val="00EE7261"/>
    <w:rsid w:val="00EE7DF2"/>
    <w:rsid w:val="00EF36B2"/>
    <w:rsid w:val="00EF666F"/>
    <w:rsid w:val="00EF674D"/>
    <w:rsid w:val="00F00602"/>
    <w:rsid w:val="00F01B04"/>
    <w:rsid w:val="00F037A0"/>
    <w:rsid w:val="00F0407E"/>
    <w:rsid w:val="00F065A2"/>
    <w:rsid w:val="00F11872"/>
    <w:rsid w:val="00F11FA3"/>
    <w:rsid w:val="00F12026"/>
    <w:rsid w:val="00F1246B"/>
    <w:rsid w:val="00F201EC"/>
    <w:rsid w:val="00F203DA"/>
    <w:rsid w:val="00F208A9"/>
    <w:rsid w:val="00F26F79"/>
    <w:rsid w:val="00F35287"/>
    <w:rsid w:val="00F36004"/>
    <w:rsid w:val="00F41D75"/>
    <w:rsid w:val="00F42162"/>
    <w:rsid w:val="00F44572"/>
    <w:rsid w:val="00F459E1"/>
    <w:rsid w:val="00F4657E"/>
    <w:rsid w:val="00F47B91"/>
    <w:rsid w:val="00F50960"/>
    <w:rsid w:val="00F5139D"/>
    <w:rsid w:val="00F514BD"/>
    <w:rsid w:val="00F51789"/>
    <w:rsid w:val="00F54B5E"/>
    <w:rsid w:val="00F56CD5"/>
    <w:rsid w:val="00F60B8A"/>
    <w:rsid w:val="00F610FB"/>
    <w:rsid w:val="00F627B1"/>
    <w:rsid w:val="00F632BE"/>
    <w:rsid w:val="00F63DAC"/>
    <w:rsid w:val="00F667F5"/>
    <w:rsid w:val="00F72E34"/>
    <w:rsid w:val="00F7395B"/>
    <w:rsid w:val="00F7454F"/>
    <w:rsid w:val="00F7461B"/>
    <w:rsid w:val="00F76470"/>
    <w:rsid w:val="00F77988"/>
    <w:rsid w:val="00F77F48"/>
    <w:rsid w:val="00F80F59"/>
    <w:rsid w:val="00F82527"/>
    <w:rsid w:val="00F83105"/>
    <w:rsid w:val="00F839F5"/>
    <w:rsid w:val="00F973EE"/>
    <w:rsid w:val="00FA2469"/>
    <w:rsid w:val="00FA3600"/>
    <w:rsid w:val="00FA501C"/>
    <w:rsid w:val="00FA691B"/>
    <w:rsid w:val="00FB1174"/>
    <w:rsid w:val="00FB15F7"/>
    <w:rsid w:val="00FB2D75"/>
    <w:rsid w:val="00FB30F1"/>
    <w:rsid w:val="00FB3B2E"/>
    <w:rsid w:val="00FB5182"/>
    <w:rsid w:val="00FB53E7"/>
    <w:rsid w:val="00FB6C57"/>
    <w:rsid w:val="00FB7A5D"/>
    <w:rsid w:val="00FC277A"/>
    <w:rsid w:val="00FC318B"/>
    <w:rsid w:val="00FC6CE0"/>
    <w:rsid w:val="00FD04CF"/>
    <w:rsid w:val="00FD0764"/>
    <w:rsid w:val="00FD098F"/>
    <w:rsid w:val="00FD2A8A"/>
    <w:rsid w:val="00FD55E5"/>
    <w:rsid w:val="00FD7630"/>
    <w:rsid w:val="00FE0712"/>
    <w:rsid w:val="00FE1A77"/>
    <w:rsid w:val="00FE1FF7"/>
    <w:rsid w:val="00FE567D"/>
    <w:rsid w:val="00FE5B94"/>
    <w:rsid w:val="00FF1368"/>
    <w:rsid w:val="00FF2659"/>
    <w:rsid w:val="00FF401A"/>
    <w:rsid w:val="00FF616B"/>
    <w:rsid w:val="00FF68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3">
    <w:name w:val="heading 3"/>
    <w:basedOn w:val="Parastais"/>
    <w:link w:val="Virsraksts3Rakstz"/>
    <w:uiPriority w:val="9"/>
    <w:qFormat/>
    <w:rsid w:val="00BA2CBD"/>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link w:val="BalontekstsRakstz"/>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BalontekstsRakstz">
    <w:name w:val="Balonteksts Rakstz."/>
    <w:link w:val="Balonteksts"/>
    <w:semiHidden/>
    <w:rsid w:val="00C86ADD"/>
    <w:rPr>
      <w:rFonts w:ascii="Tahoma" w:hAnsi="Tahoma" w:cs="Tahoma"/>
      <w:sz w:val="16"/>
      <w:szCs w:val="16"/>
      <w:lang w:val="lv-LV" w:eastAsia="lv-LV" w:bidi="ar-SA"/>
    </w:rPr>
  </w:style>
  <w:style w:type="paragraph" w:customStyle="1" w:styleId="NoSpacing1">
    <w:name w:val="No Spacing1"/>
    <w:qFormat/>
    <w:rsid w:val="00B354C3"/>
    <w:rPr>
      <w:rFonts w:ascii="Calibri" w:eastAsia="Calibri" w:hAnsi="Calibri"/>
      <w:sz w:val="22"/>
      <w:szCs w:val="22"/>
      <w:lang w:eastAsia="en-US"/>
    </w:rPr>
  </w:style>
  <w:style w:type="character" w:customStyle="1" w:styleId="FooterChar">
    <w:name w:val="Footer Char"/>
    <w:locked/>
    <w:rsid w:val="001F1922"/>
    <w:rPr>
      <w:rFonts w:cs="Times New Roman"/>
      <w:sz w:val="24"/>
      <w:szCs w:val="24"/>
      <w:lang w:val="lv-LV" w:eastAsia="lv-LV" w:bidi="ar-SA"/>
    </w:rPr>
  </w:style>
  <w:style w:type="character" w:customStyle="1" w:styleId="Virsraksts3Rakstz">
    <w:name w:val="Virsraksts 3 Rakstz."/>
    <w:link w:val="Virsraksts3"/>
    <w:uiPriority w:val="9"/>
    <w:rsid w:val="00BA2CBD"/>
    <w:rPr>
      <w:b/>
      <w:bCs/>
      <w:sz w:val="27"/>
      <w:szCs w:val="27"/>
    </w:rPr>
  </w:style>
  <w:style w:type="paragraph" w:customStyle="1" w:styleId="Bezatstarpm1">
    <w:name w:val="Bez atstarpēm1"/>
    <w:uiPriority w:val="1"/>
    <w:qFormat/>
    <w:rsid w:val="00D00651"/>
    <w:rPr>
      <w:rFonts w:ascii="Calibri" w:eastAsia="Calibri" w:hAnsi="Calibri"/>
      <w:sz w:val="22"/>
      <w:szCs w:val="22"/>
      <w:lang w:eastAsia="en-US"/>
    </w:rPr>
  </w:style>
  <w:style w:type="paragraph" w:styleId="Sarakstarindkopa">
    <w:name w:val="List Paragraph"/>
    <w:basedOn w:val="Parastais"/>
    <w:uiPriority w:val="34"/>
    <w:qFormat/>
    <w:rsid w:val="004E7BE5"/>
    <w:pPr>
      <w:spacing w:after="200" w:line="276" w:lineRule="auto"/>
      <w:ind w:left="720"/>
      <w:contextualSpacing/>
    </w:pPr>
    <w:rPr>
      <w:rFonts w:ascii="Calibri" w:eastAsia="Calibri" w:hAnsi="Calibri"/>
      <w:sz w:val="22"/>
      <w:szCs w:val="22"/>
      <w:lang w:eastAsia="en-US"/>
    </w:rPr>
  </w:style>
  <w:style w:type="character" w:styleId="Izteiksmgs">
    <w:name w:val="Strong"/>
    <w:uiPriority w:val="22"/>
    <w:qFormat/>
    <w:rsid w:val="00794126"/>
    <w:rPr>
      <w:b/>
      <w:bCs/>
    </w:rPr>
  </w:style>
  <w:style w:type="table" w:customStyle="1" w:styleId="TableNormal1">
    <w:name w:val="Table Normal1"/>
    <w:semiHidden/>
    <w:rsid w:val="00EB20AA"/>
    <w:tblPr>
      <w:tblCellMar>
        <w:top w:w="0" w:type="dxa"/>
        <w:left w:w="108" w:type="dxa"/>
        <w:bottom w:w="0" w:type="dxa"/>
        <w:right w:w="108" w:type="dxa"/>
      </w:tblCellMar>
    </w:tblPr>
  </w:style>
  <w:style w:type="character" w:styleId="Izmantotahipersaite">
    <w:name w:val="FollowedHyperlink"/>
    <w:rsid w:val="00CA2BE6"/>
    <w:rPr>
      <w:color w:val="800080"/>
      <w:u w:val="single"/>
    </w:rPr>
  </w:style>
  <w:style w:type="character" w:styleId="Izclums">
    <w:name w:val="Emphasis"/>
    <w:uiPriority w:val="20"/>
    <w:qFormat/>
    <w:rsid w:val="00454B7C"/>
    <w:rPr>
      <w:b/>
      <w:bCs/>
      <w:i w:val="0"/>
      <w:iCs w:val="0"/>
    </w:rPr>
  </w:style>
  <w:style w:type="character" w:customStyle="1" w:styleId="st1">
    <w:name w:val="st1"/>
    <w:basedOn w:val="Noklusjumarindkopasfonts"/>
    <w:rsid w:val="00454B7C"/>
  </w:style>
  <w:style w:type="paragraph" w:styleId="Pamatteksts">
    <w:name w:val="Body Text"/>
    <w:basedOn w:val="Parastais"/>
    <w:link w:val="PamattekstsRakstz"/>
    <w:unhideWhenUsed/>
    <w:rsid w:val="00817CB9"/>
    <w:pPr>
      <w:jc w:val="center"/>
    </w:pPr>
    <w:rPr>
      <w:b/>
      <w:bCs/>
      <w:sz w:val="28"/>
      <w:lang w:eastAsia="en-US"/>
    </w:rPr>
  </w:style>
  <w:style w:type="character" w:customStyle="1" w:styleId="PamattekstsRakstz">
    <w:name w:val="Pamatteksts Rakstz."/>
    <w:basedOn w:val="Noklusjumarindkopasfonts"/>
    <w:link w:val="Pamatteksts"/>
    <w:rsid w:val="00817CB9"/>
    <w:rPr>
      <w:b/>
      <w:bCs/>
      <w:sz w:val="28"/>
      <w:szCs w:val="24"/>
      <w:lang w:eastAsia="en-US"/>
    </w:rPr>
  </w:style>
  <w:style w:type="paragraph" w:styleId="ParastaisWeb">
    <w:name w:val="Normal (Web)"/>
    <w:basedOn w:val="Parastais"/>
    <w:unhideWhenUsed/>
    <w:rsid w:val="00B34545"/>
    <w:pPr>
      <w:spacing w:before="100" w:beforeAutospacing="1" w:after="100" w:afterAutospacing="1"/>
    </w:pPr>
    <w:rPr>
      <w:lang w:val="en-US" w:eastAsia="en-US"/>
    </w:rPr>
  </w:style>
  <w:style w:type="paragraph" w:styleId="Prskatjums">
    <w:name w:val="Revision"/>
    <w:hidden/>
    <w:uiPriority w:val="99"/>
    <w:semiHidden/>
    <w:rsid w:val="004F0464"/>
    <w:rPr>
      <w:sz w:val="24"/>
      <w:szCs w:val="24"/>
    </w:rPr>
  </w:style>
</w:styles>
</file>

<file path=word/webSettings.xml><?xml version="1.0" encoding="utf-8"?>
<w:webSettings xmlns:r="http://schemas.openxmlformats.org/officeDocument/2006/relationships" xmlns:w="http://schemas.openxmlformats.org/wordprocessingml/2006/main">
  <w:divs>
    <w:div w:id="283386982">
      <w:bodyDiv w:val="1"/>
      <w:marLeft w:val="0"/>
      <w:marRight w:val="0"/>
      <w:marTop w:val="0"/>
      <w:marBottom w:val="0"/>
      <w:divBdr>
        <w:top w:val="none" w:sz="0" w:space="0" w:color="auto"/>
        <w:left w:val="none" w:sz="0" w:space="0" w:color="auto"/>
        <w:bottom w:val="none" w:sz="0" w:space="0" w:color="auto"/>
        <w:right w:val="none" w:sz="0" w:space="0" w:color="auto"/>
      </w:divBdr>
    </w:div>
    <w:div w:id="666329949">
      <w:bodyDiv w:val="1"/>
      <w:marLeft w:val="0"/>
      <w:marRight w:val="0"/>
      <w:marTop w:val="0"/>
      <w:marBottom w:val="0"/>
      <w:divBdr>
        <w:top w:val="none" w:sz="0" w:space="0" w:color="auto"/>
        <w:left w:val="none" w:sz="0" w:space="0" w:color="auto"/>
        <w:bottom w:val="none" w:sz="0" w:space="0" w:color="auto"/>
        <w:right w:val="none" w:sz="0" w:space="0" w:color="auto"/>
      </w:divBdr>
      <w:divsChild>
        <w:div w:id="965892577">
          <w:marLeft w:val="0"/>
          <w:marRight w:val="0"/>
          <w:marTop w:val="0"/>
          <w:marBottom w:val="0"/>
          <w:divBdr>
            <w:top w:val="none" w:sz="0" w:space="0" w:color="auto"/>
            <w:left w:val="none" w:sz="0" w:space="0" w:color="auto"/>
            <w:bottom w:val="none" w:sz="0" w:space="0" w:color="auto"/>
            <w:right w:val="none" w:sz="0" w:space="0" w:color="auto"/>
          </w:divBdr>
          <w:divsChild>
            <w:div w:id="13926274">
              <w:marLeft w:val="0"/>
              <w:marRight w:val="0"/>
              <w:marTop w:val="0"/>
              <w:marBottom w:val="0"/>
              <w:divBdr>
                <w:top w:val="none" w:sz="0" w:space="0" w:color="auto"/>
                <w:left w:val="none" w:sz="0" w:space="0" w:color="auto"/>
                <w:bottom w:val="none" w:sz="0" w:space="0" w:color="auto"/>
                <w:right w:val="none" w:sz="0" w:space="0" w:color="auto"/>
              </w:divBdr>
              <w:divsChild>
                <w:div w:id="943079739">
                  <w:marLeft w:val="0"/>
                  <w:marRight w:val="0"/>
                  <w:marTop w:val="0"/>
                  <w:marBottom w:val="0"/>
                  <w:divBdr>
                    <w:top w:val="none" w:sz="0" w:space="0" w:color="auto"/>
                    <w:left w:val="none" w:sz="0" w:space="0" w:color="auto"/>
                    <w:bottom w:val="none" w:sz="0" w:space="0" w:color="auto"/>
                    <w:right w:val="none" w:sz="0" w:space="0" w:color="auto"/>
                  </w:divBdr>
                  <w:divsChild>
                    <w:div w:id="1504857925">
                      <w:marLeft w:val="0"/>
                      <w:marRight w:val="0"/>
                      <w:marTop w:val="0"/>
                      <w:marBottom w:val="0"/>
                      <w:divBdr>
                        <w:top w:val="none" w:sz="0" w:space="0" w:color="auto"/>
                        <w:left w:val="none" w:sz="0" w:space="0" w:color="auto"/>
                        <w:bottom w:val="none" w:sz="0" w:space="0" w:color="auto"/>
                        <w:right w:val="none" w:sz="0" w:space="0" w:color="auto"/>
                      </w:divBdr>
                      <w:divsChild>
                        <w:div w:id="795026784">
                          <w:marLeft w:val="0"/>
                          <w:marRight w:val="0"/>
                          <w:marTop w:val="0"/>
                          <w:marBottom w:val="0"/>
                          <w:divBdr>
                            <w:top w:val="none" w:sz="0" w:space="0" w:color="auto"/>
                            <w:left w:val="none" w:sz="0" w:space="0" w:color="auto"/>
                            <w:bottom w:val="none" w:sz="0" w:space="0" w:color="auto"/>
                            <w:right w:val="none" w:sz="0" w:space="0" w:color="auto"/>
                          </w:divBdr>
                          <w:divsChild>
                            <w:div w:id="500118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99783">
      <w:bodyDiv w:val="1"/>
      <w:marLeft w:val="0"/>
      <w:marRight w:val="0"/>
      <w:marTop w:val="0"/>
      <w:marBottom w:val="0"/>
      <w:divBdr>
        <w:top w:val="none" w:sz="0" w:space="0" w:color="auto"/>
        <w:left w:val="none" w:sz="0" w:space="0" w:color="auto"/>
        <w:bottom w:val="none" w:sz="0" w:space="0" w:color="auto"/>
        <w:right w:val="none" w:sz="0" w:space="0" w:color="auto"/>
      </w:divBdr>
    </w:div>
    <w:div w:id="926428770">
      <w:bodyDiv w:val="1"/>
      <w:marLeft w:val="0"/>
      <w:marRight w:val="0"/>
      <w:marTop w:val="0"/>
      <w:marBottom w:val="0"/>
      <w:divBdr>
        <w:top w:val="none" w:sz="0" w:space="0" w:color="auto"/>
        <w:left w:val="none" w:sz="0" w:space="0" w:color="auto"/>
        <w:bottom w:val="none" w:sz="0" w:space="0" w:color="auto"/>
        <w:right w:val="none" w:sz="0" w:space="0" w:color="auto"/>
      </w:divBdr>
    </w:div>
    <w:div w:id="1448741867">
      <w:bodyDiv w:val="1"/>
      <w:marLeft w:val="0"/>
      <w:marRight w:val="0"/>
      <w:marTop w:val="0"/>
      <w:marBottom w:val="0"/>
      <w:divBdr>
        <w:top w:val="none" w:sz="0" w:space="0" w:color="auto"/>
        <w:left w:val="none" w:sz="0" w:space="0" w:color="auto"/>
        <w:bottom w:val="none" w:sz="0" w:space="0" w:color="auto"/>
        <w:right w:val="none" w:sz="0" w:space="0" w:color="auto"/>
      </w:divBdr>
    </w:div>
    <w:div w:id="1727340028">
      <w:bodyDiv w:val="1"/>
      <w:marLeft w:val="0"/>
      <w:marRight w:val="0"/>
      <w:marTop w:val="0"/>
      <w:marBottom w:val="0"/>
      <w:divBdr>
        <w:top w:val="none" w:sz="0" w:space="0" w:color="auto"/>
        <w:left w:val="none" w:sz="0" w:space="0" w:color="auto"/>
        <w:bottom w:val="none" w:sz="0" w:space="0" w:color="auto"/>
        <w:right w:val="none" w:sz="0" w:space="0" w:color="auto"/>
      </w:divBdr>
    </w:div>
    <w:div w:id="17847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a.trave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ulturaskarte.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likumi.lv/ta/id/198176-noteikumi-par-valsts-statistikas-apkoposanu-kulturas-joma"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47C1-5BBD-441E-9B2E-FD2092F6FB8D}">
  <ds:schemaRefs>
    <ds:schemaRef ds:uri="http://schemas.openxmlformats.org/officeDocument/2006/bibliography"/>
  </ds:schemaRefs>
</ds:datastoreItem>
</file>

<file path=customXml/itemProps2.xml><?xml version="1.0" encoding="utf-8"?>
<ds:datastoreItem xmlns:ds="http://schemas.openxmlformats.org/officeDocument/2006/customXml" ds:itemID="{2EC435DB-2828-4004-92BD-E8B44363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1905</Words>
  <Characters>14508</Characters>
  <Application>Microsoft Office Word</Application>
  <DocSecurity>0</DocSecurity>
  <Lines>120</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22.septembra noteikumos Nr.1074 „Noteikumi par valsts statistikas apkopošanu kultūras jomā”” sākotnējās ietekmes novērtējuma ziņojums (anotācija)</vt:lpstr>
      <vt:lpstr>Ministru kabineta noteikumu projekta „Grozījumi Ministru kabineta 2013.gada 3.spetembra noteikumos Nr.763„Eiropas Ekonomikas zonas finanšu instrumenta 2009.–2014.gada perioda programmas „Kultūras un dabas mantojuma saglabāšana un atjaunināšana” neliela ap</vt:lpstr>
    </vt:vector>
  </TitlesOfParts>
  <Company>LR Kultūras Ministrija</Company>
  <LinksUpToDate>false</LinksUpToDate>
  <CharactersWithSpaces>16381</CharactersWithSpaces>
  <SharedDoc>false</SharedDoc>
  <HLinks>
    <vt:vector size="36" baseType="variant">
      <vt:variant>
        <vt:i4>8257622</vt:i4>
      </vt:variant>
      <vt:variant>
        <vt:i4>9</vt:i4>
      </vt:variant>
      <vt:variant>
        <vt:i4>0</vt:i4>
      </vt:variant>
      <vt:variant>
        <vt:i4>5</vt:i4>
      </vt:variant>
      <vt:variant>
        <vt:lpwstr>mailto:Ieva.Maurane@km.gov.lv</vt:lpwstr>
      </vt:variant>
      <vt:variant>
        <vt:lpwstr/>
      </vt:variant>
      <vt:variant>
        <vt:i4>1835094</vt:i4>
      </vt:variant>
      <vt:variant>
        <vt:i4>6</vt:i4>
      </vt:variant>
      <vt:variant>
        <vt:i4>0</vt:i4>
      </vt:variant>
      <vt:variant>
        <vt:i4>5</vt:i4>
      </vt:variant>
      <vt:variant>
        <vt:lpwstr>http://www.latvia.travel/</vt:lpwstr>
      </vt:variant>
      <vt:variant>
        <vt:lpwstr/>
      </vt:variant>
      <vt:variant>
        <vt:i4>458781</vt:i4>
      </vt:variant>
      <vt:variant>
        <vt:i4>3</vt:i4>
      </vt:variant>
      <vt:variant>
        <vt:i4>0</vt:i4>
      </vt:variant>
      <vt:variant>
        <vt:i4>5</vt:i4>
      </vt:variant>
      <vt:variant>
        <vt:lpwstr>http://www.kulturaskarte.lv/</vt:lpwstr>
      </vt:variant>
      <vt:variant>
        <vt:lpwstr/>
      </vt:variant>
      <vt:variant>
        <vt:i4>6488171</vt:i4>
      </vt:variant>
      <vt:variant>
        <vt:i4>0</vt:i4>
      </vt:variant>
      <vt:variant>
        <vt:i4>0</vt:i4>
      </vt:variant>
      <vt:variant>
        <vt:i4>5</vt:i4>
      </vt:variant>
      <vt:variant>
        <vt:lpwstr>http://likumi.lv/ta/id/198176-noteikumi-par-valsts-statistikas-apkoposanu-kulturas-joma</vt:lpwstr>
      </vt:variant>
      <vt:variant>
        <vt:lpwstr/>
      </vt:variant>
      <vt:variant>
        <vt:i4>6488171</vt:i4>
      </vt:variant>
      <vt:variant>
        <vt:i4>8</vt:i4>
      </vt:variant>
      <vt:variant>
        <vt:i4>0</vt:i4>
      </vt:variant>
      <vt:variant>
        <vt:i4>5</vt:i4>
      </vt:variant>
      <vt:variant>
        <vt:lpwstr>http://likumi.lv/ta/id/198176-noteikumi-par-valsts-statistikas-apkoposanu-kulturas-joma</vt:lpwstr>
      </vt:variant>
      <vt:variant>
        <vt:lpwstr/>
      </vt:variant>
      <vt:variant>
        <vt:i4>6488171</vt:i4>
      </vt:variant>
      <vt:variant>
        <vt:i4>5</vt:i4>
      </vt:variant>
      <vt:variant>
        <vt:i4>0</vt:i4>
      </vt:variant>
      <vt:variant>
        <vt:i4>5</vt:i4>
      </vt:variant>
      <vt:variant>
        <vt:lpwstr>http://likumi.lv/ta/id/198176-noteikumi-par-valsts-statistikas-apkoposanu-kulturas-joma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oficiālās statistikas apkopošanu kultūras jomā”” sākotnējās ietekmes novērtējuma ziņojums (anotācija)</dc:title>
  <dc:subject>Anotācija</dc:subject>
  <dc:creator>laura Turlaja</dc:creator>
  <cp:keywords>KMAnot_250517_kulturas_joma_statistika</cp:keywords>
  <dc:description>67330250
Laura.Turlaja@km.gov.lv</dc:description>
  <cp:lastModifiedBy>Dzintra Rozīte</cp:lastModifiedBy>
  <cp:revision>5</cp:revision>
  <cp:lastPrinted>2013-06-11T13:06:00Z</cp:lastPrinted>
  <dcterms:created xsi:type="dcterms:W3CDTF">2017-05-24T07:40:00Z</dcterms:created>
  <dcterms:modified xsi:type="dcterms:W3CDTF">2017-05-25T08:36:00Z</dcterms:modified>
</cp:coreProperties>
</file>