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D0E5C" w14:textId="77777777" w:rsidR="0050041B" w:rsidRPr="008F3420" w:rsidRDefault="0050041B" w:rsidP="00AF5EAE">
      <w:pPr>
        <w:jc w:val="center"/>
        <w:rPr>
          <w:b/>
        </w:rPr>
      </w:pPr>
      <w:bookmarkStart w:id="0" w:name="OLE_LINK3"/>
      <w:bookmarkStart w:id="1" w:name="OLE_LINK4"/>
      <w:bookmarkStart w:id="2" w:name="OLE_LINK1"/>
      <w:r w:rsidRPr="008F3420">
        <w:rPr>
          <w:b/>
        </w:rPr>
        <w:t>Ministru kabineta rīkojuma projekta</w:t>
      </w:r>
    </w:p>
    <w:p w14:paraId="48CCD18A" w14:textId="51406A6E" w:rsidR="0050041B" w:rsidRDefault="0025212A" w:rsidP="00AF5EAE">
      <w:pPr>
        <w:jc w:val="center"/>
        <w:rPr>
          <w:b/>
        </w:rPr>
      </w:pPr>
      <w:r w:rsidRPr="0025212A">
        <w:rPr>
          <w:b/>
          <w:spacing w:val="-2"/>
        </w:rPr>
        <w:t>"Par finansējuma pārdali Tieslietu ministrijai no valsts budžeta resora "74. Gadskārtējā valsts budžeta izpildes procesā pārdalāmais finansējums" programmas 07.00.00 "Tiesu spriedumu izpilde""</w:t>
      </w:r>
      <w:r w:rsidR="0050041B" w:rsidRPr="008F3420">
        <w:rPr>
          <w:b/>
        </w:rPr>
        <w:t xml:space="preserve"> sākotnējās ietekmes novērtējuma </w:t>
      </w:r>
      <w:smartTag w:uri="schemas-tilde-lv/tildestengine" w:element="veidnes">
        <w:smartTagPr>
          <w:attr w:name="id" w:val="-1"/>
          <w:attr w:name="baseform" w:val="ziņojums"/>
          <w:attr w:name="text" w:val="ziņojums"/>
        </w:smartTagPr>
        <w:r w:rsidR="0050041B" w:rsidRPr="008F3420">
          <w:rPr>
            <w:b/>
          </w:rPr>
          <w:t>ziņojums</w:t>
        </w:r>
      </w:smartTag>
      <w:r w:rsidR="0050041B" w:rsidRPr="008F3420">
        <w:rPr>
          <w:b/>
        </w:rPr>
        <w:t xml:space="preserve"> (anotācija)</w:t>
      </w:r>
    </w:p>
    <w:p w14:paraId="748F671B" w14:textId="77777777" w:rsidR="00073763" w:rsidRPr="008F3420" w:rsidRDefault="00073763" w:rsidP="00AF5EAE">
      <w:pPr>
        <w:jc w:val="center"/>
        <w:rPr>
          <w:b/>
        </w:rPr>
      </w:pPr>
      <w:bookmarkStart w:id="3" w:name="_GoBack"/>
      <w:bookmarkEnd w:id="3"/>
    </w:p>
    <w:tbl>
      <w:tblPr>
        <w:tblpPr w:leftFromText="180" w:rightFromText="18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2835"/>
        <w:gridCol w:w="5670"/>
      </w:tblGrid>
      <w:tr w:rsidR="0050041B" w:rsidRPr="004F1142" w14:paraId="35B7B3AE" w14:textId="77777777" w:rsidTr="00E938B9">
        <w:trPr>
          <w:trHeight w:val="416"/>
        </w:trPr>
        <w:tc>
          <w:tcPr>
            <w:tcW w:w="9077" w:type="dxa"/>
            <w:gridSpan w:val="3"/>
            <w:vAlign w:val="center"/>
          </w:tcPr>
          <w:bookmarkEnd w:id="0"/>
          <w:bookmarkEnd w:id="1"/>
          <w:bookmarkEnd w:id="2"/>
          <w:p w14:paraId="3C737E0E" w14:textId="77777777" w:rsidR="0050041B" w:rsidRPr="003445D4" w:rsidRDefault="0050041B" w:rsidP="00194A0F">
            <w:pPr>
              <w:pStyle w:val="naisnod"/>
              <w:spacing w:before="0" w:after="0"/>
            </w:pPr>
            <w:r w:rsidRPr="003445D4">
              <w:t>I. Tiesību akta projekta izstrādes nepieciešamība</w:t>
            </w:r>
          </w:p>
        </w:tc>
      </w:tr>
      <w:tr w:rsidR="0050041B" w:rsidRPr="00B56449" w14:paraId="165FE8F8" w14:textId="77777777" w:rsidTr="00782822">
        <w:trPr>
          <w:trHeight w:val="630"/>
        </w:trPr>
        <w:tc>
          <w:tcPr>
            <w:tcW w:w="572" w:type="dxa"/>
          </w:tcPr>
          <w:p w14:paraId="6374F6D2" w14:textId="77777777" w:rsidR="0050041B" w:rsidRPr="004F1142" w:rsidRDefault="0050041B" w:rsidP="00194A0F">
            <w:pPr>
              <w:pStyle w:val="naiskr"/>
              <w:spacing w:before="0" w:after="0"/>
            </w:pPr>
            <w:r w:rsidRPr="004F1142">
              <w:t>1.</w:t>
            </w:r>
          </w:p>
        </w:tc>
        <w:tc>
          <w:tcPr>
            <w:tcW w:w="2835" w:type="dxa"/>
          </w:tcPr>
          <w:p w14:paraId="192DC39D" w14:textId="77777777" w:rsidR="0050041B" w:rsidRPr="004F1142" w:rsidRDefault="0050041B" w:rsidP="00194A0F">
            <w:pPr>
              <w:pStyle w:val="naiskr"/>
              <w:spacing w:before="0" w:after="0"/>
              <w:ind w:hanging="10"/>
            </w:pPr>
            <w:r w:rsidRPr="004F1142">
              <w:t>Pamatojums</w:t>
            </w:r>
          </w:p>
        </w:tc>
        <w:tc>
          <w:tcPr>
            <w:tcW w:w="5670" w:type="dxa"/>
          </w:tcPr>
          <w:p w14:paraId="5ECFCE7A" w14:textId="38EA33BA" w:rsidR="0025212A" w:rsidRPr="00F135D6" w:rsidRDefault="0025212A" w:rsidP="009B4A4A">
            <w:pPr>
              <w:jc w:val="both"/>
              <w:rPr>
                <w:spacing w:val="-2"/>
              </w:rPr>
            </w:pPr>
            <w:r w:rsidRPr="00175C62">
              <w:t>Ministru kabineta 2016.</w:t>
            </w:r>
            <w:r>
              <w:t> </w:t>
            </w:r>
            <w:r w:rsidRPr="00175C62">
              <w:t>gada 2</w:t>
            </w:r>
            <w:r>
              <w:t>9</w:t>
            </w:r>
            <w:r w:rsidRPr="00175C62">
              <w:t>.</w:t>
            </w:r>
            <w:r>
              <w:t> novembra sēdes protokola Nr. 65</w:t>
            </w:r>
            <w:r w:rsidRPr="00175C62">
              <w:t xml:space="preserve"> 39.</w:t>
            </w:r>
            <w:r>
              <w:t> </w:t>
            </w:r>
            <w:r w:rsidRPr="00175C62">
              <w:t xml:space="preserve">§ </w:t>
            </w:r>
            <w:r w:rsidR="00814F60">
              <w:t xml:space="preserve">(turpmāk – Protokollēmums) </w:t>
            </w:r>
            <w:r>
              <w:t>2.1</w:t>
            </w:r>
            <w:r w:rsidRPr="00175C62">
              <w:t>.</w:t>
            </w:r>
            <w:r>
              <w:t> apakšpunkts</w:t>
            </w:r>
            <w:r w:rsidRPr="00175C62">
              <w:t xml:space="preserve"> noteic </w:t>
            </w:r>
            <w:r>
              <w:t xml:space="preserve">Tieslietu ministrijai (Ieslodzījuma vietu pārvaldei) nodrošināt dienesta pienākumu pildīšanas virs noteiktā dienesta pienākumu </w:t>
            </w:r>
            <w:r w:rsidRPr="00CC4489">
              <w:t>izpildes laika pārrēķinu (uzskaiti) par laikposmu no 2014. gada 16. jūnija līdz 2016</w:t>
            </w:r>
            <w:r>
              <w:t>. </w:t>
            </w:r>
            <w:r w:rsidRPr="00CC4489">
              <w:t xml:space="preserve">gada 15. jūnijam tām </w:t>
            </w:r>
            <w:r>
              <w:t xml:space="preserve">amatpersonām </w:t>
            </w:r>
            <w:r w:rsidRPr="00F135D6">
              <w:t>ar speciālajām dienesta pakāpēm</w:t>
            </w:r>
            <w:r>
              <w:t>, kurām tika noteikts aizliegums pamest dienesta izpildes vietu pārtraukuma laikā</w:t>
            </w:r>
            <w:r w:rsidRPr="00CC4489">
              <w:t>.</w:t>
            </w:r>
            <w:r>
              <w:t xml:space="preserve"> </w:t>
            </w:r>
            <w:r w:rsidR="008816A5">
              <w:t>Protokollēmuma</w:t>
            </w:r>
            <w:r w:rsidRPr="00175C62">
              <w:t xml:space="preserve"> </w:t>
            </w:r>
            <w:r>
              <w:t>2.2</w:t>
            </w:r>
            <w:r w:rsidRPr="00175C62">
              <w:t>.</w:t>
            </w:r>
            <w:r>
              <w:t>2. apakšpunkts</w:t>
            </w:r>
            <w:r w:rsidRPr="00175C62">
              <w:t xml:space="preserve"> noteic</w:t>
            </w:r>
            <w:r>
              <w:t xml:space="preserve"> attiecībā uz </w:t>
            </w:r>
            <w:r w:rsidR="008816A5">
              <w:t>P</w:t>
            </w:r>
            <w:r>
              <w:t>rotokol</w:t>
            </w:r>
            <w:r w:rsidR="003E4B5C">
              <w:t>lēmuma</w:t>
            </w:r>
            <w:r>
              <w:t xml:space="preserve"> 2.1. apakšpunktā norādītajām amatpersonām, kuras atrodas dienestā Ieslodzījuma vietu pārvaldē, nodrošināt noteiktās atlīdzības (pārrēķinātās darba samaksas daļas) izmaksu 2017. gadā no šīm mērķim valsts budžeta 74. resora "</w:t>
            </w:r>
            <w:r w:rsidRPr="00CC4489">
              <w:rPr>
                <w:spacing w:val="-2"/>
              </w:rPr>
              <w:t>Gadskārtējā valsts budžeta izpildes procesā pārdalāmais finansējums"</w:t>
            </w:r>
            <w:r>
              <w:rPr>
                <w:spacing w:val="-2"/>
              </w:rPr>
              <w:t xml:space="preserve"> programmā 07.00.00 "Tiesu spriedumu izpilde" paredzētā </w:t>
            </w:r>
            <w:r w:rsidRPr="00F135D6">
              <w:rPr>
                <w:spacing w:val="-2"/>
              </w:rPr>
              <w:t>finansējuma.</w:t>
            </w:r>
          </w:p>
          <w:p w14:paraId="62DEBF5B" w14:textId="6C2C7675" w:rsidR="0050041B" w:rsidRPr="00984604" w:rsidRDefault="0025212A" w:rsidP="009B4A4A">
            <w:pPr>
              <w:jc w:val="both"/>
            </w:pPr>
            <w:r w:rsidRPr="00F135D6">
              <w:t xml:space="preserve">Likuma </w:t>
            </w:r>
            <w:r>
              <w:t>"</w:t>
            </w:r>
            <w:r w:rsidRPr="00F135D6">
              <w:t>Par valsts budžetu 2017.</w:t>
            </w:r>
            <w:r w:rsidR="00B63E0F">
              <w:t> </w:t>
            </w:r>
            <w:r w:rsidRPr="00F135D6">
              <w:t>gadam</w:t>
            </w:r>
            <w:r>
              <w:t>"</w:t>
            </w:r>
            <w:r w:rsidRPr="00F135D6">
              <w:t xml:space="preserve"> 57.</w:t>
            </w:r>
            <w:r>
              <w:t> </w:t>
            </w:r>
            <w:r w:rsidRPr="00F135D6">
              <w:t xml:space="preserve">pants </w:t>
            </w:r>
            <w:r>
              <w:t>noteic</w:t>
            </w:r>
            <w:r w:rsidRPr="00F135D6">
              <w:t>, ka kompensāciju izmaksu veikšanai par dienesta pienākumu pildīšanu virs noteiktā dienesta pienākumu izpildes laika Iekšlietu ministrijas sistēmas iestāžu un Ieslodzījuma vietu pārvaldes amatpersonām ar speciālajām dienesta pakāpēm valsts budžeta resora "74. Gadskārtējā valsts budžeta izpildes procesā pārdalāmais finansējums" programmā 07.00.00 "Tiesu spriedumu izpilde" rezervētais finansējums ir līdz 16 000 000 </w:t>
            </w:r>
            <w:r w:rsidRPr="00F135D6">
              <w:rPr>
                <w:i/>
              </w:rPr>
              <w:t>euro</w:t>
            </w:r>
            <w:r w:rsidRPr="00F135D6">
              <w:t>, paredzot, ka finansējuma apmērs tiek precizēts atbilstoši Iekšlietu ministrijas un Tieslietu ministrijas veiktajiem aprēķiniem, nepārsniedzot rezervēto summu. Finanšu ministram ir tiesības pārdalīt programmā 07.00.00 "Tiesu spriedumu izpilde" rezervēto finansējumu Iekšlietu ministrijai un Tieslietu ministrijai pēc attiecīga Ministru kabineta lēmuma pieņemšanas.</w:t>
            </w:r>
          </w:p>
        </w:tc>
      </w:tr>
      <w:tr w:rsidR="0050041B" w:rsidRPr="004F1142" w14:paraId="324E5DD1" w14:textId="77777777" w:rsidTr="00782822">
        <w:trPr>
          <w:trHeight w:val="472"/>
        </w:trPr>
        <w:tc>
          <w:tcPr>
            <w:tcW w:w="572" w:type="dxa"/>
          </w:tcPr>
          <w:p w14:paraId="78791C93" w14:textId="77777777" w:rsidR="0050041B" w:rsidRPr="004F1142" w:rsidRDefault="0050041B" w:rsidP="00194A0F">
            <w:pPr>
              <w:pStyle w:val="naiskr"/>
              <w:spacing w:before="0" w:after="0"/>
            </w:pPr>
            <w:r w:rsidRPr="004F1142">
              <w:t>2.</w:t>
            </w:r>
          </w:p>
        </w:tc>
        <w:tc>
          <w:tcPr>
            <w:tcW w:w="2835" w:type="dxa"/>
          </w:tcPr>
          <w:p w14:paraId="594A333B" w14:textId="77777777" w:rsidR="0050041B" w:rsidRPr="004F1142" w:rsidRDefault="0050041B" w:rsidP="00194A0F">
            <w:pPr>
              <w:pStyle w:val="naiskr"/>
              <w:tabs>
                <w:tab w:val="left" w:pos="170"/>
              </w:tabs>
              <w:spacing w:before="0" w:after="0"/>
            </w:pPr>
            <w:r w:rsidRPr="004F1142">
              <w:t>Pašreizējā situācija un problēmas</w:t>
            </w:r>
            <w:r w:rsidR="009F1F89">
              <w:t>, kuru risināšanai tiesību akta projekts izstrādāts, tiesiskā regulējuma mērķis un būtība</w:t>
            </w:r>
          </w:p>
        </w:tc>
        <w:tc>
          <w:tcPr>
            <w:tcW w:w="5670" w:type="dxa"/>
          </w:tcPr>
          <w:p w14:paraId="0E9C33C8" w14:textId="0BCF2E6E" w:rsidR="00D71F56" w:rsidRDefault="00AB5241" w:rsidP="009B4A4A">
            <w:pPr>
              <w:jc w:val="both"/>
              <w:rPr>
                <w:color w:val="000000"/>
              </w:rPr>
            </w:pPr>
            <w:r>
              <w:t xml:space="preserve">Ar Latvijas Republikas Augstākās tiesas Administratīvo lietu departamenta </w:t>
            </w:r>
            <w:r w:rsidR="007D5F4E">
              <w:rPr>
                <w:color w:val="000000"/>
              </w:rPr>
              <w:t>201</w:t>
            </w:r>
            <w:r>
              <w:rPr>
                <w:color w:val="000000"/>
              </w:rPr>
              <w:t>6</w:t>
            </w:r>
            <w:r w:rsidR="007D5F4E">
              <w:rPr>
                <w:color w:val="000000"/>
              </w:rPr>
              <w:t xml:space="preserve">. gada </w:t>
            </w:r>
            <w:r>
              <w:rPr>
                <w:color w:val="000000"/>
              </w:rPr>
              <w:t>16</w:t>
            </w:r>
            <w:r w:rsidR="007D5F4E">
              <w:rPr>
                <w:color w:val="000000"/>
              </w:rPr>
              <w:t>. </w:t>
            </w:r>
            <w:r>
              <w:rPr>
                <w:color w:val="000000"/>
              </w:rPr>
              <w:t>jūnija</w:t>
            </w:r>
            <w:r w:rsidR="007D5F4E">
              <w:rPr>
                <w:color w:val="000000"/>
              </w:rPr>
              <w:t xml:space="preserve"> spriedumu administratīvajā lietā Nr. A42</w:t>
            </w:r>
            <w:r>
              <w:rPr>
                <w:color w:val="000000"/>
              </w:rPr>
              <w:t>0535212 SKA-347/2016</w:t>
            </w:r>
            <w:r w:rsidR="007D5F4E">
              <w:rPr>
                <w:color w:val="000000"/>
              </w:rPr>
              <w:t xml:space="preserve"> (turpmāk – Spriedums) </w:t>
            </w:r>
            <w:r>
              <w:rPr>
                <w:color w:val="000000"/>
              </w:rPr>
              <w:t>atstāts negrozīts Administratīvās apgabaltiesas 2015.</w:t>
            </w:r>
            <w:r w:rsidR="003E4B5C">
              <w:rPr>
                <w:color w:val="000000"/>
              </w:rPr>
              <w:t> </w:t>
            </w:r>
            <w:r>
              <w:rPr>
                <w:color w:val="000000"/>
              </w:rPr>
              <w:t>gada 12.</w:t>
            </w:r>
            <w:r w:rsidR="003E4B5C">
              <w:rPr>
                <w:color w:val="000000"/>
              </w:rPr>
              <w:t> </w:t>
            </w:r>
            <w:r>
              <w:rPr>
                <w:color w:val="000000"/>
              </w:rPr>
              <w:t xml:space="preserve">jūnija spriedums un noraidīta Valsts ugunsdzēsības un glābšanas dienesta kasācijas sūdzība. Ar </w:t>
            </w:r>
            <w:r w:rsidR="00874BA2">
              <w:rPr>
                <w:color w:val="000000"/>
              </w:rPr>
              <w:t>Administratīvās apgabaltiesas 2015.</w:t>
            </w:r>
            <w:r w:rsidR="00FE3392">
              <w:rPr>
                <w:color w:val="000000"/>
              </w:rPr>
              <w:t> </w:t>
            </w:r>
            <w:r w:rsidR="00874BA2">
              <w:rPr>
                <w:color w:val="000000"/>
              </w:rPr>
              <w:t>gada</w:t>
            </w:r>
            <w:r w:rsidR="00C47C33">
              <w:rPr>
                <w:color w:val="000000"/>
              </w:rPr>
              <w:t xml:space="preserve"> </w:t>
            </w:r>
            <w:r w:rsidR="00874BA2">
              <w:rPr>
                <w:color w:val="000000"/>
              </w:rPr>
              <w:t>12.</w:t>
            </w:r>
            <w:r w:rsidR="00FE3392">
              <w:rPr>
                <w:color w:val="000000"/>
              </w:rPr>
              <w:t> </w:t>
            </w:r>
            <w:r w:rsidR="00874BA2">
              <w:rPr>
                <w:color w:val="000000"/>
              </w:rPr>
              <w:t>jūnija spriedumu administratīvajā lietā Nr. A420535212 uzdots</w:t>
            </w:r>
            <w:r w:rsidR="007D5F4E">
              <w:rPr>
                <w:color w:val="000000"/>
              </w:rPr>
              <w:t xml:space="preserve"> par pienākumu </w:t>
            </w:r>
            <w:r w:rsidR="00874BA2">
              <w:rPr>
                <w:color w:val="000000"/>
              </w:rPr>
              <w:t>Valsts ugunsdzēsības un glābšanas dienestam izdot administratīvo aktu par darba samaksas pārrēķinu</w:t>
            </w:r>
            <w:r w:rsidR="003445D4">
              <w:rPr>
                <w:color w:val="000000"/>
              </w:rPr>
              <w:t xml:space="preserve"> </w:t>
            </w:r>
            <w:r w:rsidR="003445D4">
              <w:rPr>
                <w:color w:val="000000"/>
              </w:rPr>
              <w:lastRenderedPageBreak/>
              <w:t xml:space="preserve">bijušajam Valsts ugunsdzēsības un glābšanas dienesta darbiniekam </w:t>
            </w:r>
            <w:r w:rsidR="00F863E3">
              <w:rPr>
                <w:color w:val="000000"/>
              </w:rPr>
              <w:t>par periodu no 2010. </w:t>
            </w:r>
            <w:r w:rsidR="00D2330F">
              <w:rPr>
                <w:color w:val="000000"/>
              </w:rPr>
              <w:t>gada 1.</w:t>
            </w:r>
            <w:r w:rsidR="00F863E3">
              <w:rPr>
                <w:color w:val="000000"/>
              </w:rPr>
              <w:t> </w:t>
            </w:r>
            <w:r w:rsidR="00D2330F">
              <w:rPr>
                <w:color w:val="000000"/>
              </w:rPr>
              <w:t>janvāra līdz 2012.</w:t>
            </w:r>
            <w:r w:rsidR="00F863E3">
              <w:rPr>
                <w:color w:val="000000"/>
              </w:rPr>
              <w:t> </w:t>
            </w:r>
            <w:r w:rsidR="00D2330F">
              <w:rPr>
                <w:color w:val="000000"/>
              </w:rPr>
              <w:t>gada 3.</w:t>
            </w:r>
            <w:r w:rsidR="00F863E3">
              <w:rPr>
                <w:color w:val="000000"/>
              </w:rPr>
              <w:t> </w:t>
            </w:r>
            <w:r w:rsidR="00D2330F">
              <w:rPr>
                <w:color w:val="000000"/>
              </w:rPr>
              <w:t>jūlijam, darba laikā ieskaitot dežūrmaiņas laikā paredzētos pārtraukumus, un par dienesta pildīšanu virs noteiktā dienesta pienākumu izpildes laika.</w:t>
            </w:r>
          </w:p>
          <w:p w14:paraId="197B2EDD" w14:textId="0BED92C6" w:rsidR="00D71F56" w:rsidRPr="007C7B04" w:rsidRDefault="003445D4" w:rsidP="009B4A4A">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Augstākā t</w:t>
            </w:r>
            <w:r w:rsidR="00D71F56" w:rsidRPr="00D71F56">
              <w:rPr>
                <w:rFonts w:ascii="Times New Roman" w:hAnsi="Times New Roman" w:cs="Times New Roman"/>
                <w:sz w:val="24"/>
                <w:szCs w:val="24"/>
                <w:lang w:val="lv-LV"/>
              </w:rPr>
              <w:t>iesa atzina, ka Iekšlietu ministrijas sistēmas iestāžu un Ieslodzījuma vietu pārvaldes amatpersonu ar speciālajām dienesta pakāpēm dienesta gaitas likuma (turpmāk – Dienesta gaitas likuma) 30.</w:t>
            </w:r>
            <w:r w:rsidR="00FE3392">
              <w:rPr>
                <w:rFonts w:ascii="Times New Roman" w:hAnsi="Times New Roman" w:cs="Times New Roman"/>
                <w:sz w:val="24"/>
                <w:szCs w:val="24"/>
                <w:lang w:val="lv-LV"/>
              </w:rPr>
              <w:t> </w:t>
            </w:r>
            <w:r w:rsidR="00D71F56" w:rsidRPr="00D71F56">
              <w:rPr>
                <w:rFonts w:ascii="Times New Roman" w:hAnsi="Times New Roman" w:cs="Times New Roman"/>
                <w:sz w:val="24"/>
                <w:szCs w:val="24"/>
                <w:lang w:val="lv-LV"/>
              </w:rPr>
              <w:t>panta pirmā</w:t>
            </w:r>
            <w:r w:rsidR="008741C1">
              <w:rPr>
                <w:rFonts w:ascii="Times New Roman" w:hAnsi="Times New Roman" w:cs="Times New Roman"/>
                <w:sz w:val="24"/>
                <w:szCs w:val="24"/>
                <w:lang w:val="lv-LV"/>
              </w:rPr>
              <w:t>s</w:t>
            </w:r>
            <w:r w:rsidR="00D71F56" w:rsidRPr="00D71F56">
              <w:rPr>
                <w:rFonts w:ascii="Times New Roman" w:hAnsi="Times New Roman" w:cs="Times New Roman"/>
                <w:sz w:val="24"/>
                <w:szCs w:val="24"/>
                <w:lang w:val="lv-LV"/>
              </w:rPr>
              <w:t xml:space="preserve"> daļa</w:t>
            </w:r>
            <w:r w:rsidR="008741C1">
              <w:rPr>
                <w:rFonts w:ascii="Times New Roman" w:hAnsi="Times New Roman" w:cs="Times New Roman"/>
                <w:sz w:val="24"/>
                <w:szCs w:val="24"/>
                <w:lang w:val="lv-LV"/>
              </w:rPr>
              <w:t>s</w:t>
            </w:r>
            <w:r w:rsidR="00D71F56" w:rsidRPr="00D71F56">
              <w:rPr>
                <w:rFonts w:ascii="Times New Roman" w:hAnsi="Times New Roman" w:cs="Times New Roman"/>
                <w:sz w:val="24"/>
                <w:szCs w:val="24"/>
                <w:lang w:val="lv-LV"/>
              </w:rPr>
              <w:t>, kas paredz, ka amatpersonai piešķir pārtraukumu, kas nedrīkst būt īsāks par 30</w:t>
            </w:r>
            <w:r w:rsidR="00FE3392">
              <w:rPr>
                <w:rFonts w:ascii="Times New Roman" w:hAnsi="Times New Roman" w:cs="Times New Roman"/>
                <w:sz w:val="24"/>
                <w:szCs w:val="24"/>
                <w:lang w:val="lv-LV"/>
              </w:rPr>
              <w:t> </w:t>
            </w:r>
            <w:r w:rsidR="00D71F56" w:rsidRPr="00D71F56">
              <w:rPr>
                <w:rFonts w:ascii="Times New Roman" w:hAnsi="Times New Roman" w:cs="Times New Roman"/>
                <w:sz w:val="24"/>
                <w:szCs w:val="24"/>
                <w:lang w:val="lv-LV"/>
              </w:rPr>
              <w:t>minūtēm un ko neieskaita dienesta pienākuma izpildes laikā, un otrās daļas, kura paredz, ka, ņemot vērā dienesta nepieciešamību, iestādes vadītājs var noteikt aizliegumu atstāt dienesta pienākumu izpildes vietu pārtraukuma laikā, regulējums interpretējams tādējādi, ka Valsts ugunsdzēsības un glābšanas dienesta amatpersonas dienesta pārtraukuma laiks ir ieskaitāms dienesta pienākuma izpildes laikā, jo dienesta pārtraukuma laikā amatpersonām ir noteikts aizliegums atstāt dienesta pienākumu izpildes vietu. Spēkā esošais Dienesta gaitas likuma regulējums neparedz ieskaitīt dienesta pienākumu izpildes laikā</w:t>
            </w:r>
            <w:r w:rsidR="00D71F56" w:rsidRPr="00D71F56" w:rsidDel="00044CBC">
              <w:rPr>
                <w:rFonts w:ascii="Times New Roman" w:hAnsi="Times New Roman" w:cs="Times New Roman"/>
                <w:sz w:val="24"/>
                <w:szCs w:val="24"/>
                <w:lang w:val="lv-LV"/>
              </w:rPr>
              <w:t xml:space="preserve"> </w:t>
            </w:r>
            <w:r w:rsidR="00D71F56" w:rsidRPr="00D71F56">
              <w:rPr>
                <w:rFonts w:ascii="Times New Roman" w:hAnsi="Times New Roman" w:cs="Times New Roman"/>
                <w:sz w:val="24"/>
                <w:szCs w:val="24"/>
                <w:lang w:val="lv-LV"/>
              </w:rPr>
              <w:t xml:space="preserve">pārtraukumu, kurā ir noteikts ierobežojums atstāt dienesta pienākumu izpildes vietu, un līdz ar to veikt samaksu arī par pārtraukuma laiku. Administratīvā apgabaltiesa un Augstākā tiesa </w:t>
            </w:r>
            <w:r w:rsidR="008741C1">
              <w:rPr>
                <w:rFonts w:ascii="Times New Roman" w:hAnsi="Times New Roman" w:cs="Times New Roman"/>
                <w:sz w:val="24"/>
                <w:szCs w:val="24"/>
                <w:lang w:val="lv-LV"/>
              </w:rPr>
              <w:t>nosprieda</w:t>
            </w:r>
            <w:r w:rsidR="00D71F56" w:rsidRPr="00D71F56">
              <w:rPr>
                <w:rFonts w:ascii="Times New Roman" w:hAnsi="Times New Roman" w:cs="Times New Roman"/>
                <w:sz w:val="24"/>
                <w:szCs w:val="24"/>
                <w:lang w:val="lv-LV"/>
              </w:rPr>
              <w:t>, ka šāds pārtraukums ir uzskatāms par dienesta pienākumu izpildes laiku un ir atbilstoši apmaksājams.</w:t>
            </w:r>
          </w:p>
          <w:p w14:paraId="25C19866" w14:textId="30D19007" w:rsidR="007D5F4E" w:rsidRDefault="00D2330F" w:rsidP="009B4A4A">
            <w:pPr>
              <w:jc w:val="both"/>
            </w:pPr>
            <w:r>
              <w:t xml:space="preserve">Spriedums, ar kuru tika </w:t>
            </w:r>
            <w:r w:rsidR="008741C1">
              <w:t>nospriests</w:t>
            </w:r>
            <w:r>
              <w:t xml:space="preserve">, ka </w:t>
            </w:r>
            <w:r w:rsidR="003445D4">
              <w:t>Iekšlietu ministrijas sistēmas iestāžu</w:t>
            </w:r>
            <w:r>
              <w:t xml:space="preserve"> un Ieslodzījum</w:t>
            </w:r>
            <w:r w:rsidR="008B56B7">
              <w:t>a</w:t>
            </w:r>
            <w:r>
              <w:t xml:space="preserve"> vietu pārvaldes amatpersonām dežūrmaiņas laikā paredzētie pārtraukumi jāieskaita dienesta pienākumu izpildes laikā, ja tām noteikts aizliegums atstāt dienesta pienākumu izpildes vietu dežūras un dežūras pārtraukumu laikā, </w:t>
            </w:r>
            <w:r w:rsidR="005B0542">
              <w:t xml:space="preserve">cita starp </w:t>
            </w:r>
            <w:r>
              <w:t>skar Ieslodzījum</w:t>
            </w:r>
            <w:r w:rsidR="008B56B7">
              <w:t>a</w:t>
            </w:r>
            <w:r>
              <w:t xml:space="preserve"> vietu pārvaldi.</w:t>
            </w:r>
            <w:r w:rsidR="00874BA2">
              <w:rPr>
                <w:color w:val="000000"/>
              </w:rPr>
              <w:t xml:space="preserve"> </w:t>
            </w:r>
            <w:r w:rsidR="003445D4">
              <w:t>Ieslodzījum</w:t>
            </w:r>
            <w:r w:rsidR="008B56B7">
              <w:t>a</w:t>
            </w:r>
            <w:r w:rsidR="003445D4">
              <w:t xml:space="preserve"> vietu pārvaldes </w:t>
            </w:r>
            <w:r w:rsidR="003445D4">
              <w:rPr>
                <w:rFonts w:eastAsia="Times New Roman"/>
              </w:rPr>
              <w:t>a</w:t>
            </w:r>
            <w:r w:rsidR="00FE3392" w:rsidRPr="00562C13">
              <w:rPr>
                <w:rFonts w:eastAsia="Times New Roman"/>
              </w:rPr>
              <w:t>matpersonām dežūrmaiņas laikā piešķirtajā pārtraukumā aizliegts atstāt dienesta vietu.</w:t>
            </w:r>
          </w:p>
          <w:p w14:paraId="5604BBAD" w14:textId="728F3687" w:rsidR="0025212A" w:rsidRDefault="0029434D" w:rsidP="009B4A4A">
            <w:pPr>
              <w:jc w:val="both"/>
            </w:pPr>
            <w:r w:rsidRPr="001D26B3">
              <w:t>Ievērojot to, ka Darba likuma 31.</w:t>
            </w:r>
            <w:r w:rsidR="009A12A5">
              <w:t> </w:t>
            </w:r>
            <w:r w:rsidRPr="001D26B3">
              <w:t>pant</w:t>
            </w:r>
            <w:r>
              <w:t xml:space="preserve">a pirmā daļa noteic, ka </w:t>
            </w:r>
            <w:r w:rsidRPr="00F701E3">
              <w:t>visi prasījumi, kas izriet no darba tiesiskajām attiecībām, noilgst divu gadu laikā</w:t>
            </w:r>
            <w:r w:rsidRPr="001D26B3">
              <w:t xml:space="preserve"> un ņemot vērā Spriedumā noteikto Augstākās tiesas interpretāciju, saskaņā ar kuru dežūrmaiņas laikā paredzētie pārtraukumi ir ieskaitāmi dienesta pienākumu izpildes laikā, Ieslodzījum</w:t>
            </w:r>
            <w:r w:rsidR="008B56B7">
              <w:t>a</w:t>
            </w:r>
            <w:r w:rsidRPr="001D26B3">
              <w:t xml:space="preserve"> vietu pārvaldes amatpersonām, kurām bija noteikts aizliegums atstāt dienesta pienākumu izpildes vietu dežūras un dežūras pārtraukuma laikā, ir pamats prasīt pārrēķināt nostrādāto </w:t>
            </w:r>
            <w:r w:rsidRPr="00782822">
              <w:t>laiku un kompensēt līdz šim neapmaksātās stundas par laika periodu no 2014.</w:t>
            </w:r>
            <w:r w:rsidR="00FE3392" w:rsidRPr="00782822">
              <w:t> </w:t>
            </w:r>
            <w:r w:rsidRPr="00782822">
              <w:t>gada 16.</w:t>
            </w:r>
            <w:r w:rsidR="00FE3392" w:rsidRPr="00782822">
              <w:t> </w:t>
            </w:r>
            <w:r w:rsidRPr="00782822">
              <w:t>jūnija līdz 2016.</w:t>
            </w:r>
            <w:r w:rsidR="00FE3392" w:rsidRPr="00782822">
              <w:t> </w:t>
            </w:r>
            <w:r w:rsidRPr="00782822">
              <w:t>gada 15.</w:t>
            </w:r>
            <w:r w:rsidR="00FE3392" w:rsidRPr="00782822">
              <w:t> </w:t>
            </w:r>
            <w:r w:rsidRPr="00782822">
              <w:t>jūnijam (divi gadi pirms Sprieduma spēkā stāšanās).</w:t>
            </w:r>
          </w:p>
          <w:p w14:paraId="57E686E3" w14:textId="7B2BDF03" w:rsidR="00782822" w:rsidRDefault="00E24FB3" w:rsidP="009B4A4A">
            <w:pPr>
              <w:jc w:val="both"/>
            </w:pPr>
            <w:r>
              <w:t>Attiecīgi atbilstoši</w:t>
            </w:r>
            <w:r w:rsidR="007A59EE">
              <w:t xml:space="preserve"> Spriedumam</w:t>
            </w:r>
            <w:r>
              <w:t>,</w:t>
            </w:r>
            <w:r w:rsidR="007A59EE">
              <w:t xml:space="preserve"> jāveic darba samaksas </w:t>
            </w:r>
            <w:r w:rsidR="007A59EE">
              <w:lastRenderedPageBreak/>
              <w:t xml:space="preserve">pārrēķins </w:t>
            </w:r>
            <w:r w:rsidR="007A59EE" w:rsidRPr="007A59EE">
              <w:t>par laika periodu no 2014. gada 16. jūnija līdz 2016. gada 15. jūnijam</w:t>
            </w:r>
            <w:r w:rsidR="007A59EE">
              <w:t xml:space="preserve">, izmaksājot </w:t>
            </w:r>
            <w:r w:rsidR="001546FF" w:rsidRPr="005A0F2E">
              <w:t xml:space="preserve">Valsts un pašvaldību institūciju amatpersonu un darbinieku atlīdzības likuma </w:t>
            </w:r>
            <w:r w:rsidR="007A59EE" w:rsidRPr="008B0796">
              <w:t>14.</w:t>
            </w:r>
            <w:r w:rsidR="00FE5E21">
              <w:t> </w:t>
            </w:r>
            <w:r w:rsidR="007A59EE" w:rsidRPr="008B0796">
              <w:t>panta 10.</w:t>
            </w:r>
            <w:r w:rsidR="007A59EE" w:rsidRPr="008B0796">
              <w:rPr>
                <w:vertAlign w:val="superscript"/>
              </w:rPr>
              <w:t>1</w:t>
            </w:r>
            <w:r w:rsidR="00FE5E21">
              <w:t> </w:t>
            </w:r>
            <w:r w:rsidR="007A59EE" w:rsidRPr="007A59EE">
              <w:t>da</w:t>
            </w:r>
            <w:r w:rsidR="007A59EE">
              <w:t>ļā noteikto piemaksu, kā arī piemaksu par dienesta pienākumu pildīšanu nakts laikā.</w:t>
            </w:r>
          </w:p>
          <w:p w14:paraId="3DC9EA3F" w14:textId="576F5E8E" w:rsidR="007774A9" w:rsidRPr="004B44F0" w:rsidRDefault="007774A9" w:rsidP="009B4A4A">
            <w:pPr>
              <w:pStyle w:val="NoSpacing"/>
              <w:jc w:val="both"/>
              <w:rPr>
                <w:rFonts w:ascii="Times New Roman" w:eastAsia="Times New Roman" w:hAnsi="Times New Roman" w:cs="Times New Roman"/>
                <w:sz w:val="24"/>
                <w:szCs w:val="20"/>
                <w:lang w:val="lv-LV"/>
              </w:rPr>
            </w:pPr>
            <w:r w:rsidRPr="004B44F0">
              <w:rPr>
                <w:rFonts w:ascii="Times New Roman" w:eastAsia="Times New Roman" w:hAnsi="Times New Roman" w:cs="Times New Roman"/>
                <w:sz w:val="24"/>
                <w:szCs w:val="20"/>
                <w:lang w:val="lv-LV"/>
              </w:rPr>
              <w:t>Ministru kabineta 2016.</w:t>
            </w:r>
            <w:r>
              <w:rPr>
                <w:rFonts w:ascii="Times New Roman" w:eastAsia="Times New Roman" w:hAnsi="Times New Roman" w:cs="Times New Roman"/>
                <w:sz w:val="24"/>
                <w:szCs w:val="20"/>
                <w:lang w:val="lv-LV"/>
              </w:rPr>
              <w:t> </w:t>
            </w:r>
            <w:r w:rsidRPr="004B44F0">
              <w:rPr>
                <w:rFonts w:ascii="Times New Roman" w:eastAsia="Times New Roman" w:hAnsi="Times New Roman" w:cs="Times New Roman"/>
                <w:sz w:val="24"/>
                <w:szCs w:val="20"/>
                <w:lang w:val="lv-LV"/>
              </w:rPr>
              <w:t>gada 2.</w:t>
            </w:r>
            <w:r>
              <w:rPr>
                <w:rFonts w:ascii="Times New Roman" w:eastAsia="Times New Roman" w:hAnsi="Times New Roman" w:cs="Times New Roman"/>
                <w:sz w:val="24"/>
                <w:szCs w:val="20"/>
                <w:lang w:val="lv-LV"/>
              </w:rPr>
              <w:t> </w:t>
            </w:r>
            <w:r w:rsidRPr="004B44F0">
              <w:rPr>
                <w:rFonts w:ascii="Times New Roman" w:eastAsia="Times New Roman" w:hAnsi="Times New Roman" w:cs="Times New Roman"/>
                <w:sz w:val="24"/>
                <w:szCs w:val="20"/>
                <w:lang w:val="lv-LV"/>
              </w:rPr>
              <w:t>augusta sēdē (prot</w:t>
            </w:r>
            <w:r>
              <w:rPr>
                <w:rFonts w:ascii="Times New Roman" w:eastAsia="Times New Roman" w:hAnsi="Times New Roman" w:cs="Times New Roman"/>
                <w:sz w:val="24"/>
                <w:szCs w:val="20"/>
                <w:lang w:val="lv-LV"/>
              </w:rPr>
              <w:t>okols</w:t>
            </w:r>
            <w:r w:rsidRPr="004B44F0">
              <w:rPr>
                <w:rFonts w:ascii="Times New Roman" w:eastAsia="Times New Roman" w:hAnsi="Times New Roman" w:cs="Times New Roman"/>
                <w:sz w:val="24"/>
                <w:szCs w:val="20"/>
                <w:lang w:val="lv-LV"/>
              </w:rPr>
              <w:t xml:space="preserve"> Nr.</w:t>
            </w:r>
            <w:r>
              <w:rPr>
                <w:rFonts w:ascii="Times New Roman" w:eastAsia="Times New Roman" w:hAnsi="Times New Roman" w:cs="Times New Roman"/>
                <w:sz w:val="24"/>
                <w:szCs w:val="20"/>
                <w:lang w:val="lv-LV"/>
              </w:rPr>
              <w:t> </w:t>
            </w:r>
            <w:r w:rsidRPr="004B44F0">
              <w:rPr>
                <w:rFonts w:ascii="Times New Roman" w:eastAsia="Times New Roman" w:hAnsi="Times New Roman" w:cs="Times New Roman"/>
                <w:sz w:val="24"/>
                <w:szCs w:val="20"/>
                <w:lang w:val="lv-LV"/>
              </w:rPr>
              <w:t>38 39.</w:t>
            </w:r>
            <w:r>
              <w:rPr>
                <w:rFonts w:ascii="Times New Roman" w:eastAsia="Times New Roman" w:hAnsi="Times New Roman" w:cs="Times New Roman"/>
                <w:sz w:val="24"/>
                <w:szCs w:val="20"/>
                <w:lang w:val="lv-LV"/>
              </w:rPr>
              <w:t> </w:t>
            </w:r>
            <w:r w:rsidRPr="004B44F0">
              <w:rPr>
                <w:rFonts w:ascii="Times New Roman" w:eastAsia="Times New Roman" w:hAnsi="Times New Roman" w:cs="Times New Roman"/>
                <w:sz w:val="24"/>
                <w:szCs w:val="20"/>
                <w:lang w:val="lv-LV"/>
              </w:rPr>
              <w:t xml:space="preserve">§) tika izskatīts Iekšlietu ministrijas sagatavotais </w:t>
            </w:r>
            <w:r w:rsidR="009A12A5">
              <w:rPr>
                <w:rFonts w:ascii="Times New Roman" w:eastAsia="Times New Roman" w:hAnsi="Times New Roman" w:cs="Times New Roman"/>
                <w:sz w:val="24"/>
                <w:szCs w:val="20"/>
                <w:lang w:val="lv-LV"/>
              </w:rPr>
              <w:t>i</w:t>
            </w:r>
            <w:r w:rsidRPr="004B44F0">
              <w:rPr>
                <w:rFonts w:ascii="Times New Roman" w:eastAsia="Times New Roman" w:hAnsi="Times New Roman" w:cs="Times New Roman"/>
                <w:sz w:val="24"/>
                <w:szCs w:val="20"/>
                <w:lang w:val="lv-LV"/>
              </w:rPr>
              <w:t xml:space="preserve">nformatīvais ziņojums </w:t>
            </w:r>
            <w:r>
              <w:rPr>
                <w:rFonts w:ascii="Times New Roman" w:eastAsia="Times New Roman" w:hAnsi="Times New Roman" w:cs="Times New Roman"/>
                <w:sz w:val="24"/>
                <w:szCs w:val="20"/>
                <w:lang w:val="lv-LV"/>
              </w:rPr>
              <w:t>"</w:t>
            </w:r>
            <w:r w:rsidRPr="004B44F0">
              <w:rPr>
                <w:rFonts w:ascii="Times New Roman" w:eastAsia="Times New Roman" w:hAnsi="Times New Roman" w:cs="Times New Roman"/>
                <w:sz w:val="24"/>
                <w:szCs w:val="20"/>
                <w:lang w:val="lv-LV"/>
              </w:rPr>
              <w:t>Par dienesta pienākumu izpildes laika organizēšanu Iekšlietu ministrijas sistēmas iestādēs un Ieslodzījuma vietu pārvaldē</w:t>
            </w:r>
            <w:r>
              <w:rPr>
                <w:rFonts w:ascii="Times New Roman" w:eastAsia="Times New Roman" w:hAnsi="Times New Roman" w:cs="Times New Roman"/>
                <w:sz w:val="24"/>
                <w:szCs w:val="20"/>
                <w:lang w:val="lv-LV"/>
              </w:rPr>
              <w:t>"</w:t>
            </w:r>
            <w:r w:rsidRPr="004B44F0">
              <w:rPr>
                <w:rFonts w:ascii="Times New Roman" w:eastAsia="Times New Roman" w:hAnsi="Times New Roman" w:cs="Times New Roman"/>
                <w:sz w:val="24"/>
                <w:szCs w:val="20"/>
                <w:lang w:val="lv-LV"/>
              </w:rPr>
              <w:t xml:space="preserve"> (turpmāk – Informatīvais ziņojums). Informatīvais ziņojums tika sagatavots, lai informētu Ministru kabinetu par </w:t>
            </w:r>
            <w:r>
              <w:rPr>
                <w:rFonts w:ascii="Times New Roman" w:eastAsia="Times New Roman" w:hAnsi="Times New Roman" w:cs="Times New Roman"/>
                <w:sz w:val="24"/>
                <w:szCs w:val="20"/>
                <w:lang w:val="lv-LV"/>
              </w:rPr>
              <w:t>S</w:t>
            </w:r>
            <w:r w:rsidRPr="004B44F0">
              <w:rPr>
                <w:rFonts w:ascii="Times New Roman" w:eastAsia="Times New Roman" w:hAnsi="Times New Roman" w:cs="Times New Roman"/>
                <w:sz w:val="24"/>
                <w:szCs w:val="20"/>
                <w:lang w:val="lv-LV"/>
              </w:rPr>
              <w:t>priedumu un Ministru kabinets pieņemtu lēmumu par turpmāko rīcību.</w:t>
            </w:r>
          </w:p>
          <w:p w14:paraId="1DC0EFCD" w14:textId="1006F8AB" w:rsidR="007774A9" w:rsidRDefault="007774A9" w:rsidP="009B4A4A">
            <w:pPr>
              <w:jc w:val="both"/>
            </w:pPr>
            <w:r w:rsidRPr="004B44F0">
              <w:rPr>
                <w:rFonts w:eastAsia="Times New Roman"/>
                <w:szCs w:val="20"/>
                <w:lang w:eastAsia="en-US"/>
              </w:rPr>
              <w:t xml:space="preserve">Informatīvajā ziņojumā iekļauti indikatīvi aprēķini par papildu nepieciešamo finansējumu, lai kompensētu Iekšlietu ministrijas sistēmas iestāžu un Ieslodzījuma vietu pārvaldes amatpersonām ar speciālajām dienesta pakāpēm izveidojušās </w:t>
            </w:r>
            <w:r w:rsidRPr="00312AAA">
              <w:rPr>
                <w:rFonts w:eastAsia="Times New Roman"/>
                <w:szCs w:val="20"/>
                <w:lang w:eastAsia="en-US"/>
              </w:rPr>
              <w:t>virsstundas, kas balstījās uz vidējo kompensējamo virsstundu skaitu, vidējo amatpersonu skaitu, kurām piešķirama kompensācija, un vidējo šīm amatpersonām noteikto stundas algas likmi.</w:t>
            </w:r>
            <w:r w:rsidR="00582122">
              <w:t xml:space="preserve"> </w:t>
            </w:r>
            <w:r w:rsidR="00582122" w:rsidRPr="00582122">
              <w:rPr>
                <w:rFonts w:eastAsia="Times New Roman"/>
                <w:szCs w:val="20"/>
                <w:lang w:eastAsia="en-US"/>
              </w:rPr>
              <w:t>Indikatīvi aprēķinātie papildu izdevumi virsstundu darba apmaksai, ņemot vērā arī ietekmi uz piemaksu par nakts darbu, Ieslodzījuma vietu pārvaldei sastāda 9</w:t>
            </w:r>
            <w:r w:rsidR="009A12A5">
              <w:rPr>
                <w:rFonts w:eastAsia="Times New Roman"/>
                <w:szCs w:val="20"/>
                <w:lang w:eastAsia="en-US"/>
              </w:rPr>
              <w:t> </w:t>
            </w:r>
            <w:r w:rsidR="00582122" w:rsidRPr="00582122">
              <w:rPr>
                <w:rFonts w:eastAsia="Times New Roman"/>
                <w:szCs w:val="20"/>
                <w:lang w:eastAsia="en-US"/>
              </w:rPr>
              <w:t>544</w:t>
            </w:r>
            <w:r w:rsidR="009A12A5">
              <w:rPr>
                <w:rFonts w:eastAsia="Times New Roman"/>
                <w:szCs w:val="20"/>
                <w:lang w:eastAsia="en-US"/>
              </w:rPr>
              <w:t> </w:t>
            </w:r>
            <w:r w:rsidR="00582122" w:rsidRPr="00582122">
              <w:rPr>
                <w:rFonts w:eastAsia="Times New Roman"/>
                <w:szCs w:val="20"/>
                <w:lang w:eastAsia="en-US"/>
              </w:rPr>
              <w:t>849</w:t>
            </w:r>
            <w:r w:rsidR="009A12A5">
              <w:rPr>
                <w:rFonts w:eastAsia="Times New Roman"/>
                <w:szCs w:val="20"/>
                <w:lang w:eastAsia="en-US"/>
              </w:rPr>
              <w:t> </w:t>
            </w:r>
            <w:r w:rsidR="00582122" w:rsidRPr="00902E9F">
              <w:rPr>
                <w:rFonts w:eastAsia="Times New Roman"/>
                <w:i/>
                <w:szCs w:val="20"/>
                <w:lang w:eastAsia="en-US"/>
              </w:rPr>
              <w:t>euro</w:t>
            </w:r>
            <w:r w:rsidR="00582122" w:rsidRPr="00582122">
              <w:rPr>
                <w:rFonts w:eastAsia="Times New Roman"/>
                <w:szCs w:val="20"/>
                <w:lang w:eastAsia="en-US"/>
              </w:rPr>
              <w:t>.</w:t>
            </w:r>
          </w:p>
          <w:p w14:paraId="168FEFB6" w14:textId="767E7D6D" w:rsidR="0050041B" w:rsidRPr="007774A9" w:rsidRDefault="007774A9" w:rsidP="009B4A4A">
            <w:pPr>
              <w:jc w:val="both"/>
            </w:pPr>
            <w:r>
              <w:t>Ar</w:t>
            </w:r>
            <w:r w:rsidR="007D5F4E">
              <w:rPr>
                <w:color w:val="000000"/>
              </w:rPr>
              <w:t xml:space="preserve"> </w:t>
            </w:r>
            <w:r w:rsidR="007D5F4E">
              <w:t xml:space="preserve">Ministru kabineta </w:t>
            </w:r>
            <w:r>
              <w:t>2016. gada 8. decembra rīkojumu Nr. 751</w:t>
            </w:r>
            <w:r w:rsidR="007D5F4E">
              <w:t xml:space="preserve"> </w:t>
            </w:r>
            <w:r w:rsidR="00073763">
              <w:t>"</w:t>
            </w:r>
            <w:r w:rsidR="007D5F4E">
              <w:t xml:space="preserve">Par </w:t>
            </w:r>
            <w:r w:rsidR="007D5F4E" w:rsidRPr="007774A9">
              <w:t xml:space="preserve">finanšu līdzekļu piešķiršanu no valsts budžeta programmas </w:t>
            </w:r>
            <w:r w:rsidR="003C5A67" w:rsidRPr="007774A9">
              <w:t>"</w:t>
            </w:r>
            <w:r w:rsidR="007D5F4E" w:rsidRPr="007774A9">
              <w:t>Līdzekļi nepared</w:t>
            </w:r>
            <w:r w:rsidR="007C7B04" w:rsidRPr="007774A9">
              <w:t>zētiem gadījumiem</w:t>
            </w:r>
            <w:r w:rsidR="00073763" w:rsidRPr="007774A9">
              <w:t>""</w:t>
            </w:r>
            <w:r w:rsidRPr="007774A9">
              <w:t xml:space="preserve"> Tieslietu ministrijai (Ieslodzījuma vietu pārvaldei) tika piešķirti finanšu līdzekļi, lai segtu izdevumus, kas saistīti ar kompensācijas izmaksu  Ieslodzījuma vietu pārvaldes amatpersonām ar speciālajām dienesta pakāpēm par virsstundu darbu un piemaksu par  nakts darbu sakarā ar Spriedumu</w:t>
            </w:r>
            <w:r w:rsidR="007D5F4E" w:rsidRPr="007774A9">
              <w:t>.</w:t>
            </w:r>
          </w:p>
          <w:p w14:paraId="7ABAC6F5" w14:textId="6D9EBF79" w:rsidR="007774A9" w:rsidRDefault="007A59EE" w:rsidP="009B4A4A">
            <w:pPr>
              <w:jc w:val="both"/>
              <w:rPr>
                <w:rFonts w:eastAsia="Times New Roman"/>
                <w:i/>
                <w:szCs w:val="20"/>
                <w:lang w:eastAsia="en-US"/>
              </w:rPr>
            </w:pPr>
            <w:r>
              <w:t>Pēc</w:t>
            </w:r>
            <w:r w:rsidRPr="007A59EE">
              <w:t xml:space="preserve"> </w:t>
            </w:r>
            <w:r w:rsidR="007774A9">
              <w:t xml:space="preserve">Valsts un pašvaldību institūciju amatpersonu un darbinieku atlīdzības </w:t>
            </w:r>
            <w:r w:rsidRPr="007A59EE">
              <w:t>likuma 14.</w:t>
            </w:r>
            <w:r w:rsidR="00FE5E21">
              <w:t> </w:t>
            </w:r>
            <w:r w:rsidRPr="007A59EE">
              <w:t>panta 10.</w:t>
            </w:r>
            <w:r w:rsidRPr="007A59EE">
              <w:rPr>
                <w:vertAlign w:val="superscript"/>
              </w:rPr>
              <w:t>1</w:t>
            </w:r>
            <w:r w:rsidR="00FE5E21">
              <w:t> </w:t>
            </w:r>
            <w:r w:rsidRPr="007A59EE">
              <w:t>daļā noteikt</w:t>
            </w:r>
            <w:r>
              <w:t>ās</w:t>
            </w:r>
            <w:r w:rsidRPr="007A59EE">
              <w:t xml:space="preserve"> piemaks</w:t>
            </w:r>
            <w:r>
              <w:t>as</w:t>
            </w:r>
            <w:r w:rsidRPr="007A59EE">
              <w:t>, kā arī piemaks</w:t>
            </w:r>
            <w:r>
              <w:t>as</w:t>
            </w:r>
            <w:r w:rsidRPr="007A59EE">
              <w:t xml:space="preserve"> par dienesta pienākumu pildīšanu nakts laikā </w:t>
            </w:r>
            <w:r>
              <w:t>aprēķināšan</w:t>
            </w:r>
            <w:r w:rsidR="007774A9">
              <w:t>as, Ieslodzījuma vietu pārvalde</w:t>
            </w:r>
            <w:r>
              <w:t xml:space="preserve"> veic</w:t>
            </w:r>
            <w:r w:rsidR="007774A9">
              <w:t>a</w:t>
            </w:r>
            <w:r>
              <w:t xml:space="preserve"> vidējās izp</w:t>
            </w:r>
            <w:r w:rsidR="007774A9">
              <w:t>eļņas periodu samaksas pārrēķinu.</w:t>
            </w:r>
          </w:p>
          <w:p w14:paraId="695C32BE" w14:textId="5D176D99" w:rsidR="009B4A4A" w:rsidRPr="009B4A4A" w:rsidRDefault="008816A5" w:rsidP="009B4A4A">
            <w:pPr>
              <w:jc w:val="both"/>
              <w:rPr>
                <w:spacing w:val="-2"/>
              </w:rPr>
            </w:pPr>
            <w:r>
              <w:t>Protokollēmuma</w:t>
            </w:r>
            <w:r w:rsidR="009B4A4A" w:rsidRPr="00175C62">
              <w:t xml:space="preserve"> </w:t>
            </w:r>
            <w:r w:rsidR="009B4A4A">
              <w:t>2.1</w:t>
            </w:r>
            <w:r w:rsidR="009B4A4A" w:rsidRPr="00175C62">
              <w:t>.</w:t>
            </w:r>
            <w:r w:rsidR="009B4A4A">
              <w:t> apakšpunkts</w:t>
            </w:r>
            <w:r w:rsidR="009B4A4A" w:rsidRPr="00175C62">
              <w:t xml:space="preserve"> noteic </w:t>
            </w:r>
            <w:r w:rsidR="009B4A4A">
              <w:t xml:space="preserve">Tieslietu ministrijai (Ieslodzījuma vietu pārvaldei) nodrošināt dienesta pienākumu pildīšanas virs noteiktā dienesta pienākumu </w:t>
            </w:r>
            <w:r w:rsidR="009B4A4A" w:rsidRPr="00CC4489">
              <w:t>izpildes laika pārrēķinu (uzskaiti) par laikposmu no 2014. gada 16. jūnija līdz 2016</w:t>
            </w:r>
            <w:r w:rsidR="009B4A4A">
              <w:t>. </w:t>
            </w:r>
            <w:r w:rsidR="009B4A4A" w:rsidRPr="00CC4489">
              <w:t xml:space="preserve">gada 15. jūnijam tām </w:t>
            </w:r>
            <w:r w:rsidR="009B4A4A">
              <w:t xml:space="preserve">amatpersonām </w:t>
            </w:r>
            <w:r w:rsidR="009B4A4A" w:rsidRPr="00F135D6">
              <w:t>ar speciālajām dienesta pakāpēm</w:t>
            </w:r>
            <w:r w:rsidR="009B4A4A">
              <w:t>, kurām tika noteikts aizliegums pamest dienesta izpildes vietu pārtraukuma laikā</w:t>
            </w:r>
            <w:r w:rsidR="009B4A4A" w:rsidRPr="00CC4489">
              <w:t>.</w:t>
            </w:r>
            <w:r w:rsidR="009B4A4A">
              <w:t xml:space="preserve"> Savukārt </w:t>
            </w:r>
            <w:r>
              <w:t xml:space="preserve">Protokollēmuma </w:t>
            </w:r>
            <w:r w:rsidR="009B4A4A">
              <w:t>2.2</w:t>
            </w:r>
            <w:r w:rsidR="009B4A4A" w:rsidRPr="00175C62">
              <w:t>.</w:t>
            </w:r>
            <w:r w:rsidR="009B4A4A">
              <w:t>2. apakšpunkts</w:t>
            </w:r>
            <w:r w:rsidR="009B4A4A" w:rsidRPr="00175C62">
              <w:t xml:space="preserve"> </w:t>
            </w:r>
            <w:r w:rsidR="009B4A4A">
              <w:t xml:space="preserve">cita starpā </w:t>
            </w:r>
            <w:r w:rsidR="009B4A4A" w:rsidRPr="00175C62">
              <w:t>noteic</w:t>
            </w:r>
            <w:r w:rsidR="009B4A4A">
              <w:t xml:space="preserve"> attiecībā uz </w:t>
            </w:r>
            <w:r>
              <w:t>P</w:t>
            </w:r>
            <w:r w:rsidR="009B4A4A">
              <w:t>rotokol</w:t>
            </w:r>
            <w:r w:rsidR="00814F60">
              <w:t>lēmuma</w:t>
            </w:r>
            <w:r w:rsidR="009B4A4A">
              <w:t xml:space="preserve"> 2.1. apakšpunktā norādītajām amatpersonām, kuras atrodas dienestā Ieslodzījuma vietu </w:t>
            </w:r>
            <w:r w:rsidR="009B4A4A">
              <w:lastRenderedPageBreak/>
              <w:t>pārvaldē, nodrošināt noteiktās atlīdzības (pārrēķinātās darba samaksas daļas) izmaksu 2017. gadā no š</w:t>
            </w:r>
            <w:r w:rsidR="00BE0634">
              <w:t>i</w:t>
            </w:r>
            <w:r w:rsidR="009B4A4A">
              <w:t>m mērķim valsts budžeta 74. resora "</w:t>
            </w:r>
            <w:r w:rsidR="009B4A4A" w:rsidRPr="00CC4489">
              <w:rPr>
                <w:spacing w:val="-2"/>
              </w:rPr>
              <w:t>Gadskārtējā valsts budžeta izpildes procesā pārdalāmais finansējums"</w:t>
            </w:r>
            <w:r w:rsidR="009B4A4A">
              <w:rPr>
                <w:spacing w:val="-2"/>
              </w:rPr>
              <w:t xml:space="preserve"> programmā 07.00.00 "Tiesu spriedumu izpilde" paredzētā </w:t>
            </w:r>
            <w:r w:rsidR="009B4A4A" w:rsidRPr="00F135D6">
              <w:rPr>
                <w:spacing w:val="-2"/>
              </w:rPr>
              <w:t>finansējuma.</w:t>
            </w:r>
          </w:p>
          <w:p w14:paraId="2AEBC76D" w14:textId="5E211C15" w:rsidR="004542A1" w:rsidRPr="00812F9B" w:rsidRDefault="00AD3C05" w:rsidP="008816A5">
            <w:pPr>
              <w:jc w:val="both"/>
            </w:pPr>
            <w:r>
              <w:t xml:space="preserve">Attiecīgi saskaņā ar </w:t>
            </w:r>
            <w:r w:rsidR="008816A5">
              <w:t>Protokollēmuma</w:t>
            </w:r>
            <w:r w:rsidR="009B4A4A">
              <w:t xml:space="preserve"> 2.1. un 2.2.2. apakšpunktu sastādīts </w:t>
            </w:r>
            <w:r w:rsidRPr="00AD3C05">
              <w:t>izskatīšanai Ministru</w:t>
            </w:r>
            <w:r>
              <w:t xml:space="preserve"> kabinetā rīkojuma projekts</w:t>
            </w:r>
            <w:r w:rsidRPr="00AD3C05">
              <w:t xml:space="preserve"> </w:t>
            </w:r>
            <w:r w:rsidR="009B4A4A" w:rsidRPr="009B4A4A">
              <w:rPr>
                <w:spacing w:val="-2"/>
              </w:rPr>
              <w:t>"Par finansējuma pārdali Tieslietu ministrijai no valsts budžeta resora "74. Gadskārtējā valsts budžeta izpildes procesā pārdalāmais finansējums" programmas 07.00.00 "Tiesu spriedumu izpilde""</w:t>
            </w:r>
            <w:r w:rsidR="007A59EE" w:rsidRPr="009B4A4A">
              <w:t>.</w:t>
            </w:r>
          </w:p>
        </w:tc>
      </w:tr>
      <w:tr w:rsidR="0050041B" w:rsidRPr="004F1142" w14:paraId="67A7F52D" w14:textId="77777777" w:rsidTr="003445D4">
        <w:trPr>
          <w:trHeight w:val="476"/>
        </w:trPr>
        <w:tc>
          <w:tcPr>
            <w:tcW w:w="572" w:type="dxa"/>
          </w:tcPr>
          <w:p w14:paraId="0371DDC4" w14:textId="77777777" w:rsidR="0050041B" w:rsidRPr="004F1142" w:rsidRDefault="008F3420" w:rsidP="00194A0F">
            <w:pPr>
              <w:pStyle w:val="naiskr"/>
              <w:spacing w:before="0" w:after="0"/>
            </w:pPr>
            <w:r>
              <w:lastRenderedPageBreak/>
              <w:t>3</w:t>
            </w:r>
            <w:r w:rsidR="0050041B" w:rsidRPr="004F1142">
              <w:t>.</w:t>
            </w:r>
          </w:p>
        </w:tc>
        <w:tc>
          <w:tcPr>
            <w:tcW w:w="2835" w:type="dxa"/>
          </w:tcPr>
          <w:p w14:paraId="42555C94" w14:textId="77777777" w:rsidR="0050041B" w:rsidRPr="004F1142" w:rsidRDefault="0050041B" w:rsidP="00194A0F">
            <w:pPr>
              <w:pStyle w:val="naiskr"/>
              <w:spacing w:before="0" w:after="0"/>
            </w:pPr>
            <w:r w:rsidRPr="004F1142">
              <w:t>Projekta izstrādē iesaistītās institūcijas</w:t>
            </w:r>
          </w:p>
        </w:tc>
        <w:tc>
          <w:tcPr>
            <w:tcW w:w="5670" w:type="dxa"/>
          </w:tcPr>
          <w:p w14:paraId="5FCD7254" w14:textId="77777777" w:rsidR="0050041B" w:rsidRPr="004F1142" w:rsidRDefault="0050041B" w:rsidP="003445D4">
            <w:pPr>
              <w:spacing w:before="75" w:after="75"/>
              <w:ind w:right="141"/>
              <w:jc w:val="both"/>
            </w:pPr>
            <w:r w:rsidRPr="004F1142">
              <w:t>Tieslietu ministrija</w:t>
            </w:r>
            <w:r>
              <w:t>, Ieslodzījuma vietu pārvalde</w:t>
            </w:r>
            <w:r w:rsidR="008F3420">
              <w:t>.</w:t>
            </w:r>
          </w:p>
        </w:tc>
      </w:tr>
      <w:tr w:rsidR="0050041B" w:rsidRPr="004F1142" w14:paraId="0F055E18" w14:textId="77777777" w:rsidTr="003445D4">
        <w:tc>
          <w:tcPr>
            <w:tcW w:w="572" w:type="dxa"/>
          </w:tcPr>
          <w:p w14:paraId="3175B86F" w14:textId="77777777" w:rsidR="0050041B" w:rsidRPr="004F1142" w:rsidRDefault="008F3420" w:rsidP="00194A0F">
            <w:pPr>
              <w:pStyle w:val="naiskr"/>
              <w:spacing w:before="0" w:after="0"/>
            </w:pPr>
            <w:r>
              <w:t>4</w:t>
            </w:r>
            <w:r w:rsidR="0050041B" w:rsidRPr="004F1142">
              <w:t>.</w:t>
            </w:r>
          </w:p>
        </w:tc>
        <w:tc>
          <w:tcPr>
            <w:tcW w:w="2835" w:type="dxa"/>
          </w:tcPr>
          <w:p w14:paraId="0C31422F" w14:textId="77777777" w:rsidR="0050041B" w:rsidRPr="004F1142" w:rsidRDefault="0050041B" w:rsidP="00194A0F">
            <w:pPr>
              <w:pStyle w:val="naiskr"/>
              <w:spacing w:before="0" w:after="0"/>
            </w:pPr>
            <w:r w:rsidRPr="004F1142">
              <w:t>Cita informācija</w:t>
            </w:r>
          </w:p>
        </w:tc>
        <w:tc>
          <w:tcPr>
            <w:tcW w:w="5670" w:type="dxa"/>
          </w:tcPr>
          <w:p w14:paraId="58C4BFF7" w14:textId="36E51C82" w:rsidR="0050041B" w:rsidRPr="004F1142" w:rsidRDefault="008F3420" w:rsidP="009547CC">
            <w:pPr>
              <w:jc w:val="both"/>
            </w:pPr>
            <w:r>
              <w:t>Nav</w:t>
            </w:r>
            <w:r w:rsidR="006121B4">
              <w:t>.</w:t>
            </w:r>
          </w:p>
        </w:tc>
      </w:tr>
    </w:tbl>
    <w:p w14:paraId="5BF77FC1" w14:textId="77777777" w:rsidR="0050041B" w:rsidRPr="00EB1688" w:rsidRDefault="0050041B" w:rsidP="00EB1688">
      <w:pPr>
        <w:rPr>
          <w:bCs/>
          <w:color w:val="000000"/>
        </w:rPr>
      </w:pPr>
    </w:p>
    <w:tbl>
      <w:tblPr>
        <w:tblW w:w="9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1296"/>
        <w:gridCol w:w="1451"/>
        <w:gridCol w:w="1451"/>
        <w:gridCol w:w="1451"/>
        <w:gridCol w:w="1379"/>
      </w:tblGrid>
      <w:tr w:rsidR="0050041B" w:rsidRPr="0022444A" w14:paraId="3F643B47" w14:textId="77777777" w:rsidTr="00E938B9">
        <w:trPr>
          <w:trHeight w:val="255"/>
          <w:jc w:val="center"/>
        </w:trPr>
        <w:tc>
          <w:tcPr>
            <w:tcW w:w="9139" w:type="dxa"/>
            <w:gridSpan w:val="6"/>
          </w:tcPr>
          <w:p w14:paraId="5F82FE57" w14:textId="77777777" w:rsidR="0050041B" w:rsidRPr="00931439" w:rsidRDefault="0050041B" w:rsidP="00DA3291">
            <w:pPr>
              <w:pStyle w:val="naisnod"/>
              <w:spacing w:before="0" w:after="0"/>
              <w:ind w:left="162" w:hanging="162"/>
              <w:rPr>
                <w:i/>
              </w:rPr>
            </w:pPr>
            <w:r w:rsidRPr="00931439">
              <w:br w:type="page"/>
              <w:t>III. Tiesību akta projekta ietekme uz valsts budžetu un pašvaldību budžetiem</w:t>
            </w:r>
          </w:p>
        </w:tc>
      </w:tr>
      <w:tr w:rsidR="00554FF6" w:rsidRPr="0022444A" w14:paraId="6E8F5397" w14:textId="77777777" w:rsidTr="003445D4">
        <w:trPr>
          <w:jc w:val="center"/>
        </w:trPr>
        <w:tc>
          <w:tcPr>
            <w:tcW w:w="2161" w:type="dxa"/>
            <w:vMerge w:val="restart"/>
            <w:vAlign w:val="center"/>
          </w:tcPr>
          <w:p w14:paraId="0342ED4F" w14:textId="77777777" w:rsidR="0050041B" w:rsidRPr="00931439" w:rsidRDefault="0050041B" w:rsidP="00DA3291">
            <w:pPr>
              <w:pStyle w:val="naisf"/>
              <w:spacing w:before="0" w:after="0"/>
              <w:ind w:firstLine="0"/>
              <w:jc w:val="center"/>
              <w:rPr>
                <w:b/>
              </w:rPr>
            </w:pPr>
            <w:r w:rsidRPr="00931439">
              <w:rPr>
                <w:b/>
              </w:rPr>
              <w:t>Rādītāji</w:t>
            </w:r>
          </w:p>
        </w:tc>
        <w:tc>
          <w:tcPr>
            <w:tcW w:w="2597" w:type="dxa"/>
            <w:gridSpan w:val="2"/>
            <w:vMerge w:val="restart"/>
            <w:vAlign w:val="center"/>
          </w:tcPr>
          <w:p w14:paraId="3996B35C" w14:textId="5EA38D01" w:rsidR="0050041B" w:rsidRPr="00931439" w:rsidRDefault="00931439" w:rsidP="009B4A4A">
            <w:pPr>
              <w:pStyle w:val="naisf"/>
              <w:spacing w:before="0" w:after="0"/>
              <w:ind w:firstLine="0"/>
              <w:jc w:val="center"/>
              <w:rPr>
                <w:b/>
              </w:rPr>
            </w:pPr>
            <w:r w:rsidRPr="00931439">
              <w:rPr>
                <w:b/>
              </w:rPr>
              <w:t>201</w:t>
            </w:r>
            <w:r w:rsidR="009B4A4A">
              <w:rPr>
                <w:b/>
              </w:rPr>
              <w:t>7</w:t>
            </w:r>
            <w:r w:rsidR="0050041B" w:rsidRPr="00931439">
              <w:rPr>
                <w:b/>
              </w:rPr>
              <w:t>.</w:t>
            </w:r>
            <w:r w:rsidR="00463BE0">
              <w:rPr>
                <w:b/>
              </w:rPr>
              <w:t> </w:t>
            </w:r>
            <w:r w:rsidR="0050041B" w:rsidRPr="00931439">
              <w:rPr>
                <w:b/>
              </w:rPr>
              <w:t>gads</w:t>
            </w:r>
          </w:p>
        </w:tc>
        <w:tc>
          <w:tcPr>
            <w:tcW w:w="4381" w:type="dxa"/>
            <w:gridSpan w:val="3"/>
            <w:vAlign w:val="center"/>
          </w:tcPr>
          <w:p w14:paraId="656BAB16" w14:textId="77777777" w:rsidR="0050041B" w:rsidRPr="00931439" w:rsidRDefault="0050041B" w:rsidP="00931439">
            <w:pPr>
              <w:pStyle w:val="naisf"/>
              <w:spacing w:before="0" w:after="0"/>
              <w:ind w:firstLine="0"/>
              <w:jc w:val="center"/>
              <w:rPr>
                <w:b/>
                <w:i/>
              </w:rPr>
            </w:pPr>
            <w:r w:rsidRPr="00931439">
              <w:t>Turpmākie trīs gadi (</w:t>
            </w:r>
            <w:r w:rsidR="00931439" w:rsidRPr="00931439">
              <w:rPr>
                <w:i/>
              </w:rPr>
              <w:t>euro</w:t>
            </w:r>
            <w:r w:rsidRPr="00931439">
              <w:t>)</w:t>
            </w:r>
          </w:p>
        </w:tc>
      </w:tr>
      <w:tr w:rsidR="00554FF6" w:rsidRPr="0022444A" w14:paraId="1BFF86D9" w14:textId="77777777" w:rsidTr="003445D4">
        <w:trPr>
          <w:jc w:val="center"/>
        </w:trPr>
        <w:tc>
          <w:tcPr>
            <w:tcW w:w="2161" w:type="dxa"/>
            <w:vMerge/>
            <w:vAlign w:val="center"/>
          </w:tcPr>
          <w:p w14:paraId="0B86B794" w14:textId="77777777" w:rsidR="0050041B" w:rsidRPr="00931439" w:rsidRDefault="0050041B" w:rsidP="00DA3291">
            <w:pPr>
              <w:pStyle w:val="naisf"/>
              <w:spacing w:before="0" w:after="0"/>
              <w:ind w:firstLine="0"/>
              <w:jc w:val="center"/>
              <w:rPr>
                <w:b/>
                <w:i/>
              </w:rPr>
            </w:pPr>
          </w:p>
        </w:tc>
        <w:tc>
          <w:tcPr>
            <w:tcW w:w="2597" w:type="dxa"/>
            <w:gridSpan w:val="2"/>
            <w:vMerge/>
            <w:vAlign w:val="center"/>
          </w:tcPr>
          <w:p w14:paraId="4A3D55A6" w14:textId="77777777" w:rsidR="0050041B" w:rsidRPr="00931439" w:rsidRDefault="0050041B" w:rsidP="00DA3291">
            <w:pPr>
              <w:pStyle w:val="naisf"/>
              <w:spacing w:before="0" w:after="0"/>
              <w:ind w:firstLine="0"/>
              <w:jc w:val="center"/>
              <w:rPr>
                <w:b/>
                <w:i/>
              </w:rPr>
            </w:pPr>
          </w:p>
        </w:tc>
        <w:tc>
          <w:tcPr>
            <w:tcW w:w="1487" w:type="dxa"/>
            <w:vAlign w:val="center"/>
          </w:tcPr>
          <w:p w14:paraId="2E0B9394" w14:textId="2094CBEE" w:rsidR="0050041B" w:rsidRPr="00931439" w:rsidRDefault="00931439" w:rsidP="009B4A4A">
            <w:pPr>
              <w:pStyle w:val="naisf"/>
              <w:spacing w:before="0" w:after="0"/>
              <w:ind w:firstLine="0"/>
              <w:jc w:val="center"/>
              <w:rPr>
                <w:b/>
                <w:i/>
              </w:rPr>
            </w:pPr>
            <w:r w:rsidRPr="00931439">
              <w:rPr>
                <w:b/>
                <w:bCs/>
              </w:rPr>
              <w:t>201</w:t>
            </w:r>
            <w:r w:rsidR="009B4A4A">
              <w:rPr>
                <w:b/>
                <w:bCs/>
              </w:rPr>
              <w:t>8</w:t>
            </w:r>
            <w:r w:rsidR="00281ADC">
              <w:rPr>
                <w:b/>
                <w:bCs/>
              </w:rPr>
              <w:t>.</w:t>
            </w:r>
          </w:p>
        </w:tc>
        <w:tc>
          <w:tcPr>
            <w:tcW w:w="1487" w:type="dxa"/>
            <w:vAlign w:val="center"/>
          </w:tcPr>
          <w:p w14:paraId="0D29592E" w14:textId="117324A0" w:rsidR="0050041B" w:rsidRPr="00931439" w:rsidRDefault="00931439" w:rsidP="009B4A4A">
            <w:pPr>
              <w:pStyle w:val="naisf"/>
              <w:spacing w:before="0" w:after="0"/>
              <w:ind w:firstLine="0"/>
              <w:jc w:val="center"/>
              <w:rPr>
                <w:b/>
                <w:i/>
              </w:rPr>
            </w:pPr>
            <w:r w:rsidRPr="00931439">
              <w:rPr>
                <w:b/>
                <w:bCs/>
              </w:rPr>
              <w:t>201</w:t>
            </w:r>
            <w:r w:rsidR="009B4A4A">
              <w:rPr>
                <w:b/>
                <w:bCs/>
              </w:rPr>
              <w:t>9</w:t>
            </w:r>
            <w:r w:rsidR="00281ADC">
              <w:rPr>
                <w:b/>
                <w:bCs/>
              </w:rPr>
              <w:t>.</w:t>
            </w:r>
          </w:p>
        </w:tc>
        <w:tc>
          <w:tcPr>
            <w:tcW w:w="1407" w:type="dxa"/>
            <w:vAlign w:val="center"/>
          </w:tcPr>
          <w:p w14:paraId="064EE6F9" w14:textId="79AA27EB" w:rsidR="0050041B" w:rsidRPr="00931439" w:rsidRDefault="00931439" w:rsidP="009B4A4A">
            <w:pPr>
              <w:pStyle w:val="naisf"/>
              <w:spacing w:before="0" w:after="0"/>
              <w:ind w:firstLine="0"/>
              <w:jc w:val="center"/>
              <w:rPr>
                <w:b/>
                <w:i/>
              </w:rPr>
            </w:pPr>
            <w:r w:rsidRPr="00931439">
              <w:rPr>
                <w:b/>
                <w:bCs/>
              </w:rPr>
              <w:t>20</w:t>
            </w:r>
            <w:r w:rsidR="009B4A4A">
              <w:rPr>
                <w:b/>
                <w:bCs/>
              </w:rPr>
              <w:t>20</w:t>
            </w:r>
            <w:r w:rsidR="00281ADC">
              <w:rPr>
                <w:b/>
                <w:bCs/>
              </w:rPr>
              <w:t>.</w:t>
            </w:r>
          </w:p>
        </w:tc>
      </w:tr>
      <w:tr w:rsidR="00554FF6" w:rsidRPr="0022444A" w14:paraId="4880DE28" w14:textId="77777777" w:rsidTr="003445D4">
        <w:trPr>
          <w:jc w:val="center"/>
        </w:trPr>
        <w:tc>
          <w:tcPr>
            <w:tcW w:w="2161" w:type="dxa"/>
            <w:vMerge/>
            <w:vAlign w:val="center"/>
          </w:tcPr>
          <w:p w14:paraId="34E4E2A3" w14:textId="77777777" w:rsidR="0050041B" w:rsidRPr="00931439" w:rsidRDefault="0050041B" w:rsidP="00DA3291">
            <w:pPr>
              <w:pStyle w:val="naisf"/>
              <w:spacing w:before="0" w:after="0"/>
              <w:ind w:firstLine="0"/>
              <w:rPr>
                <w:b/>
                <w:i/>
              </w:rPr>
            </w:pPr>
          </w:p>
        </w:tc>
        <w:tc>
          <w:tcPr>
            <w:tcW w:w="1110" w:type="dxa"/>
            <w:vAlign w:val="center"/>
          </w:tcPr>
          <w:p w14:paraId="4BD75CB5" w14:textId="77777777" w:rsidR="0050041B" w:rsidRPr="00931439" w:rsidRDefault="0050041B" w:rsidP="00DA3291">
            <w:pPr>
              <w:pStyle w:val="naisf"/>
              <w:spacing w:before="0" w:after="0"/>
              <w:ind w:firstLine="0"/>
              <w:jc w:val="center"/>
              <w:rPr>
                <w:b/>
                <w:i/>
              </w:rPr>
            </w:pPr>
            <w:r w:rsidRPr="00931439">
              <w:t>Saskaņā ar valsts budžetu kārtējam gadam</w:t>
            </w:r>
          </w:p>
        </w:tc>
        <w:tc>
          <w:tcPr>
            <w:tcW w:w="1487" w:type="dxa"/>
            <w:vAlign w:val="center"/>
          </w:tcPr>
          <w:p w14:paraId="200C6F43" w14:textId="77777777" w:rsidR="0050041B" w:rsidRPr="00931439" w:rsidRDefault="0050041B" w:rsidP="00DA3291">
            <w:pPr>
              <w:pStyle w:val="naisf"/>
              <w:spacing w:before="0" w:after="0"/>
              <w:ind w:firstLine="0"/>
              <w:jc w:val="center"/>
              <w:rPr>
                <w:b/>
                <w:i/>
              </w:rPr>
            </w:pPr>
            <w:r w:rsidRPr="00931439">
              <w:t>Izmaiņas kārtējā gadā, salīdzinot ar budžetu kārtējam gadam</w:t>
            </w:r>
          </w:p>
        </w:tc>
        <w:tc>
          <w:tcPr>
            <w:tcW w:w="1487" w:type="dxa"/>
            <w:vAlign w:val="center"/>
          </w:tcPr>
          <w:p w14:paraId="18151936" w14:textId="711BA315" w:rsidR="0050041B" w:rsidRPr="00931439" w:rsidRDefault="0050041B" w:rsidP="00DA3291">
            <w:pPr>
              <w:pStyle w:val="naisf"/>
              <w:spacing w:before="0" w:after="0"/>
              <w:ind w:firstLine="0"/>
              <w:jc w:val="center"/>
            </w:pPr>
            <w:r w:rsidRPr="00931439">
              <w:t xml:space="preserve">Izmaiņas, salīdzinot ar kārtējo </w:t>
            </w:r>
            <w:r w:rsidR="007148EC">
              <w:t>2017</w:t>
            </w:r>
            <w:r w:rsidRPr="00931439">
              <w:t>.</w:t>
            </w:r>
          </w:p>
          <w:p w14:paraId="7C74E51C" w14:textId="77777777" w:rsidR="0050041B" w:rsidRPr="00931439" w:rsidRDefault="0050041B" w:rsidP="00DA3291">
            <w:pPr>
              <w:pStyle w:val="naisf"/>
              <w:spacing w:before="0" w:after="0"/>
              <w:ind w:firstLine="0"/>
              <w:jc w:val="center"/>
              <w:rPr>
                <w:b/>
                <w:i/>
              </w:rPr>
            </w:pPr>
            <w:r w:rsidRPr="00931439">
              <w:t>gadu</w:t>
            </w:r>
          </w:p>
        </w:tc>
        <w:tc>
          <w:tcPr>
            <w:tcW w:w="1487" w:type="dxa"/>
            <w:vAlign w:val="center"/>
          </w:tcPr>
          <w:p w14:paraId="2B8661BA" w14:textId="28B4A793" w:rsidR="0050041B" w:rsidRPr="00931439" w:rsidRDefault="0050041B" w:rsidP="00DA3291">
            <w:pPr>
              <w:pStyle w:val="naisf"/>
              <w:spacing w:before="0" w:after="0"/>
              <w:ind w:firstLine="0"/>
              <w:jc w:val="center"/>
            </w:pPr>
            <w:r w:rsidRPr="00931439">
              <w:t xml:space="preserve">Izmaiņas, salīdzinot ar kārtējo </w:t>
            </w:r>
            <w:r w:rsidR="007148EC">
              <w:t>2017</w:t>
            </w:r>
            <w:r w:rsidRPr="00931439">
              <w:t>.</w:t>
            </w:r>
          </w:p>
          <w:p w14:paraId="5D5FEE77" w14:textId="77777777" w:rsidR="0050041B" w:rsidRPr="00931439" w:rsidRDefault="0050041B" w:rsidP="00DA3291">
            <w:pPr>
              <w:pStyle w:val="naisf"/>
              <w:spacing w:before="0" w:after="0"/>
              <w:ind w:firstLine="0"/>
              <w:jc w:val="center"/>
              <w:rPr>
                <w:b/>
                <w:i/>
              </w:rPr>
            </w:pPr>
            <w:r w:rsidRPr="00931439">
              <w:t>gadu</w:t>
            </w:r>
          </w:p>
        </w:tc>
        <w:tc>
          <w:tcPr>
            <w:tcW w:w="1407" w:type="dxa"/>
            <w:vAlign w:val="center"/>
          </w:tcPr>
          <w:p w14:paraId="444C3986" w14:textId="119AA016" w:rsidR="0050041B" w:rsidRPr="00931439" w:rsidRDefault="0050041B" w:rsidP="00DA3291">
            <w:pPr>
              <w:pStyle w:val="naisf"/>
              <w:spacing w:before="0" w:after="0"/>
              <w:ind w:firstLine="0"/>
              <w:jc w:val="center"/>
            </w:pPr>
            <w:r w:rsidRPr="00931439">
              <w:t xml:space="preserve">Izmaiņas, salīdzinot ar kārtējo </w:t>
            </w:r>
            <w:r w:rsidR="00931439" w:rsidRPr="00931439">
              <w:t>201</w:t>
            </w:r>
            <w:r w:rsidR="007148EC">
              <w:t>7</w:t>
            </w:r>
            <w:r w:rsidRPr="00931439">
              <w:t>.</w:t>
            </w:r>
          </w:p>
          <w:p w14:paraId="3B47B1E8" w14:textId="77777777" w:rsidR="0050041B" w:rsidRPr="00931439" w:rsidRDefault="0050041B" w:rsidP="00DA3291">
            <w:pPr>
              <w:pStyle w:val="naisf"/>
              <w:spacing w:before="0" w:after="0"/>
              <w:ind w:firstLine="0"/>
              <w:jc w:val="center"/>
              <w:rPr>
                <w:b/>
                <w:i/>
              </w:rPr>
            </w:pPr>
            <w:r w:rsidRPr="00931439">
              <w:t>gadu</w:t>
            </w:r>
          </w:p>
        </w:tc>
      </w:tr>
      <w:tr w:rsidR="00554FF6" w:rsidRPr="0022444A" w14:paraId="538CE658" w14:textId="77777777" w:rsidTr="003445D4">
        <w:trPr>
          <w:jc w:val="center"/>
        </w:trPr>
        <w:tc>
          <w:tcPr>
            <w:tcW w:w="2161" w:type="dxa"/>
            <w:vAlign w:val="center"/>
          </w:tcPr>
          <w:p w14:paraId="12D78C4F" w14:textId="77777777" w:rsidR="0050041B" w:rsidRPr="00931439" w:rsidRDefault="0050041B" w:rsidP="00DA3291">
            <w:pPr>
              <w:pStyle w:val="naisf"/>
              <w:spacing w:before="0" w:after="0"/>
              <w:ind w:firstLine="0"/>
              <w:jc w:val="center"/>
              <w:rPr>
                <w:bCs/>
              </w:rPr>
            </w:pPr>
            <w:r w:rsidRPr="00931439">
              <w:rPr>
                <w:bCs/>
              </w:rPr>
              <w:t>1</w:t>
            </w:r>
          </w:p>
        </w:tc>
        <w:tc>
          <w:tcPr>
            <w:tcW w:w="1110" w:type="dxa"/>
            <w:vAlign w:val="center"/>
          </w:tcPr>
          <w:p w14:paraId="722E7C20" w14:textId="77777777" w:rsidR="0050041B" w:rsidRPr="00931439" w:rsidRDefault="0050041B" w:rsidP="00DA3291">
            <w:pPr>
              <w:pStyle w:val="naisf"/>
              <w:spacing w:before="0" w:after="0"/>
              <w:ind w:firstLine="0"/>
              <w:jc w:val="center"/>
              <w:rPr>
                <w:bCs/>
              </w:rPr>
            </w:pPr>
            <w:r w:rsidRPr="00931439">
              <w:rPr>
                <w:bCs/>
              </w:rPr>
              <w:t>2</w:t>
            </w:r>
          </w:p>
        </w:tc>
        <w:tc>
          <w:tcPr>
            <w:tcW w:w="1487" w:type="dxa"/>
            <w:vAlign w:val="center"/>
          </w:tcPr>
          <w:p w14:paraId="7C5CD820" w14:textId="77777777" w:rsidR="0050041B" w:rsidRPr="00931439" w:rsidRDefault="0050041B" w:rsidP="00DA3291">
            <w:pPr>
              <w:pStyle w:val="naisf"/>
              <w:spacing w:before="0" w:after="0"/>
              <w:ind w:firstLine="0"/>
              <w:jc w:val="center"/>
              <w:rPr>
                <w:bCs/>
              </w:rPr>
            </w:pPr>
            <w:r w:rsidRPr="00931439">
              <w:rPr>
                <w:bCs/>
              </w:rPr>
              <w:t>3</w:t>
            </w:r>
          </w:p>
        </w:tc>
        <w:tc>
          <w:tcPr>
            <w:tcW w:w="1487" w:type="dxa"/>
            <w:vAlign w:val="center"/>
          </w:tcPr>
          <w:p w14:paraId="10DC3140" w14:textId="77777777" w:rsidR="0050041B" w:rsidRPr="00931439" w:rsidRDefault="0050041B" w:rsidP="00DA3291">
            <w:pPr>
              <w:pStyle w:val="naisf"/>
              <w:spacing w:before="0" w:after="0"/>
              <w:ind w:firstLine="0"/>
              <w:jc w:val="center"/>
              <w:rPr>
                <w:bCs/>
              </w:rPr>
            </w:pPr>
            <w:r w:rsidRPr="00931439">
              <w:rPr>
                <w:bCs/>
              </w:rPr>
              <w:t>4</w:t>
            </w:r>
          </w:p>
        </w:tc>
        <w:tc>
          <w:tcPr>
            <w:tcW w:w="1487" w:type="dxa"/>
            <w:vAlign w:val="center"/>
          </w:tcPr>
          <w:p w14:paraId="6A5A0DD5" w14:textId="77777777" w:rsidR="0050041B" w:rsidRPr="00931439" w:rsidRDefault="0050041B" w:rsidP="00DA3291">
            <w:pPr>
              <w:pStyle w:val="naisf"/>
              <w:spacing w:before="0" w:after="0"/>
              <w:ind w:firstLine="0"/>
              <w:jc w:val="center"/>
              <w:rPr>
                <w:bCs/>
              </w:rPr>
            </w:pPr>
            <w:r w:rsidRPr="00931439">
              <w:rPr>
                <w:bCs/>
              </w:rPr>
              <w:t>5</w:t>
            </w:r>
          </w:p>
        </w:tc>
        <w:tc>
          <w:tcPr>
            <w:tcW w:w="1407" w:type="dxa"/>
            <w:vAlign w:val="center"/>
          </w:tcPr>
          <w:p w14:paraId="1BD19D51" w14:textId="77777777" w:rsidR="0050041B" w:rsidRPr="00931439" w:rsidRDefault="0050041B" w:rsidP="00DA3291">
            <w:pPr>
              <w:pStyle w:val="naisf"/>
              <w:spacing w:before="0" w:after="0"/>
              <w:ind w:firstLine="0"/>
              <w:jc w:val="center"/>
              <w:rPr>
                <w:bCs/>
              </w:rPr>
            </w:pPr>
            <w:r w:rsidRPr="00931439">
              <w:rPr>
                <w:bCs/>
              </w:rPr>
              <w:t>6</w:t>
            </w:r>
          </w:p>
        </w:tc>
      </w:tr>
      <w:tr w:rsidR="00554FF6" w:rsidRPr="0022444A" w14:paraId="5ACD640A" w14:textId="77777777" w:rsidTr="003445D4">
        <w:trPr>
          <w:jc w:val="center"/>
        </w:trPr>
        <w:tc>
          <w:tcPr>
            <w:tcW w:w="2161" w:type="dxa"/>
          </w:tcPr>
          <w:p w14:paraId="5F6DA777" w14:textId="77777777" w:rsidR="0050041B" w:rsidRPr="00931439" w:rsidRDefault="0050041B" w:rsidP="00DA3291">
            <w:pPr>
              <w:pStyle w:val="naisf"/>
              <w:spacing w:before="0" w:after="0"/>
              <w:ind w:firstLine="0"/>
              <w:jc w:val="left"/>
              <w:rPr>
                <w:i/>
              </w:rPr>
            </w:pPr>
            <w:r w:rsidRPr="00931439">
              <w:t>1. Budžeta ieņēmumi:</w:t>
            </w:r>
          </w:p>
        </w:tc>
        <w:tc>
          <w:tcPr>
            <w:tcW w:w="1110" w:type="dxa"/>
          </w:tcPr>
          <w:p w14:paraId="0CBE76D8" w14:textId="50F33EC5" w:rsidR="0050041B" w:rsidRPr="00FE3392" w:rsidRDefault="00554FF6" w:rsidP="00554FF6">
            <w:pPr>
              <w:pStyle w:val="naisf"/>
              <w:spacing w:before="0" w:after="0"/>
              <w:ind w:firstLine="0"/>
              <w:jc w:val="center"/>
            </w:pPr>
            <w:r>
              <w:t>36</w:t>
            </w:r>
            <w:r w:rsidR="007148EC">
              <w:t> </w:t>
            </w:r>
            <w:r>
              <w:t>875</w:t>
            </w:r>
            <w:r w:rsidR="007148EC">
              <w:t> 13</w:t>
            </w:r>
            <w:r>
              <w:t>1</w:t>
            </w:r>
          </w:p>
        </w:tc>
        <w:tc>
          <w:tcPr>
            <w:tcW w:w="1487" w:type="dxa"/>
          </w:tcPr>
          <w:p w14:paraId="01E2048E" w14:textId="77777777" w:rsidR="0050041B" w:rsidRPr="00FE3392" w:rsidRDefault="0050041B" w:rsidP="00DA3291">
            <w:pPr>
              <w:pStyle w:val="naisf"/>
              <w:spacing w:before="0" w:after="0"/>
              <w:ind w:firstLine="0"/>
              <w:jc w:val="center"/>
            </w:pPr>
            <w:r w:rsidRPr="00FE3392">
              <w:t>0</w:t>
            </w:r>
          </w:p>
        </w:tc>
        <w:tc>
          <w:tcPr>
            <w:tcW w:w="1487" w:type="dxa"/>
          </w:tcPr>
          <w:p w14:paraId="56D56505" w14:textId="77777777" w:rsidR="0050041B" w:rsidRPr="00FE3392" w:rsidRDefault="0050041B" w:rsidP="00DA3291">
            <w:pPr>
              <w:pStyle w:val="naisf"/>
              <w:spacing w:before="0" w:after="0"/>
              <w:ind w:firstLine="0"/>
              <w:jc w:val="center"/>
              <w:rPr>
                <w:i/>
              </w:rPr>
            </w:pPr>
            <w:r w:rsidRPr="00FE3392">
              <w:t>0</w:t>
            </w:r>
          </w:p>
        </w:tc>
        <w:tc>
          <w:tcPr>
            <w:tcW w:w="1487" w:type="dxa"/>
          </w:tcPr>
          <w:p w14:paraId="53915BD1" w14:textId="77777777" w:rsidR="0050041B" w:rsidRPr="00931439" w:rsidRDefault="0050041B" w:rsidP="00DA3291">
            <w:pPr>
              <w:pStyle w:val="naisf"/>
              <w:spacing w:before="0" w:after="0"/>
              <w:ind w:firstLine="0"/>
              <w:jc w:val="center"/>
              <w:rPr>
                <w:i/>
              </w:rPr>
            </w:pPr>
            <w:r w:rsidRPr="00931439">
              <w:t>0</w:t>
            </w:r>
          </w:p>
        </w:tc>
        <w:tc>
          <w:tcPr>
            <w:tcW w:w="1407" w:type="dxa"/>
          </w:tcPr>
          <w:p w14:paraId="0A7C3A18" w14:textId="77777777" w:rsidR="0050041B" w:rsidRPr="00931439" w:rsidRDefault="0050041B" w:rsidP="00DA3291">
            <w:pPr>
              <w:pStyle w:val="naisf"/>
              <w:spacing w:before="0" w:after="0"/>
              <w:ind w:firstLine="0"/>
              <w:jc w:val="center"/>
              <w:rPr>
                <w:i/>
              </w:rPr>
            </w:pPr>
            <w:r w:rsidRPr="00931439">
              <w:t>0</w:t>
            </w:r>
          </w:p>
        </w:tc>
      </w:tr>
      <w:tr w:rsidR="00554FF6" w:rsidRPr="0022444A" w14:paraId="018E9271" w14:textId="77777777" w:rsidTr="003445D4">
        <w:trPr>
          <w:trHeight w:val="1422"/>
          <w:jc w:val="center"/>
        </w:trPr>
        <w:tc>
          <w:tcPr>
            <w:tcW w:w="2161" w:type="dxa"/>
          </w:tcPr>
          <w:p w14:paraId="1483ABC0" w14:textId="77777777" w:rsidR="0050041B" w:rsidRPr="00931439" w:rsidRDefault="0050041B" w:rsidP="00CF4BA9">
            <w:pPr>
              <w:pStyle w:val="naisf"/>
              <w:spacing w:before="0" w:after="0"/>
              <w:ind w:firstLine="0"/>
              <w:jc w:val="left"/>
            </w:pPr>
            <w:r w:rsidRPr="00931439">
              <w:t>1.1. valsts pamatbudžets, tai skaitā ieņēmumi no maksas pakalpojumiem un citi pašu ieņēmumi</w:t>
            </w:r>
          </w:p>
        </w:tc>
        <w:tc>
          <w:tcPr>
            <w:tcW w:w="1110" w:type="dxa"/>
          </w:tcPr>
          <w:p w14:paraId="1A60AF9B" w14:textId="77777777" w:rsidR="0050041B" w:rsidRPr="00FE3392" w:rsidRDefault="0050041B" w:rsidP="00DA3291">
            <w:pPr>
              <w:pStyle w:val="naisf"/>
              <w:spacing w:before="0" w:after="0"/>
              <w:ind w:firstLine="0"/>
              <w:jc w:val="center"/>
            </w:pPr>
          </w:p>
          <w:p w14:paraId="0A3D9265" w14:textId="77777777" w:rsidR="0050041B" w:rsidRPr="00FE3392" w:rsidRDefault="0050041B" w:rsidP="00DA3291">
            <w:pPr>
              <w:pStyle w:val="naisf"/>
              <w:spacing w:before="0" w:after="0"/>
              <w:ind w:firstLine="0"/>
              <w:jc w:val="center"/>
            </w:pPr>
          </w:p>
          <w:p w14:paraId="7725F24C" w14:textId="7B5A04CA" w:rsidR="0050041B" w:rsidRPr="00FE3392" w:rsidRDefault="00554FF6" w:rsidP="00DA3291">
            <w:pPr>
              <w:pStyle w:val="naisf"/>
              <w:spacing w:before="0" w:after="0"/>
              <w:ind w:firstLine="0"/>
              <w:jc w:val="center"/>
            </w:pPr>
            <w:r>
              <w:t>36 875 131</w:t>
            </w:r>
          </w:p>
          <w:p w14:paraId="05CD4400" w14:textId="77777777" w:rsidR="0050041B" w:rsidRPr="00FE3392" w:rsidRDefault="0050041B" w:rsidP="00DA3291">
            <w:pPr>
              <w:pStyle w:val="naisf"/>
              <w:spacing w:before="0" w:after="0"/>
              <w:ind w:firstLine="0"/>
              <w:jc w:val="center"/>
            </w:pPr>
          </w:p>
          <w:p w14:paraId="2EB6672D" w14:textId="77777777" w:rsidR="0050041B" w:rsidRPr="00FE3392" w:rsidRDefault="0050041B" w:rsidP="00DA3291">
            <w:pPr>
              <w:pStyle w:val="naisf"/>
              <w:spacing w:before="0" w:after="0"/>
              <w:ind w:firstLine="0"/>
              <w:jc w:val="center"/>
            </w:pPr>
          </w:p>
        </w:tc>
        <w:tc>
          <w:tcPr>
            <w:tcW w:w="1487" w:type="dxa"/>
          </w:tcPr>
          <w:p w14:paraId="26A10583" w14:textId="77777777" w:rsidR="0050041B" w:rsidRPr="00FE3392" w:rsidRDefault="0050041B" w:rsidP="00DA3291">
            <w:pPr>
              <w:pStyle w:val="naisf"/>
              <w:spacing w:before="0" w:after="0"/>
              <w:ind w:firstLine="0"/>
              <w:jc w:val="center"/>
            </w:pPr>
          </w:p>
          <w:p w14:paraId="0A5D361B" w14:textId="77777777" w:rsidR="0050041B" w:rsidRPr="00FE3392" w:rsidRDefault="0050041B" w:rsidP="00DA3291">
            <w:pPr>
              <w:pStyle w:val="naisf"/>
              <w:spacing w:before="0" w:after="0"/>
              <w:ind w:firstLine="0"/>
              <w:jc w:val="center"/>
            </w:pPr>
          </w:p>
          <w:p w14:paraId="34F1502C" w14:textId="77777777" w:rsidR="0050041B" w:rsidRPr="00FE3392" w:rsidRDefault="0050041B" w:rsidP="00DA3291">
            <w:pPr>
              <w:pStyle w:val="naisf"/>
              <w:spacing w:before="0" w:after="0"/>
              <w:ind w:firstLine="0"/>
              <w:jc w:val="center"/>
            </w:pPr>
            <w:r w:rsidRPr="00FE3392">
              <w:t>0</w:t>
            </w:r>
          </w:p>
          <w:p w14:paraId="289D81D3" w14:textId="77777777" w:rsidR="0050041B" w:rsidRPr="00FE3392" w:rsidRDefault="0050041B" w:rsidP="00DA3291">
            <w:pPr>
              <w:pStyle w:val="naisf"/>
              <w:spacing w:before="0" w:after="0"/>
              <w:ind w:firstLine="0"/>
              <w:jc w:val="center"/>
            </w:pPr>
          </w:p>
          <w:p w14:paraId="3D8A4D53" w14:textId="77777777" w:rsidR="0050041B" w:rsidRPr="00FE3392" w:rsidRDefault="0050041B" w:rsidP="00DA3291">
            <w:pPr>
              <w:pStyle w:val="naisf"/>
              <w:spacing w:before="0" w:after="0"/>
              <w:ind w:firstLine="0"/>
              <w:jc w:val="center"/>
            </w:pPr>
          </w:p>
        </w:tc>
        <w:tc>
          <w:tcPr>
            <w:tcW w:w="1487" w:type="dxa"/>
          </w:tcPr>
          <w:p w14:paraId="7DC5428A" w14:textId="77777777" w:rsidR="0050041B" w:rsidRPr="00FE3392" w:rsidRDefault="0050041B" w:rsidP="00DA3291">
            <w:pPr>
              <w:pStyle w:val="naisf"/>
              <w:spacing w:before="0" w:after="0"/>
              <w:ind w:firstLine="0"/>
              <w:jc w:val="center"/>
            </w:pPr>
          </w:p>
          <w:p w14:paraId="13969CB9" w14:textId="77777777" w:rsidR="0050041B" w:rsidRPr="00FE3392" w:rsidRDefault="0050041B" w:rsidP="00DA3291">
            <w:pPr>
              <w:pStyle w:val="naisf"/>
              <w:spacing w:before="0" w:after="0"/>
              <w:ind w:firstLine="0"/>
              <w:jc w:val="center"/>
            </w:pPr>
          </w:p>
          <w:p w14:paraId="140730F6" w14:textId="77777777" w:rsidR="0050041B" w:rsidRPr="00FE3392" w:rsidRDefault="0050041B" w:rsidP="00DA3291">
            <w:pPr>
              <w:pStyle w:val="naisf"/>
              <w:spacing w:before="0" w:after="0"/>
              <w:ind w:firstLine="0"/>
              <w:jc w:val="center"/>
            </w:pPr>
            <w:r w:rsidRPr="00FE3392">
              <w:t>0</w:t>
            </w:r>
          </w:p>
          <w:p w14:paraId="72EE1957" w14:textId="77777777" w:rsidR="0050041B" w:rsidRPr="00FE3392" w:rsidRDefault="0050041B" w:rsidP="00DA3291">
            <w:pPr>
              <w:pStyle w:val="naisf"/>
              <w:spacing w:before="0" w:after="0"/>
              <w:ind w:firstLine="0"/>
              <w:jc w:val="center"/>
            </w:pPr>
          </w:p>
        </w:tc>
        <w:tc>
          <w:tcPr>
            <w:tcW w:w="1487" w:type="dxa"/>
          </w:tcPr>
          <w:p w14:paraId="334F25DA" w14:textId="77777777" w:rsidR="0050041B" w:rsidRPr="00931439" w:rsidRDefault="0050041B" w:rsidP="00DA3291">
            <w:pPr>
              <w:pStyle w:val="naisf"/>
              <w:spacing w:before="0" w:after="0"/>
              <w:ind w:firstLine="0"/>
              <w:jc w:val="center"/>
            </w:pPr>
          </w:p>
          <w:p w14:paraId="7E6BF0C9" w14:textId="77777777" w:rsidR="0050041B" w:rsidRPr="00931439" w:rsidRDefault="0050041B" w:rsidP="00DA3291">
            <w:pPr>
              <w:pStyle w:val="naisf"/>
              <w:spacing w:before="0" w:after="0"/>
              <w:ind w:firstLine="0"/>
              <w:jc w:val="center"/>
            </w:pPr>
          </w:p>
          <w:p w14:paraId="0E0151FF" w14:textId="77777777" w:rsidR="0050041B" w:rsidRPr="00931439" w:rsidRDefault="0050041B" w:rsidP="00DA3291">
            <w:pPr>
              <w:pStyle w:val="naisf"/>
              <w:spacing w:before="0" w:after="0"/>
              <w:ind w:firstLine="0"/>
              <w:jc w:val="center"/>
            </w:pPr>
            <w:r w:rsidRPr="00931439">
              <w:t>0</w:t>
            </w:r>
          </w:p>
          <w:p w14:paraId="63B36A98" w14:textId="77777777" w:rsidR="0050041B" w:rsidRPr="00931439" w:rsidRDefault="0050041B" w:rsidP="00DA3291">
            <w:pPr>
              <w:pStyle w:val="naisf"/>
              <w:spacing w:before="0" w:after="0"/>
              <w:ind w:firstLine="0"/>
              <w:jc w:val="center"/>
            </w:pPr>
          </w:p>
        </w:tc>
        <w:tc>
          <w:tcPr>
            <w:tcW w:w="1407" w:type="dxa"/>
          </w:tcPr>
          <w:p w14:paraId="750D2394" w14:textId="77777777" w:rsidR="0050041B" w:rsidRPr="00931439" w:rsidRDefault="0050041B" w:rsidP="00DA3291">
            <w:pPr>
              <w:pStyle w:val="naisf"/>
              <w:spacing w:before="0" w:after="0"/>
              <w:ind w:firstLine="0"/>
              <w:jc w:val="center"/>
            </w:pPr>
          </w:p>
          <w:p w14:paraId="141AE738" w14:textId="77777777" w:rsidR="0050041B" w:rsidRPr="00931439" w:rsidRDefault="0050041B" w:rsidP="00DA3291">
            <w:pPr>
              <w:pStyle w:val="naisf"/>
              <w:spacing w:before="0" w:after="0"/>
              <w:ind w:firstLine="0"/>
              <w:jc w:val="center"/>
            </w:pPr>
          </w:p>
          <w:p w14:paraId="67250BF5" w14:textId="77777777" w:rsidR="0050041B" w:rsidRPr="00931439" w:rsidRDefault="0050041B" w:rsidP="00DA3291">
            <w:pPr>
              <w:pStyle w:val="naisf"/>
              <w:spacing w:before="0" w:after="0"/>
              <w:ind w:firstLine="0"/>
              <w:jc w:val="center"/>
            </w:pPr>
            <w:r w:rsidRPr="00931439">
              <w:t>0</w:t>
            </w:r>
          </w:p>
          <w:p w14:paraId="1348B430" w14:textId="77777777" w:rsidR="0050041B" w:rsidRPr="00931439" w:rsidRDefault="0050041B" w:rsidP="00DA3291">
            <w:pPr>
              <w:pStyle w:val="naisf"/>
              <w:spacing w:before="0" w:after="0"/>
              <w:ind w:firstLine="0"/>
              <w:jc w:val="center"/>
            </w:pPr>
          </w:p>
          <w:p w14:paraId="6735446A" w14:textId="77777777" w:rsidR="0050041B" w:rsidRPr="00931439" w:rsidRDefault="0050041B" w:rsidP="00DA3291">
            <w:pPr>
              <w:pStyle w:val="naisf"/>
              <w:spacing w:before="0" w:after="0"/>
              <w:ind w:firstLine="0"/>
              <w:jc w:val="center"/>
            </w:pPr>
          </w:p>
        </w:tc>
      </w:tr>
      <w:tr w:rsidR="00554FF6" w:rsidRPr="0022444A" w14:paraId="3BC7EB40" w14:textId="77777777" w:rsidTr="003445D4">
        <w:trPr>
          <w:jc w:val="center"/>
        </w:trPr>
        <w:tc>
          <w:tcPr>
            <w:tcW w:w="2161" w:type="dxa"/>
          </w:tcPr>
          <w:p w14:paraId="5594BD29" w14:textId="77777777" w:rsidR="0050041B" w:rsidRPr="00931439" w:rsidRDefault="0050041B" w:rsidP="00CF4BA9">
            <w:pPr>
              <w:pStyle w:val="naisf"/>
              <w:spacing w:before="0" w:after="0"/>
              <w:ind w:firstLine="0"/>
              <w:jc w:val="left"/>
              <w:rPr>
                <w:i/>
              </w:rPr>
            </w:pPr>
            <w:r w:rsidRPr="00931439">
              <w:t>1.2. valsts speciālais budžets</w:t>
            </w:r>
          </w:p>
        </w:tc>
        <w:tc>
          <w:tcPr>
            <w:tcW w:w="1110" w:type="dxa"/>
          </w:tcPr>
          <w:p w14:paraId="4629AC01" w14:textId="77777777" w:rsidR="0050041B" w:rsidRPr="00FE3392" w:rsidRDefault="0050041B" w:rsidP="00DA3291">
            <w:pPr>
              <w:pStyle w:val="naisf"/>
              <w:spacing w:before="0" w:after="0"/>
              <w:ind w:firstLine="0"/>
              <w:jc w:val="center"/>
            </w:pPr>
            <w:r w:rsidRPr="00FE3392">
              <w:t>0</w:t>
            </w:r>
          </w:p>
        </w:tc>
        <w:tc>
          <w:tcPr>
            <w:tcW w:w="1487" w:type="dxa"/>
          </w:tcPr>
          <w:p w14:paraId="47B88D10" w14:textId="77777777" w:rsidR="0050041B" w:rsidRPr="00FE3392" w:rsidRDefault="0050041B" w:rsidP="00DA3291">
            <w:pPr>
              <w:pStyle w:val="naisf"/>
              <w:spacing w:before="0" w:after="0"/>
              <w:ind w:firstLine="0"/>
              <w:jc w:val="center"/>
            </w:pPr>
            <w:r w:rsidRPr="00FE3392">
              <w:t>0</w:t>
            </w:r>
          </w:p>
        </w:tc>
        <w:tc>
          <w:tcPr>
            <w:tcW w:w="1487" w:type="dxa"/>
          </w:tcPr>
          <w:p w14:paraId="0E086B78" w14:textId="77777777" w:rsidR="0050041B" w:rsidRPr="00FE3392" w:rsidRDefault="0050041B" w:rsidP="00DA3291">
            <w:pPr>
              <w:pStyle w:val="naisf"/>
              <w:spacing w:before="0" w:after="0"/>
              <w:ind w:firstLine="0"/>
              <w:jc w:val="center"/>
            </w:pPr>
            <w:r w:rsidRPr="00FE3392">
              <w:t>0</w:t>
            </w:r>
          </w:p>
        </w:tc>
        <w:tc>
          <w:tcPr>
            <w:tcW w:w="1487" w:type="dxa"/>
          </w:tcPr>
          <w:p w14:paraId="740F8719" w14:textId="77777777" w:rsidR="0050041B" w:rsidRPr="00931439" w:rsidRDefault="0050041B" w:rsidP="00DA3291">
            <w:pPr>
              <w:pStyle w:val="naisf"/>
              <w:spacing w:before="0" w:after="0"/>
              <w:ind w:firstLine="0"/>
              <w:jc w:val="center"/>
            </w:pPr>
            <w:r w:rsidRPr="00931439">
              <w:t>0</w:t>
            </w:r>
          </w:p>
        </w:tc>
        <w:tc>
          <w:tcPr>
            <w:tcW w:w="1407" w:type="dxa"/>
          </w:tcPr>
          <w:p w14:paraId="12BEC63E" w14:textId="77777777" w:rsidR="0050041B" w:rsidRPr="00931439" w:rsidRDefault="0050041B" w:rsidP="00DA3291">
            <w:pPr>
              <w:pStyle w:val="naisf"/>
              <w:spacing w:before="0" w:after="0"/>
              <w:ind w:firstLine="0"/>
              <w:jc w:val="center"/>
            </w:pPr>
            <w:r w:rsidRPr="00931439">
              <w:t>0</w:t>
            </w:r>
          </w:p>
        </w:tc>
      </w:tr>
      <w:tr w:rsidR="00554FF6" w:rsidRPr="00931439" w14:paraId="0B2E9F8C" w14:textId="77777777" w:rsidTr="003445D4">
        <w:trPr>
          <w:jc w:val="center"/>
        </w:trPr>
        <w:tc>
          <w:tcPr>
            <w:tcW w:w="2161" w:type="dxa"/>
          </w:tcPr>
          <w:p w14:paraId="7F98CEF6" w14:textId="77777777" w:rsidR="0050041B" w:rsidRPr="00931439" w:rsidRDefault="0050041B" w:rsidP="00CF4BA9">
            <w:pPr>
              <w:pStyle w:val="naisf"/>
              <w:spacing w:before="0" w:after="0"/>
              <w:ind w:firstLine="0"/>
              <w:jc w:val="left"/>
              <w:rPr>
                <w:i/>
              </w:rPr>
            </w:pPr>
            <w:r w:rsidRPr="00931439">
              <w:t>1.3. pašvaldību budžets</w:t>
            </w:r>
          </w:p>
        </w:tc>
        <w:tc>
          <w:tcPr>
            <w:tcW w:w="1110" w:type="dxa"/>
          </w:tcPr>
          <w:p w14:paraId="2448B5F8" w14:textId="77777777" w:rsidR="0050041B" w:rsidRPr="00FE3392" w:rsidRDefault="0050041B" w:rsidP="00DA3291">
            <w:pPr>
              <w:pStyle w:val="naisf"/>
              <w:spacing w:before="0" w:after="0"/>
              <w:ind w:firstLine="0"/>
              <w:jc w:val="center"/>
            </w:pPr>
            <w:r w:rsidRPr="00FE3392">
              <w:t>0</w:t>
            </w:r>
          </w:p>
        </w:tc>
        <w:tc>
          <w:tcPr>
            <w:tcW w:w="1487" w:type="dxa"/>
          </w:tcPr>
          <w:p w14:paraId="1479B5A6" w14:textId="77777777" w:rsidR="0050041B" w:rsidRPr="00FE3392" w:rsidRDefault="0050041B" w:rsidP="00DA3291">
            <w:pPr>
              <w:pStyle w:val="naisf"/>
              <w:spacing w:before="0" w:after="0"/>
              <w:ind w:firstLine="0"/>
              <w:jc w:val="center"/>
            </w:pPr>
            <w:r w:rsidRPr="00FE3392">
              <w:t>0</w:t>
            </w:r>
          </w:p>
        </w:tc>
        <w:tc>
          <w:tcPr>
            <w:tcW w:w="1487" w:type="dxa"/>
          </w:tcPr>
          <w:p w14:paraId="1C3A70E2" w14:textId="77777777" w:rsidR="0050041B" w:rsidRPr="00FE3392" w:rsidRDefault="0050041B" w:rsidP="00DA3291">
            <w:pPr>
              <w:pStyle w:val="naisf"/>
              <w:spacing w:before="0" w:after="0"/>
              <w:ind w:firstLine="0"/>
              <w:jc w:val="center"/>
            </w:pPr>
            <w:r w:rsidRPr="00FE3392">
              <w:t>0</w:t>
            </w:r>
          </w:p>
        </w:tc>
        <w:tc>
          <w:tcPr>
            <w:tcW w:w="1487" w:type="dxa"/>
          </w:tcPr>
          <w:p w14:paraId="09093DD6" w14:textId="77777777" w:rsidR="0050041B" w:rsidRPr="00931439" w:rsidRDefault="0050041B" w:rsidP="00DA3291">
            <w:pPr>
              <w:pStyle w:val="naisf"/>
              <w:spacing w:before="0" w:after="0"/>
              <w:ind w:firstLine="0"/>
              <w:jc w:val="center"/>
            </w:pPr>
            <w:r w:rsidRPr="00931439">
              <w:t>0</w:t>
            </w:r>
          </w:p>
        </w:tc>
        <w:tc>
          <w:tcPr>
            <w:tcW w:w="1407" w:type="dxa"/>
          </w:tcPr>
          <w:p w14:paraId="4295E2E7" w14:textId="77777777" w:rsidR="0050041B" w:rsidRPr="00931439" w:rsidRDefault="0050041B" w:rsidP="00DA3291">
            <w:pPr>
              <w:pStyle w:val="naisf"/>
              <w:spacing w:before="0" w:after="0"/>
              <w:ind w:firstLine="0"/>
              <w:jc w:val="center"/>
            </w:pPr>
            <w:r w:rsidRPr="00931439">
              <w:t>0</w:t>
            </w:r>
          </w:p>
        </w:tc>
      </w:tr>
      <w:tr w:rsidR="00554FF6" w:rsidRPr="00931439" w14:paraId="0A014A2D" w14:textId="77777777" w:rsidTr="003445D4">
        <w:trPr>
          <w:jc w:val="center"/>
        </w:trPr>
        <w:tc>
          <w:tcPr>
            <w:tcW w:w="2161" w:type="dxa"/>
          </w:tcPr>
          <w:p w14:paraId="16AB795B" w14:textId="77777777" w:rsidR="009B4A4A" w:rsidRPr="00931439" w:rsidRDefault="009B4A4A" w:rsidP="009B4A4A">
            <w:r w:rsidRPr="00931439">
              <w:t>2. Budžeta izdevumi:</w:t>
            </w:r>
          </w:p>
        </w:tc>
        <w:tc>
          <w:tcPr>
            <w:tcW w:w="1110" w:type="dxa"/>
          </w:tcPr>
          <w:p w14:paraId="4B5B5413" w14:textId="003A420A" w:rsidR="009B4A4A" w:rsidRPr="00FE3392" w:rsidRDefault="00554FF6" w:rsidP="00554FF6">
            <w:pPr>
              <w:pStyle w:val="naisf"/>
              <w:spacing w:before="0" w:after="0"/>
              <w:ind w:firstLine="0"/>
              <w:jc w:val="center"/>
            </w:pPr>
            <w:r>
              <w:t>36 875 131</w:t>
            </w:r>
          </w:p>
        </w:tc>
        <w:tc>
          <w:tcPr>
            <w:tcW w:w="1487" w:type="dxa"/>
          </w:tcPr>
          <w:p w14:paraId="09B549B4" w14:textId="4D745D4A" w:rsidR="009B4A4A" w:rsidRPr="00FE3392" w:rsidRDefault="009B4A4A" w:rsidP="009B4A4A">
            <w:pPr>
              <w:pStyle w:val="naisf"/>
              <w:spacing w:before="0" w:after="0"/>
              <w:ind w:firstLine="0"/>
              <w:jc w:val="center"/>
            </w:pPr>
            <w:r>
              <w:t xml:space="preserve">975 442 </w:t>
            </w:r>
          </w:p>
        </w:tc>
        <w:tc>
          <w:tcPr>
            <w:tcW w:w="1487" w:type="dxa"/>
          </w:tcPr>
          <w:p w14:paraId="0AD927FB" w14:textId="77777777" w:rsidR="009B4A4A" w:rsidRPr="00FE3392" w:rsidRDefault="009B4A4A" w:rsidP="009B4A4A">
            <w:pPr>
              <w:pStyle w:val="naisf"/>
              <w:spacing w:before="0" w:after="0"/>
              <w:ind w:firstLine="0"/>
              <w:jc w:val="center"/>
            </w:pPr>
            <w:r w:rsidRPr="00FE3392">
              <w:t>0</w:t>
            </w:r>
          </w:p>
        </w:tc>
        <w:tc>
          <w:tcPr>
            <w:tcW w:w="1487" w:type="dxa"/>
          </w:tcPr>
          <w:p w14:paraId="47DF7464" w14:textId="77777777" w:rsidR="009B4A4A" w:rsidRPr="00931439" w:rsidRDefault="009B4A4A" w:rsidP="009B4A4A">
            <w:pPr>
              <w:pStyle w:val="naisf"/>
              <w:spacing w:before="0" w:after="0"/>
              <w:ind w:firstLine="0"/>
              <w:jc w:val="center"/>
            </w:pPr>
            <w:r w:rsidRPr="00931439">
              <w:t>0</w:t>
            </w:r>
          </w:p>
        </w:tc>
        <w:tc>
          <w:tcPr>
            <w:tcW w:w="1407" w:type="dxa"/>
          </w:tcPr>
          <w:p w14:paraId="6281009C" w14:textId="77777777" w:rsidR="009B4A4A" w:rsidRPr="00931439" w:rsidRDefault="009B4A4A" w:rsidP="009B4A4A">
            <w:pPr>
              <w:pStyle w:val="naisf"/>
              <w:spacing w:before="0" w:after="0"/>
              <w:ind w:firstLine="0"/>
              <w:jc w:val="center"/>
            </w:pPr>
            <w:r w:rsidRPr="00931439">
              <w:t>0</w:t>
            </w:r>
          </w:p>
        </w:tc>
      </w:tr>
      <w:tr w:rsidR="00554FF6" w:rsidRPr="00931439" w14:paraId="6B5E3A71" w14:textId="77777777" w:rsidTr="003445D4">
        <w:trPr>
          <w:trHeight w:val="467"/>
          <w:jc w:val="center"/>
        </w:trPr>
        <w:tc>
          <w:tcPr>
            <w:tcW w:w="2161" w:type="dxa"/>
          </w:tcPr>
          <w:p w14:paraId="6E874A3B" w14:textId="77777777" w:rsidR="009B4A4A" w:rsidRPr="00931439" w:rsidRDefault="009B4A4A" w:rsidP="009B4A4A">
            <w:r w:rsidRPr="00931439">
              <w:t>2.1. valsts pamatbudžets</w:t>
            </w:r>
          </w:p>
        </w:tc>
        <w:tc>
          <w:tcPr>
            <w:tcW w:w="1110" w:type="dxa"/>
          </w:tcPr>
          <w:p w14:paraId="5737A7E0" w14:textId="73D610A4" w:rsidR="009B4A4A" w:rsidRPr="00FE3392" w:rsidRDefault="00554FF6" w:rsidP="009B4A4A">
            <w:pPr>
              <w:pStyle w:val="naisf"/>
              <w:spacing w:before="0" w:after="0"/>
              <w:ind w:firstLine="0"/>
              <w:jc w:val="center"/>
            </w:pPr>
            <w:r>
              <w:t>36</w:t>
            </w:r>
            <w:r w:rsidR="007148EC">
              <w:t> </w:t>
            </w:r>
            <w:r>
              <w:t>875</w:t>
            </w:r>
            <w:r w:rsidR="007148EC">
              <w:t> 13</w:t>
            </w:r>
            <w:r>
              <w:t>1</w:t>
            </w:r>
          </w:p>
          <w:p w14:paraId="0D3032B1" w14:textId="77777777" w:rsidR="009B4A4A" w:rsidRPr="00FE3392" w:rsidRDefault="009B4A4A" w:rsidP="009B4A4A">
            <w:pPr>
              <w:pStyle w:val="naisf"/>
              <w:spacing w:before="0" w:after="0"/>
              <w:ind w:firstLine="0"/>
              <w:jc w:val="center"/>
            </w:pPr>
          </w:p>
        </w:tc>
        <w:tc>
          <w:tcPr>
            <w:tcW w:w="1487" w:type="dxa"/>
          </w:tcPr>
          <w:p w14:paraId="0D155C83" w14:textId="1BD17EC6" w:rsidR="009B4A4A" w:rsidRPr="00FE3392" w:rsidRDefault="009B4A4A" w:rsidP="009B4A4A">
            <w:pPr>
              <w:pStyle w:val="naisf"/>
              <w:spacing w:before="0" w:after="0"/>
              <w:ind w:firstLine="0"/>
              <w:jc w:val="center"/>
            </w:pPr>
            <w:r>
              <w:t>975 442</w:t>
            </w:r>
          </w:p>
        </w:tc>
        <w:tc>
          <w:tcPr>
            <w:tcW w:w="1487" w:type="dxa"/>
          </w:tcPr>
          <w:p w14:paraId="078AC783" w14:textId="77777777" w:rsidR="009B4A4A" w:rsidRPr="00FE3392" w:rsidRDefault="009B4A4A" w:rsidP="009B4A4A">
            <w:pPr>
              <w:pStyle w:val="naisf"/>
              <w:spacing w:before="0" w:after="0"/>
              <w:ind w:firstLine="0"/>
              <w:jc w:val="center"/>
            </w:pPr>
            <w:r w:rsidRPr="00FE3392">
              <w:t>0</w:t>
            </w:r>
          </w:p>
        </w:tc>
        <w:tc>
          <w:tcPr>
            <w:tcW w:w="1487" w:type="dxa"/>
          </w:tcPr>
          <w:p w14:paraId="7214AFB9" w14:textId="77777777" w:rsidR="009B4A4A" w:rsidRPr="00931439" w:rsidRDefault="009B4A4A" w:rsidP="009B4A4A">
            <w:pPr>
              <w:pStyle w:val="naisf"/>
              <w:spacing w:before="0" w:after="0"/>
              <w:ind w:firstLine="0"/>
              <w:jc w:val="center"/>
            </w:pPr>
            <w:r w:rsidRPr="00931439">
              <w:t>0</w:t>
            </w:r>
          </w:p>
        </w:tc>
        <w:tc>
          <w:tcPr>
            <w:tcW w:w="1407" w:type="dxa"/>
          </w:tcPr>
          <w:p w14:paraId="1EA642D2" w14:textId="77777777" w:rsidR="009B4A4A" w:rsidRPr="00931439" w:rsidRDefault="009B4A4A" w:rsidP="009B4A4A">
            <w:pPr>
              <w:pStyle w:val="naisf"/>
              <w:spacing w:before="0" w:after="0"/>
              <w:ind w:firstLine="0"/>
              <w:jc w:val="center"/>
            </w:pPr>
            <w:r w:rsidRPr="00931439">
              <w:t>0</w:t>
            </w:r>
          </w:p>
        </w:tc>
      </w:tr>
      <w:tr w:rsidR="00554FF6" w:rsidRPr="00931439" w14:paraId="42986438" w14:textId="77777777" w:rsidTr="003445D4">
        <w:trPr>
          <w:jc w:val="center"/>
        </w:trPr>
        <w:tc>
          <w:tcPr>
            <w:tcW w:w="2161" w:type="dxa"/>
          </w:tcPr>
          <w:p w14:paraId="18F4FE2F" w14:textId="77777777" w:rsidR="0050041B" w:rsidRPr="00931439" w:rsidRDefault="0050041B" w:rsidP="00CF4BA9">
            <w:r w:rsidRPr="00931439">
              <w:t>2.2. valsts speciālais budžets</w:t>
            </w:r>
          </w:p>
        </w:tc>
        <w:tc>
          <w:tcPr>
            <w:tcW w:w="1110" w:type="dxa"/>
          </w:tcPr>
          <w:p w14:paraId="09C811BE" w14:textId="77777777" w:rsidR="0050041B" w:rsidRPr="00FE3392" w:rsidRDefault="0050041B" w:rsidP="00DA3291">
            <w:pPr>
              <w:pStyle w:val="naisf"/>
              <w:spacing w:before="0" w:after="0"/>
              <w:ind w:firstLine="0"/>
              <w:jc w:val="center"/>
            </w:pPr>
            <w:r w:rsidRPr="00FE3392">
              <w:t>0</w:t>
            </w:r>
          </w:p>
        </w:tc>
        <w:tc>
          <w:tcPr>
            <w:tcW w:w="1487" w:type="dxa"/>
          </w:tcPr>
          <w:p w14:paraId="5B5D5022" w14:textId="77777777" w:rsidR="0050041B" w:rsidRPr="00FE3392" w:rsidRDefault="0050041B" w:rsidP="00DA3291">
            <w:pPr>
              <w:pStyle w:val="naisf"/>
              <w:spacing w:before="0" w:after="0"/>
              <w:ind w:firstLine="0"/>
              <w:jc w:val="center"/>
            </w:pPr>
            <w:r w:rsidRPr="00FE3392">
              <w:t>0</w:t>
            </w:r>
          </w:p>
          <w:p w14:paraId="25D80557" w14:textId="77777777" w:rsidR="0050041B" w:rsidRPr="00FE3392" w:rsidRDefault="0050041B" w:rsidP="00DA3291">
            <w:pPr>
              <w:pStyle w:val="naisf"/>
              <w:spacing w:before="0" w:after="0"/>
              <w:ind w:firstLine="0"/>
              <w:jc w:val="center"/>
            </w:pPr>
          </w:p>
        </w:tc>
        <w:tc>
          <w:tcPr>
            <w:tcW w:w="1487" w:type="dxa"/>
          </w:tcPr>
          <w:p w14:paraId="6B519E0A" w14:textId="77777777" w:rsidR="0050041B" w:rsidRPr="00FE3392" w:rsidRDefault="0050041B" w:rsidP="00DA3291">
            <w:pPr>
              <w:pStyle w:val="naisf"/>
              <w:spacing w:before="0" w:after="0"/>
              <w:ind w:firstLine="0"/>
              <w:jc w:val="center"/>
            </w:pPr>
            <w:r w:rsidRPr="00FE3392">
              <w:t>0</w:t>
            </w:r>
          </w:p>
          <w:p w14:paraId="3528D1C1" w14:textId="77777777" w:rsidR="0050041B" w:rsidRPr="00FE3392" w:rsidRDefault="0050041B" w:rsidP="00DA3291">
            <w:pPr>
              <w:pStyle w:val="naisf"/>
              <w:spacing w:before="0" w:after="0"/>
              <w:ind w:firstLine="0"/>
              <w:jc w:val="center"/>
            </w:pPr>
          </w:p>
        </w:tc>
        <w:tc>
          <w:tcPr>
            <w:tcW w:w="1487" w:type="dxa"/>
          </w:tcPr>
          <w:p w14:paraId="7A03B725" w14:textId="77777777" w:rsidR="0050041B" w:rsidRPr="00931439" w:rsidRDefault="0050041B" w:rsidP="00DA3291">
            <w:pPr>
              <w:pStyle w:val="naisf"/>
              <w:spacing w:before="0" w:after="0"/>
              <w:ind w:firstLine="0"/>
              <w:jc w:val="center"/>
            </w:pPr>
            <w:r w:rsidRPr="00931439">
              <w:t>0</w:t>
            </w:r>
          </w:p>
          <w:p w14:paraId="7B960511" w14:textId="77777777" w:rsidR="0050041B" w:rsidRPr="00931439" w:rsidRDefault="0050041B" w:rsidP="00DA3291">
            <w:pPr>
              <w:pStyle w:val="naisf"/>
              <w:spacing w:before="0" w:after="0"/>
              <w:ind w:firstLine="0"/>
              <w:jc w:val="center"/>
            </w:pPr>
          </w:p>
        </w:tc>
        <w:tc>
          <w:tcPr>
            <w:tcW w:w="1407" w:type="dxa"/>
          </w:tcPr>
          <w:p w14:paraId="454D5C7B" w14:textId="77777777" w:rsidR="0050041B" w:rsidRPr="00931439" w:rsidRDefault="0050041B" w:rsidP="00DA3291">
            <w:pPr>
              <w:pStyle w:val="naisf"/>
              <w:spacing w:before="0" w:after="0"/>
              <w:ind w:firstLine="0"/>
              <w:jc w:val="center"/>
            </w:pPr>
            <w:r w:rsidRPr="00931439">
              <w:t>0</w:t>
            </w:r>
          </w:p>
          <w:p w14:paraId="43E1A589" w14:textId="77777777" w:rsidR="0050041B" w:rsidRPr="00931439" w:rsidRDefault="0050041B" w:rsidP="00DA3291">
            <w:pPr>
              <w:pStyle w:val="naisf"/>
              <w:spacing w:before="0" w:after="0"/>
              <w:ind w:firstLine="0"/>
              <w:jc w:val="center"/>
            </w:pPr>
          </w:p>
        </w:tc>
      </w:tr>
      <w:tr w:rsidR="00554FF6" w:rsidRPr="00931439" w14:paraId="069D2557" w14:textId="77777777" w:rsidTr="003445D4">
        <w:trPr>
          <w:jc w:val="center"/>
        </w:trPr>
        <w:tc>
          <w:tcPr>
            <w:tcW w:w="2161" w:type="dxa"/>
          </w:tcPr>
          <w:p w14:paraId="6B497DF3" w14:textId="77777777" w:rsidR="0050041B" w:rsidRPr="00931439" w:rsidRDefault="0050041B" w:rsidP="00CF4BA9">
            <w:r w:rsidRPr="00931439">
              <w:t xml:space="preserve">2.3. pašvaldību budžets </w:t>
            </w:r>
          </w:p>
        </w:tc>
        <w:tc>
          <w:tcPr>
            <w:tcW w:w="1110" w:type="dxa"/>
          </w:tcPr>
          <w:p w14:paraId="7D71C9A9" w14:textId="77777777" w:rsidR="0050041B" w:rsidRPr="00FE3392" w:rsidRDefault="0050041B" w:rsidP="00DA3291">
            <w:pPr>
              <w:pStyle w:val="naisf"/>
              <w:spacing w:before="0" w:after="0"/>
              <w:ind w:firstLine="0"/>
              <w:jc w:val="center"/>
            </w:pPr>
            <w:r w:rsidRPr="00FE3392">
              <w:t>0</w:t>
            </w:r>
          </w:p>
        </w:tc>
        <w:tc>
          <w:tcPr>
            <w:tcW w:w="1487" w:type="dxa"/>
          </w:tcPr>
          <w:p w14:paraId="1152584D" w14:textId="77777777" w:rsidR="0050041B" w:rsidRPr="00FE3392" w:rsidRDefault="0050041B" w:rsidP="00DA3291">
            <w:pPr>
              <w:pStyle w:val="naisf"/>
              <w:spacing w:before="0" w:after="0"/>
              <w:ind w:firstLine="0"/>
              <w:jc w:val="center"/>
            </w:pPr>
            <w:r w:rsidRPr="00FE3392">
              <w:t>0</w:t>
            </w:r>
          </w:p>
        </w:tc>
        <w:tc>
          <w:tcPr>
            <w:tcW w:w="1487" w:type="dxa"/>
          </w:tcPr>
          <w:p w14:paraId="1F1237D9" w14:textId="77777777" w:rsidR="0050041B" w:rsidRPr="00FE3392" w:rsidRDefault="0050041B" w:rsidP="00DA3291">
            <w:pPr>
              <w:pStyle w:val="naisf"/>
              <w:spacing w:before="0" w:after="0"/>
              <w:ind w:firstLine="0"/>
              <w:jc w:val="center"/>
            </w:pPr>
            <w:r w:rsidRPr="00FE3392">
              <w:t>0</w:t>
            </w:r>
          </w:p>
        </w:tc>
        <w:tc>
          <w:tcPr>
            <w:tcW w:w="1487" w:type="dxa"/>
          </w:tcPr>
          <w:p w14:paraId="18F54A50" w14:textId="77777777" w:rsidR="0050041B" w:rsidRPr="00931439" w:rsidRDefault="0050041B" w:rsidP="00DA3291">
            <w:pPr>
              <w:pStyle w:val="naisf"/>
              <w:spacing w:before="0" w:after="0"/>
              <w:ind w:firstLine="0"/>
              <w:jc w:val="center"/>
            </w:pPr>
            <w:r w:rsidRPr="00931439">
              <w:t>0</w:t>
            </w:r>
          </w:p>
        </w:tc>
        <w:tc>
          <w:tcPr>
            <w:tcW w:w="1407" w:type="dxa"/>
          </w:tcPr>
          <w:p w14:paraId="1530A7AC" w14:textId="77777777" w:rsidR="0050041B" w:rsidRPr="00931439" w:rsidRDefault="0050041B" w:rsidP="00DA3291">
            <w:pPr>
              <w:pStyle w:val="naisf"/>
              <w:spacing w:before="0" w:after="0"/>
              <w:ind w:firstLine="0"/>
              <w:jc w:val="center"/>
            </w:pPr>
            <w:r w:rsidRPr="00931439">
              <w:t>0</w:t>
            </w:r>
          </w:p>
        </w:tc>
      </w:tr>
      <w:tr w:rsidR="00554FF6" w:rsidRPr="00931439" w14:paraId="3B8A8034" w14:textId="77777777" w:rsidTr="003445D4">
        <w:trPr>
          <w:jc w:val="center"/>
        </w:trPr>
        <w:tc>
          <w:tcPr>
            <w:tcW w:w="2161" w:type="dxa"/>
          </w:tcPr>
          <w:p w14:paraId="55AE2264" w14:textId="77777777" w:rsidR="009B4A4A" w:rsidRPr="00931439" w:rsidRDefault="009B4A4A" w:rsidP="009B4A4A">
            <w:r w:rsidRPr="00931439">
              <w:t>3. Finansiālā ietekme:</w:t>
            </w:r>
          </w:p>
        </w:tc>
        <w:tc>
          <w:tcPr>
            <w:tcW w:w="1110" w:type="dxa"/>
          </w:tcPr>
          <w:p w14:paraId="146A417B" w14:textId="77777777" w:rsidR="009B4A4A" w:rsidRPr="00FE3392" w:rsidRDefault="009B4A4A" w:rsidP="009B4A4A">
            <w:pPr>
              <w:pStyle w:val="naisf"/>
              <w:spacing w:before="0" w:after="0"/>
              <w:ind w:firstLine="0"/>
              <w:jc w:val="center"/>
            </w:pPr>
            <w:r w:rsidRPr="00FE3392">
              <w:t>0</w:t>
            </w:r>
          </w:p>
        </w:tc>
        <w:tc>
          <w:tcPr>
            <w:tcW w:w="1487" w:type="dxa"/>
          </w:tcPr>
          <w:p w14:paraId="4B5EB56B" w14:textId="647CBBB0" w:rsidR="009B4A4A" w:rsidRPr="00FE3392" w:rsidRDefault="009B4A4A" w:rsidP="009B4A4A">
            <w:pPr>
              <w:pStyle w:val="naisf"/>
              <w:spacing w:before="0" w:after="0"/>
              <w:ind w:firstLine="0"/>
              <w:jc w:val="center"/>
            </w:pPr>
            <w:r>
              <w:t xml:space="preserve">975 442 </w:t>
            </w:r>
          </w:p>
        </w:tc>
        <w:tc>
          <w:tcPr>
            <w:tcW w:w="1487" w:type="dxa"/>
          </w:tcPr>
          <w:p w14:paraId="0B62AA62" w14:textId="77777777" w:rsidR="009B4A4A" w:rsidRPr="00FE3392" w:rsidRDefault="009B4A4A" w:rsidP="009B4A4A">
            <w:pPr>
              <w:pStyle w:val="naisf"/>
              <w:spacing w:before="0" w:after="0"/>
              <w:ind w:firstLine="0"/>
              <w:jc w:val="center"/>
            </w:pPr>
            <w:r w:rsidRPr="00FE3392">
              <w:t>0</w:t>
            </w:r>
          </w:p>
        </w:tc>
        <w:tc>
          <w:tcPr>
            <w:tcW w:w="1487" w:type="dxa"/>
          </w:tcPr>
          <w:p w14:paraId="632F2347" w14:textId="77777777" w:rsidR="009B4A4A" w:rsidRPr="00931439" w:rsidRDefault="009B4A4A" w:rsidP="009B4A4A">
            <w:pPr>
              <w:pStyle w:val="naisf"/>
              <w:spacing w:before="0" w:after="0"/>
              <w:ind w:firstLine="0"/>
              <w:jc w:val="center"/>
            </w:pPr>
            <w:r w:rsidRPr="00931439">
              <w:t>0</w:t>
            </w:r>
          </w:p>
        </w:tc>
        <w:tc>
          <w:tcPr>
            <w:tcW w:w="1407" w:type="dxa"/>
          </w:tcPr>
          <w:p w14:paraId="2269450B" w14:textId="77777777" w:rsidR="009B4A4A" w:rsidRPr="00931439" w:rsidRDefault="009B4A4A" w:rsidP="009B4A4A">
            <w:pPr>
              <w:pStyle w:val="naisf"/>
              <w:spacing w:before="0" w:after="0"/>
              <w:ind w:firstLine="0"/>
              <w:jc w:val="center"/>
            </w:pPr>
            <w:r w:rsidRPr="00931439">
              <w:t>0</w:t>
            </w:r>
          </w:p>
        </w:tc>
      </w:tr>
      <w:tr w:rsidR="00554FF6" w:rsidRPr="00931439" w14:paraId="1F00C470" w14:textId="77777777" w:rsidTr="003445D4">
        <w:trPr>
          <w:jc w:val="center"/>
        </w:trPr>
        <w:tc>
          <w:tcPr>
            <w:tcW w:w="2161" w:type="dxa"/>
          </w:tcPr>
          <w:p w14:paraId="4B651020" w14:textId="77777777" w:rsidR="009B4A4A" w:rsidRPr="00931439" w:rsidRDefault="009B4A4A" w:rsidP="009B4A4A">
            <w:r w:rsidRPr="00931439">
              <w:t>3.1. valsts pamatbudžets</w:t>
            </w:r>
          </w:p>
        </w:tc>
        <w:tc>
          <w:tcPr>
            <w:tcW w:w="1110" w:type="dxa"/>
          </w:tcPr>
          <w:p w14:paraId="7F286F2B" w14:textId="77777777" w:rsidR="009B4A4A" w:rsidRPr="00FE3392" w:rsidRDefault="009B4A4A" w:rsidP="009B4A4A">
            <w:pPr>
              <w:pStyle w:val="naisf"/>
              <w:spacing w:before="0" w:after="0"/>
              <w:ind w:firstLine="0"/>
              <w:jc w:val="center"/>
            </w:pPr>
            <w:r w:rsidRPr="00FE3392">
              <w:t>0</w:t>
            </w:r>
          </w:p>
        </w:tc>
        <w:tc>
          <w:tcPr>
            <w:tcW w:w="1487" w:type="dxa"/>
          </w:tcPr>
          <w:p w14:paraId="4D3DB2C4" w14:textId="5078CDF2" w:rsidR="009B4A4A" w:rsidRPr="00FE3392" w:rsidRDefault="009B4A4A" w:rsidP="009B4A4A">
            <w:pPr>
              <w:pStyle w:val="naisf"/>
              <w:spacing w:before="0" w:after="0"/>
              <w:ind w:firstLine="0"/>
              <w:jc w:val="center"/>
            </w:pPr>
            <w:r>
              <w:t>975 442</w:t>
            </w:r>
          </w:p>
        </w:tc>
        <w:tc>
          <w:tcPr>
            <w:tcW w:w="1487" w:type="dxa"/>
          </w:tcPr>
          <w:p w14:paraId="52FFE3A4" w14:textId="77777777" w:rsidR="009B4A4A" w:rsidRPr="00FE3392" w:rsidRDefault="009B4A4A" w:rsidP="009B4A4A">
            <w:pPr>
              <w:pStyle w:val="naisf"/>
              <w:spacing w:before="0" w:after="0"/>
              <w:ind w:firstLine="0"/>
              <w:jc w:val="center"/>
            </w:pPr>
            <w:r w:rsidRPr="00FE3392">
              <w:t>0</w:t>
            </w:r>
          </w:p>
        </w:tc>
        <w:tc>
          <w:tcPr>
            <w:tcW w:w="1487" w:type="dxa"/>
          </w:tcPr>
          <w:p w14:paraId="3DCCEDA2" w14:textId="77777777" w:rsidR="009B4A4A" w:rsidRPr="00931439" w:rsidRDefault="009B4A4A" w:rsidP="009B4A4A">
            <w:pPr>
              <w:pStyle w:val="naisf"/>
              <w:spacing w:before="0" w:after="0"/>
              <w:ind w:firstLine="0"/>
              <w:jc w:val="center"/>
            </w:pPr>
            <w:r w:rsidRPr="00931439">
              <w:t>0</w:t>
            </w:r>
          </w:p>
        </w:tc>
        <w:tc>
          <w:tcPr>
            <w:tcW w:w="1407" w:type="dxa"/>
          </w:tcPr>
          <w:p w14:paraId="79C53EA2" w14:textId="77777777" w:rsidR="009B4A4A" w:rsidRPr="00931439" w:rsidRDefault="009B4A4A" w:rsidP="009B4A4A">
            <w:pPr>
              <w:pStyle w:val="naisf"/>
              <w:spacing w:before="0" w:after="0"/>
              <w:ind w:firstLine="0"/>
              <w:jc w:val="center"/>
            </w:pPr>
            <w:r w:rsidRPr="00931439">
              <w:t>0</w:t>
            </w:r>
          </w:p>
        </w:tc>
      </w:tr>
      <w:tr w:rsidR="00554FF6" w:rsidRPr="00931439" w14:paraId="41CBA26A" w14:textId="77777777" w:rsidTr="003445D4">
        <w:trPr>
          <w:jc w:val="center"/>
        </w:trPr>
        <w:tc>
          <w:tcPr>
            <w:tcW w:w="2161" w:type="dxa"/>
          </w:tcPr>
          <w:p w14:paraId="7B7CD2A0" w14:textId="77777777" w:rsidR="0050041B" w:rsidRPr="00931439" w:rsidRDefault="0050041B" w:rsidP="00CF4BA9">
            <w:r w:rsidRPr="00931439">
              <w:t>3.2. speciālais budžets</w:t>
            </w:r>
          </w:p>
        </w:tc>
        <w:tc>
          <w:tcPr>
            <w:tcW w:w="1110" w:type="dxa"/>
          </w:tcPr>
          <w:p w14:paraId="7EA95170" w14:textId="77777777" w:rsidR="0050041B" w:rsidRPr="00FE3392" w:rsidRDefault="0050041B" w:rsidP="00DA3291">
            <w:pPr>
              <w:pStyle w:val="naisf"/>
              <w:spacing w:before="0" w:after="0"/>
              <w:ind w:firstLine="0"/>
              <w:jc w:val="center"/>
            </w:pPr>
            <w:r w:rsidRPr="00FE3392">
              <w:t>0</w:t>
            </w:r>
          </w:p>
        </w:tc>
        <w:tc>
          <w:tcPr>
            <w:tcW w:w="1487" w:type="dxa"/>
          </w:tcPr>
          <w:p w14:paraId="40A625B5" w14:textId="77777777" w:rsidR="0050041B" w:rsidRPr="00FE3392" w:rsidRDefault="0050041B" w:rsidP="00DA3291">
            <w:pPr>
              <w:pStyle w:val="naisf"/>
              <w:spacing w:before="0" w:after="0"/>
              <w:ind w:firstLine="0"/>
              <w:jc w:val="center"/>
            </w:pPr>
            <w:r w:rsidRPr="00FE3392">
              <w:t>0</w:t>
            </w:r>
          </w:p>
        </w:tc>
        <w:tc>
          <w:tcPr>
            <w:tcW w:w="1487" w:type="dxa"/>
          </w:tcPr>
          <w:p w14:paraId="41015982" w14:textId="77777777" w:rsidR="0050041B" w:rsidRPr="00FE3392" w:rsidRDefault="0050041B" w:rsidP="00DA3291">
            <w:pPr>
              <w:pStyle w:val="naisf"/>
              <w:spacing w:before="0" w:after="0"/>
              <w:ind w:firstLine="0"/>
              <w:jc w:val="center"/>
            </w:pPr>
            <w:r w:rsidRPr="00FE3392">
              <w:t>0</w:t>
            </w:r>
          </w:p>
        </w:tc>
        <w:tc>
          <w:tcPr>
            <w:tcW w:w="1487" w:type="dxa"/>
          </w:tcPr>
          <w:p w14:paraId="6BD3B860" w14:textId="77777777" w:rsidR="0050041B" w:rsidRPr="00931439" w:rsidRDefault="0050041B" w:rsidP="00DA3291">
            <w:pPr>
              <w:pStyle w:val="naisf"/>
              <w:spacing w:before="0" w:after="0"/>
              <w:ind w:firstLine="0"/>
              <w:jc w:val="center"/>
            </w:pPr>
            <w:r w:rsidRPr="00931439">
              <w:t>0</w:t>
            </w:r>
          </w:p>
        </w:tc>
        <w:tc>
          <w:tcPr>
            <w:tcW w:w="1407" w:type="dxa"/>
          </w:tcPr>
          <w:p w14:paraId="34552726" w14:textId="77777777" w:rsidR="0050041B" w:rsidRPr="00931439" w:rsidRDefault="0050041B" w:rsidP="00DA3291">
            <w:pPr>
              <w:pStyle w:val="naisf"/>
              <w:spacing w:before="0" w:after="0"/>
              <w:ind w:firstLine="0"/>
              <w:jc w:val="center"/>
            </w:pPr>
            <w:r w:rsidRPr="00931439">
              <w:t>0</w:t>
            </w:r>
          </w:p>
        </w:tc>
      </w:tr>
      <w:tr w:rsidR="00554FF6" w:rsidRPr="00931439" w14:paraId="31FAB2B4" w14:textId="77777777" w:rsidTr="003445D4">
        <w:trPr>
          <w:jc w:val="center"/>
        </w:trPr>
        <w:tc>
          <w:tcPr>
            <w:tcW w:w="2161" w:type="dxa"/>
          </w:tcPr>
          <w:p w14:paraId="3C228C88" w14:textId="77777777" w:rsidR="0050041B" w:rsidRPr="00931439" w:rsidRDefault="0050041B" w:rsidP="00CF4BA9">
            <w:r w:rsidRPr="00931439">
              <w:lastRenderedPageBreak/>
              <w:t xml:space="preserve">3.3. pašvaldību budžets </w:t>
            </w:r>
          </w:p>
        </w:tc>
        <w:tc>
          <w:tcPr>
            <w:tcW w:w="1110" w:type="dxa"/>
          </w:tcPr>
          <w:p w14:paraId="147616F3" w14:textId="77777777" w:rsidR="0050041B" w:rsidRPr="00FE3392" w:rsidRDefault="0050041B" w:rsidP="00DA3291">
            <w:pPr>
              <w:pStyle w:val="naisf"/>
              <w:spacing w:before="0" w:after="0"/>
              <w:ind w:firstLine="0"/>
              <w:jc w:val="center"/>
            </w:pPr>
            <w:r w:rsidRPr="00FE3392">
              <w:t>0</w:t>
            </w:r>
          </w:p>
        </w:tc>
        <w:tc>
          <w:tcPr>
            <w:tcW w:w="1487" w:type="dxa"/>
          </w:tcPr>
          <w:p w14:paraId="115B1E14" w14:textId="77777777" w:rsidR="0050041B" w:rsidRPr="00FE3392" w:rsidRDefault="0050041B" w:rsidP="00DA3291">
            <w:pPr>
              <w:pStyle w:val="naisf"/>
              <w:spacing w:before="0" w:after="0"/>
              <w:ind w:firstLine="0"/>
              <w:jc w:val="center"/>
            </w:pPr>
            <w:r w:rsidRPr="00FE3392">
              <w:t>0</w:t>
            </w:r>
          </w:p>
        </w:tc>
        <w:tc>
          <w:tcPr>
            <w:tcW w:w="1487" w:type="dxa"/>
          </w:tcPr>
          <w:p w14:paraId="6F9DA8C6" w14:textId="77777777" w:rsidR="0050041B" w:rsidRPr="00FE3392" w:rsidRDefault="0050041B" w:rsidP="00DA3291">
            <w:pPr>
              <w:pStyle w:val="naisf"/>
              <w:spacing w:before="0" w:after="0"/>
              <w:ind w:firstLine="0"/>
              <w:jc w:val="center"/>
            </w:pPr>
            <w:r w:rsidRPr="00FE3392">
              <w:t>0</w:t>
            </w:r>
          </w:p>
        </w:tc>
        <w:tc>
          <w:tcPr>
            <w:tcW w:w="1487" w:type="dxa"/>
          </w:tcPr>
          <w:p w14:paraId="0E60A706" w14:textId="77777777" w:rsidR="0050041B" w:rsidRPr="00931439" w:rsidRDefault="0050041B" w:rsidP="00DA3291">
            <w:pPr>
              <w:pStyle w:val="naisf"/>
              <w:spacing w:before="0" w:after="0"/>
              <w:ind w:firstLine="0"/>
              <w:jc w:val="center"/>
            </w:pPr>
            <w:r w:rsidRPr="00931439">
              <w:t>0</w:t>
            </w:r>
          </w:p>
        </w:tc>
        <w:tc>
          <w:tcPr>
            <w:tcW w:w="1407" w:type="dxa"/>
          </w:tcPr>
          <w:p w14:paraId="2CF444A8" w14:textId="77777777" w:rsidR="0050041B" w:rsidRPr="00931439" w:rsidRDefault="0050041B" w:rsidP="00DA3291">
            <w:pPr>
              <w:pStyle w:val="naisf"/>
              <w:spacing w:before="0" w:after="0"/>
              <w:ind w:firstLine="0"/>
              <w:jc w:val="center"/>
            </w:pPr>
            <w:r w:rsidRPr="00931439">
              <w:t>0</w:t>
            </w:r>
          </w:p>
        </w:tc>
      </w:tr>
      <w:tr w:rsidR="00554FF6" w:rsidRPr="00931439" w14:paraId="4270AE84" w14:textId="77777777" w:rsidTr="003445D4">
        <w:trPr>
          <w:jc w:val="center"/>
        </w:trPr>
        <w:tc>
          <w:tcPr>
            <w:tcW w:w="2161" w:type="dxa"/>
            <w:vMerge w:val="restart"/>
          </w:tcPr>
          <w:p w14:paraId="79A67CC7" w14:textId="77777777" w:rsidR="009B4A4A" w:rsidRPr="00931439" w:rsidRDefault="009B4A4A" w:rsidP="009B4A4A">
            <w:r w:rsidRPr="00931439">
              <w:t>4. Finanšu līdzekļi papildu izdevumu finansēšanai (kompensējošu izdevumu samazinājumu norāda ar "+" zīmi)</w:t>
            </w:r>
          </w:p>
        </w:tc>
        <w:tc>
          <w:tcPr>
            <w:tcW w:w="1110" w:type="dxa"/>
            <w:vMerge w:val="restart"/>
          </w:tcPr>
          <w:p w14:paraId="030DD2E3" w14:textId="77777777" w:rsidR="009B4A4A" w:rsidRPr="00FE3392" w:rsidRDefault="009B4A4A" w:rsidP="009B4A4A">
            <w:pPr>
              <w:pStyle w:val="naisf"/>
              <w:spacing w:before="0" w:after="0"/>
              <w:ind w:firstLine="0"/>
              <w:jc w:val="center"/>
            </w:pPr>
            <w:r w:rsidRPr="00FE3392">
              <w:t>X</w:t>
            </w:r>
          </w:p>
        </w:tc>
        <w:tc>
          <w:tcPr>
            <w:tcW w:w="1487" w:type="dxa"/>
            <w:vMerge w:val="restart"/>
          </w:tcPr>
          <w:p w14:paraId="247A5491" w14:textId="66D47BFE" w:rsidR="009B4A4A" w:rsidRPr="00FE3392" w:rsidRDefault="009B4A4A" w:rsidP="009B4A4A">
            <w:pPr>
              <w:pStyle w:val="naisf"/>
              <w:spacing w:before="0" w:after="0"/>
              <w:ind w:firstLine="0"/>
              <w:jc w:val="center"/>
            </w:pPr>
            <w:r>
              <w:t>975 442</w:t>
            </w:r>
          </w:p>
          <w:p w14:paraId="445FF3DB" w14:textId="3850D648" w:rsidR="009B4A4A" w:rsidRPr="00FE3392" w:rsidRDefault="009B4A4A" w:rsidP="009B4A4A">
            <w:pPr>
              <w:pStyle w:val="naisf"/>
              <w:spacing w:before="0" w:after="0"/>
              <w:ind w:firstLine="0"/>
              <w:jc w:val="center"/>
            </w:pPr>
          </w:p>
        </w:tc>
        <w:tc>
          <w:tcPr>
            <w:tcW w:w="1487" w:type="dxa"/>
          </w:tcPr>
          <w:p w14:paraId="301AE48A" w14:textId="77777777" w:rsidR="009B4A4A" w:rsidRPr="00FE3392" w:rsidRDefault="009B4A4A" w:rsidP="009B4A4A">
            <w:pPr>
              <w:pStyle w:val="naisf"/>
              <w:spacing w:before="0" w:after="0"/>
              <w:ind w:firstLine="0"/>
              <w:jc w:val="center"/>
            </w:pPr>
            <w:r w:rsidRPr="00FE3392">
              <w:t>0</w:t>
            </w:r>
          </w:p>
        </w:tc>
        <w:tc>
          <w:tcPr>
            <w:tcW w:w="1487" w:type="dxa"/>
          </w:tcPr>
          <w:p w14:paraId="12BE53A8" w14:textId="77777777" w:rsidR="009B4A4A" w:rsidRPr="00931439" w:rsidRDefault="009B4A4A" w:rsidP="009B4A4A">
            <w:pPr>
              <w:pStyle w:val="naisf"/>
              <w:spacing w:before="0" w:after="0"/>
              <w:ind w:firstLine="0"/>
              <w:jc w:val="center"/>
            </w:pPr>
            <w:r w:rsidRPr="00931439">
              <w:t>0</w:t>
            </w:r>
          </w:p>
        </w:tc>
        <w:tc>
          <w:tcPr>
            <w:tcW w:w="1407" w:type="dxa"/>
          </w:tcPr>
          <w:p w14:paraId="2A9C1F7C" w14:textId="77777777" w:rsidR="009B4A4A" w:rsidRPr="00931439" w:rsidRDefault="009B4A4A" w:rsidP="009B4A4A">
            <w:pPr>
              <w:pStyle w:val="naisf"/>
              <w:spacing w:before="0" w:after="0"/>
              <w:ind w:firstLine="0"/>
              <w:jc w:val="center"/>
            </w:pPr>
            <w:r w:rsidRPr="00931439">
              <w:t>0</w:t>
            </w:r>
          </w:p>
        </w:tc>
      </w:tr>
      <w:tr w:rsidR="00554FF6" w:rsidRPr="00931439" w14:paraId="321EC84E" w14:textId="77777777" w:rsidTr="003445D4">
        <w:trPr>
          <w:jc w:val="center"/>
        </w:trPr>
        <w:tc>
          <w:tcPr>
            <w:tcW w:w="2161" w:type="dxa"/>
            <w:vMerge/>
          </w:tcPr>
          <w:p w14:paraId="77E3C8F4" w14:textId="77777777" w:rsidR="009B4A4A" w:rsidRPr="00931439" w:rsidRDefault="009B4A4A" w:rsidP="009B4A4A"/>
        </w:tc>
        <w:tc>
          <w:tcPr>
            <w:tcW w:w="1110" w:type="dxa"/>
            <w:vMerge/>
          </w:tcPr>
          <w:p w14:paraId="78A13205" w14:textId="77777777" w:rsidR="009B4A4A" w:rsidRPr="00FE3392" w:rsidRDefault="009B4A4A" w:rsidP="009B4A4A">
            <w:pPr>
              <w:pStyle w:val="naisf"/>
              <w:spacing w:before="0" w:after="0"/>
              <w:ind w:firstLine="0"/>
              <w:jc w:val="center"/>
            </w:pPr>
          </w:p>
        </w:tc>
        <w:tc>
          <w:tcPr>
            <w:tcW w:w="1487" w:type="dxa"/>
            <w:vMerge/>
          </w:tcPr>
          <w:p w14:paraId="5B08F3E8" w14:textId="77777777" w:rsidR="009B4A4A" w:rsidRPr="00FE3392" w:rsidRDefault="009B4A4A" w:rsidP="009B4A4A">
            <w:pPr>
              <w:pStyle w:val="naisf"/>
              <w:spacing w:before="0" w:after="0"/>
              <w:ind w:firstLine="0"/>
              <w:jc w:val="center"/>
            </w:pPr>
          </w:p>
        </w:tc>
        <w:tc>
          <w:tcPr>
            <w:tcW w:w="1487" w:type="dxa"/>
          </w:tcPr>
          <w:p w14:paraId="0182027F" w14:textId="77777777" w:rsidR="009B4A4A" w:rsidRPr="00FE3392" w:rsidRDefault="009B4A4A" w:rsidP="009B4A4A">
            <w:pPr>
              <w:pStyle w:val="naisf"/>
              <w:spacing w:before="0" w:after="0"/>
              <w:ind w:firstLine="0"/>
              <w:jc w:val="center"/>
            </w:pPr>
            <w:r w:rsidRPr="00FE3392">
              <w:t>0</w:t>
            </w:r>
          </w:p>
        </w:tc>
        <w:tc>
          <w:tcPr>
            <w:tcW w:w="1487" w:type="dxa"/>
          </w:tcPr>
          <w:p w14:paraId="73A6753C" w14:textId="77777777" w:rsidR="009B4A4A" w:rsidRPr="00931439" w:rsidRDefault="009B4A4A" w:rsidP="009B4A4A">
            <w:pPr>
              <w:pStyle w:val="naisf"/>
              <w:spacing w:before="0" w:after="0"/>
              <w:ind w:firstLine="0"/>
              <w:jc w:val="center"/>
            </w:pPr>
            <w:r w:rsidRPr="00931439">
              <w:t>0</w:t>
            </w:r>
          </w:p>
        </w:tc>
        <w:tc>
          <w:tcPr>
            <w:tcW w:w="1407" w:type="dxa"/>
          </w:tcPr>
          <w:p w14:paraId="53EC7A5B" w14:textId="77777777" w:rsidR="009B4A4A" w:rsidRPr="00931439" w:rsidRDefault="009B4A4A" w:rsidP="009B4A4A">
            <w:pPr>
              <w:pStyle w:val="naisf"/>
              <w:spacing w:before="0" w:after="0"/>
              <w:ind w:firstLine="0"/>
              <w:jc w:val="center"/>
            </w:pPr>
            <w:r w:rsidRPr="00931439">
              <w:t>0</w:t>
            </w:r>
          </w:p>
        </w:tc>
      </w:tr>
      <w:tr w:rsidR="00554FF6" w:rsidRPr="00931439" w14:paraId="7296C080" w14:textId="77777777" w:rsidTr="003445D4">
        <w:trPr>
          <w:jc w:val="center"/>
        </w:trPr>
        <w:tc>
          <w:tcPr>
            <w:tcW w:w="2161" w:type="dxa"/>
            <w:vMerge/>
          </w:tcPr>
          <w:p w14:paraId="61F72A9B" w14:textId="77777777" w:rsidR="009B4A4A" w:rsidRPr="00931439" w:rsidRDefault="009B4A4A" w:rsidP="009B4A4A"/>
        </w:tc>
        <w:tc>
          <w:tcPr>
            <w:tcW w:w="1110" w:type="dxa"/>
            <w:vMerge/>
          </w:tcPr>
          <w:p w14:paraId="622A6714" w14:textId="77777777" w:rsidR="009B4A4A" w:rsidRPr="00FE3392" w:rsidRDefault="009B4A4A" w:rsidP="009B4A4A">
            <w:pPr>
              <w:pStyle w:val="naisf"/>
              <w:spacing w:before="0" w:after="0"/>
              <w:ind w:firstLine="0"/>
              <w:jc w:val="center"/>
            </w:pPr>
          </w:p>
        </w:tc>
        <w:tc>
          <w:tcPr>
            <w:tcW w:w="1487" w:type="dxa"/>
            <w:vMerge/>
          </w:tcPr>
          <w:p w14:paraId="0FC16441" w14:textId="77777777" w:rsidR="009B4A4A" w:rsidRPr="00FE3392" w:rsidRDefault="009B4A4A" w:rsidP="009B4A4A">
            <w:pPr>
              <w:pStyle w:val="naisf"/>
              <w:spacing w:before="0" w:after="0"/>
              <w:ind w:firstLine="0"/>
              <w:jc w:val="center"/>
            </w:pPr>
          </w:p>
        </w:tc>
        <w:tc>
          <w:tcPr>
            <w:tcW w:w="1487" w:type="dxa"/>
          </w:tcPr>
          <w:p w14:paraId="092FBA01" w14:textId="77777777" w:rsidR="009B4A4A" w:rsidRPr="00FE3392" w:rsidRDefault="009B4A4A" w:rsidP="009B4A4A">
            <w:pPr>
              <w:pStyle w:val="naisf"/>
              <w:spacing w:before="0" w:after="0"/>
              <w:ind w:firstLine="0"/>
              <w:jc w:val="center"/>
            </w:pPr>
            <w:r w:rsidRPr="00FE3392">
              <w:t>0</w:t>
            </w:r>
          </w:p>
          <w:p w14:paraId="06FF682C" w14:textId="77777777" w:rsidR="009B4A4A" w:rsidRPr="00FE3392" w:rsidRDefault="009B4A4A" w:rsidP="009B4A4A">
            <w:pPr>
              <w:pStyle w:val="naisf"/>
              <w:spacing w:before="0" w:after="0"/>
              <w:ind w:firstLine="0"/>
              <w:jc w:val="center"/>
            </w:pPr>
          </w:p>
        </w:tc>
        <w:tc>
          <w:tcPr>
            <w:tcW w:w="1487" w:type="dxa"/>
          </w:tcPr>
          <w:p w14:paraId="0F4C0F1E" w14:textId="77777777" w:rsidR="009B4A4A" w:rsidRPr="00931439" w:rsidRDefault="009B4A4A" w:rsidP="009B4A4A">
            <w:pPr>
              <w:pStyle w:val="naisf"/>
              <w:spacing w:before="0" w:after="0"/>
              <w:ind w:firstLine="0"/>
              <w:jc w:val="center"/>
            </w:pPr>
            <w:r w:rsidRPr="00931439">
              <w:t>0</w:t>
            </w:r>
          </w:p>
          <w:p w14:paraId="73ECAF09" w14:textId="77777777" w:rsidR="009B4A4A" w:rsidRPr="00931439" w:rsidRDefault="009B4A4A" w:rsidP="009B4A4A">
            <w:pPr>
              <w:pStyle w:val="naisf"/>
              <w:spacing w:before="0" w:after="0"/>
              <w:ind w:firstLine="0"/>
              <w:jc w:val="center"/>
            </w:pPr>
          </w:p>
        </w:tc>
        <w:tc>
          <w:tcPr>
            <w:tcW w:w="1407" w:type="dxa"/>
          </w:tcPr>
          <w:p w14:paraId="5A03F4DD" w14:textId="77777777" w:rsidR="009B4A4A" w:rsidRPr="00931439" w:rsidRDefault="009B4A4A" w:rsidP="009B4A4A">
            <w:pPr>
              <w:pStyle w:val="naisf"/>
              <w:spacing w:before="0" w:after="0"/>
              <w:ind w:firstLine="0"/>
              <w:jc w:val="center"/>
            </w:pPr>
            <w:r w:rsidRPr="00931439">
              <w:t>0</w:t>
            </w:r>
          </w:p>
          <w:p w14:paraId="64D5A138" w14:textId="77777777" w:rsidR="009B4A4A" w:rsidRPr="00931439" w:rsidRDefault="009B4A4A" w:rsidP="009B4A4A">
            <w:pPr>
              <w:pStyle w:val="naisf"/>
              <w:spacing w:before="0" w:after="0"/>
              <w:ind w:firstLine="0"/>
              <w:jc w:val="center"/>
            </w:pPr>
          </w:p>
        </w:tc>
      </w:tr>
      <w:tr w:rsidR="00554FF6" w:rsidRPr="00931439" w14:paraId="7C560172" w14:textId="77777777" w:rsidTr="003445D4">
        <w:trPr>
          <w:jc w:val="center"/>
        </w:trPr>
        <w:tc>
          <w:tcPr>
            <w:tcW w:w="2161" w:type="dxa"/>
          </w:tcPr>
          <w:p w14:paraId="1C63E291" w14:textId="77777777" w:rsidR="009B4A4A" w:rsidRPr="00931439" w:rsidRDefault="009B4A4A" w:rsidP="009B4A4A">
            <w:r w:rsidRPr="00931439">
              <w:t>5. Precizēta finansiālā ietekme:</w:t>
            </w:r>
          </w:p>
        </w:tc>
        <w:tc>
          <w:tcPr>
            <w:tcW w:w="1110" w:type="dxa"/>
            <w:vMerge w:val="restart"/>
          </w:tcPr>
          <w:p w14:paraId="3EF79617" w14:textId="77777777" w:rsidR="009B4A4A" w:rsidRPr="00FE3392" w:rsidRDefault="009B4A4A" w:rsidP="009B4A4A">
            <w:pPr>
              <w:pStyle w:val="naisf"/>
              <w:spacing w:before="0" w:after="0"/>
              <w:ind w:firstLine="0"/>
              <w:jc w:val="center"/>
            </w:pPr>
            <w:r w:rsidRPr="00FE3392">
              <w:t>X</w:t>
            </w:r>
          </w:p>
        </w:tc>
        <w:tc>
          <w:tcPr>
            <w:tcW w:w="1487" w:type="dxa"/>
          </w:tcPr>
          <w:p w14:paraId="3B45B9C9" w14:textId="745A076B" w:rsidR="009B4A4A" w:rsidRPr="00FE3392" w:rsidRDefault="009B4A4A" w:rsidP="009B4A4A">
            <w:pPr>
              <w:pStyle w:val="naisf"/>
              <w:spacing w:before="0" w:after="0"/>
              <w:ind w:firstLine="0"/>
              <w:jc w:val="center"/>
            </w:pPr>
            <w:r>
              <w:t>0</w:t>
            </w:r>
          </w:p>
        </w:tc>
        <w:tc>
          <w:tcPr>
            <w:tcW w:w="1487" w:type="dxa"/>
          </w:tcPr>
          <w:p w14:paraId="7CF52E28" w14:textId="77777777" w:rsidR="009B4A4A" w:rsidRPr="00FE3392" w:rsidRDefault="009B4A4A" w:rsidP="009B4A4A">
            <w:pPr>
              <w:pStyle w:val="naisf"/>
              <w:spacing w:before="0" w:after="0"/>
              <w:ind w:firstLine="0"/>
              <w:jc w:val="center"/>
            </w:pPr>
            <w:r w:rsidRPr="00FE3392">
              <w:t>0</w:t>
            </w:r>
          </w:p>
        </w:tc>
        <w:tc>
          <w:tcPr>
            <w:tcW w:w="1487" w:type="dxa"/>
          </w:tcPr>
          <w:p w14:paraId="64F8A213" w14:textId="77777777" w:rsidR="009B4A4A" w:rsidRPr="00931439" w:rsidRDefault="009B4A4A" w:rsidP="009B4A4A">
            <w:pPr>
              <w:pStyle w:val="naisf"/>
              <w:spacing w:before="0" w:after="0"/>
              <w:ind w:firstLine="0"/>
              <w:jc w:val="center"/>
            </w:pPr>
            <w:r w:rsidRPr="00931439">
              <w:t>0</w:t>
            </w:r>
          </w:p>
        </w:tc>
        <w:tc>
          <w:tcPr>
            <w:tcW w:w="1407" w:type="dxa"/>
          </w:tcPr>
          <w:p w14:paraId="316EA252" w14:textId="77777777" w:rsidR="009B4A4A" w:rsidRPr="00931439" w:rsidRDefault="009B4A4A" w:rsidP="009B4A4A">
            <w:pPr>
              <w:pStyle w:val="naisf"/>
              <w:spacing w:before="0" w:after="0"/>
              <w:ind w:firstLine="0"/>
              <w:jc w:val="center"/>
            </w:pPr>
            <w:r w:rsidRPr="00931439">
              <w:t>0</w:t>
            </w:r>
          </w:p>
        </w:tc>
      </w:tr>
      <w:tr w:rsidR="00554FF6" w:rsidRPr="00931439" w14:paraId="6C486098" w14:textId="77777777" w:rsidTr="003445D4">
        <w:trPr>
          <w:jc w:val="center"/>
        </w:trPr>
        <w:tc>
          <w:tcPr>
            <w:tcW w:w="2161" w:type="dxa"/>
          </w:tcPr>
          <w:p w14:paraId="0A827491" w14:textId="77777777" w:rsidR="009B4A4A" w:rsidRPr="00931439" w:rsidRDefault="009B4A4A" w:rsidP="009B4A4A">
            <w:r w:rsidRPr="00931439">
              <w:t>5.1. valsts pamatbudžets</w:t>
            </w:r>
          </w:p>
        </w:tc>
        <w:tc>
          <w:tcPr>
            <w:tcW w:w="1110" w:type="dxa"/>
            <w:vMerge/>
            <w:vAlign w:val="center"/>
          </w:tcPr>
          <w:p w14:paraId="49BEA5C8" w14:textId="77777777" w:rsidR="009B4A4A" w:rsidRPr="00FE3392" w:rsidRDefault="009B4A4A" w:rsidP="009B4A4A">
            <w:pPr>
              <w:pStyle w:val="naisf"/>
              <w:spacing w:before="0" w:after="0"/>
              <w:ind w:firstLine="0"/>
              <w:jc w:val="center"/>
            </w:pPr>
          </w:p>
        </w:tc>
        <w:tc>
          <w:tcPr>
            <w:tcW w:w="1487" w:type="dxa"/>
          </w:tcPr>
          <w:p w14:paraId="31EAD1F5" w14:textId="273F13BB" w:rsidR="009B4A4A" w:rsidRPr="00FE3392" w:rsidRDefault="009B4A4A" w:rsidP="009B4A4A">
            <w:pPr>
              <w:pStyle w:val="naisf"/>
              <w:spacing w:before="0" w:after="0"/>
              <w:ind w:firstLine="0"/>
              <w:jc w:val="center"/>
            </w:pPr>
            <w:r>
              <w:t>0</w:t>
            </w:r>
          </w:p>
        </w:tc>
        <w:tc>
          <w:tcPr>
            <w:tcW w:w="1487" w:type="dxa"/>
          </w:tcPr>
          <w:p w14:paraId="188577DA" w14:textId="77777777" w:rsidR="009B4A4A" w:rsidRPr="00FE3392" w:rsidRDefault="009B4A4A" w:rsidP="009B4A4A">
            <w:pPr>
              <w:pStyle w:val="naisf"/>
              <w:spacing w:before="0" w:after="0"/>
              <w:ind w:firstLine="0"/>
              <w:jc w:val="center"/>
            </w:pPr>
            <w:r w:rsidRPr="00FE3392">
              <w:t>0</w:t>
            </w:r>
          </w:p>
        </w:tc>
        <w:tc>
          <w:tcPr>
            <w:tcW w:w="1487" w:type="dxa"/>
          </w:tcPr>
          <w:p w14:paraId="5353A37C" w14:textId="77777777" w:rsidR="009B4A4A" w:rsidRPr="00931439" w:rsidRDefault="009B4A4A" w:rsidP="009B4A4A">
            <w:pPr>
              <w:pStyle w:val="naisf"/>
              <w:spacing w:before="0" w:after="0"/>
              <w:ind w:firstLine="0"/>
              <w:jc w:val="center"/>
            </w:pPr>
            <w:r w:rsidRPr="00931439">
              <w:t>0</w:t>
            </w:r>
          </w:p>
        </w:tc>
        <w:tc>
          <w:tcPr>
            <w:tcW w:w="1407" w:type="dxa"/>
          </w:tcPr>
          <w:p w14:paraId="4AB3BC37" w14:textId="77777777" w:rsidR="009B4A4A" w:rsidRPr="00931439" w:rsidRDefault="009B4A4A" w:rsidP="009B4A4A">
            <w:pPr>
              <w:pStyle w:val="naisf"/>
              <w:spacing w:before="0" w:after="0"/>
              <w:ind w:firstLine="0"/>
              <w:jc w:val="center"/>
            </w:pPr>
            <w:r w:rsidRPr="00931439">
              <w:t>0</w:t>
            </w:r>
          </w:p>
        </w:tc>
      </w:tr>
      <w:tr w:rsidR="00554FF6" w:rsidRPr="00931439" w14:paraId="4A7262D8" w14:textId="77777777" w:rsidTr="003445D4">
        <w:trPr>
          <w:jc w:val="center"/>
        </w:trPr>
        <w:tc>
          <w:tcPr>
            <w:tcW w:w="2161" w:type="dxa"/>
          </w:tcPr>
          <w:p w14:paraId="2FAEA686" w14:textId="77777777" w:rsidR="009B4A4A" w:rsidRPr="00931439" w:rsidRDefault="009B4A4A" w:rsidP="009B4A4A">
            <w:r w:rsidRPr="00931439">
              <w:t>5.2. speciālais budžets</w:t>
            </w:r>
          </w:p>
        </w:tc>
        <w:tc>
          <w:tcPr>
            <w:tcW w:w="1110" w:type="dxa"/>
            <w:vMerge/>
            <w:vAlign w:val="center"/>
          </w:tcPr>
          <w:p w14:paraId="5A372D88" w14:textId="77777777" w:rsidR="009B4A4A" w:rsidRPr="00FE3392" w:rsidRDefault="009B4A4A" w:rsidP="009B4A4A">
            <w:pPr>
              <w:pStyle w:val="naisf"/>
              <w:spacing w:before="0" w:after="0"/>
              <w:ind w:firstLine="0"/>
              <w:jc w:val="center"/>
            </w:pPr>
          </w:p>
        </w:tc>
        <w:tc>
          <w:tcPr>
            <w:tcW w:w="1487" w:type="dxa"/>
          </w:tcPr>
          <w:p w14:paraId="11DAA5DB" w14:textId="77777777" w:rsidR="009B4A4A" w:rsidRPr="00FE3392" w:rsidRDefault="009B4A4A" w:rsidP="009B4A4A">
            <w:pPr>
              <w:pStyle w:val="naisf"/>
              <w:spacing w:before="0" w:after="0"/>
              <w:ind w:firstLine="0"/>
              <w:jc w:val="center"/>
            </w:pPr>
            <w:r w:rsidRPr="00FE3392">
              <w:t>0</w:t>
            </w:r>
          </w:p>
        </w:tc>
        <w:tc>
          <w:tcPr>
            <w:tcW w:w="1487" w:type="dxa"/>
          </w:tcPr>
          <w:p w14:paraId="0C19882C" w14:textId="77777777" w:rsidR="009B4A4A" w:rsidRPr="00FE3392" w:rsidRDefault="009B4A4A" w:rsidP="009B4A4A">
            <w:pPr>
              <w:pStyle w:val="naisf"/>
              <w:spacing w:before="0" w:after="0"/>
              <w:ind w:firstLine="0"/>
              <w:jc w:val="center"/>
            </w:pPr>
            <w:r w:rsidRPr="00FE3392">
              <w:t>0</w:t>
            </w:r>
          </w:p>
        </w:tc>
        <w:tc>
          <w:tcPr>
            <w:tcW w:w="1487" w:type="dxa"/>
          </w:tcPr>
          <w:p w14:paraId="4A89A9A5" w14:textId="77777777" w:rsidR="009B4A4A" w:rsidRPr="00931439" w:rsidRDefault="009B4A4A" w:rsidP="009B4A4A">
            <w:pPr>
              <w:pStyle w:val="naisf"/>
              <w:spacing w:before="0" w:after="0"/>
              <w:ind w:firstLine="0"/>
              <w:jc w:val="center"/>
            </w:pPr>
            <w:r w:rsidRPr="00931439">
              <w:t>0</w:t>
            </w:r>
          </w:p>
        </w:tc>
        <w:tc>
          <w:tcPr>
            <w:tcW w:w="1407" w:type="dxa"/>
          </w:tcPr>
          <w:p w14:paraId="1E3DF87C" w14:textId="77777777" w:rsidR="009B4A4A" w:rsidRPr="00931439" w:rsidRDefault="009B4A4A" w:rsidP="009B4A4A">
            <w:pPr>
              <w:pStyle w:val="naisf"/>
              <w:spacing w:before="0" w:after="0"/>
              <w:ind w:firstLine="0"/>
              <w:jc w:val="center"/>
            </w:pPr>
            <w:r w:rsidRPr="00931439">
              <w:t>0</w:t>
            </w:r>
          </w:p>
        </w:tc>
      </w:tr>
      <w:tr w:rsidR="00554FF6" w:rsidRPr="00931439" w14:paraId="11016304" w14:textId="77777777" w:rsidTr="003445D4">
        <w:trPr>
          <w:jc w:val="center"/>
        </w:trPr>
        <w:tc>
          <w:tcPr>
            <w:tcW w:w="2161" w:type="dxa"/>
          </w:tcPr>
          <w:p w14:paraId="2146E258" w14:textId="77777777" w:rsidR="009B4A4A" w:rsidRPr="00942F42" w:rsidRDefault="009B4A4A" w:rsidP="009B4A4A">
            <w:r w:rsidRPr="00942F42">
              <w:t xml:space="preserve">5.3. pašvaldību budžets </w:t>
            </w:r>
          </w:p>
        </w:tc>
        <w:tc>
          <w:tcPr>
            <w:tcW w:w="1110" w:type="dxa"/>
            <w:vMerge/>
            <w:vAlign w:val="center"/>
          </w:tcPr>
          <w:p w14:paraId="376616B2" w14:textId="77777777" w:rsidR="009B4A4A" w:rsidRPr="00942F42" w:rsidRDefault="009B4A4A" w:rsidP="009B4A4A">
            <w:pPr>
              <w:pStyle w:val="naisf"/>
              <w:spacing w:before="0" w:after="0"/>
              <w:ind w:firstLine="0"/>
              <w:jc w:val="center"/>
              <w:rPr>
                <w:i/>
              </w:rPr>
            </w:pPr>
          </w:p>
        </w:tc>
        <w:tc>
          <w:tcPr>
            <w:tcW w:w="1487" w:type="dxa"/>
          </w:tcPr>
          <w:p w14:paraId="62818480" w14:textId="77777777" w:rsidR="009B4A4A" w:rsidRPr="00931439" w:rsidRDefault="009B4A4A" w:rsidP="009B4A4A">
            <w:pPr>
              <w:pStyle w:val="naisf"/>
              <w:spacing w:before="0" w:after="0"/>
              <w:ind w:firstLine="0"/>
              <w:jc w:val="center"/>
            </w:pPr>
            <w:r w:rsidRPr="00931439">
              <w:t>0</w:t>
            </w:r>
          </w:p>
        </w:tc>
        <w:tc>
          <w:tcPr>
            <w:tcW w:w="1487" w:type="dxa"/>
          </w:tcPr>
          <w:p w14:paraId="1DC51A8A" w14:textId="77777777" w:rsidR="009B4A4A" w:rsidRPr="00931439" w:rsidRDefault="009B4A4A" w:rsidP="009B4A4A">
            <w:pPr>
              <w:pStyle w:val="naisf"/>
              <w:spacing w:before="0" w:after="0"/>
              <w:ind w:firstLine="0"/>
              <w:jc w:val="center"/>
            </w:pPr>
            <w:r w:rsidRPr="00931439">
              <w:t>0</w:t>
            </w:r>
          </w:p>
        </w:tc>
        <w:tc>
          <w:tcPr>
            <w:tcW w:w="1487" w:type="dxa"/>
          </w:tcPr>
          <w:p w14:paraId="2D97D329" w14:textId="77777777" w:rsidR="009B4A4A" w:rsidRPr="00931439" w:rsidRDefault="009B4A4A" w:rsidP="009B4A4A">
            <w:pPr>
              <w:pStyle w:val="naisf"/>
              <w:spacing w:before="0" w:after="0"/>
              <w:ind w:firstLine="0"/>
              <w:jc w:val="center"/>
            </w:pPr>
            <w:r w:rsidRPr="00931439">
              <w:t>0</w:t>
            </w:r>
          </w:p>
        </w:tc>
        <w:tc>
          <w:tcPr>
            <w:tcW w:w="1407" w:type="dxa"/>
          </w:tcPr>
          <w:p w14:paraId="348C9A1F" w14:textId="77777777" w:rsidR="009B4A4A" w:rsidRPr="00931439" w:rsidRDefault="009B4A4A" w:rsidP="009B4A4A">
            <w:pPr>
              <w:pStyle w:val="naisf"/>
              <w:spacing w:before="0" w:after="0"/>
              <w:ind w:firstLine="0"/>
              <w:jc w:val="center"/>
            </w:pPr>
            <w:r w:rsidRPr="00931439">
              <w:t>0</w:t>
            </w:r>
          </w:p>
        </w:tc>
      </w:tr>
      <w:tr w:rsidR="00554FF6" w:rsidRPr="0022444A" w14:paraId="5DCAEAC0" w14:textId="77777777" w:rsidTr="003445D4">
        <w:trPr>
          <w:jc w:val="center"/>
        </w:trPr>
        <w:tc>
          <w:tcPr>
            <w:tcW w:w="2161" w:type="dxa"/>
          </w:tcPr>
          <w:p w14:paraId="2926C8D8" w14:textId="12A6988F" w:rsidR="009B4A4A" w:rsidRPr="00942F42" w:rsidRDefault="009B4A4A" w:rsidP="009B4A4A">
            <w:r w:rsidRPr="00942F42">
              <w:t>6. Detalizēts ieņēmumu un izdevumu aprēķins (ja nepieciešams, detalizētu ieņēmumu un izdevumu aprēķinu var pievienot anotācijas pielikumā):</w:t>
            </w:r>
          </w:p>
        </w:tc>
        <w:tc>
          <w:tcPr>
            <w:tcW w:w="6978" w:type="dxa"/>
            <w:gridSpan w:val="5"/>
            <w:vMerge w:val="restart"/>
          </w:tcPr>
          <w:p w14:paraId="58D357E7" w14:textId="373F440C" w:rsidR="00554FF6" w:rsidRDefault="00554FF6" w:rsidP="00FC1D98">
            <w:pPr>
              <w:pStyle w:val="naisf"/>
              <w:spacing w:before="0" w:after="0"/>
              <w:ind w:right="-75" w:firstLine="0"/>
            </w:pPr>
            <w:r w:rsidRPr="00554FF6">
              <w:t>Rīkojuma projekts p</w:t>
            </w:r>
            <w:r>
              <w:t>aredz no valsts budžeta resora "</w:t>
            </w:r>
            <w:r w:rsidRPr="00554FF6">
              <w:t>74.</w:t>
            </w:r>
            <w:r w:rsidR="00764081">
              <w:t> </w:t>
            </w:r>
            <w:r w:rsidRPr="00554FF6">
              <w:t>Gadskārtējā valsts budžeta izpildes procesā pārdalāmais fi</w:t>
            </w:r>
            <w:r>
              <w:t>nansējums" programmas 07.00.00 "</w:t>
            </w:r>
            <w:r w:rsidRPr="00554FF6">
              <w:t>Tiesu spriedumu izpilde</w:t>
            </w:r>
            <w:r>
              <w:t>"</w:t>
            </w:r>
            <w:r w:rsidRPr="00554FF6">
              <w:t xml:space="preserve"> piešķirt </w:t>
            </w:r>
            <w:r>
              <w:t xml:space="preserve">Tieslietu ministrijai </w:t>
            </w:r>
            <w:r w:rsidRPr="00554FF6">
              <w:t xml:space="preserve"> budžeta apakšprogramma</w:t>
            </w:r>
            <w:r>
              <w:t>i 04</w:t>
            </w:r>
            <w:r w:rsidRPr="00554FF6">
              <w:t xml:space="preserve">.01.00 </w:t>
            </w:r>
            <w:r w:rsidR="00764081">
              <w:t>"</w:t>
            </w:r>
            <w:r>
              <w:t xml:space="preserve">Ieslodzījuma vietas" </w:t>
            </w:r>
            <w:r w:rsidRPr="00554FF6">
              <w:t>finansējumu 2017.</w:t>
            </w:r>
            <w:r w:rsidR="00764081">
              <w:t> </w:t>
            </w:r>
            <w:r w:rsidRPr="00554FF6">
              <w:t xml:space="preserve">gadā </w:t>
            </w:r>
            <w:r>
              <w:t>975 442 </w:t>
            </w:r>
            <w:r w:rsidRPr="00554FF6">
              <w:rPr>
                <w:i/>
              </w:rPr>
              <w:t>euro</w:t>
            </w:r>
            <w:r w:rsidRPr="00554FF6">
              <w:t xml:space="preserve"> apmērā, lai segtu izdevumus, kas saistīti ar darba samaksas pārrēķinu </w:t>
            </w:r>
            <w:r>
              <w:t>1444 </w:t>
            </w:r>
            <w:r w:rsidRPr="00554FF6">
              <w:t>amatpersonām ar speciālajām dienesta pakāpēm par laikposmu no 2014.</w:t>
            </w:r>
            <w:r w:rsidR="00764081">
              <w:t> </w:t>
            </w:r>
            <w:r w:rsidRPr="00554FF6">
              <w:t>gada 16.</w:t>
            </w:r>
            <w:r w:rsidR="00764081">
              <w:t> </w:t>
            </w:r>
            <w:r w:rsidRPr="00554FF6">
              <w:t>jūnija līdz 2016.</w:t>
            </w:r>
            <w:r w:rsidR="00764081">
              <w:t> </w:t>
            </w:r>
            <w:r w:rsidRPr="00554FF6">
              <w:t>gada 15.</w:t>
            </w:r>
            <w:r w:rsidR="00764081">
              <w:t> </w:t>
            </w:r>
            <w:r w:rsidRPr="00554FF6">
              <w:t>jūnijam sakarā ar Latvijas Republikas Augstākās tiesas Administratīvo lietu departamenta 2016.</w:t>
            </w:r>
            <w:r w:rsidR="00764081">
              <w:t> </w:t>
            </w:r>
            <w:r w:rsidRPr="00554FF6">
              <w:t>gada 16.</w:t>
            </w:r>
            <w:r w:rsidR="00764081">
              <w:t> </w:t>
            </w:r>
            <w:r w:rsidRPr="00554FF6">
              <w:t>jūnija spriedumu administratīvajā lietā Nr.</w:t>
            </w:r>
            <w:r w:rsidR="00764081">
              <w:t> </w:t>
            </w:r>
            <w:r w:rsidRPr="00554FF6">
              <w:t xml:space="preserve">A420535212 (EKK 1000 </w:t>
            </w:r>
            <w:r w:rsidR="00764081">
              <w:t>"</w:t>
            </w:r>
            <w:r w:rsidRPr="00554FF6">
              <w:t>Atlīdzība</w:t>
            </w:r>
            <w:r w:rsidR="00764081">
              <w:t>"</w:t>
            </w:r>
            <w:r w:rsidRPr="00554FF6">
              <w:t>)</w:t>
            </w:r>
            <w:r>
              <w:t>,</w:t>
            </w:r>
            <w:r w:rsidRPr="00554FF6">
              <w:t xml:space="preserve"> tai skaitā</w:t>
            </w:r>
            <w:r>
              <w:t>:</w:t>
            </w:r>
          </w:p>
          <w:p w14:paraId="58714889" w14:textId="26CAD621" w:rsidR="009B4A4A" w:rsidRDefault="009B4A4A" w:rsidP="00FC1D98">
            <w:pPr>
              <w:pStyle w:val="ListParagraph"/>
              <w:numPr>
                <w:ilvl w:val="0"/>
                <w:numId w:val="7"/>
              </w:numPr>
              <w:ind w:left="317" w:right="-75" w:hanging="284"/>
            </w:pPr>
            <w:r>
              <w:t>EKK </w:t>
            </w:r>
            <w:r w:rsidRPr="004B44F0">
              <w:t xml:space="preserve">1100 </w:t>
            </w:r>
            <w:r>
              <w:t>"</w:t>
            </w:r>
            <w:r w:rsidRPr="004B44F0">
              <w:t>Atalgojums</w:t>
            </w:r>
            <w:r>
              <w:t>"</w:t>
            </w:r>
            <w:r w:rsidRPr="004B44F0">
              <w:t xml:space="preserve"> – </w:t>
            </w:r>
            <w:r>
              <w:t>773 212 </w:t>
            </w:r>
            <w:r w:rsidRPr="00FC1D98">
              <w:rPr>
                <w:i/>
              </w:rPr>
              <w:t>euro</w:t>
            </w:r>
            <w:r w:rsidR="00FC1D98">
              <w:t xml:space="preserve"> (no tiem</w:t>
            </w:r>
            <w:r w:rsidRPr="004B44F0">
              <w:t xml:space="preserve"> EKK</w:t>
            </w:r>
            <w:r>
              <w:t> </w:t>
            </w:r>
            <w:r w:rsidRPr="004B44F0">
              <w:t>1116</w:t>
            </w:r>
            <w:r w:rsidR="00FC1D98">
              <w:t xml:space="preserve"> – </w:t>
            </w:r>
            <w:r>
              <w:t>694 725 </w:t>
            </w:r>
            <w:r w:rsidRPr="00FC1D98">
              <w:rPr>
                <w:i/>
              </w:rPr>
              <w:t>euro</w:t>
            </w:r>
            <w:r>
              <w:t xml:space="preserve"> un EKK 1142 </w:t>
            </w:r>
            <w:r w:rsidR="00FC1D98">
              <w:t xml:space="preserve">– </w:t>
            </w:r>
            <w:r>
              <w:t>78 487 </w:t>
            </w:r>
            <w:r w:rsidRPr="00FC1D98">
              <w:rPr>
                <w:i/>
              </w:rPr>
              <w:t>euro</w:t>
            </w:r>
            <w:r>
              <w:t>);</w:t>
            </w:r>
          </w:p>
          <w:p w14:paraId="0CF886FD" w14:textId="112241DA" w:rsidR="009B4A4A" w:rsidRDefault="009B4A4A" w:rsidP="00FC1D98">
            <w:pPr>
              <w:pStyle w:val="ListParagraph"/>
              <w:numPr>
                <w:ilvl w:val="0"/>
                <w:numId w:val="7"/>
              </w:numPr>
              <w:ind w:left="317" w:right="-75" w:hanging="284"/>
            </w:pPr>
            <w:r>
              <w:t>EKK 1200 "</w:t>
            </w:r>
            <w:r w:rsidRPr="00367EA5">
              <w:t>Darba devēja valsts sociālās apdrošināšanas obligātās iemaksas, pabalsti un kompensācijas</w:t>
            </w:r>
            <w:r>
              <w:t>" – 202 230 </w:t>
            </w:r>
            <w:r w:rsidRPr="00FC1D98">
              <w:rPr>
                <w:i/>
              </w:rPr>
              <w:t>euro</w:t>
            </w:r>
            <w:r>
              <w:t xml:space="preserve"> (no tiem EKK 1210 </w:t>
            </w:r>
            <w:r w:rsidR="00FC1D98">
              <w:t xml:space="preserve">– </w:t>
            </w:r>
            <w:r>
              <w:t>183 783 </w:t>
            </w:r>
            <w:r w:rsidRPr="00FC1D98">
              <w:rPr>
                <w:i/>
              </w:rPr>
              <w:t xml:space="preserve">euro </w:t>
            </w:r>
            <w:r>
              <w:t xml:space="preserve">un EKK 1221 </w:t>
            </w:r>
            <w:r w:rsidR="00FC1D98">
              <w:t xml:space="preserve">– </w:t>
            </w:r>
            <w:r>
              <w:t>18 447 </w:t>
            </w:r>
            <w:r w:rsidRPr="00FC1D98">
              <w:rPr>
                <w:i/>
              </w:rPr>
              <w:t>euro</w:t>
            </w:r>
            <w:r>
              <w:t>).</w:t>
            </w:r>
          </w:p>
          <w:p w14:paraId="3FC15B32" w14:textId="77777777" w:rsidR="009B4A4A" w:rsidRDefault="009B4A4A" w:rsidP="00FC1D98">
            <w:pPr>
              <w:ind w:right="-75"/>
              <w:jc w:val="both"/>
            </w:pPr>
          </w:p>
          <w:p w14:paraId="77D4559E" w14:textId="3D9CA0F1" w:rsidR="009B4A4A" w:rsidRPr="003C1C88" w:rsidRDefault="009B4A4A" w:rsidP="00FC1D98">
            <w:pPr>
              <w:ind w:right="-75"/>
              <w:jc w:val="both"/>
            </w:pPr>
            <w:r>
              <w:t xml:space="preserve">Detalizēts aprēķins </w:t>
            </w:r>
            <w:r w:rsidR="008816A5">
              <w:t xml:space="preserve">anotācijas </w:t>
            </w:r>
            <w:r>
              <w:t>1., 2. un 3. pielikumā.</w:t>
            </w:r>
          </w:p>
          <w:p w14:paraId="2A8F7D69" w14:textId="77777777" w:rsidR="00FC1D98" w:rsidRPr="00942F42" w:rsidRDefault="00FC1D98" w:rsidP="00FC1D98">
            <w:pPr>
              <w:ind w:right="-75"/>
              <w:jc w:val="both"/>
              <w:rPr>
                <w:color w:val="2A2A2A"/>
              </w:rPr>
            </w:pPr>
          </w:p>
        </w:tc>
      </w:tr>
      <w:tr w:rsidR="00554FF6" w:rsidRPr="0022444A" w14:paraId="41907FC6" w14:textId="77777777" w:rsidTr="003445D4">
        <w:trPr>
          <w:jc w:val="center"/>
        </w:trPr>
        <w:tc>
          <w:tcPr>
            <w:tcW w:w="2161" w:type="dxa"/>
          </w:tcPr>
          <w:p w14:paraId="4C9CBE23" w14:textId="3F2C9B20" w:rsidR="009B4A4A" w:rsidRPr="00931439" w:rsidRDefault="009B4A4A" w:rsidP="009B4A4A">
            <w:r w:rsidRPr="00931439">
              <w:t>6.1. detalizēts ieņēmumu aprēķins</w:t>
            </w:r>
          </w:p>
        </w:tc>
        <w:tc>
          <w:tcPr>
            <w:tcW w:w="6978" w:type="dxa"/>
            <w:gridSpan w:val="5"/>
            <w:vMerge/>
          </w:tcPr>
          <w:p w14:paraId="34371E41" w14:textId="77777777" w:rsidR="009B4A4A" w:rsidRPr="00557AFB" w:rsidRDefault="009B4A4A" w:rsidP="009B4A4A">
            <w:pPr>
              <w:pStyle w:val="naisf"/>
              <w:spacing w:before="0" w:after="0"/>
              <w:ind w:firstLine="0"/>
              <w:rPr>
                <w:b/>
                <w:i/>
                <w:highlight w:val="yellow"/>
              </w:rPr>
            </w:pPr>
          </w:p>
        </w:tc>
      </w:tr>
      <w:tr w:rsidR="00554FF6" w:rsidRPr="0022444A" w14:paraId="3CDC0527" w14:textId="77777777" w:rsidTr="003445D4">
        <w:trPr>
          <w:jc w:val="center"/>
        </w:trPr>
        <w:tc>
          <w:tcPr>
            <w:tcW w:w="2161" w:type="dxa"/>
          </w:tcPr>
          <w:p w14:paraId="5F82B8CD" w14:textId="77777777" w:rsidR="009B4A4A" w:rsidRPr="00931439" w:rsidRDefault="009B4A4A" w:rsidP="009B4A4A">
            <w:r w:rsidRPr="00931439">
              <w:t>6.2. detalizēts izdevumu aprēķins</w:t>
            </w:r>
          </w:p>
        </w:tc>
        <w:tc>
          <w:tcPr>
            <w:tcW w:w="6978" w:type="dxa"/>
            <w:gridSpan w:val="5"/>
            <w:vMerge/>
          </w:tcPr>
          <w:p w14:paraId="34F88390" w14:textId="77777777" w:rsidR="009B4A4A" w:rsidRPr="00557AFB" w:rsidRDefault="009B4A4A" w:rsidP="009B4A4A">
            <w:pPr>
              <w:pStyle w:val="naisf"/>
              <w:spacing w:before="0" w:after="0"/>
              <w:ind w:firstLine="0"/>
              <w:rPr>
                <w:b/>
                <w:i/>
                <w:highlight w:val="yellow"/>
              </w:rPr>
            </w:pPr>
          </w:p>
        </w:tc>
      </w:tr>
      <w:tr w:rsidR="00554FF6" w:rsidRPr="0022444A" w14:paraId="7DA4CD5C" w14:textId="77777777" w:rsidTr="003445D4">
        <w:trPr>
          <w:jc w:val="center"/>
        </w:trPr>
        <w:tc>
          <w:tcPr>
            <w:tcW w:w="2161" w:type="dxa"/>
          </w:tcPr>
          <w:p w14:paraId="5FBE7AD7" w14:textId="77777777" w:rsidR="009B4A4A" w:rsidRPr="0022444A" w:rsidRDefault="009B4A4A" w:rsidP="009B4A4A">
            <w:r w:rsidRPr="0022444A">
              <w:t>7. Cita informācija</w:t>
            </w:r>
          </w:p>
        </w:tc>
        <w:tc>
          <w:tcPr>
            <w:tcW w:w="6978" w:type="dxa"/>
            <w:gridSpan w:val="5"/>
          </w:tcPr>
          <w:p w14:paraId="297B637F" w14:textId="05AA7720" w:rsidR="009B4A4A" w:rsidRPr="0022444A" w:rsidRDefault="00C56C0E" w:rsidP="009B4A4A">
            <w:pPr>
              <w:pStyle w:val="naisf"/>
              <w:tabs>
                <w:tab w:val="left" w:pos="4644"/>
              </w:tabs>
              <w:spacing w:before="0" w:after="0"/>
              <w:ind w:firstLine="0"/>
            </w:pPr>
            <w:r>
              <w:t>Saskaņā ar likumu "Par valsts budžetu 2017.gadam" Tieslietu ministrijai budžeta apakšprogrammā 04.01.00 "Ieslodzījuma vietas" izdevumi atlīdzībai amatpersonām ar speciālajām dienesta pakāpēm plānoti 36 875 131 </w:t>
            </w:r>
            <w:r w:rsidRPr="00C56C0E">
              <w:rPr>
                <w:i/>
              </w:rPr>
              <w:t>euro</w:t>
            </w:r>
            <w:r>
              <w:t xml:space="preserve"> apmērā.</w:t>
            </w:r>
          </w:p>
        </w:tc>
      </w:tr>
    </w:tbl>
    <w:p w14:paraId="3667348A" w14:textId="77777777" w:rsidR="00073763" w:rsidRPr="00507926" w:rsidRDefault="00073763" w:rsidP="001244A7">
      <w:pPr>
        <w:pStyle w:val="naisf"/>
        <w:spacing w:before="0" w:after="0"/>
        <w:ind w:firstLine="0"/>
      </w:pP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90"/>
        <w:gridCol w:w="4518"/>
        <w:gridCol w:w="4191"/>
      </w:tblGrid>
      <w:tr w:rsidR="0050041B" w:rsidRPr="00507926" w14:paraId="22C518ED" w14:textId="77777777" w:rsidTr="00E938B9">
        <w:trPr>
          <w:jc w:val="center"/>
        </w:trPr>
        <w:tc>
          <w:tcPr>
            <w:tcW w:w="9199" w:type="dxa"/>
            <w:gridSpan w:val="3"/>
          </w:tcPr>
          <w:p w14:paraId="30575E30" w14:textId="77777777" w:rsidR="0050041B" w:rsidRPr="00507926" w:rsidRDefault="0050041B" w:rsidP="003637A7">
            <w:pPr>
              <w:pStyle w:val="naisnod"/>
              <w:spacing w:before="0" w:after="0"/>
            </w:pPr>
            <w:r w:rsidRPr="00507926">
              <w:t>VII. Tiesību akta projekta izpildes nodrošināšana un tās ietekme uz institūcijām</w:t>
            </w:r>
          </w:p>
        </w:tc>
      </w:tr>
      <w:tr w:rsidR="0050041B" w:rsidRPr="00507926" w14:paraId="6453AFBD" w14:textId="77777777" w:rsidTr="00AF5EAE">
        <w:trPr>
          <w:trHeight w:val="427"/>
          <w:jc w:val="center"/>
        </w:trPr>
        <w:tc>
          <w:tcPr>
            <w:tcW w:w="490" w:type="dxa"/>
          </w:tcPr>
          <w:p w14:paraId="7E5A0C7E" w14:textId="77777777" w:rsidR="0050041B" w:rsidRPr="00507926" w:rsidRDefault="0050041B" w:rsidP="003637A7">
            <w:pPr>
              <w:pStyle w:val="naisnod"/>
              <w:spacing w:before="0" w:after="0"/>
              <w:jc w:val="left"/>
              <w:rPr>
                <w:b w:val="0"/>
              </w:rPr>
            </w:pPr>
            <w:r w:rsidRPr="00507926">
              <w:rPr>
                <w:b w:val="0"/>
              </w:rPr>
              <w:t>1.</w:t>
            </w:r>
          </w:p>
        </w:tc>
        <w:tc>
          <w:tcPr>
            <w:tcW w:w="4518" w:type="dxa"/>
          </w:tcPr>
          <w:p w14:paraId="5F9E3A27" w14:textId="77777777" w:rsidR="0050041B" w:rsidRPr="00507926" w:rsidRDefault="0050041B" w:rsidP="003637A7">
            <w:pPr>
              <w:pStyle w:val="naisf"/>
              <w:spacing w:before="0" w:after="0"/>
              <w:ind w:firstLine="0"/>
              <w:jc w:val="left"/>
            </w:pPr>
            <w:r w:rsidRPr="00507926">
              <w:t xml:space="preserve">Projekta izpildē iesaistītās institūcijas </w:t>
            </w:r>
          </w:p>
        </w:tc>
        <w:tc>
          <w:tcPr>
            <w:tcW w:w="4191" w:type="dxa"/>
          </w:tcPr>
          <w:p w14:paraId="5429D816" w14:textId="77777777" w:rsidR="0050041B" w:rsidRPr="00507926" w:rsidRDefault="0050041B" w:rsidP="003445D4">
            <w:pPr>
              <w:pStyle w:val="naisnod"/>
              <w:spacing w:before="0" w:after="0"/>
              <w:jc w:val="both"/>
              <w:rPr>
                <w:b w:val="0"/>
              </w:rPr>
            </w:pPr>
            <w:r w:rsidRPr="009547CC">
              <w:rPr>
                <w:b w:val="0"/>
              </w:rPr>
              <w:t>Tieslietu ministrija</w:t>
            </w:r>
            <w:r>
              <w:rPr>
                <w:b w:val="0"/>
              </w:rPr>
              <w:t>, Ieslodzījuma vietu pārvalde</w:t>
            </w:r>
            <w:r w:rsidR="00557AFB">
              <w:rPr>
                <w:b w:val="0"/>
              </w:rPr>
              <w:t>.</w:t>
            </w:r>
          </w:p>
        </w:tc>
      </w:tr>
      <w:tr w:rsidR="0050041B" w:rsidRPr="00507926" w14:paraId="19EBF5D7" w14:textId="77777777" w:rsidTr="00AF5EAE">
        <w:trPr>
          <w:trHeight w:val="528"/>
          <w:jc w:val="center"/>
        </w:trPr>
        <w:tc>
          <w:tcPr>
            <w:tcW w:w="490" w:type="dxa"/>
          </w:tcPr>
          <w:p w14:paraId="7989C724" w14:textId="77777777" w:rsidR="0050041B" w:rsidRPr="00507926" w:rsidRDefault="0050041B" w:rsidP="003637A7">
            <w:pPr>
              <w:pStyle w:val="naisnod"/>
              <w:spacing w:before="0" w:after="0"/>
              <w:jc w:val="left"/>
              <w:rPr>
                <w:b w:val="0"/>
              </w:rPr>
            </w:pPr>
            <w:r w:rsidRPr="00507926">
              <w:rPr>
                <w:b w:val="0"/>
              </w:rPr>
              <w:t>2.</w:t>
            </w:r>
          </w:p>
        </w:tc>
        <w:tc>
          <w:tcPr>
            <w:tcW w:w="4518" w:type="dxa"/>
          </w:tcPr>
          <w:p w14:paraId="35A995FB" w14:textId="77777777" w:rsidR="0050041B" w:rsidRPr="00507926" w:rsidRDefault="0050041B" w:rsidP="003637A7">
            <w:pPr>
              <w:pStyle w:val="naisf"/>
              <w:spacing w:before="0" w:after="0"/>
              <w:ind w:firstLine="0"/>
              <w:jc w:val="left"/>
            </w:pPr>
            <w:r w:rsidRPr="00507926">
              <w:t xml:space="preserve">Projekta izpildes ietekme uz pārvaldes funkcijām </w:t>
            </w:r>
            <w:r w:rsidR="00557AFB">
              <w:t>un institucionālo struktūru. Jaunu institūciju izveide, esošu institūciju likvidācija vai reorganizācija, to ietekme uz institūcijas cilvēkresursiem</w:t>
            </w:r>
          </w:p>
        </w:tc>
        <w:tc>
          <w:tcPr>
            <w:tcW w:w="4191" w:type="dxa"/>
          </w:tcPr>
          <w:p w14:paraId="45EB9939" w14:textId="77777777" w:rsidR="00557AFB" w:rsidRDefault="00557AFB" w:rsidP="003637A7">
            <w:pPr>
              <w:pStyle w:val="BodyTextIndent2"/>
              <w:spacing w:after="0" w:line="240" w:lineRule="auto"/>
              <w:ind w:left="0"/>
              <w:jc w:val="both"/>
            </w:pPr>
            <w:r>
              <w:t>Rīkojuma projekta izpilde neietekmē iesaistīto institūciju funkcijas un uzdevumus.</w:t>
            </w:r>
          </w:p>
          <w:p w14:paraId="7A61EDC7" w14:textId="77777777" w:rsidR="0050041B" w:rsidRPr="00507926" w:rsidRDefault="00D71F56" w:rsidP="003637A7">
            <w:pPr>
              <w:pStyle w:val="BodyTextIndent2"/>
              <w:spacing w:after="0" w:line="240" w:lineRule="auto"/>
              <w:ind w:left="0"/>
              <w:jc w:val="both"/>
              <w:rPr>
                <w:b/>
              </w:rPr>
            </w:pPr>
            <w:r>
              <w:t>Rīkojuma projekta izpilde neietekmē valsts pārvaldes institucionālo sistēmu</w:t>
            </w:r>
            <w:r w:rsidR="0050041B" w:rsidRPr="00507926">
              <w:t>.</w:t>
            </w:r>
          </w:p>
        </w:tc>
      </w:tr>
      <w:tr w:rsidR="0050041B" w:rsidRPr="00507926" w14:paraId="63101394" w14:textId="77777777" w:rsidTr="003637A7">
        <w:trPr>
          <w:trHeight w:val="251"/>
          <w:jc w:val="center"/>
        </w:trPr>
        <w:tc>
          <w:tcPr>
            <w:tcW w:w="490" w:type="dxa"/>
          </w:tcPr>
          <w:p w14:paraId="0C42E70A" w14:textId="77777777" w:rsidR="0050041B" w:rsidRPr="00507926" w:rsidRDefault="00D71F56" w:rsidP="003637A7">
            <w:pPr>
              <w:pStyle w:val="naiskr"/>
              <w:spacing w:before="0" w:after="0"/>
            </w:pPr>
            <w:r>
              <w:t>3</w:t>
            </w:r>
            <w:r w:rsidR="0050041B" w:rsidRPr="00507926">
              <w:t>.</w:t>
            </w:r>
          </w:p>
        </w:tc>
        <w:tc>
          <w:tcPr>
            <w:tcW w:w="4518" w:type="dxa"/>
          </w:tcPr>
          <w:p w14:paraId="7DA62B5E" w14:textId="77777777" w:rsidR="0050041B" w:rsidRPr="00507926" w:rsidRDefault="0050041B" w:rsidP="003637A7">
            <w:pPr>
              <w:pStyle w:val="naiskr"/>
              <w:spacing w:before="0" w:after="0"/>
            </w:pPr>
            <w:r w:rsidRPr="00507926">
              <w:t>Cita informācija</w:t>
            </w:r>
          </w:p>
        </w:tc>
        <w:tc>
          <w:tcPr>
            <w:tcW w:w="4191" w:type="dxa"/>
          </w:tcPr>
          <w:p w14:paraId="6ADAB2F3" w14:textId="77777777" w:rsidR="0050041B" w:rsidRPr="00507926" w:rsidRDefault="0050041B" w:rsidP="003637A7">
            <w:pPr>
              <w:pStyle w:val="naiskr"/>
              <w:spacing w:before="0" w:after="0"/>
            </w:pPr>
            <w:r w:rsidRPr="00507926">
              <w:t>Nav</w:t>
            </w:r>
            <w:r w:rsidR="00D71F56">
              <w:t>.</w:t>
            </w:r>
          </w:p>
        </w:tc>
      </w:tr>
    </w:tbl>
    <w:p w14:paraId="7ACC05FB" w14:textId="77777777" w:rsidR="0050041B" w:rsidRDefault="0050041B" w:rsidP="00587C74">
      <w:pPr>
        <w:pStyle w:val="BodyText2"/>
        <w:spacing w:after="0" w:line="240" w:lineRule="auto"/>
        <w:jc w:val="both"/>
        <w:rPr>
          <w:sz w:val="26"/>
          <w:szCs w:val="26"/>
        </w:rPr>
      </w:pPr>
    </w:p>
    <w:p w14:paraId="4191619C" w14:textId="1C377108" w:rsidR="0050041B" w:rsidRPr="00D71F56" w:rsidRDefault="0050041B" w:rsidP="009258B9">
      <w:pPr>
        <w:rPr>
          <w:i/>
          <w:color w:val="000000"/>
        </w:rPr>
      </w:pPr>
      <w:r w:rsidRPr="00D71F56">
        <w:rPr>
          <w:i/>
          <w:color w:val="000000"/>
        </w:rPr>
        <w:t xml:space="preserve">Anotācijas </w:t>
      </w:r>
      <w:r w:rsidR="00D71F56" w:rsidRPr="00D71F56">
        <w:rPr>
          <w:i/>
          <w:color w:val="000000"/>
        </w:rPr>
        <w:t xml:space="preserve">II, </w:t>
      </w:r>
      <w:r w:rsidRPr="00D71F56">
        <w:rPr>
          <w:i/>
          <w:color w:val="000000"/>
        </w:rPr>
        <w:t>IV, V  </w:t>
      </w:r>
      <w:r w:rsidR="00D71F56" w:rsidRPr="00D71F56">
        <w:rPr>
          <w:bCs/>
          <w:i/>
          <w:color w:val="000000"/>
        </w:rPr>
        <w:t>un VI sadaļa</w:t>
      </w:r>
      <w:r w:rsidRPr="00D71F56">
        <w:rPr>
          <w:bCs/>
          <w:i/>
          <w:color w:val="000000"/>
        </w:rPr>
        <w:t xml:space="preserve"> </w:t>
      </w:r>
      <w:r w:rsidR="00D71F56" w:rsidRPr="00D71F56">
        <w:rPr>
          <w:bCs/>
          <w:i/>
          <w:color w:val="000000"/>
        </w:rPr>
        <w:t>–</w:t>
      </w:r>
      <w:r w:rsidRPr="00D71F56">
        <w:rPr>
          <w:bCs/>
          <w:i/>
          <w:color w:val="000000"/>
        </w:rPr>
        <w:t xml:space="preserve"> </w:t>
      </w:r>
      <w:r w:rsidR="00D71F56" w:rsidRPr="00D71F56">
        <w:rPr>
          <w:bCs/>
          <w:i/>
          <w:color w:val="000000"/>
        </w:rPr>
        <w:t>Rīkojuma p</w:t>
      </w:r>
      <w:r w:rsidRPr="00D71F56">
        <w:rPr>
          <w:bCs/>
          <w:i/>
          <w:color w:val="000000"/>
        </w:rPr>
        <w:t>rojekts šīs jomas neskar.</w:t>
      </w:r>
    </w:p>
    <w:p w14:paraId="015A7BA3" w14:textId="77777777" w:rsidR="0050041B" w:rsidRDefault="0050041B" w:rsidP="00760003">
      <w:pPr>
        <w:pStyle w:val="naisf"/>
        <w:spacing w:before="0" w:after="0"/>
        <w:ind w:firstLine="0"/>
      </w:pPr>
    </w:p>
    <w:p w14:paraId="0745D4CA" w14:textId="77777777" w:rsidR="0050041B" w:rsidRPr="00D71F56" w:rsidRDefault="0050041B" w:rsidP="00587C74">
      <w:pPr>
        <w:pStyle w:val="BodyText2"/>
        <w:spacing w:after="0" w:line="240" w:lineRule="auto"/>
        <w:jc w:val="both"/>
      </w:pPr>
    </w:p>
    <w:p w14:paraId="1D01022F" w14:textId="77777777" w:rsidR="00D71F56" w:rsidRPr="00D71F56" w:rsidRDefault="00D71F56" w:rsidP="00587C74">
      <w:pPr>
        <w:pStyle w:val="BodyText2"/>
        <w:spacing w:after="0" w:line="240" w:lineRule="auto"/>
        <w:jc w:val="both"/>
      </w:pPr>
      <w:r w:rsidRPr="00D71F56">
        <w:t>Iesniedzējs:</w:t>
      </w:r>
    </w:p>
    <w:p w14:paraId="4ABD77EA" w14:textId="720D9773" w:rsidR="0050041B" w:rsidRPr="00D71F56" w:rsidRDefault="00D71F56" w:rsidP="00587C74">
      <w:pPr>
        <w:pStyle w:val="BodyText2"/>
        <w:spacing w:after="0" w:line="240" w:lineRule="auto"/>
        <w:jc w:val="both"/>
      </w:pPr>
      <w:r w:rsidRPr="00D71F56">
        <w:t>t</w:t>
      </w:r>
      <w:r w:rsidR="0050041B" w:rsidRPr="00D71F56">
        <w:t>ieslietu ministrs</w:t>
      </w:r>
      <w:r w:rsidR="0050041B" w:rsidRPr="00D71F56">
        <w:tab/>
      </w:r>
      <w:r w:rsidR="0050041B" w:rsidRPr="00D71F56">
        <w:tab/>
      </w:r>
      <w:r w:rsidR="0050041B" w:rsidRPr="00D71F56">
        <w:tab/>
      </w:r>
      <w:r w:rsidR="0050041B" w:rsidRPr="00D71F56">
        <w:tab/>
      </w:r>
      <w:r w:rsidR="0050041B" w:rsidRPr="00D71F56">
        <w:tab/>
      </w:r>
      <w:r w:rsidR="0050041B" w:rsidRPr="00D71F56">
        <w:tab/>
      </w:r>
      <w:r w:rsidR="0050041B" w:rsidRPr="00D71F56">
        <w:tab/>
      </w:r>
      <w:r w:rsidR="0050041B" w:rsidRPr="00D71F56">
        <w:tab/>
      </w:r>
      <w:r>
        <w:t>Dzintars Rasnačs</w:t>
      </w:r>
    </w:p>
    <w:p w14:paraId="035852E1" w14:textId="77777777" w:rsidR="00B63E0F" w:rsidRDefault="00B63E0F" w:rsidP="00D96FCD">
      <w:pPr>
        <w:rPr>
          <w:sz w:val="26"/>
          <w:szCs w:val="26"/>
        </w:rPr>
      </w:pPr>
    </w:p>
    <w:p w14:paraId="61AE1BFE" w14:textId="0E7804B3" w:rsidR="0050041B" w:rsidRDefault="0050041B" w:rsidP="00D96FCD">
      <w:pPr>
        <w:rPr>
          <w:sz w:val="26"/>
          <w:szCs w:val="26"/>
        </w:rPr>
      </w:pPr>
    </w:p>
    <w:p w14:paraId="6F74C878" w14:textId="77777777" w:rsidR="00D71F56" w:rsidRPr="001546FF" w:rsidRDefault="00D71F56" w:rsidP="00D96FCD"/>
    <w:p w14:paraId="70162B6C" w14:textId="3BB0C724" w:rsidR="00B63E0F" w:rsidRPr="001546FF" w:rsidRDefault="00D71F56" w:rsidP="001546FF">
      <w:pPr>
        <w:rPr>
          <w:color w:val="000000"/>
        </w:rPr>
      </w:pPr>
      <w:bookmarkStart w:id="4" w:name="OLE_LINK7"/>
      <w:bookmarkStart w:id="5" w:name="OLE_LINK8"/>
      <w:bookmarkStart w:id="6" w:name="OLE_LINK9"/>
      <w:bookmarkStart w:id="7" w:name="OLE_LINK12"/>
      <w:bookmarkStart w:id="8" w:name="OLE_LINK13"/>
      <w:r w:rsidRPr="001546FF">
        <w:rPr>
          <w:color w:val="000000"/>
        </w:rPr>
        <w:t>Boločko</w:t>
      </w:r>
      <w:r w:rsidR="00B63E0F" w:rsidRPr="001546FF">
        <w:rPr>
          <w:color w:val="000000"/>
        </w:rPr>
        <w:t xml:space="preserve"> </w:t>
      </w:r>
      <w:r w:rsidR="0050041B" w:rsidRPr="001546FF">
        <w:rPr>
          <w:color w:val="000000"/>
        </w:rPr>
        <w:t>67290</w:t>
      </w:r>
      <w:r w:rsidRPr="001546FF">
        <w:rPr>
          <w:color w:val="000000"/>
        </w:rPr>
        <w:t>283</w:t>
      </w:r>
    </w:p>
    <w:p w14:paraId="3ABB19F8" w14:textId="0E5A6A9F" w:rsidR="0050041B" w:rsidRPr="00FC1D98" w:rsidRDefault="00D71F56" w:rsidP="001546FF">
      <w:pPr>
        <w:rPr>
          <w:sz w:val="20"/>
          <w:szCs w:val="20"/>
        </w:rPr>
      </w:pPr>
      <w:r w:rsidRPr="001546FF">
        <w:rPr>
          <w:color w:val="000000"/>
        </w:rPr>
        <w:t>kristina.bolocko</w:t>
      </w:r>
      <w:r w:rsidR="0050041B" w:rsidRPr="001546FF">
        <w:rPr>
          <w:color w:val="000000"/>
        </w:rPr>
        <w:t>@ievp.gov.l</w:t>
      </w:r>
      <w:bookmarkEnd w:id="4"/>
      <w:bookmarkEnd w:id="5"/>
      <w:bookmarkEnd w:id="6"/>
      <w:bookmarkEnd w:id="7"/>
      <w:bookmarkEnd w:id="8"/>
      <w:r w:rsidR="00050CDF">
        <w:rPr>
          <w:color w:val="000000"/>
        </w:rPr>
        <w:t>v</w:t>
      </w:r>
    </w:p>
    <w:sectPr w:rsidR="0050041B" w:rsidRPr="00FC1D98" w:rsidSect="002045C3">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01455" w14:textId="77777777" w:rsidR="00143B67" w:rsidRDefault="00143B67" w:rsidP="00123E9B">
      <w:r>
        <w:separator/>
      </w:r>
    </w:p>
  </w:endnote>
  <w:endnote w:type="continuationSeparator" w:id="0">
    <w:p w14:paraId="22D3DF1C" w14:textId="77777777" w:rsidR="00143B67" w:rsidRDefault="00143B67"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1BA54" w14:textId="4AB8974D" w:rsidR="0050041B" w:rsidRDefault="0050041B" w:rsidP="003445D4">
    <w:pPr>
      <w:jc w:val="both"/>
    </w:pPr>
    <w:r w:rsidRPr="00D618ED">
      <w:rPr>
        <w:sz w:val="20"/>
        <w:szCs w:val="20"/>
      </w:rPr>
      <w:t>TMAnot_</w:t>
    </w:r>
    <w:r w:rsidR="00DF084D">
      <w:rPr>
        <w:sz w:val="20"/>
        <w:szCs w:val="20"/>
      </w:rPr>
      <w:t>1</w:t>
    </w:r>
    <w:r w:rsidR="001E0E19">
      <w:rPr>
        <w:sz w:val="20"/>
        <w:szCs w:val="20"/>
      </w:rPr>
      <w:t>7</w:t>
    </w:r>
    <w:r w:rsidR="00DF084D">
      <w:rPr>
        <w:sz w:val="20"/>
        <w:szCs w:val="20"/>
      </w:rPr>
      <w:t>05</w:t>
    </w:r>
    <w:r w:rsidR="00FC1D98">
      <w:rPr>
        <w:sz w:val="20"/>
        <w:szCs w:val="20"/>
      </w:rPr>
      <w:t>17</w:t>
    </w:r>
    <w:r w:rsidRPr="00D618ED">
      <w:rPr>
        <w:sz w:val="20"/>
        <w:szCs w:val="20"/>
      </w:rPr>
      <w:t>_finlidz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EB416" w14:textId="375AF023" w:rsidR="0050041B" w:rsidRPr="00FC1D98" w:rsidRDefault="00FC1D98" w:rsidP="00FC1D98">
    <w:pPr>
      <w:jc w:val="both"/>
    </w:pPr>
    <w:r w:rsidRPr="00D618ED">
      <w:rPr>
        <w:sz w:val="20"/>
        <w:szCs w:val="20"/>
      </w:rPr>
      <w:t>TMAnot_</w:t>
    </w:r>
    <w:r w:rsidR="00DF084D">
      <w:rPr>
        <w:sz w:val="20"/>
        <w:szCs w:val="20"/>
      </w:rPr>
      <w:t>1</w:t>
    </w:r>
    <w:r w:rsidR="001E0E19">
      <w:rPr>
        <w:sz w:val="20"/>
        <w:szCs w:val="20"/>
      </w:rPr>
      <w:t>7</w:t>
    </w:r>
    <w:r w:rsidR="00DF084D">
      <w:rPr>
        <w:sz w:val="20"/>
        <w:szCs w:val="20"/>
      </w:rPr>
      <w:t>05</w:t>
    </w:r>
    <w:r>
      <w:rPr>
        <w:sz w:val="20"/>
        <w:szCs w:val="20"/>
      </w:rPr>
      <w:t>17</w:t>
    </w:r>
    <w:r w:rsidRPr="00D618ED">
      <w:rPr>
        <w:sz w:val="20"/>
        <w:szCs w:val="20"/>
      </w:rPr>
      <w:t>_finlidz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A542A" w14:textId="77777777" w:rsidR="00143B67" w:rsidRDefault="00143B67" w:rsidP="00123E9B">
      <w:r>
        <w:separator/>
      </w:r>
    </w:p>
  </w:footnote>
  <w:footnote w:type="continuationSeparator" w:id="0">
    <w:p w14:paraId="76149C8C" w14:textId="77777777" w:rsidR="00143B67" w:rsidRDefault="00143B67"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D71FA" w14:textId="30889912" w:rsidR="0050041B" w:rsidRDefault="002E7C5C">
    <w:pPr>
      <w:pStyle w:val="Header"/>
      <w:jc w:val="center"/>
    </w:pPr>
    <w:r>
      <w:fldChar w:fldCharType="begin"/>
    </w:r>
    <w:r>
      <w:instrText xml:space="preserve"> PAGE   \* MERGEFORMAT </w:instrText>
    </w:r>
    <w:r>
      <w:fldChar w:fldCharType="separate"/>
    </w:r>
    <w:r w:rsidR="001E0E19">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30C21"/>
    <w:multiLevelType w:val="hybridMultilevel"/>
    <w:tmpl w:val="386A8BC4"/>
    <w:lvl w:ilvl="0" w:tplc="F4EA5F52">
      <w:start w:val="97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467007E"/>
    <w:multiLevelType w:val="hybridMultilevel"/>
    <w:tmpl w:val="0F601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336D55"/>
    <w:multiLevelType w:val="hybridMultilevel"/>
    <w:tmpl w:val="E9A632B6"/>
    <w:lvl w:ilvl="0" w:tplc="08AE7862">
      <w:start w:val="1"/>
      <w:numFmt w:val="decimal"/>
      <w:lvlText w:val="%1)"/>
      <w:lvlJc w:val="left"/>
      <w:pPr>
        <w:ind w:left="506" w:hanging="435"/>
      </w:pPr>
      <w:rPr>
        <w:rFonts w:cs="Times New Roman" w:hint="default"/>
      </w:rPr>
    </w:lvl>
    <w:lvl w:ilvl="1" w:tplc="04260019" w:tentative="1">
      <w:start w:val="1"/>
      <w:numFmt w:val="lowerLetter"/>
      <w:lvlText w:val="%2."/>
      <w:lvlJc w:val="left"/>
      <w:pPr>
        <w:ind w:left="1151" w:hanging="360"/>
      </w:pPr>
      <w:rPr>
        <w:rFonts w:cs="Times New Roman"/>
      </w:rPr>
    </w:lvl>
    <w:lvl w:ilvl="2" w:tplc="0426001B" w:tentative="1">
      <w:start w:val="1"/>
      <w:numFmt w:val="lowerRoman"/>
      <w:lvlText w:val="%3."/>
      <w:lvlJc w:val="right"/>
      <w:pPr>
        <w:ind w:left="1871" w:hanging="180"/>
      </w:pPr>
      <w:rPr>
        <w:rFonts w:cs="Times New Roman"/>
      </w:rPr>
    </w:lvl>
    <w:lvl w:ilvl="3" w:tplc="0426000F" w:tentative="1">
      <w:start w:val="1"/>
      <w:numFmt w:val="decimal"/>
      <w:lvlText w:val="%4."/>
      <w:lvlJc w:val="left"/>
      <w:pPr>
        <w:ind w:left="2591" w:hanging="360"/>
      </w:pPr>
      <w:rPr>
        <w:rFonts w:cs="Times New Roman"/>
      </w:rPr>
    </w:lvl>
    <w:lvl w:ilvl="4" w:tplc="04260019" w:tentative="1">
      <w:start w:val="1"/>
      <w:numFmt w:val="lowerLetter"/>
      <w:lvlText w:val="%5."/>
      <w:lvlJc w:val="left"/>
      <w:pPr>
        <w:ind w:left="3311" w:hanging="360"/>
      </w:pPr>
      <w:rPr>
        <w:rFonts w:cs="Times New Roman"/>
      </w:rPr>
    </w:lvl>
    <w:lvl w:ilvl="5" w:tplc="0426001B" w:tentative="1">
      <w:start w:val="1"/>
      <w:numFmt w:val="lowerRoman"/>
      <w:lvlText w:val="%6."/>
      <w:lvlJc w:val="right"/>
      <w:pPr>
        <w:ind w:left="4031" w:hanging="180"/>
      </w:pPr>
      <w:rPr>
        <w:rFonts w:cs="Times New Roman"/>
      </w:rPr>
    </w:lvl>
    <w:lvl w:ilvl="6" w:tplc="0426000F" w:tentative="1">
      <w:start w:val="1"/>
      <w:numFmt w:val="decimal"/>
      <w:lvlText w:val="%7."/>
      <w:lvlJc w:val="left"/>
      <w:pPr>
        <w:ind w:left="4751" w:hanging="360"/>
      </w:pPr>
      <w:rPr>
        <w:rFonts w:cs="Times New Roman"/>
      </w:rPr>
    </w:lvl>
    <w:lvl w:ilvl="7" w:tplc="04260019" w:tentative="1">
      <w:start w:val="1"/>
      <w:numFmt w:val="lowerLetter"/>
      <w:lvlText w:val="%8."/>
      <w:lvlJc w:val="left"/>
      <w:pPr>
        <w:ind w:left="5471" w:hanging="360"/>
      </w:pPr>
      <w:rPr>
        <w:rFonts w:cs="Times New Roman"/>
      </w:rPr>
    </w:lvl>
    <w:lvl w:ilvl="8" w:tplc="0426001B" w:tentative="1">
      <w:start w:val="1"/>
      <w:numFmt w:val="lowerRoman"/>
      <w:lvlText w:val="%9."/>
      <w:lvlJc w:val="right"/>
      <w:pPr>
        <w:ind w:left="6191" w:hanging="180"/>
      </w:pPr>
      <w:rPr>
        <w:rFonts w:cs="Times New Roman"/>
      </w:rPr>
    </w:lvl>
  </w:abstractNum>
  <w:abstractNum w:abstractNumId="3" w15:restartNumberingAfterBreak="0">
    <w:nsid w:val="58E63E71"/>
    <w:multiLevelType w:val="multilevel"/>
    <w:tmpl w:val="9EAA6DE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4" w15:restartNumberingAfterBreak="0">
    <w:nsid w:val="5B9E0AED"/>
    <w:multiLevelType w:val="multilevel"/>
    <w:tmpl w:val="67ACC9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69FB0309"/>
    <w:multiLevelType w:val="hybridMultilevel"/>
    <w:tmpl w:val="ED3C9D54"/>
    <w:lvl w:ilvl="0" w:tplc="A9A6E8A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72840F2D"/>
    <w:multiLevelType w:val="hybridMultilevel"/>
    <w:tmpl w:val="E708C052"/>
    <w:lvl w:ilvl="0" w:tplc="4EAC75B4">
      <w:start w:val="97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CD"/>
    <w:rsid w:val="00000DEA"/>
    <w:rsid w:val="00003ECC"/>
    <w:rsid w:val="0000524B"/>
    <w:rsid w:val="00010590"/>
    <w:rsid w:val="00012EAE"/>
    <w:rsid w:val="00015833"/>
    <w:rsid w:val="00020CBF"/>
    <w:rsid w:val="0002374A"/>
    <w:rsid w:val="00033013"/>
    <w:rsid w:val="0003640B"/>
    <w:rsid w:val="00037B73"/>
    <w:rsid w:val="0004297E"/>
    <w:rsid w:val="00043F62"/>
    <w:rsid w:val="000463C5"/>
    <w:rsid w:val="000463EE"/>
    <w:rsid w:val="00046CDE"/>
    <w:rsid w:val="00047FE8"/>
    <w:rsid w:val="00050CDF"/>
    <w:rsid w:val="000550AE"/>
    <w:rsid w:val="00061F2A"/>
    <w:rsid w:val="00062FE3"/>
    <w:rsid w:val="000643E9"/>
    <w:rsid w:val="0006651A"/>
    <w:rsid w:val="00072B98"/>
    <w:rsid w:val="00073763"/>
    <w:rsid w:val="00074B8C"/>
    <w:rsid w:val="000849C2"/>
    <w:rsid w:val="00087559"/>
    <w:rsid w:val="00092F8C"/>
    <w:rsid w:val="000934D5"/>
    <w:rsid w:val="000A43FD"/>
    <w:rsid w:val="000A4403"/>
    <w:rsid w:val="000B0E68"/>
    <w:rsid w:val="000B3B3C"/>
    <w:rsid w:val="000B5244"/>
    <w:rsid w:val="000B5269"/>
    <w:rsid w:val="000B62DB"/>
    <w:rsid w:val="000C0BAF"/>
    <w:rsid w:val="000E3B94"/>
    <w:rsid w:val="000E3EAE"/>
    <w:rsid w:val="000E5FDF"/>
    <w:rsid w:val="000E6393"/>
    <w:rsid w:val="00113501"/>
    <w:rsid w:val="00114FCF"/>
    <w:rsid w:val="00116669"/>
    <w:rsid w:val="0012347A"/>
    <w:rsid w:val="00123E9B"/>
    <w:rsid w:val="001244A7"/>
    <w:rsid w:val="001266F4"/>
    <w:rsid w:val="0012791B"/>
    <w:rsid w:val="00131A15"/>
    <w:rsid w:val="00132D10"/>
    <w:rsid w:val="001413A9"/>
    <w:rsid w:val="001415BB"/>
    <w:rsid w:val="00143B67"/>
    <w:rsid w:val="00147D9A"/>
    <w:rsid w:val="001546FF"/>
    <w:rsid w:val="00170645"/>
    <w:rsid w:val="001720A2"/>
    <w:rsid w:val="00175A7C"/>
    <w:rsid w:val="001807FB"/>
    <w:rsid w:val="00181D00"/>
    <w:rsid w:val="001824F8"/>
    <w:rsid w:val="00182861"/>
    <w:rsid w:val="0018329D"/>
    <w:rsid w:val="001862C5"/>
    <w:rsid w:val="00186804"/>
    <w:rsid w:val="00186DF5"/>
    <w:rsid w:val="001904B3"/>
    <w:rsid w:val="00194A0F"/>
    <w:rsid w:val="00195B8B"/>
    <w:rsid w:val="001A5275"/>
    <w:rsid w:val="001A6E9C"/>
    <w:rsid w:val="001B08CD"/>
    <w:rsid w:val="001B2A04"/>
    <w:rsid w:val="001B32BB"/>
    <w:rsid w:val="001C15CD"/>
    <w:rsid w:val="001C60B1"/>
    <w:rsid w:val="001D65E2"/>
    <w:rsid w:val="001D7C74"/>
    <w:rsid w:val="001E0DBE"/>
    <w:rsid w:val="001E0E19"/>
    <w:rsid w:val="001E707B"/>
    <w:rsid w:val="002005CA"/>
    <w:rsid w:val="0020083C"/>
    <w:rsid w:val="002045C3"/>
    <w:rsid w:val="002054CB"/>
    <w:rsid w:val="0020671F"/>
    <w:rsid w:val="002075E2"/>
    <w:rsid w:val="002143D3"/>
    <w:rsid w:val="0021458D"/>
    <w:rsid w:val="0022444A"/>
    <w:rsid w:val="00244B4B"/>
    <w:rsid w:val="00247A2E"/>
    <w:rsid w:val="0025212A"/>
    <w:rsid w:val="00255ECC"/>
    <w:rsid w:val="002637C0"/>
    <w:rsid w:val="00264277"/>
    <w:rsid w:val="00270E39"/>
    <w:rsid w:val="00272248"/>
    <w:rsid w:val="00281ADC"/>
    <w:rsid w:val="00284DB0"/>
    <w:rsid w:val="0028791A"/>
    <w:rsid w:val="0029434D"/>
    <w:rsid w:val="00295345"/>
    <w:rsid w:val="002A0C94"/>
    <w:rsid w:val="002B47A4"/>
    <w:rsid w:val="002B54F6"/>
    <w:rsid w:val="002C3A99"/>
    <w:rsid w:val="002D50C7"/>
    <w:rsid w:val="002E011D"/>
    <w:rsid w:val="002E0592"/>
    <w:rsid w:val="002E1782"/>
    <w:rsid w:val="002E22C2"/>
    <w:rsid w:val="002E7C5C"/>
    <w:rsid w:val="0030111D"/>
    <w:rsid w:val="0030752F"/>
    <w:rsid w:val="003110C0"/>
    <w:rsid w:val="00311B41"/>
    <w:rsid w:val="003135BA"/>
    <w:rsid w:val="00320B78"/>
    <w:rsid w:val="0032217C"/>
    <w:rsid w:val="00326649"/>
    <w:rsid w:val="00326FFD"/>
    <w:rsid w:val="003274FB"/>
    <w:rsid w:val="003445D4"/>
    <w:rsid w:val="00357A2C"/>
    <w:rsid w:val="003609C7"/>
    <w:rsid w:val="003637A7"/>
    <w:rsid w:val="003859C0"/>
    <w:rsid w:val="003906FF"/>
    <w:rsid w:val="003A193D"/>
    <w:rsid w:val="003A53CA"/>
    <w:rsid w:val="003A6F5B"/>
    <w:rsid w:val="003B465C"/>
    <w:rsid w:val="003C5A67"/>
    <w:rsid w:val="003D1F1A"/>
    <w:rsid w:val="003E4B5C"/>
    <w:rsid w:val="003E7BA3"/>
    <w:rsid w:val="003F43C8"/>
    <w:rsid w:val="003F52B5"/>
    <w:rsid w:val="003F6B90"/>
    <w:rsid w:val="003F786B"/>
    <w:rsid w:val="00411BEC"/>
    <w:rsid w:val="00411CF0"/>
    <w:rsid w:val="00413472"/>
    <w:rsid w:val="00417264"/>
    <w:rsid w:val="00427760"/>
    <w:rsid w:val="00436DBB"/>
    <w:rsid w:val="00441B1D"/>
    <w:rsid w:val="00453435"/>
    <w:rsid w:val="004542A1"/>
    <w:rsid w:val="004560F5"/>
    <w:rsid w:val="004638B0"/>
    <w:rsid w:val="00463BE0"/>
    <w:rsid w:val="00466615"/>
    <w:rsid w:val="00476508"/>
    <w:rsid w:val="004804CE"/>
    <w:rsid w:val="0048505B"/>
    <w:rsid w:val="004940B7"/>
    <w:rsid w:val="004A3598"/>
    <w:rsid w:val="004B617C"/>
    <w:rsid w:val="004D27E4"/>
    <w:rsid w:val="004E09E3"/>
    <w:rsid w:val="004E5556"/>
    <w:rsid w:val="004E5F79"/>
    <w:rsid w:val="004E7946"/>
    <w:rsid w:val="004F1142"/>
    <w:rsid w:val="0050041B"/>
    <w:rsid w:val="00504146"/>
    <w:rsid w:val="00507926"/>
    <w:rsid w:val="00507A3D"/>
    <w:rsid w:val="00512312"/>
    <w:rsid w:val="00533E79"/>
    <w:rsid w:val="00537452"/>
    <w:rsid w:val="0054282E"/>
    <w:rsid w:val="00554FF6"/>
    <w:rsid w:val="00557AFB"/>
    <w:rsid w:val="00562C13"/>
    <w:rsid w:val="00565777"/>
    <w:rsid w:val="00572783"/>
    <w:rsid w:val="005806A8"/>
    <w:rsid w:val="00582122"/>
    <w:rsid w:val="00585B7B"/>
    <w:rsid w:val="00587516"/>
    <w:rsid w:val="00587C74"/>
    <w:rsid w:val="00590DD0"/>
    <w:rsid w:val="0059354C"/>
    <w:rsid w:val="005A02DC"/>
    <w:rsid w:val="005A0F2E"/>
    <w:rsid w:val="005A7608"/>
    <w:rsid w:val="005B0542"/>
    <w:rsid w:val="005C1641"/>
    <w:rsid w:val="005C278A"/>
    <w:rsid w:val="005C603C"/>
    <w:rsid w:val="005D1FD0"/>
    <w:rsid w:val="005D4A0C"/>
    <w:rsid w:val="005D6B8A"/>
    <w:rsid w:val="005E3BA9"/>
    <w:rsid w:val="005E5888"/>
    <w:rsid w:val="005E5F2D"/>
    <w:rsid w:val="005F75D7"/>
    <w:rsid w:val="00601A60"/>
    <w:rsid w:val="00602DD8"/>
    <w:rsid w:val="006121B4"/>
    <w:rsid w:val="00615FD8"/>
    <w:rsid w:val="00616477"/>
    <w:rsid w:val="0062334B"/>
    <w:rsid w:val="006307C1"/>
    <w:rsid w:val="00632DCB"/>
    <w:rsid w:val="006337E8"/>
    <w:rsid w:val="00634A70"/>
    <w:rsid w:val="00654274"/>
    <w:rsid w:val="0065692E"/>
    <w:rsid w:val="0066269C"/>
    <w:rsid w:val="00664D47"/>
    <w:rsid w:val="0067139C"/>
    <w:rsid w:val="00672B93"/>
    <w:rsid w:val="00676573"/>
    <w:rsid w:val="00677842"/>
    <w:rsid w:val="006806DE"/>
    <w:rsid w:val="00684A2E"/>
    <w:rsid w:val="00685380"/>
    <w:rsid w:val="00685F11"/>
    <w:rsid w:val="00691229"/>
    <w:rsid w:val="00693E2C"/>
    <w:rsid w:val="006A0C69"/>
    <w:rsid w:val="006A20B2"/>
    <w:rsid w:val="006A26DA"/>
    <w:rsid w:val="006A5B29"/>
    <w:rsid w:val="006A7A10"/>
    <w:rsid w:val="006B0228"/>
    <w:rsid w:val="006B1961"/>
    <w:rsid w:val="006B232C"/>
    <w:rsid w:val="006B7F4D"/>
    <w:rsid w:val="006D2B57"/>
    <w:rsid w:val="006D512D"/>
    <w:rsid w:val="006D5A81"/>
    <w:rsid w:val="006D6987"/>
    <w:rsid w:val="006D6BB4"/>
    <w:rsid w:val="006D759A"/>
    <w:rsid w:val="006E2710"/>
    <w:rsid w:val="006E6160"/>
    <w:rsid w:val="006E6910"/>
    <w:rsid w:val="006E69BE"/>
    <w:rsid w:val="006E707D"/>
    <w:rsid w:val="006E768C"/>
    <w:rsid w:val="006F3DD2"/>
    <w:rsid w:val="00701770"/>
    <w:rsid w:val="00714715"/>
    <w:rsid w:val="007148EC"/>
    <w:rsid w:val="007213F1"/>
    <w:rsid w:val="00721DCE"/>
    <w:rsid w:val="0072336C"/>
    <w:rsid w:val="00724D9B"/>
    <w:rsid w:val="00734AD8"/>
    <w:rsid w:val="0075045D"/>
    <w:rsid w:val="00751377"/>
    <w:rsid w:val="00760003"/>
    <w:rsid w:val="00764081"/>
    <w:rsid w:val="00767D86"/>
    <w:rsid w:val="00775647"/>
    <w:rsid w:val="00776EE1"/>
    <w:rsid w:val="007774A9"/>
    <w:rsid w:val="00782822"/>
    <w:rsid w:val="00782A74"/>
    <w:rsid w:val="0078305D"/>
    <w:rsid w:val="0079317A"/>
    <w:rsid w:val="007A59EE"/>
    <w:rsid w:val="007A7E67"/>
    <w:rsid w:val="007C0F2C"/>
    <w:rsid w:val="007C1B3B"/>
    <w:rsid w:val="007C231C"/>
    <w:rsid w:val="007C5877"/>
    <w:rsid w:val="007C61BE"/>
    <w:rsid w:val="007C7B04"/>
    <w:rsid w:val="007D3018"/>
    <w:rsid w:val="007D5F4E"/>
    <w:rsid w:val="007E3D8E"/>
    <w:rsid w:val="007E735A"/>
    <w:rsid w:val="007F1F1C"/>
    <w:rsid w:val="00802F91"/>
    <w:rsid w:val="00804B8C"/>
    <w:rsid w:val="00812F9B"/>
    <w:rsid w:val="00814F60"/>
    <w:rsid w:val="0082231A"/>
    <w:rsid w:val="00830859"/>
    <w:rsid w:val="00831A72"/>
    <w:rsid w:val="00833D7A"/>
    <w:rsid w:val="00836FD4"/>
    <w:rsid w:val="0084066D"/>
    <w:rsid w:val="00842544"/>
    <w:rsid w:val="00844660"/>
    <w:rsid w:val="0085017D"/>
    <w:rsid w:val="00853AEA"/>
    <w:rsid w:val="008555C3"/>
    <w:rsid w:val="00860244"/>
    <w:rsid w:val="008741C1"/>
    <w:rsid w:val="00874BA2"/>
    <w:rsid w:val="008816A5"/>
    <w:rsid w:val="00891896"/>
    <w:rsid w:val="00892CEB"/>
    <w:rsid w:val="00892DC2"/>
    <w:rsid w:val="008940C1"/>
    <w:rsid w:val="00897F2A"/>
    <w:rsid w:val="008A13D1"/>
    <w:rsid w:val="008A60A4"/>
    <w:rsid w:val="008A742C"/>
    <w:rsid w:val="008B0719"/>
    <w:rsid w:val="008B0796"/>
    <w:rsid w:val="008B1ED9"/>
    <w:rsid w:val="008B21BB"/>
    <w:rsid w:val="008B53EA"/>
    <w:rsid w:val="008B56B7"/>
    <w:rsid w:val="008B5D8D"/>
    <w:rsid w:val="008B5F7C"/>
    <w:rsid w:val="008C28CD"/>
    <w:rsid w:val="008C2A23"/>
    <w:rsid w:val="008C584D"/>
    <w:rsid w:val="008D28DE"/>
    <w:rsid w:val="008D7D52"/>
    <w:rsid w:val="008E5530"/>
    <w:rsid w:val="008E5C3F"/>
    <w:rsid w:val="008F1BF3"/>
    <w:rsid w:val="008F245F"/>
    <w:rsid w:val="008F3420"/>
    <w:rsid w:val="00901B63"/>
    <w:rsid w:val="00902E9F"/>
    <w:rsid w:val="00903F17"/>
    <w:rsid w:val="00907E6F"/>
    <w:rsid w:val="00910FB5"/>
    <w:rsid w:val="009122A7"/>
    <w:rsid w:val="00913388"/>
    <w:rsid w:val="00917CC0"/>
    <w:rsid w:val="00920AFE"/>
    <w:rsid w:val="009254BE"/>
    <w:rsid w:val="009258B9"/>
    <w:rsid w:val="00926C82"/>
    <w:rsid w:val="00931439"/>
    <w:rsid w:val="009343C2"/>
    <w:rsid w:val="0093475E"/>
    <w:rsid w:val="00934BFC"/>
    <w:rsid w:val="00936C20"/>
    <w:rsid w:val="00936D6C"/>
    <w:rsid w:val="00942F42"/>
    <w:rsid w:val="00943700"/>
    <w:rsid w:val="00944333"/>
    <w:rsid w:val="00944C83"/>
    <w:rsid w:val="00947B39"/>
    <w:rsid w:val="00951D4C"/>
    <w:rsid w:val="009547CC"/>
    <w:rsid w:val="00957114"/>
    <w:rsid w:val="009575C4"/>
    <w:rsid w:val="0096349F"/>
    <w:rsid w:val="009651B0"/>
    <w:rsid w:val="00971BF0"/>
    <w:rsid w:val="00972885"/>
    <w:rsid w:val="00984604"/>
    <w:rsid w:val="00995D97"/>
    <w:rsid w:val="009A12A5"/>
    <w:rsid w:val="009A28E1"/>
    <w:rsid w:val="009A352D"/>
    <w:rsid w:val="009B4A4A"/>
    <w:rsid w:val="009B7D10"/>
    <w:rsid w:val="009D3CF6"/>
    <w:rsid w:val="009D48C8"/>
    <w:rsid w:val="009E4529"/>
    <w:rsid w:val="009F1F89"/>
    <w:rsid w:val="009F38CD"/>
    <w:rsid w:val="009F41FE"/>
    <w:rsid w:val="009F5B27"/>
    <w:rsid w:val="00A02019"/>
    <w:rsid w:val="00A07318"/>
    <w:rsid w:val="00A1535C"/>
    <w:rsid w:val="00A208FB"/>
    <w:rsid w:val="00A3032A"/>
    <w:rsid w:val="00A3516D"/>
    <w:rsid w:val="00A41AFD"/>
    <w:rsid w:val="00A54ECB"/>
    <w:rsid w:val="00A739AB"/>
    <w:rsid w:val="00A7512F"/>
    <w:rsid w:val="00A819E9"/>
    <w:rsid w:val="00A9377C"/>
    <w:rsid w:val="00A9391C"/>
    <w:rsid w:val="00A961C9"/>
    <w:rsid w:val="00AA0527"/>
    <w:rsid w:val="00AB5241"/>
    <w:rsid w:val="00AC0D88"/>
    <w:rsid w:val="00AD1E01"/>
    <w:rsid w:val="00AD3C05"/>
    <w:rsid w:val="00AD4970"/>
    <w:rsid w:val="00AD5981"/>
    <w:rsid w:val="00AE38F5"/>
    <w:rsid w:val="00AE5461"/>
    <w:rsid w:val="00AF07DF"/>
    <w:rsid w:val="00AF17D4"/>
    <w:rsid w:val="00AF5EAE"/>
    <w:rsid w:val="00AF6F9D"/>
    <w:rsid w:val="00B03742"/>
    <w:rsid w:val="00B10B0B"/>
    <w:rsid w:val="00B144F0"/>
    <w:rsid w:val="00B15262"/>
    <w:rsid w:val="00B336D8"/>
    <w:rsid w:val="00B35FB9"/>
    <w:rsid w:val="00B411EC"/>
    <w:rsid w:val="00B42A40"/>
    <w:rsid w:val="00B56449"/>
    <w:rsid w:val="00B63E0F"/>
    <w:rsid w:val="00B64CA1"/>
    <w:rsid w:val="00B73495"/>
    <w:rsid w:val="00B73E1E"/>
    <w:rsid w:val="00B80F22"/>
    <w:rsid w:val="00B91195"/>
    <w:rsid w:val="00B93135"/>
    <w:rsid w:val="00B97591"/>
    <w:rsid w:val="00BA2560"/>
    <w:rsid w:val="00BA57F2"/>
    <w:rsid w:val="00BA71DA"/>
    <w:rsid w:val="00BB302C"/>
    <w:rsid w:val="00BB61E2"/>
    <w:rsid w:val="00BC3708"/>
    <w:rsid w:val="00BE0634"/>
    <w:rsid w:val="00BF0C10"/>
    <w:rsid w:val="00BF4049"/>
    <w:rsid w:val="00BF7C57"/>
    <w:rsid w:val="00C02C3E"/>
    <w:rsid w:val="00C1170F"/>
    <w:rsid w:val="00C2483B"/>
    <w:rsid w:val="00C31C0D"/>
    <w:rsid w:val="00C36049"/>
    <w:rsid w:val="00C44832"/>
    <w:rsid w:val="00C47C33"/>
    <w:rsid w:val="00C54FEB"/>
    <w:rsid w:val="00C55762"/>
    <w:rsid w:val="00C56C0E"/>
    <w:rsid w:val="00C624D8"/>
    <w:rsid w:val="00C7786E"/>
    <w:rsid w:val="00C805A0"/>
    <w:rsid w:val="00C80A73"/>
    <w:rsid w:val="00C92FD7"/>
    <w:rsid w:val="00C946D9"/>
    <w:rsid w:val="00C94CAC"/>
    <w:rsid w:val="00C9721C"/>
    <w:rsid w:val="00CA6985"/>
    <w:rsid w:val="00CA7E7C"/>
    <w:rsid w:val="00CB483C"/>
    <w:rsid w:val="00CB7A72"/>
    <w:rsid w:val="00CC63A3"/>
    <w:rsid w:val="00CC6B8A"/>
    <w:rsid w:val="00CD7C93"/>
    <w:rsid w:val="00CE1539"/>
    <w:rsid w:val="00CE1A38"/>
    <w:rsid w:val="00CE2B81"/>
    <w:rsid w:val="00CF2EB0"/>
    <w:rsid w:val="00CF4589"/>
    <w:rsid w:val="00CF465D"/>
    <w:rsid w:val="00CF4BA9"/>
    <w:rsid w:val="00D16479"/>
    <w:rsid w:val="00D17A1A"/>
    <w:rsid w:val="00D2330F"/>
    <w:rsid w:val="00D323CD"/>
    <w:rsid w:val="00D33A20"/>
    <w:rsid w:val="00D34CD2"/>
    <w:rsid w:val="00D505DE"/>
    <w:rsid w:val="00D51348"/>
    <w:rsid w:val="00D51380"/>
    <w:rsid w:val="00D618ED"/>
    <w:rsid w:val="00D62441"/>
    <w:rsid w:val="00D71F56"/>
    <w:rsid w:val="00D75260"/>
    <w:rsid w:val="00D80756"/>
    <w:rsid w:val="00D82AE2"/>
    <w:rsid w:val="00D96381"/>
    <w:rsid w:val="00D96FCD"/>
    <w:rsid w:val="00DA30DA"/>
    <w:rsid w:val="00DA3291"/>
    <w:rsid w:val="00DA36BA"/>
    <w:rsid w:val="00DA452C"/>
    <w:rsid w:val="00DB6BB3"/>
    <w:rsid w:val="00DC11F3"/>
    <w:rsid w:val="00DC4DFE"/>
    <w:rsid w:val="00DC5E40"/>
    <w:rsid w:val="00DC7BFF"/>
    <w:rsid w:val="00DF084D"/>
    <w:rsid w:val="00DF44D5"/>
    <w:rsid w:val="00E01C03"/>
    <w:rsid w:val="00E05B96"/>
    <w:rsid w:val="00E1182B"/>
    <w:rsid w:val="00E15E97"/>
    <w:rsid w:val="00E167E0"/>
    <w:rsid w:val="00E16A35"/>
    <w:rsid w:val="00E21B4B"/>
    <w:rsid w:val="00E24FB3"/>
    <w:rsid w:val="00E41CFE"/>
    <w:rsid w:val="00E608C5"/>
    <w:rsid w:val="00E64BB6"/>
    <w:rsid w:val="00E67CEB"/>
    <w:rsid w:val="00E91DF4"/>
    <w:rsid w:val="00E938B9"/>
    <w:rsid w:val="00EA0274"/>
    <w:rsid w:val="00EA1C00"/>
    <w:rsid w:val="00EB1688"/>
    <w:rsid w:val="00EB7D72"/>
    <w:rsid w:val="00EC0598"/>
    <w:rsid w:val="00EC6941"/>
    <w:rsid w:val="00EC7BBC"/>
    <w:rsid w:val="00ED356F"/>
    <w:rsid w:val="00ED4C44"/>
    <w:rsid w:val="00ED6681"/>
    <w:rsid w:val="00EE32E3"/>
    <w:rsid w:val="00EE676B"/>
    <w:rsid w:val="00EE7D3E"/>
    <w:rsid w:val="00F01660"/>
    <w:rsid w:val="00F07935"/>
    <w:rsid w:val="00F07C5D"/>
    <w:rsid w:val="00F1205C"/>
    <w:rsid w:val="00F14651"/>
    <w:rsid w:val="00F220E7"/>
    <w:rsid w:val="00F23778"/>
    <w:rsid w:val="00F25559"/>
    <w:rsid w:val="00F42C04"/>
    <w:rsid w:val="00F43365"/>
    <w:rsid w:val="00F43A06"/>
    <w:rsid w:val="00F46434"/>
    <w:rsid w:val="00F52197"/>
    <w:rsid w:val="00F535A5"/>
    <w:rsid w:val="00F63024"/>
    <w:rsid w:val="00F71637"/>
    <w:rsid w:val="00F83F6E"/>
    <w:rsid w:val="00F863E3"/>
    <w:rsid w:val="00FC0F14"/>
    <w:rsid w:val="00FC0FB1"/>
    <w:rsid w:val="00FC1D98"/>
    <w:rsid w:val="00FC6855"/>
    <w:rsid w:val="00FD4747"/>
    <w:rsid w:val="00FD7331"/>
    <w:rsid w:val="00FE3392"/>
    <w:rsid w:val="00FE3414"/>
    <w:rsid w:val="00FE5E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14:docId w14:val="2338277E"/>
  <w15:docId w15:val="{23E51505-D886-4F79-AA5F-98D18173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uiPriority w:val="99"/>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D96FCD"/>
    <w:rPr>
      <w:rFonts w:ascii="Times New Roman" w:hAnsi="Times New Roman" w:cs="Times New Roman"/>
      <w:sz w:val="20"/>
      <w:szCs w:val="20"/>
      <w:lang w:val="en-US"/>
    </w:rPr>
  </w:style>
  <w:style w:type="paragraph" w:customStyle="1" w:styleId="naisf">
    <w:name w:val="naisf"/>
    <w:basedOn w:val="Normal"/>
    <w:uiPriority w:val="99"/>
    <w:rsid w:val="00D96FCD"/>
    <w:pPr>
      <w:spacing w:before="75" w:after="75"/>
      <w:ind w:firstLine="375"/>
      <w:jc w:val="both"/>
    </w:pPr>
  </w:style>
  <w:style w:type="paragraph" w:customStyle="1" w:styleId="naisnod">
    <w:name w:val="naisnod"/>
    <w:basedOn w:val="Normal"/>
    <w:uiPriority w:val="99"/>
    <w:rsid w:val="00D96FCD"/>
    <w:pPr>
      <w:spacing w:before="150" w:after="150"/>
      <w:jc w:val="center"/>
    </w:pPr>
    <w:rPr>
      <w:b/>
      <w:bCs/>
    </w:rPr>
  </w:style>
  <w:style w:type="paragraph" w:customStyle="1" w:styleId="naiskr">
    <w:name w:val="naiskr"/>
    <w:basedOn w:val="Normal"/>
    <w:uiPriority w:val="99"/>
    <w:rsid w:val="00D96FCD"/>
    <w:pPr>
      <w:spacing w:before="75" w:after="75"/>
    </w:pPr>
  </w:style>
  <w:style w:type="table" w:styleId="TableGrid">
    <w:name w:val="Table Grid"/>
    <w:basedOn w:val="TableNormal"/>
    <w:uiPriority w:val="99"/>
    <w:rsid w:val="00D96FCD"/>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D96FCD"/>
    <w:rPr>
      <w:sz w:val="20"/>
      <w:szCs w:val="20"/>
    </w:rPr>
  </w:style>
  <w:style w:type="character" w:customStyle="1" w:styleId="FootnoteTextChar">
    <w:name w:val="Footnote Text Char"/>
    <w:basedOn w:val="DefaultParagraphFont"/>
    <w:link w:val="FootnoteText"/>
    <w:uiPriority w:val="99"/>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uiPriority w:val="99"/>
    <w:semiHidden/>
    <w:rsid w:val="00D96FCD"/>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96FCD"/>
    <w:rPr>
      <w:rFonts w:ascii="Times New Roman" w:hAnsi="Times New Roman" w:cs="Times New Roman"/>
      <w:sz w:val="24"/>
      <w:szCs w:val="24"/>
      <w:lang w:eastAsia="lv-LV"/>
    </w:rPr>
  </w:style>
  <w:style w:type="paragraph" w:styleId="Header">
    <w:name w:val="header"/>
    <w:basedOn w:val="Normal"/>
    <w:link w:val="HeaderChar"/>
    <w:uiPriority w:val="99"/>
    <w:rsid w:val="00D96FCD"/>
    <w:pPr>
      <w:tabs>
        <w:tab w:val="center" w:pos="4153"/>
        <w:tab w:val="right" w:pos="8306"/>
      </w:tabs>
    </w:pPr>
  </w:style>
  <w:style w:type="character" w:customStyle="1" w:styleId="HeaderChar">
    <w:name w:val="Header Char"/>
    <w:basedOn w:val="DefaultParagraphFont"/>
    <w:link w:val="Header"/>
    <w:uiPriority w:val="99"/>
    <w:locked/>
    <w:rsid w:val="00D96FCD"/>
    <w:rPr>
      <w:rFonts w:ascii="Times New Roman" w:hAnsi="Times New Roman" w:cs="Times New Roman"/>
      <w:sz w:val="24"/>
      <w:szCs w:val="24"/>
      <w:lang w:eastAsia="lv-LV"/>
    </w:rPr>
  </w:style>
  <w:style w:type="paragraph" w:styleId="Footer">
    <w:name w:val="footer"/>
    <w:basedOn w:val="Normal"/>
    <w:link w:val="FooterChar"/>
    <w:uiPriority w:val="99"/>
    <w:rsid w:val="00D96FCD"/>
    <w:pPr>
      <w:tabs>
        <w:tab w:val="center" w:pos="4153"/>
        <w:tab w:val="right" w:pos="8306"/>
      </w:tabs>
    </w:pPr>
  </w:style>
  <w:style w:type="character" w:customStyle="1" w:styleId="FooterChar">
    <w:name w:val="Footer Char"/>
    <w:basedOn w:val="DefaultParagraphFont"/>
    <w:link w:val="Footer"/>
    <w:uiPriority w:val="99"/>
    <w:locked/>
    <w:rsid w:val="00D96FCD"/>
    <w:rPr>
      <w:rFonts w:ascii="Times New Roman" w:hAnsi="Times New Roman" w:cs="Times New Roman"/>
      <w:sz w:val="24"/>
      <w:szCs w:val="24"/>
      <w:lang w:eastAsia="lv-LV"/>
    </w:rPr>
  </w:style>
  <w:style w:type="paragraph" w:styleId="BodyText">
    <w:name w:val="Body Text"/>
    <w:basedOn w:val="Normal"/>
    <w:link w:val="BodyTextChar"/>
    <w:uiPriority w:val="99"/>
    <w:semiHidden/>
    <w:rsid w:val="00D96FCD"/>
    <w:pPr>
      <w:spacing w:after="120"/>
    </w:pPr>
  </w:style>
  <w:style w:type="character" w:customStyle="1" w:styleId="BodyTextChar">
    <w:name w:val="Body Text Char"/>
    <w:basedOn w:val="DefaultParagraphFont"/>
    <w:link w:val="BodyText"/>
    <w:uiPriority w:val="99"/>
    <w:semiHidden/>
    <w:locked/>
    <w:rsid w:val="00D96FCD"/>
    <w:rPr>
      <w:rFonts w:ascii="Times New Roman" w:hAnsi="Times New Roman" w:cs="Times New Roman"/>
      <w:sz w:val="24"/>
      <w:szCs w:val="24"/>
      <w:lang w:eastAsia="lv-LV"/>
    </w:rPr>
  </w:style>
  <w:style w:type="character" w:styleId="Hyperlink">
    <w:name w:val="Hyperlink"/>
    <w:basedOn w:val="DefaultParagraphFont"/>
    <w:uiPriority w:val="99"/>
    <w:rsid w:val="00844660"/>
    <w:rPr>
      <w:rFonts w:cs="Times New Roman"/>
      <w:color w:val="0000FF"/>
      <w:u w:val="single"/>
    </w:rPr>
  </w:style>
  <w:style w:type="character" w:styleId="Emphasis">
    <w:name w:val="Emphasis"/>
    <w:basedOn w:val="DefaultParagraphFont"/>
    <w:uiPriority w:val="99"/>
    <w:qFormat/>
    <w:locked/>
    <w:rsid w:val="003A193D"/>
    <w:rPr>
      <w:rFonts w:cs="Times New Roman"/>
      <w:b/>
      <w:bCs/>
    </w:rPr>
  </w:style>
  <w:style w:type="character" w:customStyle="1" w:styleId="std1">
    <w:name w:val="std1"/>
    <w:basedOn w:val="DefaultParagraphFont"/>
    <w:uiPriority w:val="99"/>
    <w:rsid w:val="003A193D"/>
    <w:rPr>
      <w:rFonts w:ascii="Arial" w:hAnsi="Arial" w:cs="Arial"/>
      <w:sz w:val="24"/>
      <w:szCs w:val="24"/>
    </w:rPr>
  </w:style>
  <w:style w:type="paragraph" w:styleId="BodyText2">
    <w:name w:val="Body Text 2"/>
    <w:basedOn w:val="Normal"/>
    <w:link w:val="BodyText2Char"/>
    <w:uiPriority w:val="99"/>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uiPriority w:val="99"/>
    <w:locked/>
    <w:rsid w:val="00587C74"/>
    <w:rPr>
      <w:rFonts w:ascii="Times New Roman" w:hAnsi="Times New Roman" w:cs="Times New Roman"/>
      <w:sz w:val="24"/>
      <w:szCs w:val="24"/>
      <w:lang w:eastAsia="en-US"/>
    </w:rPr>
  </w:style>
  <w:style w:type="paragraph" w:customStyle="1" w:styleId="H4">
    <w:name w:val="H4"/>
    <w:uiPriority w:val="99"/>
    <w:rsid w:val="00272248"/>
    <w:pPr>
      <w:spacing w:after="120"/>
      <w:jc w:val="center"/>
      <w:outlineLvl w:val="3"/>
    </w:pPr>
    <w:rPr>
      <w:rFonts w:ascii="Times New Roman" w:eastAsia="Times New Roman" w:hAnsi="Times New Roman"/>
      <w:b/>
      <w:sz w:val="28"/>
      <w:szCs w:val="20"/>
      <w:lang w:eastAsia="zh-CN"/>
    </w:rPr>
  </w:style>
  <w:style w:type="paragraph" w:styleId="PlainText">
    <w:name w:val="Plain Text"/>
    <w:basedOn w:val="Normal"/>
    <w:link w:val="PlainTextChar"/>
    <w:uiPriority w:val="99"/>
    <w:rsid w:val="00507926"/>
    <w:rPr>
      <w:rFonts w:ascii="Consolas" w:hAnsi="Consolas"/>
      <w:sz w:val="21"/>
      <w:szCs w:val="21"/>
      <w:lang w:eastAsia="en-US"/>
    </w:rPr>
  </w:style>
  <w:style w:type="character" w:customStyle="1" w:styleId="PlainTextChar">
    <w:name w:val="Plain Text Char"/>
    <w:basedOn w:val="DefaultParagraphFont"/>
    <w:link w:val="PlainText"/>
    <w:uiPriority w:val="99"/>
    <w:locked/>
    <w:rsid w:val="00507926"/>
    <w:rPr>
      <w:rFonts w:ascii="Consolas" w:hAnsi="Consolas" w:cs="Times New Roman"/>
      <w:sz w:val="21"/>
      <w:szCs w:val="21"/>
      <w:lang w:eastAsia="en-US"/>
    </w:rPr>
  </w:style>
  <w:style w:type="character" w:styleId="PageNumber">
    <w:name w:val="page number"/>
    <w:basedOn w:val="DefaultParagraphFont"/>
    <w:uiPriority w:val="99"/>
    <w:rsid w:val="001E0DBE"/>
    <w:rPr>
      <w:rFonts w:cs="Times New Roman"/>
    </w:rPr>
  </w:style>
  <w:style w:type="paragraph" w:styleId="NormalWeb">
    <w:name w:val="Normal (Web)"/>
    <w:basedOn w:val="Normal"/>
    <w:uiPriority w:val="99"/>
    <w:rsid w:val="00A41AFD"/>
    <w:pPr>
      <w:spacing w:before="100" w:beforeAutospacing="1" w:after="100" w:afterAutospacing="1"/>
    </w:pPr>
    <w:rPr>
      <w:rFonts w:ascii="Verdana" w:eastAsia="Times New Roman" w:hAnsi="Verdana"/>
      <w:sz w:val="18"/>
      <w:szCs w:val="18"/>
    </w:rPr>
  </w:style>
  <w:style w:type="character" w:styleId="CommentReference">
    <w:name w:val="annotation reference"/>
    <w:basedOn w:val="DefaultParagraphFont"/>
    <w:uiPriority w:val="99"/>
    <w:rsid w:val="00D618ED"/>
    <w:rPr>
      <w:rFonts w:cs="Times New Roman"/>
      <w:sz w:val="16"/>
      <w:szCs w:val="16"/>
    </w:rPr>
  </w:style>
  <w:style w:type="paragraph" w:styleId="CommentText">
    <w:name w:val="annotation text"/>
    <w:basedOn w:val="Normal"/>
    <w:link w:val="CommentTextChar"/>
    <w:uiPriority w:val="99"/>
    <w:rsid w:val="00D618ED"/>
    <w:rPr>
      <w:sz w:val="20"/>
      <w:szCs w:val="20"/>
    </w:rPr>
  </w:style>
  <w:style w:type="character" w:customStyle="1" w:styleId="CommentTextChar">
    <w:name w:val="Comment Text Char"/>
    <w:basedOn w:val="DefaultParagraphFont"/>
    <w:link w:val="CommentText"/>
    <w:uiPriority w:val="99"/>
    <w:locked/>
    <w:rsid w:val="00D618ED"/>
    <w:rPr>
      <w:rFonts w:ascii="Times New Roman" w:hAnsi="Times New Roman" w:cs="Times New Roman"/>
    </w:rPr>
  </w:style>
  <w:style w:type="paragraph" w:styleId="CommentSubject">
    <w:name w:val="annotation subject"/>
    <w:basedOn w:val="CommentText"/>
    <w:next w:val="CommentText"/>
    <w:link w:val="CommentSubjectChar"/>
    <w:uiPriority w:val="99"/>
    <w:rsid w:val="00D618ED"/>
    <w:rPr>
      <w:b/>
      <w:bCs/>
    </w:rPr>
  </w:style>
  <w:style w:type="character" w:customStyle="1" w:styleId="CommentSubjectChar">
    <w:name w:val="Comment Subject Char"/>
    <w:basedOn w:val="CommentTextChar"/>
    <w:link w:val="CommentSubject"/>
    <w:uiPriority w:val="99"/>
    <w:locked/>
    <w:rsid w:val="00D618ED"/>
    <w:rPr>
      <w:rFonts w:ascii="Times New Roman" w:hAnsi="Times New Roman" w:cs="Times New Roman"/>
      <w:b/>
      <w:bCs/>
    </w:rPr>
  </w:style>
  <w:style w:type="paragraph" w:styleId="BalloonText">
    <w:name w:val="Balloon Text"/>
    <w:basedOn w:val="Normal"/>
    <w:link w:val="BalloonTextChar"/>
    <w:uiPriority w:val="99"/>
    <w:rsid w:val="00D618ED"/>
    <w:rPr>
      <w:rFonts w:ascii="Tahoma" w:hAnsi="Tahoma" w:cs="Tahoma"/>
      <w:sz w:val="16"/>
      <w:szCs w:val="16"/>
    </w:rPr>
  </w:style>
  <w:style w:type="character" w:customStyle="1" w:styleId="BalloonTextChar">
    <w:name w:val="Balloon Text Char"/>
    <w:basedOn w:val="DefaultParagraphFont"/>
    <w:link w:val="BalloonText"/>
    <w:uiPriority w:val="99"/>
    <w:locked/>
    <w:rsid w:val="00D618ED"/>
    <w:rPr>
      <w:rFonts w:ascii="Tahoma" w:hAnsi="Tahoma" w:cs="Tahoma"/>
      <w:sz w:val="16"/>
      <w:szCs w:val="16"/>
    </w:rPr>
  </w:style>
  <w:style w:type="paragraph" w:styleId="ListParagraph">
    <w:name w:val="List Paragraph"/>
    <w:basedOn w:val="Normal"/>
    <w:uiPriority w:val="99"/>
    <w:qFormat/>
    <w:rsid w:val="00DA3291"/>
    <w:pPr>
      <w:ind w:left="720"/>
      <w:contextualSpacing/>
      <w:jc w:val="both"/>
    </w:pPr>
    <w:rPr>
      <w:rFonts w:eastAsia="Times New Roman"/>
      <w:szCs w:val="20"/>
      <w:lang w:eastAsia="en-US"/>
    </w:rPr>
  </w:style>
  <w:style w:type="paragraph" w:styleId="NoSpacing">
    <w:name w:val="No Spacing"/>
    <w:uiPriority w:val="1"/>
    <w:qFormat/>
    <w:rsid w:val="00D71F56"/>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055855">
      <w:marLeft w:val="120"/>
      <w:marRight w:val="120"/>
      <w:marTop w:val="45"/>
      <w:marBottom w:val="45"/>
      <w:divBdr>
        <w:top w:val="none" w:sz="0" w:space="0" w:color="auto"/>
        <w:left w:val="none" w:sz="0" w:space="0" w:color="auto"/>
        <w:bottom w:val="none" w:sz="0" w:space="0" w:color="auto"/>
        <w:right w:val="none" w:sz="0" w:space="0" w:color="auto"/>
      </w:divBdr>
      <w:divsChild>
        <w:div w:id="1544055858">
          <w:marLeft w:val="0"/>
          <w:marRight w:val="0"/>
          <w:marTop w:val="0"/>
          <w:marBottom w:val="0"/>
          <w:divBdr>
            <w:top w:val="none" w:sz="0" w:space="0" w:color="auto"/>
            <w:left w:val="none" w:sz="0" w:space="0" w:color="auto"/>
            <w:bottom w:val="none" w:sz="0" w:space="0" w:color="auto"/>
            <w:right w:val="none" w:sz="0" w:space="0" w:color="auto"/>
          </w:divBdr>
          <w:divsChild>
            <w:div w:id="1544055857">
              <w:marLeft w:val="240"/>
              <w:marRight w:val="240"/>
              <w:marTop w:val="0"/>
              <w:marBottom w:val="0"/>
              <w:divBdr>
                <w:top w:val="none" w:sz="0" w:space="0" w:color="auto"/>
                <w:left w:val="none" w:sz="0" w:space="0" w:color="auto"/>
                <w:bottom w:val="none" w:sz="0" w:space="0" w:color="auto"/>
                <w:right w:val="none" w:sz="0" w:space="0" w:color="auto"/>
              </w:divBdr>
              <w:divsChild>
                <w:div w:id="154405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055859">
      <w:marLeft w:val="0"/>
      <w:marRight w:val="0"/>
      <w:marTop w:val="0"/>
      <w:marBottom w:val="0"/>
      <w:divBdr>
        <w:top w:val="none" w:sz="0" w:space="0" w:color="auto"/>
        <w:left w:val="none" w:sz="0" w:space="0" w:color="auto"/>
        <w:bottom w:val="none" w:sz="0" w:space="0" w:color="auto"/>
        <w:right w:val="none" w:sz="0" w:space="0" w:color="auto"/>
      </w:divBdr>
    </w:div>
    <w:div w:id="1544055860">
      <w:marLeft w:val="0"/>
      <w:marRight w:val="0"/>
      <w:marTop w:val="0"/>
      <w:marBottom w:val="0"/>
      <w:divBdr>
        <w:top w:val="none" w:sz="0" w:space="0" w:color="auto"/>
        <w:left w:val="none" w:sz="0" w:space="0" w:color="auto"/>
        <w:bottom w:val="none" w:sz="0" w:space="0" w:color="auto"/>
        <w:right w:val="none" w:sz="0" w:space="0" w:color="auto"/>
      </w:divBdr>
    </w:div>
    <w:div w:id="15440558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E5F24-8B9E-43CE-8C41-AD5FBCBD3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7822</Words>
  <Characters>4460</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finansējuma pārdali Tieslietu ministrijai no valsts budžeta resora "74. Gadskārtējā valsts budžeta izpildes procesā pārdalāmais finansējums" programmas 07.00.00 "Tiesu spriedumu izpilde"</vt:lpstr>
      <vt:lpstr>Ministru kabineta rīkojuma projekts "Par finansējuma pārdali Tieslietu ministrijai no valsts budžeta resora "74. Gadskārtējā valsts budžeta izpildes procesā pārdalāmais finansējums" programmas 07.00.00 "Tiesu spriedumu izpilde"</vt:lpstr>
    </vt:vector>
  </TitlesOfParts>
  <Company>Tieslietu ministrija</Company>
  <LinksUpToDate>false</LinksUpToDate>
  <CharactersWithSpaces>12258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finansējuma pārdali Tieslietu ministrijai no valsts budžeta resora "74. Gadskārtējā valsts budžeta izpildes procesā pārdalāmais finansējums" programmas 07.00.00 "Tiesu spriedumu izpilde"</dc:title>
  <dc:subject>Sākotnējās ietekmes novērtējuma ziņojums (anotācija)</dc:subject>
  <dc:creator>Kristina Boločko</dc:creator>
  <dc:description>Kristina.Bolocko@ievp.gov.lv, 67290283</dc:description>
  <cp:lastModifiedBy>Kristine Bolocko</cp:lastModifiedBy>
  <cp:revision>20</cp:revision>
  <cp:lastPrinted>2017-04-13T11:33:00Z</cp:lastPrinted>
  <dcterms:created xsi:type="dcterms:W3CDTF">2017-04-11T10:11:00Z</dcterms:created>
  <dcterms:modified xsi:type="dcterms:W3CDTF">2017-05-17T08:58:00Z</dcterms:modified>
</cp:coreProperties>
</file>