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53" w:rsidRPr="00FA7355" w:rsidRDefault="00A84F7E" w:rsidP="00472F9A">
      <w:pPr>
        <w:pStyle w:val="naisvisr"/>
        <w:spacing w:after="0"/>
        <w:rPr>
          <w:sz w:val="24"/>
          <w:szCs w:val="24"/>
        </w:rPr>
      </w:pPr>
      <w:bookmarkStart w:id="0" w:name="_GoBack"/>
      <w:bookmarkEnd w:id="0"/>
      <w:r w:rsidRPr="00FA7355">
        <w:rPr>
          <w:sz w:val="24"/>
          <w:szCs w:val="24"/>
        </w:rPr>
        <w:t>Ministru kabineta noteikumu projekta</w:t>
      </w:r>
      <w:r w:rsidR="00587ADC" w:rsidRPr="00FA7355">
        <w:rPr>
          <w:sz w:val="24"/>
          <w:szCs w:val="24"/>
        </w:rPr>
        <w:t xml:space="preserve"> </w:t>
      </w:r>
      <w:r w:rsidR="00452576" w:rsidRPr="00FA7355">
        <w:rPr>
          <w:sz w:val="24"/>
          <w:szCs w:val="24"/>
        </w:rPr>
        <w:t>"</w:t>
      </w:r>
      <w:r w:rsidR="00472F9A" w:rsidRPr="00472F9A">
        <w:rPr>
          <w:sz w:val="24"/>
          <w:szCs w:val="24"/>
        </w:rPr>
        <w:t>Maksātnespējas administrācijas maksas pakalpojumu cenrādis un samaksas kārtība</w:t>
      </w:r>
      <w:r w:rsidR="00452576" w:rsidRPr="00FA7355">
        <w:rPr>
          <w:sz w:val="24"/>
          <w:szCs w:val="24"/>
        </w:rPr>
        <w:t>"</w:t>
      </w:r>
      <w:r w:rsidR="006F5937" w:rsidRPr="00FA7355">
        <w:rPr>
          <w:sz w:val="24"/>
          <w:szCs w:val="24"/>
        </w:rPr>
        <w:t xml:space="preserve"> </w:t>
      </w:r>
      <w:r w:rsidRPr="00FA7355">
        <w:rPr>
          <w:sz w:val="24"/>
          <w:szCs w:val="24"/>
        </w:rPr>
        <w:t xml:space="preserve">sākotnējās ietekmes novērtējuma </w:t>
      </w:r>
      <w:smartTag w:uri="schemas-tilde-lv/tildestengine" w:element="veidnes">
        <w:smartTagPr>
          <w:attr w:name="text" w:val="ziņojums"/>
          <w:attr w:name="baseform" w:val="ziņojums"/>
          <w:attr w:name="id" w:val="-1"/>
        </w:smartTagPr>
        <w:r w:rsidRPr="00FA7355">
          <w:rPr>
            <w:sz w:val="24"/>
            <w:szCs w:val="24"/>
          </w:rPr>
          <w:t>ziņojums</w:t>
        </w:r>
      </w:smartTag>
      <w:r w:rsidRPr="00FA7355">
        <w:rPr>
          <w:sz w:val="24"/>
          <w:szCs w:val="24"/>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3288"/>
        <w:gridCol w:w="5386"/>
      </w:tblGrid>
      <w:tr w:rsidR="00A24B31" w:rsidRPr="00FA7355">
        <w:tc>
          <w:tcPr>
            <w:tcW w:w="9077" w:type="dxa"/>
            <w:gridSpan w:val="3"/>
            <w:vAlign w:val="center"/>
          </w:tcPr>
          <w:p w:rsidR="00A24B31" w:rsidRPr="00FA7355" w:rsidRDefault="00A24B31" w:rsidP="003E18BF">
            <w:pPr>
              <w:pStyle w:val="naisnod"/>
              <w:spacing w:before="0" w:after="0"/>
            </w:pPr>
            <w:r w:rsidRPr="00FA7355">
              <w:t>I. Tiesību akta projekta izstrādes nepieciešamība</w:t>
            </w:r>
          </w:p>
        </w:tc>
      </w:tr>
      <w:tr w:rsidR="001A0D4F" w:rsidRPr="00FA7355" w:rsidTr="00EE6BC4">
        <w:trPr>
          <w:trHeight w:val="841"/>
        </w:trPr>
        <w:tc>
          <w:tcPr>
            <w:tcW w:w="403" w:type="dxa"/>
          </w:tcPr>
          <w:p w:rsidR="001A0D4F" w:rsidRPr="00FA7355" w:rsidRDefault="001A0D4F" w:rsidP="003E18BF">
            <w:pPr>
              <w:spacing w:after="0" w:line="240" w:lineRule="auto"/>
              <w:rPr>
                <w:rFonts w:ascii="Times New Roman" w:hAnsi="Times New Roman"/>
                <w:sz w:val="24"/>
                <w:szCs w:val="24"/>
              </w:rPr>
            </w:pPr>
            <w:r w:rsidRPr="00FA7355">
              <w:rPr>
                <w:rFonts w:ascii="Times New Roman" w:hAnsi="Times New Roman"/>
                <w:sz w:val="24"/>
                <w:szCs w:val="24"/>
              </w:rPr>
              <w:t>1.</w:t>
            </w:r>
          </w:p>
        </w:tc>
        <w:tc>
          <w:tcPr>
            <w:tcW w:w="3288" w:type="dxa"/>
          </w:tcPr>
          <w:p w:rsidR="001A0D4F" w:rsidRPr="00FA7355" w:rsidRDefault="001A0D4F" w:rsidP="003E18BF">
            <w:pPr>
              <w:spacing w:after="0" w:line="240" w:lineRule="auto"/>
              <w:ind w:hanging="10"/>
              <w:rPr>
                <w:rFonts w:ascii="Times New Roman" w:hAnsi="Times New Roman"/>
                <w:sz w:val="24"/>
                <w:szCs w:val="24"/>
              </w:rPr>
            </w:pPr>
            <w:r w:rsidRPr="00FA7355">
              <w:rPr>
                <w:rFonts w:ascii="Times New Roman" w:hAnsi="Times New Roman"/>
                <w:sz w:val="24"/>
                <w:szCs w:val="24"/>
              </w:rPr>
              <w:t>Pamatojums</w:t>
            </w:r>
          </w:p>
        </w:tc>
        <w:tc>
          <w:tcPr>
            <w:tcW w:w="5386" w:type="dxa"/>
          </w:tcPr>
          <w:p w:rsidR="000A1B48" w:rsidRPr="00FA7355" w:rsidRDefault="00D01048" w:rsidP="00403223">
            <w:pPr>
              <w:spacing w:after="0" w:line="240" w:lineRule="auto"/>
              <w:ind w:firstLine="283"/>
              <w:jc w:val="both"/>
              <w:rPr>
                <w:rFonts w:ascii="Times New Roman" w:hAnsi="Times New Roman"/>
                <w:sz w:val="24"/>
                <w:szCs w:val="24"/>
              </w:rPr>
            </w:pPr>
            <w:r w:rsidRPr="00FA7355">
              <w:rPr>
                <w:rFonts w:ascii="Times New Roman" w:hAnsi="Times New Roman"/>
                <w:sz w:val="24"/>
                <w:szCs w:val="24"/>
              </w:rPr>
              <w:t>Likuma par budžetu un finanšu vadību 5. panta devītā daļa</w:t>
            </w:r>
            <w:r w:rsidR="003E18BF" w:rsidRPr="00FA7355">
              <w:rPr>
                <w:rFonts w:ascii="Times New Roman" w:hAnsi="Times New Roman"/>
                <w:sz w:val="24"/>
                <w:szCs w:val="24"/>
              </w:rPr>
              <w:t>, Maksātnespējas likuma 16.</w:t>
            </w:r>
            <w:r w:rsidR="003E18BF" w:rsidRPr="00FA7355">
              <w:rPr>
                <w:rFonts w:ascii="Times New Roman" w:hAnsi="Times New Roman"/>
                <w:sz w:val="24"/>
                <w:szCs w:val="24"/>
                <w:vertAlign w:val="superscript"/>
              </w:rPr>
              <w:t>1</w:t>
            </w:r>
            <w:r w:rsidR="003E18BF" w:rsidRPr="00FA7355">
              <w:rPr>
                <w:rFonts w:ascii="Times New Roman" w:hAnsi="Times New Roman"/>
                <w:sz w:val="24"/>
                <w:szCs w:val="24"/>
              </w:rPr>
              <w:t> panta piektā daļa un</w:t>
            </w:r>
            <w:r w:rsidR="00403223" w:rsidRPr="00FA7355">
              <w:rPr>
                <w:rFonts w:ascii="Times New Roman" w:hAnsi="Times New Roman"/>
                <w:sz w:val="24"/>
                <w:szCs w:val="24"/>
              </w:rPr>
              <w:t xml:space="preserve"> </w:t>
            </w:r>
            <w:r w:rsidR="003E18BF" w:rsidRPr="00FA7355">
              <w:rPr>
                <w:rFonts w:ascii="Times New Roman" w:hAnsi="Times New Roman"/>
                <w:sz w:val="24"/>
                <w:szCs w:val="24"/>
              </w:rPr>
              <w:t>16.</w:t>
            </w:r>
            <w:r w:rsidR="003E18BF" w:rsidRPr="00FA7355">
              <w:rPr>
                <w:rFonts w:ascii="Times New Roman" w:hAnsi="Times New Roman"/>
                <w:sz w:val="24"/>
                <w:szCs w:val="24"/>
                <w:vertAlign w:val="superscript"/>
              </w:rPr>
              <w:t>2</w:t>
            </w:r>
            <w:r w:rsidR="003E18BF" w:rsidRPr="00FA7355">
              <w:rPr>
                <w:rFonts w:ascii="Times New Roman" w:hAnsi="Times New Roman"/>
                <w:sz w:val="24"/>
                <w:szCs w:val="24"/>
              </w:rPr>
              <w:t> panta sestā daļa</w:t>
            </w:r>
            <w:r w:rsidR="00403223" w:rsidRPr="00FA7355">
              <w:rPr>
                <w:rFonts w:ascii="Times New Roman" w:hAnsi="Times New Roman"/>
                <w:sz w:val="24"/>
                <w:szCs w:val="24"/>
              </w:rPr>
              <w:t>.</w:t>
            </w:r>
          </w:p>
        </w:tc>
      </w:tr>
      <w:tr w:rsidR="00433924" w:rsidRPr="00FA7355">
        <w:trPr>
          <w:trHeight w:val="472"/>
        </w:trPr>
        <w:tc>
          <w:tcPr>
            <w:tcW w:w="403" w:type="dxa"/>
          </w:tcPr>
          <w:p w:rsidR="00433924" w:rsidRPr="00FA7355" w:rsidRDefault="00433924" w:rsidP="003E18BF">
            <w:pPr>
              <w:spacing w:after="0" w:line="240" w:lineRule="auto"/>
              <w:rPr>
                <w:rFonts w:ascii="Times New Roman" w:hAnsi="Times New Roman"/>
                <w:sz w:val="24"/>
                <w:szCs w:val="24"/>
              </w:rPr>
            </w:pPr>
            <w:r w:rsidRPr="00FA7355">
              <w:rPr>
                <w:rFonts w:ascii="Times New Roman" w:hAnsi="Times New Roman"/>
                <w:sz w:val="24"/>
                <w:szCs w:val="24"/>
              </w:rPr>
              <w:t>2.</w:t>
            </w:r>
          </w:p>
        </w:tc>
        <w:tc>
          <w:tcPr>
            <w:tcW w:w="3288" w:type="dxa"/>
          </w:tcPr>
          <w:p w:rsidR="00433924" w:rsidRPr="00FA7355" w:rsidRDefault="00433924" w:rsidP="003E18BF">
            <w:pPr>
              <w:tabs>
                <w:tab w:val="left" w:pos="170"/>
              </w:tabs>
              <w:spacing w:after="0" w:line="240" w:lineRule="auto"/>
              <w:rPr>
                <w:rFonts w:ascii="Times New Roman" w:hAnsi="Times New Roman"/>
                <w:sz w:val="24"/>
                <w:szCs w:val="24"/>
              </w:rPr>
            </w:pPr>
            <w:r w:rsidRPr="00FA735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5386" w:type="dxa"/>
          </w:tcPr>
          <w:p w:rsidR="00966B3D" w:rsidRPr="00FA7355" w:rsidRDefault="00047929" w:rsidP="003062A3">
            <w:pPr>
              <w:pStyle w:val="naiskr"/>
              <w:spacing w:before="0" w:after="0"/>
              <w:ind w:firstLine="283"/>
              <w:jc w:val="both"/>
            </w:pPr>
            <w:r w:rsidRPr="00FA7355">
              <w:t>201</w:t>
            </w:r>
            <w:r w:rsidR="0069107A">
              <w:t>7</w:t>
            </w:r>
            <w:r w:rsidRPr="00FA7355">
              <w:t xml:space="preserve">. gada </w:t>
            </w:r>
            <w:r w:rsidR="0069107A">
              <w:t>6. janvārī stājās spēkā grozījumi Maksātnespējas likumā</w:t>
            </w:r>
            <w:r w:rsidRPr="00FA7355">
              <w:t xml:space="preserve">, </w:t>
            </w:r>
            <w:r w:rsidR="0069107A">
              <w:t>ar kuriem</w:t>
            </w:r>
            <w:r w:rsidR="00966B3D" w:rsidRPr="00FA7355">
              <w:t xml:space="preserve"> pēc būtības tika mainīts </w:t>
            </w:r>
            <w:r w:rsidR="004D7191" w:rsidRPr="00FA7355">
              <w:t xml:space="preserve">maksātnespējas procesa administratora (turpmāk </w:t>
            </w:r>
            <w:r w:rsidR="0069107A">
              <w:t>–</w:t>
            </w:r>
            <w:r w:rsidR="004D7191" w:rsidRPr="00FA7355">
              <w:t xml:space="preserve"> administrators) </w:t>
            </w:r>
            <w:r w:rsidR="0014560D" w:rsidRPr="00FA7355">
              <w:t>profesijas</w:t>
            </w:r>
            <w:r w:rsidR="004D7191" w:rsidRPr="00FA7355">
              <w:t xml:space="preserve"> </w:t>
            </w:r>
            <w:r w:rsidR="00966B3D" w:rsidRPr="00FA7355">
              <w:t>tiesiskais regulējums</w:t>
            </w:r>
            <w:r w:rsidR="005A51AA" w:rsidRPr="00FA7355">
              <w:t xml:space="preserve">. </w:t>
            </w:r>
          </w:p>
          <w:p w:rsidR="004A789E" w:rsidRPr="00FA7355" w:rsidRDefault="00811744" w:rsidP="004A789E">
            <w:pPr>
              <w:pStyle w:val="naiskr"/>
              <w:spacing w:before="0" w:after="0"/>
              <w:ind w:firstLine="283"/>
              <w:jc w:val="both"/>
            </w:pPr>
            <w:r w:rsidRPr="00FA7355">
              <w:t>Saskaņā ar Maksātnespējas likuma, kas bija spēkā līdz 2017. gada 5. </w:t>
            </w:r>
            <w:r w:rsidR="00F65B99" w:rsidRPr="00FA7355">
              <w:t>j</w:t>
            </w:r>
            <w:r w:rsidRPr="00FA7355">
              <w:t>anvārim</w:t>
            </w:r>
            <w:r w:rsidR="00250FE2" w:rsidRPr="00FA7355">
              <w:t>,</w:t>
            </w:r>
            <w:r w:rsidR="00F65B99" w:rsidRPr="00FA7355">
              <w:t xml:space="preserve"> </w:t>
            </w:r>
            <w:r w:rsidR="006A7BC2" w:rsidRPr="00FA7355">
              <w:t>14. panta otro daļu</w:t>
            </w:r>
            <w:r w:rsidR="00250FE2" w:rsidRPr="00FA7355">
              <w:t xml:space="preserve"> administratoru sertificēšanu līdz šim veica biedrība "Latvijas Sertificēto maksātnespējas procesa administratoru asociācija" (turpmāk – Administratoru asociācija). Administratoru asociācijai saskaņā ar Maksātnespējas likumu bija deleģēti konkrēti valsts pārvaldes uzdevumi administratoru sertificēšanas jomā</w:t>
            </w:r>
            <w:r w:rsidR="001D4083" w:rsidRPr="00FA7355">
              <w:t>.</w:t>
            </w:r>
            <w:r w:rsidRPr="00FA7355">
              <w:t xml:space="preserve"> </w:t>
            </w:r>
            <w:r w:rsidR="00D3708E" w:rsidRPr="00FA7355">
              <w:t>Administratoru asociācija deleģēto uzdevumu</w:t>
            </w:r>
            <w:r w:rsidR="00720301" w:rsidRPr="00FA7355">
              <w:t xml:space="preserve"> ietvaros publiskos pakalpojumus</w:t>
            </w:r>
            <w:r w:rsidR="00D3708E" w:rsidRPr="00FA7355">
              <w:t xml:space="preserve"> </w:t>
            </w:r>
            <w:r w:rsidR="00720301" w:rsidRPr="00FA7355">
              <w:t xml:space="preserve">sniedza </w:t>
            </w:r>
            <w:r w:rsidR="0093118A">
              <w:t>saskaņā ar Ministru kabineta</w:t>
            </w:r>
            <w:r w:rsidR="00966A05">
              <w:t xml:space="preserve"> </w:t>
            </w:r>
            <w:r w:rsidR="00BF76DE" w:rsidRPr="00FA7355">
              <w:t>2013</w:t>
            </w:r>
            <w:r w:rsidR="0093118A">
              <w:t xml:space="preserve">. gada 24. septembra </w:t>
            </w:r>
            <w:r w:rsidR="004665FD" w:rsidRPr="00FA7355">
              <w:t>noteikum</w:t>
            </w:r>
            <w:r w:rsidR="008F76E9" w:rsidRPr="00FA7355">
              <w:t>os</w:t>
            </w:r>
            <w:r w:rsidR="0093118A">
              <w:t xml:space="preserve"> </w:t>
            </w:r>
            <w:r w:rsidR="00D3708E" w:rsidRPr="00FA7355">
              <w:t>Nr.</w:t>
            </w:r>
            <w:r w:rsidR="00BF76DE" w:rsidRPr="00FA7355">
              <w:t> 993</w:t>
            </w:r>
            <w:r w:rsidR="0093118A">
              <w:t xml:space="preserve"> "Biedrības "Latvijas </w:t>
            </w:r>
            <w:r w:rsidR="00D3708E" w:rsidRPr="00FA7355">
              <w:t>Sertificēto maksātnespējas procesa administratoru asociācija" maksas pakalpojumu cenrādis"</w:t>
            </w:r>
            <w:r w:rsidR="00ED0B33" w:rsidRPr="00FA7355">
              <w:t xml:space="preserve"> (turpmāk – Ministru kabineta noteikumi Nr. 993)</w:t>
            </w:r>
            <w:r w:rsidR="003D572E" w:rsidRPr="00FA7355">
              <w:t xml:space="preserve"> </w:t>
            </w:r>
            <w:r w:rsidR="008F76E9" w:rsidRPr="00FA7355">
              <w:t xml:space="preserve">noteikto </w:t>
            </w:r>
            <w:r w:rsidR="003D572E" w:rsidRPr="00FA7355">
              <w:t>maksas pakalpojumu cenrādi</w:t>
            </w:r>
            <w:r w:rsidR="00D3708E" w:rsidRPr="00FA7355">
              <w:t xml:space="preserve">. </w:t>
            </w:r>
          </w:p>
          <w:p w:rsidR="009E0EAC" w:rsidRPr="00FA7355" w:rsidRDefault="00834645" w:rsidP="00447133">
            <w:pPr>
              <w:pStyle w:val="naiskr"/>
              <w:spacing w:before="0" w:after="0"/>
              <w:ind w:firstLine="281"/>
              <w:jc w:val="both"/>
            </w:pPr>
            <w:r w:rsidRPr="00FA7355">
              <w:t>A</w:t>
            </w:r>
            <w:r w:rsidR="00594827" w:rsidRPr="00FA7355">
              <w:t xml:space="preserve">r </w:t>
            </w:r>
            <w:r w:rsidR="00F84D5C" w:rsidRPr="00FA7355">
              <w:t>Maksātnespējas likum</w:t>
            </w:r>
            <w:r w:rsidR="0069107A">
              <w:t>a grozījumu</w:t>
            </w:r>
            <w:r w:rsidR="00F84D5C" w:rsidRPr="00FA7355">
              <w:t xml:space="preserve"> </w:t>
            </w:r>
            <w:r w:rsidR="00594827" w:rsidRPr="00FA7355">
              <w:t xml:space="preserve">spēkā stāšanos </w:t>
            </w:r>
            <w:r w:rsidR="00F84D5C" w:rsidRPr="00FA7355">
              <w:t>Administratoru asociācijai</w:t>
            </w:r>
            <w:r w:rsidR="00E90CE3" w:rsidRPr="00FA7355">
              <w:t xml:space="preserve"> valsts pārvaldes uzdevumi administratoru sertific</w:t>
            </w:r>
            <w:r w:rsidR="00447133" w:rsidRPr="00FA7355">
              <w:t>ēšanas jomā vairs nav deleģēti, un</w:t>
            </w:r>
            <w:r w:rsidR="007739A7" w:rsidRPr="00FA7355">
              <w:t>,</w:t>
            </w:r>
            <w:r w:rsidR="00447133" w:rsidRPr="00FA7355">
              <w:t xml:space="preserve"> s</w:t>
            </w:r>
            <w:r w:rsidR="00CA2E2F" w:rsidRPr="00FA7355">
              <w:t>ākot ar 2017. gada 6. </w:t>
            </w:r>
            <w:r w:rsidR="00B67D8A" w:rsidRPr="00FA7355">
              <w:t>j</w:t>
            </w:r>
            <w:r w:rsidR="00CA2E2F" w:rsidRPr="00FA7355">
              <w:t>anvāri</w:t>
            </w:r>
            <w:r w:rsidR="00B67D8A" w:rsidRPr="00FA7355">
              <w:t>,</w:t>
            </w:r>
            <w:r w:rsidR="00CA2E2F" w:rsidRPr="00FA7355">
              <w:t xml:space="preserve"> administratoru eksaminēšana un kvalifikācijas kontrol</w:t>
            </w:r>
            <w:r w:rsidR="0088575B" w:rsidRPr="00FA7355">
              <w:t xml:space="preserve">e ir nodota </w:t>
            </w:r>
            <w:r w:rsidR="00CA2E2F" w:rsidRPr="00FA7355">
              <w:t xml:space="preserve">Maksātnespējas administrācijai. Proti, administratoru amatā ieceļ valsts tiešās pārvaldes iestādes – Maksātnespējas administrācijas direktors. Priekšnosacījums iecelšanai amatā ir administratora </w:t>
            </w:r>
            <w:r w:rsidR="00FE0556">
              <w:t xml:space="preserve">pretendenta </w:t>
            </w:r>
            <w:r w:rsidR="00CA2E2F" w:rsidRPr="00FA7355">
              <w:t xml:space="preserve">eksāmena nokārtošana. Pēc iecelšanas amatā Maksātnespējas administrācijas direktoram ir pienākums izdot amata apliecību, kura ir derīga </w:t>
            </w:r>
            <w:r w:rsidR="00E21E42">
              <w:t xml:space="preserve">divus </w:t>
            </w:r>
            <w:r w:rsidR="00CA2E2F" w:rsidRPr="00FA7355">
              <w:t>gadus.</w:t>
            </w:r>
          </w:p>
          <w:p w:rsidR="00D3708E" w:rsidRPr="00FA7355" w:rsidRDefault="00D3708E" w:rsidP="008A22C9">
            <w:pPr>
              <w:pStyle w:val="naiskr"/>
              <w:spacing w:before="0" w:after="0"/>
              <w:ind w:firstLine="281"/>
              <w:jc w:val="both"/>
            </w:pPr>
            <w:r w:rsidRPr="00FA7355">
              <w:t>Līdz ar to Maksātnespējas administrācija organizē administratora</w:t>
            </w:r>
            <w:r w:rsidR="00FE0556">
              <w:t xml:space="preserve"> pretendenta</w:t>
            </w:r>
            <w:r w:rsidRPr="00FA7355">
              <w:t xml:space="preserve"> eksāmenu un kvalifikācijas eksāmenu</w:t>
            </w:r>
            <w:r w:rsidR="00706AE4">
              <w:t xml:space="preserve"> un izgatavo un izsniedz administratora amata apliecību.</w:t>
            </w:r>
          </w:p>
          <w:p w:rsidR="008A3C49" w:rsidRPr="00FA7355" w:rsidRDefault="008A3C49" w:rsidP="008A3C49">
            <w:pPr>
              <w:pStyle w:val="NormalWeb"/>
              <w:tabs>
                <w:tab w:val="left" w:pos="552"/>
              </w:tabs>
              <w:spacing w:before="0" w:beforeAutospacing="0" w:after="0" w:afterAutospacing="0"/>
              <w:ind w:left="57" w:right="57" w:firstLine="284"/>
              <w:jc w:val="both"/>
            </w:pPr>
            <w:r w:rsidRPr="00FA7355">
              <w:t>Tā kā līdz Maksātnespējas likum</w:t>
            </w:r>
            <w:r w:rsidR="0069107A">
              <w:t>a</w:t>
            </w:r>
            <w:r w:rsidRPr="00FA7355">
              <w:t xml:space="preserve"> </w:t>
            </w:r>
            <w:r w:rsidR="0069107A">
              <w:t xml:space="preserve">grozījumu </w:t>
            </w:r>
            <w:r w:rsidRPr="00FA7355">
              <w:t xml:space="preserve">spēkā stāšanās brīdim Maksātnespējas administrācija šādus uzdevumus neveica, nav normatīvā regulējuma, kas noteiktu maksu par attiecīgo uzdevumu </w:t>
            </w:r>
            <w:r w:rsidR="002D6FAF" w:rsidRPr="00FA7355">
              <w:t>ietvaros sniegtajiem publiskajiem pakalpojumiem</w:t>
            </w:r>
            <w:r w:rsidRPr="00FA7355">
              <w:t xml:space="preserve">. Tādēļ, </w:t>
            </w:r>
            <w:r w:rsidRPr="00FA7355">
              <w:rPr>
                <w:bCs/>
              </w:rPr>
              <w:t xml:space="preserve">lai </w:t>
            </w:r>
            <w:r w:rsidRPr="00FA7355">
              <w:rPr>
                <w:bCs/>
              </w:rPr>
              <w:lastRenderedPageBreak/>
              <w:t xml:space="preserve">nodrošinātu </w:t>
            </w:r>
            <w:r w:rsidR="003B0217" w:rsidRPr="00FA7355">
              <w:t xml:space="preserve">Maksātnespējas administrācijai deleģēto </w:t>
            </w:r>
            <w:r w:rsidRPr="00FA7355">
              <w:rPr>
                <w:bCs/>
              </w:rPr>
              <w:t>uzdevumu izpildi, nepieciešams noteikt šo uzdevumu ietvaros sniegto maksas pakalpojumu cenrādi šādiem pakalpojumiem</w:t>
            </w:r>
            <w:r w:rsidR="0069107A">
              <w:rPr>
                <w:bCs/>
              </w:rPr>
              <w:t xml:space="preserve"> </w:t>
            </w:r>
            <w:r w:rsidRPr="00FA7355">
              <w:rPr>
                <w:bCs/>
              </w:rPr>
              <w:t>­</w:t>
            </w:r>
            <w:r w:rsidR="0069107A">
              <w:t xml:space="preserve"> </w:t>
            </w:r>
            <w:r w:rsidR="00966A05">
              <w:t>administratora</w:t>
            </w:r>
            <w:r w:rsidR="00FE0556">
              <w:t xml:space="preserve"> pretendenta</w:t>
            </w:r>
            <w:r w:rsidR="00966A05">
              <w:t xml:space="preserve"> eksāmens</w:t>
            </w:r>
            <w:r w:rsidRPr="00FA7355">
              <w:t xml:space="preserve">, </w:t>
            </w:r>
            <w:r w:rsidR="00966A05">
              <w:t>kvalifikācijas eksāmens</w:t>
            </w:r>
            <w:r w:rsidR="007A49D8" w:rsidRPr="00FA7355">
              <w:t>, amata apliecības</w:t>
            </w:r>
            <w:r w:rsidR="008A22C9" w:rsidRPr="00FA7355">
              <w:t xml:space="preserve"> izdošana (dublikāta izdošana)</w:t>
            </w:r>
            <w:r w:rsidRPr="00FA7355">
              <w:t xml:space="preserve">. </w:t>
            </w:r>
          </w:p>
          <w:p w:rsidR="00DE59E6" w:rsidRPr="00FA7355" w:rsidRDefault="000C0D06" w:rsidP="008A3C49">
            <w:pPr>
              <w:pStyle w:val="NormalWeb"/>
              <w:tabs>
                <w:tab w:val="left" w:pos="552"/>
              </w:tabs>
              <w:spacing w:before="0" w:beforeAutospacing="0" w:after="0" w:afterAutospacing="0"/>
              <w:ind w:left="57" w:right="57" w:firstLine="284"/>
              <w:jc w:val="both"/>
            </w:pPr>
            <w:r w:rsidRPr="00FA7355">
              <w:t>Šobrīd Maksātnespējas administrācijas sniegto maksas pakalpojumu cenrādi nosaka Ministru kabineta 2013. gada 17. septembra noteikumi Nr. 872</w:t>
            </w:r>
            <w:r w:rsidR="00706AE4">
              <w:t xml:space="preserve"> </w:t>
            </w:r>
            <w:r w:rsidRPr="00FA7355">
              <w:t>"Maksātnespējas administrācijas maksas pakalpojumu cenrādis"</w:t>
            </w:r>
            <w:r w:rsidR="00ED0B33" w:rsidRPr="00FA7355">
              <w:t xml:space="preserve"> (turpmāk – Ministru kabineta noteikumi Nr. 872)</w:t>
            </w:r>
            <w:r w:rsidRPr="00FA7355">
              <w:t>, un šajos noteikumos noteikts cenrādis diviem Maksātnespējas administrā</w:t>
            </w:r>
            <w:r w:rsidR="006E0E3C" w:rsidRPr="00FA7355">
              <w:t>cijas sniegtajiem pakalpojumiem – </w:t>
            </w:r>
            <w:r w:rsidRPr="00FA7355">
              <w:t xml:space="preserve">kvalifikācijas pilnveides pasākuma organizēšanai un juridiskās konsultācijas sniegšanai maksātnespējas procesa jautājumos. </w:t>
            </w:r>
          </w:p>
          <w:p w:rsidR="00AE3CE5" w:rsidRPr="00FA7355" w:rsidRDefault="00AE3CE5" w:rsidP="008A3C49">
            <w:pPr>
              <w:pStyle w:val="NormalWeb"/>
              <w:tabs>
                <w:tab w:val="left" w:pos="552"/>
              </w:tabs>
              <w:spacing w:before="0" w:beforeAutospacing="0" w:after="0" w:afterAutospacing="0"/>
              <w:ind w:left="57" w:right="57" w:firstLine="284"/>
              <w:jc w:val="both"/>
            </w:pPr>
            <w:r w:rsidRPr="00FA7355">
              <w:rPr>
                <w:bCs/>
              </w:rPr>
              <w:t xml:space="preserve">Tāpat Ministru kabineta noteikumos Nr. 872 </w:t>
            </w:r>
            <w:r w:rsidR="00AB5C2F" w:rsidRPr="00FA7355">
              <w:rPr>
                <w:bCs/>
              </w:rPr>
              <w:t>nav</w:t>
            </w:r>
            <w:r w:rsidRPr="00FA7355">
              <w:rPr>
                <w:bCs/>
              </w:rPr>
              <w:t xml:space="preserve"> noteikta kārtība, kādā persona veic maksājumu par maksas pakalpojumu, un kārtība, kādā persona var atteikties no maksas pakalpojuma un saņemt atpakaļ par pakalpojumu samaksātos naudas līdzekļus. Līdz šim šāda kārtība </w:t>
            </w:r>
            <w:r w:rsidR="007642DB" w:rsidRPr="00FA7355">
              <w:rPr>
                <w:bCs/>
              </w:rPr>
              <w:t xml:space="preserve">bija noteikta </w:t>
            </w:r>
            <w:r w:rsidR="002A04AC" w:rsidRPr="00FA7355">
              <w:rPr>
                <w:bCs/>
              </w:rPr>
              <w:t xml:space="preserve">tikai </w:t>
            </w:r>
            <w:r w:rsidRPr="00FA7355">
              <w:rPr>
                <w:bCs/>
              </w:rPr>
              <w:t xml:space="preserve">attiecībā uz Maksātnespējas administrācijas sniegto maksas pakalpojumu – kvalifikācijas pilnveides pasākums Ministru kabineta 2010. gada 9. novembra noteikumu Nr. 1038 "Maksātnespējas procesa administratoru pretendentu apmācības un maksātnespējas procesa administratoru sertificēšanas kārtība" (turpmāk – Ministru kabineta noteikumi Nr. 1038) 71. punktā. </w:t>
            </w:r>
          </w:p>
          <w:p w:rsidR="00F36F87" w:rsidRPr="00FA7355" w:rsidRDefault="000C0D06" w:rsidP="00EA7043">
            <w:pPr>
              <w:pStyle w:val="NormalWeb"/>
              <w:tabs>
                <w:tab w:val="left" w:pos="552"/>
              </w:tabs>
              <w:spacing w:before="0" w:beforeAutospacing="0" w:after="0" w:afterAutospacing="0"/>
              <w:ind w:left="57" w:right="57" w:firstLine="284"/>
              <w:jc w:val="both"/>
              <w:rPr>
                <w:bCs/>
              </w:rPr>
            </w:pPr>
            <w:r w:rsidRPr="00FA7355">
              <w:t xml:space="preserve">Ņemot vērā to, ka </w:t>
            </w:r>
            <w:r w:rsidR="00CB1282" w:rsidRPr="00FA7355">
              <w:t xml:space="preserve">Maksātnespējas administrācijas sniegto maksas pakalpojumu </w:t>
            </w:r>
            <w:r w:rsidRPr="00FA7355">
              <w:t xml:space="preserve">cenrādis </w:t>
            </w:r>
            <w:r w:rsidR="00720DFC" w:rsidRPr="00FA7355">
              <w:t>ir</w:t>
            </w:r>
            <w:r w:rsidRPr="00FA7355">
              <w:t xml:space="preserve"> </w:t>
            </w:r>
            <w:r w:rsidR="00720DFC" w:rsidRPr="00FA7355">
              <w:t>jāpapildina</w:t>
            </w:r>
            <w:r w:rsidRPr="00FA7355">
              <w:t xml:space="preserve"> ar </w:t>
            </w:r>
            <w:r w:rsidR="00F5043D" w:rsidRPr="00FA7355">
              <w:t>trim</w:t>
            </w:r>
            <w:r w:rsidRPr="00FA7355">
              <w:t xml:space="preserve"> jauniem maksas pakalpojumiem,</w:t>
            </w:r>
            <w:r w:rsidR="00F53235" w:rsidRPr="00FA7355">
              <w:t xml:space="preserve"> kā arī</w:t>
            </w:r>
            <w:r w:rsidRPr="00FA7355">
              <w:t xml:space="preserve"> </w:t>
            </w:r>
            <w:r w:rsidR="002A04AC" w:rsidRPr="00FA7355">
              <w:rPr>
                <w:bCs/>
              </w:rPr>
              <w:t>jānosaka</w:t>
            </w:r>
            <w:r w:rsidR="00F53235" w:rsidRPr="00FA7355">
              <w:rPr>
                <w:bCs/>
              </w:rPr>
              <w:t xml:space="preserve"> </w:t>
            </w:r>
            <w:r w:rsidR="002A04AC" w:rsidRPr="00FA7355">
              <w:rPr>
                <w:bCs/>
              </w:rPr>
              <w:t>kārtība</w:t>
            </w:r>
            <w:r w:rsidR="00F53235" w:rsidRPr="00FA7355">
              <w:rPr>
                <w:bCs/>
              </w:rPr>
              <w:t>, kādā persona veic maksas pakalpojuma apmaksu, un kārtību, kādā persona var atteikties no maksas pakalpojuma un saņemt atpakaļ samaksātos naud</w:t>
            </w:r>
            <w:r w:rsidR="002E63E6" w:rsidRPr="00FA7355">
              <w:rPr>
                <w:bCs/>
              </w:rPr>
              <w:t>as līdzekļus,</w:t>
            </w:r>
            <w:r w:rsidR="007F3E77" w:rsidRPr="00FA7355">
              <w:rPr>
                <w:bCs/>
              </w:rPr>
              <w:t xml:space="preserve"> </w:t>
            </w:r>
            <w:r w:rsidR="00720DFC" w:rsidRPr="00FA7355">
              <w:t xml:space="preserve">būtu jāgroza vairāk </w:t>
            </w:r>
            <w:r w:rsidR="00ED0B33" w:rsidRPr="00FA7355">
              <w:t>ne</w:t>
            </w:r>
            <w:r w:rsidR="00720DFC" w:rsidRPr="00FA7355">
              <w:t xml:space="preserve">kā puse no </w:t>
            </w:r>
            <w:r w:rsidR="00455190" w:rsidRPr="00FA7355">
              <w:t xml:space="preserve">spēkā esošā </w:t>
            </w:r>
            <w:r w:rsidR="00720DFC" w:rsidRPr="00FA7355">
              <w:t xml:space="preserve">normatīvā akta apjoma, </w:t>
            </w:r>
            <w:r w:rsidRPr="00FA7355">
              <w:t>ir nepieciešams pieņemt jaunus Ministru kabineta noteikumus.</w:t>
            </w:r>
            <w:r w:rsidR="00DB4E41" w:rsidRPr="00FA7355">
              <w:rPr>
                <w:bCs/>
              </w:rPr>
              <w:t xml:space="preserve"> </w:t>
            </w:r>
          </w:p>
          <w:p w:rsidR="00524505" w:rsidRPr="00FA7355" w:rsidRDefault="0093127D" w:rsidP="00EA7043">
            <w:pPr>
              <w:pStyle w:val="NormalWeb"/>
              <w:tabs>
                <w:tab w:val="left" w:pos="552"/>
              </w:tabs>
              <w:spacing w:before="0" w:beforeAutospacing="0" w:after="0" w:afterAutospacing="0"/>
              <w:ind w:left="57" w:right="57" w:firstLine="284"/>
              <w:jc w:val="both"/>
              <w:rPr>
                <w:bCs/>
              </w:rPr>
            </w:pPr>
            <w:r w:rsidRPr="00FA7355">
              <w:rPr>
                <w:bCs/>
              </w:rPr>
              <w:t xml:space="preserve">Ievērojot </w:t>
            </w:r>
            <w:r w:rsidR="0002726F" w:rsidRPr="00FA7355">
              <w:rPr>
                <w:bCs/>
              </w:rPr>
              <w:t>minēto, ir</w:t>
            </w:r>
            <w:r w:rsidR="00DB4E41" w:rsidRPr="00FA7355">
              <w:rPr>
                <w:bCs/>
              </w:rPr>
              <w:t xml:space="preserve"> izstrādāts Ministru kabineta noteikumu projekts </w:t>
            </w:r>
            <w:r w:rsidR="00DB4E41" w:rsidRPr="00FA7355">
              <w:t>"Maksātnespējas administrācijas maksas pakalpojumu cenrādis</w:t>
            </w:r>
            <w:r w:rsidR="00472F9A">
              <w:t xml:space="preserve"> un samaksas kārtība</w:t>
            </w:r>
            <w:r w:rsidR="006E0E3C" w:rsidRPr="00FA7355">
              <w:t>" (turpmāk – </w:t>
            </w:r>
            <w:r w:rsidR="00DB4E41" w:rsidRPr="00FA7355">
              <w:t>noteikumu projekts)</w:t>
            </w:r>
            <w:r w:rsidR="00DB4E41" w:rsidRPr="00FA7355">
              <w:rPr>
                <w:bCs/>
              </w:rPr>
              <w:t xml:space="preserve">, </w:t>
            </w:r>
            <w:r w:rsidR="00A44CEF" w:rsidRPr="00FA7355">
              <w:rPr>
                <w:bCs/>
              </w:rPr>
              <w:t>kas nosaka</w:t>
            </w:r>
            <w:r w:rsidR="00DB4E41" w:rsidRPr="00FA7355">
              <w:rPr>
                <w:bCs/>
              </w:rPr>
              <w:t xml:space="preserve"> Maksātnespējas administrācijas snie</w:t>
            </w:r>
            <w:r w:rsidR="00A44CEF" w:rsidRPr="00FA7355">
              <w:rPr>
                <w:bCs/>
              </w:rPr>
              <w:t>gto maksas pakalpojumu cenrādi</w:t>
            </w:r>
            <w:r w:rsidR="00706AE4">
              <w:rPr>
                <w:bCs/>
              </w:rPr>
              <w:t xml:space="preserve"> un maksājumu kārtību</w:t>
            </w:r>
            <w:r w:rsidR="00287B8F" w:rsidRPr="00FA7355">
              <w:rPr>
                <w:bCs/>
              </w:rPr>
              <w:t>.</w:t>
            </w:r>
          </w:p>
          <w:p w:rsidR="008E1494" w:rsidRPr="00FA7355" w:rsidRDefault="00990E29" w:rsidP="00EA7043">
            <w:pPr>
              <w:pStyle w:val="NormalWeb"/>
              <w:tabs>
                <w:tab w:val="left" w:pos="552"/>
              </w:tabs>
              <w:spacing w:before="0" w:beforeAutospacing="0" w:after="0" w:afterAutospacing="0"/>
              <w:ind w:left="57" w:right="57" w:firstLine="284"/>
              <w:jc w:val="both"/>
              <w:rPr>
                <w:bCs/>
              </w:rPr>
            </w:pPr>
            <w:r w:rsidRPr="00FA7355">
              <w:rPr>
                <w:bCs/>
              </w:rPr>
              <w:t>N</w:t>
            </w:r>
            <w:r w:rsidR="009824CA" w:rsidRPr="00FA7355">
              <w:rPr>
                <w:bCs/>
              </w:rPr>
              <w:t>oteikumu projekt</w:t>
            </w:r>
            <w:r w:rsidR="00015432" w:rsidRPr="00FA7355">
              <w:rPr>
                <w:bCs/>
              </w:rPr>
              <w:t>s</w:t>
            </w:r>
            <w:r w:rsidR="009824CA" w:rsidRPr="00FA7355">
              <w:rPr>
                <w:bCs/>
              </w:rPr>
              <w:t xml:space="preserve"> no</w:t>
            </w:r>
            <w:r w:rsidR="00015432" w:rsidRPr="00FA7355">
              <w:rPr>
                <w:bCs/>
              </w:rPr>
              <w:t>saka</w:t>
            </w:r>
            <w:r w:rsidR="009824CA" w:rsidRPr="00FA7355">
              <w:rPr>
                <w:bCs/>
              </w:rPr>
              <w:t>, ka samaksa par maksas pakalpojuma saņemšanu jāveic pirms Maksātnespējas administrācijā tiek iesniegts iesniegums par maksas pakal</w:t>
            </w:r>
            <w:r w:rsidR="00966A05">
              <w:rPr>
                <w:bCs/>
              </w:rPr>
              <w:t>pojuma sniegšanu.</w:t>
            </w:r>
            <w:r w:rsidR="009824CA" w:rsidRPr="00FA7355">
              <w:rPr>
                <w:bCs/>
              </w:rPr>
              <w:t xml:space="preserve"> </w:t>
            </w:r>
            <w:r w:rsidR="003B587A" w:rsidRPr="00FA7355">
              <w:rPr>
                <w:bCs/>
              </w:rPr>
              <w:t xml:space="preserve">Noteikumu projektā paredzēts, ka maksas pakalpojums tiek sniegts tikai tad, kad </w:t>
            </w:r>
            <w:r w:rsidR="008E1494" w:rsidRPr="00FA7355">
              <w:rPr>
                <w:bCs/>
              </w:rPr>
              <w:t>Maksātnespējas administrācija saņēmusi maksu</w:t>
            </w:r>
            <w:r w:rsidR="003B587A" w:rsidRPr="00FA7355">
              <w:rPr>
                <w:bCs/>
              </w:rPr>
              <w:t xml:space="preserve"> par pakalpoju</w:t>
            </w:r>
            <w:r w:rsidR="008E1494" w:rsidRPr="00FA7355">
              <w:rPr>
                <w:bCs/>
              </w:rPr>
              <w:t xml:space="preserve">mu </w:t>
            </w:r>
            <w:r w:rsidR="008E1494" w:rsidRPr="00FA7355">
              <w:rPr>
                <w:bCs/>
              </w:rPr>
              <w:lastRenderedPageBreak/>
              <w:t>normatīvajos aktos noteiktajā kārtībā</w:t>
            </w:r>
            <w:r w:rsidR="00706AE4">
              <w:rPr>
                <w:bCs/>
              </w:rPr>
              <w:t xml:space="preserve"> un apmērā</w:t>
            </w:r>
            <w:r w:rsidR="008E1494" w:rsidRPr="00FA7355">
              <w:rPr>
                <w:bCs/>
              </w:rPr>
              <w:t xml:space="preserve">. </w:t>
            </w:r>
          </w:p>
          <w:p w:rsidR="009824CA" w:rsidRPr="00FA7355" w:rsidRDefault="002578B6" w:rsidP="00495AC0">
            <w:pPr>
              <w:pStyle w:val="NormalWeb"/>
              <w:tabs>
                <w:tab w:val="left" w:pos="552"/>
              </w:tabs>
              <w:spacing w:before="0" w:beforeAutospacing="0" w:after="0" w:afterAutospacing="0"/>
              <w:ind w:left="57" w:right="57" w:firstLine="284"/>
              <w:jc w:val="both"/>
              <w:rPr>
                <w:bCs/>
              </w:rPr>
            </w:pPr>
            <w:r w:rsidRPr="00FA7355">
              <w:rPr>
                <w:bCs/>
              </w:rPr>
              <w:t>N</w:t>
            </w:r>
            <w:r w:rsidR="008E1494" w:rsidRPr="00FA7355">
              <w:rPr>
                <w:bCs/>
              </w:rPr>
              <w:t>oteikumu projekt</w:t>
            </w:r>
            <w:r w:rsidR="00157376" w:rsidRPr="00FA7355">
              <w:rPr>
                <w:bCs/>
              </w:rPr>
              <w:t>s</w:t>
            </w:r>
            <w:r w:rsidR="008E1494" w:rsidRPr="00FA7355">
              <w:rPr>
                <w:bCs/>
              </w:rPr>
              <w:t xml:space="preserve"> notei</w:t>
            </w:r>
            <w:r w:rsidR="00157376" w:rsidRPr="00FA7355">
              <w:rPr>
                <w:bCs/>
              </w:rPr>
              <w:t>c</w:t>
            </w:r>
            <w:r w:rsidR="008E1494" w:rsidRPr="00FA7355">
              <w:rPr>
                <w:bCs/>
              </w:rPr>
              <w:t>, ka personai ir tiesības</w:t>
            </w:r>
            <w:r w:rsidR="008B1AAE" w:rsidRPr="00FA7355">
              <w:rPr>
                <w:bCs/>
              </w:rPr>
              <w:t xml:space="preserve"> </w:t>
            </w:r>
            <w:r w:rsidR="00016A5B" w:rsidRPr="00FA7355">
              <w:rPr>
                <w:bCs/>
              </w:rPr>
              <w:t xml:space="preserve">noteiktos gadījumos </w:t>
            </w:r>
            <w:r w:rsidR="008E1494" w:rsidRPr="00FA7355">
              <w:rPr>
                <w:bCs/>
              </w:rPr>
              <w:t>saņemt atpakaļ samaksātos naudas līdzekļus un atteikties no šādiem pakalpojumiem:</w:t>
            </w:r>
          </w:p>
          <w:p w:rsidR="008E1494" w:rsidRPr="00FA7355" w:rsidRDefault="008E1494" w:rsidP="00495AC0">
            <w:pPr>
              <w:pStyle w:val="NormalWeb"/>
              <w:tabs>
                <w:tab w:val="left" w:pos="552"/>
              </w:tabs>
              <w:spacing w:before="0" w:beforeAutospacing="0" w:after="0" w:afterAutospacing="0"/>
              <w:ind w:left="57" w:right="57" w:firstLine="284"/>
              <w:jc w:val="both"/>
              <w:rPr>
                <w:bCs/>
              </w:rPr>
            </w:pPr>
            <w:r w:rsidRPr="00FA7355">
              <w:rPr>
                <w:bCs/>
              </w:rPr>
              <w:t xml:space="preserve">1) kvalifikācijas </w:t>
            </w:r>
            <w:r w:rsidR="002578B6" w:rsidRPr="00FA7355">
              <w:rPr>
                <w:bCs/>
              </w:rPr>
              <w:t xml:space="preserve">pilnveides </w:t>
            </w:r>
            <w:r w:rsidRPr="00FA7355">
              <w:rPr>
                <w:bCs/>
              </w:rPr>
              <w:t>pasākuma;</w:t>
            </w:r>
          </w:p>
          <w:p w:rsidR="008E1494" w:rsidRPr="00FA7355" w:rsidRDefault="00FE0556" w:rsidP="00495AC0">
            <w:pPr>
              <w:pStyle w:val="NormalWeb"/>
              <w:tabs>
                <w:tab w:val="left" w:pos="552"/>
              </w:tabs>
              <w:spacing w:before="0" w:beforeAutospacing="0" w:after="0" w:afterAutospacing="0"/>
              <w:ind w:left="57" w:right="57" w:firstLine="284"/>
              <w:jc w:val="both"/>
              <w:rPr>
                <w:bCs/>
              </w:rPr>
            </w:pPr>
            <w:r>
              <w:rPr>
                <w:bCs/>
              </w:rPr>
              <w:t>2</w:t>
            </w:r>
            <w:r w:rsidR="008E1494" w:rsidRPr="00FA7355">
              <w:rPr>
                <w:bCs/>
              </w:rPr>
              <w:t>) </w:t>
            </w:r>
            <w:r w:rsidR="00966A05">
              <w:rPr>
                <w:bCs/>
              </w:rPr>
              <w:t xml:space="preserve">administratora </w:t>
            </w:r>
            <w:r>
              <w:rPr>
                <w:bCs/>
              </w:rPr>
              <w:t xml:space="preserve">pretendenta </w:t>
            </w:r>
            <w:r w:rsidR="00966A05">
              <w:rPr>
                <w:bCs/>
              </w:rPr>
              <w:t>eksāmena</w:t>
            </w:r>
            <w:r w:rsidR="008E1494" w:rsidRPr="00FA7355">
              <w:rPr>
                <w:bCs/>
              </w:rPr>
              <w:t>;</w:t>
            </w:r>
          </w:p>
          <w:p w:rsidR="008E1494" w:rsidRPr="00FA7355" w:rsidRDefault="00FE0556" w:rsidP="00495AC0">
            <w:pPr>
              <w:pStyle w:val="NormalWeb"/>
              <w:tabs>
                <w:tab w:val="left" w:pos="552"/>
              </w:tabs>
              <w:spacing w:before="0" w:beforeAutospacing="0" w:after="0" w:afterAutospacing="0"/>
              <w:ind w:left="57" w:right="57" w:firstLine="284"/>
              <w:jc w:val="both"/>
              <w:rPr>
                <w:bCs/>
              </w:rPr>
            </w:pPr>
            <w:r>
              <w:rPr>
                <w:bCs/>
              </w:rPr>
              <w:t>3</w:t>
            </w:r>
            <w:r w:rsidR="008E1494" w:rsidRPr="00FA7355">
              <w:rPr>
                <w:bCs/>
              </w:rPr>
              <w:t>) </w:t>
            </w:r>
            <w:r w:rsidR="00966A05">
              <w:rPr>
                <w:bCs/>
              </w:rPr>
              <w:t>kvalifikācijas eksāmena</w:t>
            </w:r>
            <w:r w:rsidR="008E1494" w:rsidRPr="00FA7355">
              <w:rPr>
                <w:bCs/>
              </w:rPr>
              <w:t>.</w:t>
            </w:r>
          </w:p>
          <w:p w:rsidR="00D47580" w:rsidRPr="00FA7355" w:rsidRDefault="008C086D" w:rsidP="00D47580">
            <w:pPr>
              <w:pStyle w:val="NormalWeb"/>
              <w:tabs>
                <w:tab w:val="left" w:pos="552"/>
              </w:tabs>
              <w:spacing w:before="0" w:beforeAutospacing="0" w:after="0" w:afterAutospacing="0"/>
              <w:ind w:left="57" w:right="57" w:firstLine="284"/>
              <w:jc w:val="both"/>
              <w:rPr>
                <w:bCs/>
              </w:rPr>
            </w:pPr>
            <w:r w:rsidRPr="00FA7355">
              <w:rPr>
                <w:bCs/>
              </w:rPr>
              <w:t>Atteikties no administratora</w:t>
            </w:r>
            <w:r w:rsidR="00FE0556">
              <w:rPr>
                <w:bCs/>
              </w:rPr>
              <w:t xml:space="preserve"> pretendenta</w:t>
            </w:r>
            <w:r w:rsidRPr="00FA7355">
              <w:rPr>
                <w:bCs/>
              </w:rPr>
              <w:t xml:space="preserve"> eksāmena un saņemt atpakaļ par maksas pakalpojumu samaksātos naudas līdzekļus persona būs tiesīga līdz brīdim, kamēr nebūs beidzies pieteikšanās</w:t>
            </w:r>
            <w:r w:rsidR="00A30633" w:rsidRPr="00FA7355">
              <w:rPr>
                <w:bCs/>
              </w:rPr>
              <w:t xml:space="preserve"> termiņš uz attiecīgo eksāmenu.</w:t>
            </w:r>
            <w:r w:rsidR="00D47580" w:rsidRPr="00FA7355">
              <w:rPr>
                <w:bCs/>
              </w:rPr>
              <w:t xml:space="preserve"> Atsakoties no maksas pakalpojuma pēc minētā termiņa beigām, samaksātā summa netiek atmaksāta.</w:t>
            </w:r>
            <w:r w:rsidR="000211BE" w:rsidRPr="00FA7355">
              <w:rPr>
                <w:bCs/>
              </w:rPr>
              <w:t xml:space="preserve"> </w:t>
            </w:r>
          </w:p>
          <w:p w:rsidR="000211BE" w:rsidRPr="00FA7355" w:rsidRDefault="000211BE" w:rsidP="00D47580">
            <w:pPr>
              <w:pStyle w:val="NormalWeb"/>
              <w:tabs>
                <w:tab w:val="left" w:pos="552"/>
              </w:tabs>
              <w:spacing w:before="0" w:beforeAutospacing="0" w:after="0" w:afterAutospacing="0"/>
              <w:ind w:left="57" w:right="57" w:firstLine="284"/>
              <w:jc w:val="both"/>
              <w:rPr>
                <w:bCs/>
              </w:rPr>
            </w:pPr>
            <w:r w:rsidRPr="00FA7355">
              <w:rPr>
                <w:bCs/>
              </w:rPr>
              <w:t>Atteikties no kvalifikācijas eksāmena un saņemt atpakaļ par maksas pakalpojumu samaksātos naudas līdzekļus persona būs tiesīga 15 dienu laikā no dienas, kad persona iesnieguma iesniegumu par pakalpojuma saņemšanu.</w:t>
            </w:r>
            <w:r w:rsidRPr="00FA7355">
              <w:t xml:space="preserve"> </w:t>
            </w:r>
            <w:r w:rsidRPr="00FA7355">
              <w:rPr>
                <w:bCs/>
              </w:rPr>
              <w:t>Atsakoties no maksas pakalpojuma pēc minētā termiņa beigām, samaksātā summa netiek atmaksāta.</w:t>
            </w:r>
          </w:p>
          <w:p w:rsidR="00D47580" w:rsidRPr="00FA7355" w:rsidRDefault="00D47580" w:rsidP="00495AC0">
            <w:pPr>
              <w:pStyle w:val="NormalWeb"/>
              <w:tabs>
                <w:tab w:val="left" w:pos="552"/>
              </w:tabs>
              <w:spacing w:before="0" w:beforeAutospacing="0" w:after="0" w:afterAutospacing="0"/>
              <w:ind w:left="57" w:right="57" w:firstLine="284"/>
              <w:jc w:val="both"/>
              <w:rPr>
                <w:bCs/>
              </w:rPr>
            </w:pPr>
            <w:r w:rsidRPr="00FA7355">
              <w:rPr>
                <w:bCs/>
              </w:rPr>
              <w:t>Attiekties</w:t>
            </w:r>
            <w:r w:rsidRPr="00FA7355">
              <w:rPr>
                <w:rFonts w:ascii="Calibri" w:eastAsia="Calibri" w:hAnsi="Calibri"/>
                <w:bCs/>
                <w:sz w:val="22"/>
                <w:szCs w:val="22"/>
                <w:lang w:eastAsia="en-US"/>
              </w:rPr>
              <w:t xml:space="preserve"> </w:t>
            </w:r>
            <w:r w:rsidRPr="00FA7355">
              <w:rPr>
                <w:bCs/>
              </w:rPr>
              <w:t>no</w:t>
            </w:r>
            <w:r w:rsidRPr="00FA7355">
              <w:rPr>
                <w:rFonts w:ascii="Calibri" w:eastAsia="Calibri" w:hAnsi="Calibri"/>
                <w:bCs/>
                <w:sz w:val="22"/>
                <w:szCs w:val="22"/>
                <w:lang w:eastAsia="en-US"/>
              </w:rPr>
              <w:t xml:space="preserve"> </w:t>
            </w:r>
            <w:r w:rsidRPr="00FA7355">
              <w:rPr>
                <w:bCs/>
              </w:rPr>
              <w:t>kvalifikācijas pilnveides pasākuma apmeklēšanas un saņemt atpakaļ par maksas pakalpojumu samaksātos naudas līdzekļus persona būs tiesīga ne vēlāk kā divas darbdienas pirms kvalifikācijas pilnveides pasākuma norises dienas. Atsakoties no maksas pakalpojuma pēc minētā termiņa beigām, samaksātā summa netiek atmaksāta.</w:t>
            </w:r>
          </w:p>
          <w:p w:rsidR="009A532E" w:rsidRPr="00FA7355" w:rsidRDefault="009A532E" w:rsidP="00495AC0">
            <w:pPr>
              <w:pStyle w:val="NormalWeb"/>
              <w:tabs>
                <w:tab w:val="left" w:pos="552"/>
              </w:tabs>
              <w:spacing w:before="0" w:beforeAutospacing="0" w:after="0" w:afterAutospacing="0"/>
              <w:ind w:left="57" w:right="57" w:firstLine="284"/>
              <w:jc w:val="both"/>
              <w:rPr>
                <w:bCs/>
              </w:rPr>
            </w:pPr>
            <w:r w:rsidRPr="00FA7355">
              <w:rPr>
                <w:bCs/>
              </w:rPr>
              <w:t>Šāda kārtīb</w:t>
            </w:r>
            <w:r w:rsidR="006D1E31" w:rsidRPr="00FA7355">
              <w:rPr>
                <w:bCs/>
              </w:rPr>
              <w:t>a</w:t>
            </w:r>
            <w:r w:rsidRPr="00FA7355">
              <w:rPr>
                <w:bCs/>
              </w:rPr>
              <w:t xml:space="preserve"> noteikta, jo </w:t>
            </w:r>
            <w:r w:rsidR="00127838" w:rsidRPr="00FA7355">
              <w:rPr>
                <w:bCs/>
              </w:rPr>
              <w:t xml:space="preserve">minēto pakalpojumu </w:t>
            </w:r>
            <w:r w:rsidR="004A107F" w:rsidRPr="00FA7355">
              <w:rPr>
                <w:bCs/>
              </w:rPr>
              <w:t>organizēšanai</w:t>
            </w:r>
            <w:r w:rsidR="00127838" w:rsidRPr="00FA7355">
              <w:rPr>
                <w:bCs/>
              </w:rPr>
              <w:t xml:space="preserve"> </w:t>
            </w:r>
            <w:r w:rsidR="00FE3299" w:rsidRPr="00FA7355">
              <w:rPr>
                <w:bCs/>
              </w:rPr>
              <w:t>nepieciešams</w:t>
            </w:r>
            <w:r w:rsidR="002D12D2" w:rsidRPr="00FA7355">
              <w:rPr>
                <w:bCs/>
              </w:rPr>
              <w:t xml:space="preserve"> </w:t>
            </w:r>
            <w:r w:rsidR="00AC076E" w:rsidRPr="00FA7355">
              <w:rPr>
                <w:bCs/>
              </w:rPr>
              <w:t>materi</w:t>
            </w:r>
            <w:r w:rsidR="00A23034" w:rsidRPr="00FA7355">
              <w:rPr>
                <w:bCs/>
              </w:rPr>
              <w:t>āltehnisk</w:t>
            </w:r>
            <w:r w:rsidR="00FE3299" w:rsidRPr="00FA7355">
              <w:rPr>
                <w:bCs/>
              </w:rPr>
              <w:t>ais</w:t>
            </w:r>
            <w:r w:rsidR="00AC076E" w:rsidRPr="00FA7355">
              <w:rPr>
                <w:bCs/>
              </w:rPr>
              <w:t xml:space="preserve"> nodrošin</w:t>
            </w:r>
            <w:r w:rsidR="00A23034" w:rsidRPr="00FA7355">
              <w:rPr>
                <w:bCs/>
              </w:rPr>
              <w:t>ājum</w:t>
            </w:r>
            <w:r w:rsidR="00FE3299" w:rsidRPr="00FA7355">
              <w:rPr>
                <w:bCs/>
              </w:rPr>
              <w:t>s</w:t>
            </w:r>
            <w:r w:rsidR="00AC076E" w:rsidRPr="00FA7355">
              <w:rPr>
                <w:bCs/>
              </w:rPr>
              <w:t xml:space="preserve">, </w:t>
            </w:r>
            <w:r w:rsidR="004A107F" w:rsidRPr="00FA7355">
              <w:rPr>
                <w:bCs/>
              </w:rPr>
              <w:t>jāveic</w:t>
            </w:r>
            <w:r w:rsidRPr="00FA7355">
              <w:rPr>
                <w:bCs/>
              </w:rPr>
              <w:t xml:space="preserve"> </w:t>
            </w:r>
            <w:r w:rsidR="00127838" w:rsidRPr="00FA7355">
              <w:rPr>
                <w:bCs/>
              </w:rPr>
              <w:t xml:space="preserve">nepieciešamie </w:t>
            </w:r>
            <w:r w:rsidRPr="00FA7355">
              <w:rPr>
                <w:bCs/>
              </w:rPr>
              <w:t xml:space="preserve">pasākumi </w:t>
            </w:r>
            <w:r w:rsidR="00496A9A" w:rsidRPr="00FA7355">
              <w:rPr>
                <w:bCs/>
              </w:rPr>
              <w:t>eksāmena</w:t>
            </w:r>
            <w:r w:rsidR="00FE3299" w:rsidRPr="00FA7355">
              <w:rPr>
                <w:bCs/>
              </w:rPr>
              <w:t xml:space="preserve"> norises nodrošināšanai</w:t>
            </w:r>
            <w:r w:rsidR="00127838" w:rsidRPr="00FA7355">
              <w:rPr>
                <w:bCs/>
              </w:rPr>
              <w:t>, proti,</w:t>
            </w:r>
            <w:r w:rsidRPr="00FA7355">
              <w:rPr>
                <w:bCs/>
              </w:rPr>
              <w:t xml:space="preserve"> </w:t>
            </w:r>
            <w:r w:rsidR="00FE3299" w:rsidRPr="00FA7355">
              <w:rPr>
                <w:bCs/>
              </w:rPr>
              <w:t>tiek</w:t>
            </w:r>
            <w:r w:rsidRPr="00FA7355">
              <w:rPr>
                <w:bCs/>
              </w:rPr>
              <w:t xml:space="preserve"> </w:t>
            </w:r>
            <w:r w:rsidR="00430869" w:rsidRPr="00FA7355">
              <w:rPr>
                <w:bCs/>
              </w:rPr>
              <w:t xml:space="preserve">rezervētas telpas, notiek </w:t>
            </w:r>
            <w:r w:rsidR="00127838" w:rsidRPr="00FA7355">
              <w:rPr>
                <w:bCs/>
              </w:rPr>
              <w:t>sagatavošanās</w:t>
            </w:r>
            <w:r w:rsidR="00430869" w:rsidRPr="00FA7355">
              <w:rPr>
                <w:bCs/>
              </w:rPr>
              <w:t xml:space="preserve"> darbi, nodarbināti lektori</w:t>
            </w:r>
            <w:r w:rsidR="00127838" w:rsidRPr="00FA7355">
              <w:rPr>
                <w:bCs/>
              </w:rPr>
              <w:t xml:space="preserve"> jautājumu sagatavošanā</w:t>
            </w:r>
            <w:r w:rsidR="00430869" w:rsidRPr="00FA7355">
              <w:rPr>
                <w:bCs/>
              </w:rPr>
              <w:t xml:space="preserve"> </w:t>
            </w:r>
            <w:r w:rsidR="00127838" w:rsidRPr="00FA7355">
              <w:rPr>
                <w:bCs/>
              </w:rPr>
              <w:t xml:space="preserve">u.c. </w:t>
            </w:r>
            <w:r w:rsidR="00D47580" w:rsidRPr="00FA7355">
              <w:rPr>
                <w:bCs/>
              </w:rPr>
              <w:t>Ņemot vērā to, ka sagatavošanas darbu apjoms, organizējot kvalifikācijas pilnveides pasākumu, ir mazāks, nekā organizējot administratora</w:t>
            </w:r>
            <w:r w:rsidR="00FE0556">
              <w:rPr>
                <w:bCs/>
              </w:rPr>
              <w:t xml:space="preserve"> pretendenta</w:t>
            </w:r>
            <w:r w:rsidR="00D47580" w:rsidRPr="00FA7355">
              <w:rPr>
                <w:bCs/>
              </w:rPr>
              <w:t xml:space="preserve"> eksāmenu vai kvalifikācijas eksāmenu, attiecīgā pakalpojuma izpildi var uzsākt vēlāk un tāpēc noteikumu projektā ir paredzēts garāks termiņš, kādā ir iespēj</w:t>
            </w:r>
            <w:r w:rsidR="00AE1107" w:rsidRPr="00FA7355">
              <w:rPr>
                <w:bCs/>
              </w:rPr>
              <w:t>ams atteikties no pakalpojuma, saņemot atpakaļ samaksāto summu.</w:t>
            </w:r>
          </w:p>
          <w:p w:rsidR="008A3C49" w:rsidRPr="00FA7355" w:rsidRDefault="008E1494" w:rsidP="00495AC0">
            <w:pPr>
              <w:pStyle w:val="NormalWeb"/>
              <w:tabs>
                <w:tab w:val="left" w:pos="552"/>
              </w:tabs>
              <w:spacing w:before="0" w:beforeAutospacing="0" w:after="0" w:afterAutospacing="0"/>
              <w:ind w:left="57" w:right="57" w:firstLine="284"/>
              <w:jc w:val="both"/>
              <w:rPr>
                <w:bCs/>
              </w:rPr>
            </w:pPr>
            <w:r w:rsidRPr="00FA7355">
              <w:rPr>
                <w:bCs/>
              </w:rPr>
              <w:t>Par maksas pakalpojumu – amata apliecības izdošana (dublikāta izdošana) samaksātie n</w:t>
            </w:r>
            <w:r w:rsidR="0034023F" w:rsidRPr="00FA7355">
              <w:rPr>
                <w:bCs/>
              </w:rPr>
              <w:t>audas līdzekļi netiek atmaksāti</w:t>
            </w:r>
            <w:r w:rsidRPr="00FA7355">
              <w:rPr>
                <w:bCs/>
              </w:rPr>
              <w:t>. Noteikumu projektā noteikta šāda kārt</w:t>
            </w:r>
            <w:r w:rsidR="008C086D" w:rsidRPr="00FA7355">
              <w:rPr>
                <w:bCs/>
              </w:rPr>
              <w:t xml:space="preserve">ība, lai nerastos situācija, ka persona atsakās no konkrētā maksas pakalpojuma, bet Maksātnespējas administrācija amata apliecību ir izgatavojusi, un tās izgatavošanas izmaksas jāsedz no Maksātnespējas administrācijas budžeta līdzekļiem. </w:t>
            </w:r>
          </w:p>
          <w:p w:rsidR="00A9010F" w:rsidRPr="00FA7355" w:rsidRDefault="00AE1107" w:rsidP="00495AC0">
            <w:pPr>
              <w:pStyle w:val="NormalWeb"/>
              <w:tabs>
                <w:tab w:val="left" w:pos="552"/>
              </w:tabs>
              <w:spacing w:before="0" w:beforeAutospacing="0" w:after="0" w:afterAutospacing="0"/>
              <w:ind w:left="57" w:right="57" w:firstLine="284"/>
              <w:jc w:val="both"/>
              <w:rPr>
                <w:bCs/>
              </w:rPr>
            </w:pPr>
            <w:r w:rsidRPr="00FA7355">
              <w:rPr>
                <w:bCs/>
              </w:rPr>
              <w:t xml:space="preserve">Vienlaikus </w:t>
            </w:r>
            <w:r w:rsidR="00D74A09" w:rsidRPr="00FA7355">
              <w:rPr>
                <w:bCs/>
              </w:rPr>
              <w:t xml:space="preserve">netiek atmaksāti samaksātie naudas </w:t>
            </w:r>
            <w:r w:rsidR="00D74A09" w:rsidRPr="00FA7355">
              <w:rPr>
                <w:bCs/>
              </w:rPr>
              <w:lastRenderedPageBreak/>
              <w:t xml:space="preserve">līdzekļi par noteikumu projektā paredzētajiem maksas pakalpojumiem, ja persona neierodas uz apmaksāto maksas pakalpojumu. </w:t>
            </w:r>
          </w:p>
          <w:p w:rsidR="00216012" w:rsidRPr="00FA7355" w:rsidRDefault="00216012" w:rsidP="00DD7924">
            <w:pPr>
              <w:pStyle w:val="NormalWeb"/>
              <w:tabs>
                <w:tab w:val="left" w:pos="552"/>
              </w:tabs>
              <w:spacing w:before="0" w:beforeAutospacing="0" w:after="0" w:afterAutospacing="0"/>
              <w:ind w:left="57" w:right="57" w:firstLine="284"/>
              <w:jc w:val="both"/>
            </w:pPr>
            <w:r w:rsidRPr="00FA7355">
              <w:t>Tāpat norādāms, ka Pievienotās vērtības nodokļa likum</w:t>
            </w:r>
            <w:r w:rsidR="002F27CC" w:rsidRPr="00FA7355">
              <w:t>a 3.</w:t>
            </w:r>
            <w:r w:rsidR="006C161A" w:rsidRPr="00FA7355">
              <w:t> </w:t>
            </w:r>
            <w:r w:rsidR="002F27CC" w:rsidRPr="00FA7355">
              <w:t>panta astotajā daļā noteikt</w:t>
            </w:r>
            <w:r w:rsidR="00DD7924" w:rsidRPr="00FA7355">
              <w:t>s</w:t>
            </w:r>
            <w:r w:rsidR="004C0BB0" w:rsidRPr="00FA7355">
              <w:t>,</w:t>
            </w:r>
            <w:r w:rsidR="00DD7924" w:rsidRPr="00FA7355">
              <w:t xml:space="preserve"> ka</w:t>
            </w:r>
            <w:r w:rsidRPr="00FA7355">
              <w:t xml:space="preserve"> </w:t>
            </w:r>
            <w:r w:rsidR="00C94FD6" w:rsidRPr="00FA7355">
              <w:t>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w:t>
            </w:r>
            <w:r w:rsidR="004B4CE8" w:rsidRPr="00FA7355">
              <w:t>. Līdz ar to</w:t>
            </w:r>
            <w:r w:rsidR="002F27CC" w:rsidRPr="00FA7355">
              <w:t xml:space="preserve"> </w:t>
            </w:r>
            <w:r w:rsidR="00A7067F" w:rsidRPr="00FA7355">
              <w:t xml:space="preserve">Maksātnespējas administrācija </w:t>
            </w:r>
            <w:r w:rsidR="002F27CC" w:rsidRPr="00FA7355">
              <w:t>maksas pakalpojumiem netiek piemērots pievienotās vērtības nodoklis.</w:t>
            </w:r>
          </w:p>
        </w:tc>
      </w:tr>
      <w:tr w:rsidR="00433924" w:rsidRPr="00FA7355">
        <w:trPr>
          <w:trHeight w:val="476"/>
        </w:trPr>
        <w:tc>
          <w:tcPr>
            <w:tcW w:w="403" w:type="dxa"/>
          </w:tcPr>
          <w:p w:rsidR="00433924" w:rsidRPr="00FA7355" w:rsidRDefault="00433924" w:rsidP="003E18BF">
            <w:pPr>
              <w:pStyle w:val="naiskr"/>
              <w:spacing w:before="0" w:after="0"/>
            </w:pPr>
            <w:r w:rsidRPr="00FA7355">
              <w:lastRenderedPageBreak/>
              <w:t>3.</w:t>
            </w:r>
          </w:p>
        </w:tc>
        <w:tc>
          <w:tcPr>
            <w:tcW w:w="3288" w:type="dxa"/>
          </w:tcPr>
          <w:p w:rsidR="00433924" w:rsidRPr="00FA7355" w:rsidRDefault="00433924" w:rsidP="003E18BF">
            <w:pPr>
              <w:pStyle w:val="naiskr"/>
              <w:spacing w:before="0" w:after="0"/>
            </w:pPr>
            <w:r w:rsidRPr="00FA7355">
              <w:t>Projekta izstrādē iesaistītās institūcijas</w:t>
            </w:r>
          </w:p>
        </w:tc>
        <w:tc>
          <w:tcPr>
            <w:tcW w:w="5386" w:type="dxa"/>
          </w:tcPr>
          <w:p w:rsidR="00433924" w:rsidRPr="00FA7355" w:rsidRDefault="004E584C" w:rsidP="00495AC0">
            <w:pPr>
              <w:pStyle w:val="naiskr"/>
              <w:spacing w:before="0" w:after="0"/>
              <w:ind w:firstLine="283"/>
            </w:pPr>
            <w:r w:rsidRPr="00FA7355">
              <w:t>Tieslietu ministrija (</w:t>
            </w:r>
            <w:r w:rsidR="00433924" w:rsidRPr="00FA7355">
              <w:t>Maksātnespējas administrācija</w:t>
            </w:r>
            <w:r w:rsidRPr="00FA7355">
              <w:t>)</w:t>
            </w:r>
            <w:r w:rsidR="00433924" w:rsidRPr="00FA7355">
              <w:t>.</w:t>
            </w:r>
          </w:p>
        </w:tc>
      </w:tr>
      <w:tr w:rsidR="00433924" w:rsidRPr="00FA7355">
        <w:tc>
          <w:tcPr>
            <w:tcW w:w="403" w:type="dxa"/>
          </w:tcPr>
          <w:p w:rsidR="00433924" w:rsidRPr="00FA7355" w:rsidRDefault="00433924" w:rsidP="003E18BF">
            <w:pPr>
              <w:pStyle w:val="naiskr"/>
              <w:spacing w:before="0" w:after="0"/>
            </w:pPr>
            <w:r w:rsidRPr="00FA7355">
              <w:t>4.</w:t>
            </w:r>
          </w:p>
        </w:tc>
        <w:tc>
          <w:tcPr>
            <w:tcW w:w="3288" w:type="dxa"/>
          </w:tcPr>
          <w:p w:rsidR="00433924" w:rsidRPr="00FA7355" w:rsidRDefault="00433924" w:rsidP="003E18BF">
            <w:pPr>
              <w:pStyle w:val="naiskr"/>
              <w:spacing w:before="0" w:after="0"/>
            </w:pPr>
            <w:r w:rsidRPr="00FA7355">
              <w:t>Cita informācija</w:t>
            </w:r>
          </w:p>
        </w:tc>
        <w:tc>
          <w:tcPr>
            <w:tcW w:w="5386" w:type="dxa"/>
          </w:tcPr>
          <w:p w:rsidR="00433924" w:rsidRPr="00FA7355" w:rsidRDefault="00433924" w:rsidP="003E18BF">
            <w:pPr>
              <w:pStyle w:val="naiskr"/>
              <w:spacing w:before="0" w:after="0"/>
              <w:ind w:firstLine="385"/>
              <w:jc w:val="both"/>
            </w:pPr>
            <w:r w:rsidRPr="00FA7355">
              <w:t>Nav.</w:t>
            </w:r>
          </w:p>
        </w:tc>
      </w:tr>
    </w:tbl>
    <w:p w:rsidR="008F1CC9" w:rsidRPr="00FA7355" w:rsidRDefault="008F1CC9" w:rsidP="003E18BF">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CD652E" w:rsidRPr="00FA7355" w:rsidTr="00D86AAE">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D652E" w:rsidRPr="00FA7355" w:rsidRDefault="00CD652E" w:rsidP="00D86AAE">
            <w:pPr>
              <w:spacing w:before="100" w:beforeAutospacing="1" w:after="100" w:afterAutospacing="1" w:line="293" w:lineRule="atLeast"/>
              <w:jc w:val="center"/>
              <w:rPr>
                <w:rFonts w:ascii="Times New Roman" w:eastAsia="Times New Roman" w:hAnsi="Times New Roman"/>
                <w:b/>
                <w:bCs/>
                <w:sz w:val="24"/>
                <w:szCs w:val="24"/>
                <w:lang w:eastAsia="lv-LV"/>
              </w:rPr>
            </w:pPr>
            <w:r w:rsidRPr="00FA7355">
              <w:rPr>
                <w:rFonts w:ascii="Times New Roman" w:eastAsia="Times New Roman" w:hAnsi="Times New Roman"/>
                <w:b/>
                <w:bCs/>
                <w:sz w:val="24"/>
                <w:szCs w:val="24"/>
                <w:lang w:eastAsia="lv-LV"/>
              </w:rPr>
              <w:t>II. Tiesību akta projekta ietekme uz sabiedrību, tautsaimniecības attīstību un administratīvo slogu</w:t>
            </w:r>
          </w:p>
        </w:tc>
      </w:tr>
      <w:tr w:rsidR="00CD652E" w:rsidRPr="00FA7355" w:rsidTr="00D86AAE">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CD652E" w:rsidRPr="00FA7355" w:rsidRDefault="00CD652E"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D652E" w:rsidRPr="00FA7355" w:rsidRDefault="00CD652E"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11714" w:rsidRPr="00FA7355" w:rsidRDefault="007F7497" w:rsidP="00B544C6">
            <w:pPr>
              <w:spacing w:after="0" w:line="240" w:lineRule="auto"/>
              <w:ind w:firstLine="260"/>
              <w:jc w:val="both"/>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Noteikumu projekts ir attiecināms uz šādām mērķa grupām:</w:t>
            </w:r>
          </w:p>
          <w:p w:rsidR="00611714" w:rsidRPr="00FA7355" w:rsidRDefault="0082694B" w:rsidP="00B544C6">
            <w:pPr>
              <w:spacing w:after="0" w:line="240" w:lineRule="auto"/>
              <w:ind w:firstLine="260"/>
              <w:jc w:val="both"/>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1) </w:t>
            </w:r>
            <w:r w:rsidR="00611714" w:rsidRPr="00FA7355">
              <w:rPr>
                <w:rFonts w:ascii="Times New Roman" w:eastAsia="Times New Roman" w:hAnsi="Times New Roman"/>
                <w:sz w:val="24"/>
                <w:szCs w:val="24"/>
                <w:lang w:eastAsia="lv-LV"/>
              </w:rPr>
              <w:t>administratori</w:t>
            </w:r>
            <w:r w:rsidRPr="00FA7355">
              <w:rPr>
                <w:rFonts w:ascii="Times New Roman" w:eastAsia="Times New Roman" w:hAnsi="Times New Roman"/>
                <w:sz w:val="24"/>
                <w:szCs w:val="24"/>
                <w:lang w:eastAsia="lv-LV"/>
              </w:rPr>
              <w:t xml:space="preserve"> </w:t>
            </w:r>
            <w:r w:rsidRPr="00FA7355">
              <w:rPr>
                <w:rFonts w:ascii="Courier New" w:eastAsia="Times New Roman" w:hAnsi="Courier New" w:cs="Courier New"/>
                <w:sz w:val="24"/>
                <w:szCs w:val="24"/>
                <w:lang w:eastAsia="lv-LV"/>
              </w:rPr>
              <w:t>­</w:t>
            </w:r>
            <w:r w:rsidR="00611714" w:rsidRPr="00FA7355">
              <w:rPr>
                <w:rFonts w:ascii="Times New Roman" w:eastAsia="Times New Roman" w:hAnsi="Times New Roman"/>
                <w:sz w:val="24"/>
                <w:szCs w:val="24"/>
                <w:lang w:eastAsia="lv-LV"/>
              </w:rPr>
              <w:t xml:space="preserve"> Latvijas Republikas Uzņēmumu reģistrā vestajā maksātnespējas reģistr</w:t>
            </w:r>
            <w:r w:rsidR="00BB5CCA" w:rsidRPr="00FA7355">
              <w:rPr>
                <w:rFonts w:ascii="Times New Roman" w:eastAsia="Times New Roman" w:hAnsi="Times New Roman"/>
                <w:sz w:val="24"/>
                <w:szCs w:val="24"/>
                <w:lang w:eastAsia="lv-LV"/>
              </w:rPr>
              <w:t>ā 2017. </w:t>
            </w:r>
            <w:r w:rsidR="00611714" w:rsidRPr="00FA7355">
              <w:rPr>
                <w:rFonts w:ascii="Times New Roman" w:eastAsia="Times New Roman" w:hAnsi="Times New Roman"/>
                <w:sz w:val="24"/>
                <w:szCs w:val="24"/>
                <w:lang w:eastAsia="lv-LV"/>
              </w:rPr>
              <w:t xml:space="preserve">gada 13. maijā ir </w:t>
            </w:r>
            <w:r w:rsidR="009F388A" w:rsidRPr="00FA7355">
              <w:rPr>
                <w:rFonts w:ascii="Times New Roman" w:eastAsia="Times New Roman" w:hAnsi="Times New Roman"/>
                <w:sz w:val="24"/>
                <w:szCs w:val="24"/>
                <w:lang w:eastAsia="lv-LV"/>
              </w:rPr>
              <w:t xml:space="preserve">reģistrēti </w:t>
            </w:r>
            <w:r w:rsidR="00611714" w:rsidRPr="00FA7355">
              <w:rPr>
                <w:rFonts w:ascii="Times New Roman" w:eastAsia="Times New Roman" w:hAnsi="Times New Roman"/>
                <w:sz w:val="24"/>
                <w:szCs w:val="24"/>
                <w:lang w:eastAsia="lv-LV"/>
              </w:rPr>
              <w:t>305 administratori;</w:t>
            </w:r>
          </w:p>
          <w:p w:rsidR="00B544C6" w:rsidRPr="00FA7355" w:rsidRDefault="00611714" w:rsidP="00B544C6">
            <w:pPr>
              <w:pStyle w:val="naiskr"/>
              <w:spacing w:before="0" w:after="0"/>
              <w:ind w:left="57" w:right="57" w:firstLine="284"/>
              <w:jc w:val="both"/>
            </w:pPr>
            <w:r w:rsidRPr="00FA7355">
              <w:t>2) </w:t>
            </w:r>
            <w:r w:rsidR="00B544C6" w:rsidRPr="00FA7355">
              <w:t xml:space="preserve">administratoru pretendenti </w:t>
            </w:r>
            <w:r w:rsidR="00BC2F65" w:rsidRPr="00FA7355">
              <w:rPr>
                <w:rFonts w:ascii="Courier New" w:hAnsi="Courier New" w:cs="Courier New"/>
              </w:rPr>
              <w:t>­</w:t>
            </w:r>
            <w:r w:rsidR="00B544C6" w:rsidRPr="00FA7355">
              <w:t xml:space="preserve"> Maksātnespējas likums 13. panta pirmajā daļā nosaka administratoram izvirzāmās prasības, savukārt par administratora pretendentu var būt jebkura persona, kura </w:t>
            </w:r>
            <w:r w:rsidR="00111234" w:rsidRPr="00FA7355">
              <w:t xml:space="preserve">normatīvajos aktos </w:t>
            </w:r>
            <w:r w:rsidR="00B544C6" w:rsidRPr="00FA7355">
              <w:t>noteiktajā kārtībā ir izteikusi vēlmi kārtot administratora</w:t>
            </w:r>
            <w:r w:rsidR="00365CB7">
              <w:t xml:space="preserve"> pretendenta</w:t>
            </w:r>
            <w:r w:rsidR="00B544C6" w:rsidRPr="00FA7355">
              <w:t xml:space="preserve"> eksāmenu. Ievērojot minēto, nav iespējams noteikt administratora amata pretendentu skaitu;</w:t>
            </w:r>
          </w:p>
          <w:p w:rsidR="00611714" w:rsidRPr="00FA7355" w:rsidRDefault="00FE0556" w:rsidP="00B544C6">
            <w:pPr>
              <w:pStyle w:val="naiskr"/>
              <w:spacing w:before="0" w:after="0"/>
              <w:ind w:left="57" w:right="57" w:firstLine="284"/>
              <w:jc w:val="both"/>
            </w:pPr>
            <w:r>
              <w:t>3</w:t>
            </w:r>
            <w:r w:rsidR="00B544C6" w:rsidRPr="00FA7355">
              <w:t>) Maksātnespējas administrācij</w:t>
            </w:r>
            <w:r w:rsidR="002B4DF6" w:rsidRPr="00FA7355">
              <w:t>as</w:t>
            </w:r>
            <w:r w:rsidR="00B544C6" w:rsidRPr="00FA7355">
              <w:t xml:space="preserve"> nodarbināt</w:t>
            </w:r>
            <w:r w:rsidR="002B4DF6" w:rsidRPr="00FA7355">
              <w:t>ie</w:t>
            </w:r>
            <w:r w:rsidR="00AB0E25" w:rsidRPr="00FA7355">
              <w:t>.</w:t>
            </w:r>
          </w:p>
        </w:tc>
      </w:tr>
      <w:tr w:rsidR="00CD652E" w:rsidRPr="00FA7355" w:rsidTr="00D86AA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D652E"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D652E" w:rsidRPr="00FA7355" w:rsidRDefault="00CD652E"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F0B7E" w:rsidRPr="00FA7355" w:rsidRDefault="00AB0E25" w:rsidP="008F0B7E">
            <w:pPr>
              <w:spacing w:after="0" w:line="240" w:lineRule="auto"/>
              <w:ind w:firstLine="284"/>
              <w:jc w:val="both"/>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Kā tas norādīts</w:t>
            </w:r>
            <w:r w:rsidR="00110672" w:rsidRPr="00FA7355">
              <w:rPr>
                <w:rFonts w:ascii="Times New Roman" w:eastAsia="Times New Roman" w:hAnsi="Times New Roman"/>
                <w:sz w:val="24"/>
                <w:szCs w:val="24"/>
                <w:lang w:eastAsia="lv-LV"/>
              </w:rPr>
              <w:t xml:space="preserve"> anotācijas I. </w:t>
            </w:r>
            <w:r w:rsidR="008F0B7E" w:rsidRPr="00FA7355">
              <w:rPr>
                <w:rFonts w:ascii="Times New Roman" w:eastAsia="Times New Roman" w:hAnsi="Times New Roman"/>
                <w:sz w:val="24"/>
                <w:szCs w:val="24"/>
                <w:lang w:eastAsia="lv-LV"/>
              </w:rPr>
              <w:t>s</w:t>
            </w:r>
            <w:r w:rsidR="00110672" w:rsidRPr="00FA7355">
              <w:rPr>
                <w:rFonts w:ascii="Times New Roman" w:eastAsia="Times New Roman" w:hAnsi="Times New Roman"/>
                <w:sz w:val="24"/>
                <w:szCs w:val="24"/>
                <w:lang w:eastAsia="lv-LV"/>
              </w:rPr>
              <w:t>adaļā, n</w:t>
            </w:r>
            <w:r w:rsidR="000A7DB0" w:rsidRPr="00FA7355">
              <w:rPr>
                <w:rFonts w:ascii="Times New Roman" w:eastAsia="Times New Roman" w:hAnsi="Times New Roman"/>
                <w:sz w:val="24"/>
                <w:szCs w:val="24"/>
                <w:lang w:eastAsia="lv-LV"/>
              </w:rPr>
              <w:t xml:space="preserve">oteikumu projektā noteikta kārtība, kādā atmaksājami naudas līdzekļi par maksas pakalpojumu, ja iesniedzējs no tā atsakās. </w:t>
            </w:r>
            <w:r w:rsidR="00F06ECC" w:rsidRPr="00FA7355">
              <w:rPr>
                <w:rFonts w:ascii="Times New Roman" w:eastAsia="Times New Roman" w:hAnsi="Times New Roman"/>
                <w:sz w:val="24"/>
                <w:szCs w:val="24"/>
                <w:lang w:eastAsia="lv-LV"/>
              </w:rPr>
              <w:t>L</w:t>
            </w:r>
            <w:r w:rsidR="000A7DB0" w:rsidRPr="00FA7355">
              <w:rPr>
                <w:rFonts w:ascii="Times New Roman" w:eastAsia="Times New Roman" w:hAnsi="Times New Roman"/>
                <w:sz w:val="24"/>
                <w:szCs w:val="24"/>
                <w:lang w:eastAsia="lv-LV"/>
              </w:rPr>
              <w:t>īdz šim šāda kārtība bija noteikta Ministru kabineta noteikumu Nr. 1038 71. punktā tikai attiecībā uz Maksātnespējas administrācijas sniegto maksas pakalpojumu – kvalifikācijas pilnveides pasākums.</w:t>
            </w:r>
            <w:r w:rsidR="008F0B7E" w:rsidRPr="00FA7355">
              <w:rPr>
                <w:rFonts w:ascii="Times New Roman" w:eastAsia="Times New Roman" w:hAnsi="Times New Roman"/>
                <w:sz w:val="24"/>
                <w:szCs w:val="24"/>
                <w:lang w:eastAsia="lv-LV"/>
              </w:rPr>
              <w:t xml:space="preserve"> Līdz ar to noteikumu projektam būs pozitīva ietekme, jo noteikumu projektā noteiktajā kārtībā atsakoties no atsevišķiem maksas pakalpojumiem, personai būs tiesības saņemt atpakaļ samaksātos naudas līdzekļus. </w:t>
            </w:r>
          </w:p>
          <w:p w:rsidR="00E46B51" w:rsidRPr="00FA7355" w:rsidRDefault="000A7DB0" w:rsidP="003B0EF0">
            <w:pPr>
              <w:spacing w:after="0" w:line="240" w:lineRule="auto"/>
              <w:ind w:firstLine="284"/>
              <w:jc w:val="both"/>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Tā k</w:t>
            </w:r>
            <w:r w:rsidR="00E46B51" w:rsidRPr="00FA7355">
              <w:rPr>
                <w:rFonts w:ascii="Times New Roman" w:eastAsia="Times New Roman" w:hAnsi="Times New Roman"/>
                <w:sz w:val="24"/>
                <w:szCs w:val="24"/>
                <w:lang w:eastAsia="lv-LV"/>
              </w:rPr>
              <w:t xml:space="preserve">ā ar noteikumu projektu tiek paplašināts to Maksātnespējas administrācijas sniegto maksas pakalpojumu loks, no </w:t>
            </w:r>
            <w:r w:rsidR="007C42DB" w:rsidRPr="00FA7355">
              <w:rPr>
                <w:rFonts w:ascii="Times New Roman" w:eastAsia="Times New Roman" w:hAnsi="Times New Roman"/>
                <w:sz w:val="24"/>
                <w:szCs w:val="24"/>
                <w:lang w:eastAsia="lv-LV"/>
              </w:rPr>
              <w:t xml:space="preserve">kuriem </w:t>
            </w:r>
            <w:r w:rsidR="00E46B51" w:rsidRPr="00FA7355">
              <w:rPr>
                <w:rFonts w:ascii="Times New Roman" w:eastAsia="Times New Roman" w:hAnsi="Times New Roman"/>
                <w:sz w:val="24"/>
                <w:szCs w:val="24"/>
                <w:lang w:eastAsia="lv-LV"/>
              </w:rPr>
              <w:t xml:space="preserve">personai, iesniedzot attiecīgu iesniegumu, ir tiesības atteikties un saņemt atpakaļ par pakalpojumu samaksātos naudas līdzekļus, ar noteikumu projektu tiek palielināts administratīvais slogs </w:t>
            </w:r>
            <w:r w:rsidR="00E46B51" w:rsidRPr="00FA7355">
              <w:rPr>
                <w:rFonts w:ascii="Times New Roman" w:eastAsia="Times New Roman" w:hAnsi="Times New Roman"/>
                <w:sz w:val="24"/>
                <w:szCs w:val="24"/>
                <w:lang w:eastAsia="lv-LV"/>
              </w:rPr>
              <w:lastRenderedPageBreak/>
              <w:t xml:space="preserve">Maksātnespējas administrācijai, jo Maksātnespējas administrācijai būs </w:t>
            </w:r>
            <w:r w:rsidR="00FE4430" w:rsidRPr="00FA7355">
              <w:rPr>
                <w:rFonts w:ascii="Times New Roman" w:eastAsia="Times New Roman" w:hAnsi="Times New Roman"/>
                <w:sz w:val="24"/>
                <w:szCs w:val="24"/>
                <w:lang w:eastAsia="lv-LV"/>
              </w:rPr>
              <w:t>jāizskata iesniegums</w:t>
            </w:r>
            <w:r w:rsidR="00E46B51" w:rsidRPr="00FA7355">
              <w:rPr>
                <w:rFonts w:ascii="Times New Roman" w:eastAsia="Times New Roman" w:hAnsi="Times New Roman"/>
                <w:sz w:val="24"/>
                <w:szCs w:val="24"/>
                <w:lang w:eastAsia="lv-LV"/>
              </w:rPr>
              <w:t xml:space="preserve"> par naudas līdzekļu atmaksu un naudas līdzekļi jāatmaksā uz personas norādīto norēķinu kontu.</w:t>
            </w:r>
          </w:p>
        </w:tc>
      </w:tr>
      <w:tr w:rsidR="00CD652E" w:rsidRPr="00FA7355" w:rsidTr="00D86AAE">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CD652E" w:rsidRPr="00FA7355" w:rsidRDefault="00CD652E"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D652E" w:rsidRPr="00FA7355" w:rsidRDefault="00CD652E"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D652E" w:rsidRPr="00FA7355" w:rsidRDefault="000F07BB" w:rsidP="000F07BB">
            <w:pPr>
              <w:pStyle w:val="BodyTextIndent"/>
              <w:spacing w:after="0" w:line="240" w:lineRule="auto"/>
              <w:ind w:left="0" w:firstLine="260"/>
              <w:jc w:val="both"/>
              <w:rPr>
                <w:rFonts w:ascii="Times New Roman" w:eastAsia="Times New Roman" w:hAnsi="Times New Roman"/>
                <w:sz w:val="24"/>
                <w:szCs w:val="24"/>
                <w:lang w:eastAsia="lv-LV"/>
              </w:rPr>
            </w:pPr>
            <w:r>
              <w:rPr>
                <w:rFonts w:ascii="Times New Roman" w:hAnsi="Times New Roman"/>
                <w:sz w:val="24"/>
              </w:rPr>
              <w:t xml:space="preserve">Administratīvās izmaksas gada laikā fiziskās personām nepārsniegs 200 </w:t>
            </w:r>
            <w:r>
              <w:rPr>
                <w:rFonts w:ascii="Times New Roman" w:hAnsi="Times New Roman"/>
                <w:i/>
                <w:sz w:val="24"/>
              </w:rPr>
              <w:t>euro</w:t>
            </w:r>
            <w:r>
              <w:rPr>
                <w:rFonts w:ascii="Times New Roman" w:hAnsi="Times New Roman"/>
                <w:sz w:val="24"/>
              </w:rPr>
              <w:t xml:space="preserve"> un juridiskām personām nepārsniegs 2000 </w:t>
            </w:r>
            <w:r w:rsidRPr="000F07BB">
              <w:rPr>
                <w:rFonts w:ascii="Times New Roman" w:hAnsi="Times New Roman"/>
                <w:i/>
                <w:sz w:val="24"/>
              </w:rPr>
              <w:t>euro</w:t>
            </w:r>
            <w:r>
              <w:rPr>
                <w:rFonts w:ascii="Times New Roman" w:hAnsi="Times New Roman"/>
                <w:sz w:val="24"/>
              </w:rPr>
              <w:t>.</w:t>
            </w:r>
          </w:p>
        </w:tc>
      </w:tr>
      <w:tr w:rsidR="00CD652E" w:rsidRPr="00FA7355" w:rsidTr="00D86AAE">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CD652E" w:rsidRPr="00FA7355" w:rsidRDefault="00CD652E"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D652E" w:rsidRPr="00FA7355" w:rsidRDefault="00CD652E"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D652E" w:rsidRPr="00FA7355" w:rsidRDefault="009460BC" w:rsidP="009460BC">
            <w:pPr>
              <w:spacing w:before="100" w:beforeAutospacing="1" w:after="100" w:afterAutospacing="1" w:line="293" w:lineRule="atLeast"/>
              <w:ind w:firstLine="399"/>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Nav.</w:t>
            </w:r>
          </w:p>
        </w:tc>
      </w:tr>
    </w:tbl>
    <w:p w:rsidR="00196BAC" w:rsidRPr="00FA7355" w:rsidRDefault="00196BAC" w:rsidP="003E18BF">
      <w:pPr>
        <w:spacing w:after="0" w:line="240" w:lineRule="auto"/>
        <w:rPr>
          <w:rFonts w:ascii="Times New Roman" w:eastAsia="Times New Roman" w:hAnsi="Times New Roman"/>
          <w:sz w:val="24"/>
          <w:szCs w:val="24"/>
          <w:lang w:eastAsia="lv-LV"/>
        </w:rPr>
      </w:pPr>
    </w:p>
    <w:tbl>
      <w:tblPr>
        <w:tblW w:w="500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067"/>
        <w:gridCol w:w="292"/>
        <w:gridCol w:w="1525"/>
        <w:gridCol w:w="1222"/>
        <w:gridCol w:w="1428"/>
        <w:gridCol w:w="1286"/>
        <w:gridCol w:w="1311"/>
      </w:tblGrid>
      <w:tr w:rsidR="00D47148" w:rsidRPr="00FA7355" w:rsidTr="00724BC8">
        <w:trPr>
          <w:trHeight w:val="63"/>
        </w:trPr>
        <w:tc>
          <w:tcPr>
            <w:tcW w:w="5000" w:type="pct"/>
            <w:gridSpan w:val="7"/>
          </w:tcPr>
          <w:p w:rsidR="00D47148" w:rsidRPr="00FA7355" w:rsidRDefault="00D47148" w:rsidP="00724BC8">
            <w:pPr>
              <w:pStyle w:val="NormalWeb"/>
              <w:spacing w:before="0" w:beforeAutospacing="0" w:after="0" w:afterAutospacing="0"/>
              <w:jc w:val="center"/>
              <w:rPr>
                <w:b/>
                <w:bCs/>
              </w:rPr>
            </w:pPr>
            <w:r w:rsidRPr="00FA7355">
              <w:rPr>
                <w:b/>
                <w:bCs/>
              </w:rPr>
              <w:t>III. Tiesību akta projekta ietekme uz valsts budžetu un pašvaldību budžetiem</w:t>
            </w:r>
          </w:p>
        </w:tc>
      </w:tr>
      <w:tr w:rsidR="00D47148" w:rsidRPr="00FA7355" w:rsidTr="0069107A">
        <w:trPr>
          <w:trHeight w:val="63"/>
        </w:trPr>
        <w:tc>
          <w:tcPr>
            <w:tcW w:w="1292" w:type="pct"/>
            <w:gridSpan w:val="2"/>
            <w:vMerge w:val="restart"/>
            <w:vAlign w:val="center"/>
          </w:tcPr>
          <w:p w:rsidR="00D47148" w:rsidRPr="00FA7355" w:rsidRDefault="00D47148" w:rsidP="00724BC8">
            <w:pPr>
              <w:pStyle w:val="NormalWeb"/>
              <w:spacing w:before="0" w:beforeAutospacing="0" w:after="0" w:afterAutospacing="0"/>
              <w:jc w:val="center"/>
              <w:rPr>
                <w:b/>
                <w:bCs/>
              </w:rPr>
            </w:pPr>
            <w:r w:rsidRPr="00FA7355">
              <w:rPr>
                <w:b/>
                <w:bCs/>
              </w:rPr>
              <w:t>Rādītāji</w:t>
            </w:r>
          </w:p>
        </w:tc>
        <w:tc>
          <w:tcPr>
            <w:tcW w:w="1504" w:type="pct"/>
            <w:gridSpan w:val="2"/>
            <w:vMerge w:val="restart"/>
            <w:vAlign w:val="center"/>
          </w:tcPr>
          <w:p w:rsidR="00D47148" w:rsidRPr="00FA7355" w:rsidRDefault="00D47148" w:rsidP="00724BC8">
            <w:pPr>
              <w:pStyle w:val="NormalWeb"/>
              <w:spacing w:before="0" w:beforeAutospacing="0" w:after="0" w:afterAutospacing="0"/>
              <w:jc w:val="center"/>
              <w:rPr>
                <w:b/>
                <w:bCs/>
              </w:rPr>
            </w:pPr>
            <w:r w:rsidRPr="00FA7355">
              <w:rPr>
                <w:b/>
                <w:bCs/>
              </w:rPr>
              <w:t>2017. gads</w:t>
            </w:r>
          </w:p>
        </w:tc>
        <w:tc>
          <w:tcPr>
            <w:tcW w:w="2203" w:type="pct"/>
            <w:gridSpan w:val="3"/>
            <w:vAlign w:val="center"/>
          </w:tcPr>
          <w:p w:rsidR="00D47148" w:rsidRPr="00FA7355" w:rsidRDefault="00D47148" w:rsidP="00724BC8">
            <w:pPr>
              <w:pStyle w:val="NormalWeb"/>
              <w:spacing w:before="0" w:beforeAutospacing="0" w:after="0" w:afterAutospacing="0"/>
              <w:jc w:val="center"/>
            </w:pPr>
            <w:r w:rsidRPr="00FA7355">
              <w:t>Turpmākie trīs gadi (</w:t>
            </w:r>
            <w:r w:rsidRPr="00FA7355">
              <w:rPr>
                <w:i/>
              </w:rPr>
              <w:t>euro</w:t>
            </w:r>
            <w:r w:rsidRPr="00FA7355">
              <w:t>)</w:t>
            </w:r>
          </w:p>
        </w:tc>
      </w:tr>
      <w:tr w:rsidR="00D47148" w:rsidRPr="00FA7355" w:rsidTr="0069107A">
        <w:trPr>
          <w:trHeight w:val="63"/>
        </w:trPr>
        <w:tc>
          <w:tcPr>
            <w:tcW w:w="1292" w:type="pct"/>
            <w:gridSpan w:val="2"/>
            <w:vMerge/>
            <w:vAlign w:val="center"/>
          </w:tcPr>
          <w:p w:rsidR="00D47148" w:rsidRPr="00FA7355" w:rsidRDefault="00D47148" w:rsidP="00724BC8">
            <w:pPr>
              <w:spacing w:after="0" w:line="240" w:lineRule="auto"/>
              <w:rPr>
                <w:rFonts w:ascii="Times New Roman" w:hAnsi="Times New Roman"/>
                <w:b/>
                <w:bCs/>
                <w:sz w:val="24"/>
                <w:szCs w:val="24"/>
              </w:rPr>
            </w:pPr>
          </w:p>
        </w:tc>
        <w:tc>
          <w:tcPr>
            <w:tcW w:w="1504" w:type="pct"/>
            <w:gridSpan w:val="2"/>
            <w:vMerge/>
            <w:vAlign w:val="center"/>
          </w:tcPr>
          <w:p w:rsidR="00D47148" w:rsidRPr="00FA7355" w:rsidRDefault="00D47148" w:rsidP="00724BC8">
            <w:pPr>
              <w:spacing w:after="0" w:line="240" w:lineRule="auto"/>
              <w:rPr>
                <w:rFonts w:ascii="Times New Roman" w:hAnsi="Times New Roman"/>
                <w:b/>
                <w:bCs/>
                <w:sz w:val="24"/>
                <w:szCs w:val="24"/>
              </w:rPr>
            </w:pPr>
          </w:p>
        </w:tc>
        <w:tc>
          <w:tcPr>
            <w:tcW w:w="782" w:type="pct"/>
            <w:vAlign w:val="center"/>
          </w:tcPr>
          <w:p w:rsidR="00D47148" w:rsidRPr="00FA7355" w:rsidRDefault="00D47148" w:rsidP="00724BC8">
            <w:pPr>
              <w:pStyle w:val="NormalWeb"/>
              <w:spacing w:before="0" w:beforeAutospacing="0" w:after="0" w:afterAutospacing="0"/>
              <w:jc w:val="center"/>
              <w:rPr>
                <w:b/>
                <w:bCs/>
              </w:rPr>
            </w:pPr>
            <w:r w:rsidRPr="00FA7355">
              <w:rPr>
                <w:b/>
                <w:bCs/>
              </w:rPr>
              <w:t>2018</w:t>
            </w:r>
          </w:p>
        </w:tc>
        <w:tc>
          <w:tcPr>
            <w:tcW w:w="704" w:type="pct"/>
            <w:vAlign w:val="center"/>
          </w:tcPr>
          <w:p w:rsidR="00D47148" w:rsidRPr="00FA7355" w:rsidRDefault="00D47148" w:rsidP="00724BC8">
            <w:pPr>
              <w:pStyle w:val="NormalWeb"/>
              <w:spacing w:before="0" w:beforeAutospacing="0" w:after="0" w:afterAutospacing="0"/>
              <w:jc w:val="center"/>
              <w:rPr>
                <w:b/>
                <w:bCs/>
              </w:rPr>
            </w:pPr>
            <w:r w:rsidRPr="00FA7355">
              <w:rPr>
                <w:b/>
                <w:bCs/>
              </w:rPr>
              <w:t>2019</w:t>
            </w:r>
          </w:p>
        </w:tc>
        <w:tc>
          <w:tcPr>
            <w:tcW w:w="717" w:type="pct"/>
            <w:vAlign w:val="center"/>
          </w:tcPr>
          <w:p w:rsidR="00D47148" w:rsidRPr="00FA7355" w:rsidRDefault="00D47148" w:rsidP="00724BC8">
            <w:pPr>
              <w:pStyle w:val="NormalWeb"/>
              <w:spacing w:before="0" w:beforeAutospacing="0" w:after="0" w:afterAutospacing="0"/>
              <w:jc w:val="center"/>
              <w:rPr>
                <w:b/>
                <w:bCs/>
              </w:rPr>
            </w:pPr>
            <w:r w:rsidRPr="00FA7355">
              <w:rPr>
                <w:b/>
                <w:bCs/>
              </w:rPr>
              <w:t>2020</w:t>
            </w:r>
          </w:p>
        </w:tc>
      </w:tr>
      <w:tr w:rsidR="00D47148" w:rsidRPr="00FA7355" w:rsidTr="0069107A">
        <w:trPr>
          <w:trHeight w:val="63"/>
        </w:trPr>
        <w:tc>
          <w:tcPr>
            <w:tcW w:w="1292" w:type="pct"/>
            <w:gridSpan w:val="2"/>
            <w:vMerge/>
            <w:vAlign w:val="center"/>
          </w:tcPr>
          <w:p w:rsidR="00D47148" w:rsidRPr="00FA7355" w:rsidRDefault="00D47148" w:rsidP="00724BC8">
            <w:pPr>
              <w:spacing w:after="0" w:line="240" w:lineRule="auto"/>
              <w:rPr>
                <w:rFonts w:ascii="Times New Roman" w:hAnsi="Times New Roman"/>
                <w:b/>
                <w:bCs/>
                <w:sz w:val="24"/>
                <w:szCs w:val="24"/>
              </w:rPr>
            </w:pPr>
          </w:p>
        </w:tc>
        <w:tc>
          <w:tcPr>
            <w:tcW w:w="835" w:type="pct"/>
            <w:vAlign w:val="center"/>
          </w:tcPr>
          <w:p w:rsidR="00D47148" w:rsidRPr="00FA7355" w:rsidRDefault="00D47148" w:rsidP="00724BC8">
            <w:pPr>
              <w:pStyle w:val="NormalWeb"/>
              <w:spacing w:before="0" w:beforeAutospacing="0" w:after="0" w:afterAutospacing="0"/>
              <w:jc w:val="center"/>
            </w:pPr>
            <w:r w:rsidRPr="00FA7355">
              <w:t>Saskaņā ar valsts budžetu kārtējam gadam</w:t>
            </w:r>
          </w:p>
        </w:tc>
        <w:tc>
          <w:tcPr>
            <w:tcW w:w="669" w:type="pct"/>
            <w:vAlign w:val="center"/>
          </w:tcPr>
          <w:p w:rsidR="00D47148" w:rsidRPr="00FA7355" w:rsidRDefault="00D47148" w:rsidP="00724BC8">
            <w:pPr>
              <w:pStyle w:val="NormalWeb"/>
              <w:spacing w:before="0" w:beforeAutospacing="0" w:after="0" w:afterAutospacing="0"/>
              <w:jc w:val="center"/>
            </w:pPr>
            <w:r w:rsidRPr="00FA7355">
              <w:t>Izmaiņas kārtējā gadā, salīdzinot ar budžetu kārtējam gadam</w:t>
            </w:r>
          </w:p>
        </w:tc>
        <w:tc>
          <w:tcPr>
            <w:tcW w:w="782" w:type="pct"/>
            <w:vAlign w:val="center"/>
          </w:tcPr>
          <w:p w:rsidR="00D47148" w:rsidRPr="00FA7355" w:rsidRDefault="00D47148" w:rsidP="00724BC8">
            <w:pPr>
              <w:pStyle w:val="NormalWeb"/>
              <w:spacing w:before="0" w:beforeAutospacing="0" w:after="0" w:afterAutospacing="0"/>
              <w:jc w:val="center"/>
            </w:pPr>
            <w:r w:rsidRPr="00FA7355">
              <w:t xml:space="preserve">Izmaiņas, salīdzinot ar kārtējo </w:t>
            </w:r>
            <w:r>
              <w:t>2017.</w:t>
            </w:r>
            <w:r w:rsidRPr="00FA7355">
              <w:t>gadu</w:t>
            </w:r>
          </w:p>
        </w:tc>
        <w:tc>
          <w:tcPr>
            <w:tcW w:w="704" w:type="pct"/>
            <w:vAlign w:val="center"/>
          </w:tcPr>
          <w:p w:rsidR="00D47148" w:rsidRPr="00FA7355" w:rsidRDefault="00D47148" w:rsidP="00724BC8">
            <w:pPr>
              <w:pStyle w:val="NormalWeb"/>
              <w:spacing w:before="0" w:beforeAutospacing="0" w:after="0" w:afterAutospacing="0"/>
              <w:jc w:val="center"/>
            </w:pPr>
            <w:r w:rsidRPr="00FA7355">
              <w:t xml:space="preserve">Izmaiņas, salīdzinot ar kārtējo </w:t>
            </w:r>
            <w:r>
              <w:t>2017.</w:t>
            </w:r>
            <w:r w:rsidRPr="00FA7355">
              <w:t>gadu</w:t>
            </w:r>
          </w:p>
        </w:tc>
        <w:tc>
          <w:tcPr>
            <w:tcW w:w="717" w:type="pct"/>
            <w:vAlign w:val="center"/>
          </w:tcPr>
          <w:p w:rsidR="00D47148" w:rsidRPr="00FA7355" w:rsidRDefault="00D47148" w:rsidP="00724BC8">
            <w:pPr>
              <w:pStyle w:val="NormalWeb"/>
              <w:spacing w:before="0" w:beforeAutospacing="0" w:after="0" w:afterAutospacing="0"/>
              <w:jc w:val="center"/>
            </w:pPr>
            <w:r w:rsidRPr="00FA7355">
              <w:t xml:space="preserve">Izmaiņas, salīdzinot ar kārtējo </w:t>
            </w:r>
            <w:r>
              <w:t>2017.</w:t>
            </w:r>
            <w:r w:rsidRPr="00FA7355">
              <w:t>gadu</w:t>
            </w:r>
          </w:p>
        </w:tc>
      </w:tr>
      <w:tr w:rsidR="00D47148" w:rsidRPr="00FA7355" w:rsidTr="0069107A">
        <w:trPr>
          <w:trHeight w:val="63"/>
        </w:trPr>
        <w:tc>
          <w:tcPr>
            <w:tcW w:w="1292" w:type="pct"/>
            <w:gridSpan w:val="2"/>
            <w:vAlign w:val="center"/>
          </w:tcPr>
          <w:p w:rsidR="00D47148" w:rsidRPr="00FA7355" w:rsidRDefault="00D47148" w:rsidP="00724BC8">
            <w:pPr>
              <w:pStyle w:val="NormalWeb"/>
              <w:spacing w:before="0" w:beforeAutospacing="0" w:after="0" w:afterAutospacing="0"/>
              <w:jc w:val="center"/>
            </w:pPr>
            <w:r w:rsidRPr="00FA7355">
              <w:t>1</w:t>
            </w:r>
          </w:p>
        </w:tc>
        <w:tc>
          <w:tcPr>
            <w:tcW w:w="835" w:type="pct"/>
            <w:vAlign w:val="center"/>
          </w:tcPr>
          <w:p w:rsidR="00D47148" w:rsidRPr="00FA7355" w:rsidRDefault="00D47148" w:rsidP="00724BC8">
            <w:pPr>
              <w:pStyle w:val="NormalWeb"/>
              <w:spacing w:before="0" w:beforeAutospacing="0" w:after="0" w:afterAutospacing="0"/>
              <w:jc w:val="center"/>
            </w:pPr>
            <w:r w:rsidRPr="00FA7355">
              <w:t>2</w:t>
            </w:r>
          </w:p>
        </w:tc>
        <w:tc>
          <w:tcPr>
            <w:tcW w:w="669" w:type="pct"/>
            <w:vAlign w:val="center"/>
          </w:tcPr>
          <w:p w:rsidR="00D47148" w:rsidRPr="00FA7355" w:rsidRDefault="00D47148" w:rsidP="00724BC8">
            <w:pPr>
              <w:pStyle w:val="NormalWeb"/>
              <w:spacing w:before="0" w:beforeAutospacing="0" w:after="0" w:afterAutospacing="0"/>
              <w:jc w:val="center"/>
            </w:pPr>
            <w:r w:rsidRPr="00FA7355">
              <w:t>3</w:t>
            </w:r>
          </w:p>
        </w:tc>
        <w:tc>
          <w:tcPr>
            <w:tcW w:w="782" w:type="pct"/>
            <w:vAlign w:val="center"/>
          </w:tcPr>
          <w:p w:rsidR="00D47148" w:rsidRPr="00FA7355" w:rsidRDefault="00D47148" w:rsidP="0069107A">
            <w:pPr>
              <w:pStyle w:val="NormalWeb"/>
              <w:spacing w:before="0" w:beforeAutospacing="0" w:after="0" w:afterAutospacing="0"/>
              <w:jc w:val="center"/>
            </w:pPr>
            <w:r w:rsidRPr="00FA7355">
              <w:t>4</w:t>
            </w:r>
          </w:p>
        </w:tc>
        <w:tc>
          <w:tcPr>
            <w:tcW w:w="704" w:type="pct"/>
            <w:vAlign w:val="center"/>
          </w:tcPr>
          <w:p w:rsidR="00D47148" w:rsidRPr="00FA7355" w:rsidRDefault="00D47148" w:rsidP="0069107A">
            <w:pPr>
              <w:pStyle w:val="NormalWeb"/>
              <w:spacing w:before="0" w:beforeAutospacing="0" w:after="0" w:afterAutospacing="0"/>
              <w:jc w:val="center"/>
            </w:pPr>
            <w:r w:rsidRPr="00FA7355">
              <w:t>5</w:t>
            </w:r>
          </w:p>
        </w:tc>
        <w:tc>
          <w:tcPr>
            <w:tcW w:w="717" w:type="pct"/>
            <w:vAlign w:val="center"/>
          </w:tcPr>
          <w:p w:rsidR="00D47148" w:rsidRPr="00FA7355" w:rsidRDefault="00D47148" w:rsidP="0069107A">
            <w:pPr>
              <w:pStyle w:val="NormalWeb"/>
              <w:spacing w:before="0" w:beforeAutospacing="0" w:after="0" w:afterAutospacing="0"/>
              <w:jc w:val="center"/>
            </w:pPr>
            <w:r w:rsidRPr="00FA7355">
              <w:t>6</w:t>
            </w:r>
          </w:p>
        </w:tc>
      </w:tr>
      <w:tr w:rsidR="00D47148" w:rsidRPr="00FA7355" w:rsidTr="00BC5A77">
        <w:trPr>
          <w:trHeight w:val="63"/>
        </w:trPr>
        <w:tc>
          <w:tcPr>
            <w:tcW w:w="1292" w:type="pct"/>
            <w:gridSpan w:val="2"/>
          </w:tcPr>
          <w:p w:rsidR="00D47148" w:rsidRPr="00FA7355" w:rsidRDefault="00D47148" w:rsidP="00724BC8">
            <w:pPr>
              <w:pStyle w:val="NormalWeb"/>
              <w:spacing w:before="0" w:beforeAutospacing="0" w:after="0" w:afterAutospacing="0"/>
            </w:pPr>
            <w:r w:rsidRPr="00FA7355">
              <w:t>1. Budžeta ieņēmumi:</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14 940</w:t>
            </w:r>
          </w:p>
        </w:tc>
        <w:tc>
          <w:tcPr>
            <w:tcW w:w="669" w:type="pct"/>
            <w:vAlign w:val="center"/>
          </w:tcPr>
          <w:p w:rsidR="00D47148" w:rsidRPr="00FA7355" w:rsidRDefault="0063776B" w:rsidP="00724BC8">
            <w:pPr>
              <w:spacing w:after="0" w:line="240" w:lineRule="auto"/>
              <w:jc w:val="center"/>
              <w:rPr>
                <w:rFonts w:ascii="Times New Roman" w:hAnsi="Times New Roman"/>
                <w:sz w:val="24"/>
                <w:szCs w:val="24"/>
              </w:rPr>
            </w:pPr>
            <w:r>
              <w:rPr>
                <w:rFonts w:ascii="Times New Roman" w:hAnsi="Times New Roman"/>
                <w:sz w:val="24"/>
                <w:szCs w:val="24"/>
              </w:rPr>
              <w:t>16 519</w:t>
            </w:r>
          </w:p>
        </w:tc>
        <w:tc>
          <w:tcPr>
            <w:tcW w:w="782"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30 496</w:t>
            </w:r>
          </w:p>
        </w:tc>
        <w:tc>
          <w:tcPr>
            <w:tcW w:w="704"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17 200</w:t>
            </w:r>
          </w:p>
        </w:tc>
        <w:tc>
          <w:tcPr>
            <w:tcW w:w="717"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32 320</w:t>
            </w:r>
          </w:p>
        </w:tc>
      </w:tr>
      <w:tr w:rsidR="00D47148" w:rsidRPr="00FA7355" w:rsidTr="00BC5A77">
        <w:trPr>
          <w:trHeight w:val="1784"/>
        </w:trPr>
        <w:tc>
          <w:tcPr>
            <w:tcW w:w="1292" w:type="pct"/>
            <w:gridSpan w:val="2"/>
          </w:tcPr>
          <w:p w:rsidR="00D47148" w:rsidRPr="00FA7355" w:rsidRDefault="00D47148" w:rsidP="00724BC8">
            <w:pPr>
              <w:pStyle w:val="NormalWeb"/>
              <w:spacing w:before="0" w:beforeAutospacing="0" w:after="0" w:afterAutospacing="0"/>
              <w:ind w:left="330" w:hanging="330"/>
            </w:pPr>
            <w:r w:rsidRPr="00FA7355">
              <w:t>1.1. valsts pamatbudžets, tai skaitā ieņēmumi no maksas pakalpojumiem un citi pašu ieņēmumi</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14 940</w:t>
            </w:r>
          </w:p>
        </w:tc>
        <w:tc>
          <w:tcPr>
            <w:tcW w:w="669" w:type="pct"/>
            <w:vAlign w:val="center"/>
          </w:tcPr>
          <w:p w:rsidR="00D47148" w:rsidRPr="00FA7355" w:rsidRDefault="0063776B" w:rsidP="00724BC8">
            <w:pPr>
              <w:spacing w:after="0" w:line="240" w:lineRule="auto"/>
              <w:jc w:val="center"/>
              <w:rPr>
                <w:rFonts w:ascii="Times New Roman" w:hAnsi="Times New Roman"/>
                <w:sz w:val="24"/>
                <w:szCs w:val="24"/>
              </w:rPr>
            </w:pPr>
            <w:r>
              <w:rPr>
                <w:rFonts w:ascii="Times New Roman" w:hAnsi="Times New Roman"/>
                <w:sz w:val="24"/>
                <w:szCs w:val="24"/>
              </w:rPr>
              <w:t>16 519</w:t>
            </w:r>
          </w:p>
        </w:tc>
        <w:tc>
          <w:tcPr>
            <w:tcW w:w="782"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30 496</w:t>
            </w:r>
          </w:p>
        </w:tc>
        <w:tc>
          <w:tcPr>
            <w:tcW w:w="704"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17 200</w:t>
            </w:r>
          </w:p>
        </w:tc>
        <w:tc>
          <w:tcPr>
            <w:tcW w:w="717"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32 320</w:t>
            </w:r>
          </w:p>
        </w:tc>
      </w:tr>
      <w:tr w:rsidR="00D47148" w:rsidRPr="00FA7355" w:rsidTr="00BC5A77">
        <w:trPr>
          <w:trHeight w:val="63"/>
        </w:trPr>
        <w:tc>
          <w:tcPr>
            <w:tcW w:w="1292" w:type="pct"/>
            <w:gridSpan w:val="2"/>
          </w:tcPr>
          <w:p w:rsidR="00D47148" w:rsidRPr="00FA7355" w:rsidRDefault="00D47148" w:rsidP="00724BC8">
            <w:pPr>
              <w:pStyle w:val="NormalWeb"/>
              <w:spacing w:before="0" w:beforeAutospacing="0" w:after="0" w:afterAutospacing="0"/>
            </w:pPr>
            <w:r w:rsidRPr="00FA7355">
              <w:t>1.2. valsts speciālais budžets</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BC5A77">
        <w:trPr>
          <w:trHeight w:val="63"/>
        </w:trPr>
        <w:tc>
          <w:tcPr>
            <w:tcW w:w="1292" w:type="pct"/>
            <w:gridSpan w:val="2"/>
          </w:tcPr>
          <w:p w:rsidR="00D47148" w:rsidRPr="00FA7355" w:rsidRDefault="00D47148" w:rsidP="00724BC8">
            <w:pPr>
              <w:pStyle w:val="NormalWeb"/>
              <w:spacing w:before="0" w:beforeAutospacing="0" w:after="0" w:afterAutospacing="0"/>
            </w:pPr>
            <w:r w:rsidRPr="00FA7355">
              <w:t>1.3. pašvaldību budžets</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BC5A77">
        <w:trPr>
          <w:trHeight w:val="63"/>
        </w:trPr>
        <w:tc>
          <w:tcPr>
            <w:tcW w:w="1292" w:type="pct"/>
            <w:gridSpan w:val="2"/>
          </w:tcPr>
          <w:p w:rsidR="00D47148" w:rsidRPr="00FA7355" w:rsidRDefault="00D47148" w:rsidP="00724BC8">
            <w:pPr>
              <w:pStyle w:val="NormalWeb"/>
              <w:spacing w:before="0" w:beforeAutospacing="0" w:after="0" w:afterAutospacing="0"/>
            </w:pPr>
            <w:r w:rsidRPr="00FA7355">
              <w:t>2. Budžeta izdevumi:</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14 940</w:t>
            </w:r>
          </w:p>
        </w:tc>
        <w:tc>
          <w:tcPr>
            <w:tcW w:w="669" w:type="pct"/>
            <w:vAlign w:val="center"/>
          </w:tcPr>
          <w:p w:rsidR="00D47148" w:rsidRPr="00FA7355" w:rsidRDefault="0063776B" w:rsidP="00724BC8">
            <w:pPr>
              <w:spacing w:after="0" w:line="240" w:lineRule="auto"/>
              <w:jc w:val="center"/>
              <w:rPr>
                <w:rFonts w:ascii="Times New Roman" w:hAnsi="Times New Roman"/>
                <w:sz w:val="24"/>
                <w:szCs w:val="24"/>
              </w:rPr>
            </w:pPr>
            <w:r>
              <w:rPr>
                <w:rFonts w:ascii="Times New Roman" w:hAnsi="Times New Roman"/>
                <w:sz w:val="24"/>
                <w:szCs w:val="24"/>
              </w:rPr>
              <w:t>16 519</w:t>
            </w:r>
          </w:p>
        </w:tc>
        <w:tc>
          <w:tcPr>
            <w:tcW w:w="782"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30 496</w:t>
            </w:r>
          </w:p>
        </w:tc>
        <w:tc>
          <w:tcPr>
            <w:tcW w:w="704"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17 200</w:t>
            </w:r>
          </w:p>
        </w:tc>
        <w:tc>
          <w:tcPr>
            <w:tcW w:w="717"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32 320</w:t>
            </w:r>
          </w:p>
        </w:tc>
      </w:tr>
      <w:tr w:rsidR="00D47148" w:rsidRPr="00FA7355" w:rsidTr="00BC5A77">
        <w:trPr>
          <w:trHeight w:val="829"/>
        </w:trPr>
        <w:tc>
          <w:tcPr>
            <w:tcW w:w="1292" w:type="pct"/>
            <w:gridSpan w:val="2"/>
          </w:tcPr>
          <w:p w:rsidR="00D47148" w:rsidRPr="00FA7355" w:rsidRDefault="00D47148" w:rsidP="00724BC8">
            <w:pPr>
              <w:pStyle w:val="NormalWeb"/>
              <w:spacing w:before="0" w:beforeAutospacing="0" w:after="0" w:afterAutospacing="0"/>
            </w:pPr>
            <w:r w:rsidRPr="00FA7355">
              <w:t xml:space="preserve">2.1. valsts pamatbudžets </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14 940</w:t>
            </w:r>
          </w:p>
        </w:tc>
        <w:tc>
          <w:tcPr>
            <w:tcW w:w="669" w:type="pct"/>
            <w:vAlign w:val="center"/>
          </w:tcPr>
          <w:p w:rsidR="00D47148" w:rsidRPr="00FA7355" w:rsidRDefault="0063776B" w:rsidP="00724BC8">
            <w:pPr>
              <w:spacing w:after="0" w:line="240" w:lineRule="auto"/>
              <w:jc w:val="center"/>
              <w:rPr>
                <w:rFonts w:ascii="Times New Roman" w:hAnsi="Times New Roman"/>
                <w:sz w:val="24"/>
                <w:szCs w:val="24"/>
              </w:rPr>
            </w:pPr>
            <w:r>
              <w:rPr>
                <w:rFonts w:ascii="Times New Roman" w:hAnsi="Times New Roman"/>
                <w:sz w:val="24"/>
                <w:szCs w:val="24"/>
              </w:rPr>
              <w:t>16 519</w:t>
            </w:r>
          </w:p>
        </w:tc>
        <w:tc>
          <w:tcPr>
            <w:tcW w:w="782"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30 496</w:t>
            </w:r>
          </w:p>
        </w:tc>
        <w:tc>
          <w:tcPr>
            <w:tcW w:w="704"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17 200</w:t>
            </w:r>
          </w:p>
        </w:tc>
        <w:tc>
          <w:tcPr>
            <w:tcW w:w="717" w:type="pct"/>
            <w:vAlign w:val="center"/>
          </w:tcPr>
          <w:p w:rsidR="00D47148" w:rsidRPr="00FA7355" w:rsidRDefault="0063776B" w:rsidP="0069107A">
            <w:pPr>
              <w:spacing w:after="0" w:line="240" w:lineRule="auto"/>
              <w:jc w:val="center"/>
              <w:rPr>
                <w:rFonts w:ascii="Times New Roman" w:hAnsi="Times New Roman"/>
                <w:sz w:val="24"/>
                <w:szCs w:val="24"/>
              </w:rPr>
            </w:pPr>
            <w:r>
              <w:rPr>
                <w:rFonts w:ascii="Times New Roman" w:hAnsi="Times New Roman"/>
                <w:sz w:val="24"/>
                <w:szCs w:val="24"/>
              </w:rPr>
              <w:t>32 320</w:t>
            </w:r>
          </w:p>
        </w:tc>
      </w:tr>
      <w:tr w:rsidR="00D47148" w:rsidRPr="00FA7355" w:rsidTr="00BC5A77">
        <w:trPr>
          <w:trHeight w:val="63"/>
        </w:trPr>
        <w:tc>
          <w:tcPr>
            <w:tcW w:w="1292" w:type="pct"/>
            <w:gridSpan w:val="2"/>
          </w:tcPr>
          <w:p w:rsidR="00D47148" w:rsidRPr="00FA7355" w:rsidRDefault="00D47148" w:rsidP="00724BC8">
            <w:pPr>
              <w:pStyle w:val="NormalWeb"/>
              <w:spacing w:before="0" w:beforeAutospacing="0" w:after="0" w:afterAutospacing="0"/>
            </w:pPr>
            <w:r w:rsidRPr="00FA7355">
              <w:t>2.2. valsts speciālais budžets</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vAlign w:val="center"/>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63"/>
        </w:trPr>
        <w:tc>
          <w:tcPr>
            <w:tcW w:w="1292" w:type="pct"/>
            <w:gridSpan w:val="2"/>
          </w:tcPr>
          <w:p w:rsidR="00D47148" w:rsidRPr="00FA7355" w:rsidRDefault="00D47148" w:rsidP="00724BC8">
            <w:pPr>
              <w:pStyle w:val="NormalWeb"/>
              <w:spacing w:before="0" w:beforeAutospacing="0" w:after="0" w:afterAutospacing="0"/>
            </w:pPr>
            <w:r w:rsidRPr="00FA7355">
              <w:t>2.3. pašvaldību budžets</w:t>
            </w:r>
          </w:p>
        </w:tc>
        <w:tc>
          <w:tcPr>
            <w:tcW w:w="835"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69107A">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63"/>
        </w:trPr>
        <w:tc>
          <w:tcPr>
            <w:tcW w:w="1292" w:type="pct"/>
            <w:gridSpan w:val="2"/>
          </w:tcPr>
          <w:p w:rsidR="00D47148" w:rsidRPr="00FA7355" w:rsidRDefault="00D47148" w:rsidP="00724BC8">
            <w:pPr>
              <w:pStyle w:val="NormalWeb"/>
              <w:spacing w:before="0" w:beforeAutospacing="0" w:after="0" w:afterAutospacing="0"/>
            </w:pPr>
            <w:r w:rsidRPr="00FA7355">
              <w:t>3. Finansiālā ietekme:</w:t>
            </w:r>
          </w:p>
        </w:tc>
        <w:tc>
          <w:tcPr>
            <w:tcW w:w="835" w:type="pct"/>
            <w:vAlign w:val="center"/>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283"/>
        </w:trPr>
        <w:tc>
          <w:tcPr>
            <w:tcW w:w="1292" w:type="pct"/>
            <w:gridSpan w:val="2"/>
          </w:tcPr>
          <w:p w:rsidR="00D47148" w:rsidRPr="00FA7355" w:rsidRDefault="00D47148" w:rsidP="00724BC8">
            <w:pPr>
              <w:pStyle w:val="NormalWeb"/>
              <w:spacing w:before="0" w:beforeAutospacing="0" w:after="0" w:afterAutospacing="0"/>
            </w:pPr>
            <w:r w:rsidRPr="00FA7355">
              <w:t>3.1. valsts pamatbudžets</w:t>
            </w:r>
          </w:p>
        </w:tc>
        <w:tc>
          <w:tcPr>
            <w:tcW w:w="835"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145"/>
        </w:trPr>
        <w:tc>
          <w:tcPr>
            <w:tcW w:w="1292" w:type="pct"/>
            <w:gridSpan w:val="2"/>
          </w:tcPr>
          <w:p w:rsidR="00D47148" w:rsidRPr="00FA7355" w:rsidRDefault="00D47148" w:rsidP="00724BC8">
            <w:pPr>
              <w:pStyle w:val="NormalWeb"/>
              <w:spacing w:before="0" w:beforeAutospacing="0" w:after="0" w:afterAutospacing="0"/>
            </w:pPr>
            <w:r w:rsidRPr="00FA7355">
              <w:t>3.2. speciālais budžets</w:t>
            </w:r>
          </w:p>
        </w:tc>
        <w:tc>
          <w:tcPr>
            <w:tcW w:w="835"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138"/>
        </w:trPr>
        <w:tc>
          <w:tcPr>
            <w:tcW w:w="1292" w:type="pct"/>
            <w:gridSpan w:val="2"/>
          </w:tcPr>
          <w:p w:rsidR="00D47148" w:rsidRPr="00FA7355" w:rsidRDefault="00D47148" w:rsidP="00724BC8">
            <w:pPr>
              <w:pStyle w:val="NormalWeb"/>
              <w:spacing w:before="0" w:beforeAutospacing="0" w:after="0" w:afterAutospacing="0"/>
            </w:pPr>
            <w:r w:rsidRPr="00FA7355">
              <w:t>3.3. pašvaldību budžets</w:t>
            </w:r>
          </w:p>
        </w:tc>
        <w:tc>
          <w:tcPr>
            <w:tcW w:w="835"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158"/>
        </w:trPr>
        <w:tc>
          <w:tcPr>
            <w:tcW w:w="1292" w:type="pct"/>
            <w:gridSpan w:val="2"/>
            <w:vMerge w:val="restart"/>
          </w:tcPr>
          <w:p w:rsidR="00D47148" w:rsidRPr="00FA7355" w:rsidRDefault="00D47148" w:rsidP="00724BC8">
            <w:pPr>
              <w:pStyle w:val="NormalWeb"/>
              <w:spacing w:before="0" w:beforeAutospacing="0" w:after="0" w:afterAutospacing="0"/>
            </w:pPr>
            <w:r w:rsidRPr="00FA7355">
              <w:t xml:space="preserve">4. Finanšu līdzekļi papildu izdevumu finansēšanai </w:t>
            </w:r>
            <w:r w:rsidRPr="00FA7355">
              <w:lastRenderedPageBreak/>
              <w:t>(kompensējošu izdevumu samazinājumu norāda ar "+" zīmi)</w:t>
            </w:r>
          </w:p>
        </w:tc>
        <w:tc>
          <w:tcPr>
            <w:tcW w:w="835" w:type="pct"/>
            <w:vMerge w:val="restart"/>
          </w:tcPr>
          <w:p w:rsidR="00D47148" w:rsidRPr="00FA7355" w:rsidRDefault="00D47148" w:rsidP="00724BC8">
            <w:pPr>
              <w:pStyle w:val="NormalWeb"/>
              <w:spacing w:before="0" w:beforeAutospacing="0" w:after="0" w:afterAutospacing="0"/>
              <w:jc w:val="center"/>
            </w:pPr>
            <w:r w:rsidRPr="00FA7355">
              <w:lastRenderedPageBreak/>
              <w:t>X</w:t>
            </w: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63"/>
        </w:trPr>
        <w:tc>
          <w:tcPr>
            <w:tcW w:w="1292" w:type="pct"/>
            <w:gridSpan w:val="2"/>
            <w:vMerge/>
            <w:vAlign w:val="center"/>
          </w:tcPr>
          <w:p w:rsidR="00D47148" w:rsidRPr="00FA7355" w:rsidRDefault="00D47148" w:rsidP="00724BC8">
            <w:pPr>
              <w:spacing w:after="0" w:line="240" w:lineRule="auto"/>
              <w:rPr>
                <w:rFonts w:ascii="Times New Roman" w:hAnsi="Times New Roman"/>
                <w:sz w:val="24"/>
                <w:szCs w:val="24"/>
              </w:rPr>
            </w:pPr>
          </w:p>
        </w:tc>
        <w:tc>
          <w:tcPr>
            <w:tcW w:w="835" w:type="pct"/>
            <w:vMerge/>
            <w:vAlign w:val="center"/>
          </w:tcPr>
          <w:p w:rsidR="00D47148" w:rsidRPr="00FA7355" w:rsidRDefault="00D47148" w:rsidP="00724BC8">
            <w:pPr>
              <w:spacing w:after="0" w:line="240" w:lineRule="auto"/>
              <w:jc w:val="center"/>
              <w:rPr>
                <w:rFonts w:ascii="Times New Roman" w:hAnsi="Times New Roman"/>
                <w:sz w:val="24"/>
                <w:szCs w:val="24"/>
              </w:rPr>
            </w:pPr>
          </w:p>
        </w:tc>
        <w:tc>
          <w:tcPr>
            <w:tcW w:w="669" w:type="pct"/>
          </w:tcPr>
          <w:p w:rsidR="00D47148" w:rsidRPr="00FA7355" w:rsidRDefault="00D47148" w:rsidP="00724BC8">
            <w:pPr>
              <w:spacing w:after="0" w:line="240" w:lineRule="auto"/>
              <w:jc w:val="center"/>
              <w:rPr>
                <w:rFonts w:ascii="Times New Roman" w:hAnsi="Times New Roman"/>
                <w:sz w:val="24"/>
                <w:szCs w:val="24"/>
              </w:rPr>
            </w:pPr>
          </w:p>
        </w:tc>
        <w:tc>
          <w:tcPr>
            <w:tcW w:w="782" w:type="pct"/>
          </w:tcPr>
          <w:p w:rsidR="00D47148" w:rsidRPr="00FA7355" w:rsidRDefault="00D47148" w:rsidP="00724BC8">
            <w:pPr>
              <w:spacing w:after="0" w:line="240" w:lineRule="auto"/>
              <w:jc w:val="center"/>
              <w:rPr>
                <w:rFonts w:ascii="Times New Roman" w:hAnsi="Times New Roman"/>
                <w:sz w:val="24"/>
                <w:szCs w:val="24"/>
              </w:rPr>
            </w:pPr>
          </w:p>
        </w:tc>
        <w:tc>
          <w:tcPr>
            <w:tcW w:w="704" w:type="pct"/>
          </w:tcPr>
          <w:p w:rsidR="00D47148" w:rsidRPr="00FA7355" w:rsidRDefault="00D47148" w:rsidP="00724BC8">
            <w:pPr>
              <w:spacing w:after="0" w:line="240" w:lineRule="auto"/>
              <w:jc w:val="center"/>
              <w:rPr>
                <w:rFonts w:ascii="Times New Roman" w:hAnsi="Times New Roman"/>
                <w:sz w:val="24"/>
                <w:szCs w:val="24"/>
              </w:rPr>
            </w:pPr>
          </w:p>
        </w:tc>
        <w:tc>
          <w:tcPr>
            <w:tcW w:w="717" w:type="pct"/>
          </w:tcPr>
          <w:p w:rsidR="00D47148" w:rsidRPr="00FA7355" w:rsidRDefault="00D47148" w:rsidP="00724BC8">
            <w:pPr>
              <w:spacing w:after="0" w:line="240" w:lineRule="auto"/>
              <w:jc w:val="center"/>
              <w:rPr>
                <w:rFonts w:ascii="Times New Roman" w:hAnsi="Times New Roman"/>
                <w:sz w:val="24"/>
                <w:szCs w:val="24"/>
              </w:rPr>
            </w:pPr>
          </w:p>
        </w:tc>
      </w:tr>
      <w:tr w:rsidR="00D47148" w:rsidRPr="00FA7355" w:rsidTr="0069107A">
        <w:trPr>
          <w:trHeight w:val="63"/>
        </w:trPr>
        <w:tc>
          <w:tcPr>
            <w:tcW w:w="1292" w:type="pct"/>
            <w:gridSpan w:val="2"/>
            <w:vMerge/>
            <w:vAlign w:val="center"/>
          </w:tcPr>
          <w:p w:rsidR="00D47148" w:rsidRPr="00FA7355" w:rsidRDefault="00D47148" w:rsidP="00724BC8">
            <w:pPr>
              <w:spacing w:after="0" w:line="240" w:lineRule="auto"/>
              <w:rPr>
                <w:rFonts w:ascii="Times New Roman" w:hAnsi="Times New Roman"/>
                <w:sz w:val="24"/>
                <w:szCs w:val="24"/>
              </w:rPr>
            </w:pPr>
          </w:p>
        </w:tc>
        <w:tc>
          <w:tcPr>
            <w:tcW w:w="835" w:type="pct"/>
            <w:vMerge/>
            <w:vAlign w:val="center"/>
          </w:tcPr>
          <w:p w:rsidR="00D47148" w:rsidRPr="00FA7355" w:rsidRDefault="00D47148" w:rsidP="00724BC8">
            <w:pPr>
              <w:spacing w:after="0" w:line="240" w:lineRule="auto"/>
              <w:jc w:val="center"/>
              <w:rPr>
                <w:rFonts w:ascii="Times New Roman" w:hAnsi="Times New Roman"/>
                <w:sz w:val="24"/>
                <w:szCs w:val="24"/>
              </w:rPr>
            </w:pPr>
          </w:p>
        </w:tc>
        <w:tc>
          <w:tcPr>
            <w:tcW w:w="669" w:type="pct"/>
          </w:tcPr>
          <w:p w:rsidR="00D47148" w:rsidRPr="00FA7355" w:rsidRDefault="00D47148" w:rsidP="00724BC8">
            <w:pPr>
              <w:spacing w:after="0" w:line="240" w:lineRule="auto"/>
              <w:jc w:val="center"/>
              <w:rPr>
                <w:rFonts w:ascii="Times New Roman" w:hAnsi="Times New Roman"/>
                <w:sz w:val="24"/>
                <w:szCs w:val="24"/>
              </w:rPr>
            </w:pPr>
          </w:p>
        </w:tc>
        <w:tc>
          <w:tcPr>
            <w:tcW w:w="782" w:type="pct"/>
          </w:tcPr>
          <w:p w:rsidR="00D47148" w:rsidRPr="00FA7355" w:rsidRDefault="00D47148" w:rsidP="00724BC8">
            <w:pPr>
              <w:spacing w:after="0" w:line="240" w:lineRule="auto"/>
              <w:jc w:val="center"/>
              <w:rPr>
                <w:rFonts w:ascii="Times New Roman" w:hAnsi="Times New Roman"/>
                <w:sz w:val="24"/>
                <w:szCs w:val="24"/>
              </w:rPr>
            </w:pPr>
          </w:p>
        </w:tc>
        <w:tc>
          <w:tcPr>
            <w:tcW w:w="704" w:type="pct"/>
          </w:tcPr>
          <w:p w:rsidR="00D47148" w:rsidRPr="00FA7355" w:rsidRDefault="00D47148" w:rsidP="00724BC8">
            <w:pPr>
              <w:spacing w:after="0" w:line="240" w:lineRule="auto"/>
              <w:jc w:val="center"/>
              <w:rPr>
                <w:rFonts w:ascii="Times New Roman" w:hAnsi="Times New Roman"/>
                <w:sz w:val="24"/>
                <w:szCs w:val="24"/>
              </w:rPr>
            </w:pPr>
          </w:p>
        </w:tc>
        <w:tc>
          <w:tcPr>
            <w:tcW w:w="717" w:type="pct"/>
          </w:tcPr>
          <w:p w:rsidR="00D47148" w:rsidRPr="00FA7355" w:rsidRDefault="00D47148" w:rsidP="00724BC8">
            <w:pPr>
              <w:spacing w:after="0" w:line="240" w:lineRule="auto"/>
              <w:jc w:val="center"/>
              <w:rPr>
                <w:rFonts w:ascii="Times New Roman" w:hAnsi="Times New Roman"/>
                <w:sz w:val="24"/>
                <w:szCs w:val="24"/>
              </w:rPr>
            </w:pPr>
          </w:p>
        </w:tc>
      </w:tr>
      <w:tr w:rsidR="00D47148" w:rsidRPr="00FA7355" w:rsidTr="0069107A">
        <w:trPr>
          <w:trHeight w:val="290"/>
        </w:trPr>
        <w:tc>
          <w:tcPr>
            <w:tcW w:w="1292" w:type="pct"/>
            <w:gridSpan w:val="2"/>
          </w:tcPr>
          <w:p w:rsidR="00D47148" w:rsidRPr="00FA7355" w:rsidRDefault="00D47148" w:rsidP="00724BC8">
            <w:pPr>
              <w:pStyle w:val="NormalWeb"/>
              <w:spacing w:before="0" w:beforeAutospacing="0" w:after="0" w:afterAutospacing="0"/>
            </w:pPr>
            <w:r w:rsidRPr="00FA7355">
              <w:lastRenderedPageBreak/>
              <w:t>5. Precizēta finansiālā ietekme:</w:t>
            </w:r>
          </w:p>
        </w:tc>
        <w:tc>
          <w:tcPr>
            <w:tcW w:w="835" w:type="pct"/>
            <w:vMerge w:val="restart"/>
          </w:tcPr>
          <w:p w:rsidR="00D47148" w:rsidRPr="00FA7355" w:rsidRDefault="00D47148" w:rsidP="00724BC8">
            <w:pPr>
              <w:pStyle w:val="NormalWeb"/>
              <w:spacing w:before="0" w:beforeAutospacing="0" w:after="0" w:afterAutospacing="0"/>
              <w:jc w:val="center"/>
            </w:pPr>
            <w:r w:rsidRPr="00FA7355">
              <w:t>X</w:t>
            </w:r>
          </w:p>
          <w:p w:rsidR="00D47148" w:rsidRPr="00FA7355" w:rsidRDefault="00D47148" w:rsidP="00724BC8">
            <w:pPr>
              <w:spacing w:after="0" w:line="240" w:lineRule="auto"/>
              <w:rPr>
                <w:rFonts w:ascii="Times New Roman" w:hAnsi="Times New Roman"/>
                <w:sz w:val="24"/>
                <w:szCs w:val="24"/>
              </w:rPr>
            </w:pPr>
          </w:p>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X</w:t>
            </w: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283"/>
        </w:trPr>
        <w:tc>
          <w:tcPr>
            <w:tcW w:w="1292" w:type="pct"/>
            <w:gridSpan w:val="2"/>
          </w:tcPr>
          <w:p w:rsidR="00D47148" w:rsidRPr="00FA7355" w:rsidRDefault="00D47148" w:rsidP="00724BC8">
            <w:pPr>
              <w:pStyle w:val="NormalWeb"/>
              <w:spacing w:before="0" w:beforeAutospacing="0" w:after="0" w:afterAutospacing="0"/>
            </w:pPr>
            <w:r w:rsidRPr="00FA7355">
              <w:t>5.1. valsts pamatbudžets</w:t>
            </w:r>
          </w:p>
        </w:tc>
        <w:tc>
          <w:tcPr>
            <w:tcW w:w="835" w:type="pct"/>
            <w:vMerge/>
            <w:vAlign w:val="center"/>
          </w:tcPr>
          <w:p w:rsidR="00D47148" w:rsidRPr="00FA7355" w:rsidRDefault="00D47148" w:rsidP="00724BC8">
            <w:pPr>
              <w:spacing w:after="0" w:line="240" w:lineRule="auto"/>
              <w:jc w:val="center"/>
              <w:rPr>
                <w:rFonts w:ascii="Times New Roman" w:hAnsi="Times New Roman"/>
                <w:sz w:val="24"/>
                <w:szCs w:val="24"/>
              </w:rPr>
            </w:pPr>
          </w:p>
        </w:tc>
        <w:tc>
          <w:tcPr>
            <w:tcW w:w="669"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82"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04"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c>
          <w:tcPr>
            <w:tcW w:w="717" w:type="pct"/>
          </w:tcPr>
          <w:p w:rsidR="00D47148" w:rsidRPr="00FA7355" w:rsidRDefault="00D47148" w:rsidP="00724BC8">
            <w:pPr>
              <w:spacing w:after="0" w:line="240" w:lineRule="auto"/>
              <w:jc w:val="center"/>
              <w:rPr>
                <w:rFonts w:ascii="Times New Roman" w:hAnsi="Times New Roman"/>
                <w:sz w:val="24"/>
                <w:szCs w:val="24"/>
              </w:rPr>
            </w:pPr>
            <w:r w:rsidRPr="00FA7355">
              <w:rPr>
                <w:rFonts w:ascii="Times New Roman" w:hAnsi="Times New Roman"/>
                <w:sz w:val="24"/>
                <w:szCs w:val="24"/>
              </w:rPr>
              <w:t>0</w:t>
            </w:r>
          </w:p>
        </w:tc>
      </w:tr>
      <w:tr w:rsidR="00D47148" w:rsidRPr="00FA7355" w:rsidTr="0069107A">
        <w:trPr>
          <w:trHeight w:val="145"/>
        </w:trPr>
        <w:tc>
          <w:tcPr>
            <w:tcW w:w="1292" w:type="pct"/>
            <w:gridSpan w:val="2"/>
          </w:tcPr>
          <w:p w:rsidR="00D47148" w:rsidRPr="00FA7355" w:rsidRDefault="00D47148" w:rsidP="00724BC8">
            <w:pPr>
              <w:pStyle w:val="NormalWeb"/>
              <w:spacing w:before="0" w:beforeAutospacing="0" w:after="0" w:afterAutospacing="0"/>
            </w:pPr>
            <w:r w:rsidRPr="00FA7355">
              <w:t>5.2. speciālais budžets</w:t>
            </w:r>
          </w:p>
        </w:tc>
        <w:tc>
          <w:tcPr>
            <w:tcW w:w="835" w:type="pct"/>
            <w:vMerge/>
            <w:vAlign w:val="center"/>
          </w:tcPr>
          <w:p w:rsidR="00D47148" w:rsidRPr="00FA7355" w:rsidRDefault="00D47148" w:rsidP="00724BC8">
            <w:pPr>
              <w:spacing w:after="0" w:line="240" w:lineRule="auto"/>
              <w:jc w:val="center"/>
              <w:rPr>
                <w:rFonts w:ascii="Times New Roman" w:hAnsi="Times New Roman"/>
                <w:sz w:val="24"/>
                <w:szCs w:val="24"/>
              </w:rPr>
            </w:pPr>
          </w:p>
        </w:tc>
        <w:tc>
          <w:tcPr>
            <w:tcW w:w="669" w:type="pct"/>
          </w:tcPr>
          <w:p w:rsidR="00D47148" w:rsidRPr="00FA7355" w:rsidRDefault="00D47148" w:rsidP="00724BC8">
            <w:pPr>
              <w:spacing w:after="0" w:line="240" w:lineRule="auto"/>
              <w:jc w:val="center"/>
              <w:rPr>
                <w:rFonts w:ascii="Times New Roman" w:hAnsi="Times New Roman"/>
                <w:sz w:val="24"/>
                <w:szCs w:val="24"/>
              </w:rPr>
            </w:pPr>
          </w:p>
        </w:tc>
        <w:tc>
          <w:tcPr>
            <w:tcW w:w="782" w:type="pct"/>
          </w:tcPr>
          <w:p w:rsidR="00D47148" w:rsidRPr="00FA7355" w:rsidRDefault="00D47148" w:rsidP="00724BC8">
            <w:pPr>
              <w:spacing w:after="0" w:line="240" w:lineRule="auto"/>
              <w:jc w:val="center"/>
              <w:rPr>
                <w:rFonts w:ascii="Times New Roman" w:hAnsi="Times New Roman"/>
                <w:sz w:val="24"/>
                <w:szCs w:val="24"/>
              </w:rPr>
            </w:pPr>
          </w:p>
        </w:tc>
        <w:tc>
          <w:tcPr>
            <w:tcW w:w="704" w:type="pct"/>
          </w:tcPr>
          <w:p w:rsidR="00D47148" w:rsidRPr="00FA7355" w:rsidRDefault="00D47148" w:rsidP="00724BC8">
            <w:pPr>
              <w:spacing w:after="0" w:line="240" w:lineRule="auto"/>
              <w:jc w:val="center"/>
              <w:rPr>
                <w:rFonts w:ascii="Times New Roman" w:hAnsi="Times New Roman"/>
                <w:sz w:val="24"/>
                <w:szCs w:val="24"/>
              </w:rPr>
            </w:pPr>
          </w:p>
        </w:tc>
        <w:tc>
          <w:tcPr>
            <w:tcW w:w="717" w:type="pct"/>
          </w:tcPr>
          <w:p w:rsidR="00D47148" w:rsidRPr="00FA7355" w:rsidRDefault="00D47148" w:rsidP="00724BC8">
            <w:pPr>
              <w:spacing w:after="0" w:line="240" w:lineRule="auto"/>
              <w:jc w:val="center"/>
              <w:rPr>
                <w:rFonts w:ascii="Times New Roman" w:hAnsi="Times New Roman"/>
                <w:sz w:val="24"/>
                <w:szCs w:val="24"/>
              </w:rPr>
            </w:pPr>
          </w:p>
        </w:tc>
      </w:tr>
      <w:tr w:rsidR="00D47148" w:rsidRPr="00FA7355" w:rsidTr="0069107A">
        <w:trPr>
          <w:trHeight w:val="138"/>
        </w:trPr>
        <w:tc>
          <w:tcPr>
            <w:tcW w:w="1292" w:type="pct"/>
            <w:gridSpan w:val="2"/>
          </w:tcPr>
          <w:p w:rsidR="00D47148" w:rsidRPr="00FA7355" w:rsidRDefault="00D47148" w:rsidP="00724BC8">
            <w:pPr>
              <w:pStyle w:val="NormalWeb"/>
              <w:spacing w:before="0" w:beforeAutospacing="0" w:after="0" w:afterAutospacing="0"/>
            </w:pPr>
            <w:r w:rsidRPr="00FA7355">
              <w:t>5.3. pašvaldību budžets</w:t>
            </w:r>
          </w:p>
        </w:tc>
        <w:tc>
          <w:tcPr>
            <w:tcW w:w="835" w:type="pct"/>
            <w:vMerge/>
            <w:vAlign w:val="center"/>
          </w:tcPr>
          <w:p w:rsidR="00D47148" w:rsidRPr="00FA7355" w:rsidRDefault="00D47148" w:rsidP="00724BC8">
            <w:pPr>
              <w:spacing w:after="0" w:line="240" w:lineRule="auto"/>
              <w:jc w:val="center"/>
              <w:rPr>
                <w:rFonts w:ascii="Times New Roman" w:hAnsi="Times New Roman"/>
                <w:sz w:val="24"/>
                <w:szCs w:val="24"/>
              </w:rPr>
            </w:pPr>
          </w:p>
        </w:tc>
        <w:tc>
          <w:tcPr>
            <w:tcW w:w="669" w:type="pct"/>
          </w:tcPr>
          <w:p w:rsidR="00D47148" w:rsidRPr="00FA7355" w:rsidRDefault="00D47148" w:rsidP="00724BC8">
            <w:pPr>
              <w:spacing w:after="0" w:line="240" w:lineRule="auto"/>
              <w:jc w:val="center"/>
              <w:rPr>
                <w:rFonts w:ascii="Times New Roman" w:hAnsi="Times New Roman"/>
                <w:sz w:val="24"/>
                <w:szCs w:val="24"/>
              </w:rPr>
            </w:pPr>
          </w:p>
        </w:tc>
        <w:tc>
          <w:tcPr>
            <w:tcW w:w="782" w:type="pct"/>
          </w:tcPr>
          <w:p w:rsidR="00D47148" w:rsidRPr="00FA7355" w:rsidRDefault="00D47148" w:rsidP="00724BC8">
            <w:pPr>
              <w:spacing w:after="0" w:line="240" w:lineRule="auto"/>
              <w:jc w:val="center"/>
              <w:rPr>
                <w:rFonts w:ascii="Times New Roman" w:hAnsi="Times New Roman"/>
                <w:sz w:val="24"/>
                <w:szCs w:val="24"/>
              </w:rPr>
            </w:pPr>
          </w:p>
        </w:tc>
        <w:tc>
          <w:tcPr>
            <w:tcW w:w="704" w:type="pct"/>
          </w:tcPr>
          <w:p w:rsidR="00D47148" w:rsidRPr="00FA7355" w:rsidRDefault="00D47148" w:rsidP="00724BC8">
            <w:pPr>
              <w:spacing w:after="0" w:line="240" w:lineRule="auto"/>
              <w:jc w:val="center"/>
              <w:rPr>
                <w:rFonts w:ascii="Times New Roman" w:hAnsi="Times New Roman"/>
                <w:sz w:val="24"/>
                <w:szCs w:val="24"/>
              </w:rPr>
            </w:pPr>
          </w:p>
        </w:tc>
        <w:tc>
          <w:tcPr>
            <w:tcW w:w="717" w:type="pct"/>
          </w:tcPr>
          <w:p w:rsidR="00D47148" w:rsidRPr="00FA7355" w:rsidRDefault="00D47148" w:rsidP="00724BC8">
            <w:pPr>
              <w:spacing w:after="0" w:line="240" w:lineRule="auto"/>
              <w:jc w:val="center"/>
              <w:rPr>
                <w:rFonts w:ascii="Times New Roman" w:hAnsi="Times New Roman"/>
                <w:sz w:val="24"/>
                <w:szCs w:val="24"/>
              </w:rPr>
            </w:pPr>
          </w:p>
        </w:tc>
      </w:tr>
      <w:tr w:rsidR="00D47148" w:rsidRPr="00FA7355" w:rsidTr="00724BC8">
        <w:trPr>
          <w:trHeight w:val="6489"/>
        </w:trPr>
        <w:tc>
          <w:tcPr>
            <w:tcW w:w="5000" w:type="pct"/>
            <w:gridSpan w:val="7"/>
          </w:tcPr>
          <w:p w:rsidR="00D47148" w:rsidRPr="00FA7355" w:rsidRDefault="00D47148" w:rsidP="0069107A">
            <w:pPr>
              <w:tabs>
                <w:tab w:val="left" w:pos="540"/>
              </w:tabs>
              <w:spacing w:after="0" w:line="240" w:lineRule="auto"/>
              <w:ind w:firstLine="539"/>
              <w:jc w:val="both"/>
              <w:rPr>
                <w:rFonts w:ascii="Times New Roman" w:hAnsi="Times New Roman"/>
                <w:b/>
                <w:sz w:val="24"/>
                <w:szCs w:val="24"/>
                <w:u w:val="single"/>
              </w:rPr>
            </w:pPr>
            <w:r w:rsidRPr="00FA7355">
              <w:rPr>
                <w:rFonts w:ascii="Times New Roman" w:hAnsi="Times New Roman"/>
                <w:sz w:val="24"/>
                <w:szCs w:val="24"/>
              </w:rPr>
              <w:t>6. Detalizēts ieņēmumu un izdevumu aprēķins (ja nepieciešams, detalizētu ieņēmumu un izdevumu aprēķinu var pievienot anotācijas pielikumā).</w:t>
            </w:r>
          </w:p>
          <w:p w:rsidR="00D47148" w:rsidRPr="00FA7355" w:rsidRDefault="00D47148" w:rsidP="0069107A">
            <w:pPr>
              <w:tabs>
                <w:tab w:val="left" w:pos="540"/>
              </w:tabs>
              <w:spacing w:after="0" w:line="240" w:lineRule="auto"/>
              <w:ind w:firstLine="539"/>
              <w:jc w:val="both"/>
              <w:rPr>
                <w:rFonts w:ascii="Times New Roman" w:hAnsi="Times New Roman"/>
                <w:sz w:val="24"/>
                <w:szCs w:val="24"/>
              </w:rPr>
            </w:pPr>
            <w:r w:rsidRPr="00FA7355">
              <w:rPr>
                <w:rFonts w:ascii="Times New Roman" w:hAnsi="Times New Roman"/>
                <w:sz w:val="24"/>
                <w:szCs w:val="24"/>
              </w:rPr>
              <w:t xml:space="preserve">Saskaņā ar likumu „Par valsts budžetu 2017. gadam” Maksātnespējas administrācijas budžeta apakšprogrammā 06.03.00 „Maksātnespējas procesu pārvaldība” ieņēmumi no maksas pakalpojumiem </w:t>
            </w:r>
            <w:r>
              <w:rPr>
                <w:rFonts w:ascii="Times New Roman" w:hAnsi="Times New Roman"/>
                <w:sz w:val="24"/>
                <w:szCs w:val="24"/>
              </w:rPr>
              <w:t xml:space="preserve">un </w:t>
            </w:r>
            <w:r w:rsidRPr="002B4064">
              <w:rPr>
                <w:rFonts w:ascii="Times New Roman" w:hAnsi="Times New Roman"/>
                <w:sz w:val="24"/>
              </w:rPr>
              <w:t>citiem pašu ieņēmumiem</w:t>
            </w:r>
            <w:r w:rsidRPr="002B4064">
              <w:t xml:space="preserve"> </w:t>
            </w:r>
            <w:r w:rsidRPr="00FA7355">
              <w:rPr>
                <w:rFonts w:ascii="Times New Roman" w:hAnsi="Times New Roman"/>
                <w:sz w:val="24"/>
                <w:szCs w:val="24"/>
              </w:rPr>
              <w:t>2017. gadā plānoti 14 940 </w:t>
            </w:r>
            <w:r w:rsidRPr="00FA7355">
              <w:rPr>
                <w:rFonts w:ascii="Times New Roman" w:hAnsi="Times New Roman"/>
                <w:i/>
                <w:sz w:val="24"/>
                <w:szCs w:val="24"/>
              </w:rPr>
              <w:t>euro</w:t>
            </w:r>
            <w:r w:rsidRPr="00FA7355">
              <w:rPr>
                <w:rFonts w:ascii="Times New Roman" w:hAnsi="Times New Roman"/>
                <w:sz w:val="24"/>
                <w:szCs w:val="24"/>
              </w:rPr>
              <w:t xml:space="preserve"> apmērā. </w:t>
            </w:r>
          </w:p>
          <w:p w:rsidR="00D47148" w:rsidRDefault="00D47148" w:rsidP="0069107A">
            <w:pPr>
              <w:tabs>
                <w:tab w:val="left" w:pos="540"/>
              </w:tabs>
              <w:spacing w:after="0" w:line="240" w:lineRule="auto"/>
              <w:ind w:firstLine="539"/>
              <w:jc w:val="both"/>
              <w:rPr>
                <w:rFonts w:ascii="Times New Roman" w:hAnsi="Times New Roman"/>
                <w:sz w:val="24"/>
                <w:szCs w:val="24"/>
              </w:rPr>
            </w:pPr>
            <w:r w:rsidRPr="00486732">
              <w:rPr>
                <w:rFonts w:ascii="Times New Roman" w:hAnsi="Times New Roman"/>
                <w:sz w:val="24"/>
                <w:szCs w:val="24"/>
              </w:rPr>
              <w:t>Noteikum</w:t>
            </w:r>
            <w:r>
              <w:rPr>
                <w:rFonts w:ascii="Times New Roman" w:hAnsi="Times New Roman"/>
                <w:sz w:val="24"/>
                <w:szCs w:val="24"/>
              </w:rPr>
              <w:t>u projekts paredz, ka, ieviešot jaunus pakalpojumus un pārskatot spēkā esošā pakalpojuma cenu,</w:t>
            </w:r>
            <w:r w:rsidRPr="00486732">
              <w:rPr>
                <w:rFonts w:ascii="Times New Roman" w:hAnsi="Times New Roman"/>
                <w:sz w:val="24"/>
                <w:szCs w:val="24"/>
              </w:rPr>
              <w:t xml:space="preserve"> </w:t>
            </w:r>
            <w:r>
              <w:rPr>
                <w:rFonts w:ascii="Times New Roman" w:hAnsi="Times New Roman"/>
                <w:sz w:val="24"/>
                <w:szCs w:val="24"/>
              </w:rPr>
              <w:t xml:space="preserve">Maksātnespējas administrācijas </w:t>
            </w:r>
            <w:r w:rsidRPr="00486732">
              <w:rPr>
                <w:rFonts w:ascii="Times New Roman" w:hAnsi="Times New Roman"/>
                <w:sz w:val="24"/>
                <w:szCs w:val="24"/>
              </w:rPr>
              <w:t xml:space="preserve">ieņēmumi no sniegtajiem maksas pakalpojumiem palielināsies 2017. gadā par </w:t>
            </w:r>
            <w:r w:rsidR="0063776B">
              <w:rPr>
                <w:rFonts w:ascii="Times New Roman" w:hAnsi="Times New Roman"/>
                <w:sz w:val="24"/>
                <w:szCs w:val="24"/>
              </w:rPr>
              <w:t>16 519</w:t>
            </w:r>
            <w:r w:rsidRPr="00486732">
              <w:rPr>
                <w:rFonts w:ascii="Times New Roman" w:hAnsi="Times New Roman"/>
                <w:sz w:val="24"/>
                <w:szCs w:val="24"/>
              </w:rPr>
              <w:t> </w:t>
            </w:r>
            <w:r w:rsidRPr="00486732">
              <w:rPr>
                <w:rFonts w:ascii="Times New Roman" w:hAnsi="Times New Roman"/>
                <w:i/>
                <w:sz w:val="24"/>
                <w:szCs w:val="24"/>
              </w:rPr>
              <w:t>euro</w:t>
            </w:r>
            <w:r>
              <w:rPr>
                <w:rFonts w:ascii="Times New Roman" w:hAnsi="Times New Roman"/>
                <w:i/>
                <w:sz w:val="24"/>
                <w:szCs w:val="24"/>
              </w:rPr>
              <w:t xml:space="preserve">, </w:t>
            </w:r>
            <w:r w:rsidRPr="00486732">
              <w:rPr>
                <w:rFonts w:ascii="Times New Roman" w:hAnsi="Times New Roman"/>
                <w:sz w:val="24"/>
                <w:szCs w:val="24"/>
              </w:rPr>
              <w:t xml:space="preserve">2018. gadā </w:t>
            </w:r>
            <w:r>
              <w:rPr>
                <w:rFonts w:ascii="Times New Roman" w:hAnsi="Times New Roman"/>
                <w:sz w:val="24"/>
                <w:szCs w:val="24"/>
              </w:rPr>
              <w:t xml:space="preserve">par </w:t>
            </w:r>
            <w:r w:rsidR="0063776B">
              <w:rPr>
                <w:rFonts w:ascii="Times New Roman" w:hAnsi="Times New Roman"/>
                <w:sz w:val="24"/>
                <w:szCs w:val="24"/>
              </w:rPr>
              <w:t>30 496</w:t>
            </w:r>
            <w:r>
              <w:rPr>
                <w:rFonts w:ascii="Times New Roman" w:hAnsi="Times New Roman"/>
                <w:sz w:val="24"/>
                <w:szCs w:val="24"/>
              </w:rPr>
              <w:t xml:space="preserve"> </w:t>
            </w:r>
            <w:r w:rsidRPr="00C22444">
              <w:rPr>
                <w:rFonts w:ascii="Times New Roman" w:hAnsi="Times New Roman"/>
                <w:i/>
                <w:sz w:val="24"/>
                <w:szCs w:val="24"/>
              </w:rPr>
              <w:t>euro</w:t>
            </w:r>
            <w:r>
              <w:rPr>
                <w:rFonts w:ascii="Times New Roman" w:hAnsi="Times New Roman"/>
                <w:sz w:val="24"/>
                <w:szCs w:val="24"/>
              </w:rPr>
              <w:t xml:space="preserve">, 2019. gadā </w:t>
            </w:r>
            <w:r w:rsidR="0063776B">
              <w:rPr>
                <w:rFonts w:ascii="Times New Roman" w:hAnsi="Times New Roman"/>
                <w:sz w:val="24"/>
                <w:szCs w:val="24"/>
              </w:rPr>
              <w:t>17 200</w:t>
            </w:r>
            <w:r>
              <w:rPr>
                <w:rFonts w:ascii="Times New Roman" w:hAnsi="Times New Roman"/>
                <w:sz w:val="24"/>
                <w:szCs w:val="24"/>
              </w:rPr>
              <w:t xml:space="preserve"> </w:t>
            </w:r>
            <w:r w:rsidRPr="00C657F9">
              <w:rPr>
                <w:rFonts w:ascii="Times New Roman" w:hAnsi="Times New Roman"/>
                <w:i/>
                <w:sz w:val="24"/>
                <w:szCs w:val="24"/>
              </w:rPr>
              <w:t>euro</w:t>
            </w:r>
            <w:r>
              <w:rPr>
                <w:rFonts w:ascii="Times New Roman" w:hAnsi="Times New Roman"/>
                <w:sz w:val="24"/>
                <w:szCs w:val="24"/>
              </w:rPr>
              <w:t xml:space="preserve"> </w:t>
            </w:r>
            <w:r w:rsidRPr="00486732">
              <w:rPr>
                <w:rFonts w:ascii="Times New Roman" w:hAnsi="Times New Roman"/>
                <w:sz w:val="24"/>
                <w:szCs w:val="24"/>
              </w:rPr>
              <w:t xml:space="preserve">un </w:t>
            </w:r>
            <w:r>
              <w:rPr>
                <w:rFonts w:ascii="Times New Roman" w:hAnsi="Times New Roman"/>
                <w:sz w:val="24"/>
                <w:szCs w:val="24"/>
              </w:rPr>
              <w:t>2020. gadā</w:t>
            </w:r>
            <w:r w:rsidRPr="00486732">
              <w:rPr>
                <w:rFonts w:ascii="Times New Roman" w:hAnsi="Times New Roman"/>
                <w:sz w:val="24"/>
                <w:szCs w:val="24"/>
              </w:rPr>
              <w:t xml:space="preserve"> par </w:t>
            </w:r>
            <w:r w:rsidR="0063776B">
              <w:rPr>
                <w:rFonts w:ascii="Times New Roman" w:hAnsi="Times New Roman"/>
                <w:sz w:val="24"/>
                <w:szCs w:val="24"/>
              </w:rPr>
              <w:t>32 320</w:t>
            </w:r>
            <w:r>
              <w:rPr>
                <w:rFonts w:ascii="Times New Roman" w:hAnsi="Times New Roman"/>
                <w:sz w:val="24"/>
                <w:szCs w:val="24"/>
              </w:rPr>
              <w:t xml:space="preserve"> </w:t>
            </w:r>
            <w:r w:rsidRPr="00486732">
              <w:rPr>
                <w:rFonts w:ascii="Times New Roman" w:hAnsi="Times New Roman"/>
                <w:i/>
                <w:sz w:val="24"/>
                <w:szCs w:val="24"/>
              </w:rPr>
              <w:t>euro</w:t>
            </w:r>
            <w:r w:rsidRPr="00486732">
              <w:rPr>
                <w:rFonts w:ascii="Times New Roman" w:hAnsi="Times New Roman"/>
                <w:sz w:val="24"/>
                <w:szCs w:val="24"/>
              </w:rPr>
              <w:t>.</w:t>
            </w:r>
          </w:p>
          <w:p w:rsidR="00D47148" w:rsidRDefault="00D47148" w:rsidP="0069107A">
            <w:pPr>
              <w:tabs>
                <w:tab w:val="left" w:pos="540"/>
              </w:tabs>
              <w:spacing w:after="0" w:line="240" w:lineRule="auto"/>
              <w:ind w:firstLine="539"/>
              <w:jc w:val="both"/>
              <w:rPr>
                <w:rFonts w:ascii="Times New Roman" w:hAnsi="Times New Roman"/>
                <w:sz w:val="24"/>
                <w:szCs w:val="24"/>
              </w:rPr>
            </w:pPr>
            <w:r w:rsidRPr="00C22444">
              <w:rPr>
                <w:rFonts w:ascii="Times New Roman" w:hAnsi="Times New Roman"/>
                <w:sz w:val="24"/>
                <w:szCs w:val="24"/>
              </w:rPr>
              <w:t xml:space="preserve">Kopā ar izmaiņām ieņēmumi no </w:t>
            </w:r>
            <w:r>
              <w:rPr>
                <w:rFonts w:ascii="Times New Roman" w:hAnsi="Times New Roman"/>
                <w:sz w:val="24"/>
                <w:szCs w:val="24"/>
              </w:rPr>
              <w:t>Maksātnespējas administrācijas</w:t>
            </w:r>
            <w:r w:rsidRPr="00C22444">
              <w:rPr>
                <w:rFonts w:ascii="Times New Roman" w:hAnsi="Times New Roman"/>
                <w:sz w:val="24"/>
                <w:szCs w:val="24"/>
              </w:rPr>
              <w:t xml:space="preserve"> sniegtajiem maksas pakalpojumiem 2017. gadā plānoti </w:t>
            </w:r>
            <w:r w:rsidR="0063776B">
              <w:rPr>
                <w:rFonts w:ascii="Times New Roman" w:hAnsi="Times New Roman"/>
                <w:sz w:val="24"/>
                <w:szCs w:val="24"/>
              </w:rPr>
              <w:t>31 459</w:t>
            </w:r>
            <w:r w:rsidR="0069107A">
              <w:rPr>
                <w:rFonts w:ascii="Times New Roman" w:hAnsi="Times New Roman"/>
                <w:sz w:val="24"/>
                <w:szCs w:val="24"/>
              </w:rPr>
              <w:t> </w:t>
            </w:r>
            <w:r w:rsidRPr="00C22444">
              <w:rPr>
                <w:rFonts w:ascii="Times New Roman" w:hAnsi="Times New Roman"/>
                <w:i/>
                <w:sz w:val="24"/>
                <w:szCs w:val="24"/>
              </w:rPr>
              <w:t>euro</w:t>
            </w:r>
            <w:r w:rsidRPr="00C22444">
              <w:rPr>
                <w:rFonts w:ascii="Times New Roman" w:hAnsi="Times New Roman"/>
                <w:sz w:val="24"/>
                <w:szCs w:val="24"/>
              </w:rPr>
              <w:t>, 2018.</w:t>
            </w:r>
            <w:r>
              <w:rPr>
                <w:rFonts w:ascii="Times New Roman" w:hAnsi="Times New Roman"/>
                <w:sz w:val="24"/>
                <w:szCs w:val="24"/>
              </w:rPr>
              <w:t xml:space="preserve"> </w:t>
            </w:r>
            <w:r w:rsidRPr="00C22444">
              <w:rPr>
                <w:rFonts w:ascii="Times New Roman" w:hAnsi="Times New Roman"/>
                <w:sz w:val="24"/>
                <w:szCs w:val="24"/>
              </w:rPr>
              <w:t xml:space="preserve">gadā </w:t>
            </w:r>
            <w:r w:rsidR="0063776B">
              <w:rPr>
                <w:rFonts w:ascii="Times New Roman" w:hAnsi="Times New Roman"/>
                <w:sz w:val="24"/>
                <w:szCs w:val="24"/>
              </w:rPr>
              <w:t>45 436</w:t>
            </w:r>
            <w:r>
              <w:rPr>
                <w:rFonts w:ascii="Times New Roman" w:hAnsi="Times New Roman"/>
                <w:sz w:val="24"/>
                <w:szCs w:val="24"/>
              </w:rPr>
              <w:t> </w:t>
            </w:r>
            <w:r w:rsidRPr="00C22444">
              <w:rPr>
                <w:rFonts w:ascii="Times New Roman" w:hAnsi="Times New Roman"/>
                <w:i/>
                <w:sz w:val="24"/>
                <w:szCs w:val="24"/>
              </w:rPr>
              <w:t>euro</w:t>
            </w:r>
            <w:r>
              <w:rPr>
                <w:rFonts w:ascii="Times New Roman" w:hAnsi="Times New Roman"/>
                <w:i/>
                <w:sz w:val="24"/>
                <w:szCs w:val="24"/>
              </w:rPr>
              <w:t xml:space="preserve">, </w:t>
            </w:r>
            <w:r w:rsidR="0069107A">
              <w:rPr>
                <w:rFonts w:ascii="Times New Roman" w:hAnsi="Times New Roman"/>
                <w:sz w:val="24"/>
                <w:szCs w:val="24"/>
              </w:rPr>
              <w:t xml:space="preserve">2019. gadā </w:t>
            </w:r>
            <w:r w:rsidR="0063776B">
              <w:rPr>
                <w:rFonts w:ascii="Times New Roman" w:hAnsi="Times New Roman"/>
                <w:sz w:val="24"/>
                <w:szCs w:val="24"/>
              </w:rPr>
              <w:t>32 140</w:t>
            </w:r>
            <w:r>
              <w:rPr>
                <w:rFonts w:ascii="Times New Roman" w:hAnsi="Times New Roman"/>
                <w:sz w:val="24"/>
                <w:szCs w:val="24"/>
              </w:rPr>
              <w:t xml:space="preserve"> </w:t>
            </w:r>
            <w:r w:rsidRPr="00147D29">
              <w:rPr>
                <w:rFonts w:ascii="Times New Roman" w:hAnsi="Times New Roman"/>
                <w:i/>
                <w:sz w:val="24"/>
                <w:szCs w:val="24"/>
              </w:rPr>
              <w:t>euro</w:t>
            </w:r>
            <w:r>
              <w:rPr>
                <w:rFonts w:ascii="Times New Roman" w:hAnsi="Times New Roman"/>
                <w:sz w:val="24"/>
                <w:szCs w:val="24"/>
              </w:rPr>
              <w:t xml:space="preserve"> </w:t>
            </w:r>
            <w:r w:rsidRPr="00486732">
              <w:rPr>
                <w:rFonts w:ascii="Times New Roman" w:hAnsi="Times New Roman"/>
                <w:sz w:val="24"/>
                <w:szCs w:val="24"/>
              </w:rPr>
              <w:t xml:space="preserve">un </w:t>
            </w:r>
            <w:r>
              <w:rPr>
                <w:rFonts w:ascii="Times New Roman" w:hAnsi="Times New Roman"/>
                <w:sz w:val="24"/>
                <w:szCs w:val="24"/>
              </w:rPr>
              <w:t>2020. gadā</w:t>
            </w:r>
            <w:r w:rsidRPr="00486732">
              <w:rPr>
                <w:rFonts w:ascii="Times New Roman" w:hAnsi="Times New Roman"/>
                <w:sz w:val="24"/>
                <w:szCs w:val="24"/>
              </w:rPr>
              <w:t xml:space="preserve"> par </w:t>
            </w:r>
            <w:r w:rsidR="0063776B">
              <w:rPr>
                <w:rFonts w:ascii="Times New Roman" w:hAnsi="Times New Roman"/>
                <w:sz w:val="24"/>
                <w:szCs w:val="24"/>
              </w:rPr>
              <w:t>47 260</w:t>
            </w:r>
            <w:r>
              <w:rPr>
                <w:rFonts w:ascii="Times New Roman" w:hAnsi="Times New Roman"/>
                <w:sz w:val="24"/>
                <w:szCs w:val="24"/>
              </w:rPr>
              <w:t xml:space="preserve"> </w:t>
            </w:r>
            <w:r w:rsidRPr="00486732">
              <w:rPr>
                <w:rFonts w:ascii="Times New Roman" w:hAnsi="Times New Roman"/>
                <w:i/>
                <w:sz w:val="24"/>
                <w:szCs w:val="24"/>
              </w:rPr>
              <w:t>euro</w:t>
            </w:r>
            <w:r w:rsidRPr="00C22444">
              <w:rPr>
                <w:rFonts w:ascii="Times New Roman" w:hAnsi="Times New Roman"/>
                <w:i/>
                <w:sz w:val="24"/>
                <w:szCs w:val="24"/>
              </w:rPr>
              <w:t>.</w:t>
            </w:r>
          </w:p>
          <w:p w:rsidR="00D47148" w:rsidRDefault="00D47148" w:rsidP="0069107A">
            <w:pPr>
              <w:tabs>
                <w:tab w:val="left" w:pos="540"/>
              </w:tabs>
              <w:spacing w:after="0" w:line="240" w:lineRule="auto"/>
              <w:ind w:firstLine="539"/>
              <w:jc w:val="both"/>
              <w:rPr>
                <w:rFonts w:ascii="Times New Roman" w:hAnsi="Times New Roman"/>
                <w:sz w:val="24"/>
                <w:szCs w:val="24"/>
              </w:rPr>
            </w:pPr>
            <w:r w:rsidRPr="00661029">
              <w:rPr>
                <w:rFonts w:ascii="Times New Roman" w:hAnsi="Times New Roman"/>
              </w:rPr>
              <w:t>Maksātnespējas administrācijas maksas pakalpojumu ieņēmumi salīdzinājumā pret 2017. gada ieņēmumiem</w:t>
            </w:r>
            <w:r w:rsidR="00FB14F9">
              <w:rPr>
                <w:rFonts w:ascii="Times New Roman" w:hAnsi="Times New Roman"/>
                <w:sz w:val="24"/>
                <w:szCs w:val="24"/>
              </w:rPr>
              <w:t xml:space="preserve"> norādīti</w:t>
            </w:r>
            <w:r w:rsidRPr="002B4064">
              <w:rPr>
                <w:rFonts w:ascii="Times New Roman" w:hAnsi="Times New Roman"/>
                <w:sz w:val="24"/>
                <w:szCs w:val="24"/>
              </w:rPr>
              <w:t xml:space="preserve"> </w:t>
            </w:r>
            <w:r w:rsidR="00FB14F9">
              <w:rPr>
                <w:rFonts w:ascii="Times New Roman" w:hAnsi="Times New Roman"/>
                <w:sz w:val="24"/>
                <w:szCs w:val="24"/>
              </w:rPr>
              <w:t>n</w:t>
            </w:r>
            <w:r>
              <w:rPr>
                <w:rFonts w:ascii="Times New Roman" w:hAnsi="Times New Roman"/>
                <w:sz w:val="24"/>
                <w:szCs w:val="24"/>
              </w:rPr>
              <w:t>oteikumu p</w:t>
            </w:r>
            <w:r w:rsidRPr="002B4064">
              <w:rPr>
                <w:rFonts w:ascii="Times New Roman" w:hAnsi="Times New Roman"/>
                <w:sz w:val="24"/>
                <w:szCs w:val="24"/>
              </w:rPr>
              <w:t xml:space="preserve">rojekta sākotnējās ietekmes novērtējuma ziņojuma (anotācijas) </w:t>
            </w:r>
            <w:r>
              <w:rPr>
                <w:rFonts w:ascii="Times New Roman" w:hAnsi="Times New Roman"/>
                <w:sz w:val="24"/>
                <w:szCs w:val="24"/>
              </w:rPr>
              <w:t>2</w:t>
            </w:r>
            <w:r w:rsidRPr="002B4064">
              <w:rPr>
                <w:rFonts w:ascii="Times New Roman" w:hAnsi="Times New Roman"/>
                <w:sz w:val="24"/>
                <w:szCs w:val="24"/>
              </w:rPr>
              <w:t>. pielikumā.</w:t>
            </w:r>
          </w:p>
          <w:p w:rsidR="00D47148" w:rsidRDefault="00FB14F9" w:rsidP="0069107A">
            <w:pPr>
              <w:spacing w:after="0" w:line="240" w:lineRule="auto"/>
              <w:ind w:firstLine="539"/>
              <w:jc w:val="both"/>
              <w:rPr>
                <w:rFonts w:ascii="Times New Roman" w:hAnsi="Times New Roman"/>
                <w:i/>
                <w:sz w:val="24"/>
                <w:szCs w:val="24"/>
              </w:rPr>
            </w:pPr>
            <w:r>
              <w:rPr>
                <w:rFonts w:ascii="Times New Roman" w:hAnsi="Times New Roman"/>
                <w:sz w:val="24"/>
                <w:szCs w:val="24"/>
              </w:rPr>
              <w:t>Izdevumi n</w:t>
            </w:r>
            <w:r w:rsidR="00D47148" w:rsidRPr="00146EA2">
              <w:rPr>
                <w:rFonts w:ascii="Times New Roman" w:hAnsi="Times New Roman"/>
                <w:sz w:val="24"/>
                <w:szCs w:val="24"/>
              </w:rPr>
              <w:t xml:space="preserve">oteikumu projektā iekļauto maksas pakalpojumu sniegšanai </w:t>
            </w:r>
            <w:r w:rsidR="00D47148" w:rsidRPr="00C22444">
              <w:rPr>
                <w:rFonts w:ascii="Times New Roman" w:hAnsi="Times New Roman"/>
                <w:sz w:val="24"/>
                <w:szCs w:val="24"/>
              </w:rPr>
              <w:t xml:space="preserve">2017. gadā plānoti </w:t>
            </w:r>
            <w:r w:rsidR="0063776B">
              <w:rPr>
                <w:rFonts w:ascii="Times New Roman" w:hAnsi="Times New Roman"/>
                <w:sz w:val="24"/>
                <w:szCs w:val="24"/>
              </w:rPr>
              <w:t>31 459</w:t>
            </w:r>
            <w:r w:rsidR="00D47148">
              <w:rPr>
                <w:rFonts w:ascii="Times New Roman" w:hAnsi="Times New Roman"/>
                <w:sz w:val="24"/>
                <w:szCs w:val="24"/>
              </w:rPr>
              <w:t xml:space="preserve"> </w:t>
            </w:r>
            <w:r w:rsidR="00D47148" w:rsidRPr="00C22444">
              <w:rPr>
                <w:rFonts w:ascii="Times New Roman" w:hAnsi="Times New Roman"/>
                <w:i/>
                <w:sz w:val="24"/>
                <w:szCs w:val="24"/>
              </w:rPr>
              <w:t>euro</w:t>
            </w:r>
            <w:r w:rsidR="00D47148" w:rsidRPr="00C22444">
              <w:rPr>
                <w:rFonts w:ascii="Times New Roman" w:hAnsi="Times New Roman"/>
                <w:sz w:val="24"/>
                <w:szCs w:val="24"/>
              </w:rPr>
              <w:t>, 2018.</w:t>
            </w:r>
            <w:r w:rsidR="00D47148">
              <w:rPr>
                <w:rFonts w:ascii="Times New Roman" w:hAnsi="Times New Roman"/>
                <w:sz w:val="24"/>
                <w:szCs w:val="24"/>
              </w:rPr>
              <w:t xml:space="preserve"> </w:t>
            </w:r>
            <w:r w:rsidR="00D47148" w:rsidRPr="00C22444">
              <w:rPr>
                <w:rFonts w:ascii="Times New Roman" w:hAnsi="Times New Roman"/>
                <w:sz w:val="24"/>
                <w:szCs w:val="24"/>
              </w:rPr>
              <w:t xml:space="preserve">gadā </w:t>
            </w:r>
            <w:r w:rsidR="0063776B">
              <w:rPr>
                <w:rFonts w:ascii="Times New Roman" w:hAnsi="Times New Roman"/>
                <w:sz w:val="24"/>
                <w:szCs w:val="24"/>
              </w:rPr>
              <w:t>45 436</w:t>
            </w:r>
            <w:r w:rsidR="00D47148">
              <w:rPr>
                <w:rFonts w:ascii="Times New Roman" w:hAnsi="Times New Roman"/>
                <w:sz w:val="24"/>
                <w:szCs w:val="24"/>
              </w:rPr>
              <w:t> </w:t>
            </w:r>
            <w:r w:rsidR="00D47148" w:rsidRPr="00C22444">
              <w:rPr>
                <w:rFonts w:ascii="Times New Roman" w:hAnsi="Times New Roman"/>
                <w:i/>
                <w:sz w:val="24"/>
                <w:szCs w:val="24"/>
              </w:rPr>
              <w:t>euro</w:t>
            </w:r>
            <w:r w:rsidR="00D47148">
              <w:rPr>
                <w:rFonts w:ascii="Times New Roman" w:hAnsi="Times New Roman"/>
                <w:i/>
                <w:sz w:val="24"/>
                <w:szCs w:val="24"/>
              </w:rPr>
              <w:t xml:space="preserve">, </w:t>
            </w:r>
            <w:r w:rsidR="00D47148">
              <w:rPr>
                <w:rFonts w:ascii="Times New Roman" w:hAnsi="Times New Roman"/>
                <w:sz w:val="24"/>
                <w:szCs w:val="24"/>
              </w:rPr>
              <w:t xml:space="preserve">2019. gadā </w:t>
            </w:r>
            <w:r w:rsidR="0063776B">
              <w:rPr>
                <w:rFonts w:ascii="Times New Roman" w:hAnsi="Times New Roman"/>
                <w:sz w:val="24"/>
                <w:szCs w:val="24"/>
              </w:rPr>
              <w:t>32 140</w:t>
            </w:r>
            <w:r w:rsidR="00D47148">
              <w:rPr>
                <w:rFonts w:ascii="Times New Roman" w:hAnsi="Times New Roman"/>
                <w:sz w:val="24"/>
                <w:szCs w:val="24"/>
              </w:rPr>
              <w:t xml:space="preserve"> </w:t>
            </w:r>
            <w:r w:rsidR="00D47148" w:rsidRPr="00147D29">
              <w:rPr>
                <w:rFonts w:ascii="Times New Roman" w:hAnsi="Times New Roman"/>
                <w:i/>
                <w:sz w:val="24"/>
                <w:szCs w:val="24"/>
              </w:rPr>
              <w:t>euro</w:t>
            </w:r>
            <w:r w:rsidR="00D47148">
              <w:rPr>
                <w:rFonts w:ascii="Times New Roman" w:hAnsi="Times New Roman"/>
                <w:sz w:val="24"/>
                <w:szCs w:val="24"/>
              </w:rPr>
              <w:t xml:space="preserve"> </w:t>
            </w:r>
            <w:r w:rsidR="00D47148" w:rsidRPr="00486732">
              <w:rPr>
                <w:rFonts w:ascii="Times New Roman" w:hAnsi="Times New Roman"/>
                <w:sz w:val="24"/>
                <w:szCs w:val="24"/>
              </w:rPr>
              <w:t xml:space="preserve">un </w:t>
            </w:r>
            <w:r w:rsidR="00D47148">
              <w:rPr>
                <w:rFonts w:ascii="Times New Roman" w:hAnsi="Times New Roman"/>
                <w:sz w:val="24"/>
                <w:szCs w:val="24"/>
              </w:rPr>
              <w:t>2020. gadā</w:t>
            </w:r>
            <w:r w:rsidR="00D47148" w:rsidRPr="00486732">
              <w:rPr>
                <w:rFonts w:ascii="Times New Roman" w:hAnsi="Times New Roman"/>
                <w:sz w:val="24"/>
                <w:szCs w:val="24"/>
              </w:rPr>
              <w:t xml:space="preserve"> par </w:t>
            </w:r>
            <w:r w:rsidR="0063776B">
              <w:rPr>
                <w:rFonts w:ascii="Times New Roman" w:hAnsi="Times New Roman"/>
                <w:sz w:val="24"/>
                <w:szCs w:val="24"/>
              </w:rPr>
              <w:t>47 260</w:t>
            </w:r>
            <w:r w:rsidR="00D47148">
              <w:rPr>
                <w:rFonts w:ascii="Times New Roman" w:hAnsi="Times New Roman"/>
                <w:sz w:val="24"/>
                <w:szCs w:val="24"/>
              </w:rPr>
              <w:t xml:space="preserve"> </w:t>
            </w:r>
            <w:r w:rsidR="00D47148" w:rsidRPr="00486732">
              <w:rPr>
                <w:rFonts w:ascii="Times New Roman" w:hAnsi="Times New Roman"/>
                <w:i/>
                <w:sz w:val="24"/>
                <w:szCs w:val="24"/>
              </w:rPr>
              <w:t>euro</w:t>
            </w:r>
            <w:r w:rsidR="00D47148" w:rsidRPr="00C22444">
              <w:rPr>
                <w:rFonts w:ascii="Times New Roman" w:hAnsi="Times New Roman"/>
                <w:i/>
                <w:sz w:val="24"/>
                <w:szCs w:val="24"/>
              </w:rPr>
              <w:t>.</w:t>
            </w:r>
          </w:p>
          <w:p w:rsidR="00D47148" w:rsidRPr="00FA7355" w:rsidRDefault="00D47148" w:rsidP="0069107A">
            <w:pPr>
              <w:tabs>
                <w:tab w:val="left" w:pos="540"/>
              </w:tabs>
              <w:spacing w:after="0" w:line="240" w:lineRule="auto"/>
              <w:ind w:firstLine="539"/>
              <w:jc w:val="both"/>
              <w:rPr>
                <w:rFonts w:ascii="Times New Roman" w:hAnsi="Times New Roman"/>
                <w:sz w:val="24"/>
                <w:szCs w:val="24"/>
              </w:rPr>
            </w:pPr>
            <w:r w:rsidRPr="00146EA2">
              <w:rPr>
                <w:rFonts w:ascii="Times New Roman" w:hAnsi="Times New Roman"/>
                <w:sz w:val="24"/>
                <w:szCs w:val="24"/>
              </w:rPr>
              <w:t xml:space="preserve">Detalizēts </w:t>
            </w:r>
            <w:r>
              <w:rPr>
                <w:rFonts w:ascii="Times New Roman" w:hAnsi="Times New Roman"/>
                <w:sz w:val="24"/>
                <w:szCs w:val="24"/>
              </w:rPr>
              <w:t xml:space="preserve">maksas pakalpojumu </w:t>
            </w:r>
            <w:r w:rsidRPr="00146EA2">
              <w:rPr>
                <w:rFonts w:ascii="Times New Roman" w:hAnsi="Times New Roman"/>
                <w:sz w:val="24"/>
                <w:szCs w:val="24"/>
              </w:rPr>
              <w:t xml:space="preserve">izdevumu </w:t>
            </w:r>
            <w:r>
              <w:rPr>
                <w:rFonts w:ascii="Times New Roman" w:hAnsi="Times New Roman"/>
                <w:sz w:val="24"/>
                <w:szCs w:val="24"/>
              </w:rPr>
              <w:t>sadalījums,</w:t>
            </w:r>
            <w:r w:rsidRPr="00146EA2">
              <w:rPr>
                <w:rFonts w:ascii="Times New Roman" w:hAnsi="Times New Roman"/>
                <w:sz w:val="24"/>
                <w:szCs w:val="24"/>
              </w:rPr>
              <w:t xml:space="preserve"> norādīts</w:t>
            </w:r>
            <w:r>
              <w:rPr>
                <w:rFonts w:ascii="Times New Roman" w:hAnsi="Times New Roman"/>
                <w:sz w:val="24"/>
                <w:szCs w:val="24"/>
              </w:rPr>
              <w:t xml:space="preserve"> </w:t>
            </w:r>
            <w:r w:rsidR="00FB14F9">
              <w:rPr>
                <w:rFonts w:ascii="Times New Roman" w:hAnsi="Times New Roman"/>
                <w:sz w:val="24"/>
                <w:szCs w:val="24"/>
              </w:rPr>
              <w:t>n</w:t>
            </w:r>
            <w:r w:rsidRPr="00146EA2">
              <w:rPr>
                <w:rFonts w:ascii="Times New Roman" w:hAnsi="Times New Roman"/>
                <w:sz w:val="24"/>
                <w:szCs w:val="24"/>
              </w:rPr>
              <w:t xml:space="preserve">oteikumu projekta sākotnējās ietekmes novērtējuma ziņojuma (anotācijas) </w:t>
            </w:r>
            <w:r>
              <w:rPr>
                <w:rFonts w:ascii="Times New Roman" w:hAnsi="Times New Roman"/>
                <w:sz w:val="24"/>
                <w:szCs w:val="24"/>
              </w:rPr>
              <w:t>1</w:t>
            </w:r>
            <w:r w:rsidRPr="00146EA2">
              <w:rPr>
                <w:rFonts w:ascii="Times New Roman" w:hAnsi="Times New Roman"/>
                <w:sz w:val="24"/>
                <w:szCs w:val="24"/>
              </w:rPr>
              <w:t>.pielikum</w:t>
            </w:r>
            <w:r>
              <w:rPr>
                <w:rFonts w:ascii="Times New Roman" w:hAnsi="Times New Roman"/>
                <w:sz w:val="24"/>
                <w:szCs w:val="24"/>
              </w:rPr>
              <w:t>ā</w:t>
            </w:r>
          </w:p>
          <w:p w:rsidR="00D47148" w:rsidRPr="00661029" w:rsidRDefault="00D47148" w:rsidP="0069107A">
            <w:pPr>
              <w:tabs>
                <w:tab w:val="left" w:pos="1014"/>
              </w:tabs>
              <w:spacing w:after="0" w:line="240" w:lineRule="auto"/>
              <w:ind w:firstLine="539"/>
              <w:jc w:val="both"/>
              <w:rPr>
                <w:rFonts w:ascii="Times New Roman" w:hAnsi="Times New Roman"/>
                <w:sz w:val="24"/>
                <w:szCs w:val="24"/>
              </w:rPr>
            </w:pPr>
            <w:r w:rsidRPr="002B4064">
              <w:rPr>
                <w:rFonts w:ascii="Times New Roman" w:hAnsi="Times New Roman"/>
                <w:sz w:val="24"/>
                <w:szCs w:val="24"/>
              </w:rPr>
              <w:t>Maksas pakalpojumu</w:t>
            </w:r>
            <w:r w:rsidR="00FB14F9">
              <w:rPr>
                <w:rFonts w:ascii="Times New Roman" w:hAnsi="Times New Roman"/>
                <w:sz w:val="24"/>
                <w:szCs w:val="24"/>
              </w:rPr>
              <w:t xml:space="preserve"> izcenojuma aprēķins, norādīts noteikumu p</w:t>
            </w:r>
            <w:r w:rsidRPr="002B4064">
              <w:rPr>
                <w:rFonts w:ascii="Times New Roman" w:hAnsi="Times New Roman"/>
                <w:sz w:val="24"/>
                <w:szCs w:val="24"/>
              </w:rPr>
              <w:t>rojekta sākotnējās ietekmes nov</w:t>
            </w:r>
            <w:r>
              <w:rPr>
                <w:rFonts w:ascii="Times New Roman" w:hAnsi="Times New Roman"/>
                <w:sz w:val="24"/>
                <w:szCs w:val="24"/>
              </w:rPr>
              <w:t>ērtējuma ziņojuma (anotācijas) 3</w:t>
            </w:r>
            <w:r w:rsidRPr="002B4064">
              <w:rPr>
                <w:rFonts w:ascii="Times New Roman" w:hAnsi="Times New Roman"/>
                <w:sz w:val="24"/>
                <w:szCs w:val="24"/>
              </w:rPr>
              <w:t>. pielikumā.</w:t>
            </w:r>
          </w:p>
        </w:tc>
      </w:tr>
      <w:tr w:rsidR="00D47148" w:rsidRPr="00FA7355" w:rsidTr="00724BC8">
        <w:trPr>
          <w:trHeight w:val="374"/>
        </w:trPr>
        <w:tc>
          <w:tcPr>
            <w:tcW w:w="1132" w:type="pct"/>
          </w:tcPr>
          <w:p w:rsidR="00D47148" w:rsidRPr="00FA7355" w:rsidRDefault="00D47148" w:rsidP="00724BC8">
            <w:pPr>
              <w:tabs>
                <w:tab w:val="left" w:pos="540"/>
              </w:tabs>
              <w:spacing w:after="0" w:line="240" w:lineRule="auto"/>
              <w:jc w:val="both"/>
              <w:rPr>
                <w:rFonts w:ascii="Times New Roman" w:hAnsi="Times New Roman"/>
                <w:sz w:val="24"/>
                <w:szCs w:val="24"/>
              </w:rPr>
            </w:pPr>
            <w:r w:rsidRPr="00FA7355">
              <w:rPr>
                <w:rFonts w:ascii="Times New Roman" w:hAnsi="Times New Roman"/>
                <w:sz w:val="24"/>
                <w:szCs w:val="24"/>
              </w:rPr>
              <w:t>7.Cita informācija</w:t>
            </w:r>
          </w:p>
        </w:tc>
        <w:tc>
          <w:tcPr>
            <w:tcW w:w="3868" w:type="pct"/>
            <w:gridSpan w:val="6"/>
          </w:tcPr>
          <w:p w:rsidR="00D47148" w:rsidRPr="00FA7355" w:rsidRDefault="00D47148" w:rsidP="0063776B">
            <w:pPr>
              <w:spacing w:after="0" w:line="240" w:lineRule="auto"/>
              <w:ind w:firstLine="29"/>
              <w:jc w:val="both"/>
              <w:rPr>
                <w:rFonts w:ascii="Times New Roman" w:eastAsia="Times New Roman" w:hAnsi="Times New Roman"/>
                <w:sz w:val="24"/>
                <w:szCs w:val="24"/>
              </w:rPr>
            </w:pPr>
            <w:r w:rsidRPr="00146EA2">
              <w:rPr>
                <w:rFonts w:ascii="Times New Roman" w:hAnsi="Times New Roman"/>
                <w:sz w:val="24"/>
                <w:szCs w:val="24"/>
              </w:rPr>
              <w:t xml:space="preserve">Pēc </w:t>
            </w:r>
            <w:r w:rsidR="00FB14F9">
              <w:rPr>
                <w:rFonts w:ascii="Times New Roman" w:hAnsi="Times New Roman"/>
                <w:sz w:val="24"/>
                <w:szCs w:val="24"/>
              </w:rPr>
              <w:t>n</w:t>
            </w:r>
            <w:r w:rsidRPr="00146EA2">
              <w:rPr>
                <w:rFonts w:ascii="Times New Roman" w:hAnsi="Times New Roman"/>
                <w:sz w:val="24"/>
                <w:szCs w:val="24"/>
              </w:rPr>
              <w:t xml:space="preserve">oteikumu projekta stāšanās spēkā Tieslietu ministrija normatīvajos aktos noteiktajā kārtībā sagatavos un iesniegs Finanšu ministrijā priekšlikumu par apropriācijas palielinājumu Tieslietu ministrijas budžeta apakšprogrammā </w:t>
            </w:r>
            <w:r w:rsidRPr="00FA7355">
              <w:rPr>
                <w:rFonts w:ascii="Times New Roman" w:hAnsi="Times New Roman"/>
                <w:sz w:val="24"/>
                <w:szCs w:val="24"/>
              </w:rPr>
              <w:t>06.03.00 „Maksātnespējas procesu pārvaldība”</w:t>
            </w:r>
            <w:r w:rsidRPr="00146EA2">
              <w:rPr>
                <w:rFonts w:ascii="Times New Roman" w:hAnsi="Times New Roman"/>
                <w:sz w:val="24"/>
                <w:szCs w:val="24"/>
              </w:rPr>
              <w:t xml:space="preserve"> </w:t>
            </w:r>
            <w:r w:rsidRPr="00486732">
              <w:rPr>
                <w:rFonts w:ascii="Times New Roman" w:hAnsi="Times New Roman"/>
                <w:sz w:val="24"/>
                <w:szCs w:val="24"/>
              </w:rPr>
              <w:t xml:space="preserve">2017. gadā par </w:t>
            </w:r>
            <w:r w:rsidR="0063776B">
              <w:rPr>
                <w:rFonts w:ascii="Times New Roman" w:hAnsi="Times New Roman"/>
                <w:sz w:val="24"/>
                <w:szCs w:val="24"/>
              </w:rPr>
              <w:t>16 519</w:t>
            </w:r>
            <w:r w:rsidRPr="00486732">
              <w:rPr>
                <w:rFonts w:ascii="Times New Roman" w:hAnsi="Times New Roman"/>
                <w:sz w:val="24"/>
                <w:szCs w:val="24"/>
              </w:rPr>
              <w:t> </w:t>
            </w:r>
            <w:r w:rsidRPr="00486732">
              <w:rPr>
                <w:rFonts w:ascii="Times New Roman" w:hAnsi="Times New Roman"/>
                <w:i/>
                <w:sz w:val="24"/>
                <w:szCs w:val="24"/>
              </w:rPr>
              <w:t>euro</w:t>
            </w:r>
            <w:r>
              <w:rPr>
                <w:rFonts w:ascii="Times New Roman" w:hAnsi="Times New Roman"/>
                <w:i/>
                <w:sz w:val="24"/>
                <w:szCs w:val="24"/>
              </w:rPr>
              <w:t xml:space="preserve">, </w:t>
            </w:r>
            <w:r w:rsidRPr="00486732">
              <w:rPr>
                <w:rFonts w:ascii="Times New Roman" w:hAnsi="Times New Roman"/>
                <w:sz w:val="24"/>
                <w:szCs w:val="24"/>
              </w:rPr>
              <w:t xml:space="preserve">2018. gadā </w:t>
            </w:r>
            <w:r>
              <w:rPr>
                <w:rFonts w:ascii="Times New Roman" w:hAnsi="Times New Roman"/>
                <w:sz w:val="24"/>
                <w:szCs w:val="24"/>
              </w:rPr>
              <w:t xml:space="preserve">par </w:t>
            </w:r>
            <w:r w:rsidR="0063776B">
              <w:rPr>
                <w:rFonts w:ascii="Times New Roman" w:hAnsi="Times New Roman"/>
                <w:sz w:val="24"/>
                <w:szCs w:val="24"/>
              </w:rPr>
              <w:t>30 496</w:t>
            </w:r>
            <w:r>
              <w:rPr>
                <w:rFonts w:ascii="Times New Roman" w:hAnsi="Times New Roman"/>
                <w:sz w:val="24"/>
                <w:szCs w:val="24"/>
              </w:rPr>
              <w:t xml:space="preserve"> </w:t>
            </w:r>
            <w:r w:rsidRPr="00C22444">
              <w:rPr>
                <w:rFonts w:ascii="Times New Roman" w:hAnsi="Times New Roman"/>
                <w:i/>
                <w:sz w:val="24"/>
                <w:szCs w:val="24"/>
              </w:rPr>
              <w:t>euro</w:t>
            </w:r>
            <w:r>
              <w:rPr>
                <w:rFonts w:ascii="Times New Roman" w:hAnsi="Times New Roman"/>
                <w:sz w:val="24"/>
                <w:szCs w:val="24"/>
              </w:rPr>
              <w:t xml:space="preserve">, 2019. gadā </w:t>
            </w:r>
            <w:r w:rsidR="0063776B">
              <w:rPr>
                <w:rFonts w:ascii="Times New Roman" w:hAnsi="Times New Roman"/>
                <w:sz w:val="24"/>
                <w:szCs w:val="24"/>
              </w:rPr>
              <w:t>17 200</w:t>
            </w:r>
            <w:r>
              <w:rPr>
                <w:rFonts w:ascii="Times New Roman" w:hAnsi="Times New Roman"/>
                <w:sz w:val="24"/>
                <w:szCs w:val="24"/>
              </w:rPr>
              <w:t xml:space="preserve"> </w:t>
            </w:r>
            <w:r w:rsidRPr="00A70B23">
              <w:rPr>
                <w:rFonts w:ascii="Times New Roman" w:hAnsi="Times New Roman"/>
                <w:i/>
                <w:sz w:val="24"/>
                <w:szCs w:val="24"/>
              </w:rPr>
              <w:t>euro</w:t>
            </w:r>
            <w:r>
              <w:rPr>
                <w:rFonts w:ascii="Times New Roman" w:hAnsi="Times New Roman"/>
                <w:sz w:val="24"/>
                <w:szCs w:val="24"/>
              </w:rPr>
              <w:t xml:space="preserve"> </w:t>
            </w:r>
            <w:r w:rsidRPr="00486732">
              <w:rPr>
                <w:rFonts w:ascii="Times New Roman" w:hAnsi="Times New Roman"/>
                <w:sz w:val="24"/>
                <w:szCs w:val="24"/>
              </w:rPr>
              <w:t xml:space="preserve">un </w:t>
            </w:r>
            <w:r>
              <w:rPr>
                <w:rFonts w:ascii="Times New Roman" w:hAnsi="Times New Roman"/>
                <w:sz w:val="24"/>
                <w:szCs w:val="24"/>
              </w:rPr>
              <w:t>2020. gadā</w:t>
            </w:r>
            <w:r w:rsidRPr="00486732">
              <w:rPr>
                <w:rFonts w:ascii="Times New Roman" w:hAnsi="Times New Roman"/>
                <w:sz w:val="24"/>
                <w:szCs w:val="24"/>
              </w:rPr>
              <w:t xml:space="preserve"> par </w:t>
            </w:r>
            <w:r w:rsidR="0063776B">
              <w:rPr>
                <w:rFonts w:ascii="Times New Roman" w:hAnsi="Times New Roman"/>
                <w:sz w:val="24"/>
                <w:szCs w:val="24"/>
              </w:rPr>
              <w:t>32 320</w:t>
            </w:r>
            <w:r>
              <w:rPr>
                <w:rFonts w:ascii="Times New Roman" w:hAnsi="Times New Roman"/>
                <w:sz w:val="24"/>
                <w:szCs w:val="24"/>
              </w:rPr>
              <w:t xml:space="preserve"> </w:t>
            </w:r>
            <w:r w:rsidRPr="00486732">
              <w:rPr>
                <w:rFonts w:ascii="Times New Roman" w:hAnsi="Times New Roman"/>
                <w:i/>
                <w:sz w:val="24"/>
                <w:szCs w:val="24"/>
              </w:rPr>
              <w:t>euro</w:t>
            </w:r>
            <w:r w:rsidRPr="00146EA2">
              <w:rPr>
                <w:rFonts w:ascii="Times New Roman" w:hAnsi="Times New Roman"/>
                <w:sz w:val="24"/>
                <w:szCs w:val="24"/>
              </w:rPr>
              <w:t xml:space="preserve"> apmērā ieņēmumiem</w:t>
            </w:r>
            <w:r>
              <w:rPr>
                <w:rFonts w:ascii="Times New Roman" w:hAnsi="Times New Roman"/>
                <w:sz w:val="24"/>
                <w:szCs w:val="24"/>
              </w:rPr>
              <w:t xml:space="preserve"> no maksas pakalpojumiem un citiem pašu ieņēmumiem</w:t>
            </w:r>
            <w:r w:rsidRPr="00146EA2">
              <w:rPr>
                <w:rFonts w:ascii="Times New Roman" w:hAnsi="Times New Roman"/>
                <w:sz w:val="24"/>
                <w:szCs w:val="24"/>
              </w:rPr>
              <w:t xml:space="preserve"> un attiecīgi izdevumu palielinājumu maksas pakalpojumu nodrošināšanai.</w:t>
            </w:r>
          </w:p>
        </w:tc>
      </w:tr>
    </w:tbl>
    <w:p w:rsidR="00D47148" w:rsidRDefault="00D47148" w:rsidP="003E18BF">
      <w:pPr>
        <w:spacing w:after="0" w:line="240" w:lineRule="auto"/>
        <w:rPr>
          <w:rFonts w:ascii="Times New Roman" w:eastAsia="Times New Roman" w:hAnsi="Times New Roman"/>
          <w:sz w:val="24"/>
          <w:szCs w:val="24"/>
          <w:lang w:eastAsia="lv-LV"/>
        </w:rPr>
      </w:pPr>
    </w:p>
    <w:p w:rsidR="00BC5A77" w:rsidRPr="00FA7355" w:rsidRDefault="00BC5A77" w:rsidP="003E18BF">
      <w:pPr>
        <w:spacing w:after="0" w:line="240" w:lineRule="auto"/>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72307B" w:rsidRPr="00FA7355" w:rsidTr="00D86AA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307B" w:rsidRPr="00FA7355" w:rsidRDefault="0072307B" w:rsidP="00D86AAE">
            <w:pPr>
              <w:spacing w:before="100" w:beforeAutospacing="1" w:after="100" w:afterAutospacing="1" w:line="293" w:lineRule="atLeast"/>
              <w:jc w:val="center"/>
              <w:rPr>
                <w:rFonts w:ascii="Times New Roman" w:eastAsia="Times New Roman" w:hAnsi="Times New Roman"/>
                <w:b/>
                <w:bCs/>
                <w:sz w:val="24"/>
                <w:szCs w:val="24"/>
                <w:lang w:eastAsia="lv-LV"/>
              </w:rPr>
            </w:pPr>
            <w:r w:rsidRPr="00FA7355">
              <w:rPr>
                <w:rFonts w:ascii="Times New Roman" w:eastAsia="Times New Roman" w:hAnsi="Times New Roman"/>
                <w:b/>
                <w:bCs/>
                <w:sz w:val="24"/>
                <w:szCs w:val="24"/>
                <w:lang w:eastAsia="lv-LV"/>
              </w:rPr>
              <w:t>VI. Sabiedrības līdzdalība un komunikācijas aktivitātes</w:t>
            </w:r>
          </w:p>
        </w:tc>
      </w:tr>
      <w:tr w:rsidR="0072307B" w:rsidRPr="00FA7355" w:rsidTr="00D86AAE">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3675FD" w:rsidRPr="00FA7355" w:rsidRDefault="003675FD" w:rsidP="00986987">
            <w:pPr>
              <w:spacing w:after="0" w:line="240" w:lineRule="auto"/>
              <w:ind w:firstLine="354"/>
              <w:jc w:val="both"/>
              <w:rPr>
                <w:rFonts w:ascii="Times New Roman" w:eastAsia="Times New Roman" w:hAnsi="Times New Roman"/>
                <w:sz w:val="24"/>
                <w:szCs w:val="24"/>
                <w:lang w:eastAsia="lv-LV"/>
              </w:rPr>
            </w:pPr>
            <w:r w:rsidRPr="00FA7355">
              <w:rPr>
                <w:rFonts w:ascii="Times New Roman" w:eastAsia="Times New Roman" w:hAnsi="Times New Roman"/>
                <w:bCs/>
                <w:sz w:val="24"/>
                <w:szCs w:val="24"/>
                <w:lang w:eastAsia="lv-LV"/>
              </w:rPr>
              <w:t>Ievērojot Ministr</w:t>
            </w:r>
            <w:r w:rsidR="0087607B" w:rsidRPr="00FA7355">
              <w:rPr>
                <w:rFonts w:ascii="Times New Roman" w:eastAsia="Times New Roman" w:hAnsi="Times New Roman"/>
                <w:bCs/>
                <w:sz w:val="24"/>
                <w:szCs w:val="24"/>
                <w:lang w:eastAsia="lv-LV"/>
              </w:rPr>
              <w:t>u</w:t>
            </w:r>
            <w:r w:rsidRPr="00FA7355">
              <w:rPr>
                <w:rFonts w:ascii="Times New Roman" w:eastAsia="Times New Roman" w:hAnsi="Times New Roman"/>
                <w:bCs/>
                <w:sz w:val="24"/>
                <w:szCs w:val="24"/>
                <w:lang w:eastAsia="lv-LV"/>
              </w:rPr>
              <w:t xml:space="preserve"> kabineta </w:t>
            </w:r>
            <w:r w:rsidR="00472F9A">
              <w:rPr>
                <w:rFonts w:ascii="Times New Roman" w:eastAsia="Times New Roman" w:hAnsi="Times New Roman"/>
                <w:bCs/>
                <w:sz w:val="24"/>
                <w:szCs w:val="24"/>
                <w:lang w:eastAsia="lv-LV"/>
              </w:rPr>
              <w:t xml:space="preserve">2011. gada 3. maija </w:t>
            </w:r>
            <w:r w:rsidRPr="00FA7355">
              <w:rPr>
                <w:rFonts w:ascii="Times New Roman" w:eastAsia="Times New Roman" w:hAnsi="Times New Roman"/>
                <w:bCs/>
                <w:sz w:val="24"/>
                <w:szCs w:val="24"/>
                <w:lang w:eastAsia="lv-LV"/>
              </w:rPr>
              <w:t>noteikumu Nr</w:t>
            </w:r>
            <w:r w:rsidRPr="00472F9A">
              <w:rPr>
                <w:rFonts w:ascii="Times New Roman" w:eastAsia="Times New Roman" w:hAnsi="Times New Roman"/>
                <w:bCs/>
                <w:sz w:val="24"/>
                <w:szCs w:val="24"/>
                <w:lang w:eastAsia="lv-LV"/>
              </w:rPr>
              <w:t>. 333</w:t>
            </w:r>
            <w:r w:rsidRPr="00FA7355">
              <w:rPr>
                <w:rFonts w:ascii="Times New Roman" w:eastAsia="Times New Roman" w:hAnsi="Times New Roman"/>
                <w:bCs/>
                <w:sz w:val="24"/>
                <w:szCs w:val="24"/>
                <w:lang w:eastAsia="lv-LV"/>
              </w:rPr>
              <w:t xml:space="preserve"> </w:t>
            </w:r>
            <w:r w:rsidR="00472F9A" w:rsidRPr="00472F9A">
              <w:rPr>
                <w:rFonts w:ascii="Times New Roman" w:eastAsia="Times New Roman" w:hAnsi="Times New Roman"/>
                <w:bCs/>
                <w:sz w:val="24"/>
                <w:szCs w:val="24"/>
                <w:lang w:eastAsia="lv-LV"/>
              </w:rPr>
              <w:t xml:space="preserve">"Kārtība, kādā plānojami un uzskaitāmi ieņēmumi no maksas pakalpojumiem un ar šo pakalpojumu sniegšanu saistītie izdevumi, kā arī maksas pakalpojumu </w:t>
            </w:r>
            <w:r w:rsidR="00472F9A" w:rsidRPr="00472F9A">
              <w:rPr>
                <w:rFonts w:ascii="Times New Roman" w:eastAsia="Times New Roman" w:hAnsi="Times New Roman"/>
                <w:bCs/>
                <w:sz w:val="24"/>
                <w:szCs w:val="24"/>
                <w:lang w:eastAsia="lv-LV"/>
              </w:rPr>
              <w:lastRenderedPageBreak/>
              <w:t>izcenojumu noteikšanas metodika un izcenojumu apstiprināšanas kārtība"</w:t>
            </w:r>
            <w:r w:rsidR="00472F9A">
              <w:rPr>
                <w:rFonts w:ascii="Times New Roman" w:eastAsia="Times New Roman" w:hAnsi="Times New Roman"/>
                <w:bCs/>
                <w:sz w:val="24"/>
                <w:szCs w:val="24"/>
                <w:lang w:eastAsia="lv-LV"/>
              </w:rPr>
              <w:t xml:space="preserve"> </w:t>
            </w:r>
            <w:r w:rsidRPr="00FA7355">
              <w:rPr>
                <w:rFonts w:ascii="Times New Roman" w:eastAsia="Times New Roman" w:hAnsi="Times New Roman"/>
                <w:bCs/>
                <w:sz w:val="24"/>
                <w:szCs w:val="24"/>
                <w:lang w:eastAsia="lv-LV"/>
              </w:rPr>
              <w:t>3. punktā noteiktās prasības, maksas pakalpojumu cenrādis triju darbdienu laikā pēc noteikumu projekta spēkā stāšanās tiks publicēts valsts un pašvaldību pakalpojumu portāla (</w:t>
            </w:r>
            <w:hyperlink r:id="rId8" w:history="1">
              <w:r w:rsidRPr="00FA7355">
                <w:rPr>
                  <w:rStyle w:val="Hyperlink"/>
                  <w:rFonts w:ascii="Times New Roman" w:eastAsia="Times New Roman" w:hAnsi="Times New Roman"/>
                  <w:color w:val="auto"/>
                  <w:sz w:val="24"/>
                  <w:szCs w:val="24"/>
                  <w:u w:val="none"/>
                  <w:lang w:eastAsia="lv-LV"/>
                </w:rPr>
                <w:t>www.latvija.lv</w:t>
              </w:r>
            </w:hyperlink>
            <w:r w:rsidRPr="00FA7355">
              <w:rPr>
                <w:rFonts w:ascii="Times New Roman" w:eastAsia="Times New Roman" w:hAnsi="Times New Roman"/>
                <w:bCs/>
                <w:sz w:val="24"/>
                <w:szCs w:val="24"/>
                <w:lang w:eastAsia="lv-LV"/>
              </w:rPr>
              <w:t>) publisko pakalpojumu katalogā, un Maksātnespējas administrācijas tīmekļa vietnē (</w:t>
            </w:r>
            <w:hyperlink r:id="rId9" w:history="1">
              <w:r w:rsidRPr="00FA7355">
                <w:rPr>
                  <w:rStyle w:val="Hyperlink"/>
                  <w:rFonts w:ascii="Times New Roman" w:eastAsia="Times New Roman" w:hAnsi="Times New Roman"/>
                  <w:color w:val="auto"/>
                  <w:sz w:val="24"/>
                  <w:szCs w:val="24"/>
                  <w:u w:val="none"/>
                  <w:lang w:eastAsia="lv-LV"/>
                </w:rPr>
                <w:t>www.mna.gov.lv</w:t>
              </w:r>
            </w:hyperlink>
            <w:r w:rsidRPr="00FA7355">
              <w:rPr>
                <w:rFonts w:ascii="Times New Roman" w:eastAsia="Times New Roman" w:hAnsi="Times New Roman"/>
                <w:bCs/>
                <w:sz w:val="24"/>
                <w:szCs w:val="24"/>
                <w:lang w:eastAsia="lv-LV"/>
              </w:rPr>
              <w:t>) tiks ievietota saite uz attiecīgo maksas pakalpojumu aprakstu katalogā.</w:t>
            </w:r>
          </w:p>
        </w:tc>
      </w:tr>
      <w:tr w:rsidR="0072307B" w:rsidRPr="00FA7355" w:rsidTr="00D86AAE">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72307B" w:rsidRPr="00FA7355" w:rsidRDefault="00986987" w:rsidP="00986987">
            <w:pPr>
              <w:spacing w:after="0" w:line="240" w:lineRule="auto"/>
              <w:ind w:firstLine="354"/>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Projekts šo jomu neskar.</w:t>
            </w:r>
          </w:p>
        </w:tc>
      </w:tr>
      <w:tr w:rsidR="0072307B" w:rsidRPr="00FA7355" w:rsidTr="00D86AA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72307B" w:rsidRPr="00FA7355" w:rsidRDefault="00986987" w:rsidP="00986987">
            <w:pPr>
              <w:spacing w:after="0" w:line="240" w:lineRule="auto"/>
              <w:ind w:firstLine="354"/>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Projekts šo jomu neskar.</w:t>
            </w:r>
          </w:p>
        </w:tc>
      </w:tr>
      <w:tr w:rsidR="0072307B" w:rsidRPr="00FA7355" w:rsidTr="00D86AA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72307B" w:rsidRPr="00FA7355" w:rsidRDefault="00986987" w:rsidP="00986987">
            <w:pPr>
              <w:spacing w:before="100" w:beforeAutospacing="1" w:after="100" w:afterAutospacing="1" w:line="293" w:lineRule="atLeast"/>
              <w:ind w:firstLine="354"/>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Nav.</w:t>
            </w:r>
          </w:p>
        </w:tc>
      </w:tr>
    </w:tbl>
    <w:p w:rsidR="0072307B" w:rsidRPr="00FA7355" w:rsidRDefault="0072307B" w:rsidP="0072307B">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72307B" w:rsidRPr="00FA7355" w:rsidTr="00D86AA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307B" w:rsidRPr="00FA7355" w:rsidRDefault="0072307B" w:rsidP="00D86AAE">
            <w:pPr>
              <w:spacing w:before="100" w:beforeAutospacing="1" w:after="100" w:afterAutospacing="1" w:line="293" w:lineRule="atLeast"/>
              <w:jc w:val="center"/>
              <w:rPr>
                <w:rFonts w:ascii="Times New Roman" w:eastAsia="Times New Roman" w:hAnsi="Times New Roman"/>
                <w:b/>
                <w:bCs/>
                <w:sz w:val="24"/>
                <w:szCs w:val="24"/>
                <w:lang w:eastAsia="lv-LV"/>
              </w:rPr>
            </w:pPr>
            <w:r w:rsidRPr="00FA7355">
              <w:rPr>
                <w:rFonts w:ascii="Times New Roman" w:eastAsia="Times New Roman" w:hAnsi="Times New Roman"/>
                <w:b/>
                <w:bCs/>
                <w:sz w:val="24"/>
                <w:szCs w:val="24"/>
                <w:lang w:eastAsia="lv-LV"/>
              </w:rPr>
              <w:t>VII. Tiesību akta projekta izpildes nodrošināšana un tās ietekme uz institūcijām</w:t>
            </w:r>
          </w:p>
        </w:tc>
      </w:tr>
      <w:tr w:rsidR="0072307B" w:rsidRPr="00FA7355" w:rsidTr="00D86AA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72307B">
            <w:pPr>
              <w:spacing w:after="0" w:line="240" w:lineRule="auto"/>
              <w:ind w:firstLine="332"/>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 xml:space="preserve">Maksātnespējas administrācija. </w:t>
            </w:r>
          </w:p>
        </w:tc>
      </w:tr>
      <w:tr w:rsidR="0072307B" w:rsidRPr="00FA7355" w:rsidTr="00D86AA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Projekta izpildes ietekme uz pārvaldes funkcijām un institucionālo struktūru.</w:t>
            </w:r>
          </w:p>
          <w:p w:rsidR="0072307B" w:rsidRPr="00FA7355" w:rsidRDefault="0072307B" w:rsidP="00D86AAE">
            <w:pPr>
              <w:spacing w:before="100" w:beforeAutospacing="1" w:after="100" w:afterAutospacing="1" w:line="293" w:lineRule="atLeast"/>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86987" w:rsidRPr="00FA7355" w:rsidRDefault="0093118A" w:rsidP="008F0B7E">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Tiek </w:t>
            </w:r>
            <w:r w:rsidR="004471CC" w:rsidRPr="00FA7355">
              <w:rPr>
                <w:rFonts w:ascii="Times New Roman" w:eastAsia="Times New Roman" w:hAnsi="Times New Roman"/>
                <w:sz w:val="24"/>
                <w:szCs w:val="24"/>
                <w:lang w:eastAsia="lv-LV"/>
              </w:rPr>
              <w:t xml:space="preserve">paplašināts Maksātnespējas administrācijas uzdevumu loks, </w:t>
            </w:r>
            <w:r>
              <w:rPr>
                <w:rFonts w:ascii="Times New Roman" w:eastAsia="Times New Roman" w:hAnsi="Times New Roman"/>
                <w:sz w:val="24"/>
                <w:szCs w:val="24"/>
                <w:lang w:eastAsia="lv-LV"/>
              </w:rPr>
              <w:t>jo saskaņā ar noteikumu projektu, Maksātnespējas administrācijai</w:t>
            </w:r>
            <w:r w:rsidR="001E3C06">
              <w:rPr>
                <w:rFonts w:ascii="Times New Roman" w:eastAsia="Times New Roman" w:hAnsi="Times New Roman"/>
                <w:sz w:val="24"/>
                <w:szCs w:val="24"/>
                <w:lang w:eastAsia="lv-LV"/>
              </w:rPr>
              <w:t xml:space="preserve"> būs</w:t>
            </w:r>
            <w:r>
              <w:rPr>
                <w:rFonts w:ascii="Times New Roman" w:eastAsia="Times New Roman" w:hAnsi="Times New Roman"/>
                <w:sz w:val="24"/>
                <w:szCs w:val="24"/>
                <w:lang w:eastAsia="lv-LV"/>
              </w:rPr>
              <w:t xml:space="preserve"> </w:t>
            </w:r>
            <w:r w:rsidR="001E3C06">
              <w:rPr>
                <w:rFonts w:ascii="Times New Roman" w:eastAsia="Times New Roman" w:hAnsi="Times New Roman"/>
                <w:sz w:val="24"/>
                <w:szCs w:val="24"/>
                <w:lang w:eastAsia="lv-LV"/>
              </w:rPr>
              <w:t>jāizskata personu iesniegumi par maksas pakalpojuma maksas atmaksāšanu, kā arī jāveic minētie maksājumi.</w:t>
            </w:r>
          </w:p>
          <w:p w:rsidR="00E21E42" w:rsidRPr="00FA7355" w:rsidRDefault="00986987" w:rsidP="00763D2A">
            <w:pPr>
              <w:spacing w:after="0" w:line="240" w:lineRule="auto"/>
              <w:ind w:firstLine="284"/>
              <w:jc w:val="both"/>
              <w:rPr>
                <w:rFonts w:ascii="Times New Roman" w:eastAsia="Times New Roman" w:hAnsi="Times New Roman"/>
                <w:sz w:val="24"/>
                <w:szCs w:val="24"/>
                <w:lang w:eastAsia="lv-LV"/>
              </w:rPr>
            </w:pPr>
            <w:r w:rsidRPr="00FA7355">
              <w:rPr>
                <w:rFonts w:ascii="Times New Roman" w:hAnsi="Times New Roman"/>
                <w:sz w:val="24"/>
                <w:szCs w:val="24"/>
              </w:rPr>
              <w:t>Saistībā ar noteikumu projekta izpildi nav nepieciešams veidot jaunas institūcijas, likvidēt vai reorganizēt esošās.</w:t>
            </w:r>
            <w:r w:rsidRPr="00FA7355">
              <w:rPr>
                <w:rFonts w:ascii="Times New Roman" w:eastAsia="Times New Roman" w:hAnsi="Times New Roman"/>
                <w:sz w:val="24"/>
                <w:szCs w:val="24"/>
                <w:lang w:eastAsia="lv-LV"/>
              </w:rPr>
              <w:t xml:space="preserve"> </w:t>
            </w:r>
            <w:r w:rsidR="00E21E42">
              <w:rPr>
                <w:rFonts w:ascii="Times New Roman" w:eastAsia="Times New Roman" w:hAnsi="Times New Roman"/>
                <w:sz w:val="24"/>
                <w:szCs w:val="24"/>
                <w:lang w:eastAsia="lv-LV"/>
              </w:rPr>
              <w:t>Noteikumu projekts tiks izpildīts esošo cilvēkresursu ietvaros.</w:t>
            </w:r>
          </w:p>
        </w:tc>
      </w:tr>
      <w:tr w:rsidR="0072307B" w:rsidRPr="00FA7355" w:rsidTr="00D86AA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D86AAE">
            <w:pPr>
              <w:spacing w:after="0" w:line="240" w:lineRule="auto"/>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2307B" w:rsidRPr="00FA7355" w:rsidRDefault="0072307B" w:rsidP="0072307B">
            <w:pPr>
              <w:spacing w:before="100" w:beforeAutospacing="1" w:after="100" w:afterAutospacing="1" w:line="293" w:lineRule="atLeast"/>
              <w:ind w:firstLine="332"/>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Nav.</w:t>
            </w:r>
          </w:p>
        </w:tc>
      </w:tr>
    </w:tbl>
    <w:p w:rsidR="0072307B" w:rsidRPr="00FA7355" w:rsidRDefault="0072307B" w:rsidP="003E18BF">
      <w:pPr>
        <w:spacing w:after="0" w:line="240" w:lineRule="auto"/>
        <w:rPr>
          <w:rFonts w:ascii="Times New Roman" w:eastAsia="Times New Roman" w:hAnsi="Times New Roman"/>
          <w:sz w:val="24"/>
          <w:szCs w:val="24"/>
          <w:lang w:eastAsia="lv-LV"/>
        </w:rPr>
      </w:pPr>
    </w:p>
    <w:p w:rsidR="0072307B" w:rsidRPr="00FA7355" w:rsidRDefault="0072307B" w:rsidP="003E18BF">
      <w:pPr>
        <w:spacing w:after="0" w:line="240" w:lineRule="auto"/>
        <w:rPr>
          <w:rFonts w:ascii="Times New Roman" w:eastAsia="Times New Roman" w:hAnsi="Times New Roman"/>
          <w:sz w:val="24"/>
          <w:szCs w:val="24"/>
          <w:lang w:eastAsia="lv-LV"/>
        </w:rPr>
      </w:pPr>
    </w:p>
    <w:p w:rsidR="00A24B31" w:rsidRPr="00FA7355" w:rsidRDefault="0072307B" w:rsidP="003E18BF">
      <w:pPr>
        <w:spacing w:after="0" w:line="240" w:lineRule="auto"/>
        <w:jc w:val="both"/>
        <w:rPr>
          <w:rFonts w:ascii="Times New Roman" w:hAnsi="Times New Roman"/>
          <w:iCs/>
          <w:sz w:val="24"/>
          <w:szCs w:val="24"/>
        </w:rPr>
      </w:pPr>
      <w:r w:rsidRPr="00FA7355">
        <w:rPr>
          <w:rFonts w:ascii="Times New Roman" w:hAnsi="Times New Roman"/>
          <w:sz w:val="24"/>
          <w:szCs w:val="24"/>
        </w:rPr>
        <w:t xml:space="preserve">Anotācijas IV, V </w:t>
      </w:r>
      <w:r w:rsidR="00A24B31" w:rsidRPr="00FA7355">
        <w:rPr>
          <w:rFonts w:ascii="Times New Roman" w:hAnsi="Times New Roman"/>
          <w:sz w:val="24"/>
          <w:szCs w:val="24"/>
        </w:rPr>
        <w:t xml:space="preserve">sadaļa – </w:t>
      </w:r>
      <w:r w:rsidR="00A24B31" w:rsidRPr="00FA7355">
        <w:rPr>
          <w:rFonts w:ascii="Times New Roman" w:hAnsi="Times New Roman"/>
          <w:iCs/>
          <w:sz w:val="24"/>
          <w:szCs w:val="24"/>
        </w:rPr>
        <w:t>projekts šo jomu neskar.</w:t>
      </w:r>
    </w:p>
    <w:p w:rsidR="00D46C4D" w:rsidRPr="00FA7355" w:rsidRDefault="00D46C4D" w:rsidP="003E18BF">
      <w:pPr>
        <w:spacing w:after="0" w:line="240" w:lineRule="auto"/>
        <w:jc w:val="both"/>
        <w:rPr>
          <w:rFonts w:ascii="Times New Roman" w:eastAsia="Times New Roman" w:hAnsi="Times New Roman"/>
          <w:sz w:val="24"/>
          <w:szCs w:val="24"/>
          <w:lang w:eastAsia="lv-LV"/>
        </w:rPr>
      </w:pPr>
    </w:p>
    <w:p w:rsidR="00D651B8" w:rsidRPr="00FA7355" w:rsidRDefault="00D651B8" w:rsidP="003E18BF">
      <w:pPr>
        <w:spacing w:after="0" w:line="240" w:lineRule="auto"/>
        <w:jc w:val="both"/>
        <w:rPr>
          <w:rFonts w:ascii="Times New Roman" w:eastAsia="Times New Roman" w:hAnsi="Times New Roman"/>
          <w:sz w:val="24"/>
          <w:szCs w:val="24"/>
          <w:lang w:eastAsia="lv-LV"/>
        </w:rPr>
      </w:pPr>
    </w:p>
    <w:p w:rsidR="00D46C4D" w:rsidRPr="00FA7355" w:rsidRDefault="00D46C4D" w:rsidP="003E18BF">
      <w:pPr>
        <w:spacing w:after="0" w:line="240" w:lineRule="auto"/>
        <w:jc w:val="both"/>
        <w:rPr>
          <w:rFonts w:ascii="Times New Roman" w:eastAsia="Times New Roman" w:hAnsi="Times New Roman"/>
          <w:sz w:val="24"/>
          <w:szCs w:val="24"/>
          <w:lang w:eastAsia="lv-LV"/>
        </w:rPr>
      </w:pPr>
      <w:r w:rsidRPr="00FA7355">
        <w:rPr>
          <w:rFonts w:ascii="Times New Roman" w:eastAsia="Times New Roman" w:hAnsi="Times New Roman"/>
          <w:sz w:val="24"/>
          <w:szCs w:val="24"/>
          <w:lang w:eastAsia="lv-LV"/>
        </w:rPr>
        <w:t>Tieslietu ministrs</w:t>
      </w:r>
      <w:r w:rsidRPr="00FA7355">
        <w:rPr>
          <w:rFonts w:ascii="Times New Roman" w:eastAsia="Times New Roman" w:hAnsi="Times New Roman"/>
          <w:sz w:val="24"/>
          <w:szCs w:val="24"/>
          <w:lang w:eastAsia="lv-LV"/>
        </w:rPr>
        <w:tab/>
      </w:r>
      <w:r w:rsidRPr="00FA7355">
        <w:rPr>
          <w:rFonts w:ascii="Times New Roman" w:eastAsia="Times New Roman" w:hAnsi="Times New Roman"/>
          <w:sz w:val="24"/>
          <w:szCs w:val="24"/>
          <w:lang w:eastAsia="lv-LV"/>
        </w:rPr>
        <w:tab/>
      </w:r>
      <w:r w:rsidRPr="00FA7355">
        <w:rPr>
          <w:rFonts w:ascii="Times New Roman" w:eastAsia="Times New Roman" w:hAnsi="Times New Roman"/>
          <w:sz w:val="24"/>
          <w:szCs w:val="24"/>
          <w:lang w:eastAsia="lv-LV"/>
        </w:rPr>
        <w:tab/>
      </w:r>
      <w:r w:rsidRPr="00FA7355">
        <w:rPr>
          <w:rFonts w:ascii="Times New Roman" w:eastAsia="Times New Roman" w:hAnsi="Times New Roman"/>
          <w:sz w:val="24"/>
          <w:szCs w:val="24"/>
          <w:lang w:eastAsia="lv-LV"/>
        </w:rPr>
        <w:tab/>
      </w:r>
      <w:r w:rsidRPr="00FA7355">
        <w:rPr>
          <w:rFonts w:ascii="Times New Roman" w:eastAsia="Times New Roman" w:hAnsi="Times New Roman"/>
          <w:sz w:val="24"/>
          <w:szCs w:val="24"/>
          <w:lang w:eastAsia="lv-LV"/>
        </w:rPr>
        <w:tab/>
      </w:r>
      <w:r w:rsidRPr="00FA7355">
        <w:rPr>
          <w:rFonts w:ascii="Times New Roman" w:eastAsia="Times New Roman" w:hAnsi="Times New Roman"/>
          <w:sz w:val="24"/>
          <w:szCs w:val="24"/>
          <w:lang w:eastAsia="lv-LV"/>
        </w:rPr>
        <w:tab/>
      </w:r>
      <w:r w:rsidRPr="00FA7355">
        <w:rPr>
          <w:rFonts w:ascii="Times New Roman" w:eastAsia="Times New Roman" w:hAnsi="Times New Roman"/>
          <w:sz w:val="24"/>
          <w:szCs w:val="24"/>
          <w:lang w:eastAsia="lv-LV"/>
        </w:rPr>
        <w:tab/>
      </w:r>
      <w:r w:rsidRPr="00FA7355">
        <w:rPr>
          <w:rFonts w:ascii="Times New Roman" w:eastAsia="Times New Roman" w:hAnsi="Times New Roman"/>
          <w:sz w:val="24"/>
          <w:szCs w:val="24"/>
          <w:lang w:eastAsia="lv-LV"/>
        </w:rPr>
        <w:tab/>
      </w:r>
      <w:r w:rsidR="00F153CC" w:rsidRPr="00FA7355">
        <w:rPr>
          <w:rFonts w:ascii="Times New Roman" w:eastAsia="Times New Roman" w:hAnsi="Times New Roman"/>
          <w:sz w:val="24"/>
          <w:szCs w:val="24"/>
          <w:lang w:eastAsia="lv-LV"/>
        </w:rPr>
        <w:t>Dzintars Rasnačs</w:t>
      </w:r>
    </w:p>
    <w:p w:rsidR="00D46C4D" w:rsidRPr="00FA7355" w:rsidRDefault="00D46C4D" w:rsidP="003E18BF">
      <w:pPr>
        <w:spacing w:after="0" w:line="240" w:lineRule="auto"/>
        <w:jc w:val="both"/>
        <w:rPr>
          <w:rFonts w:ascii="Times New Roman" w:eastAsia="Times New Roman" w:hAnsi="Times New Roman"/>
          <w:sz w:val="24"/>
          <w:szCs w:val="24"/>
          <w:lang w:eastAsia="lv-LV"/>
        </w:rPr>
      </w:pPr>
    </w:p>
    <w:p w:rsidR="008B77CC" w:rsidRPr="00FA7355" w:rsidRDefault="008B77CC" w:rsidP="003E18BF">
      <w:pPr>
        <w:spacing w:after="0" w:line="240" w:lineRule="auto"/>
        <w:jc w:val="both"/>
        <w:rPr>
          <w:rFonts w:ascii="Times New Roman" w:eastAsia="Times New Roman" w:hAnsi="Times New Roman"/>
          <w:sz w:val="24"/>
          <w:szCs w:val="24"/>
          <w:lang w:eastAsia="lv-LV"/>
        </w:rPr>
      </w:pPr>
    </w:p>
    <w:p w:rsidR="00F153CC" w:rsidRPr="00FA7355" w:rsidRDefault="00F153CC" w:rsidP="003E18BF">
      <w:pPr>
        <w:spacing w:after="0" w:line="240" w:lineRule="auto"/>
        <w:rPr>
          <w:rFonts w:ascii="Times New Roman" w:eastAsia="Times New Roman" w:hAnsi="Times New Roman"/>
          <w:sz w:val="20"/>
          <w:szCs w:val="20"/>
          <w:lang w:eastAsia="lv-LV"/>
        </w:rPr>
      </w:pPr>
      <w:r w:rsidRPr="00FA7355">
        <w:rPr>
          <w:rFonts w:ascii="Times New Roman" w:eastAsia="Times New Roman" w:hAnsi="Times New Roman"/>
          <w:sz w:val="20"/>
          <w:szCs w:val="20"/>
          <w:lang w:eastAsia="lv-LV"/>
        </w:rPr>
        <w:t>Gabuža, 67099124</w:t>
      </w:r>
    </w:p>
    <w:p w:rsidR="00F153CC" w:rsidRPr="00FA7355" w:rsidRDefault="00F153CC" w:rsidP="003E18BF">
      <w:pPr>
        <w:spacing w:after="0" w:line="240" w:lineRule="auto"/>
        <w:rPr>
          <w:rFonts w:ascii="Times New Roman" w:eastAsia="Times New Roman" w:hAnsi="Times New Roman"/>
          <w:sz w:val="20"/>
          <w:szCs w:val="20"/>
          <w:lang w:eastAsia="lv-LV"/>
        </w:rPr>
      </w:pPr>
      <w:r w:rsidRPr="00FA7355">
        <w:rPr>
          <w:rFonts w:ascii="Times New Roman" w:eastAsia="Times New Roman" w:hAnsi="Times New Roman"/>
          <w:sz w:val="20"/>
          <w:szCs w:val="20"/>
          <w:lang w:eastAsia="lv-LV"/>
        </w:rPr>
        <w:t>Agnese.gabuza@mna.gov.lv</w:t>
      </w:r>
    </w:p>
    <w:sectPr w:rsidR="00F153CC" w:rsidRPr="00FA7355" w:rsidSect="00645DE7">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26" w:rsidRDefault="00307226" w:rsidP="00645DE7">
      <w:pPr>
        <w:spacing w:after="0" w:line="240" w:lineRule="auto"/>
      </w:pPr>
      <w:r>
        <w:separator/>
      </w:r>
    </w:p>
  </w:endnote>
  <w:endnote w:type="continuationSeparator" w:id="0">
    <w:p w:rsidR="00307226" w:rsidRDefault="00307226" w:rsidP="0064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C" w:rsidRPr="008B77CC" w:rsidRDefault="003500E3" w:rsidP="00F5501E">
    <w:pPr>
      <w:pStyle w:val="Footer"/>
      <w:tabs>
        <w:tab w:val="clear" w:pos="8306"/>
        <w:tab w:val="right" w:pos="9072"/>
      </w:tabs>
      <w:jc w:val="both"/>
      <w:rPr>
        <w:sz w:val="20"/>
        <w:szCs w:val="20"/>
      </w:rPr>
    </w:pPr>
    <w:r>
      <w:rPr>
        <w:rFonts w:ascii="Times New Roman" w:hAnsi="Times New Roman"/>
        <w:sz w:val="20"/>
        <w:szCs w:val="20"/>
      </w:rPr>
      <w:t>TMa</w:t>
    </w:r>
    <w:r w:rsidR="005326BC" w:rsidRPr="008B77CC">
      <w:rPr>
        <w:rFonts w:ascii="Times New Roman" w:hAnsi="Times New Roman"/>
        <w:sz w:val="20"/>
        <w:szCs w:val="20"/>
      </w:rPr>
      <w:t>not_</w:t>
    </w:r>
    <w:r w:rsidR="00CA4DDA">
      <w:rPr>
        <w:rFonts w:ascii="Times New Roman" w:hAnsi="Times New Roman"/>
        <w:sz w:val="20"/>
        <w:szCs w:val="20"/>
      </w:rPr>
      <w:t>25</w:t>
    </w:r>
    <w:r w:rsidR="009D372C">
      <w:rPr>
        <w:rFonts w:ascii="Times New Roman" w:hAnsi="Times New Roman"/>
        <w:sz w:val="20"/>
        <w:szCs w:val="20"/>
      </w:rPr>
      <w:t>05</w:t>
    </w:r>
    <w:r w:rsidR="00F153CC">
      <w:rPr>
        <w:rFonts w:ascii="Times New Roman" w:hAnsi="Times New Roman"/>
        <w:sz w:val="20"/>
        <w:szCs w:val="20"/>
      </w:rPr>
      <w:t>17</w:t>
    </w:r>
    <w:r w:rsidR="005326BC" w:rsidRPr="008B77CC">
      <w:rPr>
        <w:rFonts w:ascii="Times New Roman" w:hAnsi="Times New Roman"/>
        <w:sz w:val="20"/>
        <w:szCs w:val="20"/>
      </w:rPr>
      <w:t>_MNA</w:t>
    </w:r>
    <w:r w:rsidR="00F153CC">
      <w:rPr>
        <w:rFonts w:ascii="Times New Roman" w:hAnsi="Times New Roman"/>
        <w:sz w:val="20"/>
        <w:szCs w:val="20"/>
      </w:rPr>
      <w:t>_</w:t>
    </w:r>
    <w:r w:rsidR="00C15797">
      <w:rPr>
        <w:rFonts w:ascii="Times New Roman" w:hAnsi="Times New Roman"/>
        <w:sz w:val="20"/>
        <w:szCs w:val="20"/>
      </w:rPr>
      <w:t>cenr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C" w:rsidRPr="00595868" w:rsidRDefault="003500E3" w:rsidP="00D46C4D">
    <w:pPr>
      <w:pStyle w:val="Footer"/>
      <w:tabs>
        <w:tab w:val="clear" w:pos="8306"/>
        <w:tab w:val="right" w:pos="9072"/>
      </w:tabs>
      <w:jc w:val="both"/>
      <w:rPr>
        <w:sz w:val="20"/>
        <w:szCs w:val="20"/>
      </w:rPr>
    </w:pPr>
    <w:r>
      <w:rPr>
        <w:rFonts w:ascii="Times New Roman" w:hAnsi="Times New Roman"/>
        <w:sz w:val="20"/>
        <w:szCs w:val="20"/>
      </w:rPr>
      <w:t>TMa</w:t>
    </w:r>
    <w:r w:rsidR="00595868" w:rsidRPr="008B77CC">
      <w:rPr>
        <w:rFonts w:ascii="Times New Roman" w:hAnsi="Times New Roman"/>
        <w:sz w:val="20"/>
        <w:szCs w:val="20"/>
      </w:rPr>
      <w:t>not_</w:t>
    </w:r>
    <w:r w:rsidR="00CA4DDA">
      <w:rPr>
        <w:rFonts w:ascii="Times New Roman" w:hAnsi="Times New Roman"/>
        <w:sz w:val="20"/>
        <w:szCs w:val="20"/>
      </w:rPr>
      <w:t>25</w:t>
    </w:r>
    <w:r w:rsidR="009D372C">
      <w:rPr>
        <w:rFonts w:ascii="Times New Roman" w:hAnsi="Times New Roman"/>
        <w:sz w:val="20"/>
        <w:szCs w:val="20"/>
      </w:rPr>
      <w:t>05</w:t>
    </w:r>
    <w:r w:rsidR="00595868">
      <w:rPr>
        <w:rFonts w:ascii="Times New Roman" w:hAnsi="Times New Roman"/>
        <w:sz w:val="20"/>
        <w:szCs w:val="20"/>
      </w:rPr>
      <w:t>17</w:t>
    </w:r>
    <w:r w:rsidR="00595868" w:rsidRPr="008B77CC">
      <w:rPr>
        <w:rFonts w:ascii="Times New Roman" w:hAnsi="Times New Roman"/>
        <w:sz w:val="20"/>
        <w:szCs w:val="20"/>
      </w:rPr>
      <w:t>_MNA</w:t>
    </w:r>
    <w:r w:rsidR="00595868">
      <w:rPr>
        <w:rFonts w:ascii="Times New Roman" w:hAnsi="Times New Roman"/>
        <w:sz w:val="20"/>
        <w:szCs w:val="20"/>
      </w:rPr>
      <w:t>_</w:t>
    </w:r>
    <w:r w:rsidR="000129AE">
      <w:rPr>
        <w:rFonts w:ascii="Times New Roman" w:hAnsi="Times New Roman"/>
        <w:sz w:val="20"/>
        <w:szCs w:val="20"/>
      </w:rPr>
      <w:t>cenr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26" w:rsidRDefault="00307226" w:rsidP="00645DE7">
      <w:pPr>
        <w:spacing w:after="0" w:line="240" w:lineRule="auto"/>
      </w:pPr>
      <w:r>
        <w:separator/>
      </w:r>
    </w:p>
  </w:footnote>
  <w:footnote w:type="continuationSeparator" w:id="0">
    <w:p w:rsidR="00307226" w:rsidRDefault="00307226" w:rsidP="00645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C" w:rsidRPr="006A2F61" w:rsidRDefault="005326BC">
    <w:pPr>
      <w:pStyle w:val="Header"/>
      <w:jc w:val="center"/>
      <w:rPr>
        <w:rFonts w:ascii="Times New Roman" w:hAnsi="Times New Roman"/>
        <w:sz w:val="24"/>
        <w:szCs w:val="24"/>
      </w:rPr>
    </w:pPr>
    <w:r w:rsidRPr="006A2F61">
      <w:rPr>
        <w:rFonts w:ascii="Times New Roman" w:hAnsi="Times New Roman"/>
        <w:sz w:val="24"/>
        <w:szCs w:val="24"/>
      </w:rPr>
      <w:fldChar w:fldCharType="begin"/>
    </w:r>
    <w:r w:rsidRPr="006A2F61">
      <w:rPr>
        <w:rFonts w:ascii="Times New Roman" w:hAnsi="Times New Roman"/>
        <w:sz w:val="24"/>
        <w:szCs w:val="24"/>
      </w:rPr>
      <w:instrText xml:space="preserve"> PAGE   \* MERGEFORMAT </w:instrText>
    </w:r>
    <w:r w:rsidRPr="006A2F61">
      <w:rPr>
        <w:rFonts w:ascii="Times New Roman" w:hAnsi="Times New Roman"/>
        <w:sz w:val="24"/>
        <w:szCs w:val="24"/>
      </w:rPr>
      <w:fldChar w:fldCharType="separate"/>
    </w:r>
    <w:r w:rsidR="001B6DEA">
      <w:rPr>
        <w:rFonts w:ascii="Times New Roman" w:hAnsi="Times New Roman"/>
        <w:noProof/>
        <w:sz w:val="24"/>
        <w:szCs w:val="24"/>
      </w:rPr>
      <w:t>7</w:t>
    </w:r>
    <w:r w:rsidRPr="006A2F61">
      <w:rPr>
        <w:rFonts w:ascii="Times New Roman" w:hAnsi="Times New Roman"/>
        <w:sz w:val="24"/>
        <w:szCs w:val="24"/>
      </w:rPr>
      <w:fldChar w:fldCharType="end"/>
    </w:r>
  </w:p>
  <w:p w:rsidR="005326BC" w:rsidRDefault="0053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842"/>
    <w:multiLevelType w:val="hybridMultilevel"/>
    <w:tmpl w:val="D6D8B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36583D"/>
    <w:multiLevelType w:val="hybridMultilevel"/>
    <w:tmpl w:val="91D63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740BA1"/>
    <w:multiLevelType w:val="hybridMultilevel"/>
    <w:tmpl w:val="D7185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8A27B8"/>
    <w:multiLevelType w:val="hybridMultilevel"/>
    <w:tmpl w:val="8918D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43C15A3"/>
    <w:multiLevelType w:val="hybridMultilevel"/>
    <w:tmpl w:val="8918D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642BF6"/>
    <w:multiLevelType w:val="hybridMultilevel"/>
    <w:tmpl w:val="FB0A3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9082870"/>
    <w:multiLevelType w:val="hybridMultilevel"/>
    <w:tmpl w:val="2ACE6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87B4DDA"/>
    <w:multiLevelType w:val="hybridMultilevel"/>
    <w:tmpl w:val="D7B6DF40"/>
    <w:lvl w:ilvl="0" w:tplc="DEDC62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A9B603A"/>
    <w:multiLevelType w:val="hybridMultilevel"/>
    <w:tmpl w:val="47A26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9"/>
  </w:num>
  <w:num w:numId="6">
    <w:abstractNumId w:val="2"/>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E7"/>
    <w:rsid w:val="000018F0"/>
    <w:rsid w:val="00010FA7"/>
    <w:rsid w:val="000129AE"/>
    <w:rsid w:val="00015432"/>
    <w:rsid w:val="00015E6F"/>
    <w:rsid w:val="00016A5B"/>
    <w:rsid w:val="00020A92"/>
    <w:rsid w:val="000211BE"/>
    <w:rsid w:val="00022CAE"/>
    <w:rsid w:val="000245F2"/>
    <w:rsid w:val="0002726F"/>
    <w:rsid w:val="000273BC"/>
    <w:rsid w:val="000319F4"/>
    <w:rsid w:val="00042042"/>
    <w:rsid w:val="00047929"/>
    <w:rsid w:val="00051E26"/>
    <w:rsid w:val="00051FC0"/>
    <w:rsid w:val="000521F0"/>
    <w:rsid w:val="00052F17"/>
    <w:rsid w:val="00060427"/>
    <w:rsid w:val="00062B78"/>
    <w:rsid w:val="00064BF2"/>
    <w:rsid w:val="00064FB5"/>
    <w:rsid w:val="0006668F"/>
    <w:rsid w:val="00066AA6"/>
    <w:rsid w:val="00066EA9"/>
    <w:rsid w:val="000701DD"/>
    <w:rsid w:val="0007246D"/>
    <w:rsid w:val="00073A24"/>
    <w:rsid w:val="00077833"/>
    <w:rsid w:val="00082F08"/>
    <w:rsid w:val="000841F7"/>
    <w:rsid w:val="000854A0"/>
    <w:rsid w:val="00087063"/>
    <w:rsid w:val="000911D5"/>
    <w:rsid w:val="00091B65"/>
    <w:rsid w:val="00093C11"/>
    <w:rsid w:val="00095E1E"/>
    <w:rsid w:val="000971B8"/>
    <w:rsid w:val="00097769"/>
    <w:rsid w:val="000A0A23"/>
    <w:rsid w:val="000A0EBA"/>
    <w:rsid w:val="000A1B48"/>
    <w:rsid w:val="000A30ED"/>
    <w:rsid w:val="000A4B8A"/>
    <w:rsid w:val="000A7DB0"/>
    <w:rsid w:val="000B5DB1"/>
    <w:rsid w:val="000C0D06"/>
    <w:rsid w:val="000C2CC2"/>
    <w:rsid w:val="000D1CDC"/>
    <w:rsid w:val="000D3192"/>
    <w:rsid w:val="000D42EA"/>
    <w:rsid w:val="000D4EB3"/>
    <w:rsid w:val="000D536C"/>
    <w:rsid w:val="000D7594"/>
    <w:rsid w:val="000E665A"/>
    <w:rsid w:val="000E6C2F"/>
    <w:rsid w:val="000F07BB"/>
    <w:rsid w:val="000F3584"/>
    <w:rsid w:val="000F36EE"/>
    <w:rsid w:val="001041A6"/>
    <w:rsid w:val="0010520D"/>
    <w:rsid w:val="00105F3B"/>
    <w:rsid w:val="00107C9D"/>
    <w:rsid w:val="00110672"/>
    <w:rsid w:val="00110676"/>
    <w:rsid w:val="00111234"/>
    <w:rsid w:val="00111CD0"/>
    <w:rsid w:val="00114CDC"/>
    <w:rsid w:val="00115CFD"/>
    <w:rsid w:val="00116486"/>
    <w:rsid w:val="001201B4"/>
    <w:rsid w:val="00121B63"/>
    <w:rsid w:val="00122B05"/>
    <w:rsid w:val="001250D6"/>
    <w:rsid w:val="001256AA"/>
    <w:rsid w:val="001260C6"/>
    <w:rsid w:val="00126841"/>
    <w:rsid w:val="00126877"/>
    <w:rsid w:val="00127838"/>
    <w:rsid w:val="00130D97"/>
    <w:rsid w:val="00132B9E"/>
    <w:rsid w:val="00132C5A"/>
    <w:rsid w:val="00136C6E"/>
    <w:rsid w:val="00141DDF"/>
    <w:rsid w:val="0014470D"/>
    <w:rsid w:val="0014560D"/>
    <w:rsid w:val="00146B5C"/>
    <w:rsid w:val="00146F5A"/>
    <w:rsid w:val="00151370"/>
    <w:rsid w:val="001513FA"/>
    <w:rsid w:val="00151E17"/>
    <w:rsid w:val="001527E2"/>
    <w:rsid w:val="00154C33"/>
    <w:rsid w:val="00157376"/>
    <w:rsid w:val="00160160"/>
    <w:rsid w:val="00165066"/>
    <w:rsid w:val="00166EE4"/>
    <w:rsid w:val="001721EA"/>
    <w:rsid w:val="00175133"/>
    <w:rsid w:val="0017746B"/>
    <w:rsid w:val="00177CC3"/>
    <w:rsid w:val="00180B6D"/>
    <w:rsid w:val="00181FC6"/>
    <w:rsid w:val="00182604"/>
    <w:rsid w:val="001829A9"/>
    <w:rsid w:val="00187881"/>
    <w:rsid w:val="00195398"/>
    <w:rsid w:val="00196BAC"/>
    <w:rsid w:val="00196CBF"/>
    <w:rsid w:val="001A041A"/>
    <w:rsid w:val="001A0D4F"/>
    <w:rsid w:val="001A1803"/>
    <w:rsid w:val="001A1814"/>
    <w:rsid w:val="001A3F41"/>
    <w:rsid w:val="001A4FAF"/>
    <w:rsid w:val="001A6AEB"/>
    <w:rsid w:val="001A7007"/>
    <w:rsid w:val="001B29EC"/>
    <w:rsid w:val="001B2E69"/>
    <w:rsid w:val="001B5106"/>
    <w:rsid w:val="001B563E"/>
    <w:rsid w:val="001B684B"/>
    <w:rsid w:val="001B6DEA"/>
    <w:rsid w:val="001B78A2"/>
    <w:rsid w:val="001B7C3D"/>
    <w:rsid w:val="001C1B6A"/>
    <w:rsid w:val="001C5E07"/>
    <w:rsid w:val="001C79EA"/>
    <w:rsid w:val="001D36F5"/>
    <w:rsid w:val="001D3D6B"/>
    <w:rsid w:val="001D4083"/>
    <w:rsid w:val="001D7019"/>
    <w:rsid w:val="001E26E8"/>
    <w:rsid w:val="001E3C06"/>
    <w:rsid w:val="001E4C09"/>
    <w:rsid w:val="001E6360"/>
    <w:rsid w:val="001E63B1"/>
    <w:rsid w:val="001E7027"/>
    <w:rsid w:val="001F711C"/>
    <w:rsid w:val="001F7DBA"/>
    <w:rsid w:val="00200370"/>
    <w:rsid w:val="00200E62"/>
    <w:rsid w:val="00201956"/>
    <w:rsid w:val="002053E3"/>
    <w:rsid w:val="00206FFE"/>
    <w:rsid w:val="00211558"/>
    <w:rsid w:val="002148C3"/>
    <w:rsid w:val="00216012"/>
    <w:rsid w:val="00221224"/>
    <w:rsid w:val="00224705"/>
    <w:rsid w:val="0022590A"/>
    <w:rsid w:val="00225C9F"/>
    <w:rsid w:val="00226348"/>
    <w:rsid w:val="00231C9C"/>
    <w:rsid w:val="0023448F"/>
    <w:rsid w:val="00234CE3"/>
    <w:rsid w:val="002404D0"/>
    <w:rsid w:val="00240649"/>
    <w:rsid w:val="00241294"/>
    <w:rsid w:val="00243E55"/>
    <w:rsid w:val="002460F4"/>
    <w:rsid w:val="0024691D"/>
    <w:rsid w:val="00247E48"/>
    <w:rsid w:val="00250405"/>
    <w:rsid w:val="002509D2"/>
    <w:rsid w:val="00250FE2"/>
    <w:rsid w:val="0025232E"/>
    <w:rsid w:val="00253B82"/>
    <w:rsid w:val="002578B6"/>
    <w:rsid w:val="0026161C"/>
    <w:rsid w:val="00266707"/>
    <w:rsid w:val="00267B27"/>
    <w:rsid w:val="00271243"/>
    <w:rsid w:val="0027368A"/>
    <w:rsid w:val="00276446"/>
    <w:rsid w:val="00281F5C"/>
    <w:rsid w:val="002848AE"/>
    <w:rsid w:val="00287B8F"/>
    <w:rsid w:val="00293415"/>
    <w:rsid w:val="0029349D"/>
    <w:rsid w:val="0029437D"/>
    <w:rsid w:val="002A04AC"/>
    <w:rsid w:val="002A2176"/>
    <w:rsid w:val="002A290D"/>
    <w:rsid w:val="002A4A9D"/>
    <w:rsid w:val="002B1228"/>
    <w:rsid w:val="002B4DF6"/>
    <w:rsid w:val="002B62D1"/>
    <w:rsid w:val="002B7C1E"/>
    <w:rsid w:val="002C0851"/>
    <w:rsid w:val="002C49B0"/>
    <w:rsid w:val="002C4B71"/>
    <w:rsid w:val="002D0551"/>
    <w:rsid w:val="002D084F"/>
    <w:rsid w:val="002D0E10"/>
    <w:rsid w:val="002D12D2"/>
    <w:rsid w:val="002D2726"/>
    <w:rsid w:val="002D2D75"/>
    <w:rsid w:val="002D4232"/>
    <w:rsid w:val="002D4728"/>
    <w:rsid w:val="002D4F98"/>
    <w:rsid w:val="002D57F3"/>
    <w:rsid w:val="002D6FAF"/>
    <w:rsid w:val="002D7360"/>
    <w:rsid w:val="002E0077"/>
    <w:rsid w:val="002E0BDD"/>
    <w:rsid w:val="002E2B5F"/>
    <w:rsid w:val="002E42BB"/>
    <w:rsid w:val="002E63E6"/>
    <w:rsid w:val="002E7D54"/>
    <w:rsid w:val="002F1DC0"/>
    <w:rsid w:val="002F1E51"/>
    <w:rsid w:val="002F20B6"/>
    <w:rsid w:val="002F27CC"/>
    <w:rsid w:val="002F3945"/>
    <w:rsid w:val="002F7BBB"/>
    <w:rsid w:val="00301B58"/>
    <w:rsid w:val="00303447"/>
    <w:rsid w:val="0030546A"/>
    <w:rsid w:val="003062A3"/>
    <w:rsid w:val="00307226"/>
    <w:rsid w:val="00310904"/>
    <w:rsid w:val="00310DDB"/>
    <w:rsid w:val="003111D5"/>
    <w:rsid w:val="00311B06"/>
    <w:rsid w:val="00311C5C"/>
    <w:rsid w:val="00312DAD"/>
    <w:rsid w:val="0032100A"/>
    <w:rsid w:val="00324D9E"/>
    <w:rsid w:val="00326929"/>
    <w:rsid w:val="00330A7D"/>
    <w:rsid w:val="003311AC"/>
    <w:rsid w:val="00333CD8"/>
    <w:rsid w:val="0034023F"/>
    <w:rsid w:val="00340A06"/>
    <w:rsid w:val="00340CE6"/>
    <w:rsid w:val="00341DE3"/>
    <w:rsid w:val="00341E58"/>
    <w:rsid w:val="00343025"/>
    <w:rsid w:val="003451A5"/>
    <w:rsid w:val="00345CF7"/>
    <w:rsid w:val="00347391"/>
    <w:rsid w:val="003500E3"/>
    <w:rsid w:val="003529E7"/>
    <w:rsid w:val="003550AE"/>
    <w:rsid w:val="003559A1"/>
    <w:rsid w:val="003568F2"/>
    <w:rsid w:val="003618C0"/>
    <w:rsid w:val="00362B4A"/>
    <w:rsid w:val="0036384E"/>
    <w:rsid w:val="00363C62"/>
    <w:rsid w:val="003658B2"/>
    <w:rsid w:val="00365CB7"/>
    <w:rsid w:val="003675FD"/>
    <w:rsid w:val="00372DCF"/>
    <w:rsid w:val="0037343B"/>
    <w:rsid w:val="0037403D"/>
    <w:rsid w:val="00375B7D"/>
    <w:rsid w:val="003803B1"/>
    <w:rsid w:val="00382881"/>
    <w:rsid w:val="00383D87"/>
    <w:rsid w:val="0038419B"/>
    <w:rsid w:val="00385BAD"/>
    <w:rsid w:val="00387C3D"/>
    <w:rsid w:val="00390877"/>
    <w:rsid w:val="0039162C"/>
    <w:rsid w:val="00393337"/>
    <w:rsid w:val="00393ACF"/>
    <w:rsid w:val="00395F70"/>
    <w:rsid w:val="003A0B74"/>
    <w:rsid w:val="003A203D"/>
    <w:rsid w:val="003A24DF"/>
    <w:rsid w:val="003A34B6"/>
    <w:rsid w:val="003A4D4E"/>
    <w:rsid w:val="003B0217"/>
    <w:rsid w:val="003B0EF0"/>
    <w:rsid w:val="003B10D1"/>
    <w:rsid w:val="003B1C2F"/>
    <w:rsid w:val="003B2A39"/>
    <w:rsid w:val="003B587A"/>
    <w:rsid w:val="003B6DB3"/>
    <w:rsid w:val="003B73C1"/>
    <w:rsid w:val="003C0EB4"/>
    <w:rsid w:val="003C1656"/>
    <w:rsid w:val="003C2BC5"/>
    <w:rsid w:val="003C5D03"/>
    <w:rsid w:val="003C7ED3"/>
    <w:rsid w:val="003D0024"/>
    <w:rsid w:val="003D37CA"/>
    <w:rsid w:val="003D3BD9"/>
    <w:rsid w:val="003D572E"/>
    <w:rsid w:val="003D73B2"/>
    <w:rsid w:val="003D79AA"/>
    <w:rsid w:val="003D7FCC"/>
    <w:rsid w:val="003E18BF"/>
    <w:rsid w:val="003E3D5E"/>
    <w:rsid w:val="003E5D8B"/>
    <w:rsid w:val="003E650C"/>
    <w:rsid w:val="003E6999"/>
    <w:rsid w:val="003F1863"/>
    <w:rsid w:val="003F2A3E"/>
    <w:rsid w:val="003F3B03"/>
    <w:rsid w:val="003F6F20"/>
    <w:rsid w:val="003F713C"/>
    <w:rsid w:val="003F766C"/>
    <w:rsid w:val="003F77F2"/>
    <w:rsid w:val="004001AC"/>
    <w:rsid w:val="00403223"/>
    <w:rsid w:val="004077A5"/>
    <w:rsid w:val="004079A1"/>
    <w:rsid w:val="0041570C"/>
    <w:rsid w:val="00416FD4"/>
    <w:rsid w:val="00421362"/>
    <w:rsid w:val="00422440"/>
    <w:rsid w:val="004224C0"/>
    <w:rsid w:val="00423E40"/>
    <w:rsid w:val="00424B50"/>
    <w:rsid w:val="00426060"/>
    <w:rsid w:val="0042793F"/>
    <w:rsid w:val="00430869"/>
    <w:rsid w:val="004318AF"/>
    <w:rsid w:val="00433924"/>
    <w:rsid w:val="004342CE"/>
    <w:rsid w:val="004346C9"/>
    <w:rsid w:val="0043491A"/>
    <w:rsid w:val="004430B0"/>
    <w:rsid w:val="0044449F"/>
    <w:rsid w:val="00445E85"/>
    <w:rsid w:val="00447133"/>
    <w:rsid w:val="004471CC"/>
    <w:rsid w:val="004478FB"/>
    <w:rsid w:val="00447AEC"/>
    <w:rsid w:val="00452576"/>
    <w:rsid w:val="00452B88"/>
    <w:rsid w:val="00455190"/>
    <w:rsid w:val="00455804"/>
    <w:rsid w:val="00460B56"/>
    <w:rsid w:val="00463B56"/>
    <w:rsid w:val="004665FD"/>
    <w:rsid w:val="00471056"/>
    <w:rsid w:val="00472F9A"/>
    <w:rsid w:val="004738E8"/>
    <w:rsid w:val="0047487B"/>
    <w:rsid w:val="00476A80"/>
    <w:rsid w:val="00477A4B"/>
    <w:rsid w:val="00480165"/>
    <w:rsid w:val="004819BF"/>
    <w:rsid w:val="00482D02"/>
    <w:rsid w:val="0048383A"/>
    <w:rsid w:val="00484F64"/>
    <w:rsid w:val="004857E0"/>
    <w:rsid w:val="00485D72"/>
    <w:rsid w:val="004865A4"/>
    <w:rsid w:val="00492F4D"/>
    <w:rsid w:val="0049383E"/>
    <w:rsid w:val="004945A6"/>
    <w:rsid w:val="00495121"/>
    <w:rsid w:val="00495AC0"/>
    <w:rsid w:val="00496A9A"/>
    <w:rsid w:val="004A0C34"/>
    <w:rsid w:val="004A107F"/>
    <w:rsid w:val="004A2F77"/>
    <w:rsid w:val="004A543A"/>
    <w:rsid w:val="004A5A48"/>
    <w:rsid w:val="004A789E"/>
    <w:rsid w:val="004A7CF1"/>
    <w:rsid w:val="004B1854"/>
    <w:rsid w:val="004B346A"/>
    <w:rsid w:val="004B37AE"/>
    <w:rsid w:val="004B4CE8"/>
    <w:rsid w:val="004B5B66"/>
    <w:rsid w:val="004B5FCE"/>
    <w:rsid w:val="004B68D2"/>
    <w:rsid w:val="004C00BB"/>
    <w:rsid w:val="004C0BB0"/>
    <w:rsid w:val="004C1445"/>
    <w:rsid w:val="004C146A"/>
    <w:rsid w:val="004C2E76"/>
    <w:rsid w:val="004C35B8"/>
    <w:rsid w:val="004D01F1"/>
    <w:rsid w:val="004D2572"/>
    <w:rsid w:val="004D3BE6"/>
    <w:rsid w:val="004D42D1"/>
    <w:rsid w:val="004D7191"/>
    <w:rsid w:val="004D7274"/>
    <w:rsid w:val="004E0DEE"/>
    <w:rsid w:val="004E1106"/>
    <w:rsid w:val="004E2FB3"/>
    <w:rsid w:val="004E4AF0"/>
    <w:rsid w:val="004E584C"/>
    <w:rsid w:val="004E5E95"/>
    <w:rsid w:val="004F4215"/>
    <w:rsid w:val="004F577A"/>
    <w:rsid w:val="004F5AEF"/>
    <w:rsid w:val="00502D1F"/>
    <w:rsid w:val="00503787"/>
    <w:rsid w:val="00503EC4"/>
    <w:rsid w:val="00504074"/>
    <w:rsid w:val="00505AC7"/>
    <w:rsid w:val="005109D0"/>
    <w:rsid w:val="005155AB"/>
    <w:rsid w:val="00516018"/>
    <w:rsid w:val="00517589"/>
    <w:rsid w:val="00517E0C"/>
    <w:rsid w:val="0052204C"/>
    <w:rsid w:val="00524505"/>
    <w:rsid w:val="005250D0"/>
    <w:rsid w:val="005263EA"/>
    <w:rsid w:val="00530D61"/>
    <w:rsid w:val="00531481"/>
    <w:rsid w:val="005326BC"/>
    <w:rsid w:val="00532B0D"/>
    <w:rsid w:val="00533655"/>
    <w:rsid w:val="00536EDE"/>
    <w:rsid w:val="005416B7"/>
    <w:rsid w:val="00542D24"/>
    <w:rsid w:val="00544345"/>
    <w:rsid w:val="00544F0C"/>
    <w:rsid w:val="005459A4"/>
    <w:rsid w:val="00550B9C"/>
    <w:rsid w:val="00553B0F"/>
    <w:rsid w:val="00554328"/>
    <w:rsid w:val="00555DE1"/>
    <w:rsid w:val="005568AB"/>
    <w:rsid w:val="005607DC"/>
    <w:rsid w:val="0056158A"/>
    <w:rsid w:val="005641E3"/>
    <w:rsid w:val="005651CE"/>
    <w:rsid w:val="00566D30"/>
    <w:rsid w:val="005672CC"/>
    <w:rsid w:val="00572D67"/>
    <w:rsid w:val="00574084"/>
    <w:rsid w:val="00576029"/>
    <w:rsid w:val="00576EEF"/>
    <w:rsid w:val="00581066"/>
    <w:rsid w:val="00581E02"/>
    <w:rsid w:val="00583ED1"/>
    <w:rsid w:val="00585B7B"/>
    <w:rsid w:val="00587ADC"/>
    <w:rsid w:val="00592DC2"/>
    <w:rsid w:val="00594235"/>
    <w:rsid w:val="00594827"/>
    <w:rsid w:val="005954CB"/>
    <w:rsid w:val="00595868"/>
    <w:rsid w:val="005A08B6"/>
    <w:rsid w:val="005A51AA"/>
    <w:rsid w:val="005A5582"/>
    <w:rsid w:val="005A5925"/>
    <w:rsid w:val="005A7D40"/>
    <w:rsid w:val="005B1711"/>
    <w:rsid w:val="005B4117"/>
    <w:rsid w:val="005C0C10"/>
    <w:rsid w:val="005C2445"/>
    <w:rsid w:val="005C4848"/>
    <w:rsid w:val="005C7A37"/>
    <w:rsid w:val="005D0CB4"/>
    <w:rsid w:val="005D40BD"/>
    <w:rsid w:val="005D50FD"/>
    <w:rsid w:val="005D5BD2"/>
    <w:rsid w:val="005D76CE"/>
    <w:rsid w:val="005D7BF5"/>
    <w:rsid w:val="005D7D41"/>
    <w:rsid w:val="005E05EB"/>
    <w:rsid w:val="005E0D6A"/>
    <w:rsid w:val="005E1E7B"/>
    <w:rsid w:val="005E2606"/>
    <w:rsid w:val="005E35C8"/>
    <w:rsid w:val="005F24A4"/>
    <w:rsid w:val="005F394F"/>
    <w:rsid w:val="00600291"/>
    <w:rsid w:val="006107B8"/>
    <w:rsid w:val="00611714"/>
    <w:rsid w:val="006125CD"/>
    <w:rsid w:val="00612EF6"/>
    <w:rsid w:val="0061352A"/>
    <w:rsid w:val="00622FB3"/>
    <w:rsid w:val="00623179"/>
    <w:rsid w:val="00624664"/>
    <w:rsid w:val="00624A59"/>
    <w:rsid w:val="006265FC"/>
    <w:rsid w:val="0062698D"/>
    <w:rsid w:val="00627B60"/>
    <w:rsid w:val="00630FB3"/>
    <w:rsid w:val="006312FC"/>
    <w:rsid w:val="00632160"/>
    <w:rsid w:val="00635A11"/>
    <w:rsid w:val="00635D22"/>
    <w:rsid w:val="0063776B"/>
    <w:rsid w:val="0064048C"/>
    <w:rsid w:val="006440D2"/>
    <w:rsid w:val="00645DE7"/>
    <w:rsid w:val="006559B9"/>
    <w:rsid w:val="00660622"/>
    <w:rsid w:val="00660E6E"/>
    <w:rsid w:val="006614A5"/>
    <w:rsid w:val="00661FAA"/>
    <w:rsid w:val="00663868"/>
    <w:rsid w:val="00666D49"/>
    <w:rsid w:val="00670090"/>
    <w:rsid w:val="00671960"/>
    <w:rsid w:val="00673689"/>
    <w:rsid w:val="00675278"/>
    <w:rsid w:val="00677579"/>
    <w:rsid w:val="00680325"/>
    <w:rsid w:val="00682124"/>
    <w:rsid w:val="006839E7"/>
    <w:rsid w:val="0069107A"/>
    <w:rsid w:val="00693474"/>
    <w:rsid w:val="0069498A"/>
    <w:rsid w:val="006A0D83"/>
    <w:rsid w:val="006A1306"/>
    <w:rsid w:val="006A2F61"/>
    <w:rsid w:val="006A3F3C"/>
    <w:rsid w:val="006A7A72"/>
    <w:rsid w:val="006A7BC2"/>
    <w:rsid w:val="006A7F0D"/>
    <w:rsid w:val="006B3121"/>
    <w:rsid w:val="006B7CE7"/>
    <w:rsid w:val="006C161A"/>
    <w:rsid w:val="006C2013"/>
    <w:rsid w:val="006C316D"/>
    <w:rsid w:val="006C3E04"/>
    <w:rsid w:val="006C465F"/>
    <w:rsid w:val="006C5B41"/>
    <w:rsid w:val="006C5BAB"/>
    <w:rsid w:val="006D03E1"/>
    <w:rsid w:val="006D1E31"/>
    <w:rsid w:val="006D2FB2"/>
    <w:rsid w:val="006D5B0D"/>
    <w:rsid w:val="006D755F"/>
    <w:rsid w:val="006D7909"/>
    <w:rsid w:val="006E07BB"/>
    <w:rsid w:val="006E0E3C"/>
    <w:rsid w:val="006E2537"/>
    <w:rsid w:val="006E6326"/>
    <w:rsid w:val="006E6EFF"/>
    <w:rsid w:val="006F24E3"/>
    <w:rsid w:val="006F5937"/>
    <w:rsid w:val="0070501C"/>
    <w:rsid w:val="00705296"/>
    <w:rsid w:val="00706282"/>
    <w:rsid w:val="00706AE4"/>
    <w:rsid w:val="00706C2F"/>
    <w:rsid w:val="00710170"/>
    <w:rsid w:val="0071183B"/>
    <w:rsid w:val="00715F1E"/>
    <w:rsid w:val="00716F5F"/>
    <w:rsid w:val="00717984"/>
    <w:rsid w:val="00720301"/>
    <w:rsid w:val="00720DFC"/>
    <w:rsid w:val="00721EE7"/>
    <w:rsid w:val="0072307B"/>
    <w:rsid w:val="007252BF"/>
    <w:rsid w:val="00726343"/>
    <w:rsid w:val="00726EEF"/>
    <w:rsid w:val="00727BAE"/>
    <w:rsid w:val="00732AE8"/>
    <w:rsid w:val="007360BD"/>
    <w:rsid w:val="00737FAC"/>
    <w:rsid w:val="00742948"/>
    <w:rsid w:val="00742AEA"/>
    <w:rsid w:val="00743582"/>
    <w:rsid w:val="0074369A"/>
    <w:rsid w:val="00744B31"/>
    <w:rsid w:val="00746F3D"/>
    <w:rsid w:val="007509FA"/>
    <w:rsid w:val="007513E2"/>
    <w:rsid w:val="007519C9"/>
    <w:rsid w:val="00753764"/>
    <w:rsid w:val="00763D2A"/>
    <w:rsid w:val="007642DB"/>
    <w:rsid w:val="00766173"/>
    <w:rsid w:val="007662CA"/>
    <w:rsid w:val="007739A7"/>
    <w:rsid w:val="007741B1"/>
    <w:rsid w:val="00777485"/>
    <w:rsid w:val="00782C54"/>
    <w:rsid w:val="0078521D"/>
    <w:rsid w:val="00785B13"/>
    <w:rsid w:val="0079698D"/>
    <w:rsid w:val="0079771E"/>
    <w:rsid w:val="007A01C9"/>
    <w:rsid w:val="007A180C"/>
    <w:rsid w:val="007A1F48"/>
    <w:rsid w:val="007A49D8"/>
    <w:rsid w:val="007B0A7C"/>
    <w:rsid w:val="007B166F"/>
    <w:rsid w:val="007B395B"/>
    <w:rsid w:val="007B47F5"/>
    <w:rsid w:val="007B5A39"/>
    <w:rsid w:val="007C18C6"/>
    <w:rsid w:val="007C42DB"/>
    <w:rsid w:val="007C5BE5"/>
    <w:rsid w:val="007C685F"/>
    <w:rsid w:val="007D0A4F"/>
    <w:rsid w:val="007D21B3"/>
    <w:rsid w:val="007D274C"/>
    <w:rsid w:val="007D2DBE"/>
    <w:rsid w:val="007D6DB5"/>
    <w:rsid w:val="007E2439"/>
    <w:rsid w:val="007E3338"/>
    <w:rsid w:val="007E3F30"/>
    <w:rsid w:val="007E4172"/>
    <w:rsid w:val="007F3E77"/>
    <w:rsid w:val="007F6C61"/>
    <w:rsid w:val="007F729C"/>
    <w:rsid w:val="007F7497"/>
    <w:rsid w:val="00802FDF"/>
    <w:rsid w:val="00803EE6"/>
    <w:rsid w:val="00804612"/>
    <w:rsid w:val="00807FAF"/>
    <w:rsid w:val="0081124C"/>
    <w:rsid w:val="00811744"/>
    <w:rsid w:val="008143A4"/>
    <w:rsid w:val="0081538F"/>
    <w:rsid w:val="00815D37"/>
    <w:rsid w:val="008219BC"/>
    <w:rsid w:val="00821B84"/>
    <w:rsid w:val="008220D6"/>
    <w:rsid w:val="00822F00"/>
    <w:rsid w:val="008239FB"/>
    <w:rsid w:val="008250CA"/>
    <w:rsid w:val="0082694B"/>
    <w:rsid w:val="00827177"/>
    <w:rsid w:val="00827C9C"/>
    <w:rsid w:val="00834645"/>
    <w:rsid w:val="00835261"/>
    <w:rsid w:val="00841149"/>
    <w:rsid w:val="008457DA"/>
    <w:rsid w:val="008502BF"/>
    <w:rsid w:val="00851F50"/>
    <w:rsid w:val="008538BA"/>
    <w:rsid w:val="00862EE7"/>
    <w:rsid w:val="0086483B"/>
    <w:rsid w:val="00864F29"/>
    <w:rsid w:val="00866131"/>
    <w:rsid w:val="00870D86"/>
    <w:rsid w:val="00871A98"/>
    <w:rsid w:val="00873C3F"/>
    <w:rsid w:val="0087604B"/>
    <w:rsid w:val="0087607B"/>
    <w:rsid w:val="008773E5"/>
    <w:rsid w:val="00880054"/>
    <w:rsid w:val="00882501"/>
    <w:rsid w:val="00882E31"/>
    <w:rsid w:val="0088509A"/>
    <w:rsid w:val="0088556A"/>
    <w:rsid w:val="0088575B"/>
    <w:rsid w:val="00887BE8"/>
    <w:rsid w:val="0089109E"/>
    <w:rsid w:val="0089141F"/>
    <w:rsid w:val="00894C6A"/>
    <w:rsid w:val="00896958"/>
    <w:rsid w:val="008A22C9"/>
    <w:rsid w:val="008A23DD"/>
    <w:rsid w:val="008A3537"/>
    <w:rsid w:val="008A3C49"/>
    <w:rsid w:val="008B0C81"/>
    <w:rsid w:val="008B1682"/>
    <w:rsid w:val="008B1AAE"/>
    <w:rsid w:val="008B3329"/>
    <w:rsid w:val="008B4127"/>
    <w:rsid w:val="008B5893"/>
    <w:rsid w:val="008B7777"/>
    <w:rsid w:val="008B77CC"/>
    <w:rsid w:val="008C06EC"/>
    <w:rsid w:val="008C086D"/>
    <w:rsid w:val="008C27A3"/>
    <w:rsid w:val="008D06A8"/>
    <w:rsid w:val="008D1E1D"/>
    <w:rsid w:val="008D53A5"/>
    <w:rsid w:val="008D5EF2"/>
    <w:rsid w:val="008D6769"/>
    <w:rsid w:val="008D67A5"/>
    <w:rsid w:val="008D6EB2"/>
    <w:rsid w:val="008D71E7"/>
    <w:rsid w:val="008D76D9"/>
    <w:rsid w:val="008E1494"/>
    <w:rsid w:val="008E55E5"/>
    <w:rsid w:val="008E5FFC"/>
    <w:rsid w:val="008E68F7"/>
    <w:rsid w:val="008E6B5B"/>
    <w:rsid w:val="008F0763"/>
    <w:rsid w:val="008F0B7E"/>
    <w:rsid w:val="008F1CC9"/>
    <w:rsid w:val="008F2CB0"/>
    <w:rsid w:val="008F3EB1"/>
    <w:rsid w:val="008F40FC"/>
    <w:rsid w:val="008F720B"/>
    <w:rsid w:val="008F76E9"/>
    <w:rsid w:val="0090591E"/>
    <w:rsid w:val="00907649"/>
    <w:rsid w:val="00913DD4"/>
    <w:rsid w:val="0091425E"/>
    <w:rsid w:val="0091553A"/>
    <w:rsid w:val="0091648D"/>
    <w:rsid w:val="00921B38"/>
    <w:rsid w:val="0092784F"/>
    <w:rsid w:val="00927885"/>
    <w:rsid w:val="0093118A"/>
    <w:rsid w:val="0093127D"/>
    <w:rsid w:val="00931CE2"/>
    <w:rsid w:val="0093498D"/>
    <w:rsid w:val="0093532C"/>
    <w:rsid w:val="00937778"/>
    <w:rsid w:val="009405CB"/>
    <w:rsid w:val="00941351"/>
    <w:rsid w:val="009460BC"/>
    <w:rsid w:val="00953B0A"/>
    <w:rsid w:val="009543CA"/>
    <w:rsid w:val="00961F7F"/>
    <w:rsid w:val="00963F54"/>
    <w:rsid w:val="00966A05"/>
    <w:rsid w:val="00966B3D"/>
    <w:rsid w:val="009672B6"/>
    <w:rsid w:val="00967D10"/>
    <w:rsid w:val="00970C8F"/>
    <w:rsid w:val="009719C8"/>
    <w:rsid w:val="00971C0C"/>
    <w:rsid w:val="00974FDF"/>
    <w:rsid w:val="00976344"/>
    <w:rsid w:val="00977EAF"/>
    <w:rsid w:val="009816E3"/>
    <w:rsid w:val="009819A6"/>
    <w:rsid w:val="009824CA"/>
    <w:rsid w:val="00984258"/>
    <w:rsid w:val="00985641"/>
    <w:rsid w:val="00986987"/>
    <w:rsid w:val="009907E2"/>
    <w:rsid w:val="00990E29"/>
    <w:rsid w:val="00993855"/>
    <w:rsid w:val="009A2240"/>
    <w:rsid w:val="009A4249"/>
    <w:rsid w:val="009A532E"/>
    <w:rsid w:val="009A7F15"/>
    <w:rsid w:val="009B0298"/>
    <w:rsid w:val="009B09BA"/>
    <w:rsid w:val="009B314D"/>
    <w:rsid w:val="009B4265"/>
    <w:rsid w:val="009B696A"/>
    <w:rsid w:val="009B6FF1"/>
    <w:rsid w:val="009B7FB3"/>
    <w:rsid w:val="009C3398"/>
    <w:rsid w:val="009C6BF3"/>
    <w:rsid w:val="009D0577"/>
    <w:rsid w:val="009D372C"/>
    <w:rsid w:val="009D6FBE"/>
    <w:rsid w:val="009E0CDE"/>
    <w:rsid w:val="009E0EAC"/>
    <w:rsid w:val="009E1D3B"/>
    <w:rsid w:val="009E2FC0"/>
    <w:rsid w:val="009E60D9"/>
    <w:rsid w:val="009E68FB"/>
    <w:rsid w:val="009F0674"/>
    <w:rsid w:val="009F388A"/>
    <w:rsid w:val="009F3A6B"/>
    <w:rsid w:val="00A04230"/>
    <w:rsid w:val="00A046C8"/>
    <w:rsid w:val="00A04B35"/>
    <w:rsid w:val="00A070CF"/>
    <w:rsid w:val="00A109DC"/>
    <w:rsid w:val="00A10D1B"/>
    <w:rsid w:val="00A11EAF"/>
    <w:rsid w:val="00A14089"/>
    <w:rsid w:val="00A1506F"/>
    <w:rsid w:val="00A15635"/>
    <w:rsid w:val="00A15943"/>
    <w:rsid w:val="00A15BF2"/>
    <w:rsid w:val="00A16231"/>
    <w:rsid w:val="00A163B7"/>
    <w:rsid w:val="00A17B31"/>
    <w:rsid w:val="00A21C1B"/>
    <w:rsid w:val="00A23034"/>
    <w:rsid w:val="00A23958"/>
    <w:rsid w:val="00A24837"/>
    <w:rsid w:val="00A24B31"/>
    <w:rsid w:val="00A2711F"/>
    <w:rsid w:val="00A275A0"/>
    <w:rsid w:val="00A27C27"/>
    <w:rsid w:val="00A30633"/>
    <w:rsid w:val="00A3333B"/>
    <w:rsid w:val="00A337DE"/>
    <w:rsid w:val="00A34109"/>
    <w:rsid w:val="00A4042B"/>
    <w:rsid w:val="00A42799"/>
    <w:rsid w:val="00A440AE"/>
    <w:rsid w:val="00A44CEF"/>
    <w:rsid w:val="00A46A6E"/>
    <w:rsid w:val="00A54430"/>
    <w:rsid w:val="00A55F37"/>
    <w:rsid w:val="00A5616E"/>
    <w:rsid w:val="00A6043D"/>
    <w:rsid w:val="00A6064A"/>
    <w:rsid w:val="00A6088A"/>
    <w:rsid w:val="00A60A83"/>
    <w:rsid w:val="00A61208"/>
    <w:rsid w:val="00A614EF"/>
    <w:rsid w:val="00A624D0"/>
    <w:rsid w:val="00A63508"/>
    <w:rsid w:val="00A637E6"/>
    <w:rsid w:val="00A63A07"/>
    <w:rsid w:val="00A7054E"/>
    <w:rsid w:val="00A7067F"/>
    <w:rsid w:val="00A71DD8"/>
    <w:rsid w:val="00A725BE"/>
    <w:rsid w:val="00A75A03"/>
    <w:rsid w:val="00A75D17"/>
    <w:rsid w:val="00A75D9E"/>
    <w:rsid w:val="00A77FFB"/>
    <w:rsid w:val="00A80FD5"/>
    <w:rsid w:val="00A84F7E"/>
    <w:rsid w:val="00A9010F"/>
    <w:rsid w:val="00A91DA3"/>
    <w:rsid w:val="00A95A33"/>
    <w:rsid w:val="00A9791B"/>
    <w:rsid w:val="00AA1960"/>
    <w:rsid w:val="00AA27C2"/>
    <w:rsid w:val="00AA6216"/>
    <w:rsid w:val="00AB0591"/>
    <w:rsid w:val="00AB0E25"/>
    <w:rsid w:val="00AB4D01"/>
    <w:rsid w:val="00AB5C2F"/>
    <w:rsid w:val="00AB784C"/>
    <w:rsid w:val="00AB7BC6"/>
    <w:rsid w:val="00AC01FE"/>
    <w:rsid w:val="00AC076E"/>
    <w:rsid w:val="00AC2626"/>
    <w:rsid w:val="00AC3172"/>
    <w:rsid w:val="00AC3271"/>
    <w:rsid w:val="00AC37AB"/>
    <w:rsid w:val="00AC3D0D"/>
    <w:rsid w:val="00AC3E03"/>
    <w:rsid w:val="00AC47BD"/>
    <w:rsid w:val="00AC4EE8"/>
    <w:rsid w:val="00AC6E3C"/>
    <w:rsid w:val="00AC7078"/>
    <w:rsid w:val="00AD0259"/>
    <w:rsid w:val="00AD1C0D"/>
    <w:rsid w:val="00AD2765"/>
    <w:rsid w:val="00AD2E6B"/>
    <w:rsid w:val="00AD39BE"/>
    <w:rsid w:val="00AD78C6"/>
    <w:rsid w:val="00AE007B"/>
    <w:rsid w:val="00AE0140"/>
    <w:rsid w:val="00AE0367"/>
    <w:rsid w:val="00AE1107"/>
    <w:rsid w:val="00AE3CE5"/>
    <w:rsid w:val="00AE40AE"/>
    <w:rsid w:val="00AE5058"/>
    <w:rsid w:val="00AE5C51"/>
    <w:rsid w:val="00AE6D74"/>
    <w:rsid w:val="00AE702C"/>
    <w:rsid w:val="00AE730A"/>
    <w:rsid w:val="00AF5E34"/>
    <w:rsid w:val="00B012E9"/>
    <w:rsid w:val="00B01B10"/>
    <w:rsid w:val="00B01E36"/>
    <w:rsid w:val="00B02760"/>
    <w:rsid w:val="00B0551B"/>
    <w:rsid w:val="00B062A0"/>
    <w:rsid w:val="00B06B3B"/>
    <w:rsid w:val="00B06E8C"/>
    <w:rsid w:val="00B07D77"/>
    <w:rsid w:val="00B1070E"/>
    <w:rsid w:val="00B10C5B"/>
    <w:rsid w:val="00B14586"/>
    <w:rsid w:val="00B15122"/>
    <w:rsid w:val="00B165AD"/>
    <w:rsid w:val="00B17853"/>
    <w:rsid w:val="00B226EC"/>
    <w:rsid w:val="00B26519"/>
    <w:rsid w:val="00B27704"/>
    <w:rsid w:val="00B3121B"/>
    <w:rsid w:val="00B33168"/>
    <w:rsid w:val="00B37C3E"/>
    <w:rsid w:val="00B4143A"/>
    <w:rsid w:val="00B4179C"/>
    <w:rsid w:val="00B4186A"/>
    <w:rsid w:val="00B41E30"/>
    <w:rsid w:val="00B45393"/>
    <w:rsid w:val="00B46C34"/>
    <w:rsid w:val="00B46C8F"/>
    <w:rsid w:val="00B47305"/>
    <w:rsid w:val="00B521A4"/>
    <w:rsid w:val="00B52E9B"/>
    <w:rsid w:val="00B5396E"/>
    <w:rsid w:val="00B544C6"/>
    <w:rsid w:val="00B55B69"/>
    <w:rsid w:val="00B56327"/>
    <w:rsid w:val="00B57235"/>
    <w:rsid w:val="00B60710"/>
    <w:rsid w:val="00B65C9D"/>
    <w:rsid w:val="00B67180"/>
    <w:rsid w:val="00B6737A"/>
    <w:rsid w:val="00B67863"/>
    <w:rsid w:val="00B67D8A"/>
    <w:rsid w:val="00B7169F"/>
    <w:rsid w:val="00B718AB"/>
    <w:rsid w:val="00B72D86"/>
    <w:rsid w:val="00B74605"/>
    <w:rsid w:val="00B755E0"/>
    <w:rsid w:val="00B75CDA"/>
    <w:rsid w:val="00B75EB0"/>
    <w:rsid w:val="00B77EFE"/>
    <w:rsid w:val="00B830F4"/>
    <w:rsid w:val="00B8484E"/>
    <w:rsid w:val="00B87E64"/>
    <w:rsid w:val="00B9518B"/>
    <w:rsid w:val="00B9632A"/>
    <w:rsid w:val="00B96BAB"/>
    <w:rsid w:val="00B96CB0"/>
    <w:rsid w:val="00BA0291"/>
    <w:rsid w:val="00BA142C"/>
    <w:rsid w:val="00BA2FC6"/>
    <w:rsid w:val="00BA39A2"/>
    <w:rsid w:val="00BA470B"/>
    <w:rsid w:val="00BA5B14"/>
    <w:rsid w:val="00BB2DAC"/>
    <w:rsid w:val="00BB358E"/>
    <w:rsid w:val="00BB5CCA"/>
    <w:rsid w:val="00BB7352"/>
    <w:rsid w:val="00BB74BE"/>
    <w:rsid w:val="00BC08D0"/>
    <w:rsid w:val="00BC2F65"/>
    <w:rsid w:val="00BC43E3"/>
    <w:rsid w:val="00BC5A77"/>
    <w:rsid w:val="00BC7928"/>
    <w:rsid w:val="00BD0F67"/>
    <w:rsid w:val="00BD13B4"/>
    <w:rsid w:val="00BD24F3"/>
    <w:rsid w:val="00BD614F"/>
    <w:rsid w:val="00BD6698"/>
    <w:rsid w:val="00BD6B55"/>
    <w:rsid w:val="00BE282A"/>
    <w:rsid w:val="00BE2DAC"/>
    <w:rsid w:val="00BE5FF9"/>
    <w:rsid w:val="00BF292D"/>
    <w:rsid w:val="00BF3A53"/>
    <w:rsid w:val="00BF4A6A"/>
    <w:rsid w:val="00BF51C9"/>
    <w:rsid w:val="00BF659C"/>
    <w:rsid w:val="00BF76DE"/>
    <w:rsid w:val="00C00EB4"/>
    <w:rsid w:val="00C01A51"/>
    <w:rsid w:val="00C0240C"/>
    <w:rsid w:val="00C03901"/>
    <w:rsid w:val="00C10E0C"/>
    <w:rsid w:val="00C15797"/>
    <w:rsid w:val="00C16979"/>
    <w:rsid w:val="00C16CAE"/>
    <w:rsid w:val="00C23438"/>
    <w:rsid w:val="00C24021"/>
    <w:rsid w:val="00C246BA"/>
    <w:rsid w:val="00C25DA3"/>
    <w:rsid w:val="00C26740"/>
    <w:rsid w:val="00C32FF7"/>
    <w:rsid w:val="00C35D8A"/>
    <w:rsid w:val="00C36B74"/>
    <w:rsid w:val="00C41DE4"/>
    <w:rsid w:val="00C45CD3"/>
    <w:rsid w:val="00C47619"/>
    <w:rsid w:val="00C47FE7"/>
    <w:rsid w:val="00C505C6"/>
    <w:rsid w:val="00C51057"/>
    <w:rsid w:val="00C55104"/>
    <w:rsid w:val="00C55E07"/>
    <w:rsid w:val="00C57584"/>
    <w:rsid w:val="00C60CF1"/>
    <w:rsid w:val="00C64AC9"/>
    <w:rsid w:val="00C66143"/>
    <w:rsid w:val="00C70F99"/>
    <w:rsid w:val="00C7104E"/>
    <w:rsid w:val="00C71B6A"/>
    <w:rsid w:val="00C73B78"/>
    <w:rsid w:val="00C7431F"/>
    <w:rsid w:val="00C7696F"/>
    <w:rsid w:val="00C776BB"/>
    <w:rsid w:val="00C86518"/>
    <w:rsid w:val="00C8691F"/>
    <w:rsid w:val="00C87814"/>
    <w:rsid w:val="00C90CFF"/>
    <w:rsid w:val="00C9224F"/>
    <w:rsid w:val="00C92D64"/>
    <w:rsid w:val="00C94FD6"/>
    <w:rsid w:val="00C9671C"/>
    <w:rsid w:val="00CA1645"/>
    <w:rsid w:val="00CA2E2F"/>
    <w:rsid w:val="00CA34BD"/>
    <w:rsid w:val="00CA4DDA"/>
    <w:rsid w:val="00CA77AB"/>
    <w:rsid w:val="00CB1282"/>
    <w:rsid w:val="00CB135B"/>
    <w:rsid w:val="00CB19A2"/>
    <w:rsid w:val="00CB1E49"/>
    <w:rsid w:val="00CB219C"/>
    <w:rsid w:val="00CB369F"/>
    <w:rsid w:val="00CC07B5"/>
    <w:rsid w:val="00CC0D3C"/>
    <w:rsid w:val="00CC43E2"/>
    <w:rsid w:val="00CC5AB5"/>
    <w:rsid w:val="00CC79CD"/>
    <w:rsid w:val="00CD08FE"/>
    <w:rsid w:val="00CD0E4C"/>
    <w:rsid w:val="00CD31EB"/>
    <w:rsid w:val="00CD36E3"/>
    <w:rsid w:val="00CD5D15"/>
    <w:rsid w:val="00CD652E"/>
    <w:rsid w:val="00CD70B6"/>
    <w:rsid w:val="00CD7CE9"/>
    <w:rsid w:val="00CE0E11"/>
    <w:rsid w:val="00CE64AA"/>
    <w:rsid w:val="00CE66B8"/>
    <w:rsid w:val="00CE6B14"/>
    <w:rsid w:val="00CF2820"/>
    <w:rsid w:val="00CF3D7B"/>
    <w:rsid w:val="00CF4119"/>
    <w:rsid w:val="00CF4772"/>
    <w:rsid w:val="00CF4A95"/>
    <w:rsid w:val="00D01048"/>
    <w:rsid w:val="00D01CB0"/>
    <w:rsid w:val="00D077A7"/>
    <w:rsid w:val="00D07867"/>
    <w:rsid w:val="00D113EC"/>
    <w:rsid w:val="00D11796"/>
    <w:rsid w:val="00D13779"/>
    <w:rsid w:val="00D14C1D"/>
    <w:rsid w:val="00D14F8D"/>
    <w:rsid w:val="00D30699"/>
    <w:rsid w:val="00D30904"/>
    <w:rsid w:val="00D33DA8"/>
    <w:rsid w:val="00D34609"/>
    <w:rsid w:val="00D356B5"/>
    <w:rsid w:val="00D3708E"/>
    <w:rsid w:val="00D4072D"/>
    <w:rsid w:val="00D4187F"/>
    <w:rsid w:val="00D433E5"/>
    <w:rsid w:val="00D44ED7"/>
    <w:rsid w:val="00D45E8A"/>
    <w:rsid w:val="00D467A5"/>
    <w:rsid w:val="00D46838"/>
    <w:rsid w:val="00D46C4D"/>
    <w:rsid w:val="00D47148"/>
    <w:rsid w:val="00D47580"/>
    <w:rsid w:val="00D47FF9"/>
    <w:rsid w:val="00D50955"/>
    <w:rsid w:val="00D55FBA"/>
    <w:rsid w:val="00D56AFC"/>
    <w:rsid w:val="00D56DF0"/>
    <w:rsid w:val="00D62BA3"/>
    <w:rsid w:val="00D62BB2"/>
    <w:rsid w:val="00D651B8"/>
    <w:rsid w:val="00D65F9B"/>
    <w:rsid w:val="00D666ED"/>
    <w:rsid w:val="00D713EF"/>
    <w:rsid w:val="00D74A09"/>
    <w:rsid w:val="00D750FC"/>
    <w:rsid w:val="00D75C69"/>
    <w:rsid w:val="00D7742C"/>
    <w:rsid w:val="00D8035B"/>
    <w:rsid w:val="00D81AA6"/>
    <w:rsid w:val="00D82C0E"/>
    <w:rsid w:val="00D82F65"/>
    <w:rsid w:val="00D84A51"/>
    <w:rsid w:val="00D84CC2"/>
    <w:rsid w:val="00D86AAE"/>
    <w:rsid w:val="00D87D1E"/>
    <w:rsid w:val="00D9296F"/>
    <w:rsid w:val="00D96054"/>
    <w:rsid w:val="00D9637B"/>
    <w:rsid w:val="00D96752"/>
    <w:rsid w:val="00D9761C"/>
    <w:rsid w:val="00DA0550"/>
    <w:rsid w:val="00DA47DF"/>
    <w:rsid w:val="00DA63EF"/>
    <w:rsid w:val="00DA722D"/>
    <w:rsid w:val="00DA745E"/>
    <w:rsid w:val="00DA7F95"/>
    <w:rsid w:val="00DB145F"/>
    <w:rsid w:val="00DB16D9"/>
    <w:rsid w:val="00DB3E14"/>
    <w:rsid w:val="00DB4E41"/>
    <w:rsid w:val="00DB6B30"/>
    <w:rsid w:val="00DB7268"/>
    <w:rsid w:val="00DC330D"/>
    <w:rsid w:val="00DC3566"/>
    <w:rsid w:val="00DC51F5"/>
    <w:rsid w:val="00DC542C"/>
    <w:rsid w:val="00DC5819"/>
    <w:rsid w:val="00DD04CE"/>
    <w:rsid w:val="00DD1DDD"/>
    <w:rsid w:val="00DD2290"/>
    <w:rsid w:val="00DD398C"/>
    <w:rsid w:val="00DD3AF0"/>
    <w:rsid w:val="00DD7924"/>
    <w:rsid w:val="00DD7F52"/>
    <w:rsid w:val="00DE3E39"/>
    <w:rsid w:val="00DE59E6"/>
    <w:rsid w:val="00DE72DE"/>
    <w:rsid w:val="00DF0BF1"/>
    <w:rsid w:val="00DF215F"/>
    <w:rsid w:val="00DF3965"/>
    <w:rsid w:val="00DF42E1"/>
    <w:rsid w:val="00E01A61"/>
    <w:rsid w:val="00E07566"/>
    <w:rsid w:val="00E076E4"/>
    <w:rsid w:val="00E1044B"/>
    <w:rsid w:val="00E13A3A"/>
    <w:rsid w:val="00E21D3A"/>
    <w:rsid w:val="00E21E42"/>
    <w:rsid w:val="00E26DAB"/>
    <w:rsid w:val="00E30718"/>
    <w:rsid w:val="00E317A0"/>
    <w:rsid w:val="00E34A9F"/>
    <w:rsid w:val="00E34BFA"/>
    <w:rsid w:val="00E40D97"/>
    <w:rsid w:val="00E4196F"/>
    <w:rsid w:val="00E44ABC"/>
    <w:rsid w:val="00E45B4F"/>
    <w:rsid w:val="00E4616D"/>
    <w:rsid w:val="00E4635B"/>
    <w:rsid w:val="00E46B51"/>
    <w:rsid w:val="00E47811"/>
    <w:rsid w:val="00E50CD9"/>
    <w:rsid w:val="00E52FF1"/>
    <w:rsid w:val="00E53DCF"/>
    <w:rsid w:val="00E54422"/>
    <w:rsid w:val="00E574AB"/>
    <w:rsid w:val="00E621F1"/>
    <w:rsid w:val="00E627EA"/>
    <w:rsid w:val="00E70B99"/>
    <w:rsid w:val="00E70D8F"/>
    <w:rsid w:val="00E71B58"/>
    <w:rsid w:val="00E729E8"/>
    <w:rsid w:val="00E90CE3"/>
    <w:rsid w:val="00E913FD"/>
    <w:rsid w:val="00E91EBA"/>
    <w:rsid w:val="00E94A75"/>
    <w:rsid w:val="00EA16AD"/>
    <w:rsid w:val="00EA1E91"/>
    <w:rsid w:val="00EA335F"/>
    <w:rsid w:val="00EA61CB"/>
    <w:rsid w:val="00EA63C7"/>
    <w:rsid w:val="00EA6824"/>
    <w:rsid w:val="00EA7043"/>
    <w:rsid w:val="00EA7123"/>
    <w:rsid w:val="00EB02ED"/>
    <w:rsid w:val="00EB2D09"/>
    <w:rsid w:val="00EB7864"/>
    <w:rsid w:val="00EC07DE"/>
    <w:rsid w:val="00EC3B54"/>
    <w:rsid w:val="00EC6390"/>
    <w:rsid w:val="00ED05E0"/>
    <w:rsid w:val="00ED07F1"/>
    <w:rsid w:val="00ED0B33"/>
    <w:rsid w:val="00ED130A"/>
    <w:rsid w:val="00ED2B6D"/>
    <w:rsid w:val="00ED4353"/>
    <w:rsid w:val="00ED4946"/>
    <w:rsid w:val="00EE0096"/>
    <w:rsid w:val="00EE236E"/>
    <w:rsid w:val="00EE5DE0"/>
    <w:rsid w:val="00EE6BC4"/>
    <w:rsid w:val="00EE6FBC"/>
    <w:rsid w:val="00EE7B6B"/>
    <w:rsid w:val="00EF097F"/>
    <w:rsid w:val="00EF10F6"/>
    <w:rsid w:val="00EF2C13"/>
    <w:rsid w:val="00EF31E1"/>
    <w:rsid w:val="00EF4A39"/>
    <w:rsid w:val="00EF684C"/>
    <w:rsid w:val="00F02C62"/>
    <w:rsid w:val="00F06ECC"/>
    <w:rsid w:val="00F11864"/>
    <w:rsid w:val="00F11E55"/>
    <w:rsid w:val="00F12784"/>
    <w:rsid w:val="00F12D08"/>
    <w:rsid w:val="00F13132"/>
    <w:rsid w:val="00F13CE1"/>
    <w:rsid w:val="00F14139"/>
    <w:rsid w:val="00F153CC"/>
    <w:rsid w:val="00F23C9C"/>
    <w:rsid w:val="00F24ABE"/>
    <w:rsid w:val="00F26D70"/>
    <w:rsid w:val="00F27B7E"/>
    <w:rsid w:val="00F303D3"/>
    <w:rsid w:val="00F31CFA"/>
    <w:rsid w:val="00F336C6"/>
    <w:rsid w:val="00F338FC"/>
    <w:rsid w:val="00F35927"/>
    <w:rsid w:val="00F36F87"/>
    <w:rsid w:val="00F3702E"/>
    <w:rsid w:val="00F37EE8"/>
    <w:rsid w:val="00F413B4"/>
    <w:rsid w:val="00F416FD"/>
    <w:rsid w:val="00F4305E"/>
    <w:rsid w:val="00F43576"/>
    <w:rsid w:val="00F5043D"/>
    <w:rsid w:val="00F5148D"/>
    <w:rsid w:val="00F5199D"/>
    <w:rsid w:val="00F51C97"/>
    <w:rsid w:val="00F52C7C"/>
    <w:rsid w:val="00F53235"/>
    <w:rsid w:val="00F5501E"/>
    <w:rsid w:val="00F55BEA"/>
    <w:rsid w:val="00F64FCC"/>
    <w:rsid w:val="00F65B99"/>
    <w:rsid w:val="00F66F45"/>
    <w:rsid w:val="00F72FB1"/>
    <w:rsid w:val="00F733EC"/>
    <w:rsid w:val="00F74968"/>
    <w:rsid w:val="00F7788E"/>
    <w:rsid w:val="00F80185"/>
    <w:rsid w:val="00F82A77"/>
    <w:rsid w:val="00F84D5C"/>
    <w:rsid w:val="00F85FFB"/>
    <w:rsid w:val="00F87B94"/>
    <w:rsid w:val="00F90154"/>
    <w:rsid w:val="00F90174"/>
    <w:rsid w:val="00F92E41"/>
    <w:rsid w:val="00F97C59"/>
    <w:rsid w:val="00FA0FE8"/>
    <w:rsid w:val="00FA1200"/>
    <w:rsid w:val="00FA17AC"/>
    <w:rsid w:val="00FA245C"/>
    <w:rsid w:val="00FA310B"/>
    <w:rsid w:val="00FA419D"/>
    <w:rsid w:val="00FA632F"/>
    <w:rsid w:val="00FA72E0"/>
    <w:rsid w:val="00FA7355"/>
    <w:rsid w:val="00FB0CBC"/>
    <w:rsid w:val="00FB0FBD"/>
    <w:rsid w:val="00FB134C"/>
    <w:rsid w:val="00FB14F9"/>
    <w:rsid w:val="00FB15F8"/>
    <w:rsid w:val="00FB38FB"/>
    <w:rsid w:val="00FB3F59"/>
    <w:rsid w:val="00FC10EA"/>
    <w:rsid w:val="00FC18DF"/>
    <w:rsid w:val="00FC1BDF"/>
    <w:rsid w:val="00FC21DB"/>
    <w:rsid w:val="00FC3E6C"/>
    <w:rsid w:val="00FC59A7"/>
    <w:rsid w:val="00FC5C7E"/>
    <w:rsid w:val="00FD047F"/>
    <w:rsid w:val="00FD061E"/>
    <w:rsid w:val="00FD0C7F"/>
    <w:rsid w:val="00FD1411"/>
    <w:rsid w:val="00FD1F3B"/>
    <w:rsid w:val="00FD2148"/>
    <w:rsid w:val="00FD65D1"/>
    <w:rsid w:val="00FD77C3"/>
    <w:rsid w:val="00FD7B51"/>
    <w:rsid w:val="00FE0556"/>
    <w:rsid w:val="00FE2626"/>
    <w:rsid w:val="00FE3299"/>
    <w:rsid w:val="00FE4430"/>
    <w:rsid w:val="00FE4F6E"/>
    <w:rsid w:val="00FE5764"/>
    <w:rsid w:val="00FF167D"/>
    <w:rsid w:val="00FF3284"/>
    <w:rsid w:val="00FF55C1"/>
    <w:rsid w:val="00FF6A2E"/>
    <w:rsid w:val="00FF6D56"/>
    <w:rsid w:val="00FF7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45DE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645D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DE7"/>
  </w:style>
  <w:style w:type="paragraph" w:styleId="Footer">
    <w:name w:val="footer"/>
    <w:basedOn w:val="Normal"/>
    <w:link w:val="FooterChar"/>
    <w:uiPriority w:val="99"/>
    <w:unhideWhenUsed/>
    <w:rsid w:val="00645D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DE7"/>
  </w:style>
  <w:style w:type="paragraph" w:customStyle="1" w:styleId="naisvisr">
    <w:name w:val="naisvisr"/>
    <w:basedOn w:val="Normal"/>
    <w:rsid w:val="00A84F7E"/>
    <w:pPr>
      <w:spacing w:before="150" w:after="150" w:line="240" w:lineRule="auto"/>
      <w:jc w:val="center"/>
    </w:pPr>
    <w:rPr>
      <w:rFonts w:ascii="Times New Roman" w:eastAsia="Times New Roman" w:hAnsi="Times New Roman"/>
      <w:b/>
      <w:bCs/>
      <w:sz w:val="28"/>
      <w:szCs w:val="28"/>
      <w:lang w:eastAsia="lv-LV"/>
    </w:rPr>
  </w:style>
  <w:style w:type="paragraph" w:styleId="BodyText2">
    <w:name w:val="Body Text 2"/>
    <w:basedOn w:val="Normal"/>
    <w:link w:val="BodyText2Char"/>
    <w:uiPriority w:val="99"/>
    <w:unhideWhenUsed/>
    <w:rsid w:val="00A84F7E"/>
    <w:pPr>
      <w:spacing w:after="120" w:line="480" w:lineRule="auto"/>
    </w:pPr>
    <w:rPr>
      <w:rFonts w:ascii="Arial" w:hAnsi="Arial"/>
      <w:sz w:val="20"/>
      <w:lang w:val="x-none"/>
    </w:rPr>
  </w:style>
  <w:style w:type="character" w:customStyle="1" w:styleId="BodyText2Char">
    <w:name w:val="Body Text 2 Char"/>
    <w:link w:val="BodyText2"/>
    <w:uiPriority w:val="99"/>
    <w:rsid w:val="00A84F7E"/>
    <w:rPr>
      <w:rFonts w:ascii="Arial" w:hAnsi="Arial"/>
      <w:szCs w:val="22"/>
      <w:lang w:eastAsia="en-US"/>
    </w:rPr>
  </w:style>
  <w:style w:type="paragraph" w:customStyle="1" w:styleId="naisf">
    <w:name w:val="naisf"/>
    <w:basedOn w:val="Normal"/>
    <w:rsid w:val="00A84F7E"/>
    <w:pPr>
      <w:spacing w:before="88" w:after="88" w:line="240" w:lineRule="auto"/>
      <w:ind w:firstLine="439"/>
      <w:jc w:val="both"/>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AD2E6B"/>
    <w:rPr>
      <w:sz w:val="16"/>
      <w:szCs w:val="16"/>
    </w:rPr>
  </w:style>
  <w:style w:type="paragraph" w:styleId="CommentText">
    <w:name w:val="annotation text"/>
    <w:basedOn w:val="Normal"/>
    <w:link w:val="CommentTextChar"/>
    <w:semiHidden/>
    <w:unhideWhenUsed/>
    <w:rsid w:val="00AD2E6B"/>
    <w:rPr>
      <w:sz w:val="20"/>
      <w:szCs w:val="20"/>
      <w:lang w:val="x-none"/>
    </w:rPr>
  </w:style>
  <w:style w:type="character" w:customStyle="1" w:styleId="CommentTextChar">
    <w:name w:val="Comment Text Char"/>
    <w:link w:val="CommentText"/>
    <w:semiHidden/>
    <w:rsid w:val="00AD2E6B"/>
    <w:rPr>
      <w:lang w:eastAsia="en-US"/>
    </w:rPr>
  </w:style>
  <w:style w:type="paragraph" w:styleId="CommentSubject">
    <w:name w:val="annotation subject"/>
    <w:basedOn w:val="CommentText"/>
    <w:next w:val="CommentText"/>
    <w:link w:val="CommentSubjectChar"/>
    <w:uiPriority w:val="99"/>
    <w:semiHidden/>
    <w:unhideWhenUsed/>
    <w:rsid w:val="00AD2E6B"/>
    <w:rPr>
      <w:b/>
      <w:bCs/>
    </w:rPr>
  </w:style>
  <w:style w:type="character" w:customStyle="1" w:styleId="CommentSubjectChar">
    <w:name w:val="Comment Subject Char"/>
    <w:link w:val="CommentSubject"/>
    <w:uiPriority w:val="99"/>
    <w:semiHidden/>
    <w:rsid w:val="00AD2E6B"/>
    <w:rPr>
      <w:b/>
      <w:bCs/>
      <w:lang w:eastAsia="en-US"/>
    </w:rPr>
  </w:style>
  <w:style w:type="paragraph" w:styleId="BalloonText">
    <w:name w:val="Balloon Text"/>
    <w:basedOn w:val="Normal"/>
    <w:link w:val="BalloonTextChar"/>
    <w:uiPriority w:val="99"/>
    <w:semiHidden/>
    <w:unhideWhenUsed/>
    <w:rsid w:val="00AD2E6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D2E6B"/>
    <w:rPr>
      <w:rFonts w:ascii="Tahoma" w:hAnsi="Tahoma" w:cs="Tahoma"/>
      <w:sz w:val="16"/>
      <w:szCs w:val="16"/>
      <w:lang w:eastAsia="en-US"/>
    </w:rPr>
  </w:style>
  <w:style w:type="paragraph" w:styleId="Title">
    <w:name w:val="Title"/>
    <w:basedOn w:val="Normal"/>
    <w:link w:val="TitleChar"/>
    <w:qFormat/>
    <w:rsid w:val="00AD2E6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AD2E6B"/>
    <w:rPr>
      <w:rFonts w:ascii="Times New Roman" w:eastAsia="Times New Roman" w:hAnsi="Times New Roman"/>
      <w:b/>
      <w:bCs/>
      <w:sz w:val="24"/>
      <w:szCs w:val="24"/>
      <w:lang w:eastAsia="en-US"/>
    </w:rPr>
  </w:style>
  <w:style w:type="character" w:styleId="Hyperlink">
    <w:name w:val="Hyperlink"/>
    <w:uiPriority w:val="99"/>
    <w:unhideWhenUsed/>
    <w:rsid w:val="00362B4A"/>
    <w:rPr>
      <w:color w:val="0000FF"/>
      <w:u w:val="single"/>
    </w:rPr>
  </w:style>
  <w:style w:type="paragraph" w:styleId="NormalWeb">
    <w:name w:val="Normal (Web)"/>
    <w:basedOn w:val="Normal"/>
    <w:unhideWhenUsed/>
    <w:rsid w:val="00FF55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skatjums1">
    <w:name w:val="Pārskatījums1"/>
    <w:hidden/>
    <w:uiPriority w:val="99"/>
    <w:semiHidden/>
    <w:rsid w:val="00DD1DDD"/>
    <w:rPr>
      <w:sz w:val="22"/>
      <w:szCs w:val="22"/>
      <w:lang w:eastAsia="en-US"/>
    </w:rPr>
  </w:style>
  <w:style w:type="table" w:styleId="TableGrid">
    <w:name w:val="Table Grid"/>
    <w:basedOn w:val="TableNormal"/>
    <w:uiPriority w:val="59"/>
    <w:rsid w:val="0063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821B84"/>
    <w:pPr>
      <w:widowControl w:val="0"/>
      <w:autoSpaceDE w:val="0"/>
      <w:autoSpaceDN w:val="0"/>
      <w:adjustRightInd w:val="0"/>
      <w:spacing w:after="0" w:line="274" w:lineRule="exact"/>
      <w:ind w:firstLine="706"/>
      <w:jc w:val="both"/>
    </w:pPr>
    <w:rPr>
      <w:rFonts w:ascii="Times New Roman" w:eastAsia="Times New Roman" w:hAnsi="Times New Roman"/>
      <w:sz w:val="24"/>
      <w:szCs w:val="24"/>
      <w:lang w:eastAsia="lv-LV"/>
    </w:rPr>
  </w:style>
  <w:style w:type="paragraph" w:customStyle="1" w:styleId="c1">
    <w:name w:val="c1"/>
    <w:basedOn w:val="Normal"/>
    <w:rsid w:val="00CD08FE"/>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nhideWhenUsed/>
    <w:rsid w:val="00A24B31"/>
    <w:rPr>
      <w:sz w:val="20"/>
      <w:szCs w:val="20"/>
      <w:lang w:val="x-none"/>
    </w:rPr>
  </w:style>
  <w:style w:type="character" w:styleId="FootnoteReference">
    <w:name w:val="footnote reference"/>
    <w:uiPriority w:val="99"/>
    <w:semiHidden/>
    <w:unhideWhenUsed/>
    <w:rsid w:val="00A24B31"/>
    <w:rPr>
      <w:vertAlign w:val="superscript"/>
    </w:rPr>
  </w:style>
  <w:style w:type="paragraph" w:customStyle="1" w:styleId="naisnod">
    <w:name w:val="naisnod"/>
    <w:basedOn w:val="Normal"/>
    <w:rsid w:val="00A24B31"/>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A24B31"/>
    <w:pPr>
      <w:spacing w:before="75" w:after="75" w:line="240" w:lineRule="auto"/>
    </w:pPr>
    <w:rPr>
      <w:rFonts w:ascii="Times New Roman" w:eastAsia="Times New Roman" w:hAnsi="Times New Roman"/>
      <w:sz w:val="24"/>
      <w:szCs w:val="24"/>
      <w:lang w:eastAsia="lv-LV"/>
    </w:rPr>
  </w:style>
  <w:style w:type="character" w:customStyle="1" w:styleId="FootnoteTextChar">
    <w:name w:val="Footnote Text Char"/>
    <w:link w:val="FootnoteText"/>
    <w:rsid w:val="001B7C3D"/>
    <w:rPr>
      <w:lang w:val="x-none" w:eastAsia="en-US"/>
    </w:rPr>
  </w:style>
  <w:style w:type="character" w:customStyle="1" w:styleId="apple-converted-space">
    <w:name w:val="apple-converted-space"/>
    <w:basedOn w:val="DefaultParagraphFont"/>
    <w:rsid w:val="00271243"/>
  </w:style>
  <w:style w:type="paragraph" w:customStyle="1" w:styleId="tv2132">
    <w:name w:val="tv2132"/>
    <w:basedOn w:val="Normal"/>
    <w:rsid w:val="00CB219C"/>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3F766C"/>
    <w:pPr>
      <w:spacing w:after="120"/>
      <w:ind w:left="360"/>
    </w:pPr>
  </w:style>
  <w:style w:type="character" w:customStyle="1" w:styleId="BodyTextIndentChar">
    <w:name w:val="Body Text Indent Char"/>
    <w:link w:val="BodyTextIndent"/>
    <w:rsid w:val="003F766C"/>
    <w:rPr>
      <w:sz w:val="22"/>
      <w:szCs w:val="22"/>
      <w:lang w:val="lv-LV"/>
    </w:rPr>
  </w:style>
  <w:style w:type="character" w:customStyle="1" w:styleId="Piemint1">
    <w:name w:val="Pieminēt1"/>
    <w:uiPriority w:val="99"/>
    <w:semiHidden/>
    <w:unhideWhenUsed/>
    <w:rsid w:val="003675F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45DE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645D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5DE7"/>
  </w:style>
  <w:style w:type="paragraph" w:styleId="Footer">
    <w:name w:val="footer"/>
    <w:basedOn w:val="Normal"/>
    <w:link w:val="FooterChar"/>
    <w:uiPriority w:val="99"/>
    <w:unhideWhenUsed/>
    <w:rsid w:val="00645D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5DE7"/>
  </w:style>
  <w:style w:type="paragraph" w:customStyle="1" w:styleId="naisvisr">
    <w:name w:val="naisvisr"/>
    <w:basedOn w:val="Normal"/>
    <w:rsid w:val="00A84F7E"/>
    <w:pPr>
      <w:spacing w:before="150" w:after="150" w:line="240" w:lineRule="auto"/>
      <w:jc w:val="center"/>
    </w:pPr>
    <w:rPr>
      <w:rFonts w:ascii="Times New Roman" w:eastAsia="Times New Roman" w:hAnsi="Times New Roman"/>
      <w:b/>
      <w:bCs/>
      <w:sz w:val="28"/>
      <w:szCs w:val="28"/>
      <w:lang w:eastAsia="lv-LV"/>
    </w:rPr>
  </w:style>
  <w:style w:type="paragraph" w:styleId="BodyText2">
    <w:name w:val="Body Text 2"/>
    <w:basedOn w:val="Normal"/>
    <w:link w:val="BodyText2Char"/>
    <w:uiPriority w:val="99"/>
    <w:unhideWhenUsed/>
    <w:rsid w:val="00A84F7E"/>
    <w:pPr>
      <w:spacing w:after="120" w:line="480" w:lineRule="auto"/>
    </w:pPr>
    <w:rPr>
      <w:rFonts w:ascii="Arial" w:hAnsi="Arial"/>
      <w:sz w:val="20"/>
      <w:lang w:val="x-none"/>
    </w:rPr>
  </w:style>
  <w:style w:type="character" w:customStyle="1" w:styleId="BodyText2Char">
    <w:name w:val="Body Text 2 Char"/>
    <w:link w:val="BodyText2"/>
    <w:uiPriority w:val="99"/>
    <w:rsid w:val="00A84F7E"/>
    <w:rPr>
      <w:rFonts w:ascii="Arial" w:hAnsi="Arial"/>
      <w:szCs w:val="22"/>
      <w:lang w:eastAsia="en-US"/>
    </w:rPr>
  </w:style>
  <w:style w:type="paragraph" w:customStyle="1" w:styleId="naisf">
    <w:name w:val="naisf"/>
    <w:basedOn w:val="Normal"/>
    <w:rsid w:val="00A84F7E"/>
    <w:pPr>
      <w:spacing w:before="88" w:after="88" w:line="240" w:lineRule="auto"/>
      <w:ind w:firstLine="439"/>
      <w:jc w:val="both"/>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AD2E6B"/>
    <w:rPr>
      <w:sz w:val="16"/>
      <w:szCs w:val="16"/>
    </w:rPr>
  </w:style>
  <w:style w:type="paragraph" w:styleId="CommentText">
    <w:name w:val="annotation text"/>
    <w:basedOn w:val="Normal"/>
    <w:link w:val="CommentTextChar"/>
    <w:semiHidden/>
    <w:unhideWhenUsed/>
    <w:rsid w:val="00AD2E6B"/>
    <w:rPr>
      <w:sz w:val="20"/>
      <w:szCs w:val="20"/>
      <w:lang w:val="x-none"/>
    </w:rPr>
  </w:style>
  <w:style w:type="character" w:customStyle="1" w:styleId="CommentTextChar">
    <w:name w:val="Comment Text Char"/>
    <w:link w:val="CommentText"/>
    <w:semiHidden/>
    <w:rsid w:val="00AD2E6B"/>
    <w:rPr>
      <w:lang w:eastAsia="en-US"/>
    </w:rPr>
  </w:style>
  <w:style w:type="paragraph" w:styleId="CommentSubject">
    <w:name w:val="annotation subject"/>
    <w:basedOn w:val="CommentText"/>
    <w:next w:val="CommentText"/>
    <w:link w:val="CommentSubjectChar"/>
    <w:uiPriority w:val="99"/>
    <w:semiHidden/>
    <w:unhideWhenUsed/>
    <w:rsid w:val="00AD2E6B"/>
    <w:rPr>
      <w:b/>
      <w:bCs/>
    </w:rPr>
  </w:style>
  <w:style w:type="character" w:customStyle="1" w:styleId="CommentSubjectChar">
    <w:name w:val="Comment Subject Char"/>
    <w:link w:val="CommentSubject"/>
    <w:uiPriority w:val="99"/>
    <w:semiHidden/>
    <w:rsid w:val="00AD2E6B"/>
    <w:rPr>
      <w:b/>
      <w:bCs/>
      <w:lang w:eastAsia="en-US"/>
    </w:rPr>
  </w:style>
  <w:style w:type="paragraph" w:styleId="BalloonText">
    <w:name w:val="Balloon Text"/>
    <w:basedOn w:val="Normal"/>
    <w:link w:val="BalloonTextChar"/>
    <w:uiPriority w:val="99"/>
    <w:semiHidden/>
    <w:unhideWhenUsed/>
    <w:rsid w:val="00AD2E6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D2E6B"/>
    <w:rPr>
      <w:rFonts w:ascii="Tahoma" w:hAnsi="Tahoma" w:cs="Tahoma"/>
      <w:sz w:val="16"/>
      <w:szCs w:val="16"/>
      <w:lang w:eastAsia="en-US"/>
    </w:rPr>
  </w:style>
  <w:style w:type="paragraph" w:styleId="Title">
    <w:name w:val="Title"/>
    <w:basedOn w:val="Normal"/>
    <w:link w:val="TitleChar"/>
    <w:qFormat/>
    <w:rsid w:val="00AD2E6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AD2E6B"/>
    <w:rPr>
      <w:rFonts w:ascii="Times New Roman" w:eastAsia="Times New Roman" w:hAnsi="Times New Roman"/>
      <w:b/>
      <w:bCs/>
      <w:sz w:val="24"/>
      <w:szCs w:val="24"/>
      <w:lang w:eastAsia="en-US"/>
    </w:rPr>
  </w:style>
  <w:style w:type="character" w:styleId="Hyperlink">
    <w:name w:val="Hyperlink"/>
    <w:uiPriority w:val="99"/>
    <w:unhideWhenUsed/>
    <w:rsid w:val="00362B4A"/>
    <w:rPr>
      <w:color w:val="0000FF"/>
      <w:u w:val="single"/>
    </w:rPr>
  </w:style>
  <w:style w:type="paragraph" w:styleId="NormalWeb">
    <w:name w:val="Normal (Web)"/>
    <w:basedOn w:val="Normal"/>
    <w:unhideWhenUsed/>
    <w:rsid w:val="00FF55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skatjums1">
    <w:name w:val="Pārskatījums1"/>
    <w:hidden/>
    <w:uiPriority w:val="99"/>
    <w:semiHidden/>
    <w:rsid w:val="00DD1DDD"/>
    <w:rPr>
      <w:sz w:val="22"/>
      <w:szCs w:val="22"/>
      <w:lang w:eastAsia="en-US"/>
    </w:rPr>
  </w:style>
  <w:style w:type="table" w:styleId="TableGrid">
    <w:name w:val="Table Grid"/>
    <w:basedOn w:val="TableNormal"/>
    <w:uiPriority w:val="59"/>
    <w:rsid w:val="0063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821B84"/>
    <w:pPr>
      <w:widowControl w:val="0"/>
      <w:autoSpaceDE w:val="0"/>
      <w:autoSpaceDN w:val="0"/>
      <w:adjustRightInd w:val="0"/>
      <w:spacing w:after="0" w:line="274" w:lineRule="exact"/>
      <w:ind w:firstLine="706"/>
      <w:jc w:val="both"/>
    </w:pPr>
    <w:rPr>
      <w:rFonts w:ascii="Times New Roman" w:eastAsia="Times New Roman" w:hAnsi="Times New Roman"/>
      <w:sz w:val="24"/>
      <w:szCs w:val="24"/>
      <w:lang w:eastAsia="lv-LV"/>
    </w:rPr>
  </w:style>
  <w:style w:type="paragraph" w:customStyle="1" w:styleId="c1">
    <w:name w:val="c1"/>
    <w:basedOn w:val="Normal"/>
    <w:rsid w:val="00CD08FE"/>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nhideWhenUsed/>
    <w:rsid w:val="00A24B31"/>
    <w:rPr>
      <w:sz w:val="20"/>
      <w:szCs w:val="20"/>
      <w:lang w:val="x-none"/>
    </w:rPr>
  </w:style>
  <w:style w:type="character" w:styleId="FootnoteReference">
    <w:name w:val="footnote reference"/>
    <w:uiPriority w:val="99"/>
    <w:semiHidden/>
    <w:unhideWhenUsed/>
    <w:rsid w:val="00A24B31"/>
    <w:rPr>
      <w:vertAlign w:val="superscript"/>
    </w:rPr>
  </w:style>
  <w:style w:type="paragraph" w:customStyle="1" w:styleId="naisnod">
    <w:name w:val="naisnod"/>
    <w:basedOn w:val="Normal"/>
    <w:rsid w:val="00A24B31"/>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A24B31"/>
    <w:pPr>
      <w:spacing w:before="75" w:after="75" w:line="240" w:lineRule="auto"/>
    </w:pPr>
    <w:rPr>
      <w:rFonts w:ascii="Times New Roman" w:eastAsia="Times New Roman" w:hAnsi="Times New Roman"/>
      <w:sz w:val="24"/>
      <w:szCs w:val="24"/>
      <w:lang w:eastAsia="lv-LV"/>
    </w:rPr>
  </w:style>
  <w:style w:type="character" w:customStyle="1" w:styleId="FootnoteTextChar">
    <w:name w:val="Footnote Text Char"/>
    <w:link w:val="FootnoteText"/>
    <w:rsid w:val="001B7C3D"/>
    <w:rPr>
      <w:lang w:val="x-none" w:eastAsia="en-US"/>
    </w:rPr>
  </w:style>
  <w:style w:type="character" w:customStyle="1" w:styleId="apple-converted-space">
    <w:name w:val="apple-converted-space"/>
    <w:basedOn w:val="DefaultParagraphFont"/>
    <w:rsid w:val="00271243"/>
  </w:style>
  <w:style w:type="paragraph" w:customStyle="1" w:styleId="tv2132">
    <w:name w:val="tv2132"/>
    <w:basedOn w:val="Normal"/>
    <w:rsid w:val="00CB219C"/>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3F766C"/>
    <w:pPr>
      <w:spacing w:after="120"/>
      <w:ind w:left="360"/>
    </w:pPr>
  </w:style>
  <w:style w:type="character" w:customStyle="1" w:styleId="BodyTextIndentChar">
    <w:name w:val="Body Text Indent Char"/>
    <w:link w:val="BodyTextIndent"/>
    <w:rsid w:val="003F766C"/>
    <w:rPr>
      <w:sz w:val="22"/>
      <w:szCs w:val="22"/>
      <w:lang w:val="lv-LV"/>
    </w:rPr>
  </w:style>
  <w:style w:type="character" w:customStyle="1" w:styleId="Piemint1">
    <w:name w:val="Pieminēt1"/>
    <w:uiPriority w:val="99"/>
    <w:semiHidden/>
    <w:unhideWhenUsed/>
    <w:rsid w:val="003675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1660">
      <w:bodyDiv w:val="1"/>
      <w:marLeft w:val="0"/>
      <w:marRight w:val="0"/>
      <w:marTop w:val="0"/>
      <w:marBottom w:val="0"/>
      <w:divBdr>
        <w:top w:val="none" w:sz="0" w:space="0" w:color="auto"/>
        <w:left w:val="none" w:sz="0" w:space="0" w:color="auto"/>
        <w:bottom w:val="none" w:sz="0" w:space="0" w:color="auto"/>
        <w:right w:val="none" w:sz="0" w:space="0" w:color="auto"/>
      </w:divBdr>
    </w:div>
    <w:div w:id="211505006">
      <w:bodyDiv w:val="1"/>
      <w:marLeft w:val="0"/>
      <w:marRight w:val="0"/>
      <w:marTop w:val="0"/>
      <w:marBottom w:val="0"/>
      <w:divBdr>
        <w:top w:val="none" w:sz="0" w:space="0" w:color="auto"/>
        <w:left w:val="none" w:sz="0" w:space="0" w:color="auto"/>
        <w:bottom w:val="none" w:sz="0" w:space="0" w:color="auto"/>
        <w:right w:val="none" w:sz="0" w:space="0" w:color="auto"/>
      </w:divBdr>
    </w:div>
    <w:div w:id="245194313">
      <w:bodyDiv w:val="1"/>
      <w:marLeft w:val="0"/>
      <w:marRight w:val="0"/>
      <w:marTop w:val="0"/>
      <w:marBottom w:val="0"/>
      <w:divBdr>
        <w:top w:val="none" w:sz="0" w:space="0" w:color="auto"/>
        <w:left w:val="none" w:sz="0" w:space="0" w:color="auto"/>
        <w:bottom w:val="none" w:sz="0" w:space="0" w:color="auto"/>
        <w:right w:val="none" w:sz="0" w:space="0" w:color="auto"/>
      </w:divBdr>
    </w:div>
    <w:div w:id="267615593">
      <w:bodyDiv w:val="1"/>
      <w:marLeft w:val="0"/>
      <w:marRight w:val="0"/>
      <w:marTop w:val="0"/>
      <w:marBottom w:val="0"/>
      <w:divBdr>
        <w:top w:val="none" w:sz="0" w:space="0" w:color="auto"/>
        <w:left w:val="none" w:sz="0" w:space="0" w:color="auto"/>
        <w:bottom w:val="none" w:sz="0" w:space="0" w:color="auto"/>
        <w:right w:val="none" w:sz="0" w:space="0" w:color="auto"/>
      </w:divBdr>
    </w:div>
    <w:div w:id="633414803">
      <w:bodyDiv w:val="1"/>
      <w:marLeft w:val="0"/>
      <w:marRight w:val="0"/>
      <w:marTop w:val="0"/>
      <w:marBottom w:val="0"/>
      <w:divBdr>
        <w:top w:val="none" w:sz="0" w:space="0" w:color="auto"/>
        <w:left w:val="none" w:sz="0" w:space="0" w:color="auto"/>
        <w:bottom w:val="none" w:sz="0" w:space="0" w:color="auto"/>
        <w:right w:val="none" w:sz="0" w:space="0" w:color="auto"/>
      </w:divBdr>
    </w:div>
    <w:div w:id="716322971">
      <w:bodyDiv w:val="1"/>
      <w:marLeft w:val="0"/>
      <w:marRight w:val="0"/>
      <w:marTop w:val="0"/>
      <w:marBottom w:val="0"/>
      <w:divBdr>
        <w:top w:val="none" w:sz="0" w:space="0" w:color="auto"/>
        <w:left w:val="none" w:sz="0" w:space="0" w:color="auto"/>
        <w:bottom w:val="none" w:sz="0" w:space="0" w:color="auto"/>
        <w:right w:val="none" w:sz="0" w:space="0" w:color="auto"/>
      </w:divBdr>
    </w:div>
    <w:div w:id="724448366">
      <w:bodyDiv w:val="1"/>
      <w:marLeft w:val="0"/>
      <w:marRight w:val="0"/>
      <w:marTop w:val="0"/>
      <w:marBottom w:val="0"/>
      <w:divBdr>
        <w:top w:val="none" w:sz="0" w:space="0" w:color="auto"/>
        <w:left w:val="none" w:sz="0" w:space="0" w:color="auto"/>
        <w:bottom w:val="none" w:sz="0" w:space="0" w:color="auto"/>
        <w:right w:val="none" w:sz="0" w:space="0" w:color="auto"/>
      </w:divBdr>
    </w:div>
    <w:div w:id="783764978">
      <w:bodyDiv w:val="1"/>
      <w:marLeft w:val="0"/>
      <w:marRight w:val="0"/>
      <w:marTop w:val="0"/>
      <w:marBottom w:val="0"/>
      <w:divBdr>
        <w:top w:val="none" w:sz="0" w:space="0" w:color="auto"/>
        <w:left w:val="none" w:sz="0" w:space="0" w:color="auto"/>
        <w:bottom w:val="none" w:sz="0" w:space="0" w:color="auto"/>
        <w:right w:val="none" w:sz="0" w:space="0" w:color="auto"/>
      </w:divBdr>
    </w:div>
    <w:div w:id="997929013">
      <w:bodyDiv w:val="1"/>
      <w:marLeft w:val="45"/>
      <w:marRight w:val="45"/>
      <w:marTop w:val="90"/>
      <w:marBottom w:val="90"/>
      <w:divBdr>
        <w:top w:val="none" w:sz="0" w:space="0" w:color="auto"/>
        <w:left w:val="none" w:sz="0" w:space="0" w:color="auto"/>
        <w:bottom w:val="none" w:sz="0" w:space="0" w:color="auto"/>
        <w:right w:val="none" w:sz="0" w:space="0" w:color="auto"/>
      </w:divBdr>
      <w:divsChild>
        <w:div w:id="1302004851">
          <w:marLeft w:val="0"/>
          <w:marRight w:val="0"/>
          <w:marTop w:val="0"/>
          <w:marBottom w:val="567"/>
          <w:divBdr>
            <w:top w:val="none" w:sz="0" w:space="0" w:color="auto"/>
            <w:left w:val="none" w:sz="0" w:space="0" w:color="auto"/>
            <w:bottom w:val="none" w:sz="0" w:space="0" w:color="auto"/>
            <w:right w:val="none" w:sz="0" w:space="0" w:color="auto"/>
          </w:divBdr>
        </w:div>
      </w:divsChild>
    </w:div>
    <w:div w:id="1034695824">
      <w:bodyDiv w:val="1"/>
      <w:marLeft w:val="0"/>
      <w:marRight w:val="0"/>
      <w:marTop w:val="0"/>
      <w:marBottom w:val="0"/>
      <w:divBdr>
        <w:top w:val="none" w:sz="0" w:space="0" w:color="auto"/>
        <w:left w:val="none" w:sz="0" w:space="0" w:color="auto"/>
        <w:bottom w:val="none" w:sz="0" w:space="0" w:color="auto"/>
        <w:right w:val="none" w:sz="0" w:space="0" w:color="auto"/>
      </w:divBdr>
      <w:divsChild>
        <w:div w:id="736627651">
          <w:marLeft w:val="0"/>
          <w:marRight w:val="0"/>
          <w:marTop w:val="0"/>
          <w:marBottom w:val="0"/>
          <w:divBdr>
            <w:top w:val="none" w:sz="0" w:space="0" w:color="auto"/>
            <w:left w:val="none" w:sz="0" w:space="0" w:color="auto"/>
            <w:bottom w:val="none" w:sz="0" w:space="0" w:color="auto"/>
            <w:right w:val="none" w:sz="0" w:space="0" w:color="auto"/>
          </w:divBdr>
        </w:div>
      </w:divsChild>
    </w:div>
    <w:div w:id="1126898473">
      <w:bodyDiv w:val="1"/>
      <w:marLeft w:val="0"/>
      <w:marRight w:val="0"/>
      <w:marTop w:val="0"/>
      <w:marBottom w:val="0"/>
      <w:divBdr>
        <w:top w:val="none" w:sz="0" w:space="0" w:color="auto"/>
        <w:left w:val="none" w:sz="0" w:space="0" w:color="auto"/>
        <w:bottom w:val="none" w:sz="0" w:space="0" w:color="auto"/>
        <w:right w:val="none" w:sz="0" w:space="0" w:color="auto"/>
      </w:divBdr>
    </w:div>
    <w:div w:id="1330906105">
      <w:bodyDiv w:val="1"/>
      <w:marLeft w:val="0"/>
      <w:marRight w:val="0"/>
      <w:marTop w:val="0"/>
      <w:marBottom w:val="0"/>
      <w:divBdr>
        <w:top w:val="none" w:sz="0" w:space="0" w:color="auto"/>
        <w:left w:val="none" w:sz="0" w:space="0" w:color="auto"/>
        <w:bottom w:val="none" w:sz="0" w:space="0" w:color="auto"/>
        <w:right w:val="none" w:sz="0" w:space="0" w:color="auto"/>
      </w:divBdr>
      <w:divsChild>
        <w:div w:id="306517045">
          <w:marLeft w:val="0"/>
          <w:marRight w:val="0"/>
          <w:marTop w:val="0"/>
          <w:marBottom w:val="0"/>
          <w:divBdr>
            <w:top w:val="none" w:sz="0" w:space="0" w:color="auto"/>
            <w:left w:val="none" w:sz="0" w:space="0" w:color="auto"/>
            <w:bottom w:val="none" w:sz="0" w:space="0" w:color="auto"/>
            <w:right w:val="none" w:sz="0" w:space="0" w:color="auto"/>
          </w:divBdr>
        </w:div>
      </w:divsChild>
    </w:div>
    <w:div w:id="1440830385">
      <w:bodyDiv w:val="1"/>
      <w:marLeft w:val="45"/>
      <w:marRight w:val="45"/>
      <w:marTop w:val="90"/>
      <w:marBottom w:val="90"/>
      <w:divBdr>
        <w:top w:val="none" w:sz="0" w:space="0" w:color="auto"/>
        <w:left w:val="none" w:sz="0" w:space="0" w:color="auto"/>
        <w:bottom w:val="none" w:sz="0" w:space="0" w:color="auto"/>
        <w:right w:val="none" w:sz="0" w:space="0" w:color="auto"/>
      </w:divBdr>
      <w:divsChild>
        <w:div w:id="94787829">
          <w:marLeft w:val="0"/>
          <w:marRight w:val="0"/>
          <w:marTop w:val="240"/>
          <w:marBottom w:val="0"/>
          <w:divBdr>
            <w:top w:val="none" w:sz="0" w:space="0" w:color="auto"/>
            <w:left w:val="none" w:sz="0" w:space="0" w:color="auto"/>
            <w:bottom w:val="none" w:sz="0" w:space="0" w:color="auto"/>
            <w:right w:val="none" w:sz="0" w:space="0" w:color="auto"/>
          </w:divBdr>
        </w:div>
      </w:divsChild>
    </w:div>
    <w:div w:id="1518228592">
      <w:bodyDiv w:val="1"/>
      <w:marLeft w:val="0"/>
      <w:marRight w:val="0"/>
      <w:marTop w:val="0"/>
      <w:marBottom w:val="0"/>
      <w:divBdr>
        <w:top w:val="none" w:sz="0" w:space="0" w:color="auto"/>
        <w:left w:val="none" w:sz="0" w:space="0" w:color="auto"/>
        <w:bottom w:val="none" w:sz="0" w:space="0" w:color="auto"/>
        <w:right w:val="none" w:sz="0" w:space="0" w:color="auto"/>
      </w:divBdr>
    </w:div>
    <w:div w:id="1613128769">
      <w:bodyDiv w:val="1"/>
      <w:marLeft w:val="0"/>
      <w:marRight w:val="0"/>
      <w:marTop w:val="0"/>
      <w:marBottom w:val="0"/>
      <w:divBdr>
        <w:top w:val="none" w:sz="0" w:space="0" w:color="auto"/>
        <w:left w:val="none" w:sz="0" w:space="0" w:color="auto"/>
        <w:bottom w:val="none" w:sz="0" w:space="0" w:color="auto"/>
        <w:right w:val="none" w:sz="0" w:space="0" w:color="auto"/>
      </w:divBdr>
      <w:divsChild>
        <w:div w:id="34163082">
          <w:marLeft w:val="0"/>
          <w:marRight w:val="0"/>
          <w:marTop w:val="0"/>
          <w:marBottom w:val="0"/>
          <w:divBdr>
            <w:top w:val="none" w:sz="0" w:space="0" w:color="auto"/>
            <w:left w:val="none" w:sz="0" w:space="0" w:color="auto"/>
            <w:bottom w:val="none" w:sz="0" w:space="0" w:color="auto"/>
            <w:right w:val="none" w:sz="0" w:space="0" w:color="auto"/>
          </w:divBdr>
          <w:divsChild>
            <w:div w:id="543176831">
              <w:marLeft w:val="0"/>
              <w:marRight w:val="0"/>
              <w:marTop w:val="0"/>
              <w:marBottom w:val="0"/>
              <w:divBdr>
                <w:top w:val="none" w:sz="0" w:space="0" w:color="auto"/>
                <w:left w:val="none" w:sz="0" w:space="0" w:color="auto"/>
                <w:bottom w:val="none" w:sz="0" w:space="0" w:color="auto"/>
                <w:right w:val="none" w:sz="0" w:space="0" w:color="auto"/>
              </w:divBdr>
              <w:divsChild>
                <w:div w:id="1886064108">
                  <w:marLeft w:val="0"/>
                  <w:marRight w:val="0"/>
                  <w:marTop w:val="0"/>
                  <w:marBottom w:val="0"/>
                  <w:divBdr>
                    <w:top w:val="none" w:sz="0" w:space="0" w:color="auto"/>
                    <w:left w:val="none" w:sz="0" w:space="0" w:color="auto"/>
                    <w:bottom w:val="none" w:sz="0" w:space="0" w:color="auto"/>
                    <w:right w:val="none" w:sz="0" w:space="0" w:color="auto"/>
                  </w:divBdr>
                  <w:divsChild>
                    <w:div w:id="554240070">
                      <w:marLeft w:val="0"/>
                      <w:marRight w:val="0"/>
                      <w:marTop w:val="0"/>
                      <w:marBottom w:val="0"/>
                      <w:divBdr>
                        <w:top w:val="none" w:sz="0" w:space="0" w:color="auto"/>
                        <w:left w:val="none" w:sz="0" w:space="0" w:color="auto"/>
                        <w:bottom w:val="none" w:sz="0" w:space="0" w:color="auto"/>
                        <w:right w:val="none" w:sz="0" w:space="0" w:color="auto"/>
                      </w:divBdr>
                      <w:divsChild>
                        <w:div w:id="725296108">
                          <w:marLeft w:val="0"/>
                          <w:marRight w:val="0"/>
                          <w:marTop w:val="0"/>
                          <w:marBottom w:val="0"/>
                          <w:divBdr>
                            <w:top w:val="none" w:sz="0" w:space="0" w:color="auto"/>
                            <w:left w:val="none" w:sz="0" w:space="0" w:color="auto"/>
                            <w:bottom w:val="none" w:sz="0" w:space="0" w:color="auto"/>
                            <w:right w:val="none" w:sz="0" w:space="0" w:color="auto"/>
                          </w:divBdr>
                          <w:divsChild>
                            <w:div w:id="4189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17666">
      <w:bodyDiv w:val="1"/>
      <w:marLeft w:val="0"/>
      <w:marRight w:val="0"/>
      <w:marTop w:val="0"/>
      <w:marBottom w:val="0"/>
      <w:divBdr>
        <w:top w:val="none" w:sz="0" w:space="0" w:color="auto"/>
        <w:left w:val="none" w:sz="0" w:space="0" w:color="auto"/>
        <w:bottom w:val="none" w:sz="0" w:space="0" w:color="auto"/>
        <w:right w:val="none" w:sz="0" w:space="0" w:color="auto"/>
      </w:divBdr>
    </w:div>
    <w:div w:id="1694988277">
      <w:bodyDiv w:val="1"/>
      <w:marLeft w:val="0"/>
      <w:marRight w:val="0"/>
      <w:marTop w:val="0"/>
      <w:marBottom w:val="0"/>
      <w:divBdr>
        <w:top w:val="none" w:sz="0" w:space="0" w:color="auto"/>
        <w:left w:val="none" w:sz="0" w:space="0" w:color="auto"/>
        <w:bottom w:val="none" w:sz="0" w:space="0" w:color="auto"/>
        <w:right w:val="none" w:sz="0" w:space="0" w:color="auto"/>
      </w:divBdr>
    </w:div>
    <w:div w:id="1778602393">
      <w:bodyDiv w:val="1"/>
      <w:marLeft w:val="45"/>
      <w:marRight w:val="45"/>
      <w:marTop w:val="90"/>
      <w:marBottom w:val="90"/>
      <w:divBdr>
        <w:top w:val="none" w:sz="0" w:space="0" w:color="auto"/>
        <w:left w:val="none" w:sz="0" w:space="0" w:color="auto"/>
        <w:bottom w:val="none" w:sz="0" w:space="0" w:color="auto"/>
        <w:right w:val="none" w:sz="0" w:space="0" w:color="auto"/>
      </w:divBdr>
      <w:divsChild>
        <w:div w:id="95101266">
          <w:marLeft w:val="0"/>
          <w:marRight w:val="0"/>
          <w:marTop w:val="0"/>
          <w:marBottom w:val="567"/>
          <w:divBdr>
            <w:top w:val="none" w:sz="0" w:space="0" w:color="auto"/>
            <w:left w:val="none" w:sz="0" w:space="0" w:color="auto"/>
            <w:bottom w:val="none" w:sz="0" w:space="0" w:color="auto"/>
            <w:right w:val="none" w:sz="0" w:space="0" w:color="auto"/>
          </w:divBdr>
        </w:div>
      </w:divsChild>
    </w:div>
    <w:div w:id="1837571787">
      <w:bodyDiv w:val="1"/>
      <w:marLeft w:val="0"/>
      <w:marRight w:val="0"/>
      <w:marTop w:val="0"/>
      <w:marBottom w:val="0"/>
      <w:divBdr>
        <w:top w:val="none" w:sz="0" w:space="0" w:color="auto"/>
        <w:left w:val="none" w:sz="0" w:space="0" w:color="auto"/>
        <w:bottom w:val="none" w:sz="0" w:space="0" w:color="auto"/>
        <w:right w:val="none" w:sz="0" w:space="0" w:color="auto"/>
      </w:divBdr>
    </w:div>
    <w:div w:id="1846240311">
      <w:bodyDiv w:val="1"/>
      <w:marLeft w:val="0"/>
      <w:marRight w:val="0"/>
      <w:marTop w:val="0"/>
      <w:marBottom w:val="0"/>
      <w:divBdr>
        <w:top w:val="none" w:sz="0" w:space="0" w:color="auto"/>
        <w:left w:val="none" w:sz="0" w:space="0" w:color="auto"/>
        <w:bottom w:val="none" w:sz="0" w:space="0" w:color="auto"/>
        <w:right w:val="none" w:sz="0" w:space="0" w:color="auto"/>
      </w:divBdr>
    </w:div>
    <w:div w:id="2068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9881</Words>
  <Characters>5633</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"Maksātnespējas administrācijas maksas pakalpojumu cenrādis" sākotnējās ietekmes novērtējuma ziņojums (anotācija)</vt:lpstr>
      <vt:lpstr>Ministru kabineta noteikumu projekta "Maksātnespējas administrācijas maksas pakalpojumu cenrādis" sākotnējās ietekmes novērtējuma ziņojums (anotācija)</vt:lpstr>
    </vt:vector>
  </TitlesOfParts>
  <Company>Maksātnespējas administrācija</Company>
  <LinksUpToDate>false</LinksUpToDate>
  <CharactersWithSpaces>15484</CharactersWithSpaces>
  <SharedDoc>false</SharedDoc>
  <HLinks>
    <vt:vector size="12" baseType="variant">
      <vt:variant>
        <vt:i4>7667751</vt:i4>
      </vt:variant>
      <vt:variant>
        <vt:i4>3</vt:i4>
      </vt:variant>
      <vt:variant>
        <vt:i4>0</vt:i4>
      </vt:variant>
      <vt:variant>
        <vt:i4>5</vt:i4>
      </vt:variant>
      <vt:variant>
        <vt:lpwstr>http://www.mna.gov.lv/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administrācijas maksas pakalpojumu cenrādis" sākotnējās ietekmes novērtējuma ziņojums (anotācija)</dc:title>
  <dc:subject>Noteikumu projekts</dc:subject>
  <dc:creator>Agnese Gabuža</dc:creator>
  <cp:keywords>Ministru kabineta noteikumu projekta sākotnējās ietekmes novērtējuma ziņojums (anotācija</cp:keywords>
  <dc:description>67099124; agnese.gabuza@mna.gov.lv</dc:description>
  <cp:lastModifiedBy>Laimdota Adlere</cp:lastModifiedBy>
  <cp:revision>4</cp:revision>
  <cp:lastPrinted>2017-05-29T07:19:00Z</cp:lastPrinted>
  <dcterms:created xsi:type="dcterms:W3CDTF">2017-05-29T09:00:00Z</dcterms:created>
  <dcterms:modified xsi:type="dcterms:W3CDTF">2017-05-29T09:00:00Z</dcterms:modified>
</cp:coreProperties>
</file>