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27BD3" w14:textId="77777777" w:rsidR="00B9733B" w:rsidRPr="00685063" w:rsidRDefault="00D747BE" w:rsidP="00974354">
      <w:pPr>
        <w:jc w:val="center"/>
        <w:rPr>
          <w:b/>
          <w:bCs/>
          <w:sz w:val="28"/>
          <w:szCs w:val="28"/>
        </w:rPr>
      </w:pPr>
      <w:bookmarkStart w:id="0" w:name="_GoBack"/>
      <w:bookmarkEnd w:id="0"/>
      <w:r w:rsidRPr="00685063">
        <w:rPr>
          <w:b/>
          <w:bCs/>
          <w:sz w:val="28"/>
          <w:szCs w:val="28"/>
        </w:rPr>
        <w:t>Likumprojekta</w:t>
      </w:r>
    </w:p>
    <w:p w14:paraId="5554FC08" w14:textId="576EA5E3" w:rsidR="00B9733B" w:rsidRPr="00685063" w:rsidRDefault="00D747BE" w:rsidP="00974354">
      <w:pPr>
        <w:jc w:val="center"/>
        <w:rPr>
          <w:b/>
          <w:sz w:val="28"/>
          <w:szCs w:val="28"/>
          <w:lang w:eastAsia="x-none"/>
        </w:rPr>
      </w:pPr>
      <w:r w:rsidRPr="00D34E87">
        <w:rPr>
          <w:sz w:val="28"/>
          <w:szCs w:val="28"/>
          <w:lang w:eastAsia="x-none"/>
        </w:rPr>
        <w:t>“</w:t>
      </w:r>
      <w:r w:rsidRPr="00685063">
        <w:rPr>
          <w:b/>
          <w:bCs/>
          <w:sz w:val="28"/>
          <w:szCs w:val="28"/>
        </w:rPr>
        <w:t xml:space="preserve">Grozījums </w:t>
      </w:r>
      <w:r w:rsidRPr="00685063">
        <w:rPr>
          <w:b/>
          <w:sz w:val="28"/>
          <w:szCs w:val="28"/>
          <w:lang w:eastAsia="x-none"/>
        </w:rPr>
        <w:t>Ūdenssaimniecības pakalpojumu likumā”</w:t>
      </w:r>
    </w:p>
    <w:p w14:paraId="4952AC38" w14:textId="7671B917" w:rsidR="00B9733B" w:rsidRPr="00685063" w:rsidRDefault="00D747BE" w:rsidP="00685063">
      <w:pPr>
        <w:jc w:val="center"/>
        <w:rPr>
          <w:b/>
          <w:bCs/>
          <w:sz w:val="28"/>
          <w:szCs w:val="28"/>
        </w:rPr>
      </w:pPr>
      <w:r w:rsidRPr="00685063">
        <w:rPr>
          <w:b/>
          <w:bCs/>
          <w:sz w:val="28"/>
          <w:szCs w:val="28"/>
        </w:rPr>
        <w:t>sākotnējās ietekmes novērtējuma ziņojums (anotācija)</w:t>
      </w:r>
    </w:p>
    <w:p w14:paraId="03A5BB76" w14:textId="77777777" w:rsidR="00F63EFC" w:rsidRPr="00685063" w:rsidRDefault="00AF2576" w:rsidP="00974354">
      <w:pPr>
        <w:ind w:firstLine="301"/>
        <w:jc w:val="center"/>
        <w:rPr>
          <w:i/>
          <w:iCs/>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7"/>
        <w:gridCol w:w="2683"/>
        <w:gridCol w:w="5841"/>
      </w:tblGrid>
      <w:tr w:rsidR="006C1406" w14:paraId="342676EB" w14:textId="77777777" w:rsidTr="0067760F">
        <w:trPr>
          <w:trHeight w:val="419"/>
        </w:trPr>
        <w:tc>
          <w:tcPr>
            <w:tcW w:w="5000" w:type="pct"/>
            <w:gridSpan w:val="3"/>
            <w:vAlign w:val="center"/>
          </w:tcPr>
          <w:p w14:paraId="08154C8D" w14:textId="77777777" w:rsidR="00F63EFC" w:rsidRPr="00685063" w:rsidRDefault="00D747BE" w:rsidP="00974354">
            <w:pPr>
              <w:pStyle w:val="naisnod"/>
              <w:spacing w:before="0" w:after="0"/>
              <w:ind w:left="57" w:right="57"/>
              <w:rPr>
                <w:b w:val="0"/>
                <w:sz w:val="28"/>
                <w:szCs w:val="28"/>
              </w:rPr>
            </w:pPr>
            <w:r w:rsidRPr="00685063">
              <w:rPr>
                <w:sz w:val="28"/>
                <w:szCs w:val="28"/>
              </w:rPr>
              <w:t>I. Tiesību akta projekta izstrādes nepieciešamība</w:t>
            </w:r>
          </w:p>
        </w:tc>
      </w:tr>
      <w:tr w:rsidR="006C1406" w14:paraId="658A4FD3" w14:textId="77777777" w:rsidTr="000038B7">
        <w:trPr>
          <w:trHeight w:val="841"/>
        </w:trPr>
        <w:tc>
          <w:tcPr>
            <w:tcW w:w="307" w:type="pct"/>
          </w:tcPr>
          <w:p w14:paraId="42ACE9F7" w14:textId="77777777" w:rsidR="00F63EFC" w:rsidRPr="00685063" w:rsidRDefault="00D747BE" w:rsidP="00974354">
            <w:pPr>
              <w:pStyle w:val="naiskr"/>
              <w:spacing w:before="0" w:after="0"/>
              <w:ind w:left="57" w:right="57"/>
              <w:jc w:val="center"/>
              <w:rPr>
                <w:sz w:val="28"/>
                <w:szCs w:val="28"/>
              </w:rPr>
            </w:pPr>
            <w:r w:rsidRPr="00685063">
              <w:rPr>
                <w:sz w:val="28"/>
                <w:szCs w:val="28"/>
              </w:rPr>
              <w:t>1.</w:t>
            </w:r>
          </w:p>
        </w:tc>
        <w:tc>
          <w:tcPr>
            <w:tcW w:w="1477" w:type="pct"/>
          </w:tcPr>
          <w:p w14:paraId="7E988557" w14:textId="53CAAEE2" w:rsidR="001423C6" w:rsidRPr="00685063" w:rsidRDefault="00D747BE" w:rsidP="00974354">
            <w:pPr>
              <w:pStyle w:val="naiskr"/>
              <w:spacing w:before="0" w:after="0"/>
              <w:ind w:left="57" w:right="57"/>
              <w:rPr>
                <w:sz w:val="28"/>
                <w:szCs w:val="28"/>
              </w:rPr>
            </w:pPr>
            <w:r w:rsidRPr="00685063">
              <w:rPr>
                <w:sz w:val="28"/>
                <w:szCs w:val="28"/>
              </w:rPr>
              <w:t>Pamatojums</w:t>
            </w:r>
          </w:p>
          <w:p w14:paraId="26C2CAD9" w14:textId="77777777" w:rsidR="001423C6" w:rsidRPr="00685063" w:rsidRDefault="00AF2576" w:rsidP="001423C6">
            <w:pPr>
              <w:rPr>
                <w:sz w:val="28"/>
                <w:szCs w:val="28"/>
              </w:rPr>
            </w:pPr>
          </w:p>
          <w:p w14:paraId="26138CEC" w14:textId="77777777" w:rsidR="001423C6" w:rsidRPr="00685063" w:rsidRDefault="00AF2576" w:rsidP="001423C6">
            <w:pPr>
              <w:rPr>
                <w:sz w:val="28"/>
                <w:szCs w:val="28"/>
              </w:rPr>
            </w:pPr>
          </w:p>
          <w:p w14:paraId="6A778C3B" w14:textId="77777777" w:rsidR="001423C6" w:rsidRPr="00685063" w:rsidRDefault="00AF2576" w:rsidP="001423C6">
            <w:pPr>
              <w:rPr>
                <w:sz w:val="28"/>
                <w:szCs w:val="28"/>
              </w:rPr>
            </w:pPr>
          </w:p>
          <w:p w14:paraId="78F60268" w14:textId="77777777" w:rsidR="001423C6" w:rsidRPr="00685063" w:rsidRDefault="00AF2576" w:rsidP="001423C6">
            <w:pPr>
              <w:rPr>
                <w:sz w:val="28"/>
                <w:szCs w:val="28"/>
              </w:rPr>
            </w:pPr>
          </w:p>
          <w:p w14:paraId="4AD576F7" w14:textId="77777777" w:rsidR="001423C6" w:rsidRPr="00685063" w:rsidRDefault="00AF2576" w:rsidP="001423C6">
            <w:pPr>
              <w:rPr>
                <w:sz w:val="28"/>
                <w:szCs w:val="28"/>
              </w:rPr>
            </w:pPr>
          </w:p>
          <w:p w14:paraId="457B1095" w14:textId="77777777" w:rsidR="001423C6" w:rsidRPr="00685063" w:rsidRDefault="00AF2576" w:rsidP="001423C6">
            <w:pPr>
              <w:rPr>
                <w:sz w:val="28"/>
                <w:szCs w:val="28"/>
              </w:rPr>
            </w:pPr>
          </w:p>
          <w:p w14:paraId="21A408D8" w14:textId="1D380B28" w:rsidR="001423C6" w:rsidRPr="00685063" w:rsidRDefault="00AF2576" w:rsidP="001423C6">
            <w:pPr>
              <w:rPr>
                <w:sz w:val="28"/>
                <w:szCs w:val="28"/>
              </w:rPr>
            </w:pPr>
          </w:p>
          <w:p w14:paraId="0A10CE02" w14:textId="41BBD959" w:rsidR="001423C6" w:rsidRPr="00685063" w:rsidRDefault="00AF2576" w:rsidP="001423C6">
            <w:pPr>
              <w:rPr>
                <w:sz w:val="28"/>
                <w:szCs w:val="28"/>
              </w:rPr>
            </w:pPr>
          </w:p>
          <w:p w14:paraId="5E8E1521" w14:textId="77777777" w:rsidR="00F63EFC" w:rsidRPr="00685063" w:rsidRDefault="00AF2576" w:rsidP="001423C6">
            <w:pPr>
              <w:ind w:firstLine="720"/>
              <w:rPr>
                <w:sz w:val="28"/>
                <w:szCs w:val="28"/>
              </w:rPr>
            </w:pPr>
          </w:p>
        </w:tc>
        <w:tc>
          <w:tcPr>
            <w:tcW w:w="3216" w:type="pct"/>
          </w:tcPr>
          <w:p w14:paraId="3C4047ED" w14:textId="4747CACA" w:rsidR="00F63EFC" w:rsidRPr="00685063" w:rsidRDefault="00D747BE" w:rsidP="003A18CE">
            <w:pPr>
              <w:ind w:left="57" w:right="57"/>
              <w:jc w:val="both"/>
              <w:rPr>
                <w:sz w:val="28"/>
                <w:szCs w:val="28"/>
              </w:rPr>
            </w:pPr>
            <w:r w:rsidRPr="00685063">
              <w:rPr>
                <w:sz w:val="28"/>
                <w:szCs w:val="28"/>
              </w:rPr>
              <w:t xml:space="preserve">Ministru kabineta komitejas (turpmāk – MKK) 2017. gada 13. februāra sēdē tika izskatīts vides aizsardzības un reģionālās attīstības ministra iesniegtais Ministru kabineta noteikumu projekts </w:t>
            </w:r>
            <w:r w:rsidRPr="00D34E87">
              <w:rPr>
                <w:sz w:val="28"/>
                <w:szCs w:val="28"/>
              </w:rPr>
              <w:t>“</w:t>
            </w:r>
            <w:r w:rsidRPr="00685063">
              <w:rPr>
                <w:sz w:val="28"/>
                <w:szCs w:val="28"/>
              </w:rPr>
              <w:t>Grozījumi Ministru kabineta 2016. gada 22. marta noteikumos Nr.</w:t>
            </w:r>
            <w:r>
              <w:rPr>
                <w:sz w:val="28"/>
                <w:szCs w:val="28"/>
              </w:rPr>
              <w:t> </w:t>
            </w:r>
            <w:r w:rsidRPr="00685063">
              <w:rPr>
                <w:sz w:val="28"/>
                <w:szCs w:val="28"/>
              </w:rPr>
              <w:t xml:space="preserve">174 </w:t>
            </w:r>
            <w:r w:rsidRPr="00D34E87">
              <w:rPr>
                <w:sz w:val="28"/>
                <w:szCs w:val="28"/>
              </w:rPr>
              <w:t>“</w:t>
            </w:r>
            <w:r w:rsidRPr="00685063">
              <w:rPr>
                <w:sz w:val="28"/>
                <w:szCs w:val="28"/>
              </w:rPr>
              <w:t>Noteikumi par sabiedrisko ūdenssaimniecības pakalpojumu sniegšanu un lietošanu</w:t>
            </w:r>
            <w:r w:rsidRPr="00D34E87">
              <w:rPr>
                <w:sz w:val="28"/>
                <w:szCs w:val="28"/>
              </w:rPr>
              <w:t>””</w:t>
            </w:r>
            <w:r w:rsidRPr="00685063">
              <w:rPr>
                <w:sz w:val="28"/>
                <w:szCs w:val="28"/>
              </w:rPr>
              <w:t xml:space="preserve"> (protokols Nr.</w:t>
            </w:r>
            <w:r>
              <w:rPr>
                <w:sz w:val="28"/>
                <w:szCs w:val="28"/>
              </w:rPr>
              <w:t> </w:t>
            </w:r>
            <w:r w:rsidRPr="00685063">
              <w:rPr>
                <w:sz w:val="28"/>
                <w:szCs w:val="28"/>
              </w:rPr>
              <w:t xml:space="preserve">5, 3.§). MKK sēdes </w:t>
            </w:r>
            <w:proofErr w:type="spellStart"/>
            <w:r w:rsidRPr="00685063">
              <w:rPr>
                <w:sz w:val="28"/>
                <w:szCs w:val="28"/>
              </w:rPr>
              <w:t>protokollēmuma</w:t>
            </w:r>
            <w:proofErr w:type="spellEnd"/>
            <w:r w:rsidRPr="00685063">
              <w:rPr>
                <w:sz w:val="28"/>
                <w:szCs w:val="28"/>
              </w:rPr>
              <w:t xml:space="preserve"> 3.§ 2.2.</w:t>
            </w:r>
            <w:r>
              <w:rPr>
                <w:sz w:val="28"/>
                <w:szCs w:val="28"/>
              </w:rPr>
              <w:t> </w:t>
            </w:r>
            <w:r w:rsidRPr="00685063">
              <w:rPr>
                <w:sz w:val="28"/>
                <w:szCs w:val="28"/>
              </w:rPr>
              <w:t>apakšpunkts uzdod Vides aizsardzības un reģionālās attīstības ministrijai (turpmāk – VARAM) sagatavot likumprojektu par grozījumiem Ūdenssaimniecības pakalpojumu likumā</w:t>
            </w:r>
            <w:r>
              <w:rPr>
                <w:sz w:val="28"/>
                <w:szCs w:val="28"/>
              </w:rPr>
              <w:t xml:space="preserve"> </w:t>
            </w:r>
            <w:r w:rsidRPr="00EC5C76">
              <w:rPr>
                <w:sz w:val="28"/>
                <w:szCs w:val="28"/>
              </w:rPr>
              <w:t>(turpmāk –</w:t>
            </w:r>
            <w:r>
              <w:rPr>
                <w:sz w:val="28"/>
                <w:szCs w:val="28"/>
              </w:rPr>
              <w:t xml:space="preserve"> Likums)</w:t>
            </w:r>
            <w:r w:rsidRPr="00685063">
              <w:rPr>
                <w:sz w:val="28"/>
                <w:szCs w:val="28"/>
              </w:rPr>
              <w:t>, lai precizētu</w:t>
            </w:r>
            <w:r>
              <w:rPr>
                <w:sz w:val="28"/>
                <w:szCs w:val="28"/>
              </w:rPr>
              <w:t xml:space="preserve"> Likuma</w:t>
            </w:r>
            <w:r w:rsidRPr="00685063">
              <w:rPr>
                <w:sz w:val="28"/>
                <w:szCs w:val="28"/>
              </w:rPr>
              <w:t xml:space="preserve"> 4. panta 4. punktā paredzēto deleģējumu, paredzot likumprojektu </w:t>
            </w:r>
            <w:r>
              <w:rPr>
                <w:sz w:val="28"/>
                <w:szCs w:val="28"/>
              </w:rPr>
              <w:t xml:space="preserve">Latvijas Republikas </w:t>
            </w:r>
            <w:r w:rsidRPr="00685063">
              <w:rPr>
                <w:sz w:val="28"/>
                <w:szCs w:val="28"/>
              </w:rPr>
              <w:t xml:space="preserve">Saeimā virzīt steidzamības kārtā. </w:t>
            </w:r>
          </w:p>
          <w:p w14:paraId="4B3681BF" w14:textId="77777777" w:rsidR="004E6F63" w:rsidRDefault="00AF2576" w:rsidP="003A18CE">
            <w:pPr>
              <w:ind w:left="57" w:right="57"/>
              <w:jc w:val="both"/>
              <w:rPr>
                <w:sz w:val="28"/>
                <w:szCs w:val="28"/>
              </w:rPr>
            </w:pPr>
          </w:p>
          <w:p w14:paraId="3BF33CF5" w14:textId="2A293706" w:rsidR="004E6F63" w:rsidRDefault="00D747BE" w:rsidP="003A18CE">
            <w:pPr>
              <w:ind w:left="57" w:right="57"/>
              <w:jc w:val="both"/>
              <w:rPr>
                <w:sz w:val="28"/>
                <w:szCs w:val="28"/>
              </w:rPr>
            </w:pPr>
            <w:r w:rsidRPr="00685063">
              <w:rPr>
                <w:sz w:val="28"/>
                <w:szCs w:val="28"/>
              </w:rPr>
              <w:t>Ministru kabineta (turpmāk – MK) 2017. gada 11.</w:t>
            </w:r>
            <w:r>
              <w:rPr>
                <w:sz w:val="28"/>
                <w:szCs w:val="28"/>
              </w:rPr>
              <w:t> </w:t>
            </w:r>
            <w:r w:rsidRPr="00685063">
              <w:rPr>
                <w:sz w:val="28"/>
                <w:szCs w:val="28"/>
              </w:rPr>
              <w:t xml:space="preserve">aprīļa sēdē tika pieņemts MK noteikumu projekts </w:t>
            </w:r>
            <w:r w:rsidRPr="00D34E87">
              <w:rPr>
                <w:sz w:val="28"/>
                <w:szCs w:val="28"/>
              </w:rPr>
              <w:t>“</w:t>
            </w:r>
            <w:r w:rsidRPr="00685063">
              <w:rPr>
                <w:sz w:val="28"/>
                <w:szCs w:val="28"/>
              </w:rPr>
              <w:t xml:space="preserve">Grozījumi Ministru kabineta 2016. gada 22. marta noteikumos Nr.174 </w:t>
            </w:r>
            <w:r w:rsidRPr="00D34E87">
              <w:rPr>
                <w:sz w:val="28"/>
                <w:szCs w:val="28"/>
              </w:rPr>
              <w:t>“</w:t>
            </w:r>
            <w:r w:rsidRPr="00685063">
              <w:rPr>
                <w:sz w:val="28"/>
                <w:szCs w:val="28"/>
              </w:rPr>
              <w:t>Noteikumi par sabiedrisko ūdenssaimniecības pakalpojumu sniegšanu un lietošanu</w:t>
            </w:r>
            <w:r w:rsidRPr="00D34E87">
              <w:rPr>
                <w:sz w:val="28"/>
                <w:szCs w:val="28"/>
              </w:rPr>
              <w:t>””</w:t>
            </w:r>
            <w:r w:rsidRPr="00685063">
              <w:rPr>
                <w:sz w:val="28"/>
                <w:szCs w:val="28"/>
              </w:rPr>
              <w:t xml:space="preserve"> (protokols Nr.</w:t>
            </w:r>
            <w:r>
              <w:rPr>
                <w:sz w:val="28"/>
                <w:szCs w:val="28"/>
              </w:rPr>
              <w:t> </w:t>
            </w:r>
            <w:r w:rsidRPr="00685063">
              <w:rPr>
                <w:sz w:val="28"/>
                <w:szCs w:val="28"/>
              </w:rPr>
              <w:t xml:space="preserve">19, 12§). </w:t>
            </w:r>
          </w:p>
          <w:p w14:paraId="407E6005" w14:textId="77777777" w:rsidR="004E6F63" w:rsidRDefault="00AF2576" w:rsidP="003A18CE">
            <w:pPr>
              <w:ind w:left="57" w:right="57"/>
              <w:jc w:val="both"/>
              <w:rPr>
                <w:sz w:val="28"/>
                <w:szCs w:val="28"/>
              </w:rPr>
            </w:pPr>
          </w:p>
          <w:p w14:paraId="0D50DD12" w14:textId="0A30AD63" w:rsidR="005746A6" w:rsidRPr="00685063" w:rsidRDefault="00D747BE" w:rsidP="003A18CE">
            <w:pPr>
              <w:ind w:left="57" w:right="57"/>
              <w:jc w:val="both"/>
              <w:rPr>
                <w:b/>
                <w:sz w:val="28"/>
                <w:szCs w:val="28"/>
              </w:rPr>
            </w:pPr>
            <w:r w:rsidRPr="004E6F63">
              <w:rPr>
                <w:sz w:val="28"/>
                <w:szCs w:val="28"/>
              </w:rPr>
              <w:t xml:space="preserve">MK </w:t>
            </w:r>
            <w:r w:rsidRPr="000038B7">
              <w:rPr>
                <w:sz w:val="28"/>
                <w:szCs w:val="28"/>
              </w:rPr>
              <w:t xml:space="preserve">2017. gada 11. aprīļa </w:t>
            </w:r>
            <w:r w:rsidRPr="004E6F63">
              <w:rPr>
                <w:sz w:val="28"/>
                <w:szCs w:val="28"/>
              </w:rPr>
              <w:t xml:space="preserve">sēdes </w:t>
            </w:r>
            <w:proofErr w:type="spellStart"/>
            <w:r w:rsidRPr="004E6F63">
              <w:rPr>
                <w:sz w:val="28"/>
                <w:szCs w:val="28"/>
              </w:rPr>
              <w:t>protokollēmuma</w:t>
            </w:r>
            <w:proofErr w:type="spellEnd"/>
            <w:r w:rsidRPr="00685063">
              <w:rPr>
                <w:sz w:val="28"/>
                <w:szCs w:val="28"/>
              </w:rPr>
              <w:t xml:space="preserve"> 12§ 2.</w:t>
            </w:r>
            <w:r>
              <w:rPr>
                <w:sz w:val="28"/>
                <w:szCs w:val="28"/>
              </w:rPr>
              <w:t> </w:t>
            </w:r>
            <w:r w:rsidRPr="00685063">
              <w:rPr>
                <w:sz w:val="28"/>
                <w:szCs w:val="28"/>
              </w:rPr>
              <w:t xml:space="preserve">punktā uzdots VARAM līdz 2017. gada 1. jūnijam sagatavot un iesniegt izskatīšanai MK likumprojektu par grozījumiem </w:t>
            </w:r>
            <w:r>
              <w:rPr>
                <w:sz w:val="28"/>
                <w:szCs w:val="28"/>
              </w:rPr>
              <w:t>L</w:t>
            </w:r>
            <w:r w:rsidRPr="00685063">
              <w:rPr>
                <w:sz w:val="28"/>
                <w:szCs w:val="28"/>
              </w:rPr>
              <w:t xml:space="preserve">ikumā, lai precizētu 4. panta 4. punktā paredzēto deleģējumu, paredzot likumprojektu Saeimā virzīt steidzamības kārtā. </w:t>
            </w:r>
          </w:p>
          <w:p w14:paraId="0914298A" w14:textId="42149254" w:rsidR="00220614" w:rsidRPr="00376AE3" w:rsidRDefault="00D747BE" w:rsidP="00376AE3">
            <w:pPr>
              <w:ind w:left="57" w:right="57"/>
              <w:jc w:val="both"/>
              <w:rPr>
                <w:b/>
                <w:sz w:val="28"/>
                <w:szCs w:val="28"/>
              </w:rPr>
            </w:pPr>
            <w:r w:rsidRPr="00685063">
              <w:rPr>
                <w:sz w:val="28"/>
                <w:szCs w:val="28"/>
              </w:rPr>
              <w:t xml:space="preserve">Izpildot iepriekš MK </w:t>
            </w:r>
            <w:r w:rsidRPr="000038B7">
              <w:rPr>
                <w:sz w:val="28"/>
                <w:szCs w:val="28"/>
              </w:rPr>
              <w:t xml:space="preserve">2017. gada 11. aprīļa </w:t>
            </w:r>
            <w:proofErr w:type="spellStart"/>
            <w:r w:rsidRPr="00685063">
              <w:rPr>
                <w:sz w:val="28"/>
                <w:szCs w:val="28"/>
              </w:rPr>
              <w:t>protokollēmumā</w:t>
            </w:r>
            <w:proofErr w:type="spellEnd"/>
            <w:r w:rsidRPr="00685063">
              <w:rPr>
                <w:sz w:val="28"/>
                <w:szCs w:val="28"/>
              </w:rPr>
              <w:t xml:space="preserve"> noteikto, VARAM ir sagatavojusi</w:t>
            </w:r>
            <w:r>
              <w:rPr>
                <w:sz w:val="28"/>
                <w:szCs w:val="28"/>
              </w:rPr>
              <w:t xml:space="preserve"> likumprojektu </w:t>
            </w:r>
            <w:r w:rsidRPr="00D34E87">
              <w:rPr>
                <w:sz w:val="28"/>
                <w:szCs w:val="28"/>
              </w:rPr>
              <w:t>“</w:t>
            </w:r>
            <w:r w:rsidRPr="000038B7">
              <w:rPr>
                <w:bCs/>
                <w:sz w:val="28"/>
                <w:szCs w:val="28"/>
              </w:rPr>
              <w:t xml:space="preserve">Grozījums </w:t>
            </w:r>
            <w:r w:rsidRPr="000038B7">
              <w:rPr>
                <w:sz w:val="28"/>
                <w:szCs w:val="28"/>
              </w:rPr>
              <w:t>Ūdenssaimniecības pakalpojumu likumā”</w:t>
            </w:r>
            <w:r>
              <w:rPr>
                <w:sz w:val="28"/>
                <w:szCs w:val="28"/>
              </w:rPr>
              <w:t xml:space="preserve"> </w:t>
            </w:r>
            <w:r w:rsidRPr="00D34E87">
              <w:rPr>
                <w:sz w:val="28"/>
                <w:szCs w:val="28"/>
              </w:rPr>
              <w:t>(turpmāk –</w:t>
            </w:r>
            <w:r>
              <w:rPr>
                <w:sz w:val="28"/>
                <w:szCs w:val="28"/>
              </w:rPr>
              <w:t xml:space="preserve"> Likumprojekts) un tā </w:t>
            </w:r>
            <w:r w:rsidRPr="000038B7">
              <w:rPr>
                <w:bCs/>
                <w:sz w:val="28"/>
                <w:szCs w:val="28"/>
              </w:rPr>
              <w:t>sākotnējās ietekmes novērtējuma ziņojumu (anotāciju)</w:t>
            </w:r>
            <w:r>
              <w:rPr>
                <w:sz w:val="28"/>
                <w:szCs w:val="28"/>
              </w:rPr>
              <w:t>.</w:t>
            </w:r>
          </w:p>
        </w:tc>
      </w:tr>
      <w:tr w:rsidR="006C1406" w14:paraId="210BD613" w14:textId="77777777" w:rsidTr="000F7A54">
        <w:trPr>
          <w:trHeight w:val="983"/>
        </w:trPr>
        <w:tc>
          <w:tcPr>
            <w:tcW w:w="307" w:type="pct"/>
          </w:tcPr>
          <w:p w14:paraId="06253071" w14:textId="77777777" w:rsidR="00F63EFC" w:rsidRPr="00685063" w:rsidRDefault="00D747BE" w:rsidP="00974354">
            <w:pPr>
              <w:pStyle w:val="naiskr"/>
              <w:spacing w:before="0" w:after="0"/>
              <w:ind w:left="57" w:right="57"/>
              <w:jc w:val="center"/>
              <w:rPr>
                <w:sz w:val="28"/>
                <w:szCs w:val="28"/>
              </w:rPr>
            </w:pPr>
            <w:r w:rsidRPr="00685063">
              <w:rPr>
                <w:sz w:val="28"/>
                <w:szCs w:val="28"/>
              </w:rPr>
              <w:lastRenderedPageBreak/>
              <w:t>2.</w:t>
            </w:r>
          </w:p>
        </w:tc>
        <w:tc>
          <w:tcPr>
            <w:tcW w:w="1477" w:type="pct"/>
          </w:tcPr>
          <w:p w14:paraId="5BC009E9" w14:textId="77777777" w:rsidR="00F63EFC" w:rsidRPr="00685063" w:rsidRDefault="00D747BE" w:rsidP="00974354">
            <w:pPr>
              <w:pStyle w:val="naiskr"/>
              <w:spacing w:before="0" w:after="0"/>
              <w:ind w:left="57" w:right="57"/>
              <w:rPr>
                <w:sz w:val="28"/>
                <w:szCs w:val="28"/>
              </w:rPr>
            </w:pPr>
            <w:r w:rsidRPr="00685063">
              <w:rPr>
                <w:sz w:val="28"/>
                <w:szCs w:val="28"/>
              </w:rPr>
              <w:t>Pašreizējā situācija un problēmas, kuru risināšanai tiesību akta projekts izstrādāts, tiesiskā regulējuma mērķis un būtība</w:t>
            </w:r>
          </w:p>
        </w:tc>
        <w:tc>
          <w:tcPr>
            <w:tcW w:w="3216" w:type="pct"/>
          </w:tcPr>
          <w:p w14:paraId="2B9BF7D6" w14:textId="4ADEE362" w:rsidR="000748CB" w:rsidRPr="00685063" w:rsidRDefault="00D747BE" w:rsidP="0029032A">
            <w:pPr>
              <w:pStyle w:val="BodyTextIndent3"/>
              <w:spacing w:after="0"/>
              <w:ind w:left="0" w:right="57"/>
              <w:jc w:val="both"/>
              <w:rPr>
                <w:bCs/>
                <w:sz w:val="28"/>
                <w:szCs w:val="28"/>
                <w:lang w:val="lv-LV"/>
              </w:rPr>
            </w:pPr>
            <w:r w:rsidRPr="00685063">
              <w:rPr>
                <w:sz w:val="28"/>
                <w:szCs w:val="28"/>
              </w:rPr>
              <w:t xml:space="preserve"> </w:t>
            </w:r>
            <w:r w:rsidRPr="00685063">
              <w:rPr>
                <w:sz w:val="28"/>
                <w:szCs w:val="28"/>
                <w:lang w:val="lv-LV"/>
              </w:rPr>
              <w:t>Likumprojekts</w:t>
            </w:r>
            <w:r>
              <w:rPr>
                <w:sz w:val="28"/>
                <w:szCs w:val="28"/>
                <w:lang w:val="lv-LV"/>
              </w:rPr>
              <w:t xml:space="preserve"> un tā anotācija</w:t>
            </w:r>
            <w:r w:rsidRPr="00685063">
              <w:rPr>
                <w:sz w:val="28"/>
                <w:szCs w:val="28"/>
                <w:lang w:val="lv-LV"/>
              </w:rPr>
              <w:t xml:space="preserve"> izstrādāt</w:t>
            </w:r>
            <w:r>
              <w:rPr>
                <w:sz w:val="28"/>
                <w:szCs w:val="28"/>
                <w:lang w:val="lv-LV"/>
              </w:rPr>
              <w:t xml:space="preserve">a </w:t>
            </w:r>
            <w:r w:rsidRPr="00685063">
              <w:rPr>
                <w:sz w:val="28"/>
                <w:szCs w:val="28"/>
                <w:lang w:val="lv-LV"/>
              </w:rPr>
              <w:t>saistībā ar MK</w:t>
            </w:r>
            <w:r w:rsidRPr="00685063">
              <w:rPr>
                <w:sz w:val="28"/>
                <w:szCs w:val="28"/>
              </w:rPr>
              <w:t xml:space="preserve"> 2016. gada 22. marta noteikum</w:t>
            </w:r>
            <w:r w:rsidRPr="00685063">
              <w:rPr>
                <w:sz w:val="28"/>
                <w:szCs w:val="28"/>
                <w:lang w:val="lv-LV"/>
              </w:rPr>
              <w:t xml:space="preserve">u </w:t>
            </w:r>
            <w:r w:rsidRPr="00685063">
              <w:rPr>
                <w:sz w:val="28"/>
                <w:szCs w:val="28"/>
              </w:rPr>
              <w:t>Nr.</w:t>
            </w:r>
            <w:r>
              <w:rPr>
                <w:sz w:val="28"/>
                <w:szCs w:val="28"/>
                <w:lang w:val="lv-LV"/>
              </w:rPr>
              <w:t> </w:t>
            </w:r>
            <w:r w:rsidRPr="00685063">
              <w:rPr>
                <w:sz w:val="28"/>
                <w:szCs w:val="28"/>
              </w:rPr>
              <w:t xml:space="preserve">174 </w:t>
            </w:r>
            <w:r w:rsidRPr="00EC5C76">
              <w:rPr>
                <w:sz w:val="28"/>
                <w:szCs w:val="28"/>
                <w:lang w:val="lv-LV"/>
              </w:rPr>
              <w:t>“</w:t>
            </w:r>
            <w:r w:rsidRPr="00685063">
              <w:rPr>
                <w:sz w:val="28"/>
                <w:szCs w:val="28"/>
              </w:rPr>
              <w:t>Noteikumi par sabiedrisko ūdenssaimniecības pakalpojumu sniegšanu un lietošanu</w:t>
            </w:r>
            <w:r w:rsidRPr="00EC5C76">
              <w:rPr>
                <w:sz w:val="28"/>
                <w:szCs w:val="28"/>
              </w:rPr>
              <w:t>”</w:t>
            </w:r>
            <w:r w:rsidRPr="00685063">
              <w:rPr>
                <w:sz w:val="28"/>
                <w:szCs w:val="28"/>
                <w:lang w:val="lv-LV"/>
              </w:rPr>
              <w:t xml:space="preserve"> (turpmāk </w:t>
            </w:r>
            <w:r w:rsidRPr="00685063">
              <w:rPr>
                <w:sz w:val="28"/>
                <w:szCs w:val="28"/>
              </w:rPr>
              <w:t>–</w:t>
            </w:r>
            <w:r w:rsidRPr="00685063">
              <w:rPr>
                <w:sz w:val="28"/>
                <w:szCs w:val="28"/>
                <w:lang w:val="lv-LV"/>
              </w:rPr>
              <w:t xml:space="preserve"> </w:t>
            </w:r>
            <w:r w:rsidRPr="00685063">
              <w:rPr>
                <w:bCs/>
                <w:sz w:val="28"/>
                <w:szCs w:val="28"/>
              </w:rPr>
              <w:t>MK noteikum</w:t>
            </w:r>
            <w:r w:rsidRPr="00685063">
              <w:rPr>
                <w:bCs/>
                <w:sz w:val="28"/>
                <w:szCs w:val="28"/>
                <w:lang w:val="lv-LV"/>
              </w:rPr>
              <w:t>i</w:t>
            </w:r>
            <w:r w:rsidRPr="00685063">
              <w:rPr>
                <w:bCs/>
                <w:sz w:val="28"/>
                <w:szCs w:val="28"/>
              </w:rPr>
              <w:t xml:space="preserve"> Nr.</w:t>
            </w:r>
            <w:r>
              <w:rPr>
                <w:bCs/>
                <w:sz w:val="28"/>
                <w:szCs w:val="28"/>
                <w:lang w:val="lv-LV"/>
              </w:rPr>
              <w:t> </w:t>
            </w:r>
            <w:r w:rsidRPr="00685063">
              <w:rPr>
                <w:bCs/>
                <w:sz w:val="28"/>
                <w:szCs w:val="28"/>
              </w:rPr>
              <w:t>174</w:t>
            </w:r>
            <w:r>
              <w:rPr>
                <w:bCs/>
                <w:sz w:val="28"/>
                <w:szCs w:val="28"/>
                <w:lang w:val="lv-LV"/>
              </w:rPr>
              <w:t>) 58. </w:t>
            </w:r>
            <w:r w:rsidRPr="00685063">
              <w:rPr>
                <w:bCs/>
                <w:sz w:val="28"/>
                <w:szCs w:val="28"/>
                <w:lang w:val="lv-LV"/>
              </w:rPr>
              <w:t xml:space="preserve">punktā paredzēto regulējumu. </w:t>
            </w:r>
          </w:p>
          <w:p w14:paraId="4B2D06A2" w14:textId="76B2BC7C" w:rsidR="009157A4" w:rsidRDefault="00D747BE" w:rsidP="00357972">
            <w:pPr>
              <w:pStyle w:val="tv2132"/>
              <w:spacing w:line="240" w:lineRule="auto"/>
              <w:ind w:left="57" w:right="57" w:firstLine="0"/>
              <w:jc w:val="both"/>
              <w:rPr>
                <w:color w:val="auto"/>
                <w:sz w:val="28"/>
                <w:szCs w:val="28"/>
              </w:rPr>
            </w:pPr>
            <w:r w:rsidRPr="00685063">
              <w:rPr>
                <w:color w:val="auto"/>
                <w:sz w:val="28"/>
                <w:szCs w:val="28"/>
              </w:rPr>
              <w:t>Sākotnējā redakcijā MK noteikumu Nr.</w:t>
            </w:r>
            <w:r>
              <w:rPr>
                <w:color w:val="auto"/>
                <w:sz w:val="28"/>
                <w:szCs w:val="28"/>
              </w:rPr>
              <w:t> </w:t>
            </w:r>
            <w:r w:rsidRPr="00685063">
              <w:rPr>
                <w:color w:val="auto"/>
                <w:sz w:val="28"/>
                <w:szCs w:val="28"/>
              </w:rPr>
              <w:t xml:space="preserve">174 </w:t>
            </w:r>
            <w:r w:rsidRPr="00685063">
              <w:rPr>
                <w:bCs/>
                <w:color w:val="auto"/>
                <w:sz w:val="28"/>
                <w:szCs w:val="28"/>
              </w:rPr>
              <w:t>5</w:t>
            </w:r>
            <w:r>
              <w:rPr>
                <w:bCs/>
                <w:color w:val="auto"/>
                <w:sz w:val="28"/>
                <w:szCs w:val="28"/>
              </w:rPr>
              <w:t xml:space="preserve">8. punkts </w:t>
            </w:r>
            <w:r w:rsidRPr="00685063">
              <w:rPr>
                <w:bCs/>
                <w:color w:val="auto"/>
                <w:sz w:val="28"/>
                <w:szCs w:val="28"/>
              </w:rPr>
              <w:t xml:space="preserve">noteica, kad jāsāk aprēķināt kompensācija par ūdensapgādes vai kanalizācijas pakalpojumu līguma noteikumu pārkāpšanu. </w:t>
            </w:r>
            <w:r w:rsidRPr="00685063">
              <w:rPr>
                <w:color w:val="auto"/>
                <w:sz w:val="28"/>
                <w:szCs w:val="28"/>
              </w:rPr>
              <w:t>MK 2017</w:t>
            </w:r>
            <w:r>
              <w:rPr>
                <w:color w:val="auto"/>
                <w:sz w:val="28"/>
                <w:szCs w:val="28"/>
              </w:rPr>
              <w:t>. gada 11. aprīļa noteikumi Nr. </w:t>
            </w:r>
            <w:r w:rsidRPr="00685063">
              <w:rPr>
                <w:color w:val="auto"/>
                <w:sz w:val="28"/>
                <w:szCs w:val="28"/>
              </w:rPr>
              <w:t xml:space="preserve">203 “Grozījums Ministru kabineta 2016. gada 22. marta noteikumos Nr. 174 </w:t>
            </w:r>
            <w:r w:rsidRPr="00D34E87">
              <w:rPr>
                <w:color w:val="auto"/>
                <w:sz w:val="28"/>
                <w:szCs w:val="28"/>
              </w:rPr>
              <w:t>“</w:t>
            </w:r>
            <w:hyperlink r:id="rId9" w:tgtFrame="_blank" w:history="1">
              <w:r w:rsidRPr="00685063">
                <w:rPr>
                  <w:color w:val="auto"/>
                  <w:sz w:val="28"/>
                  <w:szCs w:val="28"/>
                </w:rPr>
                <w:t>Noteikumi par sabiedrisko ūdenssaimniecības pakalpojumu sniegšanu un lietošanu</w:t>
              </w:r>
            </w:hyperlink>
            <w:r w:rsidRPr="00685063">
              <w:rPr>
                <w:color w:val="auto"/>
                <w:sz w:val="28"/>
                <w:szCs w:val="28"/>
              </w:rPr>
              <w:t>”</w:t>
            </w:r>
            <w:r w:rsidRPr="00D34E87">
              <w:rPr>
                <w:color w:val="auto"/>
                <w:sz w:val="28"/>
                <w:szCs w:val="28"/>
              </w:rPr>
              <w:t>”</w:t>
            </w:r>
            <w:r w:rsidRPr="00685063">
              <w:rPr>
                <w:color w:val="auto"/>
                <w:sz w:val="28"/>
                <w:szCs w:val="28"/>
              </w:rPr>
              <w:t xml:space="preserve"> </w:t>
            </w:r>
            <w:r>
              <w:rPr>
                <w:color w:val="auto"/>
                <w:sz w:val="28"/>
                <w:szCs w:val="28"/>
              </w:rPr>
              <w:t xml:space="preserve">stājās spēkā 2017. gada 14. aprīlī </w:t>
            </w:r>
            <w:r w:rsidRPr="00685063">
              <w:rPr>
                <w:color w:val="auto"/>
                <w:sz w:val="28"/>
                <w:szCs w:val="28"/>
              </w:rPr>
              <w:t>(turpmāk – grozījumi</w:t>
            </w:r>
            <w:r>
              <w:rPr>
                <w:color w:val="auto"/>
                <w:sz w:val="28"/>
                <w:szCs w:val="28"/>
              </w:rPr>
              <w:t xml:space="preserve"> MK noteikumos Nr. 174</w:t>
            </w:r>
            <w:r w:rsidRPr="00685063">
              <w:rPr>
                <w:color w:val="auto"/>
                <w:sz w:val="28"/>
                <w:szCs w:val="28"/>
              </w:rPr>
              <w:t xml:space="preserve">). </w:t>
            </w:r>
          </w:p>
          <w:p w14:paraId="01428A9D" w14:textId="41F5E6CB" w:rsidR="009E3D39" w:rsidRDefault="00D747BE" w:rsidP="00357972">
            <w:pPr>
              <w:pStyle w:val="tv2132"/>
              <w:spacing w:line="240" w:lineRule="auto"/>
              <w:ind w:left="57" w:right="57" w:firstLine="0"/>
              <w:jc w:val="both"/>
              <w:rPr>
                <w:color w:val="auto"/>
                <w:sz w:val="28"/>
                <w:szCs w:val="28"/>
              </w:rPr>
            </w:pPr>
            <w:r w:rsidRPr="00685063">
              <w:rPr>
                <w:color w:val="auto"/>
                <w:sz w:val="28"/>
                <w:szCs w:val="28"/>
              </w:rPr>
              <w:t>MK noteikumu Nr.</w:t>
            </w:r>
            <w:r>
              <w:rPr>
                <w:color w:val="auto"/>
                <w:sz w:val="28"/>
                <w:szCs w:val="28"/>
              </w:rPr>
              <w:t> </w:t>
            </w:r>
            <w:r w:rsidRPr="00685063">
              <w:rPr>
                <w:color w:val="auto"/>
                <w:sz w:val="28"/>
                <w:szCs w:val="28"/>
              </w:rPr>
              <w:t xml:space="preserve">174 </w:t>
            </w:r>
            <w:r w:rsidRPr="00685063">
              <w:rPr>
                <w:bCs/>
                <w:color w:val="auto"/>
                <w:sz w:val="28"/>
                <w:szCs w:val="28"/>
              </w:rPr>
              <w:t>58.</w:t>
            </w:r>
            <w:r>
              <w:rPr>
                <w:bCs/>
                <w:color w:val="auto"/>
                <w:sz w:val="28"/>
                <w:szCs w:val="28"/>
              </w:rPr>
              <w:t> </w:t>
            </w:r>
            <w:r w:rsidRPr="00685063">
              <w:rPr>
                <w:bCs/>
                <w:color w:val="auto"/>
                <w:sz w:val="28"/>
                <w:szCs w:val="28"/>
              </w:rPr>
              <w:t>punkts</w:t>
            </w:r>
            <w:r>
              <w:rPr>
                <w:bCs/>
                <w:color w:val="auto"/>
                <w:sz w:val="28"/>
                <w:szCs w:val="28"/>
              </w:rPr>
              <w:t xml:space="preserve"> (redakcijā, kas spēkā no 2017. gada 14.aprīļa)</w:t>
            </w:r>
            <w:r w:rsidRPr="00685063">
              <w:rPr>
                <w:bCs/>
                <w:color w:val="auto"/>
                <w:sz w:val="28"/>
                <w:szCs w:val="28"/>
              </w:rPr>
              <w:t xml:space="preserve"> noteic, ka ūdensapgādes un kanalizācijas </w:t>
            </w:r>
            <w:r w:rsidRPr="00685063">
              <w:rPr>
                <w:color w:val="auto"/>
                <w:sz w:val="28"/>
                <w:szCs w:val="28"/>
              </w:rPr>
              <w:t xml:space="preserve">pakalpojumu sniedzējs (turpmāk – pakalpojumu sniedzējs) var noslēgt ar pakalpojuma lietotāju vienošanos par kompensācijas apmēru un tās samaksas kārtību, ja pakalpojuma lietotājs īsteno notekūdeņu priekšattīrīšanas iekārtu ierīkošanas vai pārbūves projektu. </w:t>
            </w:r>
          </w:p>
          <w:p w14:paraId="0671EC6C" w14:textId="04AD1D04" w:rsidR="00357972" w:rsidRDefault="00D747BE" w:rsidP="009E3D39">
            <w:pPr>
              <w:pStyle w:val="tv2132"/>
              <w:spacing w:line="240" w:lineRule="auto"/>
              <w:ind w:right="57" w:firstLine="0"/>
              <w:jc w:val="both"/>
              <w:rPr>
                <w:bCs/>
                <w:color w:val="auto"/>
                <w:sz w:val="28"/>
                <w:szCs w:val="28"/>
              </w:rPr>
            </w:pPr>
            <w:r w:rsidRPr="00685063">
              <w:rPr>
                <w:color w:val="auto"/>
                <w:sz w:val="28"/>
                <w:szCs w:val="28"/>
              </w:rPr>
              <w:t xml:space="preserve">Šāda vienošanās </w:t>
            </w:r>
            <w:r>
              <w:rPr>
                <w:color w:val="auto"/>
                <w:sz w:val="28"/>
                <w:szCs w:val="28"/>
              </w:rPr>
              <w:t>ir aktuāla, jo MK noteikumu Nr. </w:t>
            </w:r>
            <w:r w:rsidRPr="00685063">
              <w:rPr>
                <w:color w:val="auto"/>
                <w:sz w:val="28"/>
                <w:szCs w:val="28"/>
              </w:rPr>
              <w:t>174 57.</w:t>
            </w:r>
            <w:r>
              <w:rPr>
                <w:color w:val="auto"/>
                <w:sz w:val="28"/>
                <w:szCs w:val="28"/>
              </w:rPr>
              <w:t> </w:t>
            </w:r>
            <w:r w:rsidRPr="00685063">
              <w:rPr>
                <w:color w:val="auto"/>
                <w:sz w:val="28"/>
                <w:szCs w:val="28"/>
              </w:rPr>
              <w:t xml:space="preserve">punkts </w:t>
            </w:r>
            <w:r>
              <w:rPr>
                <w:color w:val="auto"/>
                <w:sz w:val="28"/>
                <w:szCs w:val="28"/>
              </w:rPr>
              <w:t xml:space="preserve">gan pirms, gan pēc grozījumiem MK noteikumos Nr.174 </w:t>
            </w:r>
            <w:r w:rsidRPr="00685063">
              <w:rPr>
                <w:bCs/>
                <w:color w:val="auto"/>
                <w:sz w:val="28"/>
                <w:szCs w:val="28"/>
              </w:rPr>
              <w:t>noteic, ka pakalpojumu sniedzējs aprēķina kompensāciju par pakalpojuma līguma noteikumu pārkāpšanu, ja, veicot novadīto ražošanas notekūdeņu pārbaudi akreditētā laboratorijā, tiek konstatēts, ka notekūdeņos ir augstāka piesārņojošo vielu koncentrācija, nekā noteikts pakalpojuma lietotāja līgumā ar pakalpojuma sniedzēju vai vietējās pašvaldības saistošajos noteikumos par centralizētās kanalizācijas sistēmas ekspluatāciju, lietošanu un aizsardzī</w:t>
            </w:r>
            <w:r>
              <w:rPr>
                <w:bCs/>
                <w:color w:val="auto"/>
                <w:sz w:val="28"/>
                <w:szCs w:val="28"/>
              </w:rPr>
              <w:t xml:space="preserve">bu. </w:t>
            </w:r>
            <w:r w:rsidRPr="00685063">
              <w:rPr>
                <w:bCs/>
                <w:color w:val="auto"/>
                <w:sz w:val="28"/>
                <w:szCs w:val="28"/>
              </w:rPr>
              <w:t>Šādos gadījumos pakalpojumu sniedzējs ir tiesīgs piemērot kompensācijas maksājumu, kura apmēru aprēķina atbilstoši MK noteikumu Nr.</w:t>
            </w:r>
            <w:r>
              <w:rPr>
                <w:bCs/>
                <w:color w:val="auto"/>
                <w:sz w:val="28"/>
                <w:szCs w:val="28"/>
              </w:rPr>
              <w:t> </w:t>
            </w:r>
            <w:r w:rsidRPr="00685063">
              <w:rPr>
                <w:bCs/>
                <w:color w:val="auto"/>
                <w:sz w:val="28"/>
                <w:szCs w:val="28"/>
              </w:rPr>
              <w:t>174 57.</w:t>
            </w:r>
            <w:r>
              <w:rPr>
                <w:bCs/>
                <w:color w:val="auto"/>
                <w:sz w:val="28"/>
                <w:szCs w:val="28"/>
              </w:rPr>
              <w:t> </w:t>
            </w:r>
            <w:r w:rsidRPr="00685063">
              <w:rPr>
                <w:bCs/>
                <w:color w:val="auto"/>
                <w:sz w:val="28"/>
                <w:szCs w:val="28"/>
              </w:rPr>
              <w:t xml:space="preserve">punktā noteiktajai formulai. Ja ražošanas notekūdeņu piesārņojums vairākas reizes pārsniedz pieļaujamo </w:t>
            </w:r>
            <w:r w:rsidRPr="00685063">
              <w:rPr>
                <w:bCs/>
                <w:color w:val="auto"/>
                <w:sz w:val="28"/>
                <w:szCs w:val="28"/>
              </w:rPr>
              <w:lastRenderedPageBreak/>
              <w:t xml:space="preserve">koncentrāciju, jo priekšattīrīšana vai nu nenotiek vai nav pilnīga, </w:t>
            </w:r>
            <w:proofErr w:type="gramStart"/>
            <w:r w:rsidRPr="00685063">
              <w:rPr>
                <w:bCs/>
                <w:color w:val="auto"/>
                <w:sz w:val="28"/>
                <w:szCs w:val="28"/>
              </w:rPr>
              <w:t>un</w:t>
            </w:r>
            <w:proofErr w:type="gramEnd"/>
            <w:r w:rsidRPr="00685063">
              <w:rPr>
                <w:bCs/>
                <w:color w:val="auto"/>
                <w:sz w:val="28"/>
                <w:szCs w:val="28"/>
              </w:rPr>
              <w:t xml:space="preserve"> ja notekūdeņu apjoms ir liels, arī kompensācijas apmērs ir ievērojams. Tāpēc ražošanas uzņēmumi, kas notekūdeņus novada centralizētajās kanalizācijas sistēmās, bet pašlaik nenodrošina pietiekamu notekūdeņu priekšattīrīšanu, var būt ieinteresēti izbūvēt vai rekonstruēt notekūdeņu priekšattīrīšanas iekārtas, lai tiem netiktu piemērots kompensācijas maksājums. Ražošanas notekūdeņu priekšattīrīšana samazina arī to piesārņojuma slodzi, kuras attīrīšana jānodrošina pakalpojumu sniedzēja notekūdeņu attīrīšanas iekārtām. Tādējādi gan pakalpojumu lietotājs, gan pakalpojumu sniedzējs var būt ieinteresēti ražošanas notekūdeņu priekšattīrīšanas iekārtu izbūvē. </w:t>
            </w:r>
            <w:proofErr w:type="gramStart"/>
            <w:r w:rsidRPr="00685063">
              <w:rPr>
                <w:bCs/>
                <w:color w:val="auto"/>
                <w:sz w:val="28"/>
                <w:szCs w:val="28"/>
              </w:rPr>
              <w:t>Ņemot vērā ražošanas uzņēmumu nepieciešamību</w:t>
            </w:r>
            <w:proofErr w:type="gramEnd"/>
            <w:r w:rsidRPr="00685063">
              <w:rPr>
                <w:bCs/>
                <w:color w:val="auto"/>
                <w:sz w:val="28"/>
                <w:szCs w:val="28"/>
              </w:rPr>
              <w:t xml:space="preserve"> atvēlēt līdzekļus notekūdeņu priekšattīrīšanas iekārtu izbūvei un šādu projektu īstenošanai nepieciešamo laiku, arī tika izstrādāti grozījumi un dota iespēja slēgt iepriekšminēto vienošanos.</w:t>
            </w:r>
            <w:r w:rsidRPr="00685063">
              <w:rPr>
                <w:color w:val="auto"/>
                <w:sz w:val="28"/>
                <w:szCs w:val="28"/>
              </w:rPr>
              <w:t xml:space="preserve"> Grozījumu </w:t>
            </w:r>
            <w:r w:rsidRPr="00357972">
              <w:rPr>
                <w:color w:val="auto"/>
                <w:sz w:val="28"/>
                <w:szCs w:val="28"/>
              </w:rPr>
              <w:t>MK noteikumos Nr. 174</w:t>
            </w:r>
            <w:r>
              <w:rPr>
                <w:color w:val="auto"/>
                <w:sz w:val="28"/>
                <w:szCs w:val="28"/>
              </w:rPr>
              <w:t xml:space="preserve"> </w:t>
            </w:r>
            <w:r w:rsidRPr="00685063">
              <w:rPr>
                <w:color w:val="auto"/>
                <w:sz w:val="28"/>
                <w:szCs w:val="28"/>
              </w:rPr>
              <w:t xml:space="preserve">saskaņošanas laikā Tieslietu ministrija norādīja, ka </w:t>
            </w:r>
            <w:r>
              <w:rPr>
                <w:color w:val="auto"/>
                <w:sz w:val="28"/>
                <w:szCs w:val="28"/>
              </w:rPr>
              <w:t xml:space="preserve">plānotajos </w:t>
            </w:r>
            <w:r w:rsidRPr="00685063">
              <w:rPr>
                <w:color w:val="auto"/>
                <w:sz w:val="28"/>
                <w:szCs w:val="28"/>
              </w:rPr>
              <w:t>grozījum</w:t>
            </w:r>
            <w:r>
              <w:rPr>
                <w:color w:val="auto"/>
                <w:sz w:val="28"/>
                <w:szCs w:val="28"/>
              </w:rPr>
              <w:t>os MK noteikumos</w:t>
            </w:r>
            <w:r w:rsidRPr="00357972">
              <w:rPr>
                <w:color w:val="auto"/>
                <w:sz w:val="28"/>
                <w:szCs w:val="28"/>
              </w:rPr>
              <w:t xml:space="preserve"> Nr. 174</w:t>
            </w:r>
            <w:r>
              <w:rPr>
                <w:color w:val="auto"/>
                <w:sz w:val="28"/>
                <w:szCs w:val="28"/>
              </w:rPr>
              <w:t xml:space="preserve"> </w:t>
            </w:r>
            <w:r w:rsidRPr="00685063">
              <w:rPr>
                <w:color w:val="auto"/>
                <w:sz w:val="28"/>
                <w:szCs w:val="28"/>
              </w:rPr>
              <w:t xml:space="preserve">ietvertais regulējums par vienošanās noslēgšanu neatbilst </w:t>
            </w:r>
            <w:r>
              <w:rPr>
                <w:color w:val="auto"/>
                <w:sz w:val="28"/>
                <w:szCs w:val="28"/>
              </w:rPr>
              <w:t>Likuma 4. panta 4. </w:t>
            </w:r>
            <w:r w:rsidRPr="00685063">
              <w:rPr>
                <w:color w:val="auto"/>
                <w:sz w:val="28"/>
                <w:szCs w:val="28"/>
              </w:rPr>
              <w:t>punktā paredzētajam deleģējumam</w:t>
            </w:r>
            <w:r w:rsidRPr="00685063">
              <w:rPr>
                <w:bCs/>
                <w:color w:val="auto"/>
                <w:sz w:val="28"/>
                <w:szCs w:val="28"/>
              </w:rPr>
              <w:t xml:space="preserve">. </w:t>
            </w:r>
          </w:p>
          <w:p w14:paraId="16A4AB36" w14:textId="77777777" w:rsidR="000A1652" w:rsidRDefault="00D747BE" w:rsidP="00864937">
            <w:pPr>
              <w:pStyle w:val="tv2132"/>
              <w:spacing w:line="240" w:lineRule="auto"/>
              <w:ind w:left="57" w:right="57" w:firstLine="0"/>
              <w:jc w:val="both"/>
              <w:rPr>
                <w:color w:val="auto"/>
                <w:sz w:val="28"/>
                <w:szCs w:val="28"/>
              </w:rPr>
            </w:pPr>
            <w:r>
              <w:rPr>
                <w:bCs/>
                <w:color w:val="auto"/>
                <w:sz w:val="28"/>
                <w:szCs w:val="28"/>
              </w:rPr>
              <w:t>L</w:t>
            </w:r>
            <w:r w:rsidRPr="00685063">
              <w:rPr>
                <w:bCs/>
                <w:color w:val="auto"/>
                <w:sz w:val="28"/>
                <w:szCs w:val="28"/>
              </w:rPr>
              <w:t>ikuma 4. panta 4. punktā dotais deleģējums, uz kura pamata ir izdoti MK noteikumi Nr. 174, ir šāds: “</w:t>
            </w:r>
            <w:r w:rsidRPr="00685063">
              <w:rPr>
                <w:color w:val="auto"/>
                <w:sz w:val="28"/>
                <w:szCs w:val="28"/>
              </w:rPr>
              <w:t xml:space="preserve">4) kārtību, kādā aprēķina kompensāciju par sabiedrisko ūdenssaimniecības pakalpojumu lietošanas noteikumu pārkāpšanu.” </w:t>
            </w:r>
          </w:p>
          <w:p w14:paraId="11270587" w14:textId="4648EA18" w:rsidR="00F63EFC" w:rsidRPr="00864937" w:rsidRDefault="00D747BE" w:rsidP="00864937">
            <w:pPr>
              <w:pStyle w:val="tv2132"/>
              <w:spacing w:line="240" w:lineRule="auto"/>
              <w:ind w:left="57" w:right="57" w:firstLine="0"/>
              <w:jc w:val="both"/>
              <w:rPr>
                <w:color w:val="auto"/>
                <w:sz w:val="28"/>
                <w:szCs w:val="28"/>
              </w:rPr>
            </w:pPr>
            <w:r w:rsidRPr="00685063">
              <w:rPr>
                <w:bCs/>
                <w:color w:val="auto"/>
                <w:sz w:val="28"/>
                <w:szCs w:val="28"/>
              </w:rPr>
              <w:t xml:space="preserve">Likumprojekts papildina </w:t>
            </w:r>
            <w:r>
              <w:rPr>
                <w:bCs/>
                <w:color w:val="auto"/>
                <w:sz w:val="28"/>
                <w:szCs w:val="28"/>
              </w:rPr>
              <w:t>Likuma 4. </w:t>
            </w:r>
            <w:r w:rsidRPr="00DF7C31">
              <w:rPr>
                <w:bCs/>
                <w:color w:val="auto"/>
                <w:sz w:val="28"/>
                <w:szCs w:val="28"/>
              </w:rPr>
              <w:t xml:space="preserve">panta </w:t>
            </w:r>
            <w:r>
              <w:rPr>
                <w:bCs/>
                <w:color w:val="auto"/>
                <w:sz w:val="28"/>
                <w:szCs w:val="28"/>
              </w:rPr>
              <w:t>4. </w:t>
            </w:r>
            <w:r w:rsidRPr="00DF7C31">
              <w:rPr>
                <w:bCs/>
                <w:color w:val="auto"/>
                <w:sz w:val="28"/>
                <w:szCs w:val="28"/>
              </w:rPr>
              <w:t>punktā</w:t>
            </w:r>
            <w:r>
              <w:rPr>
                <w:bCs/>
                <w:color w:val="auto"/>
                <w:sz w:val="28"/>
                <w:szCs w:val="28"/>
              </w:rPr>
              <w:t xml:space="preserve"> </w:t>
            </w:r>
            <w:r w:rsidRPr="00220614">
              <w:rPr>
                <w:bCs/>
                <w:color w:val="auto"/>
                <w:sz w:val="28"/>
                <w:szCs w:val="28"/>
              </w:rPr>
              <w:t>minēto deleģējumu</w:t>
            </w:r>
            <w:r w:rsidRPr="00685063">
              <w:rPr>
                <w:bCs/>
                <w:color w:val="auto"/>
                <w:sz w:val="28"/>
                <w:szCs w:val="28"/>
              </w:rPr>
              <w:t xml:space="preserve">, dodot iespēju ūdenssaimniecības pakalpojumu lietotājam vienoties ar pakalpojuma sniedzēju par kompensācijas apmēru un tās samaksas kārtību, lai pakalpojumu lietotāji (komersanti), kuri veic vai plāno veikt priekšattīrīšanas iekārtu izbūvi, varētu investēt līdzekļus priekšattīrīšanas iekārtu izbūvē. Tas nenozīmē, ka vienošanās darbības laikā pakalpojuma lietotājs tiktu pilnībā atbrīvots no samaksas par novadītajiem ražošanas notekūdeņiem, kā arī neparedz kompensācijas maksas par paaugstinātu piesārņotu notekūdeņu </w:t>
            </w:r>
            <w:r w:rsidRPr="00685063">
              <w:rPr>
                <w:bCs/>
                <w:color w:val="auto"/>
                <w:sz w:val="28"/>
                <w:szCs w:val="28"/>
              </w:rPr>
              <w:lastRenderedPageBreak/>
              <w:t>novadīšanu pilnīgu atcelšanu.</w:t>
            </w:r>
          </w:p>
        </w:tc>
      </w:tr>
      <w:tr w:rsidR="006C1406" w14:paraId="4B376759" w14:textId="77777777" w:rsidTr="0067760F">
        <w:trPr>
          <w:trHeight w:val="671"/>
        </w:trPr>
        <w:tc>
          <w:tcPr>
            <w:tcW w:w="307" w:type="pct"/>
          </w:tcPr>
          <w:p w14:paraId="5E205C0F" w14:textId="7BD42BFC" w:rsidR="00F63EFC" w:rsidRPr="00685063" w:rsidRDefault="00D747BE" w:rsidP="00974354">
            <w:pPr>
              <w:pStyle w:val="naiskr"/>
              <w:spacing w:before="0" w:after="0"/>
              <w:ind w:left="57" w:right="57"/>
              <w:jc w:val="center"/>
              <w:rPr>
                <w:sz w:val="28"/>
                <w:szCs w:val="28"/>
              </w:rPr>
            </w:pPr>
            <w:r w:rsidRPr="00685063">
              <w:rPr>
                <w:sz w:val="28"/>
                <w:szCs w:val="28"/>
              </w:rPr>
              <w:lastRenderedPageBreak/>
              <w:t>3.</w:t>
            </w:r>
          </w:p>
        </w:tc>
        <w:tc>
          <w:tcPr>
            <w:tcW w:w="1477" w:type="pct"/>
          </w:tcPr>
          <w:p w14:paraId="1A789E64" w14:textId="77777777" w:rsidR="00F63EFC" w:rsidRPr="00685063" w:rsidRDefault="00D747BE" w:rsidP="00974354">
            <w:pPr>
              <w:pStyle w:val="naiskr"/>
              <w:spacing w:before="0" w:after="0"/>
              <w:ind w:left="57" w:right="57"/>
              <w:rPr>
                <w:sz w:val="28"/>
                <w:szCs w:val="28"/>
              </w:rPr>
            </w:pPr>
            <w:r w:rsidRPr="00685063">
              <w:rPr>
                <w:sz w:val="28"/>
                <w:szCs w:val="28"/>
              </w:rPr>
              <w:t>Projekta izstrādē iesaistītās institūcijas</w:t>
            </w:r>
          </w:p>
        </w:tc>
        <w:tc>
          <w:tcPr>
            <w:tcW w:w="3216" w:type="pct"/>
          </w:tcPr>
          <w:p w14:paraId="20612E3C" w14:textId="72CEA4D6" w:rsidR="00F63EFC" w:rsidRPr="00685063" w:rsidRDefault="00D747BE" w:rsidP="00974354">
            <w:pPr>
              <w:pStyle w:val="tv2132"/>
              <w:spacing w:line="240" w:lineRule="auto"/>
              <w:ind w:left="57" w:right="57" w:firstLine="0"/>
              <w:jc w:val="both"/>
              <w:rPr>
                <w:color w:val="auto"/>
                <w:sz w:val="28"/>
                <w:szCs w:val="28"/>
              </w:rPr>
            </w:pPr>
            <w:r w:rsidRPr="00685063">
              <w:rPr>
                <w:color w:val="auto"/>
                <w:sz w:val="28"/>
                <w:szCs w:val="28"/>
              </w:rPr>
              <w:t>VARAM.</w:t>
            </w:r>
          </w:p>
        </w:tc>
      </w:tr>
      <w:tr w:rsidR="006C1406" w14:paraId="757DA036" w14:textId="77777777" w:rsidTr="00113217">
        <w:trPr>
          <w:trHeight w:val="480"/>
        </w:trPr>
        <w:tc>
          <w:tcPr>
            <w:tcW w:w="307" w:type="pct"/>
          </w:tcPr>
          <w:p w14:paraId="278499F9" w14:textId="77777777" w:rsidR="00F63EFC" w:rsidRPr="00685063" w:rsidRDefault="00D747BE" w:rsidP="00974354">
            <w:pPr>
              <w:pStyle w:val="naiskr"/>
              <w:spacing w:before="0" w:after="0"/>
              <w:ind w:left="57" w:right="57"/>
              <w:jc w:val="center"/>
              <w:rPr>
                <w:sz w:val="28"/>
                <w:szCs w:val="28"/>
              </w:rPr>
            </w:pPr>
            <w:r w:rsidRPr="00685063">
              <w:rPr>
                <w:sz w:val="28"/>
                <w:szCs w:val="28"/>
              </w:rPr>
              <w:t>4.</w:t>
            </w:r>
          </w:p>
        </w:tc>
        <w:tc>
          <w:tcPr>
            <w:tcW w:w="1477" w:type="pct"/>
          </w:tcPr>
          <w:p w14:paraId="2513BABA" w14:textId="77777777" w:rsidR="00F63EFC" w:rsidRPr="00685063" w:rsidRDefault="00D747BE" w:rsidP="00974354">
            <w:pPr>
              <w:pStyle w:val="naiskr"/>
              <w:spacing w:before="0" w:after="0"/>
              <w:ind w:left="57" w:right="57"/>
              <w:rPr>
                <w:sz w:val="28"/>
                <w:szCs w:val="28"/>
              </w:rPr>
            </w:pPr>
            <w:r w:rsidRPr="00685063">
              <w:rPr>
                <w:sz w:val="28"/>
                <w:szCs w:val="28"/>
              </w:rPr>
              <w:t>Cita informācija</w:t>
            </w:r>
          </w:p>
        </w:tc>
        <w:tc>
          <w:tcPr>
            <w:tcW w:w="3216" w:type="pct"/>
          </w:tcPr>
          <w:p w14:paraId="00EF402D" w14:textId="2A3E7C01" w:rsidR="00F63EFC" w:rsidRPr="00685063" w:rsidRDefault="00D747BE" w:rsidP="00455EB4">
            <w:pPr>
              <w:pStyle w:val="tv2132"/>
              <w:spacing w:line="240" w:lineRule="auto"/>
              <w:ind w:left="57" w:right="57" w:firstLine="0"/>
              <w:jc w:val="both"/>
              <w:rPr>
                <w:color w:val="auto"/>
                <w:sz w:val="28"/>
                <w:szCs w:val="28"/>
              </w:rPr>
            </w:pPr>
            <w:r w:rsidRPr="00685063">
              <w:rPr>
                <w:color w:val="auto"/>
                <w:sz w:val="28"/>
                <w:szCs w:val="28"/>
              </w:rPr>
              <w:t>Pēc panāktās vienošanās ar T</w:t>
            </w:r>
            <w:r>
              <w:rPr>
                <w:color w:val="auto"/>
                <w:sz w:val="28"/>
                <w:szCs w:val="28"/>
              </w:rPr>
              <w:t>ieslietu ministriju un MK 2017. gada 11. </w:t>
            </w:r>
            <w:r w:rsidRPr="00685063">
              <w:rPr>
                <w:color w:val="auto"/>
                <w:sz w:val="28"/>
                <w:szCs w:val="28"/>
              </w:rPr>
              <w:t>aprīļa sēdē</w:t>
            </w:r>
            <w:r>
              <w:rPr>
                <w:color w:val="auto"/>
                <w:sz w:val="28"/>
                <w:szCs w:val="28"/>
              </w:rPr>
              <w:t xml:space="preserve"> (</w:t>
            </w:r>
            <w:r w:rsidRPr="0046222E">
              <w:rPr>
                <w:color w:val="auto"/>
                <w:sz w:val="28"/>
                <w:szCs w:val="28"/>
              </w:rPr>
              <w:t>protokol</w:t>
            </w:r>
            <w:r>
              <w:rPr>
                <w:color w:val="auto"/>
                <w:sz w:val="28"/>
                <w:szCs w:val="28"/>
              </w:rPr>
              <w:t>s</w:t>
            </w:r>
            <w:r w:rsidRPr="0046222E">
              <w:rPr>
                <w:color w:val="auto"/>
                <w:sz w:val="28"/>
                <w:szCs w:val="28"/>
              </w:rPr>
              <w:t xml:space="preserve"> 12.§ 2.</w:t>
            </w:r>
            <w:r>
              <w:rPr>
                <w:color w:val="auto"/>
                <w:sz w:val="28"/>
                <w:szCs w:val="28"/>
              </w:rPr>
              <w:t> </w:t>
            </w:r>
            <w:r w:rsidRPr="0046222E">
              <w:rPr>
                <w:color w:val="auto"/>
                <w:sz w:val="28"/>
                <w:szCs w:val="28"/>
              </w:rPr>
              <w:t>punkts</w:t>
            </w:r>
            <w:r>
              <w:rPr>
                <w:color w:val="auto"/>
                <w:sz w:val="28"/>
                <w:szCs w:val="28"/>
              </w:rPr>
              <w:t>) doto uzdevumu</w:t>
            </w:r>
            <w:r w:rsidRPr="00455EB4">
              <w:rPr>
                <w:color w:val="auto"/>
                <w:sz w:val="28"/>
                <w:szCs w:val="28"/>
              </w:rPr>
              <w:t xml:space="preserve"> VARAM </w:t>
            </w:r>
            <w:r w:rsidRPr="00685063">
              <w:rPr>
                <w:color w:val="auto"/>
                <w:sz w:val="28"/>
                <w:szCs w:val="28"/>
              </w:rPr>
              <w:t xml:space="preserve">ir nepieciešams precizēt </w:t>
            </w:r>
            <w:r>
              <w:rPr>
                <w:color w:val="auto"/>
                <w:sz w:val="28"/>
                <w:szCs w:val="28"/>
              </w:rPr>
              <w:t>L</w:t>
            </w:r>
            <w:r w:rsidRPr="00685063">
              <w:rPr>
                <w:color w:val="auto"/>
                <w:sz w:val="28"/>
                <w:szCs w:val="28"/>
              </w:rPr>
              <w:t xml:space="preserve">ikuma 4. panta 4.punkta deleģējumu. </w:t>
            </w:r>
          </w:p>
        </w:tc>
      </w:tr>
    </w:tbl>
    <w:p w14:paraId="7297C9D9" w14:textId="77777777" w:rsidR="00F63EFC" w:rsidRPr="00357972" w:rsidRDefault="00AF2576" w:rsidP="00974354">
      <w:pPr>
        <w:rPr>
          <w:iCs/>
          <w:sz w:val="28"/>
          <w:szCs w:val="28"/>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
        <w:gridCol w:w="2891"/>
        <w:gridCol w:w="5770"/>
      </w:tblGrid>
      <w:tr w:rsidR="006C1406" w14:paraId="395DAA3F" w14:textId="77777777" w:rsidTr="00194972">
        <w:trPr>
          <w:trHeight w:val="419"/>
        </w:trPr>
        <w:tc>
          <w:tcPr>
            <w:tcW w:w="5000" w:type="pct"/>
            <w:gridSpan w:val="3"/>
            <w:vAlign w:val="center"/>
          </w:tcPr>
          <w:p w14:paraId="4427791A" w14:textId="77777777" w:rsidR="00F63EFC" w:rsidRPr="00685063" w:rsidRDefault="00D747BE" w:rsidP="00974354">
            <w:pPr>
              <w:pStyle w:val="naisnod"/>
              <w:spacing w:before="0" w:after="0"/>
              <w:ind w:left="57" w:right="57"/>
              <w:rPr>
                <w:b w:val="0"/>
                <w:sz w:val="28"/>
                <w:szCs w:val="28"/>
              </w:rPr>
            </w:pPr>
            <w:r w:rsidRPr="00685063">
              <w:rPr>
                <w:sz w:val="28"/>
                <w:szCs w:val="28"/>
              </w:rPr>
              <w:t>II. Tiesību akta projekta ietekme uz sabiedrību, tautsaimniecības attīstību un administratīvo slogu</w:t>
            </w:r>
          </w:p>
        </w:tc>
      </w:tr>
      <w:tr w:rsidR="006C1406" w14:paraId="36CD21DA" w14:textId="77777777" w:rsidTr="00194972">
        <w:trPr>
          <w:trHeight w:val="1408"/>
        </w:trPr>
        <w:tc>
          <w:tcPr>
            <w:tcW w:w="231" w:type="pct"/>
          </w:tcPr>
          <w:p w14:paraId="5958F785" w14:textId="77777777" w:rsidR="00F63EFC" w:rsidRPr="00685063" w:rsidRDefault="00D747BE" w:rsidP="00974354">
            <w:pPr>
              <w:pStyle w:val="naiskr"/>
              <w:spacing w:before="0" w:after="0"/>
              <w:ind w:left="57" w:right="57"/>
              <w:jc w:val="center"/>
              <w:rPr>
                <w:sz w:val="28"/>
                <w:szCs w:val="28"/>
              </w:rPr>
            </w:pPr>
            <w:r w:rsidRPr="00685063">
              <w:rPr>
                <w:sz w:val="28"/>
                <w:szCs w:val="28"/>
              </w:rPr>
              <w:t>1.</w:t>
            </w:r>
          </w:p>
        </w:tc>
        <w:tc>
          <w:tcPr>
            <w:tcW w:w="1592" w:type="pct"/>
          </w:tcPr>
          <w:p w14:paraId="451C91D7" w14:textId="77777777" w:rsidR="00F63EFC" w:rsidRPr="00685063" w:rsidRDefault="00D747BE" w:rsidP="00974354">
            <w:pPr>
              <w:pStyle w:val="naiskr"/>
              <w:spacing w:before="0" w:after="0"/>
              <w:ind w:left="57" w:right="57"/>
              <w:rPr>
                <w:sz w:val="28"/>
                <w:szCs w:val="28"/>
              </w:rPr>
            </w:pPr>
            <w:r w:rsidRPr="00685063">
              <w:rPr>
                <w:sz w:val="28"/>
                <w:szCs w:val="28"/>
              </w:rPr>
              <w:t>Sabiedrības mērķgrupas, kuras tiesiskais regulējums ietekmē vai varētu ietekmēt</w:t>
            </w:r>
          </w:p>
        </w:tc>
        <w:tc>
          <w:tcPr>
            <w:tcW w:w="3177" w:type="pct"/>
          </w:tcPr>
          <w:p w14:paraId="7413CDDA" w14:textId="72E16958" w:rsidR="00F63EFC" w:rsidRPr="00685063" w:rsidRDefault="00D747BE" w:rsidP="00934281">
            <w:pPr>
              <w:ind w:left="57" w:right="57"/>
              <w:jc w:val="both"/>
              <w:rPr>
                <w:sz w:val="28"/>
                <w:szCs w:val="28"/>
              </w:rPr>
            </w:pPr>
            <w:r w:rsidRPr="00685063">
              <w:rPr>
                <w:sz w:val="28"/>
                <w:szCs w:val="28"/>
              </w:rPr>
              <w:t>Likumprojekta regulējums attiecas uz sabiedrisko ūdenssaimniecības pakalpojumu sniedzējiem</w:t>
            </w:r>
            <w:r>
              <w:rPr>
                <w:sz w:val="28"/>
                <w:szCs w:val="28"/>
              </w:rPr>
              <w:t xml:space="preserve">, kā arī </w:t>
            </w:r>
            <w:r w:rsidRPr="00685063">
              <w:rPr>
                <w:sz w:val="28"/>
                <w:szCs w:val="28"/>
              </w:rPr>
              <w:t>komersantiem, kuri ir sabiedrisko ūdenssaimniecības pakalpojumu lietotāji. Tomēr tā kā grozījumi</w:t>
            </w:r>
            <w:r>
              <w:rPr>
                <w:sz w:val="28"/>
                <w:szCs w:val="28"/>
              </w:rPr>
              <w:t xml:space="preserve"> MK noteikumos Nr. 174 </w:t>
            </w:r>
            <w:r w:rsidRPr="00685063">
              <w:rPr>
                <w:sz w:val="28"/>
                <w:szCs w:val="28"/>
              </w:rPr>
              <w:t xml:space="preserve">jau ir stājušies spēkā, </w:t>
            </w:r>
            <w:r>
              <w:rPr>
                <w:sz w:val="28"/>
                <w:szCs w:val="28"/>
              </w:rPr>
              <w:t>L</w:t>
            </w:r>
            <w:r w:rsidRPr="00685063">
              <w:rPr>
                <w:sz w:val="28"/>
                <w:szCs w:val="28"/>
              </w:rPr>
              <w:t xml:space="preserve">ikumprojekts papildu ietekmi neradīs, </w:t>
            </w:r>
            <w:r>
              <w:rPr>
                <w:sz w:val="28"/>
                <w:szCs w:val="28"/>
              </w:rPr>
              <w:t>bet nodrošinās MK noteikumos Nr. </w:t>
            </w:r>
            <w:r w:rsidRPr="00685063">
              <w:rPr>
                <w:sz w:val="28"/>
                <w:szCs w:val="28"/>
              </w:rPr>
              <w:t xml:space="preserve">174 noteiktā regulējuma atbilstību </w:t>
            </w:r>
            <w:r>
              <w:rPr>
                <w:sz w:val="28"/>
                <w:szCs w:val="28"/>
              </w:rPr>
              <w:t>L</w:t>
            </w:r>
            <w:r w:rsidRPr="00685063">
              <w:rPr>
                <w:sz w:val="28"/>
                <w:szCs w:val="28"/>
              </w:rPr>
              <w:t xml:space="preserve">ikumā </w:t>
            </w:r>
            <w:r>
              <w:rPr>
                <w:sz w:val="28"/>
                <w:szCs w:val="28"/>
              </w:rPr>
              <w:t xml:space="preserve">4. panta 4. punktā </w:t>
            </w:r>
            <w:r w:rsidRPr="00685063">
              <w:rPr>
                <w:sz w:val="28"/>
                <w:szCs w:val="28"/>
              </w:rPr>
              <w:t xml:space="preserve">dotajam deleģējumam. </w:t>
            </w:r>
          </w:p>
        </w:tc>
      </w:tr>
      <w:tr w:rsidR="006C1406" w14:paraId="5923C5A1" w14:textId="77777777" w:rsidTr="00194972">
        <w:trPr>
          <w:trHeight w:val="841"/>
        </w:trPr>
        <w:tc>
          <w:tcPr>
            <w:tcW w:w="231" w:type="pct"/>
          </w:tcPr>
          <w:p w14:paraId="76987332" w14:textId="77777777" w:rsidR="00F63EFC" w:rsidRPr="00685063" w:rsidRDefault="00D747BE" w:rsidP="00974354">
            <w:pPr>
              <w:pStyle w:val="naiskr"/>
              <w:spacing w:before="0" w:after="0"/>
              <w:ind w:left="57" w:right="57"/>
              <w:jc w:val="center"/>
              <w:rPr>
                <w:sz w:val="28"/>
                <w:szCs w:val="28"/>
              </w:rPr>
            </w:pPr>
            <w:r w:rsidRPr="00685063">
              <w:rPr>
                <w:sz w:val="28"/>
                <w:szCs w:val="28"/>
              </w:rPr>
              <w:t>2.</w:t>
            </w:r>
          </w:p>
        </w:tc>
        <w:tc>
          <w:tcPr>
            <w:tcW w:w="1592" w:type="pct"/>
          </w:tcPr>
          <w:p w14:paraId="51883E8C" w14:textId="77777777" w:rsidR="00F63EFC" w:rsidRPr="00685063" w:rsidRDefault="00D747BE" w:rsidP="00974354">
            <w:pPr>
              <w:pStyle w:val="naiskr"/>
              <w:spacing w:before="0" w:after="0"/>
              <w:ind w:left="57" w:right="57"/>
              <w:rPr>
                <w:sz w:val="28"/>
                <w:szCs w:val="28"/>
              </w:rPr>
            </w:pPr>
            <w:r w:rsidRPr="00685063">
              <w:rPr>
                <w:sz w:val="28"/>
                <w:szCs w:val="28"/>
              </w:rPr>
              <w:t>Tiesiskā regulējuma ietekme uz tautsaimniecību un administratīvo slogu</w:t>
            </w:r>
          </w:p>
        </w:tc>
        <w:tc>
          <w:tcPr>
            <w:tcW w:w="3177" w:type="pct"/>
          </w:tcPr>
          <w:p w14:paraId="72D46496" w14:textId="07677C17" w:rsidR="00F63EFC" w:rsidRPr="00685063" w:rsidRDefault="00D747BE" w:rsidP="00CB7C2D">
            <w:pPr>
              <w:ind w:left="57" w:right="57"/>
              <w:jc w:val="both"/>
              <w:rPr>
                <w:color w:val="0070C0"/>
                <w:sz w:val="28"/>
                <w:szCs w:val="28"/>
              </w:rPr>
            </w:pPr>
            <w:r w:rsidRPr="00685063">
              <w:rPr>
                <w:sz w:val="28"/>
                <w:szCs w:val="28"/>
              </w:rPr>
              <w:t xml:space="preserve">Likumprojekts fiziskām personām nemaina tiesības un pienākumus, kā arī veicamās darbības.  Likumprojekts </w:t>
            </w:r>
            <w:r>
              <w:rPr>
                <w:sz w:val="28"/>
                <w:szCs w:val="28"/>
              </w:rPr>
              <w:t>noteic</w:t>
            </w:r>
            <w:r w:rsidRPr="00685063">
              <w:rPr>
                <w:sz w:val="28"/>
                <w:szCs w:val="28"/>
              </w:rPr>
              <w:t xml:space="preserve">, ka juridiskām personām – ūdenssaimniecības pakalpojumu sniedzējam un lietotājam – ir tiesības vienoties par kompensācijas maksas nosacījumiem ražošanas notekūdeņu novadīšanai priekšattīrīšanas iekārtu uzbūves laikā, neuzliekot šādu vienošanos par pienākumu. Vērtējot </w:t>
            </w:r>
            <w:r>
              <w:rPr>
                <w:sz w:val="28"/>
                <w:szCs w:val="28"/>
              </w:rPr>
              <w:t>L</w:t>
            </w:r>
            <w:r w:rsidRPr="00685063">
              <w:rPr>
                <w:sz w:val="28"/>
                <w:szCs w:val="28"/>
              </w:rPr>
              <w:t xml:space="preserve">ikumprojekta īstenošanas ietekmi uz administratīvajām procedūrām un to izmaksām, nav identificēts administratīvā sloga palielinājums. </w:t>
            </w:r>
          </w:p>
        </w:tc>
      </w:tr>
      <w:tr w:rsidR="006C1406" w14:paraId="128C80C7" w14:textId="77777777" w:rsidTr="00194972">
        <w:trPr>
          <w:trHeight w:val="697"/>
        </w:trPr>
        <w:tc>
          <w:tcPr>
            <w:tcW w:w="231" w:type="pct"/>
          </w:tcPr>
          <w:p w14:paraId="4C618422" w14:textId="77777777" w:rsidR="00F63EFC" w:rsidRPr="00685063" w:rsidRDefault="00D747BE" w:rsidP="00974354">
            <w:pPr>
              <w:pStyle w:val="naiskr"/>
              <w:spacing w:before="0" w:after="0"/>
              <w:ind w:left="57" w:right="57"/>
              <w:jc w:val="center"/>
              <w:rPr>
                <w:sz w:val="28"/>
                <w:szCs w:val="28"/>
              </w:rPr>
            </w:pPr>
            <w:r w:rsidRPr="00685063">
              <w:rPr>
                <w:sz w:val="28"/>
                <w:szCs w:val="28"/>
              </w:rPr>
              <w:t>3.</w:t>
            </w:r>
          </w:p>
        </w:tc>
        <w:tc>
          <w:tcPr>
            <w:tcW w:w="1592" w:type="pct"/>
          </w:tcPr>
          <w:p w14:paraId="5416F39A" w14:textId="77777777" w:rsidR="00F63EFC" w:rsidRPr="00685063" w:rsidRDefault="00D747BE" w:rsidP="00974354">
            <w:pPr>
              <w:pStyle w:val="naiskr"/>
              <w:spacing w:before="0" w:after="0"/>
              <w:ind w:left="57" w:right="57"/>
              <w:rPr>
                <w:sz w:val="28"/>
                <w:szCs w:val="28"/>
              </w:rPr>
            </w:pPr>
            <w:r w:rsidRPr="00685063">
              <w:rPr>
                <w:sz w:val="28"/>
                <w:szCs w:val="28"/>
              </w:rPr>
              <w:t>Administratīvo izmaksu monetārs novērtējums</w:t>
            </w:r>
          </w:p>
        </w:tc>
        <w:tc>
          <w:tcPr>
            <w:tcW w:w="3177" w:type="pct"/>
          </w:tcPr>
          <w:p w14:paraId="0F8C4054" w14:textId="77777777" w:rsidR="00F63EFC" w:rsidRPr="00685063" w:rsidRDefault="00D747BE" w:rsidP="00974354">
            <w:pPr>
              <w:ind w:left="57" w:right="57"/>
              <w:jc w:val="both"/>
              <w:rPr>
                <w:sz w:val="28"/>
                <w:szCs w:val="28"/>
              </w:rPr>
            </w:pPr>
            <w:r w:rsidRPr="00685063">
              <w:rPr>
                <w:sz w:val="28"/>
                <w:szCs w:val="28"/>
              </w:rPr>
              <w:t>Projekts šo jomu neskar.</w:t>
            </w:r>
          </w:p>
        </w:tc>
      </w:tr>
      <w:tr w:rsidR="006C1406" w14:paraId="300EAEAE" w14:textId="77777777" w:rsidTr="00194972">
        <w:trPr>
          <w:trHeight w:val="423"/>
        </w:trPr>
        <w:tc>
          <w:tcPr>
            <w:tcW w:w="231" w:type="pct"/>
          </w:tcPr>
          <w:p w14:paraId="333516DA" w14:textId="77777777" w:rsidR="00F63EFC" w:rsidRPr="00685063" w:rsidRDefault="00D747BE" w:rsidP="00974354">
            <w:pPr>
              <w:pStyle w:val="naiskr"/>
              <w:spacing w:before="0" w:after="0"/>
              <w:ind w:left="57" w:right="57"/>
              <w:jc w:val="center"/>
              <w:rPr>
                <w:sz w:val="28"/>
                <w:szCs w:val="28"/>
              </w:rPr>
            </w:pPr>
            <w:r w:rsidRPr="00685063">
              <w:rPr>
                <w:sz w:val="28"/>
                <w:szCs w:val="28"/>
              </w:rPr>
              <w:t>4.</w:t>
            </w:r>
          </w:p>
        </w:tc>
        <w:tc>
          <w:tcPr>
            <w:tcW w:w="1592" w:type="pct"/>
          </w:tcPr>
          <w:p w14:paraId="16BA8AC1" w14:textId="77777777" w:rsidR="00F63EFC" w:rsidRPr="00685063" w:rsidRDefault="00D747BE" w:rsidP="00974354">
            <w:pPr>
              <w:pStyle w:val="naiskr"/>
              <w:spacing w:before="0" w:after="0"/>
              <w:ind w:left="57" w:right="57"/>
              <w:rPr>
                <w:sz w:val="28"/>
                <w:szCs w:val="28"/>
              </w:rPr>
            </w:pPr>
            <w:r w:rsidRPr="00685063">
              <w:rPr>
                <w:sz w:val="28"/>
                <w:szCs w:val="28"/>
              </w:rPr>
              <w:t>Cita informācija</w:t>
            </w:r>
          </w:p>
        </w:tc>
        <w:tc>
          <w:tcPr>
            <w:tcW w:w="3177" w:type="pct"/>
          </w:tcPr>
          <w:p w14:paraId="0D69D4A0" w14:textId="37C584FA" w:rsidR="00F63EFC" w:rsidRPr="00685063" w:rsidRDefault="00D747BE" w:rsidP="00974354">
            <w:pPr>
              <w:ind w:left="57" w:right="57"/>
              <w:jc w:val="both"/>
              <w:rPr>
                <w:sz w:val="28"/>
                <w:szCs w:val="28"/>
              </w:rPr>
            </w:pPr>
            <w:r w:rsidRPr="00685063">
              <w:rPr>
                <w:sz w:val="28"/>
                <w:szCs w:val="28"/>
              </w:rPr>
              <w:t>Nav.</w:t>
            </w:r>
          </w:p>
        </w:tc>
      </w:tr>
    </w:tbl>
    <w:p w14:paraId="3E5017A9" w14:textId="77777777" w:rsidR="00F63EFC" w:rsidRPr="00685063" w:rsidRDefault="00AF2576" w:rsidP="00974354">
      <w:pPr>
        <w:rPr>
          <w:sz w:val="28"/>
          <w:szCs w:val="28"/>
        </w:rPr>
      </w:pPr>
    </w:p>
    <w:p w14:paraId="21A88F0E" w14:textId="77777777" w:rsidR="00C77DCE" w:rsidRPr="00685063" w:rsidRDefault="00AF2576" w:rsidP="00974354">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6C1406" w14:paraId="33877409" w14:textId="77777777" w:rsidTr="00DA5A24">
        <w:trPr>
          <w:trHeight w:val="361"/>
          <w:jc w:val="center"/>
        </w:trPr>
        <w:tc>
          <w:tcPr>
            <w:tcW w:w="9179" w:type="dxa"/>
            <w:tcBorders>
              <w:top w:val="outset" w:sz="8" w:space="0" w:color="auto"/>
              <w:left w:val="outset" w:sz="8" w:space="0" w:color="auto"/>
              <w:bottom w:val="outset" w:sz="8" w:space="0" w:color="auto"/>
              <w:right w:val="outset" w:sz="8" w:space="0" w:color="auto"/>
            </w:tcBorders>
            <w:vAlign w:val="center"/>
          </w:tcPr>
          <w:p w14:paraId="5A84CBB3" w14:textId="77777777" w:rsidR="00C77DCE" w:rsidRPr="00685063" w:rsidRDefault="00D747BE" w:rsidP="00974354">
            <w:pPr>
              <w:pStyle w:val="naisnod"/>
              <w:spacing w:before="0" w:after="0"/>
              <w:rPr>
                <w:b w:val="0"/>
                <w:i/>
                <w:sz w:val="28"/>
                <w:szCs w:val="28"/>
              </w:rPr>
            </w:pPr>
            <w:r w:rsidRPr="00685063">
              <w:rPr>
                <w:sz w:val="28"/>
                <w:szCs w:val="28"/>
              </w:rPr>
              <w:br w:type="page"/>
              <w:t>III. Tiesību akta projekta ietekme uz valsts budžetu un pašvaldību budžetiem</w:t>
            </w:r>
          </w:p>
        </w:tc>
      </w:tr>
      <w:tr w:rsidR="006C1406" w14:paraId="6A746D1F" w14:textId="77777777" w:rsidTr="00DA5A24">
        <w:trPr>
          <w:trHeight w:val="361"/>
          <w:jc w:val="center"/>
        </w:trPr>
        <w:tc>
          <w:tcPr>
            <w:tcW w:w="9179" w:type="dxa"/>
            <w:tcBorders>
              <w:top w:val="outset" w:sz="8" w:space="0" w:color="auto"/>
              <w:left w:val="outset" w:sz="8" w:space="0" w:color="auto"/>
              <w:bottom w:val="outset" w:sz="8" w:space="0" w:color="auto"/>
              <w:right w:val="outset" w:sz="8" w:space="0" w:color="auto"/>
            </w:tcBorders>
            <w:vAlign w:val="center"/>
          </w:tcPr>
          <w:p w14:paraId="1E34CBA0" w14:textId="6C3E6905" w:rsidR="00FC37A3" w:rsidRPr="00685063" w:rsidRDefault="00D747BE" w:rsidP="00974354">
            <w:pPr>
              <w:pStyle w:val="naisnod"/>
              <w:spacing w:before="0" w:after="0"/>
              <w:rPr>
                <w:sz w:val="28"/>
                <w:szCs w:val="28"/>
              </w:rPr>
            </w:pPr>
            <w:r w:rsidRPr="00685063">
              <w:rPr>
                <w:b w:val="0"/>
                <w:sz w:val="28"/>
                <w:szCs w:val="28"/>
              </w:rPr>
              <w:t>Projekts šo jomu neskar</w:t>
            </w:r>
          </w:p>
        </w:tc>
      </w:tr>
    </w:tbl>
    <w:p w14:paraId="41DD6745" w14:textId="77777777" w:rsidR="00877D0D" w:rsidRPr="00685063" w:rsidRDefault="00AF2576" w:rsidP="00974354">
      <w:pPr>
        <w:rPr>
          <w:iCs/>
          <w:sz w:val="28"/>
          <w:szCs w:val="28"/>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848"/>
        <w:gridCol w:w="5821"/>
      </w:tblGrid>
      <w:tr w:rsidR="006C1406" w14:paraId="6A29931B" w14:textId="77777777" w:rsidTr="00AE46B4">
        <w:trPr>
          <w:trHeight w:val="419"/>
        </w:trPr>
        <w:tc>
          <w:tcPr>
            <w:tcW w:w="5000" w:type="pct"/>
            <w:gridSpan w:val="3"/>
            <w:vAlign w:val="center"/>
          </w:tcPr>
          <w:p w14:paraId="65CFA63E" w14:textId="36EB1C6E" w:rsidR="00877D0D" w:rsidRPr="00685063" w:rsidRDefault="00D747BE" w:rsidP="00974354">
            <w:pPr>
              <w:pStyle w:val="naisnod"/>
              <w:spacing w:before="0" w:after="0"/>
              <w:ind w:left="57" w:right="57"/>
              <w:rPr>
                <w:b w:val="0"/>
                <w:sz w:val="28"/>
                <w:szCs w:val="28"/>
              </w:rPr>
            </w:pPr>
            <w:r w:rsidRPr="00685063">
              <w:rPr>
                <w:sz w:val="28"/>
                <w:szCs w:val="28"/>
              </w:rPr>
              <w:t>IV. Tiesību akta projekta ietekme uz spēkā esošo tiesību normu sistēmu</w:t>
            </w:r>
          </w:p>
        </w:tc>
      </w:tr>
      <w:tr w:rsidR="006C1406" w14:paraId="047D5739" w14:textId="77777777" w:rsidTr="00113217">
        <w:trPr>
          <w:trHeight w:val="695"/>
        </w:trPr>
        <w:tc>
          <w:tcPr>
            <w:tcW w:w="227" w:type="pct"/>
          </w:tcPr>
          <w:p w14:paraId="57FD52F1" w14:textId="77777777" w:rsidR="00877D0D" w:rsidRPr="00685063" w:rsidRDefault="00D747BE" w:rsidP="00974354">
            <w:pPr>
              <w:pStyle w:val="naiskr"/>
              <w:spacing w:before="0" w:after="0"/>
              <w:ind w:left="57" w:right="57"/>
              <w:jc w:val="center"/>
              <w:rPr>
                <w:sz w:val="28"/>
                <w:szCs w:val="28"/>
              </w:rPr>
            </w:pPr>
            <w:r w:rsidRPr="00685063">
              <w:rPr>
                <w:sz w:val="28"/>
                <w:szCs w:val="28"/>
              </w:rPr>
              <w:t>1.</w:t>
            </w:r>
          </w:p>
        </w:tc>
        <w:tc>
          <w:tcPr>
            <w:tcW w:w="1568" w:type="pct"/>
          </w:tcPr>
          <w:p w14:paraId="2C63C31D" w14:textId="77777777" w:rsidR="00877D0D" w:rsidRPr="00685063" w:rsidRDefault="00D747BE" w:rsidP="00974354">
            <w:pPr>
              <w:pStyle w:val="naiskr"/>
              <w:spacing w:before="0" w:after="0"/>
              <w:ind w:left="57" w:right="57"/>
              <w:rPr>
                <w:sz w:val="28"/>
                <w:szCs w:val="28"/>
              </w:rPr>
            </w:pPr>
            <w:r w:rsidRPr="00685063">
              <w:rPr>
                <w:sz w:val="28"/>
                <w:szCs w:val="28"/>
              </w:rPr>
              <w:t>Nepieciešamie saistītie tiesību aktu projekti</w:t>
            </w:r>
          </w:p>
        </w:tc>
        <w:tc>
          <w:tcPr>
            <w:tcW w:w="3205" w:type="pct"/>
          </w:tcPr>
          <w:p w14:paraId="7BDDBBDF" w14:textId="72F5C45E" w:rsidR="00877D0D" w:rsidRPr="00685063" w:rsidRDefault="00D747BE" w:rsidP="00974354">
            <w:pPr>
              <w:ind w:left="57" w:right="57"/>
              <w:jc w:val="both"/>
              <w:rPr>
                <w:sz w:val="28"/>
                <w:szCs w:val="28"/>
              </w:rPr>
            </w:pPr>
            <w:r w:rsidRPr="00685063">
              <w:rPr>
                <w:sz w:val="28"/>
                <w:szCs w:val="28"/>
              </w:rPr>
              <w:t>Nav</w:t>
            </w:r>
          </w:p>
        </w:tc>
      </w:tr>
      <w:tr w:rsidR="006C1406" w14:paraId="12B14109" w14:textId="77777777" w:rsidTr="00113217">
        <w:trPr>
          <w:trHeight w:val="423"/>
        </w:trPr>
        <w:tc>
          <w:tcPr>
            <w:tcW w:w="227" w:type="pct"/>
          </w:tcPr>
          <w:p w14:paraId="5787C6E6" w14:textId="6A0F5241" w:rsidR="00877D0D" w:rsidRPr="00685063" w:rsidRDefault="00D747BE" w:rsidP="00974354">
            <w:pPr>
              <w:pStyle w:val="naiskr"/>
              <w:spacing w:before="0" w:after="0"/>
              <w:ind w:left="57" w:right="57"/>
              <w:jc w:val="center"/>
              <w:rPr>
                <w:sz w:val="28"/>
                <w:szCs w:val="28"/>
              </w:rPr>
            </w:pPr>
            <w:r w:rsidRPr="00685063">
              <w:rPr>
                <w:sz w:val="28"/>
                <w:szCs w:val="28"/>
              </w:rPr>
              <w:t>2.</w:t>
            </w:r>
          </w:p>
        </w:tc>
        <w:tc>
          <w:tcPr>
            <w:tcW w:w="1568" w:type="pct"/>
          </w:tcPr>
          <w:p w14:paraId="0EE6514E" w14:textId="77777777" w:rsidR="00877D0D" w:rsidRPr="00685063" w:rsidRDefault="00D747BE" w:rsidP="00974354">
            <w:pPr>
              <w:pStyle w:val="naiskr"/>
              <w:spacing w:before="0" w:after="0"/>
              <w:ind w:left="57" w:right="57"/>
              <w:rPr>
                <w:sz w:val="28"/>
                <w:szCs w:val="28"/>
              </w:rPr>
            </w:pPr>
            <w:r w:rsidRPr="00685063">
              <w:rPr>
                <w:sz w:val="28"/>
                <w:szCs w:val="28"/>
              </w:rPr>
              <w:t>Atbildīgā institūcija</w:t>
            </w:r>
          </w:p>
        </w:tc>
        <w:tc>
          <w:tcPr>
            <w:tcW w:w="3205" w:type="pct"/>
          </w:tcPr>
          <w:p w14:paraId="3E81C00B" w14:textId="6EBF2F9C" w:rsidR="00877D0D" w:rsidRPr="00685063" w:rsidRDefault="00D747BE" w:rsidP="00974354">
            <w:pPr>
              <w:rPr>
                <w:sz w:val="28"/>
                <w:szCs w:val="28"/>
              </w:rPr>
            </w:pPr>
            <w:r w:rsidRPr="00685063">
              <w:rPr>
                <w:sz w:val="28"/>
                <w:szCs w:val="28"/>
              </w:rPr>
              <w:t>VARAM</w:t>
            </w:r>
          </w:p>
        </w:tc>
      </w:tr>
      <w:tr w:rsidR="006C1406" w14:paraId="1385FC51" w14:textId="77777777" w:rsidTr="00113217">
        <w:trPr>
          <w:trHeight w:val="557"/>
        </w:trPr>
        <w:tc>
          <w:tcPr>
            <w:tcW w:w="227" w:type="pct"/>
          </w:tcPr>
          <w:p w14:paraId="3518C459" w14:textId="68D365B9" w:rsidR="00877D0D" w:rsidRPr="00685063" w:rsidRDefault="00D747BE" w:rsidP="00974354">
            <w:pPr>
              <w:pStyle w:val="naiskr"/>
              <w:spacing w:before="0" w:after="0"/>
              <w:ind w:left="57" w:right="57"/>
              <w:jc w:val="center"/>
              <w:rPr>
                <w:sz w:val="28"/>
                <w:szCs w:val="28"/>
              </w:rPr>
            </w:pPr>
            <w:r w:rsidRPr="00685063">
              <w:rPr>
                <w:sz w:val="28"/>
                <w:szCs w:val="28"/>
              </w:rPr>
              <w:t>3.</w:t>
            </w:r>
          </w:p>
        </w:tc>
        <w:tc>
          <w:tcPr>
            <w:tcW w:w="1568" w:type="pct"/>
          </w:tcPr>
          <w:p w14:paraId="12314827" w14:textId="77777777" w:rsidR="00877D0D" w:rsidRPr="00685063" w:rsidRDefault="00D747BE" w:rsidP="00974354">
            <w:pPr>
              <w:pStyle w:val="naiskr"/>
              <w:spacing w:before="0" w:after="0"/>
              <w:ind w:left="57" w:right="57"/>
              <w:rPr>
                <w:sz w:val="28"/>
                <w:szCs w:val="28"/>
              </w:rPr>
            </w:pPr>
            <w:r w:rsidRPr="00685063">
              <w:rPr>
                <w:sz w:val="28"/>
                <w:szCs w:val="28"/>
              </w:rPr>
              <w:t>Cita informācija</w:t>
            </w:r>
          </w:p>
        </w:tc>
        <w:tc>
          <w:tcPr>
            <w:tcW w:w="3205" w:type="pct"/>
          </w:tcPr>
          <w:p w14:paraId="07A9AE07" w14:textId="457989AF" w:rsidR="00877D0D" w:rsidRPr="00685063" w:rsidRDefault="00D747BE" w:rsidP="00974354">
            <w:pPr>
              <w:ind w:left="57" w:right="57"/>
              <w:jc w:val="both"/>
              <w:rPr>
                <w:sz w:val="28"/>
                <w:szCs w:val="28"/>
              </w:rPr>
            </w:pPr>
            <w:r w:rsidRPr="00685063">
              <w:rPr>
                <w:sz w:val="28"/>
                <w:szCs w:val="28"/>
              </w:rPr>
              <w:t>Nav</w:t>
            </w:r>
          </w:p>
        </w:tc>
      </w:tr>
    </w:tbl>
    <w:p w14:paraId="667A269D" w14:textId="301731B3" w:rsidR="0000062A" w:rsidRPr="00685063" w:rsidRDefault="00AF2576" w:rsidP="00974354">
      <w:pPr>
        <w:rPr>
          <w:rFonts w:eastAsiaTheme="minorHAnsi"/>
          <w:sz w:val="28"/>
          <w:szCs w:val="28"/>
          <w:lang w:eastAsia="en-US"/>
        </w:rPr>
      </w:pP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6C1406" w14:paraId="6D6F39DD" w14:textId="77777777" w:rsidTr="003B30E5">
        <w:trPr>
          <w:trHeight w:val="419"/>
        </w:trPr>
        <w:tc>
          <w:tcPr>
            <w:tcW w:w="5000" w:type="pct"/>
            <w:vAlign w:val="center"/>
          </w:tcPr>
          <w:p w14:paraId="75FC5C56" w14:textId="66F578CA" w:rsidR="002475BB" w:rsidRPr="00685063" w:rsidRDefault="00D747BE" w:rsidP="00974354">
            <w:pPr>
              <w:pStyle w:val="naisnod"/>
              <w:spacing w:before="0" w:after="0"/>
              <w:ind w:left="57" w:right="57"/>
              <w:rPr>
                <w:b w:val="0"/>
                <w:sz w:val="28"/>
                <w:szCs w:val="28"/>
              </w:rPr>
            </w:pPr>
            <w:r w:rsidRPr="00685063">
              <w:rPr>
                <w:sz w:val="28"/>
                <w:szCs w:val="28"/>
              </w:rPr>
              <w:t>V. Tiesību akta projekta atbilstība Latvijas Republikas starptautiskajām saistībām</w:t>
            </w:r>
          </w:p>
        </w:tc>
      </w:tr>
      <w:tr w:rsidR="006C1406" w14:paraId="1D2D050E" w14:textId="77777777" w:rsidTr="003B30E5">
        <w:trPr>
          <w:trHeight w:val="419"/>
        </w:trPr>
        <w:tc>
          <w:tcPr>
            <w:tcW w:w="5000" w:type="pct"/>
            <w:vAlign w:val="center"/>
          </w:tcPr>
          <w:p w14:paraId="4A00D660" w14:textId="06BC9679" w:rsidR="002475BB" w:rsidRPr="00685063" w:rsidRDefault="00D747BE" w:rsidP="00974354">
            <w:pPr>
              <w:pStyle w:val="naisnod"/>
              <w:spacing w:before="0" w:after="0"/>
              <w:ind w:left="57" w:right="57"/>
              <w:rPr>
                <w:b w:val="0"/>
                <w:sz w:val="28"/>
                <w:szCs w:val="28"/>
              </w:rPr>
            </w:pPr>
            <w:r w:rsidRPr="00685063">
              <w:rPr>
                <w:b w:val="0"/>
                <w:sz w:val="28"/>
                <w:szCs w:val="28"/>
              </w:rPr>
              <w:t>Projekts šo jomu neskar</w:t>
            </w:r>
          </w:p>
        </w:tc>
      </w:tr>
    </w:tbl>
    <w:p w14:paraId="6F93E719" w14:textId="77777777" w:rsidR="004F1D2C" w:rsidRPr="00685063" w:rsidRDefault="00AF2576" w:rsidP="00974354">
      <w:pPr>
        <w:rPr>
          <w:rFonts w:eastAsiaTheme="minorHAnsi"/>
          <w:sz w:val="28"/>
          <w:szCs w:val="28"/>
          <w:lang w:eastAsia="en-US"/>
        </w:rPr>
      </w:pPr>
    </w:p>
    <w:tbl>
      <w:tblPr>
        <w:tblpPr w:leftFromText="180" w:rightFromText="180" w:vertAnchor="text" w:horzAnchor="margin" w:tblpXSpec="center" w:tblpY="149"/>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5"/>
        <w:gridCol w:w="2792"/>
        <w:gridCol w:w="5878"/>
      </w:tblGrid>
      <w:tr w:rsidR="006C1406" w14:paraId="59A64186" w14:textId="77777777" w:rsidTr="00974354">
        <w:trPr>
          <w:trHeight w:val="419"/>
        </w:trPr>
        <w:tc>
          <w:tcPr>
            <w:tcW w:w="5000" w:type="pct"/>
            <w:gridSpan w:val="3"/>
            <w:vAlign w:val="center"/>
          </w:tcPr>
          <w:p w14:paraId="177AB609" w14:textId="72C488E6" w:rsidR="003B30E5" w:rsidRPr="00685063" w:rsidRDefault="00D747BE" w:rsidP="00974354">
            <w:pPr>
              <w:pStyle w:val="naisnod"/>
              <w:spacing w:before="0" w:after="0"/>
              <w:ind w:left="57" w:right="57"/>
              <w:rPr>
                <w:b w:val="0"/>
                <w:sz w:val="28"/>
                <w:szCs w:val="28"/>
              </w:rPr>
            </w:pPr>
            <w:r w:rsidRPr="00685063">
              <w:rPr>
                <w:sz w:val="28"/>
                <w:szCs w:val="28"/>
              </w:rPr>
              <w:t>VI. Sabiedrības līdzdalība un komunikācijas aktivitātes</w:t>
            </w:r>
          </w:p>
        </w:tc>
      </w:tr>
      <w:tr w:rsidR="006C1406" w14:paraId="3DF2537E" w14:textId="33D0BD8B" w:rsidTr="007F4D07">
        <w:trPr>
          <w:trHeight w:val="419"/>
        </w:trPr>
        <w:tc>
          <w:tcPr>
            <w:tcW w:w="218" w:type="pct"/>
            <w:vAlign w:val="center"/>
          </w:tcPr>
          <w:p w14:paraId="12F0E0F2" w14:textId="739D2373" w:rsidR="007F4D07" w:rsidRPr="00685063" w:rsidRDefault="00D747BE" w:rsidP="00974354">
            <w:pPr>
              <w:pStyle w:val="naisnod"/>
              <w:spacing w:before="0" w:after="0"/>
              <w:ind w:left="57" w:right="57"/>
              <w:rPr>
                <w:b w:val="0"/>
                <w:sz w:val="28"/>
                <w:szCs w:val="28"/>
              </w:rPr>
            </w:pPr>
            <w:r w:rsidRPr="00685063">
              <w:rPr>
                <w:b w:val="0"/>
                <w:sz w:val="28"/>
                <w:szCs w:val="28"/>
              </w:rPr>
              <w:t>1.</w:t>
            </w:r>
          </w:p>
        </w:tc>
        <w:tc>
          <w:tcPr>
            <w:tcW w:w="1540" w:type="pct"/>
            <w:vAlign w:val="center"/>
          </w:tcPr>
          <w:p w14:paraId="05FCCD9F" w14:textId="40BCDB5E" w:rsidR="007F4D07" w:rsidRPr="00685063" w:rsidRDefault="00D747BE" w:rsidP="007F4D07">
            <w:pPr>
              <w:pStyle w:val="naisnod"/>
              <w:spacing w:before="0" w:after="0"/>
              <w:ind w:left="57" w:right="57"/>
              <w:jc w:val="left"/>
              <w:rPr>
                <w:b w:val="0"/>
                <w:sz w:val="28"/>
                <w:szCs w:val="28"/>
              </w:rPr>
            </w:pPr>
            <w:r w:rsidRPr="00685063">
              <w:rPr>
                <w:b w:val="0"/>
                <w:sz w:val="28"/>
                <w:szCs w:val="28"/>
              </w:rPr>
              <w:t>Plānotās sabiedrības līdzdalības un komunikācijas aktivitātes saistībā ar projektu</w:t>
            </w:r>
          </w:p>
        </w:tc>
        <w:tc>
          <w:tcPr>
            <w:tcW w:w="3242" w:type="pct"/>
            <w:vAlign w:val="center"/>
          </w:tcPr>
          <w:p w14:paraId="53790B20" w14:textId="5DD52AD3" w:rsidR="00106C9A" w:rsidRDefault="00D747BE" w:rsidP="00106C9A">
            <w:pPr>
              <w:pStyle w:val="naisnod"/>
              <w:spacing w:before="0" w:after="0"/>
              <w:ind w:left="57" w:right="57"/>
              <w:jc w:val="both"/>
              <w:rPr>
                <w:b w:val="0"/>
                <w:sz w:val="28"/>
                <w:szCs w:val="28"/>
              </w:rPr>
            </w:pPr>
            <w:r w:rsidRPr="00685063">
              <w:rPr>
                <w:b w:val="0"/>
                <w:sz w:val="28"/>
                <w:szCs w:val="28"/>
              </w:rPr>
              <w:t xml:space="preserve">Saskaņā ar Ministru kabineta 2009. gada 25. augusta noteikumu Nr. 970 </w:t>
            </w:r>
            <w:r w:rsidRPr="00986A49">
              <w:rPr>
                <w:b w:val="0"/>
                <w:sz w:val="28"/>
                <w:szCs w:val="28"/>
              </w:rPr>
              <w:t>“</w:t>
            </w:r>
            <w:r w:rsidRPr="00685063">
              <w:rPr>
                <w:b w:val="0"/>
                <w:sz w:val="28"/>
                <w:szCs w:val="28"/>
              </w:rPr>
              <w:t>Sabiedrības līdzdalības kārtība attīstības plānošanas procesā” 7.4.</w:t>
            </w:r>
            <w:r w:rsidRPr="00685063">
              <w:rPr>
                <w:b w:val="0"/>
                <w:sz w:val="28"/>
                <w:szCs w:val="28"/>
                <w:vertAlign w:val="superscript"/>
              </w:rPr>
              <w:t>1</w:t>
            </w:r>
            <w:r w:rsidRPr="00685063">
              <w:rPr>
                <w:b w:val="0"/>
                <w:sz w:val="28"/>
                <w:szCs w:val="28"/>
              </w:rPr>
              <w:t> apakšpunktu sabiedrības pārstāvji ir aicināti līdzdarboties, rakstiski sniedzot viedokli par noteikumu projektu tā izstrādes stadijā. Sabiedrības pārstāvji ir informēti par iespēju līdzdarboties, publicējot paziņojumu par līdzdalības procesu VARAM tīmekļa vietnē</w:t>
            </w:r>
            <w:r>
              <w:rPr>
                <w:b w:val="0"/>
                <w:sz w:val="28"/>
                <w:szCs w:val="28"/>
              </w:rPr>
              <w:t xml:space="preserve"> </w:t>
            </w:r>
            <w:hyperlink r:id="rId10" w:history="1">
              <w:r w:rsidRPr="00476222">
                <w:rPr>
                  <w:rStyle w:val="Hyperlink"/>
                  <w:b w:val="0"/>
                  <w:sz w:val="28"/>
                  <w:szCs w:val="28"/>
                </w:rPr>
                <w:t>www.varam.gov.lv</w:t>
              </w:r>
            </w:hyperlink>
            <w:r w:rsidRPr="00685063">
              <w:rPr>
                <w:b w:val="0"/>
                <w:sz w:val="28"/>
                <w:szCs w:val="28"/>
              </w:rPr>
              <w:t>.</w:t>
            </w:r>
          </w:p>
          <w:p w14:paraId="6A045AD1" w14:textId="23F6F09A" w:rsidR="00106C9A" w:rsidRPr="00685063" w:rsidRDefault="00AF2576" w:rsidP="00106C9A">
            <w:pPr>
              <w:pStyle w:val="naisnod"/>
              <w:spacing w:before="0" w:after="0"/>
              <w:ind w:left="57" w:right="57"/>
              <w:jc w:val="both"/>
              <w:rPr>
                <w:b w:val="0"/>
                <w:sz w:val="28"/>
                <w:szCs w:val="28"/>
              </w:rPr>
            </w:pPr>
          </w:p>
        </w:tc>
      </w:tr>
      <w:tr w:rsidR="006C1406" w14:paraId="363EA8DA" w14:textId="4E3146DF" w:rsidTr="007F4D07">
        <w:trPr>
          <w:trHeight w:val="419"/>
        </w:trPr>
        <w:tc>
          <w:tcPr>
            <w:tcW w:w="218" w:type="pct"/>
            <w:vAlign w:val="center"/>
          </w:tcPr>
          <w:p w14:paraId="4416B586" w14:textId="6E65E27E" w:rsidR="007F4D07" w:rsidRPr="00685063" w:rsidRDefault="00D747BE" w:rsidP="00974354">
            <w:pPr>
              <w:pStyle w:val="naisnod"/>
              <w:spacing w:before="0" w:after="0"/>
              <w:ind w:left="57" w:right="57"/>
              <w:rPr>
                <w:b w:val="0"/>
                <w:sz w:val="28"/>
                <w:szCs w:val="28"/>
              </w:rPr>
            </w:pPr>
            <w:r w:rsidRPr="00685063">
              <w:rPr>
                <w:b w:val="0"/>
                <w:sz w:val="28"/>
                <w:szCs w:val="28"/>
              </w:rPr>
              <w:t>2.</w:t>
            </w:r>
          </w:p>
        </w:tc>
        <w:tc>
          <w:tcPr>
            <w:tcW w:w="1540" w:type="pct"/>
            <w:vAlign w:val="center"/>
          </w:tcPr>
          <w:p w14:paraId="2F2BA7DD" w14:textId="1ED75058" w:rsidR="007F4D07" w:rsidRPr="00685063" w:rsidRDefault="00D747BE" w:rsidP="007F4D07">
            <w:pPr>
              <w:pStyle w:val="naisnod"/>
              <w:spacing w:before="0" w:after="0"/>
              <w:ind w:left="57" w:right="57"/>
              <w:jc w:val="left"/>
              <w:rPr>
                <w:b w:val="0"/>
                <w:sz w:val="28"/>
                <w:szCs w:val="28"/>
              </w:rPr>
            </w:pPr>
            <w:r w:rsidRPr="00685063">
              <w:rPr>
                <w:b w:val="0"/>
                <w:sz w:val="28"/>
                <w:szCs w:val="28"/>
              </w:rPr>
              <w:t>Sabiedrības līdzdalība projekta izstrādē</w:t>
            </w:r>
          </w:p>
        </w:tc>
        <w:tc>
          <w:tcPr>
            <w:tcW w:w="3242" w:type="pct"/>
            <w:vAlign w:val="center"/>
          </w:tcPr>
          <w:p w14:paraId="74E710FD" w14:textId="5343521C" w:rsidR="00106C9A" w:rsidRDefault="00D747BE" w:rsidP="00106C9A">
            <w:pPr>
              <w:pStyle w:val="naisnod"/>
              <w:spacing w:before="0" w:after="0"/>
              <w:ind w:left="57" w:right="57"/>
              <w:jc w:val="both"/>
              <w:rPr>
                <w:b w:val="0"/>
              </w:rPr>
            </w:pPr>
            <w:r w:rsidRPr="00685063">
              <w:rPr>
                <w:b w:val="0"/>
                <w:sz w:val="28"/>
                <w:szCs w:val="28"/>
              </w:rPr>
              <w:t>Likumprojekts</w:t>
            </w:r>
            <w:r>
              <w:rPr>
                <w:b w:val="0"/>
                <w:sz w:val="28"/>
                <w:szCs w:val="28"/>
              </w:rPr>
              <w:t xml:space="preserve"> un tā anotācija</w:t>
            </w:r>
            <w:r w:rsidRPr="00685063">
              <w:rPr>
                <w:b w:val="0"/>
                <w:sz w:val="28"/>
                <w:szCs w:val="28"/>
              </w:rPr>
              <w:t xml:space="preserve"> </w:t>
            </w:r>
            <w:r w:rsidRPr="00C01B49">
              <w:rPr>
                <w:b w:val="0"/>
                <w:sz w:val="28"/>
                <w:szCs w:val="28"/>
              </w:rPr>
              <w:t>2017. gada 15. maijā</w:t>
            </w:r>
            <w:r w:rsidRPr="000E7B17">
              <w:rPr>
                <w:b w:val="0"/>
                <w:sz w:val="28"/>
                <w:szCs w:val="28"/>
              </w:rPr>
              <w:t xml:space="preserve"> </w:t>
            </w:r>
            <w:r w:rsidRPr="00685063">
              <w:rPr>
                <w:b w:val="0"/>
                <w:sz w:val="28"/>
                <w:szCs w:val="28"/>
              </w:rPr>
              <w:t xml:space="preserve">tika publicēts VARAM tīmekļa vietnē </w:t>
            </w:r>
            <w:hyperlink r:id="rId11" w:history="1">
              <w:r w:rsidRPr="00106C9A">
                <w:rPr>
                  <w:rStyle w:val="Hyperlink"/>
                  <w:b w:val="0"/>
                  <w:sz w:val="28"/>
                  <w:szCs w:val="28"/>
                </w:rPr>
                <w:t>www.varam.gov.lv</w:t>
              </w:r>
            </w:hyperlink>
            <w:r w:rsidRPr="00376AE3">
              <w:t xml:space="preserve">. </w:t>
            </w:r>
          </w:p>
          <w:p w14:paraId="5378C296" w14:textId="38AA3604" w:rsidR="007F4D07" w:rsidRPr="00106C9A" w:rsidRDefault="00D747BE" w:rsidP="00106C9A">
            <w:pPr>
              <w:pStyle w:val="naisnod"/>
              <w:spacing w:before="0" w:after="0"/>
              <w:ind w:left="57" w:right="57"/>
              <w:jc w:val="both"/>
              <w:rPr>
                <w:b w:val="0"/>
              </w:rPr>
            </w:pPr>
            <w:r>
              <w:rPr>
                <w:b w:val="0"/>
                <w:sz w:val="28"/>
                <w:szCs w:val="28"/>
              </w:rPr>
              <w:t xml:space="preserve"> </w:t>
            </w:r>
          </w:p>
        </w:tc>
      </w:tr>
      <w:tr w:rsidR="006C1406" w14:paraId="1F9DAF27" w14:textId="1580832E" w:rsidTr="007F4D07">
        <w:trPr>
          <w:trHeight w:val="419"/>
        </w:trPr>
        <w:tc>
          <w:tcPr>
            <w:tcW w:w="218" w:type="pct"/>
            <w:vAlign w:val="center"/>
          </w:tcPr>
          <w:p w14:paraId="6B61BD07" w14:textId="5F83BC6F" w:rsidR="007F4D07" w:rsidRPr="00685063" w:rsidRDefault="00D747BE" w:rsidP="00974354">
            <w:pPr>
              <w:pStyle w:val="naisnod"/>
              <w:spacing w:before="0" w:after="0"/>
              <w:ind w:left="57" w:right="57"/>
              <w:rPr>
                <w:b w:val="0"/>
                <w:sz w:val="28"/>
                <w:szCs w:val="28"/>
              </w:rPr>
            </w:pPr>
            <w:r w:rsidRPr="00685063">
              <w:rPr>
                <w:b w:val="0"/>
                <w:sz w:val="28"/>
                <w:szCs w:val="28"/>
              </w:rPr>
              <w:t>3.</w:t>
            </w:r>
          </w:p>
        </w:tc>
        <w:tc>
          <w:tcPr>
            <w:tcW w:w="1540" w:type="pct"/>
            <w:vAlign w:val="center"/>
          </w:tcPr>
          <w:p w14:paraId="4C00A247" w14:textId="2F5813C2" w:rsidR="007F4D07" w:rsidRPr="00685063" w:rsidRDefault="00D747BE" w:rsidP="007F4D07">
            <w:pPr>
              <w:pStyle w:val="naisnod"/>
              <w:spacing w:before="0" w:after="0"/>
              <w:ind w:left="57" w:right="57"/>
              <w:jc w:val="left"/>
              <w:rPr>
                <w:b w:val="0"/>
                <w:sz w:val="28"/>
                <w:szCs w:val="28"/>
              </w:rPr>
            </w:pPr>
            <w:r w:rsidRPr="00685063">
              <w:rPr>
                <w:b w:val="0"/>
                <w:sz w:val="28"/>
                <w:szCs w:val="28"/>
              </w:rPr>
              <w:t>Sabiedrības līdzdalības rezultāti</w:t>
            </w:r>
          </w:p>
        </w:tc>
        <w:tc>
          <w:tcPr>
            <w:tcW w:w="3242" w:type="pct"/>
            <w:vAlign w:val="center"/>
          </w:tcPr>
          <w:p w14:paraId="7E353FF8" w14:textId="310EE0B6" w:rsidR="007F4D07" w:rsidRPr="00685063" w:rsidRDefault="00D747BE" w:rsidP="00336280">
            <w:pPr>
              <w:pStyle w:val="naisnod"/>
              <w:spacing w:before="0" w:after="0"/>
              <w:ind w:left="57" w:right="57"/>
              <w:jc w:val="both"/>
              <w:rPr>
                <w:b w:val="0"/>
                <w:sz w:val="28"/>
                <w:szCs w:val="28"/>
              </w:rPr>
            </w:pPr>
            <w:r w:rsidRPr="00685063">
              <w:rPr>
                <w:b w:val="0"/>
                <w:sz w:val="28"/>
                <w:szCs w:val="28"/>
              </w:rPr>
              <w:t xml:space="preserve">Pēc </w:t>
            </w:r>
            <w:r>
              <w:rPr>
                <w:b w:val="0"/>
                <w:sz w:val="28"/>
                <w:szCs w:val="28"/>
              </w:rPr>
              <w:t xml:space="preserve">Likumprojekta un tā anotācijas </w:t>
            </w:r>
            <w:r w:rsidRPr="00685063">
              <w:rPr>
                <w:b w:val="0"/>
                <w:sz w:val="28"/>
                <w:szCs w:val="28"/>
              </w:rPr>
              <w:t xml:space="preserve">publicēšanas VARAM tīmekļa vietnē </w:t>
            </w:r>
            <w:hyperlink r:id="rId12" w:history="1">
              <w:r w:rsidRPr="007725D3">
                <w:rPr>
                  <w:rStyle w:val="Hyperlink"/>
                  <w:b w:val="0"/>
                  <w:sz w:val="28"/>
                  <w:szCs w:val="28"/>
                </w:rPr>
                <w:t>www.varam.gov.lv</w:t>
              </w:r>
            </w:hyperlink>
            <w:r>
              <w:rPr>
                <w:b w:val="0"/>
                <w:sz w:val="28"/>
                <w:szCs w:val="28"/>
              </w:rPr>
              <w:t xml:space="preserve">, </w:t>
            </w:r>
            <w:r w:rsidRPr="0089609B">
              <w:rPr>
                <w:b w:val="0"/>
                <w:sz w:val="28"/>
                <w:szCs w:val="28"/>
              </w:rPr>
              <w:t>nav saņemtas atsauksmes, iebildumi vai priekšlikumi</w:t>
            </w:r>
            <w:r w:rsidRPr="00CB25BE">
              <w:rPr>
                <w:b w:val="0"/>
                <w:sz w:val="28"/>
                <w:szCs w:val="28"/>
              </w:rPr>
              <w:t>.</w:t>
            </w:r>
          </w:p>
        </w:tc>
      </w:tr>
      <w:tr w:rsidR="006C1406" w14:paraId="6C1AC602" w14:textId="65F30FE3" w:rsidTr="00DD0AAF">
        <w:trPr>
          <w:trHeight w:val="419"/>
        </w:trPr>
        <w:tc>
          <w:tcPr>
            <w:tcW w:w="218" w:type="pct"/>
            <w:vAlign w:val="center"/>
          </w:tcPr>
          <w:p w14:paraId="24EE7C14" w14:textId="340882F3" w:rsidR="007F4D07" w:rsidRPr="00685063" w:rsidRDefault="00D747BE" w:rsidP="00974354">
            <w:pPr>
              <w:pStyle w:val="naisnod"/>
              <w:spacing w:before="0" w:after="0"/>
              <w:ind w:left="57" w:right="57"/>
              <w:rPr>
                <w:b w:val="0"/>
                <w:sz w:val="28"/>
                <w:szCs w:val="28"/>
              </w:rPr>
            </w:pPr>
            <w:r w:rsidRPr="00685063">
              <w:rPr>
                <w:b w:val="0"/>
                <w:sz w:val="28"/>
                <w:szCs w:val="28"/>
              </w:rPr>
              <w:t>4.</w:t>
            </w:r>
          </w:p>
        </w:tc>
        <w:tc>
          <w:tcPr>
            <w:tcW w:w="1540" w:type="pct"/>
            <w:vAlign w:val="center"/>
          </w:tcPr>
          <w:p w14:paraId="3F0F4750" w14:textId="58576A79" w:rsidR="007F4D07" w:rsidRPr="00685063" w:rsidRDefault="00D747BE" w:rsidP="007F4D07">
            <w:pPr>
              <w:pStyle w:val="naisnod"/>
              <w:spacing w:before="0" w:after="0"/>
              <w:ind w:left="57" w:right="57"/>
              <w:jc w:val="left"/>
              <w:rPr>
                <w:b w:val="0"/>
                <w:sz w:val="28"/>
                <w:szCs w:val="28"/>
              </w:rPr>
            </w:pPr>
            <w:r w:rsidRPr="00685063">
              <w:rPr>
                <w:b w:val="0"/>
                <w:sz w:val="28"/>
                <w:szCs w:val="28"/>
              </w:rPr>
              <w:t>Cita informācija</w:t>
            </w:r>
          </w:p>
        </w:tc>
        <w:tc>
          <w:tcPr>
            <w:tcW w:w="3242" w:type="pct"/>
            <w:vAlign w:val="center"/>
          </w:tcPr>
          <w:p w14:paraId="38B57545" w14:textId="71AD55C8" w:rsidR="007F4D07" w:rsidRPr="00685063" w:rsidRDefault="00D747BE" w:rsidP="00DD0AAF">
            <w:pPr>
              <w:pStyle w:val="naisnod"/>
              <w:spacing w:before="0" w:after="0"/>
              <w:ind w:left="57" w:right="57"/>
              <w:jc w:val="left"/>
              <w:rPr>
                <w:b w:val="0"/>
                <w:sz w:val="28"/>
                <w:szCs w:val="28"/>
              </w:rPr>
            </w:pPr>
            <w:r w:rsidRPr="00685063">
              <w:rPr>
                <w:b w:val="0"/>
                <w:sz w:val="28"/>
                <w:szCs w:val="28"/>
              </w:rPr>
              <w:t>Nav</w:t>
            </w:r>
          </w:p>
        </w:tc>
      </w:tr>
    </w:tbl>
    <w:p w14:paraId="129CDF69" w14:textId="78C4C71A" w:rsidR="004F1D2C" w:rsidRPr="00685063" w:rsidRDefault="00AF2576" w:rsidP="00974354">
      <w:pPr>
        <w:rPr>
          <w:rFonts w:eastAsiaTheme="minorHAnsi"/>
          <w:sz w:val="28"/>
          <w:szCs w:val="28"/>
          <w:lang w:eastAsia="en-US"/>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848"/>
        <w:gridCol w:w="5821"/>
      </w:tblGrid>
      <w:tr w:rsidR="006C1406" w14:paraId="5E94D6C6" w14:textId="77777777" w:rsidTr="00AE46B4">
        <w:trPr>
          <w:trHeight w:val="419"/>
        </w:trPr>
        <w:tc>
          <w:tcPr>
            <w:tcW w:w="5000" w:type="pct"/>
            <w:gridSpan w:val="3"/>
            <w:vAlign w:val="center"/>
          </w:tcPr>
          <w:p w14:paraId="772842BA" w14:textId="77777777" w:rsidR="00877D0D" w:rsidRPr="00685063" w:rsidRDefault="00D747BE" w:rsidP="00974354">
            <w:pPr>
              <w:pStyle w:val="naisnod"/>
              <w:spacing w:before="0" w:after="0"/>
              <w:ind w:left="57" w:right="57"/>
              <w:rPr>
                <w:b w:val="0"/>
                <w:sz w:val="28"/>
                <w:szCs w:val="28"/>
              </w:rPr>
            </w:pPr>
            <w:r w:rsidRPr="00685063">
              <w:rPr>
                <w:sz w:val="28"/>
                <w:szCs w:val="28"/>
              </w:rPr>
              <w:t> VII. Tiesību akta projekta izpildes nodrošināšana un tās ietekme uz institūcijām</w:t>
            </w:r>
          </w:p>
        </w:tc>
      </w:tr>
      <w:tr w:rsidR="006C1406" w14:paraId="61636CCA" w14:textId="77777777" w:rsidTr="00AE46B4">
        <w:trPr>
          <w:trHeight w:val="693"/>
        </w:trPr>
        <w:tc>
          <w:tcPr>
            <w:tcW w:w="227" w:type="pct"/>
          </w:tcPr>
          <w:p w14:paraId="0F0057DA" w14:textId="77777777" w:rsidR="00877D0D" w:rsidRPr="00685063" w:rsidRDefault="00D747BE" w:rsidP="00974354">
            <w:pPr>
              <w:pStyle w:val="naiskr"/>
              <w:spacing w:before="0" w:after="0"/>
              <w:ind w:left="57" w:right="57"/>
              <w:jc w:val="center"/>
              <w:rPr>
                <w:sz w:val="28"/>
                <w:szCs w:val="28"/>
              </w:rPr>
            </w:pPr>
            <w:r w:rsidRPr="00685063">
              <w:rPr>
                <w:sz w:val="28"/>
                <w:szCs w:val="28"/>
              </w:rPr>
              <w:t>1.</w:t>
            </w:r>
          </w:p>
        </w:tc>
        <w:tc>
          <w:tcPr>
            <w:tcW w:w="1568" w:type="pct"/>
          </w:tcPr>
          <w:p w14:paraId="1B370B95" w14:textId="77777777" w:rsidR="00877D0D" w:rsidRPr="00685063" w:rsidRDefault="00D747BE" w:rsidP="00974354">
            <w:pPr>
              <w:pStyle w:val="naiskr"/>
              <w:spacing w:before="0" w:after="0"/>
              <w:ind w:left="57" w:right="57"/>
              <w:rPr>
                <w:sz w:val="28"/>
                <w:szCs w:val="28"/>
              </w:rPr>
            </w:pPr>
            <w:r w:rsidRPr="00685063">
              <w:rPr>
                <w:sz w:val="28"/>
                <w:szCs w:val="28"/>
              </w:rPr>
              <w:t>Projekta izpildē iesaistītās institūcijas</w:t>
            </w:r>
          </w:p>
        </w:tc>
        <w:tc>
          <w:tcPr>
            <w:tcW w:w="3205" w:type="pct"/>
          </w:tcPr>
          <w:p w14:paraId="29C40E40" w14:textId="140D7CB2" w:rsidR="00877D0D" w:rsidRPr="00685063" w:rsidRDefault="00D747BE" w:rsidP="00FC37A3">
            <w:pPr>
              <w:ind w:left="57" w:right="57"/>
              <w:jc w:val="both"/>
              <w:rPr>
                <w:sz w:val="28"/>
                <w:szCs w:val="28"/>
              </w:rPr>
            </w:pPr>
            <w:r w:rsidRPr="00685063">
              <w:rPr>
                <w:sz w:val="28"/>
                <w:szCs w:val="28"/>
              </w:rPr>
              <w:t>VARAM</w:t>
            </w:r>
          </w:p>
        </w:tc>
      </w:tr>
      <w:tr w:rsidR="006C1406" w14:paraId="02212D24" w14:textId="77777777" w:rsidTr="00285CEA">
        <w:trPr>
          <w:trHeight w:val="836"/>
        </w:trPr>
        <w:tc>
          <w:tcPr>
            <w:tcW w:w="227" w:type="pct"/>
          </w:tcPr>
          <w:p w14:paraId="3E515C6C" w14:textId="77777777" w:rsidR="00877D0D" w:rsidRPr="00685063" w:rsidRDefault="00D747BE" w:rsidP="00974354">
            <w:pPr>
              <w:pStyle w:val="naiskr"/>
              <w:spacing w:before="0" w:after="0"/>
              <w:ind w:left="57" w:right="57"/>
              <w:jc w:val="center"/>
              <w:rPr>
                <w:sz w:val="28"/>
                <w:szCs w:val="28"/>
              </w:rPr>
            </w:pPr>
            <w:r w:rsidRPr="00685063">
              <w:rPr>
                <w:sz w:val="28"/>
                <w:szCs w:val="28"/>
              </w:rPr>
              <w:t>2.</w:t>
            </w:r>
          </w:p>
        </w:tc>
        <w:tc>
          <w:tcPr>
            <w:tcW w:w="1568" w:type="pct"/>
          </w:tcPr>
          <w:p w14:paraId="64FBDFE0" w14:textId="3F1414AB" w:rsidR="00877D0D" w:rsidRPr="00685063" w:rsidRDefault="00D747BE" w:rsidP="00285CEA">
            <w:pPr>
              <w:ind w:left="57" w:right="57"/>
              <w:jc w:val="both"/>
              <w:rPr>
                <w:sz w:val="28"/>
                <w:szCs w:val="28"/>
              </w:rPr>
            </w:pPr>
            <w:r w:rsidRPr="00685063">
              <w:rPr>
                <w:sz w:val="28"/>
                <w:szCs w:val="28"/>
              </w:rPr>
              <w:t xml:space="preserve">Projekta izpildes ietekme uz pārvaldes funkcijām un </w:t>
            </w:r>
            <w:r w:rsidRPr="00685063">
              <w:rPr>
                <w:sz w:val="28"/>
                <w:szCs w:val="28"/>
              </w:rPr>
              <w:lastRenderedPageBreak/>
              <w:t xml:space="preserve">institucionālo struktūru. </w:t>
            </w:r>
          </w:p>
        </w:tc>
        <w:tc>
          <w:tcPr>
            <w:tcW w:w="3205" w:type="pct"/>
          </w:tcPr>
          <w:p w14:paraId="2DC88EF6" w14:textId="77777777" w:rsidR="00877D0D" w:rsidRPr="00685063" w:rsidRDefault="00D747BE" w:rsidP="00974354">
            <w:pPr>
              <w:ind w:left="57" w:right="57"/>
              <w:jc w:val="both"/>
              <w:rPr>
                <w:sz w:val="28"/>
                <w:szCs w:val="28"/>
              </w:rPr>
            </w:pPr>
            <w:r w:rsidRPr="00685063">
              <w:rPr>
                <w:sz w:val="28"/>
                <w:szCs w:val="28"/>
              </w:rPr>
              <w:lastRenderedPageBreak/>
              <w:t>Jaunu institūciju izveide, esošu institūciju likvidācija vai reorganizācija netiek paredzēta.</w:t>
            </w:r>
          </w:p>
        </w:tc>
      </w:tr>
      <w:tr w:rsidR="006C1406" w14:paraId="6B3F1055" w14:textId="77777777" w:rsidTr="00285CEA">
        <w:trPr>
          <w:trHeight w:val="441"/>
        </w:trPr>
        <w:tc>
          <w:tcPr>
            <w:tcW w:w="227" w:type="pct"/>
          </w:tcPr>
          <w:p w14:paraId="4DCD7347" w14:textId="77777777" w:rsidR="00877D0D" w:rsidRPr="00685063" w:rsidRDefault="00D747BE" w:rsidP="00974354">
            <w:pPr>
              <w:pStyle w:val="naiskr"/>
              <w:spacing w:before="0" w:after="0"/>
              <w:ind w:left="57" w:right="57"/>
              <w:jc w:val="center"/>
              <w:rPr>
                <w:sz w:val="28"/>
                <w:szCs w:val="28"/>
              </w:rPr>
            </w:pPr>
            <w:r w:rsidRPr="00685063">
              <w:rPr>
                <w:sz w:val="28"/>
                <w:szCs w:val="28"/>
              </w:rPr>
              <w:lastRenderedPageBreak/>
              <w:t>3.</w:t>
            </w:r>
          </w:p>
        </w:tc>
        <w:tc>
          <w:tcPr>
            <w:tcW w:w="1568" w:type="pct"/>
          </w:tcPr>
          <w:p w14:paraId="5DCC4349" w14:textId="77777777" w:rsidR="00877D0D" w:rsidRPr="00685063" w:rsidRDefault="00D747BE" w:rsidP="00974354">
            <w:pPr>
              <w:pStyle w:val="naiskr"/>
              <w:spacing w:before="0" w:after="0"/>
              <w:ind w:left="57" w:right="57"/>
              <w:rPr>
                <w:sz w:val="28"/>
                <w:szCs w:val="28"/>
              </w:rPr>
            </w:pPr>
            <w:r w:rsidRPr="00685063">
              <w:rPr>
                <w:sz w:val="28"/>
                <w:szCs w:val="28"/>
              </w:rPr>
              <w:t>Cita informācija</w:t>
            </w:r>
          </w:p>
        </w:tc>
        <w:tc>
          <w:tcPr>
            <w:tcW w:w="3205" w:type="pct"/>
          </w:tcPr>
          <w:p w14:paraId="003E25DC" w14:textId="0E2EC98D" w:rsidR="00877D0D" w:rsidRPr="00685063" w:rsidRDefault="00D747BE" w:rsidP="00974354">
            <w:pPr>
              <w:ind w:left="57" w:right="57"/>
              <w:jc w:val="both"/>
              <w:rPr>
                <w:sz w:val="28"/>
                <w:szCs w:val="28"/>
              </w:rPr>
            </w:pPr>
            <w:r w:rsidRPr="00685063">
              <w:rPr>
                <w:sz w:val="28"/>
                <w:szCs w:val="28"/>
              </w:rPr>
              <w:t>Nav.</w:t>
            </w:r>
          </w:p>
        </w:tc>
      </w:tr>
    </w:tbl>
    <w:p w14:paraId="5BD6D010" w14:textId="77777777" w:rsidR="00B9733B" w:rsidRPr="002B49AE" w:rsidRDefault="00AF2576" w:rsidP="00974354">
      <w:pPr>
        <w:rPr>
          <w:rFonts w:eastAsiaTheme="minorHAnsi"/>
          <w:sz w:val="28"/>
          <w:szCs w:val="28"/>
          <w:lang w:eastAsia="en-US"/>
        </w:rPr>
      </w:pPr>
    </w:p>
    <w:p w14:paraId="5AF8CA68" w14:textId="77777777" w:rsidR="00B9733B" w:rsidRPr="00685063" w:rsidRDefault="00D747BE" w:rsidP="00974354">
      <w:pPr>
        <w:rPr>
          <w:rFonts w:eastAsia="Calibri"/>
          <w:sz w:val="28"/>
          <w:szCs w:val="28"/>
          <w:lang w:eastAsia="en-US"/>
        </w:rPr>
      </w:pPr>
      <w:r w:rsidRPr="00685063">
        <w:rPr>
          <w:rFonts w:eastAsia="Calibri"/>
          <w:sz w:val="28"/>
          <w:szCs w:val="28"/>
          <w:lang w:eastAsia="en-US"/>
        </w:rPr>
        <w:t xml:space="preserve">Vides aizsardzības un </w:t>
      </w:r>
    </w:p>
    <w:p w14:paraId="1579D465" w14:textId="77777777" w:rsidR="00B9733B" w:rsidRPr="00685063" w:rsidRDefault="00D747BE" w:rsidP="00974354">
      <w:pPr>
        <w:tabs>
          <w:tab w:val="right" w:pos="7938"/>
        </w:tabs>
        <w:rPr>
          <w:rFonts w:eastAsia="Calibri"/>
          <w:sz w:val="28"/>
          <w:szCs w:val="28"/>
          <w:lang w:eastAsia="en-US"/>
        </w:rPr>
      </w:pPr>
      <w:r w:rsidRPr="00685063">
        <w:rPr>
          <w:rFonts w:eastAsia="Calibri"/>
          <w:sz w:val="28"/>
          <w:szCs w:val="28"/>
          <w:lang w:eastAsia="en-US"/>
        </w:rPr>
        <w:t>reģionālās attīstības ministrs</w:t>
      </w:r>
      <w:r w:rsidRPr="00685063">
        <w:rPr>
          <w:rFonts w:eastAsia="Calibri"/>
          <w:sz w:val="28"/>
          <w:szCs w:val="28"/>
          <w:lang w:eastAsia="en-US"/>
        </w:rPr>
        <w:tab/>
        <w:t>K.Gerhards</w:t>
      </w:r>
    </w:p>
    <w:p w14:paraId="7DD5EDA5" w14:textId="77777777" w:rsidR="00B9733B" w:rsidRDefault="00AF2576" w:rsidP="00974354">
      <w:pPr>
        <w:rPr>
          <w:rFonts w:eastAsia="Calibri"/>
          <w:lang w:eastAsia="en-US"/>
        </w:rPr>
      </w:pPr>
    </w:p>
    <w:p w14:paraId="7F8E24A1" w14:textId="77777777" w:rsidR="001D2CFA" w:rsidRDefault="00AF2576" w:rsidP="00974354">
      <w:pPr>
        <w:rPr>
          <w:rFonts w:eastAsia="Calibri"/>
          <w:sz w:val="28"/>
          <w:szCs w:val="28"/>
          <w:lang w:eastAsia="en-US"/>
        </w:rPr>
      </w:pPr>
    </w:p>
    <w:p w14:paraId="3AEEEA6F" w14:textId="495B0410" w:rsidR="002B49AE" w:rsidRPr="00336280" w:rsidRDefault="00D747BE" w:rsidP="00974354">
      <w:pPr>
        <w:rPr>
          <w:rFonts w:eastAsia="Calibri"/>
          <w:sz w:val="28"/>
          <w:szCs w:val="28"/>
          <w:lang w:eastAsia="en-US"/>
        </w:rPr>
      </w:pPr>
      <w:r w:rsidRPr="00336280">
        <w:rPr>
          <w:rFonts w:eastAsia="Calibri"/>
          <w:sz w:val="28"/>
          <w:szCs w:val="28"/>
          <w:lang w:eastAsia="en-US"/>
        </w:rPr>
        <w:t>Vides aizsardzības un reģionālās attīstības ministrijas</w:t>
      </w:r>
    </w:p>
    <w:p w14:paraId="2A097F07" w14:textId="38025BE6" w:rsidR="002B49AE" w:rsidRPr="00336280" w:rsidRDefault="00D747BE" w:rsidP="00974354">
      <w:pPr>
        <w:rPr>
          <w:rFonts w:eastAsia="Calibri"/>
          <w:sz w:val="28"/>
          <w:szCs w:val="28"/>
          <w:lang w:eastAsia="en-US"/>
        </w:rPr>
      </w:pPr>
      <w:r>
        <w:rPr>
          <w:rFonts w:eastAsia="Calibri"/>
          <w:sz w:val="28"/>
          <w:szCs w:val="28"/>
          <w:lang w:eastAsia="en-US"/>
        </w:rPr>
        <w:t>v</w:t>
      </w:r>
      <w:r w:rsidRPr="00336280">
        <w:rPr>
          <w:rFonts w:eastAsia="Calibri"/>
          <w:sz w:val="28"/>
          <w:szCs w:val="28"/>
          <w:lang w:eastAsia="en-US"/>
        </w:rPr>
        <w:t>alsts sekretārs</w:t>
      </w:r>
      <w:proofErr w:type="gramStart"/>
      <w:r w:rsidRPr="00336280">
        <w:rPr>
          <w:rFonts w:eastAsia="Calibri"/>
          <w:sz w:val="28"/>
          <w:szCs w:val="28"/>
          <w:lang w:eastAsia="en-US"/>
        </w:rPr>
        <w:t xml:space="preserve">                                                   </w:t>
      </w:r>
      <w:r w:rsidRPr="002B49AE">
        <w:rPr>
          <w:rFonts w:eastAsia="Calibri"/>
          <w:sz w:val="28"/>
          <w:szCs w:val="28"/>
          <w:lang w:eastAsia="en-US"/>
        </w:rPr>
        <w:t xml:space="preserve">                   </w:t>
      </w:r>
      <w:r w:rsidRPr="00336280">
        <w:rPr>
          <w:rFonts w:eastAsia="Calibri"/>
          <w:sz w:val="28"/>
          <w:szCs w:val="28"/>
          <w:lang w:eastAsia="en-US"/>
        </w:rPr>
        <w:t xml:space="preserve"> </w:t>
      </w:r>
      <w:proofErr w:type="gramEnd"/>
      <w:r w:rsidRPr="00336280">
        <w:rPr>
          <w:rFonts w:eastAsia="Calibri"/>
          <w:sz w:val="28"/>
          <w:szCs w:val="28"/>
          <w:lang w:eastAsia="en-US"/>
        </w:rPr>
        <w:t>R.Muciņš</w:t>
      </w:r>
    </w:p>
    <w:p w14:paraId="44132536" w14:textId="77777777" w:rsidR="00536B71" w:rsidRPr="00685063" w:rsidRDefault="00AF2576" w:rsidP="00974354">
      <w:pPr>
        <w:rPr>
          <w:rFonts w:eastAsia="Calibri"/>
          <w:lang w:eastAsia="en-US"/>
        </w:rPr>
      </w:pPr>
    </w:p>
    <w:p w14:paraId="360854AC" w14:textId="77777777" w:rsidR="008C729E" w:rsidRDefault="00AF2576" w:rsidP="00974354">
      <w:pPr>
        <w:rPr>
          <w:rFonts w:eastAsia="Calibri"/>
          <w:lang w:eastAsia="en-US"/>
        </w:rPr>
      </w:pPr>
    </w:p>
    <w:p w14:paraId="1731022E" w14:textId="77777777" w:rsidR="00FD3933" w:rsidRDefault="00AF2576" w:rsidP="00974354">
      <w:pPr>
        <w:rPr>
          <w:rFonts w:eastAsia="Calibri"/>
          <w:lang w:eastAsia="en-US"/>
        </w:rPr>
      </w:pPr>
    </w:p>
    <w:p w14:paraId="4E2D4DC4" w14:textId="77777777" w:rsidR="00FD3933" w:rsidRPr="00685063" w:rsidRDefault="00AF2576" w:rsidP="00974354">
      <w:pPr>
        <w:rPr>
          <w:rFonts w:eastAsia="Calibri"/>
          <w:lang w:eastAsia="en-US"/>
        </w:rPr>
      </w:pPr>
    </w:p>
    <w:p w14:paraId="78A52931" w14:textId="77777777" w:rsidR="008C729E" w:rsidRPr="00685063" w:rsidRDefault="00AF2576" w:rsidP="00974354">
      <w:pPr>
        <w:rPr>
          <w:rFonts w:eastAsia="Calibri"/>
          <w:lang w:eastAsia="en-US"/>
        </w:rPr>
      </w:pPr>
    </w:p>
    <w:p w14:paraId="0BDD75E6" w14:textId="7A9E4880" w:rsidR="00B9733B" w:rsidRPr="00685063" w:rsidRDefault="00D747BE" w:rsidP="004732F5">
      <w:pPr>
        <w:tabs>
          <w:tab w:val="left" w:pos="5366"/>
        </w:tabs>
        <w:rPr>
          <w:rFonts w:eastAsia="Calibri"/>
          <w:lang w:eastAsia="en-US"/>
        </w:rPr>
      </w:pPr>
      <w:proofErr w:type="spellStart"/>
      <w:r w:rsidRPr="00685063">
        <w:rPr>
          <w:rFonts w:eastAsia="Calibri"/>
          <w:lang w:eastAsia="en-US"/>
        </w:rPr>
        <w:t>Vilne</w:t>
      </w:r>
      <w:proofErr w:type="spellEnd"/>
      <w:r w:rsidRPr="00685063">
        <w:rPr>
          <w:rFonts w:eastAsia="Calibri"/>
          <w:lang w:eastAsia="en-US"/>
        </w:rPr>
        <w:t xml:space="preserve"> 67026437</w:t>
      </w:r>
      <w:r>
        <w:rPr>
          <w:rFonts w:eastAsia="Calibri"/>
          <w:lang w:eastAsia="en-US"/>
        </w:rPr>
        <w:tab/>
      </w:r>
    </w:p>
    <w:p w14:paraId="4A00C222" w14:textId="63455C62" w:rsidR="00F51E58" w:rsidRPr="00185873" w:rsidRDefault="00AF2576" w:rsidP="00974354">
      <w:pPr>
        <w:rPr>
          <w:rStyle w:val="Hyperlink"/>
          <w:rFonts w:eastAsia="Calibri"/>
          <w:color w:val="auto"/>
          <w:lang w:eastAsia="en-US"/>
        </w:rPr>
      </w:pPr>
      <w:hyperlink r:id="rId13" w:history="1">
        <w:r w:rsidR="00D747BE" w:rsidRPr="00336280">
          <w:rPr>
            <w:rStyle w:val="Hyperlink"/>
            <w:rFonts w:eastAsia="Calibri"/>
            <w:lang w:eastAsia="en-US"/>
          </w:rPr>
          <w:t>ilona.vilne@varam.gov.lv</w:t>
        </w:r>
      </w:hyperlink>
    </w:p>
    <w:p w14:paraId="264CD792" w14:textId="77777777" w:rsidR="007F4D07" w:rsidRPr="00685063" w:rsidRDefault="00AF2576" w:rsidP="00974354">
      <w:pPr>
        <w:rPr>
          <w:rStyle w:val="Hyperlink"/>
          <w:rFonts w:eastAsia="Calibri"/>
          <w:color w:val="auto"/>
          <w:lang w:eastAsia="en-US"/>
        </w:rPr>
      </w:pPr>
    </w:p>
    <w:p w14:paraId="6CF6BEA6" w14:textId="1CA1CDE5" w:rsidR="007F4D07" w:rsidRPr="00685063" w:rsidRDefault="00AF2576" w:rsidP="00974354">
      <w:pPr>
        <w:rPr>
          <w:rFonts w:eastAsia="Calibri"/>
          <w:lang w:eastAsia="en-US"/>
        </w:rPr>
      </w:pPr>
    </w:p>
    <w:sectPr w:rsidR="007F4D07" w:rsidRPr="00685063" w:rsidSect="00576B0D">
      <w:headerReference w:type="default" r:id="rId14"/>
      <w:footerReference w:type="even" r:id="rId15"/>
      <w:footerReference w:type="default" r:id="rId16"/>
      <w:footerReference w:type="first" r:id="rId17"/>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520FD" w14:textId="77777777" w:rsidR="00AF2576" w:rsidRDefault="00AF2576">
      <w:r>
        <w:separator/>
      </w:r>
    </w:p>
  </w:endnote>
  <w:endnote w:type="continuationSeparator" w:id="0">
    <w:p w14:paraId="5C539BFC" w14:textId="77777777" w:rsidR="00AF2576" w:rsidRDefault="00AF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BAFD1" w14:textId="77777777" w:rsidR="00376AE3" w:rsidRDefault="00AF2576" w:rsidP="00820F1A">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CAC96" w14:textId="1EE733E1" w:rsidR="00376AE3" w:rsidRPr="00336280" w:rsidRDefault="00D747BE" w:rsidP="00336280">
    <w:pPr>
      <w:jc w:val="both"/>
    </w:pPr>
    <w:r w:rsidRPr="00336280">
      <w:t>VARAMAnot_</w:t>
    </w:r>
    <w:r>
      <w:t>0506</w:t>
    </w:r>
    <w:r w:rsidRPr="00336280">
      <w:t xml:space="preserve">17_UPLgroz;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79ADE" w14:textId="6D6F4F11" w:rsidR="00376AE3" w:rsidRPr="001D2CFA" w:rsidRDefault="00D747BE" w:rsidP="00336280">
    <w:pPr>
      <w:pStyle w:val="Footer"/>
      <w:jc w:val="both"/>
    </w:pPr>
    <w:r>
      <w:t>VARAMAnot_0506</w:t>
    </w:r>
    <w:r w:rsidRPr="00336280">
      <w:t xml:space="preserve">17_UPLgroz;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4414D" w14:textId="77777777" w:rsidR="00AF2576" w:rsidRDefault="00AF2576">
      <w:r>
        <w:separator/>
      </w:r>
    </w:p>
  </w:footnote>
  <w:footnote w:type="continuationSeparator" w:id="0">
    <w:p w14:paraId="79956806" w14:textId="77777777" w:rsidR="00AF2576" w:rsidRDefault="00AF2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378777"/>
      <w:docPartObj>
        <w:docPartGallery w:val="Page Numbers (Top of Page)"/>
        <w:docPartUnique/>
      </w:docPartObj>
    </w:sdtPr>
    <w:sdtEndPr>
      <w:rPr>
        <w:noProof/>
      </w:rPr>
    </w:sdtEndPr>
    <w:sdtContent>
      <w:p w14:paraId="118C111C" w14:textId="77777777" w:rsidR="00376AE3" w:rsidRDefault="00D747BE">
        <w:pPr>
          <w:pStyle w:val="Header"/>
          <w:jc w:val="center"/>
        </w:pPr>
        <w:r>
          <w:fldChar w:fldCharType="begin"/>
        </w:r>
        <w:r>
          <w:instrText xml:space="preserve"> PAGE   \* MERGEFORMAT </w:instrText>
        </w:r>
        <w:r>
          <w:fldChar w:fldCharType="separate"/>
        </w:r>
        <w:r w:rsidR="00EA7C8B">
          <w:rPr>
            <w:noProof/>
          </w:rPr>
          <w:t>6</w:t>
        </w:r>
        <w:r>
          <w:rPr>
            <w:noProof/>
          </w:rPr>
          <w:fldChar w:fldCharType="end"/>
        </w:r>
      </w:p>
    </w:sdtContent>
  </w:sdt>
  <w:p w14:paraId="45791472" w14:textId="77777777" w:rsidR="00376AE3" w:rsidRDefault="00AF2576" w:rsidP="0033628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253"/>
    <w:multiLevelType w:val="hybridMultilevel"/>
    <w:tmpl w:val="DD1AC408"/>
    <w:lvl w:ilvl="0" w:tplc="6F2672EC">
      <w:start w:val="1"/>
      <w:numFmt w:val="decimal"/>
      <w:lvlText w:val="%1)"/>
      <w:lvlJc w:val="left"/>
      <w:pPr>
        <w:ind w:left="720" w:hanging="360"/>
      </w:pPr>
      <w:rPr>
        <w:rFonts w:hint="default"/>
      </w:rPr>
    </w:lvl>
    <w:lvl w:ilvl="1" w:tplc="3AE0F492" w:tentative="1">
      <w:start w:val="1"/>
      <w:numFmt w:val="lowerLetter"/>
      <w:lvlText w:val="%2."/>
      <w:lvlJc w:val="left"/>
      <w:pPr>
        <w:ind w:left="1440" w:hanging="360"/>
      </w:pPr>
    </w:lvl>
    <w:lvl w:ilvl="2" w:tplc="4EF6A5BE" w:tentative="1">
      <w:start w:val="1"/>
      <w:numFmt w:val="lowerRoman"/>
      <w:lvlText w:val="%3."/>
      <w:lvlJc w:val="right"/>
      <w:pPr>
        <w:ind w:left="2160" w:hanging="180"/>
      </w:pPr>
    </w:lvl>
    <w:lvl w:ilvl="3" w:tplc="18EA3FAE" w:tentative="1">
      <w:start w:val="1"/>
      <w:numFmt w:val="decimal"/>
      <w:lvlText w:val="%4."/>
      <w:lvlJc w:val="left"/>
      <w:pPr>
        <w:ind w:left="2880" w:hanging="360"/>
      </w:pPr>
    </w:lvl>
    <w:lvl w:ilvl="4" w:tplc="8632AE2E" w:tentative="1">
      <w:start w:val="1"/>
      <w:numFmt w:val="lowerLetter"/>
      <w:lvlText w:val="%5."/>
      <w:lvlJc w:val="left"/>
      <w:pPr>
        <w:ind w:left="3600" w:hanging="360"/>
      </w:pPr>
    </w:lvl>
    <w:lvl w:ilvl="5" w:tplc="86D07B2E" w:tentative="1">
      <w:start w:val="1"/>
      <w:numFmt w:val="lowerRoman"/>
      <w:lvlText w:val="%6."/>
      <w:lvlJc w:val="right"/>
      <w:pPr>
        <w:ind w:left="4320" w:hanging="180"/>
      </w:pPr>
    </w:lvl>
    <w:lvl w:ilvl="6" w:tplc="28E8AE92" w:tentative="1">
      <w:start w:val="1"/>
      <w:numFmt w:val="decimal"/>
      <w:lvlText w:val="%7."/>
      <w:lvlJc w:val="left"/>
      <w:pPr>
        <w:ind w:left="5040" w:hanging="360"/>
      </w:pPr>
    </w:lvl>
    <w:lvl w:ilvl="7" w:tplc="CDEC7EDA" w:tentative="1">
      <w:start w:val="1"/>
      <w:numFmt w:val="lowerLetter"/>
      <w:lvlText w:val="%8."/>
      <w:lvlJc w:val="left"/>
      <w:pPr>
        <w:ind w:left="5760" w:hanging="360"/>
      </w:pPr>
    </w:lvl>
    <w:lvl w:ilvl="8" w:tplc="101A2B30" w:tentative="1">
      <w:start w:val="1"/>
      <w:numFmt w:val="lowerRoman"/>
      <w:lvlText w:val="%9."/>
      <w:lvlJc w:val="right"/>
      <w:pPr>
        <w:ind w:left="6480" w:hanging="180"/>
      </w:pPr>
    </w:lvl>
  </w:abstractNum>
  <w:abstractNum w:abstractNumId="1">
    <w:nsid w:val="5CF73442"/>
    <w:multiLevelType w:val="hybridMultilevel"/>
    <w:tmpl w:val="F06E7496"/>
    <w:lvl w:ilvl="0" w:tplc="7D849DF8">
      <w:start w:val="1"/>
      <w:numFmt w:val="decimal"/>
      <w:lvlText w:val="%1)"/>
      <w:lvlJc w:val="left"/>
      <w:pPr>
        <w:ind w:left="720" w:hanging="360"/>
      </w:pPr>
      <w:rPr>
        <w:rFonts w:hint="default"/>
      </w:rPr>
    </w:lvl>
    <w:lvl w:ilvl="1" w:tplc="9CE6C740" w:tentative="1">
      <w:start w:val="1"/>
      <w:numFmt w:val="lowerLetter"/>
      <w:lvlText w:val="%2."/>
      <w:lvlJc w:val="left"/>
      <w:pPr>
        <w:ind w:left="1440" w:hanging="360"/>
      </w:pPr>
    </w:lvl>
    <w:lvl w:ilvl="2" w:tplc="6F7442C8" w:tentative="1">
      <w:start w:val="1"/>
      <w:numFmt w:val="lowerRoman"/>
      <w:lvlText w:val="%3."/>
      <w:lvlJc w:val="right"/>
      <w:pPr>
        <w:ind w:left="2160" w:hanging="180"/>
      </w:pPr>
    </w:lvl>
    <w:lvl w:ilvl="3" w:tplc="6D8E531C" w:tentative="1">
      <w:start w:val="1"/>
      <w:numFmt w:val="decimal"/>
      <w:lvlText w:val="%4."/>
      <w:lvlJc w:val="left"/>
      <w:pPr>
        <w:ind w:left="2880" w:hanging="360"/>
      </w:pPr>
    </w:lvl>
    <w:lvl w:ilvl="4" w:tplc="F0385728" w:tentative="1">
      <w:start w:val="1"/>
      <w:numFmt w:val="lowerLetter"/>
      <w:lvlText w:val="%5."/>
      <w:lvlJc w:val="left"/>
      <w:pPr>
        <w:ind w:left="3600" w:hanging="360"/>
      </w:pPr>
    </w:lvl>
    <w:lvl w:ilvl="5" w:tplc="F1E2361A" w:tentative="1">
      <w:start w:val="1"/>
      <w:numFmt w:val="lowerRoman"/>
      <w:lvlText w:val="%6."/>
      <w:lvlJc w:val="right"/>
      <w:pPr>
        <w:ind w:left="4320" w:hanging="180"/>
      </w:pPr>
    </w:lvl>
    <w:lvl w:ilvl="6" w:tplc="06400FEE" w:tentative="1">
      <w:start w:val="1"/>
      <w:numFmt w:val="decimal"/>
      <w:lvlText w:val="%7."/>
      <w:lvlJc w:val="left"/>
      <w:pPr>
        <w:ind w:left="5040" w:hanging="360"/>
      </w:pPr>
    </w:lvl>
    <w:lvl w:ilvl="7" w:tplc="6CB623A6" w:tentative="1">
      <w:start w:val="1"/>
      <w:numFmt w:val="lowerLetter"/>
      <w:lvlText w:val="%8."/>
      <w:lvlJc w:val="left"/>
      <w:pPr>
        <w:ind w:left="5760" w:hanging="360"/>
      </w:pPr>
    </w:lvl>
    <w:lvl w:ilvl="8" w:tplc="1E805F20"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Madara Gaile">
    <w15:presenceInfo w15:providerId="AD" w15:userId="S-1-5-21-1177238915-1417001333-839522115-14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06"/>
    <w:rsid w:val="005F54C3"/>
    <w:rsid w:val="006C1406"/>
    <w:rsid w:val="00820F1A"/>
    <w:rsid w:val="00AF2576"/>
    <w:rsid w:val="00D747BE"/>
    <w:rsid w:val="00EA7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E8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33B"/>
    <w:rPr>
      <w:color w:val="0000FF"/>
      <w:u w:val="single"/>
    </w:rPr>
  </w:style>
  <w:style w:type="paragraph" w:styleId="Header">
    <w:name w:val="header"/>
    <w:basedOn w:val="Normal"/>
    <w:link w:val="HeaderChar"/>
    <w:uiPriority w:val="99"/>
    <w:unhideWhenUsed/>
    <w:rsid w:val="00E6055F"/>
    <w:pPr>
      <w:tabs>
        <w:tab w:val="center" w:pos="4153"/>
        <w:tab w:val="right" w:pos="8306"/>
      </w:tabs>
    </w:pPr>
  </w:style>
  <w:style w:type="character" w:customStyle="1" w:styleId="HeaderChar">
    <w:name w:val="Header Char"/>
    <w:basedOn w:val="DefaultParagraphFont"/>
    <w:link w:val="Header"/>
    <w:uiPriority w:val="99"/>
    <w:rsid w:val="00E6055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6055F"/>
    <w:pPr>
      <w:tabs>
        <w:tab w:val="center" w:pos="4153"/>
        <w:tab w:val="right" w:pos="8306"/>
      </w:tabs>
    </w:pPr>
  </w:style>
  <w:style w:type="character" w:customStyle="1" w:styleId="FooterChar">
    <w:name w:val="Footer Char"/>
    <w:basedOn w:val="DefaultParagraphFont"/>
    <w:link w:val="Footer"/>
    <w:uiPriority w:val="99"/>
    <w:rsid w:val="00E6055F"/>
    <w:rPr>
      <w:rFonts w:ascii="Times New Roman" w:eastAsia="Times New Roman" w:hAnsi="Times New Roman" w:cs="Times New Roman"/>
      <w:sz w:val="24"/>
      <w:szCs w:val="24"/>
      <w:lang w:eastAsia="lv-LV"/>
    </w:rPr>
  </w:style>
  <w:style w:type="paragraph" w:customStyle="1" w:styleId="naisf">
    <w:name w:val="naisf"/>
    <w:basedOn w:val="Normal"/>
    <w:uiPriority w:val="99"/>
    <w:rsid w:val="0000062A"/>
    <w:pPr>
      <w:spacing w:before="75" w:after="75"/>
      <w:ind w:firstLine="375"/>
      <w:jc w:val="both"/>
    </w:pPr>
  </w:style>
  <w:style w:type="paragraph" w:customStyle="1" w:styleId="naisnod">
    <w:name w:val="naisnod"/>
    <w:basedOn w:val="Normal"/>
    <w:rsid w:val="0000062A"/>
    <w:pPr>
      <w:spacing w:before="150" w:after="150"/>
      <w:jc w:val="center"/>
    </w:pPr>
    <w:rPr>
      <w:b/>
      <w:bCs/>
    </w:rPr>
  </w:style>
  <w:style w:type="paragraph" w:styleId="BodyTextIndent3">
    <w:name w:val="Body Text Indent 3"/>
    <w:basedOn w:val="Normal"/>
    <w:link w:val="BodyTextIndent3Char"/>
    <w:rsid w:val="00887AC6"/>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887AC6"/>
    <w:rPr>
      <w:rFonts w:ascii="Times New Roman" w:eastAsia="Times New Roman" w:hAnsi="Times New Roman" w:cs="Times New Roman"/>
      <w:sz w:val="16"/>
      <w:szCs w:val="16"/>
      <w:lang w:val="x-none" w:eastAsia="x-none"/>
    </w:rPr>
  </w:style>
  <w:style w:type="paragraph" w:customStyle="1" w:styleId="tv2132">
    <w:name w:val="tv2132"/>
    <w:basedOn w:val="Normal"/>
    <w:rsid w:val="00ED09AF"/>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E02545"/>
    <w:pPr>
      <w:widowControl w:val="0"/>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E02545"/>
    <w:rPr>
      <w:rFonts w:ascii="Tahoma" w:eastAsia="Calibri" w:hAnsi="Tahoma" w:cs="Times New Roman"/>
      <w:sz w:val="16"/>
      <w:szCs w:val="16"/>
    </w:rPr>
  </w:style>
  <w:style w:type="paragraph" w:customStyle="1" w:styleId="naiskr">
    <w:name w:val="naiskr"/>
    <w:basedOn w:val="Normal"/>
    <w:uiPriority w:val="99"/>
    <w:rsid w:val="00F63EFC"/>
    <w:pPr>
      <w:spacing w:before="75" w:after="75"/>
    </w:pPr>
  </w:style>
  <w:style w:type="character" w:styleId="CommentReference">
    <w:name w:val="annotation reference"/>
    <w:basedOn w:val="DefaultParagraphFont"/>
    <w:uiPriority w:val="99"/>
    <w:semiHidden/>
    <w:unhideWhenUsed/>
    <w:rsid w:val="003E686B"/>
    <w:rPr>
      <w:sz w:val="16"/>
      <w:szCs w:val="16"/>
    </w:rPr>
  </w:style>
  <w:style w:type="paragraph" w:styleId="CommentText">
    <w:name w:val="annotation text"/>
    <w:basedOn w:val="Normal"/>
    <w:link w:val="CommentTextChar"/>
    <w:uiPriority w:val="99"/>
    <w:semiHidden/>
    <w:unhideWhenUsed/>
    <w:rsid w:val="003E686B"/>
    <w:rPr>
      <w:sz w:val="20"/>
      <w:szCs w:val="20"/>
    </w:rPr>
  </w:style>
  <w:style w:type="character" w:customStyle="1" w:styleId="CommentTextChar">
    <w:name w:val="Comment Text Char"/>
    <w:basedOn w:val="DefaultParagraphFont"/>
    <w:link w:val="CommentText"/>
    <w:uiPriority w:val="99"/>
    <w:semiHidden/>
    <w:rsid w:val="003E686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E686B"/>
    <w:rPr>
      <w:b/>
      <w:bCs/>
    </w:rPr>
  </w:style>
  <w:style w:type="character" w:customStyle="1" w:styleId="CommentSubjectChar">
    <w:name w:val="Comment Subject Char"/>
    <w:basedOn w:val="CommentTextChar"/>
    <w:link w:val="CommentSubject"/>
    <w:uiPriority w:val="99"/>
    <w:semiHidden/>
    <w:rsid w:val="003E686B"/>
    <w:rPr>
      <w:rFonts w:ascii="Times New Roman" w:eastAsia="Times New Roman" w:hAnsi="Times New Roman" w:cs="Times New Roman"/>
      <w:b/>
      <w:bCs/>
      <w:sz w:val="20"/>
      <w:szCs w:val="20"/>
      <w:lang w:eastAsia="lv-LV"/>
    </w:rPr>
  </w:style>
  <w:style w:type="paragraph" w:styleId="Revision">
    <w:name w:val="Revision"/>
    <w:hidden/>
    <w:uiPriority w:val="99"/>
    <w:semiHidden/>
    <w:rsid w:val="00820F1A"/>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E8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33B"/>
    <w:rPr>
      <w:color w:val="0000FF"/>
      <w:u w:val="single"/>
    </w:rPr>
  </w:style>
  <w:style w:type="paragraph" w:styleId="Header">
    <w:name w:val="header"/>
    <w:basedOn w:val="Normal"/>
    <w:link w:val="HeaderChar"/>
    <w:uiPriority w:val="99"/>
    <w:unhideWhenUsed/>
    <w:rsid w:val="00E6055F"/>
    <w:pPr>
      <w:tabs>
        <w:tab w:val="center" w:pos="4153"/>
        <w:tab w:val="right" w:pos="8306"/>
      </w:tabs>
    </w:pPr>
  </w:style>
  <w:style w:type="character" w:customStyle="1" w:styleId="HeaderChar">
    <w:name w:val="Header Char"/>
    <w:basedOn w:val="DefaultParagraphFont"/>
    <w:link w:val="Header"/>
    <w:uiPriority w:val="99"/>
    <w:rsid w:val="00E6055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6055F"/>
    <w:pPr>
      <w:tabs>
        <w:tab w:val="center" w:pos="4153"/>
        <w:tab w:val="right" w:pos="8306"/>
      </w:tabs>
    </w:pPr>
  </w:style>
  <w:style w:type="character" w:customStyle="1" w:styleId="FooterChar">
    <w:name w:val="Footer Char"/>
    <w:basedOn w:val="DefaultParagraphFont"/>
    <w:link w:val="Footer"/>
    <w:uiPriority w:val="99"/>
    <w:rsid w:val="00E6055F"/>
    <w:rPr>
      <w:rFonts w:ascii="Times New Roman" w:eastAsia="Times New Roman" w:hAnsi="Times New Roman" w:cs="Times New Roman"/>
      <w:sz w:val="24"/>
      <w:szCs w:val="24"/>
      <w:lang w:eastAsia="lv-LV"/>
    </w:rPr>
  </w:style>
  <w:style w:type="paragraph" w:customStyle="1" w:styleId="naisf">
    <w:name w:val="naisf"/>
    <w:basedOn w:val="Normal"/>
    <w:uiPriority w:val="99"/>
    <w:rsid w:val="0000062A"/>
    <w:pPr>
      <w:spacing w:before="75" w:after="75"/>
      <w:ind w:firstLine="375"/>
      <w:jc w:val="both"/>
    </w:pPr>
  </w:style>
  <w:style w:type="paragraph" w:customStyle="1" w:styleId="naisnod">
    <w:name w:val="naisnod"/>
    <w:basedOn w:val="Normal"/>
    <w:rsid w:val="0000062A"/>
    <w:pPr>
      <w:spacing w:before="150" w:after="150"/>
      <w:jc w:val="center"/>
    </w:pPr>
    <w:rPr>
      <w:b/>
      <w:bCs/>
    </w:rPr>
  </w:style>
  <w:style w:type="paragraph" w:styleId="BodyTextIndent3">
    <w:name w:val="Body Text Indent 3"/>
    <w:basedOn w:val="Normal"/>
    <w:link w:val="BodyTextIndent3Char"/>
    <w:rsid w:val="00887AC6"/>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887AC6"/>
    <w:rPr>
      <w:rFonts w:ascii="Times New Roman" w:eastAsia="Times New Roman" w:hAnsi="Times New Roman" w:cs="Times New Roman"/>
      <w:sz w:val="16"/>
      <w:szCs w:val="16"/>
      <w:lang w:val="x-none" w:eastAsia="x-none"/>
    </w:rPr>
  </w:style>
  <w:style w:type="paragraph" w:customStyle="1" w:styleId="tv2132">
    <w:name w:val="tv2132"/>
    <w:basedOn w:val="Normal"/>
    <w:rsid w:val="00ED09AF"/>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E02545"/>
    <w:pPr>
      <w:widowControl w:val="0"/>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E02545"/>
    <w:rPr>
      <w:rFonts w:ascii="Tahoma" w:eastAsia="Calibri" w:hAnsi="Tahoma" w:cs="Times New Roman"/>
      <w:sz w:val="16"/>
      <w:szCs w:val="16"/>
    </w:rPr>
  </w:style>
  <w:style w:type="paragraph" w:customStyle="1" w:styleId="naiskr">
    <w:name w:val="naiskr"/>
    <w:basedOn w:val="Normal"/>
    <w:uiPriority w:val="99"/>
    <w:rsid w:val="00F63EFC"/>
    <w:pPr>
      <w:spacing w:before="75" w:after="75"/>
    </w:pPr>
  </w:style>
  <w:style w:type="character" w:styleId="CommentReference">
    <w:name w:val="annotation reference"/>
    <w:basedOn w:val="DefaultParagraphFont"/>
    <w:uiPriority w:val="99"/>
    <w:semiHidden/>
    <w:unhideWhenUsed/>
    <w:rsid w:val="003E686B"/>
    <w:rPr>
      <w:sz w:val="16"/>
      <w:szCs w:val="16"/>
    </w:rPr>
  </w:style>
  <w:style w:type="paragraph" w:styleId="CommentText">
    <w:name w:val="annotation text"/>
    <w:basedOn w:val="Normal"/>
    <w:link w:val="CommentTextChar"/>
    <w:uiPriority w:val="99"/>
    <w:semiHidden/>
    <w:unhideWhenUsed/>
    <w:rsid w:val="003E686B"/>
    <w:rPr>
      <w:sz w:val="20"/>
      <w:szCs w:val="20"/>
    </w:rPr>
  </w:style>
  <w:style w:type="character" w:customStyle="1" w:styleId="CommentTextChar">
    <w:name w:val="Comment Text Char"/>
    <w:basedOn w:val="DefaultParagraphFont"/>
    <w:link w:val="CommentText"/>
    <w:uiPriority w:val="99"/>
    <w:semiHidden/>
    <w:rsid w:val="003E686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E686B"/>
    <w:rPr>
      <w:b/>
      <w:bCs/>
    </w:rPr>
  </w:style>
  <w:style w:type="character" w:customStyle="1" w:styleId="CommentSubjectChar">
    <w:name w:val="Comment Subject Char"/>
    <w:basedOn w:val="CommentTextChar"/>
    <w:link w:val="CommentSubject"/>
    <w:uiPriority w:val="99"/>
    <w:semiHidden/>
    <w:rsid w:val="003E686B"/>
    <w:rPr>
      <w:rFonts w:ascii="Times New Roman" w:eastAsia="Times New Roman" w:hAnsi="Times New Roman" w:cs="Times New Roman"/>
      <w:b/>
      <w:bCs/>
      <w:sz w:val="20"/>
      <w:szCs w:val="20"/>
      <w:lang w:eastAsia="lv-LV"/>
    </w:rPr>
  </w:style>
  <w:style w:type="paragraph" w:styleId="Revision">
    <w:name w:val="Revision"/>
    <w:hidden/>
    <w:uiPriority w:val="99"/>
    <w:semiHidden/>
    <w:rsid w:val="00820F1A"/>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eta.teibe@vara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ram.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ram.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aram.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ikumi.lv/ta/id/281230-noteikumi-par-sabiedrisko-udenssaimniecibas-pakalpojumu-sniegsanu-un-lietosan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ECAA9-6166-431B-83D7-8A57A428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6078</Words>
  <Characters>3466</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Likumprojekta „Grozījums Ūdenssaimniecības pakalpojumu likumā” sākotnējās ietekmes novērtējuma ziņojums (anotācija)</vt:lpstr>
    </vt:vector>
  </TitlesOfParts>
  <Company>VARAM</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Ūdenssaimniecības pakalpojumu likumā” sākotnējās ietekmes novērtējuma ziņojums (anotācija)</dc:title>
  <dc:subject>Anotācija</dc:subject>
  <dc:creator>VARAM</dc:creator>
  <dc:description>Ilona Vilne 
Tālrunis: 67026437
ilona.vilne@varam.gov.lv</dc:description>
  <cp:lastModifiedBy>Laimdota Adlere</cp:lastModifiedBy>
  <cp:revision>4</cp:revision>
  <cp:lastPrinted>2017-05-24T13:43:00Z</cp:lastPrinted>
  <dcterms:created xsi:type="dcterms:W3CDTF">2017-06-08T08:08:00Z</dcterms:created>
  <dcterms:modified xsi:type="dcterms:W3CDTF">2017-06-08T08:08:00Z</dcterms:modified>
</cp:coreProperties>
</file>