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2.0.0 -->
  <w:body>
    <w:p w:rsidR="00813D68" w:rsidRPr="0082789D" w:rsidP="00813D68">
      <w:pPr>
        <w:shd w:val="clear" w:color="auto" w:fill="FFFFFF"/>
        <w:spacing w:after="0" w:line="240" w:lineRule="auto"/>
        <w:jc w:val="center"/>
        <w:rPr>
          <w:rFonts w:ascii="Times New Roman" w:eastAsia="Times New Roman" w:hAnsi="Times New Roman" w:cs="Times New Roman"/>
          <w:b/>
          <w:bCs/>
          <w:sz w:val="28"/>
          <w:szCs w:val="28"/>
          <w:lang w:eastAsia="lv-LV"/>
        </w:rPr>
      </w:pPr>
      <w:r w:rsidRPr="0082789D">
        <w:rPr>
          <w:rFonts w:ascii="Times New Roman" w:hAnsi="Times New Roman" w:cs="Times New Roman"/>
          <w:b/>
          <w:sz w:val="28"/>
          <w:szCs w:val="28"/>
        </w:rPr>
        <w:t xml:space="preserve">Ministru kabineta noteikumu projekta </w:t>
      </w:r>
      <w:r w:rsidRPr="0082789D" w:rsidR="00B56D56">
        <w:rPr>
          <w:rFonts w:ascii="Times New Roman" w:hAnsi="Times New Roman" w:cs="Times New Roman"/>
          <w:b/>
          <w:sz w:val="28"/>
          <w:szCs w:val="28"/>
        </w:rPr>
        <w:t>„</w:t>
      </w:r>
      <w:r w:rsidRPr="0082789D" w:rsidR="00091E2D">
        <w:rPr>
          <w:rStyle w:val="Strong"/>
          <w:rFonts w:ascii="Times New Roman" w:hAnsi="Times New Roman" w:cs="Times New Roman"/>
          <w:sz w:val="28"/>
          <w:szCs w:val="28"/>
        </w:rPr>
        <w:t>Noteikumi par atkritumu poligonu pētniecības un attīstības darbīb</w:t>
      </w:r>
      <w:r w:rsidRPr="0082789D" w:rsidR="00680434">
        <w:rPr>
          <w:rStyle w:val="Strong"/>
          <w:rFonts w:ascii="Times New Roman" w:hAnsi="Times New Roman" w:cs="Times New Roman"/>
          <w:sz w:val="28"/>
          <w:szCs w:val="28"/>
        </w:rPr>
        <w:t>u</w:t>
      </w:r>
      <w:r w:rsidRPr="0082789D" w:rsidR="00091E2D">
        <w:rPr>
          <w:rStyle w:val="Strong"/>
          <w:rFonts w:ascii="Times New Roman" w:hAnsi="Times New Roman" w:cs="Times New Roman"/>
          <w:sz w:val="28"/>
          <w:szCs w:val="28"/>
        </w:rPr>
        <w:t>, kas vērsta uz apglabājamā</w:t>
      </w:r>
      <w:r w:rsidRPr="0082789D" w:rsidR="00680434">
        <w:rPr>
          <w:rStyle w:val="Strong"/>
          <w:rFonts w:ascii="Times New Roman" w:hAnsi="Times New Roman" w:cs="Times New Roman"/>
          <w:sz w:val="28"/>
          <w:szCs w:val="28"/>
        </w:rPr>
        <w:t xml:space="preserve"> atkritumu</w:t>
      </w:r>
      <w:r w:rsidRPr="0082789D" w:rsidR="00091E2D">
        <w:rPr>
          <w:rStyle w:val="Strong"/>
          <w:rFonts w:ascii="Times New Roman" w:hAnsi="Times New Roman" w:cs="Times New Roman"/>
          <w:sz w:val="28"/>
          <w:szCs w:val="28"/>
        </w:rPr>
        <w:t xml:space="preserve"> apjoma samazināšanu</w:t>
      </w:r>
      <w:r w:rsidRPr="0082789D">
        <w:rPr>
          <w:rFonts w:ascii="Times New Roman" w:hAnsi="Times New Roman" w:cs="Times New Roman"/>
          <w:sz w:val="28"/>
          <w:szCs w:val="28"/>
        </w:rPr>
        <w:t>”</w:t>
      </w:r>
      <w:r w:rsidRPr="0082789D">
        <w:rPr>
          <w:rFonts w:ascii="Times New Roman" w:eastAsia="Times New Roman" w:hAnsi="Times New Roman" w:cs="Times New Roman"/>
          <w:b/>
          <w:bCs/>
          <w:sz w:val="28"/>
          <w:szCs w:val="28"/>
          <w:lang w:eastAsia="lv-LV"/>
        </w:rPr>
        <w:br/>
        <w:t>sākotnējās ietekmes novērtējuma ziņojums (anotācija)</w:t>
      </w:r>
    </w:p>
    <w:p w:rsidR="00813D68" w:rsidRPr="0082789D" w:rsidP="00813D68">
      <w:pPr>
        <w:shd w:val="clear" w:color="auto" w:fill="FFFFFF"/>
        <w:spacing w:before="45" w:after="0" w:line="248" w:lineRule="atLeast"/>
        <w:ind w:firstLine="300"/>
        <w:jc w:val="center"/>
        <w:rPr>
          <w:rFonts w:ascii="Times New Roman" w:eastAsia="Times New Roman" w:hAnsi="Times New Roman" w:cs="Times New Roman"/>
          <w:iCs/>
          <w:sz w:val="24"/>
          <w:szCs w:val="24"/>
          <w:lang w:eastAsia="lv-LV"/>
        </w:rPr>
      </w:pPr>
    </w:p>
    <w:tbl>
      <w:tblPr>
        <w:tblW w:w="5041" w:type="pct"/>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tblPr>
      <w:tblGrid>
        <w:gridCol w:w="450"/>
        <w:gridCol w:w="2551"/>
        <w:gridCol w:w="5422"/>
      </w:tblGrid>
      <w:tr w:rsidTr="004C106B">
        <w:tblPrEx>
          <w:tblW w:w="5041" w:type="pct"/>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tblPrEx>
        <w:trPr>
          <w:trHeight w:val="324"/>
        </w:trPr>
        <w:tc>
          <w:tcPr>
            <w:tcW w:w="8422" w:type="dxa"/>
            <w:gridSpan w:val="3"/>
            <w:tcBorders>
              <w:top w:val="outset" w:sz="6" w:space="0" w:color="414142"/>
              <w:left w:val="outset" w:sz="6" w:space="0" w:color="414142"/>
              <w:bottom w:val="outset" w:sz="6" w:space="0" w:color="414142"/>
              <w:right w:val="outset" w:sz="6" w:space="0" w:color="414142"/>
            </w:tcBorders>
            <w:vAlign w:val="center"/>
            <w:hideMark/>
          </w:tcPr>
          <w:p w:rsidR="00813D68" w:rsidRPr="0082789D">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82789D">
              <w:rPr>
                <w:rFonts w:ascii="Times New Roman" w:eastAsia="Times New Roman" w:hAnsi="Times New Roman" w:cs="Times New Roman"/>
                <w:b/>
                <w:bCs/>
                <w:sz w:val="24"/>
                <w:szCs w:val="24"/>
                <w:lang w:eastAsia="lv-LV"/>
              </w:rPr>
              <w:t>I. Tiesību akta projekta izstrādes nepieciešamība</w:t>
            </w:r>
          </w:p>
        </w:tc>
      </w:tr>
      <w:tr w:rsidTr="004C106B">
        <w:tblPrEx>
          <w:tblW w:w="5041" w:type="pct"/>
          <w:tblLayout w:type="fixed"/>
          <w:tblCellMar>
            <w:top w:w="24" w:type="dxa"/>
            <w:left w:w="24" w:type="dxa"/>
            <w:bottom w:w="24" w:type="dxa"/>
            <w:right w:w="24" w:type="dxa"/>
          </w:tblCellMar>
          <w:tblLook w:val="04A0"/>
        </w:tblPrEx>
        <w:trPr>
          <w:trHeight w:val="324"/>
        </w:trPr>
        <w:tc>
          <w:tcPr>
            <w:tcW w:w="450" w:type="dxa"/>
            <w:tcBorders>
              <w:top w:val="outset" w:sz="6" w:space="0" w:color="414142"/>
              <w:left w:val="outset" w:sz="6" w:space="0" w:color="414142"/>
              <w:bottom w:val="outset" w:sz="6" w:space="0" w:color="414142"/>
              <w:right w:val="outset" w:sz="6" w:space="0" w:color="414142"/>
            </w:tcBorders>
            <w:hideMark/>
          </w:tcPr>
          <w:p w:rsidR="00813D68" w:rsidRPr="0082789D">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82789D">
              <w:rPr>
                <w:rFonts w:ascii="Times New Roman" w:eastAsia="Times New Roman" w:hAnsi="Times New Roman" w:cs="Times New Roman"/>
                <w:sz w:val="24"/>
                <w:szCs w:val="24"/>
                <w:lang w:eastAsia="lv-LV"/>
              </w:rPr>
              <w:t>1.</w:t>
            </w:r>
          </w:p>
        </w:tc>
        <w:tc>
          <w:tcPr>
            <w:tcW w:w="2551" w:type="dxa"/>
            <w:tcBorders>
              <w:top w:val="outset" w:sz="6" w:space="0" w:color="414142"/>
              <w:left w:val="outset" w:sz="6" w:space="0" w:color="414142"/>
              <w:bottom w:val="outset" w:sz="6" w:space="0" w:color="414142"/>
              <w:right w:val="outset" w:sz="6" w:space="0" w:color="414142"/>
            </w:tcBorders>
            <w:hideMark/>
          </w:tcPr>
          <w:p w:rsidR="00813D68" w:rsidRPr="0082789D" w:rsidP="00813D68">
            <w:pPr>
              <w:spacing w:after="0" w:line="240" w:lineRule="auto"/>
              <w:rPr>
                <w:rFonts w:ascii="Times New Roman" w:eastAsia="Times New Roman" w:hAnsi="Times New Roman" w:cs="Times New Roman"/>
                <w:sz w:val="24"/>
                <w:szCs w:val="24"/>
                <w:lang w:eastAsia="lv-LV"/>
              </w:rPr>
            </w:pPr>
            <w:r w:rsidRPr="0082789D">
              <w:rPr>
                <w:rFonts w:ascii="Times New Roman" w:eastAsia="Times New Roman" w:hAnsi="Times New Roman" w:cs="Times New Roman"/>
                <w:sz w:val="24"/>
                <w:szCs w:val="24"/>
                <w:lang w:eastAsia="lv-LV"/>
              </w:rPr>
              <w:t>Pamatojums</w:t>
            </w:r>
          </w:p>
        </w:tc>
        <w:tc>
          <w:tcPr>
            <w:tcW w:w="5421" w:type="dxa"/>
            <w:tcBorders>
              <w:top w:val="outset" w:sz="6" w:space="0" w:color="414142"/>
              <w:left w:val="outset" w:sz="6" w:space="0" w:color="414142"/>
              <w:bottom w:val="outset" w:sz="6" w:space="0" w:color="414142"/>
              <w:right w:val="outset" w:sz="6" w:space="0" w:color="414142"/>
            </w:tcBorders>
            <w:hideMark/>
          </w:tcPr>
          <w:p w:rsidR="00813D68" w:rsidRPr="0082789D">
            <w:pPr>
              <w:spacing w:after="0" w:line="240" w:lineRule="auto"/>
              <w:rPr>
                <w:rFonts w:ascii="Times New Roman" w:eastAsia="Times New Roman" w:hAnsi="Times New Roman" w:cs="Times New Roman"/>
                <w:sz w:val="24"/>
                <w:szCs w:val="24"/>
                <w:lang w:eastAsia="lv-LV"/>
              </w:rPr>
            </w:pPr>
            <w:r w:rsidRPr="0082789D">
              <w:rPr>
                <w:rFonts w:ascii="Times New Roman" w:hAnsi="Times New Roman" w:cs="Times New Roman"/>
                <w:sz w:val="24"/>
                <w:szCs w:val="24"/>
              </w:rPr>
              <w:t xml:space="preserve">Atkritumu apsaimniekošanas likuma </w:t>
            </w:r>
            <w:r>
              <w:fldChar w:fldCharType="begin"/>
            </w:r>
            <w:r>
              <w:instrText xml:space="preserve"> HYPERLINK "http://likumi.lv/ta/id/124707-dabas-resursu-nodokla-likums" \l "p7" \t "_blank" </w:instrText>
            </w:r>
            <w:r>
              <w:fldChar w:fldCharType="separate"/>
            </w:r>
            <w:r w:rsidRPr="0082789D">
              <w:rPr>
                <w:rFonts w:ascii="Times New Roman" w:hAnsi="Times New Roman" w:cs="Times New Roman"/>
                <w:iCs/>
                <w:sz w:val="24"/>
                <w:szCs w:val="24"/>
              </w:rPr>
              <w:t>41.</w:t>
            </w:r>
            <w:r w:rsidRPr="0082789D" w:rsidR="005A39A8">
              <w:rPr>
                <w:rFonts w:ascii="Times New Roman" w:hAnsi="Times New Roman" w:cs="Times New Roman"/>
                <w:iCs/>
                <w:sz w:val="24"/>
                <w:szCs w:val="24"/>
              </w:rPr>
              <w:t> </w:t>
            </w:r>
            <w:r w:rsidRPr="0082789D">
              <w:rPr>
                <w:rFonts w:ascii="Times New Roman" w:hAnsi="Times New Roman" w:cs="Times New Roman"/>
                <w:iCs/>
                <w:sz w:val="24"/>
                <w:szCs w:val="24"/>
              </w:rPr>
              <w:t>panta</w:t>
            </w:r>
            <w:r>
              <w:fldChar w:fldCharType="end"/>
            </w:r>
            <w:r w:rsidRPr="0082789D">
              <w:rPr>
                <w:rFonts w:ascii="Times New Roman" w:hAnsi="Times New Roman" w:cs="Times New Roman"/>
                <w:iCs/>
                <w:sz w:val="24"/>
                <w:szCs w:val="24"/>
              </w:rPr>
              <w:t xml:space="preserve"> </w:t>
            </w:r>
            <w:r w:rsidRPr="0082789D">
              <w:rPr>
                <w:rFonts w:ascii="Times New Roman" w:hAnsi="Times New Roman" w:cs="Times New Roman"/>
                <w:sz w:val="24"/>
                <w:szCs w:val="24"/>
              </w:rPr>
              <w:t>1.</w:t>
            </w:r>
            <w:r w:rsidRPr="0082789D">
              <w:rPr>
                <w:rFonts w:ascii="Times New Roman" w:hAnsi="Times New Roman" w:cs="Times New Roman"/>
                <w:sz w:val="24"/>
                <w:szCs w:val="24"/>
                <w:vertAlign w:val="superscript"/>
              </w:rPr>
              <w:t>3</w:t>
            </w:r>
            <w:r w:rsidRPr="0082789D" w:rsidR="005A39A8">
              <w:rPr>
                <w:rFonts w:ascii="Times New Roman" w:hAnsi="Times New Roman" w:cs="Times New Roman"/>
                <w:sz w:val="24"/>
                <w:szCs w:val="24"/>
              </w:rPr>
              <w:t> </w:t>
            </w:r>
            <w:r w:rsidRPr="0082789D">
              <w:rPr>
                <w:rFonts w:ascii="Times New Roman" w:hAnsi="Times New Roman" w:cs="Times New Roman"/>
                <w:iCs/>
                <w:sz w:val="24"/>
                <w:szCs w:val="24"/>
              </w:rPr>
              <w:t>daļas 1. un 2.</w:t>
            </w:r>
            <w:r w:rsidRPr="0082789D" w:rsidR="005A39A8">
              <w:rPr>
                <w:rFonts w:ascii="Times New Roman" w:hAnsi="Times New Roman" w:cs="Times New Roman"/>
                <w:iCs/>
                <w:sz w:val="24"/>
                <w:szCs w:val="24"/>
              </w:rPr>
              <w:t> p</w:t>
            </w:r>
            <w:r w:rsidRPr="0082789D">
              <w:rPr>
                <w:rFonts w:ascii="Times New Roman" w:hAnsi="Times New Roman" w:cs="Times New Roman"/>
                <w:iCs/>
                <w:sz w:val="24"/>
                <w:szCs w:val="24"/>
              </w:rPr>
              <w:t>unkt</w:t>
            </w:r>
            <w:r w:rsidRPr="0082789D" w:rsidR="005A39A8">
              <w:rPr>
                <w:rFonts w:ascii="Times New Roman" w:hAnsi="Times New Roman" w:cs="Times New Roman"/>
                <w:iCs/>
                <w:sz w:val="24"/>
                <w:szCs w:val="24"/>
              </w:rPr>
              <w:t>s.</w:t>
            </w:r>
          </w:p>
        </w:tc>
      </w:tr>
      <w:tr w:rsidTr="004C106B">
        <w:tblPrEx>
          <w:tblW w:w="5041" w:type="pct"/>
          <w:tblLayout w:type="fixed"/>
          <w:tblCellMar>
            <w:top w:w="24" w:type="dxa"/>
            <w:left w:w="24" w:type="dxa"/>
            <w:bottom w:w="24" w:type="dxa"/>
            <w:right w:w="24" w:type="dxa"/>
          </w:tblCellMar>
          <w:tblLook w:val="04A0"/>
        </w:tblPrEx>
        <w:trPr>
          <w:trHeight w:val="372"/>
        </w:trPr>
        <w:tc>
          <w:tcPr>
            <w:tcW w:w="450" w:type="dxa"/>
            <w:tcBorders>
              <w:top w:val="outset" w:sz="6" w:space="0" w:color="414142"/>
              <w:left w:val="outset" w:sz="6" w:space="0" w:color="414142"/>
              <w:bottom w:val="outset" w:sz="6" w:space="0" w:color="414142"/>
              <w:right w:val="outset" w:sz="6" w:space="0" w:color="414142"/>
            </w:tcBorders>
            <w:hideMark/>
          </w:tcPr>
          <w:p w:rsidR="00813D68" w:rsidRPr="0082789D">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82789D">
              <w:rPr>
                <w:rFonts w:ascii="Times New Roman" w:eastAsia="Times New Roman" w:hAnsi="Times New Roman" w:cs="Times New Roman"/>
                <w:sz w:val="24"/>
                <w:szCs w:val="24"/>
                <w:lang w:eastAsia="lv-LV"/>
              </w:rPr>
              <w:t>2.</w:t>
            </w:r>
          </w:p>
        </w:tc>
        <w:tc>
          <w:tcPr>
            <w:tcW w:w="2551" w:type="dxa"/>
            <w:tcBorders>
              <w:top w:val="outset" w:sz="6" w:space="0" w:color="414142"/>
              <w:left w:val="outset" w:sz="6" w:space="0" w:color="414142"/>
              <w:bottom w:val="outset" w:sz="6" w:space="0" w:color="414142"/>
              <w:right w:val="outset" w:sz="6" w:space="0" w:color="414142"/>
            </w:tcBorders>
            <w:hideMark/>
          </w:tcPr>
          <w:p w:rsidR="00813D68" w:rsidRPr="0082789D" w:rsidP="00813D68">
            <w:pPr>
              <w:spacing w:after="0" w:line="240" w:lineRule="auto"/>
              <w:rPr>
                <w:rFonts w:ascii="Times New Roman" w:eastAsia="Times New Roman" w:hAnsi="Times New Roman" w:cs="Times New Roman"/>
                <w:sz w:val="24"/>
                <w:szCs w:val="24"/>
                <w:lang w:eastAsia="lv-LV"/>
              </w:rPr>
            </w:pPr>
            <w:r w:rsidRPr="0082789D">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5421" w:type="dxa"/>
            <w:tcBorders>
              <w:top w:val="outset" w:sz="6" w:space="0" w:color="414142"/>
              <w:left w:val="outset" w:sz="6" w:space="0" w:color="414142"/>
              <w:bottom w:val="outset" w:sz="6" w:space="0" w:color="414142"/>
              <w:right w:val="outset" w:sz="6" w:space="0" w:color="414142"/>
            </w:tcBorders>
            <w:hideMark/>
          </w:tcPr>
          <w:p w:rsidR="00813D68" w:rsidRPr="0082789D" w:rsidP="00813D68">
            <w:pPr>
              <w:pStyle w:val="naiskr"/>
              <w:spacing w:before="20" w:after="20"/>
              <w:jc w:val="both"/>
            </w:pPr>
            <w:r w:rsidRPr="0082789D">
              <w:rPr>
                <w:szCs w:val="28"/>
              </w:rPr>
              <w:t>Atkritumu apsaimniekošanas likuma (turpmāk – Likuma) 41.</w:t>
            </w:r>
            <w:r w:rsidRPr="0082789D" w:rsidR="006158FF">
              <w:rPr>
                <w:szCs w:val="28"/>
              </w:rPr>
              <w:t> </w:t>
            </w:r>
            <w:r w:rsidRPr="0082789D">
              <w:rPr>
                <w:szCs w:val="28"/>
              </w:rPr>
              <w:t>panta pirmajā daļā ir noteiktas tarifā par atkritumu apglabāšanu ietvertās izmaksas, kurās saskaņā ar Likuma grozījumi</w:t>
            </w:r>
            <w:r w:rsidRPr="0082789D" w:rsidR="003B4A6E">
              <w:rPr>
                <w:szCs w:val="28"/>
              </w:rPr>
              <w:t>em, kas ir</w:t>
            </w:r>
            <w:r w:rsidRPr="0082789D">
              <w:rPr>
                <w:szCs w:val="28"/>
              </w:rPr>
              <w:t xml:space="preserve"> </w:t>
            </w:r>
            <w:r w:rsidRPr="0082789D" w:rsidR="000D2F64">
              <w:rPr>
                <w:szCs w:val="28"/>
              </w:rPr>
              <w:t xml:space="preserve">pieņemti </w:t>
            </w:r>
            <w:r w:rsidR="00C6514D">
              <w:rPr>
                <w:szCs w:val="28"/>
              </w:rPr>
              <w:t xml:space="preserve">Latvijas Republikas Saeimā </w:t>
            </w:r>
            <w:r w:rsidRPr="0082789D" w:rsidR="000D2F64">
              <w:rPr>
                <w:szCs w:val="28"/>
              </w:rPr>
              <w:t>2016.</w:t>
            </w:r>
            <w:r w:rsidR="00C6514D">
              <w:rPr>
                <w:szCs w:val="28"/>
              </w:rPr>
              <w:t> </w:t>
            </w:r>
            <w:r w:rsidRPr="0082789D" w:rsidR="000D2F64">
              <w:rPr>
                <w:szCs w:val="28"/>
              </w:rPr>
              <w:t>gada 8.</w:t>
            </w:r>
            <w:r w:rsidR="00C6514D">
              <w:rPr>
                <w:szCs w:val="28"/>
              </w:rPr>
              <w:t> </w:t>
            </w:r>
            <w:r w:rsidRPr="0082789D" w:rsidR="000D2F64">
              <w:rPr>
                <w:szCs w:val="28"/>
              </w:rPr>
              <w:t>decembrī un stājās spēkā 2017.</w:t>
            </w:r>
            <w:r w:rsidR="00C6514D">
              <w:rPr>
                <w:szCs w:val="28"/>
              </w:rPr>
              <w:t> </w:t>
            </w:r>
            <w:r w:rsidRPr="0082789D" w:rsidR="000D2F64">
              <w:rPr>
                <w:szCs w:val="28"/>
              </w:rPr>
              <w:t>gada 1.</w:t>
            </w:r>
            <w:r w:rsidR="00C6514D">
              <w:rPr>
                <w:szCs w:val="28"/>
              </w:rPr>
              <w:t> </w:t>
            </w:r>
            <w:r w:rsidRPr="0082789D" w:rsidR="000D2F64">
              <w:rPr>
                <w:szCs w:val="28"/>
              </w:rPr>
              <w:t>janvārī</w:t>
            </w:r>
            <w:r w:rsidRPr="0082789D" w:rsidR="003B4A6E">
              <w:rPr>
                <w:szCs w:val="28"/>
              </w:rPr>
              <w:t>,</w:t>
            </w:r>
            <w:r w:rsidRPr="0082789D">
              <w:rPr>
                <w:szCs w:val="28"/>
              </w:rPr>
              <w:t xml:space="preserve"> </w:t>
            </w:r>
            <w:r w:rsidRPr="0082789D" w:rsidR="003B4A6E">
              <w:rPr>
                <w:szCs w:val="28"/>
              </w:rPr>
              <w:t xml:space="preserve">ir paredzēta iespēja iekļaut arī </w:t>
            </w:r>
            <w:r w:rsidRPr="0082789D">
              <w:rPr>
                <w:szCs w:val="28"/>
              </w:rPr>
              <w:t>pētniecības un attīstības izmaksas. Atkritumu apglabāšanas tarifā ir nepieciešams iekļaut pētniecības un attīstības izmaksas, kas saistītas ar poligonos apglabājamā atkritumu daudzuma samazināšanu</w:t>
            </w:r>
            <w:r w:rsidRPr="0082789D" w:rsidR="000D2F64">
              <w:rPr>
                <w:szCs w:val="28"/>
              </w:rPr>
              <w:t>.</w:t>
            </w:r>
            <w:r w:rsidRPr="0082789D">
              <w:rPr>
                <w:szCs w:val="28"/>
              </w:rPr>
              <w:t xml:space="preserve"> </w:t>
            </w:r>
          </w:p>
          <w:p w:rsidR="00813D68" w:rsidRPr="0082789D" w:rsidP="00813D68">
            <w:pPr>
              <w:pStyle w:val="naiskr"/>
              <w:spacing w:before="20" w:after="20"/>
              <w:jc w:val="both"/>
            </w:pPr>
          </w:p>
          <w:p w:rsidR="0054578C" w:rsidRPr="0082789D" w:rsidP="00085173">
            <w:pPr>
              <w:spacing w:before="20" w:after="20" w:line="240" w:lineRule="auto"/>
              <w:jc w:val="both"/>
              <w:rPr>
                <w:rFonts w:ascii="Times New Roman" w:hAnsi="Times New Roman" w:cs="Times New Roman"/>
                <w:sz w:val="24"/>
                <w:szCs w:val="24"/>
              </w:rPr>
            </w:pPr>
            <w:r w:rsidRPr="0082789D">
              <w:rPr>
                <w:rFonts w:ascii="Times New Roman" w:hAnsi="Times New Roman" w:cs="Times New Roman"/>
                <w:sz w:val="24"/>
                <w:szCs w:val="24"/>
              </w:rPr>
              <w:t xml:space="preserve">Saskaņā ar </w:t>
            </w:r>
            <w:r w:rsidR="00C6514D">
              <w:rPr>
                <w:rFonts w:ascii="Times New Roman" w:hAnsi="Times New Roman" w:cs="Times New Roman"/>
                <w:sz w:val="24"/>
                <w:szCs w:val="24"/>
              </w:rPr>
              <w:t xml:space="preserve">Likuma </w:t>
            </w:r>
            <w:r>
              <w:fldChar w:fldCharType="begin"/>
            </w:r>
            <w:r>
              <w:instrText xml:space="preserve"> HYPERLINK "http://likumi.lv/ta/id/124707-dabas-resursu-nodokla-likums" \l "p7" \t "_blank" </w:instrText>
            </w:r>
            <w:r>
              <w:fldChar w:fldCharType="separate"/>
            </w:r>
            <w:r w:rsidRPr="0082789D">
              <w:rPr>
                <w:rFonts w:ascii="Times New Roman" w:hAnsi="Times New Roman" w:cs="Times New Roman"/>
                <w:iCs/>
                <w:sz w:val="24"/>
                <w:szCs w:val="24"/>
              </w:rPr>
              <w:t>41.</w:t>
            </w:r>
            <w:r w:rsidRPr="0082789D" w:rsidR="006158FF">
              <w:rPr>
                <w:rFonts w:ascii="Times New Roman" w:hAnsi="Times New Roman" w:cs="Times New Roman"/>
                <w:iCs/>
                <w:sz w:val="24"/>
                <w:szCs w:val="24"/>
              </w:rPr>
              <w:t> </w:t>
            </w:r>
            <w:r w:rsidRPr="0082789D">
              <w:rPr>
                <w:rFonts w:ascii="Times New Roman" w:hAnsi="Times New Roman" w:cs="Times New Roman"/>
                <w:iCs/>
                <w:sz w:val="24"/>
                <w:szCs w:val="24"/>
              </w:rPr>
              <w:t>panta</w:t>
            </w:r>
            <w:r>
              <w:fldChar w:fldCharType="end"/>
            </w:r>
            <w:r w:rsidRPr="0082789D">
              <w:rPr>
                <w:rFonts w:ascii="Times New Roman" w:hAnsi="Times New Roman" w:cs="Times New Roman"/>
                <w:iCs/>
                <w:sz w:val="24"/>
                <w:szCs w:val="24"/>
              </w:rPr>
              <w:t xml:space="preserve"> </w:t>
            </w:r>
            <w:r w:rsidRPr="0082789D">
              <w:rPr>
                <w:rFonts w:ascii="Times New Roman" w:hAnsi="Times New Roman" w:cs="Times New Roman"/>
                <w:sz w:val="24"/>
                <w:szCs w:val="24"/>
              </w:rPr>
              <w:t>1.</w:t>
            </w:r>
            <w:r w:rsidRPr="0082789D">
              <w:rPr>
                <w:rFonts w:ascii="Times New Roman" w:hAnsi="Times New Roman" w:cs="Times New Roman"/>
                <w:sz w:val="24"/>
                <w:szCs w:val="24"/>
                <w:vertAlign w:val="superscript"/>
              </w:rPr>
              <w:t>3</w:t>
            </w:r>
            <w:r w:rsidRPr="0082789D" w:rsidR="006158FF">
              <w:rPr>
                <w:rFonts w:ascii="Times New Roman" w:hAnsi="Times New Roman" w:cs="Times New Roman"/>
                <w:sz w:val="24"/>
                <w:szCs w:val="24"/>
              </w:rPr>
              <w:t> </w:t>
            </w:r>
            <w:r w:rsidRPr="0082789D">
              <w:rPr>
                <w:rFonts w:ascii="Times New Roman" w:hAnsi="Times New Roman" w:cs="Times New Roman"/>
                <w:iCs/>
                <w:sz w:val="24"/>
                <w:szCs w:val="24"/>
              </w:rPr>
              <w:t>daļas 1. un 2.</w:t>
            </w:r>
            <w:r w:rsidRPr="0082789D" w:rsidR="006158FF">
              <w:rPr>
                <w:rFonts w:ascii="Times New Roman" w:hAnsi="Times New Roman" w:cs="Times New Roman"/>
                <w:iCs/>
                <w:sz w:val="24"/>
                <w:szCs w:val="24"/>
              </w:rPr>
              <w:t> </w:t>
            </w:r>
            <w:r w:rsidRPr="0082789D">
              <w:rPr>
                <w:rFonts w:ascii="Times New Roman" w:hAnsi="Times New Roman" w:cs="Times New Roman"/>
                <w:iCs/>
                <w:sz w:val="24"/>
                <w:szCs w:val="24"/>
              </w:rPr>
              <w:t>punktu</w:t>
            </w:r>
            <w:r w:rsidRPr="0082789D">
              <w:rPr>
                <w:rFonts w:ascii="Times New Roman" w:hAnsi="Times New Roman" w:cs="Times New Roman"/>
                <w:sz w:val="24"/>
                <w:szCs w:val="24"/>
              </w:rPr>
              <w:t xml:space="preserve"> ir paredzēts deleģējums izstrādāt noteikumus, ar kuriem Ministru kabinets nosaka:</w:t>
            </w:r>
          </w:p>
          <w:p w:rsidR="0054578C" w:rsidRPr="0082789D" w:rsidP="00085173">
            <w:pPr>
              <w:spacing w:before="20" w:after="20" w:line="240" w:lineRule="auto"/>
              <w:jc w:val="both"/>
              <w:rPr>
                <w:rFonts w:ascii="Times New Roman" w:hAnsi="Times New Roman" w:cs="Times New Roman"/>
                <w:sz w:val="24"/>
                <w:szCs w:val="24"/>
              </w:rPr>
            </w:pPr>
            <w:r w:rsidRPr="0082789D">
              <w:rPr>
                <w:rFonts w:ascii="Times New Roman" w:hAnsi="Times New Roman" w:cs="Times New Roman"/>
                <w:sz w:val="24"/>
                <w:szCs w:val="24"/>
              </w:rPr>
              <w:t>1)</w:t>
            </w:r>
            <w:r w:rsidRPr="0082789D" w:rsidR="006158FF">
              <w:rPr>
                <w:rFonts w:ascii="Times New Roman" w:hAnsi="Times New Roman" w:cs="Times New Roman"/>
                <w:sz w:val="24"/>
                <w:szCs w:val="24"/>
              </w:rPr>
              <w:t> </w:t>
            </w:r>
            <w:r w:rsidRPr="0082789D">
              <w:rPr>
                <w:rFonts w:ascii="Times New Roman" w:hAnsi="Times New Roman" w:cs="Times New Roman"/>
                <w:sz w:val="24"/>
                <w:szCs w:val="24"/>
              </w:rPr>
              <w:t>attiecībā uz pētniecības un attīstības darbības atbilstību un novērtēšanu un projekta dokumentāciju izvirzāmās prasības, kā arī pētniecības un attīstības izdevumu uzskaites kārtību;</w:t>
            </w:r>
          </w:p>
          <w:p w:rsidR="0054578C" w:rsidRPr="0082789D" w:rsidP="00085173">
            <w:pPr>
              <w:spacing w:before="20" w:after="20" w:line="240" w:lineRule="auto"/>
              <w:rPr>
                <w:rFonts w:ascii="Times New Roman" w:hAnsi="Times New Roman" w:cs="Times New Roman"/>
                <w:sz w:val="24"/>
                <w:szCs w:val="24"/>
              </w:rPr>
            </w:pPr>
            <w:r w:rsidRPr="0082789D">
              <w:rPr>
                <w:rFonts w:ascii="Times New Roman" w:hAnsi="Times New Roman" w:cs="Times New Roman"/>
                <w:sz w:val="24"/>
                <w:szCs w:val="24"/>
              </w:rPr>
              <w:t>2)</w:t>
            </w:r>
            <w:r w:rsidRPr="0082789D" w:rsidR="006158FF">
              <w:rPr>
                <w:rFonts w:ascii="Times New Roman" w:hAnsi="Times New Roman" w:cs="Times New Roman"/>
                <w:sz w:val="24"/>
                <w:szCs w:val="24"/>
              </w:rPr>
              <w:t> </w:t>
            </w:r>
            <w:r w:rsidRPr="0082789D">
              <w:rPr>
                <w:rFonts w:ascii="Times New Roman" w:hAnsi="Times New Roman" w:cs="Times New Roman"/>
                <w:sz w:val="24"/>
                <w:szCs w:val="24"/>
              </w:rPr>
              <w:t>kārtību, kādā nodrošina pētniecības un attīstības darbības rezultātu publisko pieejamību.</w:t>
            </w:r>
          </w:p>
          <w:p w:rsidR="000D2F64" w:rsidRPr="0082789D" w:rsidP="00085173">
            <w:pPr>
              <w:spacing w:before="20" w:after="20" w:line="240" w:lineRule="auto"/>
              <w:rPr>
                <w:rFonts w:ascii="Times New Roman" w:hAnsi="Times New Roman" w:cs="Times New Roman"/>
                <w:sz w:val="24"/>
                <w:szCs w:val="24"/>
              </w:rPr>
            </w:pPr>
          </w:p>
          <w:p w:rsidR="000648BA" w:rsidRPr="0082789D" w:rsidP="004C106B">
            <w:pPr>
              <w:pStyle w:val="tv213"/>
              <w:spacing w:before="0" w:beforeAutospacing="0" w:after="0" w:afterAutospacing="0" w:line="293" w:lineRule="atLeast"/>
              <w:jc w:val="both"/>
            </w:pPr>
            <w:r w:rsidRPr="0082789D">
              <w:t xml:space="preserve">Noteikumu projekts tiek izstrādāts ar mērķi </w:t>
            </w:r>
            <w:r w:rsidR="001314D2">
              <w:t>veicināt</w:t>
            </w:r>
            <w:r w:rsidRPr="0082789D">
              <w:t xml:space="preserve"> sadzīve</w:t>
            </w:r>
            <w:r w:rsidR="001314D2">
              <w:t>s atkritumu poligonu īpašniekus vai apsaimniekotājus</w:t>
            </w:r>
            <w:r w:rsidRPr="0082789D" w:rsidR="000F1F64">
              <w:t xml:space="preserve"> (turpmāk – pētniecības un attīstības darbības pasūtītājs) </w:t>
            </w:r>
            <w:r w:rsidRPr="0082789D">
              <w:t>veikt pētniecības un attīstības darbības</w:t>
            </w:r>
            <w:r w:rsidR="001314D2">
              <w:t>, kuru izmaksas varēs iekļaut atkritumu apglabāšanas tarifā, Likuma 41. Panta (1</w:t>
            </w:r>
            <w:r w:rsidR="001314D2">
              <w:rPr>
                <w:vertAlign w:val="superscript"/>
              </w:rPr>
              <w:t>3</w:t>
            </w:r>
            <w:r w:rsidR="001314D2">
              <w:t>) noteiktajā kārtībā</w:t>
            </w:r>
            <w:r w:rsidRPr="0082789D">
              <w:t>. Šo darbību rezultātā būs iespējams izstrādāt tehnoloģisku risinājumu, kas ļaus samazināt atkritumu poligonos apglabājamo atkritumu apjomu. Šāda darbība ir nepieciešama, it īpaši ņemot vērā Eiropas Savienības</w:t>
            </w:r>
            <w:r w:rsidRPr="0082789D">
              <w:t xml:space="preserve"> (</w:t>
            </w:r>
            <w:r w:rsidR="006F7679">
              <w:t xml:space="preserve">turpmāk </w:t>
            </w:r>
            <w:r w:rsidR="006F7679">
              <w:noBreakHyphen/>
              <w:t xml:space="preserve"> </w:t>
            </w:r>
            <w:r w:rsidRPr="0082789D">
              <w:t xml:space="preserve">ES) </w:t>
            </w:r>
            <w:r w:rsidR="001314D2">
              <w:t>mērķi</w:t>
            </w:r>
            <w:r w:rsidRPr="0082789D">
              <w:t xml:space="preserve"> līdz 2030.</w:t>
            </w:r>
            <w:r w:rsidR="006F7679">
              <w:t> </w:t>
            </w:r>
            <w:r w:rsidRPr="0082789D">
              <w:t xml:space="preserve">gadam būtiski samazināt apglabājamo atkritumu apjomu. Saskaņā ar </w:t>
            </w:r>
            <w:r w:rsidRPr="00E20FED">
              <w:rPr>
                <w:i/>
              </w:rPr>
              <w:t>Eurostat</w:t>
            </w:r>
            <w:r w:rsidRPr="0082789D">
              <w:t xml:space="preserve"> datiem Latvija 2014.</w:t>
            </w:r>
            <w:r w:rsidR="006F7679">
              <w:t> </w:t>
            </w:r>
            <w:r w:rsidRPr="0082789D">
              <w:t>gadā apglabāja 70,9</w:t>
            </w:r>
            <w:r w:rsidR="006F7679">
              <w:t> </w:t>
            </w:r>
            <w:r w:rsidRPr="0082789D">
              <w:t>% no radīto atkritumu apjoma (pie vidējā ES 30,8</w:t>
            </w:r>
            <w:r w:rsidR="006F7679">
              <w:t> </w:t>
            </w:r>
            <w:r w:rsidRPr="0082789D">
              <w:t xml:space="preserve">%), bet pašlaik ES, veicot grozījumus </w:t>
            </w:r>
            <w:r w:rsidR="006F7679">
              <w:t>atkritumu apsaimniekošanas</w:t>
            </w:r>
            <w:r w:rsidRPr="0082789D">
              <w:t xml:space="preserve"> </w:t>
            </w:r>
            <w:r w:rsidR="006F7679">
              <w:t>d</w:t>
            </w:r>
            <w:r w:rsidRPr="0082789D">
              <w:t>irektīvās, apspriež ierobežot atkritumu apglabāšanu 10</w:t>
            </w:r>
            <w:r w:rsidR="006F7679">
              <w:t> </w:t>
            </w:r>
            <w:r w:rsidRPr="0082789D">
              <w:t xml:space="preserve">% apjomā no radītā </w:t>
            </w:r>
            <w:r w:rsidRPr="0082789D">
              <w:t>atkritumu apjoma. Tādas izmaiņas pieprasa inovatīvas un krasas</w:t>
            </w:r>
            <w:r w:rsidRPr="0082789D">
              <w:t xml:space="preserve"> </w:t>
            </w:r>
            <w:r w:rsidRPr="0082789D">
              <w:t>izmaiņas pastāvošā atkritumu apsaimniekošanas sistēmā.</w:t>
            </w:r>
          </w:p>
          <w:p w:rsidR="000648BA" w:rsidP="004C106B">
            <w:pPr>
              <w:pStyle w:val="tv213"/>
              <w:spacing w:before="0" w:beforeAutospacing="0" w:after="0" w:afterAutospacing="0" w:line="293" w:lineRule="atLeast"/>
              <w:jc w:val="both"/>
            </w:pPr>
          </w:p>
          <w:p w:rsidR="00110646" w:rsidP="004C106B">
            <w:pPr>
              <w:pStyle w:val="tv213"/>
              <w:spacing w:before="0" w:beforeAutospacing="0" w:after="0" w:afterAutospacing="0" w:line="293" w:lineRule="atLeast"/>
              <w:jc w:val="both"/>
            </w:pPr>
            <w:r>
              <w:t xml:space="preserve">Noteikumu projekts paredz vairākpakāpju pētniecības un attīstības darbības izvērtējumu lai izvairītos no projektu dublēšanas, veicinātu projektu realizāciju, kas var būt pielāgoti arī citiem atkritumu poligoniem, kā arī </w:t>
            </w:r>
            <w:r w:rsidR="001314D2">
              <w:t>dodot</w:t>
            </w:r>
            <w:r>
              <w:t xml:space="preserve"> pašvaldībām, kā poligonu īpašniekiem tiesības izvērtēt un pieņemt lēmumu par </w:t>
            </w:r>
            <w:r w:rsidRPr="0082789D">
              <w:t>projekta rezultātu atbilstību tā izvirzītajiem mērķiem, kā arī par rezultātu ieviešanas nepieciešamību</w:t>
            </w:r>
            <w:r>
              <w:t>.</w:t>
            </w:r>
          </w:p>
          <w:p w:rsidR="00110646" w:rsidRPr="0082789D" w:rsidP="004C106B">
            <w:pPr>
              <w:pStyle w:val="tv213"/>
              <w:spacing w:before="0" w:beforeAutospacing="0" w:after="0" w:afterAutospacing="0" w:line="293" w:lineRule="atLeast"/>
              <w:jc w:val="both"/>
            </w:pPr>
            <w:r>
              <w:t xml:space="preserve"> </w:t>
            </w:r>
          </w:p>
          <w:p w:rsidR="001C39E0" w:rsidRPr="0082789D" w:rsidP="004C106B">
            <w:pPr>
              <w:pStyle w:val="tv213"/>
              <w:spacing w:before="0" w:beforeAutospacing="0" w:after="0" w:afterAutospacing="0" w:line="293" w:lineRule="atLeast"/>
              <w:jc w:val="both"/>
            </w:pPr>
            <w:r w:rsidRPr="0082789D">
              <w:t xml:space="preserve">Saskaņā ar likuma </w:t>
            </w:r>
            <w:r w:rsidR="006F7679">
              <w:t>,,</w:t>
            </w:r>
            <w:r w:rsidRPr="0082789D">
              <w:t>Par uzņēmumu ienākuma nodokli” 1.</w:t>
            </w:r>
            <w:r w:rsidR="006F7679">
              <w:t> </w:t>
            </w:r>
            <w:r w:rsidRPr="0082789D">
              <w:t>panta 29.</w:t>
            </w:r>
            <w:r w:rsidR="006F7679">
              <w:t> </w:t>
            </w:r>
            <w:r w:rsidRPr="0082789D">
              <w:t xml:space="preserve">daļu </w:t>
            </w:r>
            <w:r w:rsidR="006F7679">
              <w:rPr>
                <w:b/>
                <w:bCs/>
              </w:rPr>
              <w:t>p</w:t>
            </w:r>
            <w:r w:rsidRPr="0082789D" w:rsidR="00220556">
              <w:rPr>
                <w:b/>
                <w:bCs/>
              </w:rPr>
              <w:t>ētniecība un attīstība</w:t>
            </w:r>
            <w:r w:rsidR="006F7679">
              <w:t xml:space="preserve"> ir</w:t>
            </w:r>
            <w:r w:rsidR="00E20FED">
              <w:t xml:space="preserve"> </w:t>
            </w:r>
            <w:r w:rsidRPr="0082789D" w:rsidR="00220556">
              <w:t>radošs darbs, kas sistemātiski tiek veikts, lai palielinātu zināšanu apjomu un izmantotu šīs zināšanas jaunu izstrādņu izveidei un kas atbilst vismaz vienam no šādiem darba veidiem:</w:t>
            </w:r>
          </w:p>
          <w:p w:rsidR="001C39E0" w:rsidRPr="0082789D" w:rsidP="001C39E0">
            <w:pPr>
              <w:pStyle w:val="tv213"/>
              <w:spacing w:before="0" w:beforeAutospacing="0" w:after="0" w:afterAutospacing="0" w:line="293" w:lineRule="atLeast"/>
              <w:ind w:left="112"/>
              <w:jc w:val="both"/>
            </w:pPr>
            <w:r w:rsidRPr="0082789D">
              <w:t>1)</w:t>
            </w:r>
            <w:r w:rsidR="006F7679">
              <w:t> </w:t>
            </w:r>
            <w:r w:rsidRPr="0082789D">
              <w:t>rūpnieciskie pētījumi — plānoti pētījumi vai kritiska izpēte, kuras mērķis ir iegūt jaunas zināšanas un paņēmienus, ko izmantot jaunu produktu (preču vai pakalpojumu), tehnoloģiju izstrādei vai būtiskai esošo produktu vai tehnoloģiju uzlabošanai;</w:t>
            </w:r>
          </w:p>
          <w:p w:rsidR="001C39E0" w:rsidRPr="0082789D" w:rsidP="001C39E0">
            <w:pPr>
              <w:pStyle w:val="tv213"/>
              <w:spacing w:before="0" w:beforeAutospacing="0" w:after="0" w:afterAutospacing="0" w:line="293" w:lineRule="atLeast"/>
              <w:ind w:left="112"/>
              <w:jc w:val="both"/>
            </w:pPr>
            <w:r w:rsidRPr="0082789D">
              <w:t>2)</w:t>
            </w:r>
            <w:r w:rsidR="006F7679">
              <w:t> </w:t>
            </w:r>
            <w:r w:rsidRPr="0082789D">
              <w:t>eksperimentālā izstrādne — zinātnisko atziņu, tehnoloģisko, komerciālo vai citu būtisku zināšanu vai prasmju kombinēšana, modelēšana vai izmantošana, lai radītu jaunus vai būtiski uzlabotus produktus (preces vai pakalpojumus) vai tehnoloģijas, vai darbības, kuru mērķis ir konceptuāli definēt, plānot un dokumentēt jaunus produktus (preces vai pakalpojumus) vai tehnoloģijas.</w:t>
            </w:r>
          </w:p>
          <w:p w:rsidR="00823B9B" w:rsidRPr="0082789D" w:rsidP="001C39E0">
            <w:pPr>
              <w:pStyle w:val="tv213"/>
              <w:spacing w:before="0" w:beforeAutospacing="0" w:after="0" w:afterAutospacing="0" w:line="293" w:lineRule="atLeast"/>
              <w:ind w:left="112"/>
              <w:jc w:val="both"/>
            </w:pPr>
          </w:p>
          <w:p w:rsidR="000D2F64" w:rsidRPr="0082789D" w:rsidP="00085173">
            <w:pPr>
              <w:spacing w:before="20" w:after="20" w:line="240" w:lineRule="auto"/>
              <w:jc w:val="both"/>
              <w:rPr>
                <w:rFonts w:ascii="Times New Roman" w:eastAsia="Times New Roman" w:hAnsi="Times New Roman" w:cs="Times New Roman"/>
                <w:sz w:val="24"/>
                <w:szCs w:val="24"/>
                <w:lang w:eastAsia="lv-LV"/>
              </w:rPr>
            </w:pPr>
            <w:r w:rsidRPr="0082789D">
              <w:rPr>
                <w:rFonts w:ascii="Times New Roman" w:eastAsia="Times New Roman" w:hAnsi="Times New Roman" w:cs="Times New Roman"/>
                <w:sz w:val="24"/>
                <w:szCs w:val="24"/>
                <w:lang w:eastAsia="lv-LV"/>
              </w:rPr>
              <w:t>Par pētniecības un attīstības darbību</w:t>
            </w:r>
            <w:r w:rsidRPr="0082789D" w:rsidR="001C39E0">
              <w:rPr>
                <w:rFonts w:ascii="Times New Roman" w:eastAsia="Times New Roman" w:hAnsi="Times New Roman" w:cs="Times New Roman"/>
                <w:sz w:val="24"/>
                <w:szCs w:val="24"/>
                <w:lang w:eastAsia="lv-LV"/>
              </w:rPr>
              <w:t xml:space="preserve"> šo noteikumu </w:t>
            </w:r>
            <w:r w:rsidR="006F7679">
              <w:rPr>
                <w:rFonts w:ascii="Times New Roman" w:eastAsia="Times New Roman" w:hAnsi="Times New Roman" w:cs="Times New Roman"/>
                <w:sz w:val="24"/>
                <w:szCs w:val="24"/>
                <w:lang w:eastAsia="lv-LV"/>
              </w:rPr>
              <w:t>projekta izpratnē</w:t>
            </w:r>
            <w:r w:rsidRPr="0082789D">
              <w:rPr>
                <w:rFonts w:ascii="Times New Roman" w:eastAsia="Times New Roman" w:hAnsi="Times New Roman" w:cs="Times New Roman"/>
                <w:sz w:val="24"/>
                <w:szCs w:val="24"/>
                <w:lang w:eastAsia="lv-LV"/>
              </w:rPr>
              <w:t xml:space="preserve"> uzskata tādu darbību, kas ir vērsta uz poligonā apglabājamo atkritumu apjoma samazināšanu pret ievesto atkritumu apjomu pārskata periodā.</w:t>
            </w:r>
          </w:p>
          <w:p w:rsidR="005C1FDC" w:rsidRPr="0082789D" w:rsidP="00085173">
            <w:pPr>
              <w:spacing w:before="20" w:after="20" w:line="240" w:lineRule="auto"/>
              <w:jc w:val="both"/>
              <w:rPr>
                <w:rFonts w:ascii="Times New Roman" w:eastAsia="Times New Roman" w:hAnsi="Times New Roman" w:cs="Times New Roman"/>
                <w:sz w:val="28"/>
                <w:szCs w:val="24"/>
                <w:lang w:eastAsia="lv-LV"/>
              </w:rPr>
            </w:pPr>
            <w:r w:rsidRPr="0082789D">
              <w:rPr>
                <w:rFonts w:ascii="Times New Roman" w:hAnsi="Times New Roman" w:cs="Times New Roman"/>
                <w:sz w:val="24"/>
              </w:rPr>
              <w:t>Par jaunu tehnoloģiju uzskata tādas izmaiņas tehnoloģijā, iekārtā un programmatūrā, kas būtiski uzlabo ražošanas vai pakalpojuma sniegšanas procesu vai metodes.</w:t>
            </w:r>
            <w:r w:rsidRPr="0082789D" w:rsidR="000F1F64">
              <w:rPr>
                <w:rFonts w:ascii="Times New Roman" w:hAnsi="Times New Roman" w:cs="Times New Roman"/>
                <w:sz w:val="24"/>
              </w:rPr>
              <w:t xml:space="preserve"> Noteikumu projekta 3.2.</w:t>
            </w:r>
            <w:r w:rsidR="00D02AA4">
              <w:rPr>
                <w:rFonts w:ascii="Times New Roman" w:hAnsi="Times New Roman" w:cs="Times New Roman"/>
                <w:sz w:val="24"/>
              </w:rPr>
              <w:t> </w:t>
            </w:r>
            <w:r w:rsidRPr="0082789D" w:rsidR="000F1F64">
              <w:rPr>
                <w:rFonts w:ascii="Times New Roman" w:hAnsi="Times New Roman" w:cs="Times New Roman"/>
                <w:sz w:val="24"/>
              </w:rPr>
              <w:t xml:space="preserve">apakšpunktā ir sniegta arī to aktivitāšu uzskaite, kuras netiek uzskatītas par </w:t>
            </w:r>
            <w:r w:rsidRPr="0082789D" w:rsidR="00D01619">
              <w:rPr>
                <w:rFonts w:ascii="Times New Roman" w:hAnsi="Times New Roman" w:cs="Times New Roman"/>
                <w:sz w:val="24"/>
              </w:rPr>
              <w:t>pētniecības</w:t>
            </w:r>
            <w:r w:rsidRPr="0082789D" w:rsidR="000F1F64">
              <w:rPr>
                <w:rFonts w:ascii="Times New Roman" w:hAnsi="Times New Roman" w:cs="Times New Roman"/>
                <w:sz w:val="24"/>
              </w:rPr>
              <w:t xml:space="preserve"> un attīstības darbībām.</w:t>
            </w:r>
          </w:p>
          <w:p w:rsidR="00B270DC" w:rsidRPr="0082789D" w:rsidP="004C106B">
            <w:pPr>
              <w:ind w:right="140"/>
              <w:contextualSpacing/>
              <w:jc w:val="both"/>
              <w:rPr>
                <w:rFonts w:ascii="Times New Roman" w:hAnsi="Times New Roman" w:cs="Times New Roman"/>
                <w:sz w:val="24"/>
                <w:szCs w:val="24"/>
              </w:rPr>
            </w:pPr>
          </w:p>
          <w:p w:rsidR="00B270DC" w:rsidRPr="0082789D" w:rsidP="00E20FED">
            <w:pPr>
              <w:ind w:right="140"/>
              <w:contextualSpacing/>
              <w:jc w:val="both"/>
              <w:rPr>
                <w:rFonts w:ascii="Times New Roman" w:hAnsi="Times New Roman" w:cs="Times New Roman"/>
                <w:sz w:val="24"/>
                <w:szCs w:val="24"/>
              </w:rPr>
            </w:pPr>
            <w:r w:rsidRPr="0082789D">
              <w:rPr>
                <w:rFonts w:ascii="Times New Roman" w:hAnsi="Times New Roman" w:cs="Times New Roman"/>
                <w:sz w:val="24"/>
                <w:szCs w:val="24"/>
              </w:rPr>
              <w:t xml:space="preserve">Izvērtējot attiecīgās darbības atbilstību </w:t>
            </w:r>
            <w:r w:rsidRPr="0082789D">
              <w:rPr>
                <w:rFonts w:ascii="Times New Roman" w:eastAsia="Times New Roman" w:hAnsi="Times New Roman" w:cs="Times New Roman"/>
                <w:sz w:val="24"/>
                <w:szCs w:val="24"/>
                <w:lang w:eastAsia="lv-LV"/>
              </w:rPr>
              <w:t>pētniecības un attīstības darbībai</w:t>
            </w:r>
            <w:r w:rsidR="00D02AA4">
              <w:rPr>
                <w:rFonts w:ascii="Times New Roman" w:eastAsia="Times New Roman" w:hAnsi="Times New Roman" w:cs="Times New Roman"/>
                <w:sz w:val="24"/>
                <w:szCs w:val="24"/>
                <w:lang w:eastAsia="lv-LV"/>
              </w:rPr>
              <w:t>,</w:t>
            </w:r>
            <w:r w:rsidRPr="0082789D">
              <w:rPr>
                <w:rFonts w:ascii="Times New Roman" w:hAnsi="Times New Roman" w:cs="Times New Roman"/>
                <w:sz w:val="24"/>
                <w:szCs w:val="24"/>
              </w:rPr>
              <w:t xml:space="preserve"> var izmantot Ekonomiskās sadarbības un attīstības organizācijas </w:t>
            </w:r>
            <w:r w:rsidRPr="0082789D" w:rsidR="00D02AA4">
              <w:rPr>
                <w:rFonts w:ascii="Times New Roman" w:hAnsi="Times New Roman" w:cs="Times New Roman"/>
                <w:sz w:val="24"/>
                <w:szCs w:val="24"/>
              </w:rPr>
              <w:t>(</w:t>
            </w:r>
            <w:r w:rsidRPr="00E20FED" w:rsidR="00D02AA4">
              <w:rPr>
                <w:rFonts w:ascii="Times New Roman" w:hAnsi="Times New Roman" w:cs="Times New Roman"/>
                <w:i/>
                <w:sz w:val="24"/>
                <w:szCs w:val="24"/>
              </w:rPr>
              <w:t>OECD</w:t>
            </w:r>
            <w:r w:rsidRPr="0082789D" w:rsidR="00D02AA4">
              <w:rPr>
                <w:rFonts w:ascii="Times New Roman" w:hAnsi="Times New Roman" w:cs="Times New Roman"/>
                <w:sz w:val="24"/>
                <w:szCs w:val="24"/>
              </w:rPr>
              <w:t xml:space="preserve">) </w:t>
            </w:r>
            <w:r w:rsidRPr="0082789D">
              <w:rPr>
                <w:rFonts w:ascii="Times New Roman" w:hAnsi="Times New Roman" w:cs="Times New Roman"/>
                <w:sz w:val="24"/>
                <w:szCs w:val="24"/>
              </w:rPr>
              <w:t>dokumentu</w:t>
            </w:r>
            <w:r w:rsidR="00D02AA4">
              <w:rPr>
                <w:rFonts w:ascii="Times New Roman" w:hAnsi="Times New Roman" w:cs="Times New Roman"/>
                <w:sz w:val="24"/>
                <w:szCs w:val="24"/>
              </w:rPr>
              <w:t xml:space="preserve">: </w:t>
            </w:r>
            <w:r w:rsidRPr="0082789D">
              <w:rPr>
                <w:rFonts w:ascii="Times New Roman" w:hAnsi="Times New Roman" w:cs="Times New Roman"/>
                <w:sz w:val="24"/>
                <w:szCs w:val="24"/>
              </w:rPr>
              <w:t>„</w:t>
            </w:r>
            <w:r w:rsidRPr="0082789D">
              <w:rPr>
                <w:rFonts w:ascii="Times New Roman" w:hAnsi="Times New Roman" w:cs="Times New Roman"/>
                <w:i/>
                <w:sz w:val="24"/>
                <w:szCs w:val="24"/>
              </w:rPr>
              <w:t>Frascati</w:t>
            </w:r>
            <w:r w:rsidRPr="0082789D">
              <w:rPr>
                <w:rFonts w:ascii="Times New Roman" w:hAnsi="Times New Roman" w:cs="Times New Roman"/>
                <w:sz w:val="24"/>
                <w:szCs w:val="24"/>
              </w:rPr>
              <w:t xml:space="preserve"> rokasgrāmata”</w:t>
            </w:r>
            <w:r w:rsidRPr="0082789D">
              <w:rPr>
                <w:rFonts w:ascii="Times New Roman" w:eastAsia="Times New Roman" w:hAnsi="Times New Roman" w:cs="Times New Roman"/>
                <w:sz w:val="24"/>
                <w:szCs w:val="24"/>
                <w:lang w:eastAsia="lv-LV"/>
              </w:rPr>
              <w:t xml:space="preserve"> - </w:t>
            </w:r>
            <w:r w:rsidRPr="0082789D">
              <w:rPr>
                <w:rStyle w:val="Emphasis"/>
                <w:rFonts w:ascii="Times New Roman" w:hAnsi="Times New Roman" w:cs="Times New Roman"/>
                <w:sz w:val="24"/>
                <w:szCs w:val="24"/>
                <w:bdr w:val="none" w:sz="0" w:space="0" w:color="auto" w:frame="1"/>
                <w:shd w:val="clear" w:color="auto" w:fill="FFFFFF"/>
              </w:rPr>
              <w:t>Frascati Manual 2015: Guidelines for Collecting and Reporting Data on Research and Experimental Development</w:t>
            </w:r>
            <w:r>
              <w:rPr>
                <w:rStyle w:val="FootnoteReference"/>
                <w:rFonts w:ascii="Times New Roman" w:hAnsi="Times New Roman" w:cs="Times New Roman"/>
                <w:i/>
                <w:iCs/>
                <w:sz w:val="24"/>
                <w:szCs w:val="24"/>
                <w:bdr w:val="none" w:sz="0" w:space="0" w:color="auto" w:frame="1"/>
                <w:shd w:val="clear" w:color="auto" w:fill="FFFFFF"/>
              </w:rPr>
              <w:footnoteReference w:id="3"/>
            </w:r>
            <w:r w:rsidRPr="0082789D">
              <w:rPr>
                <w:rFonts w:ascii="Times New Roman" w:hAnsi="Times New Roman" w:cs="Times New Roman"/>
                <w:sz w:val="24"/>
                <w:szCs w:val="24"/>
              </w:rPr>
              <w:t xml:space="preserve">. </w:t>
            </w:r>
          </w:p>
          <w:p w:rsidR="00B270DC" w:rsidP="00B270DC">
            <w:pPr>
              <w:spacing w:before="20" w:after="20" w:line="240" w:lineRule="auto"/>
              <w:jc w:val="both"/>
              <w:rPr>
                <w:rFonts w:ascii="Times New Roman" w:eastAsia="Times New Roman" w:hAnsi="Times New Roman" w:cs="Times New Roman"/>
                <w:sz w:val="24"/>
                <w:szCs w:val="24"/>
                <w:lang w:eastAsia="lv-LV"/>
              </w:rPr>
            </w:pPr>
            <w:r w:rsidRPr="0082789D">
              <w:rPr>
                <w:rFonts w:ascii="Times New Roman" w:hAnsi="Times New Roman" w:cs="Times New Roman"/>
                <w:sz w:val="24"/>
                <w:szCs w:val="24"/>
              </w:rPr>
              <w:t>Savukārt jaunu produktu un tehnoloģiju novērtēšanai var izmantot E</w:t>
            </w:r>
            <w:r w:rsidR="00D02AA4">
              <w:rPr>
                <w:rFonts w:ascii="Times New Roman" w:hAnsi="Times New Roman" w:cs="Times New Roman"/>
                <w:sz w:val="24"/>
                <w:szCs w:val="24"/>
              </w:rPr>
              <w:t>S</w:t>
            </w:r>
            <w:r w:rsidRPr="0082789D">
              <w:rPr>
                <w:rFonts w:ascii="Times New Roman" w:hAnsi="Times New Roman" w:cs="Times New Roman"/>
                <w:sz w:val="24"/>
                <w:szCs w:val="24"/>
              </w:rPr>
              <w:t xml:space="preserve"> Statistikas biroja sagatavoto inovāciju datu vākšanas un interpretēšanas pamatnostādnes </w:t>
            </w:r>
            <w:r w:rsidR="00D02AA4">
              <w:rPr>
                <w:rFonts w:ascii="Times New Roman" w:hAnsi="Times New Roman" w:cs="Times New Roman"/>
                <w:sz w:val="24"/>
                <w:szCs w:val="24"/>
              </w:rPr>
              <w:t>,,</w:t>
            </w:r>
            <w:r w:rsidRPr="00E20FED">
              <w:rPr>
                <w:rFonts w:ascii="Times New Roman" w:hAnsi="Times New Roman" w:cs="Times New Roman"/>
                <w:i/>
                <w:sz w:val="24"/>
                <w:szCs w:val="24"/>
              </w:rPr>
              <w:t>Oslo Manual. Guidelines for Collecting and Interpreting Innovation Data, 3rd Edition</w:t>
            </w:r>
            <w:r w:rsidRPr="0082789D">
              <w:rPr>
                <w:rFonts w:ascii="Times New Roman" w:hAnsi="Times New Roman" w:cs="Times New Roman"/>
                <w:sz w:val="24"/>
                <w:szCs w:val="24"/>
              </w:rPr>
              <w:t>”</w:t>
            </w:r>
            <w:r>
              <w:rPr>
                <w:rStyle w:val="FootnoteReference"/>
                <w:rFonts w:ascii="Times New Roman" w:hAnsi="Times New Roman" w:cs="Times New Roman"/>
                <w:sz w:val="24"/>
                <w:szCs w:val="24"/>
              </w:rPr>
              <w:footnoteReference w:id="4"/>
            </w:r>
            <w:r w:rsidRPr="0082789D">
              <w:rPr>
                <w:rFonts w:ascii="Times New Roman" w:hAnsi="Times New Roman" w:cs="Times New Roman"/>
                <w:sz w:val="24"/>
                <w:szCs w:val="24"/>
              </w:rPr>
              <w:t xml:space="preserve">. </w:t>
            </w:r>
            <w:r w:rsidRPr="00E20FED" w:rsidR="00D02AA4">
              <w:rPr>
                <w:rFonts w:ascii="Times New Roman" w:eastAsia="Times New Roman" w:hAnsi="Times New Roman" w:cs="Times New Roman"/>
                <w:sz w:val="24"/>
                <w:szCs w:val="24"/>
                <w:lang w:eastAsia="lv-LV"/>
              </w:rPr>
              <w:t>M</w:t>
            </w:r>
            <w:r w:rsidRPr="00E20FED">
              <w:rPr>
                <w:rFonts w:ascii="Times New Roman" w:eastAsia="Times New Roman" w:hAnsi="Times New Roman" w:cs="Times New Roman"/>
                <w:sz w:val="24"/>
                <w:szCs w:val="24"/>
                <w:lang w:eastAsia="lv-LV"/>
              </w:rPr>
              <w:t xml:space="preserve">inētie dokumenti ļauj izvērtēt vai veiktie darbi atbilst </w:t>
            </w:r>
            <w:r w:rsidRPr="00E20FED" w:rsidR="00E20FED">
              <w:rPr>
                <w:rFonts w:ascii="Times New Roman" w:hAnsi="Times New Roman" w:cs="Times New Roman"/>
                <w:sz w:val="24"/>
                <w:szCs w:val="24"/>
              </w:rPr>
              <w:t>pētniecības un attīstības</w:t>
            </w:r>
            <w:r w:rsidRPr="00E20FED">
              <w:rPr>
                <w:rFonts w:ascii="Times New Roman" w:eastAsia="Times New Roman" w:hAnsi="Times New Roman" w:cs="Times New Roman"/>
                <w:sz w:val="24"/>
                <w:szCs w:val="24"/>
                <w:lang w:eastAsia="lv-LV"/>
              </w:rPr>
              <w:t xml:space="preserve"> darbībai.</w:t>
            </w:r>
          </w:p>
          <w:p w:rsidR="00971873" w:rsidP="00B270DC">
            <w:pPr>
              <w:spacing w:before="20" w:after="20" w:line="240" w:lineRule="auto"/>
              <w:jc w:val="both"/>
              <w:rPr>
                <w:rFonts w:ascii="Times New Roman" w:eastAsia="Times New Roman" w:hAnsi="Times New Roman" w:cs="Times New Roman"/>
                <w:sz w:val="24"/>
                <w:szCs w:val="24"/>
                <w:lang w:eastAsia="lv-LV"/>
              </w:rPr>
            </w:pPr>
          </w:p>
          <w:p w:rsidR="00971873" w:rsidRPr="00971873" w:rsidP="00B270DC">
            <w:pPr>
              <w:spacing w:before="20" w:after="20" w:line="240" w:lineRule="auto"/>
              <w:jc w:val="both"/>
              <w:rPr>
                <w:rFonts w:ascii="Times New Roman" w:eastAsia="Times New Roman" w:hAnsi="Times New Roman" w:cs="Times New Roman"/>
                <w:sz w:val="24"/>
                <w:szCs w:val="24"/>
                <w:lang w:eastAsia="lv-LV"/>
              </w:rPr>
            </w:pPr>
            <w:r w:rsidRPr="00971873">
              <w:rPr>
                <w:rFonts w:ascii="Times New Roman" w:eastAsia="Times New Roman" w:hAnsi="Times New Roman" w:cs="Times New Roman"/>
                <w:sz w:val="24"/>
                <w:szCs w:val="24"/>
                <w:lang w:eastAsia="lv-LV"/>
              </w:rPr>
              <w:t xml:space="preserve">Pētniecības un attīstības darbības pasūtītājam ir ieteicams </w:t>
            </w:r>
            <w:r w:rsidRPr="00971873">
              <w:rPr>
                <w:rFonts w:ascii="Times New Roman" w:hAnsi="Times New Roman" w:cs="Times New Roman"/>
                <w:sz w:val="24"/>
                <w:szCs w:val="24"/>
                <w:lang w:bidi="lo-LA"/>
              </w:rPr>
              <w:t>ņemt vērā politikas plānošanas dokument</w:t>
            </w:r>
            <w:r w:rsidR="00E20FED">
              <w:rPr>
                <w:rFonts w:ascii="Times New Roman" w:hAnsi="Times New Roman" w:cs="Times New Roman"/>
                <w:sz w:val="24"/>
                <w:szCs w:val="24"/>
                <w:lang w:bidi="lo-LA"/>
              </w:rPr>
              <w:t>u</w:t>
            </w:r>
            <w:r w:rsidRPr="00971873">
              <w:rPr>
                <w:rFonts w:ascii="Times New Roman" w:hAnsi="Times New Roman" w:cs="Times New Roman"/>
                <w:sz w:val="24"/>
                <w:szCs w:val="24"/>
                <w:lang w:bidi="lo-LA"/>
              </w:rPr>
              <w:t xml:space="preserve"> </w:t>
            </w:r>
            <w:r w:rsidR="00D02AA4">
              <w:rPr>
                <w:rFonts w:ascii="Times New Roman" w:hAnsi="Times New Roman" w:cs="Times New Roman"/>
                <w:sz w:val="24"/>
                <w:szCs w:val="24"/>
                <w:lang w:bidi="lo-LA"/>
              </w:rPr>
              <w:t>,,</w:t>
            </w:r>
            <w:r w:rsidRPr="00971873">
              <w:rPr>
                <w:rFonts w:ascii="Times New Roman" w:hAnsi="Times New Roman" w:cs="Times New Roman"/>
                <w:sz w:val="24"/>
                <w:szCs w:val="24"/>
                <w:lang w:bidi="lo-LA"/>
              </w:rPr>
              <w:t>Zinātnes, tehnoloģijas attīstības un inovācijas pamatnostādnes 2014.–2020.</w:t>
            </w:r>
            <w:r w:rsidR="00D02AA4">
              <w:rPr>
                <w:rFonts w:ascii="Times New Roman" w:hAnsi="Times New Roman" w:cs="Times New Roman"/>
                <w:sz w:val="24"/>
                <w:szCs w:val="24"/>
                <w:lang w:bidi="lo-LA"/>
              </w:rPr>
              <w:t> </w:t>
            </w:r>
            <w:r w:rsidRPr="00971873">
              <w:rPr>
                <w:rFonts w:ascii="Times New Roman" w:hAnsi="Times New Roman" w:cs="Times New Roman"/>
                <w:sz w:val="24"/>
                <w:szCs w:val="24"/>
                <w:lang w:bidi="lo-LA"/>
              </w:rPr>
              <w:t>gadam</w:t>
            </w:r>
            <w:r w:rsidR="00D02AA4">
              <w:rPr>
                <w:rFonts w:ascii="Times New Roman" w:hAnsi="Times New Roman" w:cs="Times New Roman"/>
                <w:sz w:val="24"/>
                <w:szCs w:val="24"/>
                <w:lang w:bidi="lo-LA"/>
              </w:rPr>
              <w:t xml:space="preserve">”, kas apstiprināts ar Ministru kabineta 2013. gada 28. decembra rīkojumu Nr. 685 ,,Par </w:t>
            </w:r>
            <w:r w:rsidRPr="00971873" w:rsidR="00D02AA4">
              <w:rPr>
                <w:rFonts w:ascii="Times New Roman" w:hAnsi="Times New Roman" w:cs="Times New Roman"/>
                <w:sz w:val="24"/>
                <w:szCs w:val="24"/>
                <w:lang w:bidi="lo-LA"/>
              </w:rPr>
              <w:t>Zinātnes, tehnoloģijas attīstības un inovācijas pamatnostādn</w:t>
            </w:r>
            <w:r w:rsidR="00D02AA4">
              <w:rPr>
                <w:rFonts w:ascii="Times New Roman" w:hAnsi="Times New Roman" w:cs="Times New Roman"/>
                <w:sz w:val="24"/>
                <w:szCs w:val="24"/>
                <w:lang w:bidi="lo-LA"/>
              </w:rPr>
              <w:t xml:space="preserve">ēm </w:t>
            </w:r>
            <w:r w:rsidRPr="00971873" w:rsidR="00D02AA4">
              <w:rPr>
                <w:rFonts w:ascii="Times New Roman" w:hAnsi="Times New Roman" w:cs="Times New Roman"/>
                <w:sz w:val="24"/>
                <w:szCs w:val="24"/>
                <w:lang w:bidi="lo-LA"/>
              </w:rPr>
              <w:t>2014.–2020.</w:t>
            </w:r>
            <w:r w:rsidR="00D02AA4">
              <w:rPr>
                <w:rFonts w:ascii="Times New Roman" w:hAnsi="Times New Roman" w:cs="Times New Roman"/>
                <w:sz w:val="24"/>
                <w:szCs w:val="24"/>
                <w:lang w:bidi="lo-LA"/>
              </w:rPr>
              <w:t> </w:t>
            </w:r>
            <w:r w:rsidRPr="00971873" w:rsidR="00D02AA4">
              <w:rPr>
                <w:rFonts w:ascii="Times New Roman" w:hAnsi="Times New Roman" w:cs="Times New Roman"/>
                <w:sz w:val="24"/>
                <w:szCs w:val="24"/>
                <w:lang w:bidi="lo-LA"/>
              </w:rPr>
              <w:t>gadam</w:t>
            </w:r>
            <w:r w:rsidR="00D02AA4">
              <w:rPr>
                <w:rFonts w:ascii="Times New Roman" w:hAnsi="Times New Roman" w:cs="Times New Roman"/>
                <w:sz w:val="24"/>
                <w:szCs w:val="24"/>
                <w:lang w:bidi="lo-LA"/>
              </w:rPr>
              <w:t>”,</w:t>
            </w:r>
            <w:r w:rsidRPr="00971873">
              <w:rPr>
                <w:rFonts w:ascii="Times New Roman" w:hAnsi="Times New Roman" w:cs="Times New Roman"/>
                <w:sz w:val="24"/>
                <w:szCs w:val="24"/>
                <w:lang w:bidi="lo-LA"/>
              </w:rPr>
              <w:t xml:space="preserve"> noteiktos stratēģiskos mērķus, tostarp nosakot, ka īstenotai pētniecībai jāsniedz ieguldījums Latvijas Viedās specializācijas stratēģijā noteikto tautsaimniecības transformācijas virzienu un izaugsmes prioritāšu īstenošanā un specializācijas jomu attīstībā.</w:t>
            </w:r>
          </w:p>
          <w:p w:rsidR="006E0BC3" w:rsidP="00085173">
            <w:pPr>
              <w:spacing w:before="20" w:after="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Sagatavojot projekta pieteikumu, </w:t>
            </w:r>
            <w:r>
              <w:rPr>
                <w:rFonts w:ascii="Times New Roman" w:hAnsi="Times New Roman" w:cs="Times New Roman"/>
                <w:sz w:val="24"/>
                <w:szCs w:val="24"/>
              </w:rPr>
              <w:t>p</w:t>
            </w:r>
            <w:r w:rsidRPr="0082789D">
              <w:rPr>
                <w:rFonts w:ascii="Times New Roman" w:hAnsi="Times New Roman" w:cs="Times New Roman"/>
                <w:sz w:val="24"/>
                <w:szCs w:val="24"/>
              </w:rPr>
              <w:t>ētniecības un attīstības darbības pasūtītājs</w:t>
            </w:r>
            <w:r>
              <w:rPr>
                <w:rFonts w:ascii="Times New Roman" w:hAnsi="Times New Roman" w:cs="Times New Roman"/>
                <w:sz w:val="24"/>
                <w:szCs w:val="24"/>
              </w:rPr>
              <w:t xml:space="preserve"> </w:t>
            </w:r>
            <w:r w:rsidR="00CA3E5B">
              <w:rPr>
                <w:rFonts w:ascii="Times New Roman" w:hAnsi="Times New Roman" w:cs="Times New Roman"/>
                <w:sz w:val="24"/>
                <w:szCs w:val="24"/>
              </w:rPr>
              <w:t>identificē</w:t>
            </w:r>
            <w:r>
              <w:rPr>
                <w:rFonts w:ascii="Times New Roman" w:hAnsi="Times New Roman" w:cs="Times New Roman"/>
                <w:sz w:val="24"/>
                <w:szCs w:val="24"/>
              </w:rPr>
              <w:t xml:space="preserve"> arī saskaņā ar noteikumu </w:t>
            </w:r>
            <w:r w:rsidR="00CA3E5B">
              <w:rPr>
                <w:rFonts w:ascii="Times New Roman" w:hAnsi="Times New Roman" w:cs="Times New Roman"/>
                <w:sz w:val="24"/>
                <w:szCs w:val="24"/>
              </w:rPr>
              <w:t xml:space="preserve">projekta </w:t>
            </w:r>
            <w:r>
              <w:rPr>
                <w:rFonts w:ascii="Times New Roman" w:hAnsi="Times New Roman" w:cs="Times New Roman"/>
                <w:sz w:val="24"/>
                <w:szCs w:val="24"/>
              </w:rPr>
              <w:t>9.5.3.</w:t>
            </w:r>
            <w:r w:rsidR="00CA3E5B">
              <w:rPr>
                <w:rFonts w:ascii="Times New Roman" w:hAnsi="Times New Roman" w:cs="Times New Roman"/>
                <w:sz w:val="24"/>
                <w:szCs w:val="24"/>
              </w:rPr>
              <w:t> </w:t>
            </w:r>
            <w:r>
              <w:rPr>
                <w:rFonts w:ascii="Times New Roman" w:hAnsi="Times New Roman" w:cs="Times New Roman"/>
                <w:sz w:val="24"/>
                <w:szCs w:val="24"/>
              </w:rPr>
              <w:t>apakšpunktu</w:t>
            </w:r>
            <w:r w:rsidR="00CA3E5B">
              <w:rPr>
                <w:rFonts w:ascii="Times New Roman" w:hAnsi="Times New Roman" w:cs="Times New Roman"/>
                <w:sz w:val="24"/>
                <w:szCs w:val="24"/>
              </w:rPr>
              <w:t xml:space="preserve"> tās personas,</w:t>
            </w:r>
            <w:r>
              <w:rPr>
                <w:rFonts w:ascii="Times New Roman" w:hAnsi="Times New Roman" w:cs="Times New Roman"/>
                <w:sz w:val="24"/>
                <w:szCs w:val="24"/>
              </w:rPr>
              <w:t xml:space="preserve"> kas varētu būt potenciālie projekta izpildītāji.</w:t>
            </w:r>
          </w:p>
          <w:p w:rsidR="00D50FA0" w:rsidRPr="0082789D" w:rsidP="00085173">
            <w:pPr>
              <w:spacing w:before="20" w:after="20" w:line="240" w:lineRule="auto"/>
              <w:jc w:val="both"/>
              <w:rPr>
                <w:rFonts w:ascii="Times New Roman" w:eastAsia="Times New Roman" w:hAnsi="Times New Roman" w:cs="Times New Roman"/>
                <w:sz w:val="24"/>
                <w:szCs w:val="24"/>
                <w:lang w:eastAsia="lv-LV"/>
              </w:rPr>
            </w:pPr>
          </w:p>
          <w:p w:rsidR="006E0BC3" w:rsidRPr="0082789D" w:rsidP="00085173">
            <w:pPr>
              <w:spacing w:before="20" w:after="20" w:line="240" w:lineRule="auto"/>
              <w:jc w:val="both"/>
              <w:rPr>
                <w:rFonts w:ascii="Times New Roman" w:hAnsi="Times New Roman" w:cs="Times New Roman"/>
                <w:sz w:val="24"/>
                <w:szCs w:val="24"/>
              </w:rPr>
            </w:pPr>
            <w:r w:rsidRPr="0082789D">
              <w:rPr>
                <w:rFonts w:ascii="Times New Roman" w:hAnsi="Times New Roman" w:cs="Times New Roman"/>
                <w:sz w:val="24"/>
                <w:szCs w:val="24"/>
              </w:rPr>
              <w:t xml:space="preserve">Pētniecības un attīstības darbības pasūtītājs </w:t>
            </w:r>
            <w:r w:rsidRPr="0082789D" w:rsidR="00220556">
              <w:rPr>
                <w:rFonts w:ascii="Times New Roman" w:hAnsi="Times New Roman" w:cs="Times New Roman"/>
                <w:sz w:val="24"/>
                <w:szCs w:val="24"/>
              </w:rPr>
              <w:t xml:space="preserve">pētniecības un attīstības darbības </w:t>
            </w:r>
            <w:r w:rsidR="001314D2">
              <w:rPr>
                <w:rFonts w:ascii="Times New Roman" w:hAnsi="Times New Roman" w:cs="Times New Roman"/>
                <w:sz w:val="24"/>
                <w:szCs w:val="24"/>
              </w:rPr>
              <w:t>noslēguma</w:t>
            </w:r>
            <w:r w:rsidRPr="0082789D" w:rsidR="00220556">
              <w:rPr>
                <w:rFonts w:ascii="Times New Roman" w:hAnsi="Times New Roman" w:cs="Times New Roman"/>
                <w:sz w:val="24"/>
                <w:szCs w:val="24"/>
              </w:rPr>
              <w:t xml:space="preserve"> ziņojumu publicē savā tīmekļa vietnē un iesniedz </w:t>
            </w:r>
            <w:r w:rsidRPr="0082789D">
              <w:rPr>
                <w:rFonts w:ascii="Times New Roman" w:hAnsi="Times New Roman" w:cs="Times New Roman"/>
                <w:sz w:val="24"/>
                <w:szCs w:val="24"/>
              </w:rPr>
              <w:t>Vides aizsardzības un reģionālās attīstības ministrijā (turpmāk – Ministrija)</w:t>
            </w:r>
            <w:r w:rsidRPr="0082789D" w:rsidR="00220556">
              <w:rPr>
                <w:rFonts w:ascii="Times New Roman" w:hAnsi="Times New Roman" w:cs="Times New Roman"/>
                <w:sz w:val="24"/>
                <w:szCs w:val="24"/>
              </w:rPr>
              <w:t xml:space="preserve"> pēc attiecīgā atkritumu apsaimniekošanas reģiona pašvaldību lēmuma par projekta rezultātu atbilstību tā izvirzītajiem mērķiem, kā arī par rezultātu ieviešanas nepieciešamību saņemšanas. </w:t>
            </w:r>
            <w:r w:rsidR="001314D2">
              <w:rPr>
                <w:rFonts w:ascii="Times New Roman" w:hAnsi="Times New Roman" w:cs="Times New Roman"/>
                <w:sz w:val="24"/>
                <w:szCs w:val="24"/>
              </w:rPr>
              <w:t>Noslēguma</w:t>
            </w:r>
            <w:r w:rsidRPr="0082789D" w:rsidR="00220556">
              <w:rPr>
                <w:rFonts w:ascii="Times New Roman" w:hAnsi="Times New Roman" w:cs="Times New Roman"/>
                <w:sz w:val="24"/>
                <w:szCs w:val="24"/>
              </w:rPr>
              <w:t xml:space="preserve"> ziņojums tiek publicēts un iesniegts Ministrijai arī pēc negatīv</w:t>
            </w:r>
            <w:r w:rsidR="001314D2">
              <w:rPr>
                <w:rFonts w:ascii="Times New Roman" w:hAnsi="Times New Roman" w:cs="Times New Roman"/>
                <w:sz w:val="24"/>
                <w:szCs w:val="24"/>
              </w:rPr>
              <w:t>a</w:t>
            </w:r>
            <w:r w:rsidRPr="0082789D" w:rsidR="00220556">
              <w:rPr>
                <w:rFonts w:ascii="Times New Roman" w:hAnsi="Times New Roman" w:cs="Times New Roman"/>
                <w:sz w:val="24"/>
                <w:szCs w:val="24"/>
              </w:rPr>
              <w:t xml:space="preserve"> lēmuma saņemšanas, jo pētniecības un attīstības darbība ir veikta un tā var būt lietderīga arī citu atkritumu apsaimniekošanas reģionu pētniecības un attīstības darbības pasūtītājiem.</w:t>
            </w:r>
            <w:r w:rsidRPr="0082789D">
              <w:rPr>
                <w:rFonts w:ascii="Times New Roman" w:hAnsi="Times New Roman" w:cs="Times New Roman"/>
                <w:sz w:val="24"/>
                <w:szCs w:val="24"/>
              </w:rPr>
              <w:t xml:space="preserve"> </w:t>
            </w:r>
          </w:p>
          <w:p w:rsidR="004C106B" w:rsidRPr="0082789D" w:rsidP="00085173">
            <w:pPr>
              <w:spacing w:before="20" w:after="20" w:line="240" w:lineRule="auto"/>
              <w:jc w:val="both"/>
              <w:rPr>
                <w:rFonts w:ascii="Times New Roman" w:hAnsi="Times New Roman" w:cs="Times New Roman"/>
                <w:sz w:val="28"/>
                <w:szCs w:val="24"/>
              </w:rPr>
            </w:pPr>
          </w:p>
          <w:p w:rsidR="004C106B" w:rsidRPr="0082789D" w:rsidP="00085173">
            <w:pPr>
              <w:spacing w:before="20" w:after="20" w:line="240" w:lineRule="auto"/>
              <w:jc w:val="both"/>
              <w:rPr>
                <w:rFonts w:ascii="Times New Roman" w:hAnsi="Times New Roman" w:cs="Times New Roman"/>
                <w:sz w:val="28"/>
                <w:szCs w:val="24"/>
              </w:rPr>
            </w:pPr>
            <w:r w:rsidRPr="0082789D">
              <w:rPr>
                <w:rFonts w:ascii="Times New Roman" w:hAnsi="Times New Roman" w:cs="Times New Roman"/>
                <w:sz w:val="24"/>
              </w:rPr>
              <w:t xml:space="preserve">Pēc pētniecības un attīstības projekta realizācijas un </w:t>
            </w:r>
            <w:r w:rsidRPr="0082789D">
              <w:rPr>
                <w:rFonts w:ascii="Times New Roman" w:hAnsi="Times New Roman" w:cs="Times New Roman"/>
                <w:sz w:val="24"/>
              </w:rPr>
              <w:t>pēc pašvaldību pozitīvā lēmuma saņemšanas par pētniecības un attīstības darbības rezultātu atbilstību projekta mērķim un par rezultātu ieviešanas nepieciešamību, pētniecības un attīstības darbības pasūtītājs ir tiesīgs saskaņā ar Atkritumu apsaimniekošanas likuma 41.</w:t>
            </w:r>
            <w:r w:rsidR="00CA3E5B">
              <w:rPr>
                <w:rFonts w:ascii="Times New Roman" w:hAnsi="Times New Roman" w:cs="Times New Roman"/>
                <w:sz w:val="24"/>
              </w:rPr>
              <w:t> </w:t>
            </w:r>
            <w:r w:rsidRPr="0082789D">
              <w:rPr>
                <w:rFonts w:ascii="Times New Roman" w:hAnsi="Times New Roman" w:cs="Times New Roman"/>
                <w:sz w:val="24"/>
              </w:rPr>
              <w:t>panta 1</w:t>
            </w:r>
            <w:r w:rsidRPr="0082789D">
              <w:rPr>
                <w:rFonts w:ascii="Times New Roman" w:hAnsi="Times New Roman" w:cs="Times New Roman"/>
                <w:sz w:val="24"/>
                <w:vertAlign w:val="superscript"/>
              </w:rPr>
              <w:t>3</w:t>
            </w:r>
            <w:r w:rsidR="00CA3E5B">
              <w:rPr>
                <w:rFonts w:ascii="Times New Roman" w:hAnsi="Times New Roman" w:cs="Times New Roman"/>
                <w:sz w:val="24"/>
              </w:rPr>
              <w:t> daļas</w:t>
            </w:r>
            <w:r w:rsidRPr="0082789D">
              <w:rPr>
                <w:rFonts w:ascii="Times New Roman" w:hAnsi="Times New Roman" w:cs="Times New Roman"/>
                <w:sz w:val="24"/>
              </w:rPr>
              <w:t xml:space="preserve"> iekļaut pētniecības un attīstības darbības projekta izmaksas tarifā par atkritumu apglabāšanu. </w:t>
            </w:r>
          </w:p>
          <w:p w:rsidR="006E0BC3" w:rsidRPr="0082789D" w:rsidP="00085173">
            <w:pPr>
              <w:spacing w:before="20" w:after="20" w:line="240" w:lineRule="auto"/>
              <w:jc w:val="both"/>
              <w:rPr>
                <w:rFonts w:ascii="Times New Roman" w:eastAsia="Times New Roman" w:hAnsi="Times New Roman" w:cs="Times New Roman"/>
                <w:sz w:val="24"/>
                <w:szCs w:val="24"/>
                <w:lang w:eastAsia="lv-LV"/>
              </w:rPr>
            </w:pPr>
          </w:p>
          <w:p w:rsidR="00946460" w:rsidRPr="0082789D" w:rsidP="00946460">
            <w:pPr>
              <w:spacing w:before="20" w:after="20" w:line="240" w:lineRule="auto"/>
              <w:jc w:val="both"/>
              <w:rPr>
                <w:rFonts w:ascii="Times New Roman" w:eastAsia="Times New Roman" w:hAnsi="Times New Roman" w:cs="Times New Roman"/>
                <w:sz w:val="24"/>
                <w:szCs w:val="24"/>
                <w:lang w:eastAsia="lv-LV"/>
              </w:rPr>
            </w:pPr>
            <w:r w:rsidRPr="0082789D">
              <w:rPr>
                <w:rFonts w:ascii="Times New Roman" w:hAnsi="Times New Roman" w:cs="Times New Roman"/>
                <w:sz w:val="24"/>
                <w:szCs w:val="24"/>
              </w:rPr>
              <w:t>P</w:t>
            </w:r>
            <w:r w:rsidRPr="0082789D" w:rsidR="00220556">
              <w:rPr>
                <w:rFonts w:ascii="Times New Roman" w:hAnsi="Times New Roman" w:cs="Times New Roman"/>
                <w:sz w:val="24"/>
                <w:szCs w:val="24"/>
              </w:rPr>
              <w:t>ētniecības un</w:t>
            </w:r>
            <w:r w:rsidRPr="0082789D">
              <w:rPr>
                <w:rFonts w:ascii="Times New Roman" w:hAnsi="Times New Roman" w:cs="Times New Roman"/>
                <w:sz w:val="24"/>
                <w:szCs w:val="24"/>
              </w:rPr>
              <w:t xml:space="preserve"> attīstības darbības pasūtītājs</w:t>
            </w:r>
            <w:r w:rsidRPr="0082789D" w:rsidR="00220556">
              <w:rPr>
                <w:rFonts w:ascii="Times New Roman" w:hAnsi="Times New Roman" w:cs="Times New Roman"/>
                <w:sz w:val="24"/>
                <w:szCs w:val="24"/>
              </w:rPr>
              <w:t xml:space="preserve"> nodrošina atsevišķu grāmatvedības uzskaiti par finansējuma izlietojumu, nodalot pētniecības un attīstības darbības ietvaros veiktās darbības no citas saimnieciskās darbības. Šis noteikumu </w:t>
            </w:r>
            <w:r w:rsidR="00730A83">
              <w:rPr>
                <w:rFonts w:ascii="Times New Roman" w:hAnsi="Times New Roman" w:cs="Times New Roman"/>
                <w:sz w:val="24"/>
                <w:szCs w:val="24"/>
              </w:rPr>
              <w:t xml:space="preserve">projekta </w:t>
            </w:r>
            <w:r w:rsidRPr="0082789D" w:rsidR="00220556">
              <w:rPr>
                <w:rFonts w:ascii="Times New Roman" w:hAnsi="Times New Roman" w:cs="Times New Roman"/>
                <w:sz w:val="24"/>
                <w:szCs w:val="24"/>
              </w:rPr>
              <w:t xml:space="preserve">punkts ir izstrādāts, </w:t>
            </w:r>
            <w:r w:rsidR="001314D2">
              <w:rPr>
                <w:rFonts w:ascii="Times New Roman" w:hAnsi="Times New Roman" w:cs="Times New Roman"/>
                <w:sz w:val="24"/>
                <w:szCs w:val="24"/>
              </w:rPr>
              <w:t>lai nodrošinātu,</w:t>
            </w:r>
            <w:bookmarkStart w:id="0" w:name="_GoBack"/>
            <w:bookmarkEnd w:id="0"/>
            <w:r w:rsidR="001314D2">
              <w:rPr>
                <w:rFonts w:ascii="Times New Roman" w:hAnsi="Times New Roman" w:cs="Times New Roman"/>
                <w:sz w:val="24"/>
                <w:szCs w:val="24"/>
              </w:rPr>
              <w:t xml:space="preserve"> ka</w:t>
            </w:r>
            <w:r w:rsidRPr="0082789D" w:rsidR="00220556">
              <w:rPr>
                <w:rFonts w:ascii="Times New Roman" w:hAnsi="Times New Roman" w:cs="Times New Roman"/>
                <w:sz w:val="24"/>
                <w:szCs w:val="24"/>
              </w:rPr>
              <w:t xml:space="preserve"> pēc projekta realizācijas, pētniecības un attīstības darbības pasūtītājs saskaņā ar Atkritumu apsaimniekošanas likuma 41.</w:t>
            </w:r>
            <w:r w:rsidR="00730A83">
              <w:rPr>
                <w:rFonts w:ascii="Times New Roman" w:hAnsi="Times New Roman" w:cs="Times New Roman"/>
                <w:sz w:val="24"/>
                <w:szCs w:val="24"/>
              </w:rPr>
              <w:t> </w:t>
            </w:r>
            <w:r w:rsidRPr="0082789D" w:rsidR="00220556">
              <w:rPr>
                <w:rFonts w:ascii="Times New Roman" w:hAnsi="Times New Roman" w:cs="Times New Roman"/>
                <w:sz w:val="24"/>
                <w:szCs w:val="24"/>
              </w:rPr>
              <w:t>panta pirmās daļas 8.</w:t>
            </w:r>
            <w:r w:rsidR="00730A83">
              <w:rPr>
                <w:rFonts w:ascii="Times New Roman" w:hAnsi="Times New Roman" w:cs="Times New Roman"/>
                <w:sz w:val="24"/>
                <w:szCs w:val="24"/>
              </w:rPr>
              <w:t xml:space="preserve"> </w:t>
            </w:r>
            <w:r w:rsidRPr="0082789D" w:rsidR="00220556">
              <w:rPr>
                <w:rFonts w:ascii="Times New Roman" w:hAnsi="Times New Roman" w:cs="Times New Roman"/>
                <w:sz w:val="24"/>
                <w:szCs w:val="24"/>
              </w:rPr>
              <w:t>punktu ir tiesīgs iekļaut pētniecības un attīstības darbības i</w:t>
            </w:r>
            <w:r w:rsidRPr="0082789D">
              <w:rPr>
                <w:rFonts w:ascii="Times New Roman" w:eastAsia="Times New Roman" w:hAnsi="Times New Roman" w:cs="Times New Roman"/>
                <w:sz w:val="24"/>
                <w:szCs w:val="24"/>
                <w:lang w:eastAsia="lv-LV"/>
              </w:rPr>
              <w:t>zmaksas tarifā par atkritumu apglabāšanu poligonos.</w:t>
            </w:r>
          </w:p>
          <w:p w:rsidR="004C106B" w:rsidRPr="0082789D" w:rsidP="00946460">
            <w:pPr>
              <w:spacing w:before="20" w:after="20" w:line="240" w:lineRule="auto"/>
              <w:jc w:val="both"/>
              <w:rPr>
                <w:rFonts w:ascii="Times New Roman" w:eastAsia="Times New Roman" w:hAnsi="Times New Roman" w:cs="Times New Roman"/>
                <w:sz w:val="24"/>
                <w:szCs w:val="24"/>
                <w:lang w:eastAsia="lv-LV"/>
              </w:rPr>
            </w:pPr>
          </w:p>
          <w:p w:rsidR="004C106B" w:rsidRPr="0082789D" w:rsidP="00946460">
            <w:pPr>
              <w:spacing w:before="20" w:after="20" w:line="240" w:lineRule="auto"/>
              <w:jc w:val="both"/>
              <w:rPr>
                <w:rFonts w:ascii="Times New Roman" w:hAnsi="Times New Roman" w:cs="Times New Roman"/>
                <w:sz w:val="24"/>
                <w:szCs w:val="24"/>
              </w:rPr>
            </w:pPr>
            <w:r w:rsidRPr="0082789D">
              <w:rPr>
                <w:rFonts w:ascii="Times New Roman" w:hAnsi="Times New Roman" w:cs="Times New Roman"/>
                <w:sz w:val="24"/>
                <w:szCs w:val="24"/>
              </w:rPr>
              <w:t xml:space="preserve">Ministrija paredz iespēju </w:t>
            </w:r>
            <w:r w:rsidR="00730A83">
              <w:rPr>
                <w:rFonts w:ascii="Times New Roman" w:hAnsi="Times New Roman" w:cs="Times New Roman"/>
                <w:sz w:val="24"/>
                <w:szCs w:val="24"/>
              </w:rPr>
              <w:t>organizēt</w:t>
            </w:r>
            <w:r w:rsidRPr="0082789D">
              <w:rPr>
                <w:rFonts w:ascii="Times New Roman" w:hAnsi="Times New Roman" w:cs="Times New Roman"/>
                <w:sz w:val="24"/>
                <w:szCs w:val="24"/>
              </w:rPr>
              <w:t xml:space="preserve"> semināru s</w:t>
            </w:r>
            <w:r w:rsidRPr="0082789D">
              <w:rPr>
                <w:rFonts w:ascii="Times New Roman" w:eastAsia="Times New Roman" w:hAnsi="Times New Roman" w:cs="Times New Roman"/>
                <w:sz w:val="24"/>
                <w:szCs w:val="24"/>
                <w:lang w:eastAsia="lv-LV"/>
              </w:rPr>
              <w:t>abiedrības mērķa grupām</w:t>
            </w:r>
            <w:r w:rsidR="003E5692">
              <w:rPr>
                <w:rFonts w:ascii="Times New Roman" w:eastAsia="Times New Roman" w:hAnsi="Times New Roman" w:cs="Times New Roman"/>
                <w:sz w:val="24"/>
                <w:szCs w:val="24"/>
                <w:lang w:eastAsia="lv-LV"/>
              </w:rPr>
              <w:t xml:space="preserve"> (</w:t>
            </w:r>
            <w:r w:rsidRPr="0082789D" w:rsidR="003E5692">
              <w:rPr>
                <w:rFonts w:ascii="Times New Roman" w:hAnsi="Times New Roman" w:cs="Times New Roman"/>
                <w:sz w:val="24"/>
                <w:szCs w:val="24"/>
              </w:rPr>
              <w:t>sadzīves atkritumu poligonu īpašnieki vai apsaimniekotāji</w:t>
            </w:r>
            <w:r w:rsidR="003E5692">
              <w:rPr>
                <w:rFonts w:ascii="Times New Roman" w:hAnsi="Times New Roman" w:cs="Times New Roman"/>
                <w:sz w:val="24"/>
                <w:szCs w:val="24"/>
              </w:rPr>
              <w:t xml:space="preserve"> un pašvaldības</w:t>
            </w:r>
            <w:r w:rsidR="003E5692">
              <w:rPr>
                <w:rFonts w:ascii="Times New Roman" w:eastAsia="Times New Roman" w:hAnsi="Times New Roman" w:cs="Times New Roman"/>
                <w:sz w:val="24"/>
                <w:szCs w:val="24"/>
                <w:lang w:eastAsia="lv-LV"/>
              </w:rPr>
              <w:t>)</w:t>
            </w:r>
            <w:r w:rsidRPr="0082789D">
              <w:rPr>
                <w:rFonts w:ascii="Times New Roman" w:eastAsia="Times New Roman" w:hAnsi="Times New Roman" w:cs="Times New Roman"/>
                <w:sz w:val="24"/>
                <w:szCs w:val="24"/>
                <w:lang w:eastAsia="lv-LV"/>
              </w:rPr>
              <w:t>, kuras tiesiskais regulējums ietekmē vai varētu ietekmēt.</w:t>
            </w:r>
          </w:p>
        </w:tc>
      </w:tr>
      <w:tr w:rsidTr="004C106B">
        <w:tblPrEx>
          <w:tblW w:w="5041" w:type="pct"/>
          <w:tblLayout w:type="fixed"/>
          <w:tblCellMar>
            <w:top w:w="24" w:type="dxa"/>
            <w:left w:w="24" w:type="dxa"/>
            <w:bottom w:w="24" w:type="dxa"/>
            <w:right w:w="24" w:type="dxa"/>
          </w:tblCellMar>
          <w:tblLook w:val="04A0"/>
        </w:tblPrEx>
        <w:trPr>
          <w:trHeight w:val="372"/>
        </w:trPr>
        <w:tc>
          <w:tcPr>
            <w:tcW w:w="450" w:type="dxa"/>
            <w:tcBorders>
              <w:top w:val="outset" w:sz="6" w:space="0" w:color="414142"/>
              <w:left w:val="outset" w:sz="6" w:space="0" w:color="414142"/>
              <w:bottom w:val="outset" w:sz="6" w:space="0" w:color="414142"/>
              <w:right w:val="outset" w:sz="6" w:space="0" w:color="414142"/>
            </w:tcBorders>
            <w:hideMark/>
          </w:tcPr>
          <w:p w:rsidR="00813D68" w:rsidRPr="0082789D">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82789D">
              <w:rPr>
                <w:rFonts w:ascii="Times New Roman" w:eastAsia="Times New Roman" w:hAnsi="Times New Roman" w:cs="Times New Roman"/>
                <w:sz w:val="24"/>
                <w:szCs w:val="24"/>
                <w:lang w:eastAsia="lv-LV"/>
              </w:rPr>
              <w:t>3.</w:t>
            </w:r>
          </w:p>
        </w:tc>
        <w:tc>
          <w:tcPr>
            <w:tcW w:w="2551" w:type="dxa"/>
            <w:tcBorders>
              <w:top w:val="outset" w:sz="6" w:space="0" w:color="414142"/>
              <w:left w:val="outset" w:sz="6" w:space="0" w:color="414142"/>
              <w:bottom w:val="outset" w:sz="6" w:space="0" w:color="414142"/>
              <w:right w:val="outset" w:sz="6" w:space="0" w:color="414142"/>
            </w:tcBorders>
            <w:hideMark/>
          </w:tcPr>
          <w:p w:rsidR="00813D68" w:rsidRPr="0082789D" w:rsidP="00813D68">
            <w:pPr>
              <w:spacing w:after="0" w:line="240" w:lineRule="auto"/>
              <w:rPr>
                <w:rFonts w:ascii="Times New Roman" w:eastAsia="Times New Roman" w:hAnsi="Times New Roman" w:cs="Times New Roman"/>
                <w:sz w:val="24"/>
                <w:szCs w:val="24"/>
                <w:lang w:eastAsia="lv-LV"/>
              </w:rPr>
            </w:pPr>
            <w:r w:rsidRPr="0082789D">
              <w:rPr>
                <w:rFonts w:ascii="Times New Roman" w:eastAsia="Times New Roman" w:hAnsi="Times New Roman" w:cs="Times New Roman"/>
                <w:sz w:val="24"/>
                <w:szCs w:val="24"/>
                <w:lang w:eastAsia="lv-LV"/>
              </w:rPr>
              <w:t>Projekta izstrādē iesaistītās institūcijas</w:t>
            </w:r>
          </w:p>
        </w:tc>
        <w:tc>
          <w:tcPr>
            <w:tcW w:w="5421" w:type="dxa"/>
            <w:tcBorders>
              <w:top w:val="outset" w:sz="6" w:space="0" w:color="414142"/>
              <w:left w:val="outset" w:sz="6" w:space="0" w:color="414142"/>
              <w:bottom w:val="outset" w:sz="6" w:space="0" w:color="414142"/>
              <w:right w:val="outset" w:sz="6" w:space="0" w:color="414142"/>
            </w:tcBorders>
            <w:hideMark/>
          </w:tcPr>
          <w:p w:rsidR="00813D68" w:rsidRPr="0082789D" w:rsidP="00091E2D">
            <w:pPr>
              <w:spacing w:after="0" w:line="240" w:lineRule="auto"/>
              <w:rPr>
                <w:rFonts w:ascii="Times New Roman" w:eastAsia="Times New Roman" w:hAnsi="Times New Roman" w:cs="Times New Roman"/>
                <w:sz w:val="24"/>
                <w:szCs w:val="24"/>
                <w:lang w:eastAsia="lv-LV"/>
              </w:rPr>
            </w:pPr>
            <w:r w:rsidRPr="0082789D">
              <w:rPr>
                <w:rFonts w:ascii="Times New Roman" w:hAnsi="Times New Roman" w:cs="Times New Roman"/>
                <w:sz w:val="24"/>
              </w:rPr>
              <w:t>Ministrija</w:t>
            </w:r>
          </w:p>
        </w:tc>
      </w:tr>
      <w:tr w:rsidTr="004C106B">
        <w:tblPrEx>
          <w:tblW w:w="5041" w:type="pct"/>
          <w:tblLayout w:type="fixed"/>
          <w:tblCellMar>
            <w:top w:w="24" w:type="dxa"/>
            <w:left w:w="24" w:type="dxa"/>
            <w:bottom w:w="24" w:type="dxa"/>
            <w:right w:w="24" w:type="dxa"/>
          </w:tblCellMar>
          <w:tblLook w:val="04A0"/>
        </w:tblPrEx>
        <w:tc>
          <w:tcPr>
            <w:tcW w:w="450" w:type="dxa"/>
            <w:tcBorders>
              <w:top w:val="outset" w:sz="6" w:space="0" w:color="414142"/>
              <w:left w:val="outset" w:sz="6" w:space="0" w:color="414142"/>
              <w:bottom w:val="outset" w:sz="6" w:space="0" w:color="414142"/>
              <w:right w:val="outset" w:sz="6" w:space="0" w:color="414142"/>
            </w:tcBorders>
            <w:hideMark/>
          </w:tcPr>
          <w:p w:rsidR="00813D68" w:rsidRPr="0082789D">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82789D">
              <w:rPr>
                <w:rFonts w:ascii="Times New Roman" w:eastAsia="Times New Roman" w:hAnsi="Times New Roman" w:cs="Times New Roman"/>
                <w:sz w:val="24"/>
                <w:szCs w:val="24"/>
                <w:lang w:eastAsia="lv-LV"/>
              </w:rPr>
              <w:t>4.</w:t>
            </w:r>
          </w:p>
        </w:tc>
        <w:tc>
          <w:tcPr>
            <w:tcW w:w="2551" w:type="dxa"/>
            <w:tcBorders>
              <w:top w:val="outset" w:sz="6" w:space="0" w:color="414142"/>
              <w:left w:val="outset" w:sz="6" w:space="0" w:color="414142"/>
              <w:bottom w:val="outset" w:sz="6" w:space="0" w:color="414142"/>
              <w:right w:val="outset" w:sz="6" w:space="0" w:color="414142"/>
            </w:tcBorders>
            <w:hideMark/>
          </w:tcPr>
          <w:p w:rsidR="00813D68" w:rsidRPr="0082789D" w:rsidP="00813D68">
            <w:pPr>
              <w:spacing w:after="0" w:line="240" w:lineRule="auto"/>
              <w:rPr>
                <w:rFonts w:ascii="Times New Roman" w:eastAsia="Times New Roman" w:hAnsi="Times New Roman" w:cs="Times New Roman"/>
                <w:sz w:val="24"/>
                <w:szCs w:val="24"/>
                <w:lang w:eastAsia="lv-LV"/>
              </w:rPr>
            </w:pPr>
            <w:r w:rsidRPr="0082789D">
              <w:rPr>
                <w:rFonts w:ascii="Times New Roman" w:eastAsia="Times New Roman" w:hAnsi="Times New Roman" w:cs="Times New Roman"/>
                <w:sz w:val="24"/>
                <w:szCs w:val="24"/>
                <w:lang w:eastAsia="lv-LV"/>
              </w:rPr>
              <w:t>Cita informācija</w:t>
            </w:r>
          </w:p>
        </w:tc>
        <w:tc>
          <w:tcPr>
            <w:tcW w:w="5421" w:type="dxa"/>
            <w:tcBorders>
              <w:top w:val="outset" w:sz="6" w:space="0" w:color="414142"/>
              <w:left w:val="outset" w:sz="6" w:space="0" w:color="414142"/>
              <w:bottom w:val="outset" w:sz="6" w:space="0" w:color="414142"/>
              <w:right w:val="outset" w:sz="6" w:space="0" w:color="414142"/>
            </w:tcBorders>
            <w:hideMark/>
          </w:tcPr>
          <w:p w:rsidR="00813D68" w:rsidRPr="0082789D">
            <w:pPr>
              <w:spacing w:before="100" w:beforeAutospacing="1" w:after="100" w:afterAutospacing="1" w:line="293" w:lineRule="atLeast"/>
              <w:rPr>
                <w:rFonts w:ascii="Times New Roman" w:eastAsia="Times New Roman" w:hAnsi="Times New Roman" w:cs="Times New Roman"/>
                <w:sz w:val="24"/>
                <w:szCs w:val="24"/>
                <w:lang w:eastAsia="lv-LV"/>
              </w:rPr>
            </w:pPr>
            <w:r w:rsidRPr="0082789D">
              <w:rPr>
                <w:rFonts w:ascii="Times New Roman" w:eastAsia="Times New Roman" w:hAnsi="Times New Roman" w:cs="Times New Roman"/>
                <w:sz w:val="24"/>
                <w:szCs w:val="24"/>
                <w:lang w:eastAsia="lv-LV"/>
              </w:rPr>
              <w:t>Nav</w:t>
            </w:r>
          </w:p>
        </w:tc>
      </w:tr>
    </w:tbl>
    <w:p w:rsidR="00813D68" w:rsidRPr="0082789D" w:rsidP="00813D68">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tblPr>
      <w:tblGrid>
        <w:gridCol w:w="450"/>
        <w:gridCol w:w="2551"/>
        <w:gridCol w:w="5353"/>
      </w:tblGrid>
      <w:tr w:rsidTr="00085173">
        <w:tblPrEx>
          <w:tblW w:w="5000" w:type="pct"/>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tblPrEx>
        <w:trPr>
          <w:trHeight w:val="444"/>
        </w:trPr>
        <w:tc>
          <w:tcPr>
            <w:tcW w:w="8354" w:type="dxa"/>
            <w:gridSpan w:val="3"/>
            <w:tcBorders>
              <w:top w:val="outset" w:sz="6" w:space="0" w:color="414142"/>
              <w:left w:val="outset" w:sz="6" w:space="0" w:color="414142"/>
              <w:bottom w:val="outset" w:sz="6" w:space="0" w:color="414142"/>
              <w:right w:val="outset" w:sz="6" w:space="0" w:color="414142"/>
            </w:tcBorders>
            <w:vAlign w:val="center"/>
            <w:hideMark/>
          </w:tcPr>
          <w:p w:rsidR="00813D68" w:rsidRPr="0082789D">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82789D">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Tr="00085173">
        <w:tblPrEx>
          <w:tblW w:w="5000" w:type="pct"/>
          <w:tblLayout w:type="fixed"/>
          <w:tblCellMar>
            <w:top w:w="24" w:type="dxa"/>
            <w:left w:w="24" w:type="dxa"/>
            <w:bottom w:w="24" w:type="dxa"/>
            <w:right w:w="24" w:type="dxa"/>
          </w:tblCellMar>
          <w:tblLook w:val="04A0"/>
        </w:tblPrEx>
        <w:trPr>
          <w:trHeight w:val="372"/>
        </w:trPr>
        <w:tc>
          <w:tcPr>
            <w:tcW w:w="450" w:type="dxa"/>
            <w:tcBorders>
              <w:top w:val="outset" w:sz="6" w:space="0" w:color="414142"/>
              <w:left w:val="outset" w:sz="6" w:space="0" w:color="414142"/>
              <w:bottom w:val="outset" w:sz="6" w:space="0" w:color="414142"/>
              <w:right w:val="outset" w:sz="6" w:space="0" w:color="414142"/>
            </w:tcBorders>
            <w:hideMark/>
          </w:tcPr>
          <w:p w:rsidR="00813D68" w:rsidRPr="0082789D">
            <w:pPr>
              <w:spacing w:after="0" w:line="240" w:lineRule="auto"/>
              <w:rPr>
                <w:rFonts w:ascii="Times New Roman" w:eastAsia="Times New Roman" w:hAnsi="Times New Roman" w:cs="Times New Roman"/>
                <w:sz w:val="24"/>
                <w:szCs w:val="24"/>
                <w:lang w:eastAsia="lv-LV"/>
              </w:rPr>
            </w:pPr>
            <w:r w:rsidRPr="0082789D">
              <w:rPr>
                <w:rFonts w:ascii="Times New Roman" w:eastAsia="Times New Roman" w:hAnsi="Times New Roman" w:cs="Times New Roman"/>
                <w:sz w:val="24"/>
                <w:szCs w:val="24"/>
                <w:lang w:eastAsia="lv-LV"/>
              </w:rPr>
              <w:t>1.</w:t>
            </w:r>
          </w:p>
        </w:tc>
        <w:tc>
          <w:tcPr>
            <w:tcW w:w="2551" w:type="dxa"/>
            <w:tcBorders>
              <w:top w:val="outset" w:sz="6" w:space="0" w:color="414142"/>
              <w:left w:val="outset" w:sz="6" w:space="0" w:color="414142"/>
              <w:bottom w:val="outset" w:sz="6" w:space="0" w:color="414142"/>
              <w:right w:val="outset" w:sz="6" w:space="0" w:color="414142"/>
            </w:tcBorders>
            <w:hideMark/>
          </w:tcPr>
          <w:p w:rsidR="00813D68" w:rsidRPr="0082789D" w:rsidP="00813D68">
            <w:pPr>
              <w:spacing w:after="0" w:line="240" w:lineRule="auto"/>
              <w:rPr>
                <w:rFonts w:ascii="Times New Roman" w:eastAsia="Times New Roman" w:hAnsi="Times New Roman" w:cs="Times New Roman"/>
                <w:sz w:val="24"/>
                <w:szCs w:val="24"/>
                <w:lang w:eastAsia="lv-LV"/>
              </w:rPr>
            </w:pPr>
            <w:r w:rsidRPr="0082789D">
              <w:rPr>
                <w:rFonts w:ascii="Times New Roman" w:eastAsia="Times New Roman" w:hAnsi="Times New Roman" w:cs="Times New Roman"/>
                <w:sz w:val="24"/>
                <w:szCs w:val="24"/>
                <w:lang w:eastAsia="lv-LV"/>
              </w:rPr>
              <w:t>Sabiedrības mērķgrupas, kuras tiesiskais regulējums ietekmē vai varētu ietekmēt</w:t>
            </w:r>
          </w:p>
        </w:tc>
        <w:tc>
          <w:tcPr>
            <w:tcW w:w="5353" w:type="dxa"/>
            <w:tcBorders>
              <w:top w:val="outset" w:sz="6" w:space="0" w:color="414142"/>
              <w:left w:val="outset" w:sz="6" w:space="0" w:color="414142"/>
              <w:bottom w:val="outset" w:sz="6" w:space="0" w:color="414142"/>
              <w:right w:val="outset" w:sz="6" w:space="0" w:color="414142"/>
            </w:tcBorders>
            <w:hideMark/>
          </w:tcPr>
          <w:p w:rsidR="00813D68" w:rsidRPr="0082789D" w:rsidP="00813D68">
            <w:pPr>
              <w:pStyle w:val="ListParagraph"/>
              <w:numPr>
                <w:ilvl w:val="0"/>
                <w:numId w:val="1"/>
              </w:numPr>
              <w:spacing w:after="0" w:line="240" w:lineRule="auto"/>
              <w:rPr>
                <w:rFonts w:ascii="Times New Roman" w:hAnsi="Times New Roman" w:cs="Times New Roman"/>
                <w:sz w:val="24"/>
                <w:szCs w:val="24"/>
              </w:rPr>
            </w:pPr>
            <w:r w:rsidRPr="0082789D">
              <w:rPr>
                <w:rFonts w:ascii="Times New Roman" w:hAnsi="Times New Roman" w:cs="Times New Roman"/>
                <w:sz w:val="24"/>
                <w:szCs w:val="24"/>
              </w:rPr>
              <w:t>1</w:t>
            </w:r>
            <w:r w:rsidRPr="0082789D" w:rsidR="00091E2D">
              <w:rPr>
                <w:rFonts w:ascii="Times New Roman" w:hAnsi="Times New Roman" w:cs="Times New Roman"/>
                <w:sz w:val="24"/>
                <w:szCs w:val="24"/>
              </w:rPr>
              <w:t>2</w:t>
            </w:r>
            <w:r w:rsidRPr="0082789D">
              <w:rPr>
                <w:rFonts w:ascii="Times New Roman" w:hAnsi="Times New Roman" w:cs="Times New Roman"/>
                <w:sz w:val="24"/>
                <w:szCs w:val="24"/>
              </w:rPr>
              <w:t xml:space="preserve"> sabiedriskie pakalpojumu sniedzēji, kas sniedz sadzīves atkritumu apglabāšanas pakalpojumus (sadzīves atkritumu poligonu īpašnieki vai apsaimniekotāji</w:t>
            </w:r>
            <w:r w:rsidRPr="0082789D" w:rsidR="00091E2D">
              <w:rPr>
                <w:rFonts w:ascii="Times New Roman" w:hAnsi="Times New Roman" w:cs="Times New Roman"/>
                <w:sz w:val="24"/>
                <w:szCs w:val="24"/>
              </w:rPr>
              <w:t>)</w:t>
            </w:r>
            <w:r w:rsidRPr="0082789D">
              <w:rPr>
                <w:rFonts w:ascii="Times New Roman" w:hAnsi="Times New Roman" w:cs="Times New Roman"/>
                <w:sz w:val="24"/>
                <w:szCs w:val="24"/>
              </w:rPr>
              <w:t>;</w:t>
            </w:r>
          </w:p>
          <w:p w:rsidR="00091E2D" w:rsidRPr="0082789D" w:rsidP="00813D68">
            <w:pPr>
              <w:pStyle w:val="ListParagraph"/>
              <w:numPr>
                <w:ilvl w:val="0"/>
                <w:numId w:val="1"/>
              </w:numPr>
              <w:spacing w:after="0" w:line="240" w:lineRule="auto"/>
              <w:rPr>
                <w:rFonts w:ascii="Times New Roman" w:hAnsi="Times New Roman" w:cs="Times New Roman"/>
                <w:sz w:val="24"/>
                <w:szCs w:val="24"/>
              </w:rPr>
            </w:pPr>
            <w:r w:rsidRPr="0082789D">
              <w:rPr>
                <w:rFonts w:ascii="Times New Roman" w:hAnsi="Times New Roman" w:cs="Times New Roman"/>
                <w:sz w:val="24"/>
                <w:szCs w:val="24"/>
              </w:rPr>
              <w:t>Pašvaldības;</w:t>
            </w:r>
          </w:p>
          <w:p w:rsidR="00813D68" w:rsidRPr="0082789D" w:rsidP="00085173">
            <w:pPr>
              <w:pStyle w:val="ListParagraph"/>
              <w:numPr>
                <w:ilvl w:val="0"/>
                <w:numId w:val="1"/>
              </w:numPr>
              <w:spacing w:after="0" w:line="240" w:lineRule="auto"/>
              <w:rPr>
                <w:rFonts w:ascii="Times New Roman" w:eastAsia="Times New Roman" w:hAnsi="Times New Roman" w:cs="Times New Roman"/>
                <w:sz w:val="24"/>
                <w:szCs w:val="24"/>
                <w:lang w:eastAsia="lv-LV"/>
              </w:rPr>
            </w:pPr>
            <w:r w:rsidRPr="0082789D">
              <w:rPr>
                <w:rFonts w:ascii="Times New Roman" w:hAnsi="Times New Roman" w:cs="Times New Roman"/>
                <w:sz w:val="24"/>
                <w:szCs w:val="24"/>
              </w:rPr>
              <w:t>Ministrija</w:t>
            </w:r>
            <w:r w:rsidRPr="0082789D" w:rsidR="00437944">
              <w:rPr>
                <w:rFonts w:ascii="Times New Roman" w:hAnsi="Times New Roman" w:cs="Times New Roman"/>
                <w:sz w:val="24"/>
                <w:szCs w:val="24"/>
              </w:rPr>
              <w:t>.</w:t>
            </w:r>
          </w:p>
        </w:tc>
      </w:tr>
      <w:tr w:rsidTr="00085173">
        <w:tblPrEx>
          <w:tblW w:w="5000" w:type="pct"/>
          <w:tblLayout w:type="fixed"/>
          <w:tblCellMar>
            <w:top w:w="24" w:type="dxa"/>
            <w:left w:w="24" w:type="dxa"/>
            <w:bottom w:w="24" w:type="dxa"/>
            <w:right w:w="24" w:type="dxa"/>
          </w:tblCellMar>
          <w:tblLook w:val="04A0"/>
        </w:tblPrEx>
        <w:trPr>
          <w:trHeight w:val="408"/>
        </w:trPr>
        <w:tc>
          <w:tcPr>
            <w:tcW w:w="450" w:type="dxa"/>
            <w:tcBorders>
              <w:top w:val="outset" w:sz="6" w:space="0" w:color="414142"/>
              <w:left w:val="outset" w:sz="6" w:space="0" w:color="414142"/>
              <w:bottom w:val="outset" w:sz="6" w:space="0" w:color="414142"/>
              <w:right w:val="outset" w:sz="6" w:space="0" w:color="414142"/>
            </w:tcBorders>
            <w:hideMark/>
          </w:tcPr>
          <w:p w:rsidR="00813D68" w:rsidRPr="0082789D">
            <w:pPr>
              <w:spacing w:after="0" w:line="240" w:lineRule="auto"/>
              <w:rPr>
                <w:rFonts w:ascii="Times New Roman" w:eastAsia="Times New Roman" w:hAnsi="Times New Roman" w:cs="Times New Roman"/>
                <w:sz w:val="24"/>
                <w:szCs w:val="24"/>
                <w:lang w:eastAsia="lv-LV"/>
              </w:rPr>
            </w:pPr>
            <w:r w:rsidRPr="0082789D">
              <w:rPr>
                <w:rFonts w:ascii="Times New Roman" w:eastAsia="Times New Roman" w:hAnsi="Times New Roman" w:cs="Times New Roman"/>
                <w:sz w:val="24"/>
                <w:szCs w:val="24"/>
                <w:lang w:eastAsia="lv-LV"/>
              </w:rPr>
              <w:t>2.</w:t>
            </w:r>
          </w:p>
        </w:tc>
        <w:tc>
          <w:tcPr>
            <w:tcW w:w="2551" w:type="dxa"/>
            <w:tcBorders>
              <w:top w:val="outset" w:sz="6" w:space="0" w:color="414142"/>
              <w:left w:val="outset" w:sz="6" w:space="0" w:color="414142"/>
              <w:bottom w:val="outset" w:sz="6" w:space="0" w:color="414142"/>
              <w:right w:val="outset" w:sz="6" w:space="0" w:color="414142"/>
            </w:tcBorders>
            <w:hideMark/>
          </w:tcPr>
          <w:p w:rsidR="00813D68" w:rsidRPr="0082789D" w:rsidP="00813D68">
            <w:pPr>
              <w:spacing w:after="0" w:line="240" w:lineRule="auto"/>
              <w:rPr>
                <w:rFonts w:ascii="Times New Roman" w:eastAsia="Times New Roman" w:hAnsi="Times New Roman" w:cs="Times New Roman"/>
                <w:sz w:val="24"/>
                <w:szCs w:val="24"/>
                <w:lang w:eastAsia="lv-LV"/>
              </w:rPr>
            </w:pPr>
            <w:r w:rsidRPr="0082789D">
              <w:rPr>
                <w:rFonts w:ascii="Times New Roman" w:eastAsia="Times New Roman" w:hAnsi="Times New Roman" w:cs="Times New Roman"/>
                <w:sz w:val="24"/>
                <w:szCs w:val="24"/>
                <w:lang w:eastAsia="lv-LV"/>
              </w:rPr>
              <w:t>Tiesiskā regulējuma ietekme uz tautsaimniecību un administratīvo slogu</w:t>
            </w:r>
          </w:p>
        </w:tc>
        <w:tc>
          <w:tcPr>
            <w:tcW w:w="5353" w:type="dxa"/>
            <w:tcBorders>
              <w:top w:val="outset" w:sz="6" w:space="0" w:color="414142"/>
              <w:left w:val="outset" w:sz="6" w:space="0" w:color="414142"/>
              <w:bottom w:val="outset" w:sz="6" w:space="0" w:color="414142"/>
              <w:right w:val="outset" w:sz="6" w:space="0" w:color="414142"/>
            </w:tcBorders>
            <w:hideMark/>
          </w:tcPr>
          <w:p w:rsidR="00813D68" w:rsidRPr="0082789D" w:rsidP="003B4A6E">
            <w:pPr>
              <w:spacing w:after="0" w:line="240" w:lineRule="auto"/>
              <w:rPr>
                <w:rFonts w:ascii="Times New Roman" w:eastAsia="Times New Roman" w:hAnsi="Times New Roman" w:cs="Times New Roman"/>
                <w:sz w:val="24"/>
                <w:szCs w:val="24"/>
                <w:lang w:eastAsia="lv-LV"/>
              </w:rPr>
            </w:pPr>
            <w:r w:rsidRPr="0082789D">
              <w:rPr>
                <w:rFonts w:ascii="Times New Roman" w:eastAsia="Times New Roman" w:hAnsi="Times New Roman" w:cs="Times New Roman"/>
                <w:sz w:val="24"/>
                <w:szCs w:val="24"/>
                <w:lang w:eastAsia="lv-LV"/>
              </w:rPr>
              <w:t>Ir paredzams administratīvā sloga pieaugums Anotācijas II.</w:t>
            </w:r>
            <w:r w:rsidRPr="0082789D" w:rsidR="003C69FA">
              <w:rPr>
                <w:rFonts w:ascii="Times New Roman" w:eastAsia="Times New Roman" w:hAnsi="Times New Roman" w:cs="Times New Roman"/>
                <w:sz w:val="24"/>
                <w:szCs w:val="24"/>
                <w:lang w:eastAsia="lv-LV"/>
              </w:rPr>
              <w:t> </w:t>
            </w:r>
            <w:r w:rsidRPr="0082789D">
              <w:rPr>
                <w:rFonts w:ascii="Times New Roman" w:eastAsia="Times New Roman" w:hAnsi="Times New Roman" w:cs="Times New Roman"/>
                <w:sz w:val="24"/>
                <w:szCs w:val="24"/>
                <w:lang w:eastAsia="lv-LV"/>
              </w:rPr>
              <w:t>sadaļas 1.</w:t>
            </w:r>
            <w:r w:rsidRPr="0082789D" w:rsidR="003C69FA">
              <w:rPr>
                <w:rFonts w:ascii="Times New Roman" w:eastAsia="Times New Roman" w:hAnsi="Times New Roman" w:cs="Times New Roman"/>
                <w:sz w:val="24"/>
                <w:szCs w:val="24"/>
                <w:lang w:eastAsia="lv-LV"/>
              </w:rPr>
              <w:t> </w:t>
            </w:r>
            <w:r w:rsidRPr="0082789D">
              <w:rPr>
                <w:rFonts w:ascii="Times New Roman" w:eastAsia="Times New Roman" w:hAnsi="Times New Roman" w:cs="Times New Roman"/>
                <w:sz w:val="24"/>
                <w:szCs w:val="24"/>
                <w:lang w:eastAsia="lv-LV"/>
              </w:rPr>
              <w:t>punktā minētām mērķgrupām, saistībā ar</w:t>
            </w:r>
            <w:r w:rsidRPr="0082789D" w:rsidR="00091E2D">
              <w:rPr>
                <w:rFonts w:ascii="Times New Roman" w:eastAsia="Times New Roman" w:hAnsi="Times New Roman" w:cs="Times New Roman"/>
                <w:sz w:val="24"/>
                <w:szCs w:val="24"/>
                <w:lang w:eastAsia="lv-LV"/>
              </w:rPr>
              <w:t xml:space="preserve"> pētniecības</w:t>
            </w:r>
            <w:r w:rsidRPr="0082789D">
              <w:rPr>
                <w:rFonts w:ascii="Times New Roman" w:eastAsia="Times New Roman" w:hAnsi="Times New Roman" w:cs="Times New Roman"/>
                <w:sz w:val="24"/>
                <w:szCs w:val="24"/>
                <w:lang w:eastAsia="lv-LV"/>
              </w:rPr>
              <w:t xml:space="preserve"> </w:t>
            </w:r>
            <w:r w:rsidRPr="0082789D" w:rsidR="0054578C">
              <w:rPr>
                <w:rFonts w:ascii="Times New Roman" w:eastAsia="Times New Roman" w:hAnsi="Times New Roman" w:cs="Times New Roman"/>
                <w:sz w:val="24"/>
                <w:szCs w:val="24"/>
                <w:lang w:eastAsia="lv-LV"/>
              </w:rPr>
              <w:t>projektu pieteikumu izstrādi</w:t>
            </w:r>
            <w:r w:rsidRPr="0082789D" w:rsidR="003B4A6E">
              <w:rPr>
                <w:rFonts w:ascii="Times New Roman" w:eastAsia="Times New Roman" w:hAnsi="Times New Roman" w:cs="Times New Roman"/>
                <w:sz w:val="24"/>
                <w:szCs w:val="24"/>
                <w:lang w:eastAsia="lv-LV"/>
              </w:rPr>
              <w:t xml:space="preserve"> un </w:t>
            </w:r>
            <w:r w:rsidRPr="0082789D">
              <w:rPr>
                <w:rFonts w:ascii="Times New Roman" w:eastAsia="Times New Roman" w:hAnsi="Times New Roman" w:cs="Times New Roman"/>
                <w:sz w:val="24"/>
                <w:szCs w:val="24"/>
                <w:lang w:eastAsia="lv-LV"/>
              </w:rPr>
              <w:t>vērtēšanu.</w:t>
            </w:r>
          </w:p>
        </w:tc>
      </w:tr>
      <w:tr w:rsidTr="00085173">
        <w:tblPrEx>
          <w:tblW w:w="5000" w:type="pct"/>
          <w:tblLayout w:type="fixed"/>
          <w:tblCellMar>
            <w:top w:w="24" w:type="dxa"/>
            <w:left w:w="24" w:type="dxa"/>
            <w:bottom w:w="24" w:type="dxa"/>
            <w:right w:w="24" w:type="dxa"/>
          </w:tblCellMar>
          <w:tblLook w:val="04A0"/>
        </w:tblPrEx>
        <w:trPr>
          <w:trHeight w:val="408"/>
        </w:trPr>
        <w:tc>
          <w:tcPr>
            <w:tcW w:w="450" w:type="dxa"/>
            <w:tcBorders>
              <w:top w:val="outset" w:sz="6" w:space="0" w:color="414142"/>
              <w:left w:val="outset" w:sz="6" w:space="0" w:color="414142"/>
              <w:bottom w:val="outset" w:sz="6" w:space="0" w:color="414142"/>
              <w:right w:val="outset" w:sz="6" w:space="0" w:color="414142"/>
            </w:tcBorders>
            <w:hideMark/>
          </w:tcPr>
          <w:p w:rsidR="00813D68" w:rsidRPr="0082789D">
            <w:pPr>
              <w:spacing w:after="0" w:line="240" w:lineRule="auto"/>
              <w:rPr>
                <w:rFonts w:ascii="Times New Roman" w:eastAsia="Times New Roman" w:hAnsi="Times New Roman" w:cs="Times New Roman"/>
                <w:sz w:val="24"/>
                <w:szCs w:val="24"/>
                <w:lang w:eastAsia="lv-LV"/>
              </w:rPr>
            </w:pPr>
            <w:r w:rsidRPr="0082789D">
              <w:rPr>
                <w:rFonts w:ascii="Times New Roman" w:eastAsia="Times New Roman" w:hAnsi="Times New Roman" w:cs="Times New Roman"/>
                <w:sz w:val="24"/>
                <w:szCs w:val="24"/>
                <w:lang w:eastAsia="lv-LV"/>
              </w:rPr>
              <w:t>3.</w:t>
            </w:r>
          </w:p>
        </w:tc>
        <w:tc>
          <w:tcPr>
            <w:tcW w:w="2551" w:type="dxa"/>
            <w:tcBorders>
              <w:top w:val="outset" w:sz="6" w:space="0" w:color="414142"/>
              <w:left w:val="outset" w:sz="6" w:space="0" w:color="414142"/>
              <w:bottom w:val="outset" w:sz="6" w:space="0" w:color="414142"/>
              <w:right w:val="outset" w:sz="6" w:space="0" w:color="414142"/>
            </w:tcBorders>
            <w:hideMark/>
          </w:tcPr>
          <w:p w:rsidR="00813D68" w:rsidRPr="0082789D" w:rsidP="00813D68">
            <w:pPr>
              <w:spacing w:after="0" w:line="240" w:lineRule="auto"/>
              <w:rPr>
                <w:rFonts w:ascii="Times New Roman" w:eastAsia="Times New Roman" w:hAnsi="Times New Roman" w:cs="Times New Roman"/>
                <w:sz w:val="24"/>
                <w:szCs w:val="24"/>
                <w:lang w:eastAsia="lv-LV"/>
              </w:rPr>
            </w:pPr>
            <w:r w:rsidRPr="0082789D">
              <w:rPr>
                <w:rFonts w:ascii="Times New Roman" w:eastAsia="Times New Roman" w:hAnsi="Times New Roman" w:cs="Times New Roman"/>
                <w:sz w:val="24"/>
                <w:szCs w:val="24"/>
                <w:lang w:eastAsia="lv-LV"/>
              </w:rPr>
              <w:t>Administratīvo izmaksu monetārs novērtējums</w:t>
            </w:r>
          </w:p>
        </w:tc>
        <w:tc>
          <w:tcPr>
            <w:tcW w:w="5353" w:type="dxa"/>
            <w:tcBorders>
              <w:top w:val="outset" w:sz="6" w:space="0" w:color="414142"/>
              <w:left w:val="outset" w:sz="6" w:space="0" w:color="414142"/>
              <w:bottom w:val="outset" w:sz="6" w:space="0" w:color="414142"/>
              <w:right w:val="outset" w:sz="6" w:space="0" w:color="414142"/>
            </w:tcBorders>
            <w:hideMark/>
          </w:tcPr>
          <w:p w:rsidR="0054578C" w:rsidRPr="0082789D" w:rsidP="00085173">
            <w:pPr>
              <w:spacing w:after="0" w:line="240" w:lineRule="auto"/>
              <w:jc w:val="both"/>
              <w:rPr>
                <w:rFonts w:ascii="Times New Roman" w:hAnsi="Times New Roman" w:cs="Times New Roman"/>
                <w:sz w:val="24"/>
                <w:szCs w:val="24"/>
              </w:rPr>
            </w:pPr>
            <w:r w:rsidRPr="0082789D">
              <w:rPr>
                <w:rFonts w:ascii="Times New Roman" w:hAnsi="Times New Roman" w:cs="Times New Roman"/>
                <w:sz w:val="24"/>
                <w:szCs w:val="24"/>
              </w:rPr>
              <w:t>1)</w:t>
            </w:r>
            <w:r w:rsidRPr="0082789D" w:rsidR="003C69FA">
              <w:rPr>
                <w:rFonts w:ascii="Times New Roman" w:hAnsi="Times New Roman" w:cs="Times New Roman"/>
                <w:sz w:val="24"/>
                <w:szCs w:val="24"/>
              </w:rPr>
              <w:t> a</w:t>
            </w:r>
            <w:r w:rsidRPr="0082789D" w:rsidR="003B4A6E">
              <w:rPr>
                <w:rFonts w:ascii="Times New Roman" w:hAnsi="Times New Roman" w:cs="Times New Roman"/>
                <w:sz w:val="24"/>
                <w:szCs w:val="24"/>
              </w:rPr>
              <w:t xml:space="preserve">dministratīvās izmaksas sadzīves atkritumu poligonu īpašniekiem vai apsaimniekotājiem </w:t>
            </w:r>
            <w:r w:rsidRPr="0082789D" w:rsidR="0090042F">
              <w:rPr>
                <w:rFonts w:ascii="Times New Roman" w:hAnsi="Times New Roman" w:cs="Times New Roman"/>
                <w:sz w:val="24"/>
                <w:szCs w:val="24"/>
              </w:rPr>
              <w:t>(</w:t>
            </w:r>
            <w:r w:rsidRPr="0082789D" w:rsidR="009B2053">
              <w:rPr>
                <w:rFonts w:ascii="Times New Roman" w:hAnsi="Times New Roman" w:cs="Times New Roman"/>
                <w:sz w:val="24"/>
                <w:szCs w:val="24"/>
              </w:rPr>
              <w:t xml:space="preserve">Ministru kabineta noteikumu projekta </w:t>
            </w:r>
            <w:r w:rsidRPr="0082789D">
              <w:rPr>
                <w:rFonts w:ascii="Times New Roman" w:hAnsi="Times New Roman" w:cs="Times New Roman"/>
                <w:sz w:val="24"/>
                <w:szCs w:val="24"/>
              </w:rPr>
              <w:t>„</w:t>
            </w:r>
            <w:r w:rsidRPr="0082789D" w:rsidR="00091E2D">
              <w:rPr>
                <w:rStyle w:val="Strong"/>
                <w:rFonts w:ascii="Times New Roman" w:hAnsi="Times New Roman" w:cs="Times New Roman"/>
                <w:b w:val="0"/>
                <w:sz w:val="24"/>
                <w:szCs w:val="17"/>
              </w:rPr>
              <w:t>Noteikumi par sadzīves atkritumu poligonu pētniecības un attīstības darbībām, kas vērstas uz apglabājamā apjoma samazināšanu</w:t>
            </w:r>
            <w:r w:rsidRPr="0082789D">
              <w:rPr>
                <w:rFonts w:ascii="Times New Roman" w:hAnsi="Times New Roman" w:cs="Times New Roman"/>
                <w:sz w:val="24"/>
                <w:szCs w:val="24"/>
              </w:rPr>
              <w:t>”</w:t>
            </w:r>
            <w:r w:rsidRPr="0082789D" w:rsidR="009B2053">
              <w:rPr>
                <w:rFonts w:ascii="Times New Roman" w:hAnsi="Times New Roman" w:cs="Times New Roman"/>
                <w:sz w:val="24"/>
                <w:szCs w:val="24"/>
              </w:rPr>
              <w:t xml:space="preserve"> (turpmāk </w:t>
            </w:r>
            <w:r w:rsidRPr="0082789D" w:rsidR="009B2053">
              <w:rPr>
                <w:rFonts w:ascii="Times New Roman" w:hAnsi="Times New Roman" w:cs="Times New Roman"/>
                <w:sz w:val="24"/>
                <w:szCs w:val="24"/>
              </w:rPr>
              <w:noBreakHyphen/>
              <w:t xml:space="preserve"> </w:t>
            </w:r>
            <w:r w:rsidRPr="0082789D" w:rsidR="0090042F">
              <w:rPr>
                <w:rFonts w:ascii="Times New Roman" w:hAnsi="Times New Roman" w:cs="Times New Roman"/>
                <w:sz w:val="24"/>
                <w:szCs w:val="24"/>
              </w:rPr>
              <w:t>Noteikumu projekt</w:t>
            </w:r>
            <w:r w:rsidRPr="0082789D" w:rsidR="009B2053">
              <w:rPr>
                <w:rFonts w:ascii="Times New Roman" w:hAnsi="Times New Roman" w:cs="Times New Roman"/>
                <w:sz w:val="24"/>
                <w:szCs w:val="24"/>
              </w:rPr>
              <w:t>s)</w:t>
            </w:r>
            <w:r w:rsidRPr="0082789D" w:rsidR="0090042F">
              <w:rPr>
                <w:rFonts w:ascii="Times New Roman" w:hAnsi="Times New Roman" w:cs="Times New Roman"/>
                <w:sz w:val="24"/>
                <w:szCs w:val="24"/>
              </w:rPr>
              <w:t xml:space="preserve"> 4., 11.</w:t>
            </w:r>
            <w:r w:rsidRPr="0082789D" w:rsidR="009B2053">
              <w:rPr>
                <w:rFonts w:ascii="Times New Roman" w:hAnsi="Times New Roman" w:cs="Times New Roman"/>
                <w:sz w:val="24"/>
                <w:szCs w:val="24"/>
              </w:rPr>
              <w:t> </w:t>
            </w:r>
            <w:r w:rsidRPr="0082789D" w:rsidR="0090042F">
              <w:rPr>
                <w:rFonts w:ascii="Times New Roman" w:hAnsi="Times New Roman" w:cs="Times New Roman"/>
                <w:sz w:val="24"/>
                <w:szCs w:val="24"/>
              </w:rPr>
              <w:t>punkts)</w:t>
            </w:r>
            <w:r w:rsidRPr="0082789D" w:rsidR="009B2053">
              <w:rPr>
                <w:rFonts w:ascii="Times New Roman" w:hAnsi="Times New Roman" w:cs="Times New Roman"/>
                <w:sz w:val="24"/>
                <w:szCs w:val="24"/>
              </w:rPr>
              <w:t>:</w:t>
            </w:r>
          </w:p>
          <w:p w:rsidR="003B4A6E" w:rsidRPr="0082789D" w:rsidP="003B4A6E">
            <w:pPr>
              <w:spacing w:after="0"/>
              <w:rPr>
                <w:rFonts w:ascii="Times New Roman" w:hAnsi="Times New Roman" w:cs="Times New Roman"/>
                <w:sz w:val="24"/>
                <w:szCs w:val="24"/>
              </w:rPr>
            </w:pPr>
            <w:r w:rsidRPr="0082789D">
              <w:rPr>
                <w:rFonts w:ascii="Times New Roman" w:hAnsi="Times New Roman" w:cs="Times New Roman"/>
                <w:sz w:val="24"/>
                <w:szCs w:val="24"/>
              </w:rPr>
              <w:t>F – stundas likme privātajā sektorā – 4,99</w:t>
            </w:r>
            <w:r w:rsidRPr="0082789D" w:rsidR="009B2053">
              <w:rPr>
                <w:rFonts w:ascii="Times New Roman" w:hAnsi="Times New Roman" w:cs="Times New Roman"/>
                <w:sz w:val="24"/>
                <w:szCs w:val="24"/>
              </w:rPr>
              <w:t> </w:t>
            </w:r>
            <w:r w:rsidRPr="0082789D">
              <w:rPr>
                <w:rFonts w:ascii="Times New Roman" w:hAnsi="Times New Roman" w:cs="Times New Roman"/>
                <w:i/>
                <w:sz w:val="24"/>
                <w:szCs w:val="24"/>
              </w:rPr>
              <w:t>euro</w:t>
            </w:r>
          </w:p>
          <w:p w:rsidR="003B4A6E" w:rsidRPr="0082789D" w:rsidP="003B4A6E">
            <w:pPr>
              <w:spacing w:after="0"/>
              <w:rPr>
                <w:rFonts w:ascii="Times New Roman" w:hAnsi="Times New Roman" w:cs="Times New Roman"/>
                <w:sz w:val="24"/>
                <w:szCs w:val="24"/>
              </w:rPr>
            </w:pPr>
            <w:r w:rsidRPr="0082789D">
              <w:rPr>
                <w:rFonts w:ascii="Times New Roman" w:hAnsi="Times New Roman" w:cs="Times New Roman"/>
                <w:sz w:val="24"/>
                <w:szCs w:val="24"/>
              </w:rPr>
              <w:t>L – nepieciešamais laiks informācijas sagatavošanai (15 darba dienas x 8 stundas) – 120</w:t>
            </w:r>
          </w:p>
          <w:p w:rsidR="003B4A6E" w:rsidRPr="0082789D" w:rsidP="003B4A6E">
            <w:pPr>
              <w:spacing w:after="0"/>
              <w:rPr>
                <w:rFonts w:ascii="Times New Roman" w:hAnsi="Times New Roman" w:cs="Times New Roman"/>
                <w:sz w:val="24"/>
                <w:szCs w:val="24"/>
              </w:rPr>
            </w:pPr>
            <w:r w:rsidRPr="0082789D">
              <w:rPr>
                <w:rFonts w:ascii="Times New Roman" w:hAnsi="Times New Roman" w:cs="Times New Roman"/>
                <w:sz w:val="24"/>
                <w:szCs w:val="24"/>
              </w:rPr>
              <w:t>N – subjektu skaits – 1</w:t>
            </w:r>
            <w:r w:rsidRPr="0082789D" w:rsidR="00091E2D">
              <w:rPr>
                <w:rFonts w:ascii="Times New Roman" w:hAnsi="Times New Roman" w:cs="Times New Roman"/>
                <w:sz w:val="24"/>
                <w:szCs w:val="24"/>
              </w:rPr>
              <w:t>2</w:t>
            </w:r>
            <w:r w:rsidRPr="0082789D">
              <w:rPr>
                <w:rFonts w:ascii="Times New Roman" w:hAnsi="Times New Roman" w:cs="Times New Roman"/>
                <w:sz w:val="24"/>
                <w:szCs w:val="24"/>
              </w:rPr>
              <w:t xml:space="preserve"> atkritumu apsaimniekošanas komersanti</w:t>
            </w:r>
          </w:p>
          <w:p w:rsidR="003B4A6E" w:rsidRPr="0082789D" w:rsidP="003B4A6E">
            <w:pPr>
              <w:spacing w:after="0"/>
              <w:rPr>
                <w:rFonts w:ascii="Times New Roman" w:hAnsi="Times New Roman" w:cs="Times New Roman"/>
                <w:sz w:val="24"/>
                <w:szCs w:val="24"/>
              </w:rPr>
            </w:pPr>
            <w:r w:rsidRPr="0082789D">
              <w:rPr>
                <w:rFonts w:ascii="Times New Roman" w:hAnsi="Times New Roman" w:cs="Times New Roman"/>
                <w:sz w:val="24"/>
                <w:szCs w:val="24"/>
              </w:rPr>
              <w:t>Informācijas sniegšanas biežums – 1 reizi gadā</w:t>
            </w:r>
          </w:p>
          <w:p w:rsidR="003B4A6E" w:rsidRPr="0082789D" w:rsidP="003B4A6E">
            <w:pPr>
              <w:spacing w:after="0"/>
              <w:rPr>
                <w:rFonts w:ascii="Times New Roman" w:hAnsi="Times New Roman" w:cs="Times New Roman"/>
                <w:sz w:val="24"/>
                <w:szCs w:val="24"/>
              </w:rPr>
            </w:pPr>
          </w:p>
          <w:p w:rsidR="003B4A6E" w:rsidRPr="0082789D" w:rsidP="003B4A6E">
            <w:pPr>
              <w:spacing w:after="0"/>
              <w:rPr>
                <w:rFonts w:ascii="Times New Roman" w:hAnsi="Times New Roman" w:cs="Times New Roman"/>
                <w:sz w:val="24"/>
                <w:szCs w:val="24"/>
              </w:rPr>
            </w:pPr>
            <w:r w:rsidRPr="0082789D">
              <w:rPr>
                <w:rFonts w:ascii="Times New Roman" w:hAnsi="Times New Roman" w:cs="Times New Roman"/>
                <w:sz w:val="24"/>
                <w:szCs w:val="24"/>
              </w:rPr>
              <w:t>C = (f x l) x (n x b)</w:t>
            </w:r>
          </w:p>
          <w:p w:rsidR="003B4A6E" w:rsidRPr="0082789D" w:rsidP="003B4A6E">
            <w:pPr>
              <w:spacing w:after="0"/>
              <w:rPr>
                <w:rFonts w:ascii="Times New Roman" w:hAnsi="Times New Roman" w:cs="Times New Roman"/>
                <w:b/>
                <w:i/>
                <w:sz w:val="24"/>
                <w:szCs w:val="24"/>
              </w:rPr>
            </w:pPr>
            <w:r w:rsidRPr="0082789D">
              <w:rPr>
                <w:rFonts w:ascii="Times New Roman" w:hAnsi="Times New Roman" w:cs="Times New Roman"/>
                <w:b/>
                <w:sz w:val="24"/>
                <w:szCs w:val="24"/>
              </w:rPr>
              <w:t>C= (4,99 X 120) x (1</w:t>
            </w:r>
            <w:r w:rsidRPr="0082789D" w:rsidR="00091E2D">
              <w:rPr>
                <w:rFonts w:ascii="Times New Roman" w:hAnsi="Times New Roman" w:cs="Times New Roman"/>
                <w:b/>
                <w:sz w:val="24"/>
                <w:szCs w:val="24"/>
              </w:rPr>
              <w:t>2</w:t>
            </w:r>
            <w:r w:rsidRPr="0082789D">
              <w:rPr>
                <w:rFonts w:ascii="Times New Roman" w:hAnsi="Times New Roman" w:cs="Times New Roman"/>
                <w:b/>
                <w:sz w:val="24"/>
                <w:szCs w:val="24"/>
              </w:rPr>
              <w:t xml:space="preserve">x1) = </w:t>
            </w:r>
            <w:r w:rsidRPr="0082789D" w:rsidR="00091E2D">
              <w:rPr>
                <w:rFonts w:ascii="Times New Roman" w:hAnsi="Times New Roman" w:cs="Times New Roman"/>
                <w:b/>
                <w:sz w:val="24"/>
                <w:szCs w:val="24"/>
              </w:rPr>
              <w:t>7</w:t>
            </w:r>
            <w:r w:rsidR="00C90F4B">
              <w:rPr>
                <w:rFonts w:ascii="Times New Roman" w:hAnsi="Times New Roman" w:cs="Times New Roman"/>
                <w:b/>
                <w:sz w:val="24"/>
                <w:szCs w:val="24"/>
              </w:rPr>
              <w:t> </w:t>
            </w:r>
            <w:r w:rsidRPr="0082789D" w:rsidR="00091E2D">
              <w:rPr>
                <w:rFonts w:ascii="Times New Roman" w:hAnsi="Times New Roman" w:cs="Times New Roman"/>
                <w:b/>
                <w:sz w:val="24"/>
                <w:szCs w:val="24"/>
              </w:rPr>
              <w:t>186</w:t>
            </w:r>
            <w:r w:rsidRPr="0082789D" w:rsidR="009B2053">
              <w:rPr>
                <w:rFonts w:ascii="Times New Roman" w:hAnsi="Times New Roman" w:cs="Times New Roman"/>
                <w:b/>
                <w:sz w:val="24"/>
                <w:szCs w:val="24"/>
              </w:rPr>
              <w:t> </w:t>
            </w:r>
            <w:r w:rsidRPr="0082789D">
              <w:rPr>
                <w:rFonts w:ascii="Times New Roman" w:hAnsi="Times New Roman" w:cs="Times New Roman"/>
                <w:b/>
                <w:i/>
                <w:sz w:val="24"/>
                <w:szCs w:val="24"/>
              </w:rPr>
              <w:t>euro</w:t>
            </w:r>
          </w:p>
          <w:p w:rsidR="00E83D60" w:rsidRPr="0082789D" w:rsidP="00E83D60">
            <w:pPr>
              <w:spacing w:after="0"/>
              <w:rPr>
                <w:rFonts w:ascii="Times New Roman" w:hAnsi="Times New Roman" w:cs="Times New Roman"/>
                <w:b/>
                <w:sz w:val="24"/>
                <w:szCs w:val="24"/>
              </w:rPr>
            </w:pPr>
          </w:p>
          <w:p w:rsidR="00437944" w:rsidRPr="0082789D" w:rsidP="00437944">
            <w:pPr>
              <w:spacing w:after="0" w:line="240" w:lineRule="auto"/>
              <w:rPr>
                <w:rFonts w:ascii="Times New Roman" w:hAnsi="Times New Roman" w:cs="Times New Roman"/>
                <w:sz w:val="24"/>
                <w:szCs w:val="24"/>
              </w:rPr>
            </w:pPr>
            <w:r w:rsidRPr="0082789D">
              <w:rPr>
                <w:rFonts w:ascii="Times New Roman" w:hAnsi="Times New Roman" w:cs="Times New Roman"/>
                <w:sz w:val="24"/>
                <w:szCs w:val="24"/>
              </w:rPr>
              <w:t>2)</w:t>
            </w:r>
            <w:r w:rsidRPr="0082789D" w:rsidR="007F5CB0">
              <w:rPr>
                <w:rFonts w:ascii="Times New Roman" w:hAnsi="Times New Roman" w:cs="Times New Roman"/>
                <w:sz w:val="24"/>
                <w:szCs w:val="24"/>
              </w:rPr>
              <w:t> a</w:t>
            </w:r>
            <w:r w:rsidRPr="0082789D">
              <w:rPr>
                <w:rFonts w:ascii="Times New Roman" w:hAnsi="Times New Roman" w:cs="Times New Roman"/>
                <w:sz w:val="24"/>
                <w:szCs w:val="24"/>
              </w:rPr>
              <w:t xml:space="preserve">dministratīvās izmaksas </w:t>
            </w:r>
            <w:r w:rsidRPr="0082789D" w:rsidR="009B2053">
              <w:rPr>
                <w:rFonts w:ascii="Times New Roman" w:hAnsi="Times New Roman" w:cs="Times New Roman"/>
                <w:sz w:val="24"/>
                <w:szCs w:val="24"/>
              </w:rPr>
              <w:t>Ministrijai</w:t>
            </w:r>
            <w:r w:rsidRPr="0082789D">
              <w:rPr>
                <w:rFonts w:ascii="Times New Roman" w:hAnsi="Times New Roman" w:cs="Times New Roman"/>
                <w:sz w:val="24"/>
                <w:szCs w:val="24"/>
              </w:rPr>
              <w:t xml:space="preserve"> </w:t>
            </w:r>
            <w:r w:rsidRPr="0082789D" w:rsidR="0090042F">
              <w:rPr>
                <w:rFonts w:ascii="Times New Roman" w:hAnsi="Times New Roman" w:cs="Times New Roman"/>
                <w:sz w:val="24"/>
                <w:szCs w:val="24"/>
              </w:rPr>
              <w:t>(Noteikumu projekta 5., 7., 9.</w:t>
            </w:r>
            <w:r w:rsidRPr="0082789D" w:rsidR="009B2053">
              <w:rPr>
                <w:rFonts w:ascii="Times New Roman" w:hAnsi="Times New Roman" w:cs="Times New Roman"/>
                <w:sz w:val="24"/>
                <w:szCs w:val="24"/>
              </w:rPr>
              <w:t xml:space="preserve"> un</w:t>
            </w:r>
            <w:r w:rsidRPr="0082789D" w:rsidR="0090042F">
              <w:rPr>
                <w:rFonts w:ascii="Times New Roman" w:hAnsi="Times New Roman" w:cs="Times New Roman"/>
                <w:sz w:val="24"/>
                <w:szCs w:val="24"/>
              </w:rPr>
              <w:t>10.</w:t>
            </w:r>
            <w:r w:rsidRPr="0082789D" w:rsidR="009B2053">
              <w:rPr>
                <w:rFonts w:ascii="Times New Roman" w:hAnsi="Times New Roman" w:cs="Times New Roman"/>
                <w:sz w:val="24"/>
                <w:szCs w:val="24"/>
              </w:rPr>
              <w:t> </w:t>
            </w:r>
            <w:r w:rsidRPr="0082789D" w:rsidR="0090042F">
              <w:rPr>
                <w:rFonts w:ascii="Times New Roman" w:hAnsi="Times New Roman" w:cs="Times New Roman"/>
                <w:sz w:val="24"/>
                <w:szCs w:val="24"/>
              </w:rPr>
              <w:t>punkts)</w:t>
            </w:r>
            <w:r w:rsidRPr="0082789D" w:rsidR="009B2053">
              <w:rPr>
                <w:rFonts w:ascii="Times New Roman" w:hAnsi="Times New Roman" w:cs="Times New Roman"/>
                <w:sz w:val="24"/>
                <w:szCs w:val="24"/>
              </w:rPr>
              <w:t>:</w:t>
            </w:r>
          </w:p>
          <w:p w:rsidR="00437944" w:rsidRPr="0082789D" w:rsidP="00437944">
            <w:pPr>
              <w:spacing w:after="0"/>
              <w:rPr>
                <w:rFonts w:ascii="Times New Roman" w:hAnsi="Times New Roman" w:cs="Times New Roman"/>
                <w:sz w:val="24"/>
                <w:szCs w:val="24"/>
              </w:rPr>
            </w:pPr>
            <w:r w:rsidRPr="0082789D">
              <w:rPr>
                <w:rFonts w:ascii="Times New Roman" w:hAnsi="Times New Roman" w:cs="Times New Roman"/>
                <w:sz w:val="24"/>
                <w:szCs w:val="24"/>
              </w:rPr>
              <w:t>F – Vidējā alga vispārējā vadības sektorā, stundas likme 4,21</w:t>
            </w:r>
            <w:r w:rsidRPr="0082789D" w:rsidR="007F5CB0">
              <w:rPr>
                <w:rFonts w:ascii="Times New Roman" w:hAnsi="Times New Roman" w:cs="Times New Roman"/>
                <w:i/>
                <w:sz w:val="24"/>
                <w:szCs w:val="24"/>
              </w:rPr>
              <w:t> </w:t>
            </w:r>
            <w:r w:rsidRPr="0082789D">
              <w:rPr>
                <w:rFonts w:ascii="Times New Roman" w:hAnsi="Times New Roman" w:cs="Times New Roman"/>
                <w:i/>
                <w:sz w:val="24"/>
                <w:szCs w:val="24"/>
              </w:rPr>
              <w:t>euro</w:t>
            </w:r>
          </w:p>
          <w:p w:rsidR="00437944" w:rsidRPr="0082789D" w:rsidP="00437944">
            <w:pPr>
              <w:spacing w:after="0"/>
              <w:rPr>
                <w:rFonts w:ascii="Times New Roman" w:hAnsi="Times New Roman" w:cs="Times New Roman"/>
                <w:sz w:val="24"/>
                <w:szCs w:val="24"/>
              </w:rPr>
            </w:pPr>
            <w:r w:rsidRPr="0082789D">
              <w:rPr>
                <w:rFonts w:ascii="Times New Roman" w:hAnsi="Times New Roman" w:cs="Times New Roman"/>
                <w:sz w:val="24"/>
                <w:szCs w:val="24"/>
              </w:rPr>
              <w:t>L – nepieciešamais laiks informācijas izvērtēšanai (10 darba dienas x 8 stundas) – 80</w:t>
            </w:r>
          </w:p>
          <w:p w:rsidR="00437944" w:rsidRPr="0082789D" w:rsidP="00437944">
            <w:pPr>
              <w:spacing w:after="0"/>
              <w:rPr>
                <w:rFonts w:ascii="Times New Roman" w:hAnsi="Times New Roman" w:cs="Times New Roman"/>
                <w:sz w:val="24"/>
                <w:szCs w:val="24"/>
              </w:rPr>
            </w:pPr>
            <w:r w:rsidRPr="0082789D">
              <w:rPr>
                <w:rFonts w:ascii="Times New Roman" w:hAnsi="Times New Roman" w:cs="Times New Roman"/>
                <w:sz w:val="24"/>
                <w:szCs w:val="24"/>
              </w:rPr>
              <w:t>N – subjektu skaits – 11 pieteikumi</w:t>
            </w:r>
          </w:p>
          <w:p w:rsidR="00437944" w:rsidRPr="0082789D" w:rsidP="00437944">
            <w:pPr>
              <w:spacing w:after="0"/>
              <w:rPr>
                <w:rFonts w:ascii="Times New Roman" w:hAnsi="Times New Roman" w:cs="Times New Roman"/>
                <w:sz w:val="24"/>
                <w:szCs w:val="24"/>
              </w:rPr>
            </w:pPr>
            <w:r w:rsidRPr="0082789D">
              <w:rPr>
                <w:rFonts w:ascii="Times New Roman" w:hAnsi="Times New Roman" w:cs="Times New Roman"/>
                <w:sz w:val="24"/>
                <w:szCs w:val="24"/>
              </w:rPr>
              <w:t>Informācijas sniegšanas biežums – 1 reizi gadā</w:t>
            </w:r>
          </w:p>
          <w:p w:rsidR="00437944" w:rsidRPr="0082789D" w:rsidP="00437944">
            <w:pPr>
              <w:spacing w:after="0"/>
              <w:rPr>
                <w:rFonts w:ascii="Times New Roman" w:hAnsi="Times New Roman" w:cs="Times New Roman"/>
                <w:sz w:val="24"/>
                <w:szCs w:val="24"/>
              </w:rPr>
            </w:pPr>
          </w:p>
          <w:p w:rsidR="00437944" w:rsidRPr="0082789D" w:rsidP="00437944">
            <w:pPr>
              <w:spacing w:after="0"/>
              <w:rPr>
                <w:rFonts w:ascii="Times New Roman" w:hAnsi="Times New Roman" w:cs="Times New Roman"/>
                <w:sz w:val="24"/>
                <w:szCs w:val="24"/>
              </w:rPr>
            </w:pPr>
            <w:r w:rsidRPr="0082789D">
              <w:rPr>
                <w:rFonts w:ascii="Times New Roman" w:hAnsi="Times New Roman" w:cs="Times New Roman"/>
                <w:sz w:val="24"/>
                <w:szCs w:val="24"/>
              </w:rPr>
              <w:t>C = (f x l) x (n x b)</w:t>
            </w:r>
          </w:p>
          <w:p w:rsidR="00437944" w:rsidRPr="0082789D" w:rsidP="00437944">
            <w:pPr>
              <w:spacing w:after="0"/>
              <w:rPr>
                <w:rFonts w:ascii="Times New Roman" w:hAnsi="Times New Roman" w:cs="Times New Roman"/>
                <w:b/>
                <w:sz w:val="24"/>
                <w:szCs w:val="24"/>
              </w:rPr>
            </w:pPr>
            <w:r w:rsidRPr="0082789D">
              <w:rPr>
                <w:rFonts w:ascii="Times New Roman" w:hAnsi="Times New Roman" w:cs="Times New Roman"/>
                <w:b/>
                <w:sz w:val="24"/>
                <w:szCs w:val="24"/>
              </w:rPr>
              <w:t>C= (4,21 X 80) x (11x1) = 3</w:t>
            </w:r>
            <w:r w:rsidRPr="0082789D" w:rsidR="007F5CB0">
              <w:rPr>
                <w:rFonts w:ascii="Times New Roman" w:hAnsi="Times New Roman" w:cs="Times New Roman"/>
                <w:b/>
                <w:sz w:val="24"/>
                <w:szCs w:val="24"/>
              </w:rPr>
              <w:t> </w:t>
            </w:r>
            <w:r w:rsidRPr="0082789D">
              <w:rPr>
                <w:rFonts w:ascii="Times New Roman" w:hAnsi="Times New Roman" w:cs="Times New Roman"/>
                <w:b/>
                <w:sz w:val="24"/>
                <w:szCs w:val="24"/>
              </w:rPr>
              <w:t>705</w:t>
            </w:r>
            <w:r w:rsidRPr="0082789D" w:rsidR="007F5CB0">
              <w:rPr>
                <w:rFonts w:ascii="Times New Roman" w:hAnsi="Times New Roman" w:cs="Times New Roman"/>
                <w:b/>
                <w:sz w:val="24"/>
                <w:szCs w:val="24"/>
              </w:rPr>
              <w:t> </w:t>
            </w:r>
            <w:r w:rsidRPr="0082789D">
              <w:rPr>
                <w:rFonts w:ascii="Times New Roman" w:hAnsi="Times New Roman" w:cs="Times New Roman"/>
                <w:b/>
                <w:i/>
                <w:sz w:val="24"/>
                <w:szCs w:val="24"/>
              </w:rPr>
              <w:t>euro</w:t>
            </w:r>
          </w:p>
          <w:p w:rsidR="002E0089" w:rsidRPr="0082789D" w:rsidP="00E83D60">
            <w:pPr>
              <w:spacing w:after="0"/>
              <w:rPr>
                <w:rFonts w:ascii="Times New Roman" w:hAnsi="Times New Roman" w:cs="Times New Roman"/>
                <w:b/>
                <w:i/>
                <w:sz w:val="24"/>
                <w:szCs w:val="24"/>
              </w:rPr>
            </w:pPr>
          </w:p>
          <w:p w:rsidR="00437944" w:rsidRPr="0082789D" w:rsidP="00437944">
            <w:pPr>
              <w:spacing w:after="0" w:line="240" w:lineRule="auto"/>
              <w:rPr>
                <w:rFonts w:ascii="Times New Roman" w:hAnsi="Times New Roman" w:cs="Times New Roman"/>
                <w:sz w:val="24"/>
                <w:szCs w:val="24"/>
              </w:rPr>
            </w:pPr>
            <w:r w:rsidRPr="0082789D">
              <w:rPr>
                <w:rFonts w:ascii="Times New Roman" w:hAnsi="Times New Roman" w:cs="Times New Roman"/>
                <w:sz w:val="24"/>
                <w:szCs w:val="24"/>
              </w:rPr>
              <w:t>3)</w:t>
            </w:r>
            <w:r w:rsidRPr="0082789D" w:rsidR="007F5CB0">
              <w:rPr>
                <w:rFonts w:ascii="Times New Roman" w:hAnsi="Times New Roman" w:cs="Times New Roman"/>
                <w:sz w:val="24"/>
                <w:szCs w:val="24"/>
              </w:rPr>
              <w:t> a</w:t>
            </w:r>
            <w:r w:rsidRPr="0082789D">
              <w:rPr>
                <w:rFonts w:ascii="Times New Roman" w:hAnsi="Times New Roman" w:cs="Times New Roman"/>
                <w:sz w:val="24"/>
                <w:szCs w:val="24"/>
              </w:rPr>
              <w:t>dministratīvās izmaksas pašvaldībām</w:t>
            </w:r>
            <w:r w:rsidRPr="0082789D" w:rsidR="0090042F">
              <w:rPr>
                <w:rFonts w:ascii="Times New Roman" w:hAnsi="Times New Roman" w:cs="Times New Roman"/>
                <w:sz w:val="24"/>
                <w:szCs w:val="24"/>
              </w:rPr>
              <w:t xml:space="preserve"> (Noteikumu projekta 15.</w:t>
            </w:r>
            <w:r w:rsidRPr="0082789D" w:rsidR="007F5CB0">
              <w:rPr>
                <w:rFonts w:ascii="Times New Roman" w:hAnsi="Times New Roman" w:cs="Times New Roman"/>
                <w:sz w:val="24"/>
                <w:szCs w:val="24"/>
              </w:rPr>
              <w:t> </w:t>
            </w:r>
            <w:r w:rsidRPr="0082789D" w:rsidR="0090042F">
              <w:rPr>
                <w:rFonts w:ascii="Times New Roman" w:hAnsi="Times New Roman" w:cs="Times New Roman"/>
                <w:sz w:val="24"/>
                <w:szCs w:val="24"/>
              </w:rPr>
              <w:t>punkts)</w:t>
            </w:r>
            <w:r w:rsidRPr="0082789D">
              <w:rPr>
                <w:rFonts w:ascii="Times New Roman" w:hAnsi="Times New Roman" w:cs="Times New Roman"/>
                <w:sz w:val="24"/>
                <w:szCs w:val="24"/>
              </w:rPr>
              <w:t>:</w:t>
            </w:r>
          </w:p>
          <w:p w:rsidR="00437944" w:rsidRPr="0082789D" w:rsidP="00437944">
            <w:pPr>
              <w:spacing w:after="0"/>
              <w:rPr>
                <w:rFonts w:ascii="Times New Roman" w:hAnsi="Times New Roman" w:cs="Times New Roman"/>
                <w:sz w:val="24"/>
                <w:szCs w:val="24"/>
              </w:rPr>
            </w:pPr>
          </w:p>
          <w:p w:rsidR="00437944" w:rsidRPr="0082789D" w:rsidP="00437944">
            <w:pPr>
              <w:spacing w:after="0"/>
              <w:rPr>
                <w:rFonts w:ascii="Times New Roman" w:hAnsi="Times New Roman" w:cs="Times New Roman"/>
                <w:sz w:val="24"/>
                <w:szCs w:val="24"/>
              </w:rPr>
            </w:pPr>
            <w:r w:rsidRPr="0082789D">
              <w:rPr>
                <w:rFonts w:ascii="Times New Roman" w:hAnsi="Times New Roman" w:cs="Times New Roman"/>
                <w:sz w:val="24"/>
                <w:szCs w:val="24"/>
              </w:rPr>
              <w:t>F - Vidējā alga vispārējā vadības sektorā, stundas likme 4,21</w:t>
            </w:r>
            <w:r w:rsidRPr="0082789D" w:rsidR="007F5CB0">
              <w:rPr>
                <w:rFonts w:ascii="Times New Roman" w:hAnsi="Times New Roman" w:cs="Times New Roman"/>
                <w:i/>
                <w:sz w:val="24"/>
                <w:szCs w:val="24"/>
              </w:rPr>
              <w:t> </w:t>
            </w:r>
            <w:r w:rsidRPr="0082789D">
              <w:rPr>
                <w:rFonts w:ascii="Times New Roman" w:hAnsi="Times New Roman" w:cs="Times New Roman"/>
                <w:i/>
                <w:sz w:val="24"/>
                <w:szCs w:val="24"/>
              </w:rPr>
              <w:t>euro</w:t>
            </w:r>
          </w:p>
          <w:p w:rsidR="00437944" w:rsidRPr="0082789D" w:rsidP="00437944">
            <w:pPr>
              <w:spacing w:after="0"/>
              <w:rPr>
                <w:rFonts w:ascii="Times New Roman" w:hAnsi="Times New Roman" w:cs="Times New Roman"/>
                <w:sz w:val="24"/>
                <w:szCs w:val="24"/>
              </w:rPr>
            </w:pPr>
            <w:r w:rsidRPr="0082789D">
              <w:rPr>
                <w:rFonts w:ascii="Times New Roman" w:hAnsi="Times New Roman" w:cs="Times New Roman"/>
                <w:sz w:val="24"/>
                <w:szCs w:val="24"/>
              </w:rPr>
              <w:t>L – nepieciešamais laiks informācijas izskatīšanai – 40 stundas gadā</w:t>
            </w:r>
          </w:p>
          <w:p w:rsidR="00437944" w:rsidRPr="0082789D" w:rsidP="00437944">
            <w:pPr>
              <w:spacing w:after="0"/>
              <w:rPr>
                <w:rFonts w:ascii="Times New Roman" w:hAnsi="Times New Roman" w:cs="Times New Roman"/>
                <w:sz w:val="24"/>
                <w:szCs w:val="24"/>
              </w:rPr>
            </w:pPr>
            <w:r w:rsidRPr="0082789D">
              <w:rPr>
                <w:rFonts w:ascii="Times New Roman" w:hAnsi="Times New Roman" w:cs="Times New Roman"/>
                <w:sz w:val="24"/>
                <w:szCs w:val="24"/>
              </w:rPr>
              <w:t>N – subjektu skaits – 119 pašvaldības</w:t>
            </w:r>
          </w:p>
          <w:p w:rsidR="00437944" w:rsidRPr="0082789D" w:rsidP="00437944">
            <w:pPr>
              <w:spacing w:after="0"/>
              <w:rPr>
                <w:rFonts w:ascii="Times New Roman" w:hAnsi="Times New Roman" w:cs="Times New Roman"/>
                <w:sz w:val="24"/>
                <w:szCs w:val="24"/>
              </w:rPr>
            </w:pPr>
            <w:r w:rsidRPr="0082789D">
              <w:rPr>
                <w:rFonts w:ascii="Times New Roman" w:hAnsi="Times New Roman" w:cs="Times New Roman"/>
                <w:sz w:val="24"/>
                <w:szCs w:val="24"/>
              </w:rPr>
              <w:t>b- informācijas sniegšanas biežums – 1 reizi</w:t>
            </w:r>
          </w:p>
          <w:p w:rsidR="00437944" w:rsidRPr="0082789D" w:rsidP="00437944">
            <w:pPr>
              <w:spacing w:after="0"/>
              <w:rPr>
                <w:rFonts w:ascii="Times New Roman" w:hAnsi="Times New Roman" w:cs="Times New Roman"/>
                <w:sz w:val="24"/>
                <w:szCs w:val="24"/>
              </w:rPr>
            </w:pPr>
            <w:r w:rsidRPr="0082789D">
              <w:rPr>
                <w:rFonts w:ascii="Times New Roman" w:hAnsi="Times New Roman" w:cs="Times New Roman"/>
                <w:sz w:val="24"/>
                <w:szCs w:val="24"/>
              </w:rPr>
              <w:t>C = (f x l) x (n x b)</w:t>
            </w:r>
          </w:p>
          <w:p w:rsidR="00437944" w:rsidRPr="0082789D" w:rsidP="00437944">
            <w:pPr>
              <w:spacing w:after="0"/>
              <w:rPr>
                <w:rFonts w:ascii="Times New Roman" w:hAnsi="Times New Roman" w:cs="Times New Roman"/>
                <w:sz w:val="24"/>
                <w:szCs w:val="24"/>
              </w:rPr>
            </w:pPr>
          </w:p>
          <w:p w:rsidR="00437944" w:rsidRPr="0082789D" w:rsidP="00437944">
            <w:pPr>
              <w:spacing w:after="0" w:line="240" w:lineRule="auto"/>
              <w:rPr>
                <w:rFonts w:ascii="Times New Roman" w:hAnsi="Times New Roman" w:cs="Times New Roman"/>
                <w:b/>
                <w:i/>
                <w:sz w:val="24"/>
                <w:szCs w:val="24"/>
              </w:rPr>
            </w:pPr>
            <w:r w:rsidRPr="0082789D">
              <w:rPr>
                <w:rFonts w:ascii="Times New Roman" w:hAnsi="Times New Roman" w:cs="Times New Roman"/>
                <w:b/>
                <w:sz w:val="24"/>
                <w:szCs w:val="24"/>
              </w:rPr>
              <w:t>C= (4,21 x 40) x (119x1) = 20</w:t>
            </w:r>
            <w:r w:rsidRPr="0082789D" w:rsidR="007F5CB0">
              <w:rPr>
                <w:rFonts w:ascii="Times New Roman" w:hAnsi="Times New Roman" w:cs="Times New Roman"/>
                <w:b/>
                <w:sz w:val="24"/>
                <w:szCs w:val="24"/>
              </w:rPr>
              <w:t> </w:t>
            </w:r>
            <w:r w:rsidRPr="0082789D">
              <w:rPr>
                <w:rFonts w:ascii="Times New Roman" w:hAnsi="Times New Roman" w:cs="Times New Roman"/>
                <w:b/>
                <w:sz w:val="24"/>
                <w:szCs w:val="24"/>
              </w:rPr>
              <w:t>040</w:t>
            </w:r>
            <w:r w:rsidRPr="0082789D" w:rsidR="007F5CB0">
              <w:rPr>
                <w:rFonts w:ascii="Times New Roman" w:hAnsi="Times New Roman" w:cs="Times New Roman"/>
                <w:b/>
                <w:sz w:val="24"/>
                <w:szCs w:val="24"/>
              </w:rPr>
              <w:t> </w:t>
            </w:r>
            <w:r w:rsidRPr="0082789D">
              <w:rPr>
                <w:rFonts w:ascii="Times New Roman" w:hAnsi="Times New Roman" w:cs="Times New Roman"/>
                <w:b/>
                <w:i/>
                <w:sz w:val="24"/>
                <w:szCs w:val="24"/>
              </w:rPr>
              <w:t>euro</w:t>
            </w:r>
          </w:p>
          <w:p w:rsidR="00813D68" w:rsidRPr="0082789D" w:rsidP="00437944">
            <w:pPr>
              <w:spacing w:after="0" w:line="240" w:lineRule="auto"/>
              <w:rPr>
                <w:rFonts w:ascii="Times New Roman" w:eastAsia="Times New Roman" w:hAnsi="Times New Roman" w:cs="Times New Roman"/>
                <w:sz w:val="24"/>
                <w:szCs w:val="24"/>
                <w:lang w:eastAsia="lv-LV"/>
              </w:rPr>
            </w:pPr>
          </w:p>
        </w:tc>
      </w:tr>
      <w:tr w:rsidTr="00085173">
        <w:tblPrEx>
          <w:tblW w:w="5000" w:type="pct"/>
          <w:tblLayout w:type="fixed"/>
          <w:tblCellMar>
            <w:top w:w="24" w:type="dxa"/>
            <w:left w:w="24" w:type="dxa"/>
            <w:bottom w:w="24" w:type="dxa"/>
            <w:right w:w="24" w:type="dxa"/>
          </w:tblCellMar>
          <w:tblLook w:val="04A0"/>
        </w:tblPrEx>
        <w:trPr>
          <w:trHeight w:val="276"/>
        </w:trPr>
        <w:tc>
          <w:tcPr>
            <w:tcW w:w="450" w:type="dxa"/>
            <w:tcBorders>
              <w:top w:val="outset" w:sz="6" w:space="0" w:color="414142"/>
              <w:left w:val="outset" w:sz="6" w:space="0" w:color="414142"/>
              <w:bottom w:val="outset" w:sz="6" w:space="0" w:color="414142"/>
              <w:right w:val="outset" w:sz="6" w:space="0" w:color="414142"/>
            </w:tcBorders>
            <w:hideMark/>
          </w:tcPr>
          <w:p w:rsidR="00813D68" w:rsidRPr="0082789D">
            <w:pPr>
              <w:spacing w:after="0" w:line="240" w:lineRule="auto"/>
              <w:rPr>
                <w:rFonts w:ascii="Times New Roman" w:eastAsia="Times New Roman" w:hAnsi="Times New Roman" w:cs="Times New Roman"/>
                <w:sz w:val="24"/>
                <w:szCs w:val="24"/>
                <w:lang w:eastAsia="lv-LV"/>
              </w:rPr>
            </w:pPr>
            <w:r w:rsidRPr="0082789D">
              <w:rPr>
                <w:rFonts w:ascii="Times New Roman" w:eastAsia="Times New Roman" w:hAnsi="Times New Roman" w:cs="Times New Roman"/>
                <w:sz w:val="24"/>
                <w:szCs w:val="24"/>
                <w:lang w:eastAsia="lv-LV"/>
              </w:rPr>
              <w:t>4.</w:t>
            </w:r>
          </w:p>
        </w:tc>
        <w:tc>
          <w:tcPr>
            <w:tcW w:w="2551" w:type="dxa"/>
            <w:tcBorders>
              <w:top w:val="outset" w:sz="6" w:space="0" w:color="414142"/>
              <w:left w:val="outset" w:sz="6" w:space="0" w:color="414142"/>
              <w:bottom w:val="outset" w:sz="6" w:space="0" w:color="414142"/>
              <w:right w:val="outset" w:sz="6" w:space="0" w:color="414142"/>
            </w:tcBorders>
            <w:hideMark/>
          </w:tcPr>
          <w:p w:rsidR="00813D68" w:rsidRPr="0082789D" w:rsidP="00813D68">
            <w:pPr>
              <w:spacing w:after="0" w:line="240" w:lineRule="auto"/>
              <w:rPr>
                <w:rFonts w:ascii="Times New Roman" w:eastAsia="Times New Roman" w:hAnsi="Times New Roman" w:cs="Times New Roman"/>
                <w:sz w:val="24"/>
                <w:szCs w:val="24"/>
                <w:lang w:eastAsia="lv-LV"/>
              </w:rPr>
            </w:pPr>
            <w:r w:rsidRPr="0082789D">
              <w:rPr>
                <w:rFonts w:ascii="Times New Roman" w:eastAsia="Times New Roman" w:hAnsi="Times New Roman" w:cs="Times New Roman"/>
                <w:sz w:val="24"/>
                <w:szCs w:val="24"/>
                <w:lang w:eastAsia="lv-LV"/>
              </w:rPr>
              <w:t>Cita informācija</w:t>
            </w:r>
          </w:p>
        </w:tc>
        <w:tc>
          <w:tcPr>
            <w:tcW w:w="5353" w:type="dxa"/>
            <w:tcBorders>
              <w:top w:val="outset" w:sz="6" w:space="0" w:color="414142"/>
              <w:left w:val="outset" w:sz="6" w:space="0" w:color="414142"/>
              <w:bottom w:val="outset" w:sz="6" w:space="0" w:color="414142"/>
              <w:right w:val="outset" w:sz="6" w:space="0" w:color="414142"/>
            </w:tcBorders>
            <w:hideMark/>
          </w:tcPr>
          <w:p w:rsidR="00813D68" w:rsidRPr="0082789D">
            <w:pPr>
              <w:spacing w:before="100" w:beforeAutospacing="1" w:after="100" w:afterAutospacing="1" w:line="293" w:lineRule="atLeast"/>
              <w:rPr>
                <w:rFonts w:ascii="Times New Roman" w:eastAsia="Times New Roman" w:hAnsi="Times New Roman" w:cs="Times New Roman"/>
                <w:sz w:val="24"/>
                <w:szCs w:val="24"/>
                <w:lang w:eastAsia="lv-LV"/>
              </w:rPr>
            </w:pPr>
            <w:r w:rsidRPr="0082789D">
              <w:rPr>
                <w:rFonts w:ascii="Times New Roman" w:eastAsia="Times New Roman" w:hAnsi="Times New Roman" w:cs="Times New Roman"/>
                <w:sz w:val="24"/>
                <w:szCs w:val="24"/>
                <w:lang w:eastAsia="lv-LV"/>
              </w:rPr>
              <w:t>Nav</w:t>
            </w:r>
          </w:p>
        </w:tc>
      </w:tr>
    </w:tbl>
    <w:p w:rsidR="00813D68" w:rsidRPr="0082789D" w:rsidP="00813D68">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18"/>
        <w:gridCol w:w="2506"/>
        <w:gridCol w:w="5430"/>
      </w:tblGrid>
      <w:tr w:rsidTr="00813D68">
        <w:tblPrEx>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13D68" w:rsidRPr="0082789D">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82789D">
              <w:rPr>
                <w:rFonts w:ascii="Times New Roman" w:eastAsia="Times New Roman" w:hAnsi="Times New Roman" w:cs="Times New Roman"/>
                <w:b/>
                <w:bCs/>
                <w:sz w:val="24"/>
                <w:szCs w:val="24"/>
                <w:lang w:eastAsia="lv-LV"/>
              </w:rPr>
              <w:t>VI. Sabiedrības līdzdalība un komunikācijas aktivitātes</w:t>
            </w:r>
          </w:p>
        </w:tc>
      </w:tr>
      <w:tr w:rsidTr="00813D68">
        <w:tblPrEx>
          <w:tblW w:w="5000" w:type="pct"/>
          <w:jc w:val="center"/>
          <w:tblCellMar>
            <w:top w:w="24" w:type="dxa"/>
            <w:left w:w="24" w:type="dxa"/>
            <w:bottom w:w="24" w:type="dxa"/>
            <w:right w:w="24" w:type="dxa"/>
          </w:tblCellMar>
          <w:tblLook w:val="04A0"/>
        </w:tblPrEx>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rsidR="00813D68" w:rsidRPr="0082789D">
            <w:pPr>
              <w:spacing w:after="0" w:line="240" w:lineRule="auto"/>
              <w:rPr>
                <w:rFonts w:ascii="Times New Roman" w:eastAsia="Times New Roman" w:hAnsi="Times New Roman" w:cs="Times New Roman"/>
                <w:sz w:val="24"/>
                <w:szCs w:val="24"/>
                <w:lang w:eastAsia="lv-LV"/>
              </w:rPr>
            </w:pPr>
            <w:r w:rsidRPr="0082789D">
              <w:rPr>
                <w:rFonts w:ascii="Times New Roman" w:eastAsia="Times New Roman" w:hAnsi="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rsidR="00813D68" w:rsidRPr="0082789D">
            <w:pPr>
              <w:spacing w:after="0" w:line="240" w:lineRule="auto"/>
              <w:rPr>
                <w:rFonts w:ascii="Times New Roman" w:eastAsia="Times New Roman" w:hAnsi="Times New Roman" w:cs="Times New Roman"/>
                <w:sz w:val="24"/>
                <w:szCs w:val="24"/>
                <w:lang w:eastAsia="lv-LV"/>
              </w:rPr>
            </w:pPr>
            <w:r w:rsidRPr="0082789D">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rsidR="003E6E7B" w:rsidRPr="0082789D" w:rsidP="003E6E7B">
            <w:pPr>
              <w:pStyle w:val="naisf"/>
              <w:spacing w:before="0" w:after="240"/>
              <w:ind w:left="57" w:right="57" w:firstLine="0"/>
            </w:pPr>
            <w:r w:rsidRPr="0082789D">
              <w:t>Saskaņā ar Ministru kabineta 2009. gada 25. augusta noteikumu Nr. 970 „Sabiedrības līdzdalības kārtība attīstības plānošanas procesā” 7.4.</w:t>
            </w:r>
            <w:r w:rsidRPr="0082789D">
              <w:rPr>
                <w:vertAlign w:val="superscript"/>
              </w:rPr>
              <w:t>1</w:t>
            </w:r>
            <w:r w:rsidRPr="0082789D">
              <w:t xml:space="preserve"> apakšpunktu sabiedrības pārstāvji ir aicināti līdzdarboties, rakstiski sniedzot viedokli par </w:t>
            </w:r>
            <w:r w:rsidR="00730A83">
              <w:t>n</w:t>
            </w:r>
            <w:r w:rsidRPr="0082789D">
              <w:t>oteikumu projektu tā izstrādes stadijā.</w:t>
            </w:r>
          </w:p>
          <w:p w:rsidR="003E6E7B" w:rsidRPr="0082789D" w:rsidP="00C90F4B">
            <w:pPr>
              <w:pStyle w:val="naisf"/>
              <w:spacing w:before="0" w:after="240"/>
              <w:ind w:left="57" w:right="57" w:firstLine="0"/>
            </w:pPr>
            <w:r w:rsidRPr="0082789D">
              <w:t xml:space="preserve">Sabiedrības pārstāvji ir informēti par iespēju </w:t>
            </w:r>
            <w:r w:rsidRPr="0082789D">
              <w:t>līdzdarboties, publicējot paziņojumu par līdzdalības procesu Ministrijas tīmekļa vietnē: </w:t>
            </w:r>
            <w:r>
              <w:fldChar w:fldCharType="begin"/>
            </w:r>
            <w:r>
              <w:instrText xml:space="preserve"> HYPERLINK "C:\\Users\\martao\\AppData\\Local\\Microsoft\\Windows\\Temporary Internet Files\\Content.Outlook\\9B2JD3UU\\www.varam.gov.lv" </w:instrText>
            </w:r>
            <w:r>
              <w:fldChar w:fldCharType="separate"/>
            </w:r>
            <w:r w:rsidRPr="0082789D">
              <w:rPr>
                <w:rStyle w:val="Hyperlink"/>
                <w:color w:val="auto"/>
              </w:rPr>
              <w:t>www.varam.gov.lv</w:t>
            </w:r>
            <w:r>
              <w:fldChar w:fldCharType="end"/>
            </w:r>
            <w:r w:rsidRPr="0082789D">
              <w:t xml:space="preserve">. </w:t>
            </w:r>
          </w:p>
          <w:p w:rsidR="00813D68" w:rsidRPr="0082789D" w:rsidP="003D0785">
            <w:pPr>
              <w:spacing w:after="0" w:line="240" w:lineRule="auto"/>
              <w:jc w:val="both"/>
              <w:rPr>
                <w:rFonts w:ascii="Times New Roman" w:eastAsia="Times New Roman" w:hAnsi="Times New Roman" w:cs="Times New Roman"/>
                <w:sz w:val="24"/>
                <w:szCs w:val="24"/>
                <w:lang w:eastAsia="lv-LV"/>
              </w:rPr>
            </w:pPr>
            <w:r w:rsidRPr="0082789D">
              <w:rPr>
                <w:rFonts w:ascii="Times New Roman" w:hAnsi="Times New Roman" w:cs="Times New Roman"/>
                <w:sz w:val="24"/>
                <w:szCs w:val="24"/>
              </w:rPr>
              <w:t>Noteikumu projekts no 2016.</w:t>
            </w:r>
            <w:r w:rsidRPr="0082789D" w:rsidR="003E6E7B">
              <w:rPr>
                <w:rFonts w:ascii="Times New Roman" w:hAnsi="Times New Roman" w:cs="Times New Roman"/>
                <w:sz w:val="24"/>
                <w:szCs w:val="24"/>
              </w:rPr>
              <w:t> </w:t>
            </w:r>
            <w:r w:rsidRPr="0082789D">
              <w:rPr>
                <w:rFonts w:ascii="Times New Roman" w:hAnsi="Times New Roman" w:cs="Times New Roman"/>
                <w:sz w:val="24"/>
                <w:szCs w:val="24"/>
              </w:rPr>
              <w:t>gada 2</w:t>
            </w:r>
            <w:r w:rsidRPr="0082789D" w:rsidR="00091E2D">
              <w:rPr>
                <w:rFonts w:ascii="Times New Roman" w:hAnsi="Times New Roman" w:cs="Times New Roman"/>
                <w:sz w:val="24"/>
                <w:szCs w:val="24"/>
              </w:rPr>
              <w:t>8</w:t>
            </w:r>
            <w:r w:rsidRPr="0082789D">
              <w:rPr>
                <w:rFonts w:ascii="Times New Roman" w:hAnsi="Times New Roman" w:cs="Times New Roman"/>
                <w:sz w:val="24"/>
                <w:szCs w:val="24"/>
              </w:rPr>
              <w:t>.</w:t>
            </w:r>
            <w:r w:rsidRPr="0082789D" w:rsidR="003E6E7B">
              <w:rPr>
                <w:rFonts w:ascii="Times New Roman" w:hAnsi="Times New Roman" w:cs="Times New Roman"/>
                <w:sz w:val="24"/>
                <w:szCs w:val="24"/>
              </w:rPr>
              <w:t> </w:t>
            </w:r>
            <w:r w:rsidRPr="0082789D">
              <w:rPr>
                <w:rFonts w:ascii="Times New Roman" w:hAnsi="Times New Roman" w:cs="Times New Roman"/>
                <w:sz w:val="24"/>
                <w:szCs w:val="24"/>
              </w:rPr>
              <w:t xml:space="preserve">decembra ir pieejams </w:t>
            </w:r>
            <w:r w:rsidRPr="0082789D" w:rsidR="003E6E7B">
              <w:rPr>
                <w:rFonts w:ascii="Times New Roman" w:hAnsi="Times New Roman" w:cs="Times New Roman"/>
                <w:sz w:val="24"/>
                <w:szCs w:val="24"/>
              </w:rPr>
              <w:t>Ministrijas</w:t>
            </w:r>
            <w:r w:rsidRPr="0082789D">
              <w:rPr>
                <w:rFonts w:ascii="Times New Roman" w:hAnsi="Times New Roman" w:cs="Times New Roman"/>
                <w:sz w:val="24"/>
                <w:szCs w:val="24"/>
              </w:rPr>
              <w:t xml:space="preserve"> tīmekļa vietnē</w:t>
            </w:r>
            <w:r w:rsidRPr="0082789D" w:rsidR="0016042C">
              <w:rPr>
                <w:rFonts w:ascii="Times New Roman" w:hAnsi="Times New Roman" w:cs="Times New Roman"/>
                <w:sz w:val="24"/>
                <w:szCs w:val="24"/>
              </w:rPr>
              <w:t>: </w:t>
            </w:r>
            <w:r>
              <w:fldChar w:fldCharType="begin"/>
            </w:r>
            <w:r>
              <w:instrText xml:space="preserve"> HYPERLINK "http://www.varam.gov.lv" </w:instrText>
            </w:r>
            <w:r>
              <w:fldChar w:fldCharType="separate"/>
            </w:r>
            <w:r w:rsidRPr="0082789D">
              <w:rPr>
                <w:rStyle w:val="Hyperlink"/>
                <w:rFonts w:ascii="Times New Roman" w:hAnsi="Times New Roman" w:cs="Times New Roman"/>
                <w:color w:val="auto"/>
                <w:sz w:val="24"/>
                <w:szCs w:val="24"/>
              </w:rPr>
              <w:t>www.varam.gov.lv</w:t>
            </w:r>
            <w:r>
              <w:fldChar w:fldCharType="end"/>
            </w:r>
            <w:r w:rsidRPr="0082789D" w:rsidR="003E6E7B">
              <w:t xml:space="preserve"> </w:t>
            </w:r>
          </w:p>
        </w:tc>
      </w:tr>
      <w:tr w:rsidTr="00813D68">
        <w:tblPrEx>
          <w:tblW w:w="5000" w:type="pct"/>
          <w:jc w:val="center"/>
          <w:tblCellMar>
            <w:top w:w="24" w:type="dxa"/>
            <w:left w:w="24" w:type="dxa"/>
            <w:bottom w:w="24" w:type="dxa"/>
            <w:right w:w="24" w:type="dxa"/>
          </w:tblCellMar>
          <w:tblLook w:val="04A0"/>
        </w:tblPrEx>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rsidR="00813D68" w:rsidRPr="0082789D">
            <w:pPr>
              <w:spacing w:after="0" w:line="240" w:lineRule="auto"/>
              <w:rPr>
                <w:rFonts w:ascii="Times New Roman" w:eastAsia="Times New Roman" w:hAnsi="Times New Roman" w:cs="Times New Roman"/>
                <w:sz w:val="24"/>
                <w:szCs w:val="24"/>
                <w:lang w:eastAsia="lv-LV"/>
              </w:rPr>
            </w:pPr>
            <w:r w:rsidRPr="0082789D">
              <w:rPr>
                <w:rFonts w:ascii="Times New Roman" w:eastAsia="Times New Roman" w:hAnsi="Times New Roman" w:cs="Times New Roman"/>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rsidR="00813D68" w:rsidRPr="0082789D" w:rsidP="00813D68">
            <w:pPr>
              <w:spacing w:after="0" w:line="240" w:lineRule="auto"/>
              <w:rPr>
                <w:rFonts w:ascii="Times New Roman" w:eastAsia="Times New Roman" w:hAnsi="Times New Roman" w:cs="Times New Roman"/>
                <w:sz w:val="24"/>
                <w:szCs w:val="24"/>
                <w:lang w:eastAsia="lv-LV"/>
              </w:rPr>
            </w:pPr>
            <w:r w:rsidRPr="0082789D">
              <w:rPr>
                <w:rFonts w:ascii="Times New Roman" w:eastAsia="Times New Roman" w:hAnsi="Times New Roman" w:cs="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rsidR="00813D68" w:rsidRPr="0082789D">
            <w:pPr>
              <w:spacing w:after="0" w:line="240" w:lineRule="auto"/>
              <w:rPr>
                <w:rFonts w:ascii="Times New Roman" w:eastAsia="Times New Roman" w:hAnsi="Times New Roman" w:cs="Times New Roman"/>
                <w:sz w:val="24"/>
                <w:szCs w:val="24"/>
                <w:lang w:eastAsia="lv-LV"/>
              </w:rPr>
            </w:pPr>
            <w:r w:rsidRPr="0082789D">
              <w:rPr>
                <w:rFonts w:ascii="Times New Roman" w:hAnsi="Times New Roman" w:cs="Times New Roman"/>
                <w:sz w:val="24"/>
                <w:szCs w:val="24"/>
              </w:rPr>
              <w:t>Ir saņemts priekšlikums no Sabiedrisko pakalpojumu regulēšanas komisijas</w:t>
            </w:r>
          </w:p>
        </w:tc>
      </w:tr>
      <w:tr w:rsidTr="00813D68">
        <w:tblPrEx>
          <w:tblW w:w="5000" w:type="pct"/>
          <w:jc w:val="center"/>
          <w:tblCellMar>
            <w:top w:w="24" w:type="dxa"/>
            <w:left w:w="24" w:type="dxa"/>
            <w:bottom w:w="24" w:type="dxa"/>
            <w:right w:w="24" w:type="dxa"/>
          </w:tblCellMar>
          <w:tblLook w:val="04A0"/>
        </w:tblPrEx>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813D68" w:rsidRPr="0082789D">
            <w:pPr>
              <w:spacing w:after="0" w:line="240" w:lineRule="auto"/>
              <w:rPr>
                <w:rFonts w:ascii="Times New Roman" w:eastAsia="Times New Roman" w:hAnsi="Times New Roman" w:cs="Times New Roman"/>
                <w:sz w:val="24"/>
                <w:szCs w:val="24"/>
                <w:lang w:eastAsia="lv-LV"/>
              </w:rPr>
            </w:pPr>
            <w:r w:rsidRPr="0082789D">
              <w:rPr>
                <w:rFonts w:ascii="Times New Roman" w:eastAsia="Times New Roman" w:hAnsi="Times New Roman" w:cs="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rsidR="00813D68" w:rsidRPr="0082789D">
            <w:pPr>
              <w:spacing w:after="0" w:line="240" w:lineRule="auto"/>
              <w:rPr>
                <w:rFonts w:ascii="Times New Roman" w:eastAsia="Times New Roman" w:hAnsi="Times New Roman" w:cs="Times New Roman"/>
                <w:sz w:val="24"/>
                <w:szCs w:val="24"/>
                <w:lang w:eastAsia="lv-LV"/>
              </w:rPr>
            </w:pPr>
            <w:r w:rsidRPr="0082789D">
              <w:rPr>
                <w:rFonts w:ascii="Times New Roman" w:eastAsia="Times New Roman" w:hAnsi="Times New Roman" w:cs="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rsidR="00813D68" w:rsidRPr="0082789D">
            <w:pPr>
              <w:spacing w:after="0" w:line="240" w:lineRule="auto"/>
              <w:rPr>
                <w:rFonts w:ascii="Times New Roman" w:eastAsia="Times New Roman" w:hAnsi="Times New Roman" w:cs="Times New Roman"/>
                <w:sz w:val="24"/>
                <w:szCs w:val="24"/>
                <w:lang w:eastAsia="lv-LV"/>
              </w:rPr>
            </w:pPr>
            <w:r w:rsidRPr="0082789D">
              <w:rPr>
                <w:rFonts w:ascii="Times New Roman" w:hAnsi="Times New Roman" w:cs="Times New Roman"/>
                <w:sz w:val="24"/>
                <w:szCs w:val="24"/>
              </w:rPr>
              <w:t>Sabiedrisko pakalpojumu regulēšanas komisijas priekšlikums ir iestrādāts noteikumu projektā.</w:t>
            </w:r>
          </w:p>
        </w:tc>
      </w:tr>
      <w:tr w:rsidTr="00813D68">
        <w:tblPrEx>
          <w:tblW w:w="5000" w:type="pct"/>
          <w:jc w:val="center"/>
          <w:tblCellMar>
            <w:top w:w="24" w:type="dxa"/>
            <w:left w:w="24" w:type="dxa"/>
            <w:bottom w:w="24" w:type="dxa"/>
            <w:right w:w="24" w:type="dxa"/>
          </w:tblCellMar>
          <w:tblLook w:val="04A0"/>
        </w:tblPrEx>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813D68" w:rsidRPr="0082789D">
            <w:pPr>
              <w:spacing w:after="0" w:line="240" w:lineRule="auto"/>
              <w:rPr>
                <w:rFonts w:ascii="Times New Roman" w:eastAsia="Times New Roman" w:hAnsi="Times New Roman" w:cs="Times New Roman"/>
                <w:sz w:val="24"/>
                <w:szCs w:val="24"/>
                <w:lang w:eastAsia="lv-LV"/>
              </w:rPr>
            </w:pPr>
            <w:r w:rsidRPr="0082789D">
              <w:rPr>
                <w:rFonts w:ascii="Times New Roman" w:eastAsia="Times New Roman" w:hAnsi="Times New Roman" w:cs="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rsidR="00813D68" w:rsidRPr="0082789D" w:rsidP="00813D68">
            <w:pPr>
              <w:spacing w:after="0" w:line="240" w:lineRule="auto"/>
              <w:rPr>
                <w:rFonts w:ascii="Times New Roman" w:eastAsia="Times New Roman" w:hAnsi="Times New Roman" w:cs="Times New Roman"/>
                <w:sz w:val="24"/>
                <w:szCs w:val="24"/>
                <w:lang w:eastAsia="lv-LV"/>
              </w:rPr>
            </w:pPr>
            <w:r w:rsidRPr="0082789D">
              <w:rPr>
                <w:rFonts w:ascii="Times New Roman" w:eastAsia="Times New Roman" w:hAnsi="Times New Roman" w:cs="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rsidR="00813D68" w:rsidRPr="0082789D">
            <w:pPr>
              <w:spacing w:before="100" w:beforeAutospacing="1" w:after="100" w:afterAutospacing="1" w:line="293" w:lineRule="atLeast"/>
              <w:rPr>
                <w:rFonts w:ascii="Times New Roman" w:eastAsia="Times New Roman" w:hAnsi="Times New Roman" w:cs="Times New Roman"/>
                <w:sz w:val="24"/>
                <w:szCs w:val="24"/>
                <w:lang w:eastAsia="lv-LV"/>
              </w:rPr>
            </w:pPr>
            <w:r w:rsidRPr="0082789D">
              <w:rPr>
                <w:rFonts w:ascii="Times New Roman" w:eastAsia="Times New Roman" w:hAnsi="Times New Roman" w:cs="Times New Roman"/>
                <w:sz w:val="24"/>
                <w:szCs w:val="24"/>
                <w:lang w:eastAsia="lv-LV"/>
              </w:rPr>
              <w:t>Nav</w:t>
            </w:r>
          </w:p>
        </w:tc>
      </w:tr>
    </w:tbl>
    <w:p w:rsidR="00813D68" w:rsidRPr="0082789D" w:rsidP="00813D68">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17"/>
        <w:gridCol w:w="2585"/>
        <w:gridCol w:w="5352"/>
      </w:tblGrid>
      <w:tr w:rsidTr="00813D68">
        <w:tblPrEx>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13D68" w:rsidRPr="0082789D">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82789D">
              <w:rPr>
                <w:rFonts w:ascii="Times New Roman" w:eastAsia="Times New Roman" w:hAnsi="Times New Roman" w:cs="Times New Roman"/>
                <w:b/>
                <w:bCs/>
                <w:sz w:val="24"/>
                <w:szCs w:val="24"/>
                <w:lang w:eastAsia="lv-LV"/>
              </w:rPr>
              <w:t>VII. Tiesību akta projekta izpildes nodrošināšana un tās ietekme uz institūcijām</w:t>
            </w:r>
          </w:p>
        </w:tc>
      </w:tr>
      <w:tr w:rsidTr="004C106B">
        <w:tblPrEx>
          <w:tblW w:w="5000" w:type="pct"/>
          <w:jc w:val="center"/>
          <w:tblCellMar>
            <w:top w:w="24" w:type="dxa"/>
            <w:left w:w="24" w:type="dxa"/>
            <w:bottom w:w="24" w:type="dxa"/>
            <w:right w:w="24" w:type="dxa"/>
          </w:tblCellMar>
          <w:tblLook w:val="04A0"/>
        </w:tblPrEx>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rsidR="00813D68" w:rsidRPr="0082789D">
            <w:pPr>
              <w:spacing w:after="0" w:line="240" w:lineRule="auto"/>
              <w:rPr>
                <w:rFonts w:ascii="Times New Roman" w:eastAsia="Times New Roman" w:hAnsi="Times New Roman" w:cs="Times New Roman"/>
                <w:sz w:val="24"/>
                <w:szCs w:val="24"/>
                <w:lang w:eastAsia="lv-LV"/>
              </w:rPr>
            </w:pPr>
            <w:r w:rsidRPr="0082789D">
              <w:rPr>
                <w:rFonts w:ascii="Times New Roman" w:eastAsia="Times New Roman" w:hAnsi="Times New Roman" w:cs="Times New Roman"/>
                <w:sz w:val="24"/>
                <w:szCs w:val="24"/>
                <w:lang w:eastAsia="lv-LV"/>
              </w:rPr>
              <w:t>1.</w:t>
            </w:r>
          </w:p>
        </w:tc>
        <w:tc>
          <w:tcPr>
            <w:tcW w:w="1547" w:type="pct"/>
            <w:tcBorders>
              <w:top w:val="outset" w:sz="6" w:space="0" w:color="414142"/>
              <w:left w:val="outset" w:sz="6" w:space="0" w:color="414142"/>
              <w:bottom w:val="outset" w:sz="6" w:space="0" w:color="414142"/>
              <w:right w:val="outset" w:sz="6" w:space="0" w:color="414142"/>
            </w:tcBorders>
            <w:hideMark/>
          </w:tcPr>
          <w:p w:rsidR="00813D68" w:rsidRPr="0082789D" w:rsidP="00E83D60">
            <w:pPr>
              <w:spacing w:after="0" w:line="240" w:lineRule="auto"/>
              <w:rPr>
                <w:rFonts w:ascii="Times New Roman" w:eastAsia="Times New Roman" w:hAnsi="Times New Roman" w:cs="Times New Roman"/>
                <w:sz w:val="24"/>
                <w:szCs w:val="24"/>
                <w:lang w:eastAsia="lv-LV"/>
              </w:rPr>
            </w:pPr>
            <w:r w:rsidRPr="0082789D">
              <w:rPr>
                <w:rFonts w:ascii="Times New Roman" w:eastAsia="Times New Roman" w:hAnsi="Times New Roman" w:cs="Times New Roman"/>
                <w:sz w:val="24"/>
                <w:szCs w:val="24"/>
                <w:lang w:eastAsia="lv-LV"/>
              </w:rPr>
              <w:t>Projekta izpildē iesaistītās institūcijas</w:t>
            </w:r>
          </w:p>
        </w:tc>
        <w:tc>
          <w:tcPr>
            <w:tcW w:w="3204" w:type="pct"/>
            <w:tcBorders>
              <w:top w:val="outset" w:sz="6" w:space="0" w:color="414142"/>
              <w:left w:val="outset" w:sz="6" w:space="0" w:color="414142"/>
              <w:bottom w:val="outset" w:sz="6" w:space="0" w:color="414142"/>
              <w:right w:val="outset" w:sz="6" w:space="0" w:color="414142"/>
            </w:tcBorders>
            <w:hideMark/>
          </w:tcPr>
          <w:p w:rsidR="00813D68" w:rsidRPr="0082789D" w:rsidP="00085173">
            <w:pPr>
              <w:spacing w:after="0" w:line="240" w:lineRule="auto"/>
              <w:jc w:val="both"/>
              <w:rPr>
                <w:rFonts w:ascii="Times New Roman" w:eastAsia="Times New Roman" w:hAnsi="Times New Roman" w:cs="Times New Roman"/>
                <w:sz w:val="24"/>
                <w:szCs w:val="24"/>
                <w:lang w:eastAsia="lv-LV"/>
              </w:rPr>
            </w:pPr>
            <w:r w:rsidRPr="0082789D">
              <w:rPr>
                <w:rFonts w:ascii="Times New Roman" w:eastAsia="Times New Roman" w:hAnsi="Times New Roman" w:cs="Times New Roman"/>
                <w:sz w:val="24"/>
                <w:szCs w:val="24"/>
                <w:lang w:eastAsia="lv-LV"/>
              </w:rPr>
              <w:t>Ministrija</w:t>
            </w:r>
            <w:r w:rsidRPr="0082789D" w:rsidR="000D2F64">
              <w:rPr>
                <w:rFonts w:ascii="Times New Roman" w:eastAsia="Times New Roman" w:hAnsi="Times New Roman" w:cs="Times New Roman"/>
                <w:sz w:val="24"/>
                <w:szCs w:val="24"/>
                <w:lang w:eastAsia="lv-LV"/>
              </w:rPr>
              <w:t>, Sabiedrisko pakalpojumu regul</w:t>
            </w:r>
            <w:r w:rsidR="00DF4678">
              <w:rPr>
                <w:rFonts w:ascii="Times New Roman" w:eastAsia="Times New Roman" w:hAnsi="Times New Roman" w:cs="Times New Roman"/>
                <w:sz w:val="24"/>
                <w:szCs w:val="24"/>
                <w:lang w:eastAsia="lv-LV"/>
              </w:rPr>
              <w:t xml:space="preserve">ēšanas komisija. Sabiedrisko pakalpojumu regulēšanas komisija </w:t>
            </w:r>
            <w:r w:rsidRPr="0082789D" w:rsidR="000D2F64">
              <w:rPr>
                <w:rFonts w:ascii="Times New Roman" w:eastAsia="Times New Roman" w:hAnsi="Times New Roman" w:cs="Times New Roman"/>
                <w:sz w:val="24"/>
                <w:szCs w:val="24"/>
                <w:lang w:eastAsia="lv-LV"/>
              </w:rPr>
              <w:t>piedalījās</w:t>
            </w:r>
            <w:r w:rsidR="00E20FED">
              <w:rPr>
                <w:rFonts w:ascii="Times New Roman" w:eastAsia="Times New Roman" w:hAnsi="Times New Roman" w:cs="Times New Roman"/>
                <w:sz w:val="24"/>
                <w:szCs w:val="24"/>
                <w:lang w:eastAsia="lv-LV"/>
              </w:rPr>
              <w:t xml:space="preserve"> arī</w:t>
            </w:r>
            <w:r w:rsidRPr="0082789D" w:rsidR="000D2F64">
              <w:rPr>
                <w:rFonts w:ascii="Times New Roman" w:eastAsia="Times New Roman" w:hAnsi="Times New Roman" w:cs="Times New Roman"/>
                <w:sz w:val="24"/>
                <w:szCs w:val="24"/>
                <w:lang w:eastAsia="lv-LV"/>
              </w:rPr>
              <w:t xml:space="preserve"> </w:t>
            </w:r>
            <w:r w:rsidRPr="00E20FED" w:rsidR="000D2F64">
              <w:rPr>
                <w:rFonts w:ascii="Times New Roman" w:eastAsia="Times New Roman" w:hAnsi="Times New Roman" w:cs="Times New Roman"/>
                <w:sz w:val="24"/>
                <w:szCs w:val="24"/>
                <w:lang w:eastAsia="lv-LV"/>
              </w:rPr>
              <w:t>Likuma</w:t>
            </w:r>
            <w:r w:rsidRPr="0082789D" w:rsidR="000D2F64">
              <w:rPr>
                <w:rFonts w:ascii="Times New Roman" w:eastAsia="Times New Roman" w:hAnsi="Times New Roman" w:cs="Times New Roman"/>
                <w:sz w:val="24"/>
                <w:szCs w:val="24"/>
                <w:lang w:eastAsia="lv-LV"/>
              </w:rPr>
              <w:t xml:space="preserve"> izstrādes procesā, sadarbības rezultātā tika panākta vienošanās par to, ka </w:t>
            </w:r>
            <w:r w:rsidR="00DF4678">
              <w:rPr>
                <w:rFonts w:ascii="Times New Roman" w:eastAsia="Times New Roman" w:hAnsi="Times New Roman" w:cs="Times New Roman"/>
                <w:sz w:val="24"/>
                <w:szCs w:val="24"/>
                <w:lang w:eastAsia="lv-LV"/>
              </w:rPr>
              <w:t>Likumā ir ietve</w:t>
            </w:r>
            <w:r w:rsidR="00E20FED">
              <w:rPr>
                <w:rFonts w:ascii="Times New Roman" w:eastAsia="Times New Roman" w:hAnsi="Times New Roman" w:cs="Times New Roman"/>
                <w:sz w:val="24"/>
                <w:szCs w:val="24"/>
                <w:lang w:eastAsia="lv-LV"/>
              </w:rPr>
              <w:t xml:space="preserve">rts deleģējums Ministru kabineta noteikumu izstrādei, kuros noteikto </w:t>
            </w:r>
            <w:r w:rsidRPr="0082789D" w:rsidR="000D2F64">
              <w:rPr>
                <w:rFonts w:ascii="Times New Roman" w:hAnsi="Times New Roman" w:cs="Times New Roman"/>
                <w:sz w:val="24"/>
                <w:szCs w:val="24"/>
              </w:rPr>
              <w:t>pētniecības un attīstības darbības izmaksas nedrīkst pārsniegt trīs procentus no izmaksām, kas veido tarifu par sadzīves atkritumu apglabāšanu atkritumu poligonos.</w:t>
            </w:r>
            <w:r w:rsidRPr="0082789D" w:rsidR="000D2F64">
              <w:rPr>
                <w:rFonts w:ascii="Times New Roman" w:eastAsia="Times New Roman" w:hAnsi="Times New Roman" w:cs="Times New Roman"/>
                <w:sz w:val="24"/>
                <w:szCs w:val="24"/>
                <w:lang w:eastAsia="lv-LV"/>
              </w:rPr>
              <w:t xml:space="preserve"> </w:t>
            </w:r>
          </w:p>
        </w:tc>
      </w:tr>
      <w:tr w:rsidTr="004C106B">
        <w:tblPrEx>
          <w:tblW w:w="5000" w:type="pct"/>
          <w:jc w:val="center"/>
          <w:tblCellMar>
            <w:top w:w="24" w:type="dxa"/>
            <w:left w:w="24" w:type="dxa"/>
            <w:bottom w:w="24" w:type="dxa"/>
            <w:right w:w="24" w:type="dxa"/>
          </w:tblCellMar>
          <w:tblLook w:val="04A0"/>
        </w:tblPrEx>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rsidR="00813D68" w:rsidRPr="0082789D">
            <w:pPr>
              <w:spacing w:after="0" w:line="240" w:lineRule="auto"/>
              <w:rPr>
                <w:rFonts w:ascii="Times New Roman" w:eastAsia="Times New Roman" w:hAnsi="Times New Roman" w:cs="Times New Roman"/>
                <w:sz w:val="24"/>
                <w:szCs w:val="24"/>
                <w:lang w:eastAsia="lv-LV"/>
              </w:rPr>
            </w:pPr>
            <w:r w:rsidRPr="0082789D">
              <w:rPr>
                <w:rFonts w:ascii="Times New Roman" w:eastAsia="Times New Roman" w:hAnsi="Times New Roman" w:cs="Times New Roman"/>
                <w:sz w:val="24"/>
                <w:szCs w:val="24"/>
                <w:lang w:eastAsia="lv-LV"/>
              </w:rPr>
              <w:t>2.</w:t>
            </w:r>
          </w:p>
        </w:tc>
        <w:tc>
          <w:tcPr>
            <w:tcW w:w="1547" w:type="pct"/>
            <w:tcBorders>
              <w:top w:val="outset" w:sz="6" w:space="0" w:color="414142"/>
              <w:left w:val="outset" w:sz="6" w:space="0" w:color="414142"/>
              <w:bottom w:val="outset" w:sz="6" w:space="0" w:color="414142"/>
              <w:right w:val="outset" w:sz="6" w:space="0" w:color="414142"/>
            </w:tcBorders>
            <w:hideMark/>
          </w:tcPr>
          <w:p w:rsidR="00813D68" w:rsidRPr="0082789D" w:rsidP="001F7FFD">
            <w:pPr>
              <w:spacing w:after="0" w:line="240" w:lineRule="auto"/>
              <w:rPr>
                <w:rFonts w:ascii="Times New Roman" w:eastAsia="Times New Roman" w:hAnsi="Times New Roman" w:cs="Times New Roman"/>
                <w:sz w:val="24"/>
                <w:szCs w:val="24"/>
                <w:lang w:eastAsia="lv-LV"/>
              </w:rPr>
            </w:pPr>
            <w:r w:rsidRPr="0082789D">
              <w:rPr>
                <w:rFonts w:ascii="Times New Roman" w:eastAsia="Times New Roman" w:hAnsi="Times New Roman" w:cs="Times New Roman"/>
                <w:sz w:val="24"/>
                <w:szCs w:val="24"/>
                <w:lang w:eastAsia="lv-LV"/>
              </w:rPr>
              <w:t>Projekta izpildes ietekme uz pārvaldes funkcijām un institucionālo struktūru.</w:t>
            </w:r>
          </w:p>
        </w:tc>
        <w:tc>
          <w:tcPr>
            <w:tcW w:w="3204" w:type="pct"/>
            <w:tcBorders>
              <w:top w:val="outset" w:sz="6" w:space="0" w:color="414142"/>
              <w:left w:val="outset" w:sz="6" w:space="0" w:color="414142"/>
              <w:bottom w:val="outset" w:sz="6" w:space="0" w:color="414142"/>
              <w:right w:val="outset" w:sz="6" w:space="0" w:color="414142"/>
            </w:tcBorders>
            <w:hideMark/>
          </w:tcPr>
          <w:p w:rsidR="00E83D60" w:rsidRPr="0082789D" w:rsidP="00C90F4B">
            <w:pPr>
              <w:pStyle w:val="naisnod"/>
              <w:spacing w:before="0" w:after="0"/>
              <w:ind w:right="57"/>
              <w:jc w:val="both"/>
              <w:rPr>
                <w:b w:val="0"/>
              </w:rPr>
            </w:pPr>
            <w:r w:rsidRPr="0082789D">
              <w:rPr>
                <w:b w:val="0"/>
              </w:rPr>
              <w:t>Noteikumu projekts ietekmē iesaistīto institūciju funkcijas un uzdevumus.</w:t>
            </w:r>
          </w:p>
          <w:p w:rsidR="00813D68" w:rsidRPr="0082789D" w:rsidP="003D0785">
            <w:pPr>
              <w:spacing w:after="0" w:line="240" w:lineRule="auto"/>
              <w:jc w:val="both"/>
              <w:rPr>
                <w:rFonts w:ascii="Times New Roman" w:eastAsia="Times New Roman" w:hAnsi="Times New Roman" w:cs="Times New Roman"/>
                <w:sz w:val="24"/>
                <w:szCs w:val="24"/>
                <w:lang w:eastAsia="lv-LV"/>
              </w:rPr>
            </w:pPr>
            <w:r w:rsidRPr="0082789D">
              <w:rPr>
                <w:rFonts w:ascii="Times New Roman" w:hAnsi="Times New Roman" w:cs="Times New Roman"/>
                <w:sz w:val="24"/>
                <w:szCs w:val="24"/>
              </w:rPr>
              <w:t>Nav paredzēta jauno institūciju izveide/likvidēšana/reorganizēšana</w:t>
            </w:r>
            <w:r w:rsidRPr="0082789D">
              <w:t>.</w:t>
            </w:r>
          </w:p>
        </w:tc>
      </w:tr>
      <w:tr w:rsidTr="004C106B">
        <w:tblPrEx>
          <w:tblW w:w="5000" w:type="pct"/>
          <w:jc w:val="center"/>
          <w:tblCellMar>
            <w:top w:w="24" w:type="dxa"/>
            <w:left w:w="24" w:type="dxa"/>
            <w:bottom w:w="24" w:type="dxa"/>
            <w:right w:w="24" w:type="dxa"/>
          </w:tblCellMar>
          <w:tblLook w:val="04A0"/>
        </w:tblPrEx>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rsidR="00813D68" w:rsidRPr="0082789D">
            <w:pPr>
              <w:spacing w:after="0" w:line="240" w:lineRule="auto"/>
              <w:rPr>
                <w:rFonts w:ascii="Times New Roman" w:eastAsia="Times New Roman" w:hAnsi="Times New Roman" w:cs="Times New Roman"/>
                <w:sz w:val="24"/>
                <w:szCs w:val="24"/>
                <w:lang w:eastAsia="lv-LV"/>
              </w:rPr>
            </w:pPr>
            <w:r w:rsidRPr="0082789D">
              <w:rPr>
                <w:rFonts w:ascii="Times New Roman" w:eastAsia="Times New Roman" w:hAnsi="Times New Roman" w:cs="Times New Roman"/>
                <w:sz w:val="24"/>
                <w:szCs w:val="24"/>
                <w:lang w:eastAsia="lv-LV"/>
              </w:rPr>
              <w:t>3.</w:t>
            </w:r>
          </w:p>
        </w:tc>
        <w:tc>
          <w:tcPr>
            <w:tcW w:w="1547" w:type="pct"/>
            <w:tcBorders>
              <w:top w:val="outset" w:sz="6" w:space="0" w:color="414142"/>
              <w:left w:val="outset" w:sz="6" w:space="0" w:color="414142"/>
              <w:bottom w:val="outset" w:sz="6" w:space="0" w:color="414142"/>
              <w:right w:val="outset" w:sz="6" w:space="0" w:color="414142"/>
            </w:tcBorders>
            <w:hideMark/>
          </w:tcPr>
          <w:p w:rsidR="00813D68" w:rsidRPr="0082789D" w:rsidP="00E83D60">
            <w:pPr>
              <w:spacing w:after="0" w:line="240" w:lineRule="auto"/>
              <w:rPr>
                <w:rFonts w:ascii="Times New Roman" w:eastAsia="Times New Roman" w:hAnsi="Times New Roman" w:cs="Times New Roman"/>
                <w:sz w:val="24"/>
                <w:szCs w:val="24"/>
                <w:lang w:eastAsia="lv-LV"/>
              </w:rPr>
            </w:pPr>
            <w:r w:rsidRPr="0082789D">
              <w:rPr>
                <w:rFonts w:ascii="Times New Roman" w:eastAsia="Times New Roman" w:hAnsi="Times New Roman" w:cs="Times New Roman"/>
                <w:sz w:val="24"/>
                <w:szCs w:val="24"/>
                <w:lang w:eastAsia="lv-LV"/>
              </w:rPr>
              <w:t>Cita informācija</w:t>
            </w:r>
          </w:p>
        </w:tc>
        <w:tc>
          <w:tcPr>
            <w:tcW w:w="3204" w:type="pct"/>
            <w:tcBorders>
              <w:top w:val="outset" w:sz="6" w:space="0" w:color="414142"/>
              <w:left w:val="outset" w:sz="6" w:space="0" w:color="414142"/>
              <w:bottom w:val="outset" w:sz="6" w:space="0" w:color="414142"/>
              <w:right w:val="outset" w:sz="6" w:space="0" w:color="414142"/>
            </w:tcBorders>
            <w:hideMark/>
          </w:tcPr>
          <w:p w:rsidR="00B270DC" w:rsidRPr="0082789D" w:rsidP="004C106B">
            <w:pPr>
              <w:spacing w:before="100" w:beforeAutospacing="1" w:after="100" w:afterAutospacing="1" w:line="293" w:lineRule="atLeast"/>
              <w:jc w:val="both"/>
              <w:rPr>
                <w:rFonts w:ascii="Times New Roman" w:eastAsia="Times New Roman" w:hAnsi="Times New Roman" w:cs="Times New Roman"/>
                <w:sz w:val="24"/>
                <w:szCs w:val="24"/>
                <w:lang w:eastAsia="lv-LV"/>
              </w:rPr>
            </w:pPr>
            <w:r>
              <w:rPr>
                <w:rFonts w:ascii="Times New Roman" w:hAnsi="Times New Roman" w:cs="Times New Roman"/>
                <w:sz w:val="24"/>
                <w:szCs w:val="28"/>
              </w:rPr>
              <w:t>Ministrija</w:t>
            </w:r>
            <w:r w:rsidR="00E20FED">
              <w:rPr>
                <w:rFonts w:ascii="Times New Roman" w:hAnsi="Times New Roman" w:cs="Times New Roman"/>
                <w:sz w:val="24"/>
                <w:szCs w:val="28"/>
              </w:rPr>
              <w:t xml:space="preserve"> </w:t>
            </w:r>
            <w:r w:rsidRPr="0082789D" w:rsidR="00220556">
              <w:rPr>
                <w:rFonts w:ascii="Times New Roman" w:hAnsi="Times New Roman" w:cs="Times New Roman"/>
                <w:sz w:val="24"/>
                <w:szCs w:val="28"/>
              </w:rPr>
              <w:t>noteikumu projektā noteiktās funkcijas un uzdevumus nodrošinās tai piešķirto valsts budžeta līdzekļu ietvaros</w:t>
            </w:r>
            <w:r w:rsidRPr="0082789D" w:rsidR="00C8521D">
              <w:rPr>
                <w:rFonts w:ascii="Times New Roman" w:hAnsi="Times New Roman" w:cs="Times New Roman"/>
                <w:sz w:val="24"/>
                <w:szCs w:val="28"/>
              </w:rPr>
              <w:t>.</w:t>
            </w:r>
          </w:p>
        </w:tc>
      </w:tr>
    </w:tbl>
    <w:p w:rsidR="00813D68" w:rsidRPr="0082789D" w:rsidP="00813D68">
      <w:pPr>
        <w:spacing w:after="0" w:line="240" w:lineRule="auto"/>
        <w:rPr>
          <w:rFonts w:ascii="Times New Roman" w:hAnsi="Times New Roman" w:cs="Times New Roman"/>
          <w:sz w:val="28"/>
          <w:szCs w:val="28"/>
        </w:rPr>
      </w:pPr>
    </w:p>
    <w:p w:rsidR="00813D68" w:rsidRPr="00E20FED" w:rsidP="00813D68">
      <w:pPr>
        <w:spacing w:after="0" w:line="240" w:lineRule="auto"/>
        <w:ind w:firstLine="709"/>
        <w:rPr>
          <w:rFonts w:ascii="Times New Roman" w:hAnsi="Times New Roman" w:cs="Times New Roman"/>
          <w:i/>
          <w:sz w:val="24"/>
          <w:szCs w:val="24"/>
        </w:rPr>
      </w:pPr>
      <w:r w:rsidRPr="00E20FED">
        <w:rPr>
          <w:rFonts w:ascii="Times New Roman" w:hAnsi="Times New Roman" w:cs="Times New Roman"/>
          <w:i/>
          <w:sz w:val="24"/>
          <w:szCs w:val="24"/>
        </w:rPr>
        <w:t>Anotācijas III, IV un V sadaļa – projekts šīs jomas neskar.</w:t>
      </w:r>
    </w:p>
    <w:p w:rsidR="00813D68" w:rsidRPr="00E96E3F" w:rsidP="00813D68">
      <w:pPr>
        <w:spacing w:after="0" w:line="240" w:lineRule="auto"/>
        <w:rPr>
          <w:rFonts w:ascii="Times New Roman" w:hAnsi="Times New Roman" w:cs="Times New Roman"/>
          <w:sz w:val="28"/>
          <w:szCs w:val="28"/>
        </w:rPr>
      </w:pPr>
    </w:p>
    <w:p w:rsidR="00E83D60" w:rsidRPr="00E20FED" w:rsidP="00E83D60">
      <w:pPr>
        <w:pStyle w:val="tv2161"/>
        <w:spacing w:before="0" w:line="240" w:lineRule="auto"/>
        <w:ind w:firstLine="0"/>
        <w:jc w:val="both"/>
        <w:rPr>
          <w:rFonts w:ascii="Times New Roman" w:hAnsi="Times New Roman" w:eastAsiaTheme="minorHAnsi"/>
          <w:sz w:val="24"/>
          <w:szCs w:val="24"/>
        </w:rPr>
      </w:pPr>
      <w:r w:rsidRPr="00E20FED">
        <w:rPr>
          <w:rFonts w:ascii="Times New Roman" w:hAnsi="Times New Roman" w:eastAsiaTheme="minorHAnsi"/>
          <w:sz w:val="24"/>
          <w:szCs w:val="24"/>
        </w:rPr>
        <w:t>V</w:t>
      </w:r>
      <w:r w:rsidRPr="00E20FED">
        <w:rPr>
          <w:rFonts w:ascii="Times New Roman" w:hAnsi="Times New Roman" w:eastAsiaTheme="minorHAnsi"/>
          <w:sz w:val="24"/>
          <w:szCs w:val="24"/>
        </w:rPr>
        <w:t xml:space="preserve">ides aizsardzības un </w:t>
      </w:r>
    </w:p>
    <w:p w:rsidR="00813D68" w:rsidRPr="00E20FED" w:rsidP="00E83D60">
      <w:pPr>
        <w:tabs>
          <w:tab w:val="left" w:pos="6237"/>
        </w:tabs>
        <w:spacing w:after="0" w:line="240" w:lineRule="auto"/>
        <w:rPr>
          <w:rFonts w:ascii="Times New Roman" w:hAnsi="Times New Roman" w:cs="Times New Roman"/>
          <w:sz w:val="24"/>
          <w:szCs w:val="24"/>
        </w:rPr>
      </w:pPr>
      <w:r w:rsidRPr="00E20FED">
        <w:rPr>
          <w:rFonts w:ascii="Times New Roman" w:hAnsi="Times New Roman" w:cs="Times New Roman"/>
          <w:sz w:val="24"/>
          <w:szCs w:val="24"/>
        </w:rPr>
        <w:t xml:space="preserve">reģionālās attīstības </w:t>
      </w:r>
      <w:r w:rsidRPr="00E20FED">
        <w:rPr>
          <w:rFonts w:ascii="Times New Roman" w:hAnsi="Times New Roman" w:cs="Times New Roman"/>
          <w:sz w:val="24"/>
          <w:szCs w:val="24"/>
        </w:rPr>
        <w:t>ministrs</w:t>
      </w:r>
      <w:r w:rsidRPr="00E20FED">
        <w:rPr>
          <w:rFonts w:ascii="Times New Roman" w:hAnsi="Times New Roman" w:cs="Times New Roman"/>
          <w:sz w:val="24"/>
          <w:szCs w:val="24"/>
        </w:rPr>
        <w:tab/>
      </w:r>
      <w:r w:rsidRPr="00E20FED">
        <w:rPr>
          <w:rFonts w:ascii="Times New Roman" w:hAnsi="Times New Roman" w:cs="Times New Roman"/>
          <w:sz w:val="24"/>
          <w:szCs w:val="24"/>
        </w:rPr>
        <w:t>K.</w:t>
      </w:r>
      <w:r w:rsidRPr="00E20FED" w:rsidR="002A4ACD">
        <w:rPr>
          <w:rFonts w:ascii="Times New Roman" w:hAnsi="Times New Roman" w:cs="Times New Roman"/>
          <w:sz w:val="24"/>
          <w:szCs w:val="24"/>
        </w:rPr>
        <w:t> </w:t>
      </w:r>
      <w:r w:rsidRPr="00E20FED">
        <w:rPr>
          <w:rFonts w:ascii="Times New Roman" w:hAnsi="Times New Roman" w:cs="Times New Roman"/>
          <w:sz w:val="24"/>
          <w:szCs w:val="24"/>
        </w:rPr>
        <w:t>Gerhards</w:t>
      </w:r>
    </w:p>
    <w:p w:rsidR="00813D68" w:rsidRPr="00E20FED" w:rsidP="00813D68">
      <w:pPr>
        <w:spacing w:after="0" w:line="240" w:lineRule="auto"/>
        <w:ind w:firstLine="720"/>
        <w:rPr>
          <w:rFonts w:ascii="Times New Roman" w:hAnsi="Times New Roman" w:cs="Times New Roman"/>
          <w:sz w:val="24"/>
          <w:szCs w:val="24"/>
        </w:rPr>
      </w:pPr>
    </w:p>
    <w:p w:rsidR="00E83D60" w:rsidRPr="00E20FED" w:rsidP="00E83D60">
      <w:pPr>
        <w:pStyle w:val="tv2161"/>
        <w:spacing w:before="0" w:line="240" w:lineRule="auto"/>
        <w:ind w:firstLine="0"/>
        <w:jc w:val="both"/>
        <w:rPr>
          <w:rFonts w:ascii="Times New Roman" w:hAnsi="Times New Roman" w:eastAsiaTheme="minorHAnsi"/>
          <w:sz w:val="24"/>
          <w:szCs w:val="24"/>
        </w:rPr>
      </w:pPr>
      <w:r w:rsidRPr="00E20FED">
        <w:rPr>
          <w:rFonts w:ascii="Times New Roman" w:hAnsi="Times New Roman" w:eastAsiaTheme="minorHAnsi"/>
          <w:sz w:val="24"/>
          <w:szCs w:val="24"/>
        </w:rPr>
        <w:t>V</w:t>
      </w:r>
      <w:r w:rsidRPr="00E20FED">
        <w:rPr>
          <w:rFonts w:ascii="Times New Roman" w:hAnsi="Times New Roman" w:eastAsiaTheme="minorHAnsi"/>
          <w:sz w:val="24"/>
          <w:szCs w:val="24"/>
        </w:rPr>
        <w:t xml:space="preserve">ides aizsardzības un </w:t>
      </w:r>
    </w:p>
    <w:p w:rsidR="00813D68" w:rsidRPr="00E20FED" w:rsidP="00E83D60">
      <w:pPr>
        <w:tabs>
          <w:tab w:val="left" w:pos="6237"/>
        </w:tabs>
        <w:spacing w:after="0" w:line="240" w:lineRule="auto"/>
        <w:rPr>
          <w:rFonts w:ascii="Times New Roman" w:hAnsi="Times New Roman" w:cs="Times New Roman"/>
          <w:sz w:val="24"/>
          <w:szCs w:val="24"/>
        </w:rPr>
      </w:pPr>
      <w:r w:rsidRPr="00E20FED">
        <w:rPr>
          <w:rFonts w:ascii="Times New Roman" w:hAnsi="Times New Roman" w:cs="Times New Roman"/>
          <w:sz w:val="24"/>
          <w:szCs w:val="24"/>
        </w:rPr>
        <w:t xml:space="preserve">reģionālās attīstības </w:t>
      </w:r>
      <w:r w:rsidRPr="00E20FED">
        <w:rPr>
          <w:rFonts w:ascii="Times New Roman" w:hAnsi="Times New Roman" w:cs="Times New Roman"/>
          <w:sz w:val="24"/>
          <w:szCs w:val="24"/>
        </w:rPr>
        <w:t>ministrijas valsts sekretārs</w:t>
      </w:r>
      <w:r w:rsidRPr="00E20FED">
        <w:rPr>
          <w:rFonts w:ascii="Times New Roman" w:hAnsi="Times New Roman" w:cs="Times New Roman"/>
          <w:sz w:val="24"/>
          <w:szCs w:val="24"/>
        </w:rPr>
        <w:tab/>
      </w:r>
      <w:r w:rsidRPr="00E20FED">
        <w:rPr>
          <w:rFonts w:ascii="Times New Roman" w:hAnsi="Times New Roman" w:cs="Times New Roman"/>
          <w:sz w:val="24"/>
          <w:szCs w:val="24"/>
        </w:rPr>
        <w:t>R.</w:t>
      </w:r>
      <w:r w:rsidR="00730A83">
        <w:rPr>
          <w:rFonts w:ascii="Times New Roman" w:hAnsi="Times New Roman" w:cs="Times New Roman"/>
          <w:sz w:val="24"/>
          <w:szCs w:val="24"/>
        </w:rPr>
        <w:t> </w:t>
      </w:r>
      <w:r w:rsidRPr="00E20FED">
        <w:rPr>
          <w:rFonts w:ascii="Times New Roman" w:hAnsi="Times New Roman" w:cs="Times New Roman"/>
          <w:sz w:val="24"/>
          <w:szCs w:val="24"/>
        </w:rPr>
        <w:t>Muciņš</w:t>
      </w:r>
    </w:p>
    <w:p w:rsidR="00813D68" w:rsidRPr="00730A83" w:rsidP="00813D68">
      <w:pPr>
        <w:tabs>
          <w:tab w:val="left" w:pos="6237"/>
        </w:tabs>
        <w:spacing w:after="0" w:line="240" w:lineRule="auto"/>
        <w:ind w:firstLine="720"/>
        <w:rPr>
          <w:rFonts w:ascii="Times New Roman" w:hAnsi="Times New Roman" w:cs="Times New Roman"/>
          <w:sz w:val="28"/>
          <w:szCs w:val="28"/>
        </w:rPr>
      </w:pPr>
    </w:p>
    <w:p w:rsidR="00E96E3F" w:rsidRPr="0082789D" w:rsidP="00813D68">
      <w:pPr>
        <w:tabs>
          <w:tab w:val="left" w:pos="6237"/>
        </w:tabs>
        <w:spacing w:after="0" w:line="240" w:lineRule="auto"/>
        <w:ind w:firstLine="720"/>
        <w:rPr>
          <w:rFonts w:ascii="Times New Roman" w:hAnsi="Times New Roman" w:cs="Times New Roman"/>
          <w:sz w:val="28"/>
          <w:szCs w:val="28"/>
        </w:rPr>
      </w:pPr>
    </w:p>
    <w:p w:rsidR="007A7821" w:rsidRPr="00E20FED" w:rsidP="007A7821">
      <w:pPr>
        <w:pStyle w:val="NormalWeb"/>
        <w:spacing w:before="0" w:beforeAutospacing="0" w:after="0" w:afterAutospacing="0"/>
        <w:rPr>
          <w:sz w:val="20"/>
          <w:szCs w:val="20"/>
        </w:rPr>
      </w:pPr>
      <w:r w:rsidRPr="00E20FED">
        <w:rPr>
          <w:sz w:val="20"/>
          <w:szCs w:val="20"/>
        </w:rPr>
        <w:t>Cudečka-Puriņa</w:t>
      </w:r>
      <w:r w:rsidRPr="00E20FED" w:rsidR="009D0724">
        <w:rPr>
          <w:sz w:val="20"/>
          <w:szCs w:val="20"/>
        </w:rPr>
        <w:t xml:space="preserve"> 67026461</w:t>
      </w:r>
    </w:p>
    <w:p w:rsidR="001C39E0" w:rsidRPr="0082789D" w:rsidP="00E20FED">
      <w:pPr>
        <w:pStyle w:val="NormalWeb"/>
        <w:spacing w:before="0" w:beforeAutospacing="0" w:after="0" w:afterAutospacing="0"/>
      </w:pPr>
      <w:r>
        <w:fldChar w:fldCharType="begin"/>
      </w:r>
      <w:r>
        <w:instrText xml:space="preserve"> HYPERLINK "mailto:natalija.cudecka-purina@varam.gov.lv" </w:instrText>
      </w:r>
      <w:r>
        <w:fldChar w:fldCharType="separate"/>
      </w:r>
      <w:r w:rsidRPr="00E20FED" w:rsidR="007A7821">
        <w:rPr>
          <w:sz w:val="20"/>
          <w:szCs w:val="20"/>
        </w:rPr>
        <w:t>natalija.cudecka-purina@varam.gov.lv</w:t>
      </w:r>
      <w:r>
        <w:fldChar w:fldCharType="end"/>
      </w:r>
    </w:p>
    <w:sectPr w:rsidSect="00085173">
      <w:headerReference w:type="default" r:id="rId6"/>
      <w:footerReference w:type="default" r:id="rId7"/>
      <w:footerReference w:type="first" r:id="rId8"/>
      <w:pgSz w:w="11906" w:h="16838"/>
      <w:pgMar w:top="1440" w:right="1800" w:bottom="1440" w:left="180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1)">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314D2" w:rsidRPr="00085173" w:rsidP="00E83D60">
    <w:pPr>
      <w:jc w:val="both"/>
      <w:rPr>
        <w:rFonts w:ascii="Times New Roman" w:hAnsi="Times New Roman" w:cs="Times New Roman"/>
        <w:sz w:val="20"/>
        <w:szCs w:val="20"/>
      </w:rPr>
    </w:pPr>
    <w:r>
      <w:rPr>
        <w:rFonts w:ascii="Times New Roman" w:hAnsi="Times New Roman" w:cs="Times New Roman"/>
        <w:sz w:val="20"/>
        <w:szCs w:val="20"/>
      </w:rPr>
      <w:t>VARAMAnot_21</w:t>
    </w:r>
    <w:r w:rsidRPr="00377566">
      <w:rPr>
        <w:rFonts w:ascii="Times New Roman" w:hAnsi="Times New Roman" w:cs="Times New Roman"/>
        <w:sz w:val="20"/>
        <w:szCs w:val="20"/>
      </w:rPr>
      <w:t>0217_</w:t>
    </w:r>
    <w:r>
      <w:rPr>
        <w:rFonts w:ascii="Times New Roman" w:hAnsi="Times New Roman" w:cs="Times New Roman"/>
        <w:bCs/>
        <w:sz w:val="20"/>
        <w:szCs w:val="20"/>
      </w:rPr>
      <w:t xml:space="preserve">petnieciba; </w:t>
    </w:r>
    <w:r w:rsidRPr="00377566">
      <w:rPr>
        <w:rFonts w:ascii="Times New Roman" w:hAnsi="Times New Roman" w:cs="Times New Roman"/>
        <w:bCs/>
        <w:sz w:val="20"/>
        <w:szCs w:val="20"/>
      </w:rPr>
      <w:t xml:space="preserve">Ministru kabineta </w:t>
    </w:r>
    <w:r>
      <w:rPr>
        <w:rFonts w:ascii="Times New Roman" w:hAnsi="Times New Roman" w:cs="Times New Roman"/>
        <w:bCs/>
        <w:sz w:val="20"/>
        <w:szCs w:val="20"/>
      </w:rPr>
      <w:t>n</w:t>
    </w:r>
    <w:r w:rsidRPr="00377566">
      <w:rPr>
        <w:rFonts w:ascii="Times New Roman" w:hAnsi="Times New Roman" w:cs="Times New Roman"/>
        <w:bCs/>
        <w:sz w:val="20"/>
        <w:szCs w:val="20"/>
      </w:rPr>
      <w:t>oteikumu projekt</w:t>
    </w:r>
    <w:r>
      <w:rPr>
        <w:rFonts w:ascii="Times New Roman" w:hAnsi="Times New Roman" w:cs="Times New Roman"/>
        <w:bCs/>
        <w:sz w:val="20"/>
        <w:szCs w:val="20"/>
      </w:rPr>
      <w:t>a</w:t>
    </w:r>
    <w:r w:rsidRPr="00377566">
      <w:rPr>
        <w:rFonts w:ascii="Times New Roman" w:hAnsi="Times New Roman" w:cs="Times New Roman"/>
        <w:bCs/>
        <w:sz w:val="20"/>
        <w:szCs w:val="20"/>
      </w:rPr>
      <w:t xml:space="preserve"> „Noteikumi par atkritumu poligonu pētniecības un attīstības darbību, kas vērsta uz apglabājamā atkritumu apjoma samazināšanu”</w:t>
    </w:r>
    <w:r w:rsidRPr="00085173">
      <w:rPr>
        <w:rFonts w:ascii="Times New Roman" w:hAnsi="Times New Roman" w:cs="Times New Roman"/>
        <w:sz w:val="20"/>
        <w:szCs w:val="20"/>
      </w:rPr>
      <w:t xml:space="preserve"> sākotnējās ietekmes novērtējuma </w:t>
    </w:r>
    <w:smartTag w:uri="schemas-tilde-lv/tildestengine" w:element="veidnes">
      <w:smartTagPr>
        <w:attr w:name="baseform" w:val="ziņojums"/>
        <w:attr w:name="id" w:val="-1"/>
        <w:attr w:name="text" w:val="ziņojums"/>
      </w:smartTagPr>
      <w:r w:rsidRPr="00085173">
        <w:rPr>
          <w:rFonts w:ascii="Times New Roman" w:hAnsi="Times New Roman" w:cs="Times New Roman"/>
          <w:sz w:val="20"/>
          <w:szCs w:val="20"/>
        </w:rPr>
        <w:t>ziņojums</w:t>
      </w:r>
    </w:smartTag>
    <w:r w:rsidRPr="00085173">
      <w:rPr>
        <w:rFonts w:ascii="Times New Roman" w:hAnsi="Times New Roman" w:cs="Times New Roman"/>
        <w:sz w:val="20"/>
        <w:szCs w:val="20"/>
      </w:rPr>
      <w:t xml:space="preserve">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314D2" w:rsidRPr="00085173" w:rsidP="00085173">
    <w:pPr>
      <w:pStyle w:val="Footer"/>
    </w:pPr>
    <w:r>
      <w:rPr>
        <w:rFonts w:ascii="Times New Roman" w:hAnsi="Times New Roman" w:cs="Times New Roman"/>
        <w:sz w:val="20"/>
        <w:szCs w:val="20"/>
      </w:rPr>
      <w:t>VARAMAnot_21</w:t>
    </w:r>
    <w:r w:rsidRPr="004C106B">
      <w:rPr>
        <w:rFonts w:ascii="Times New Roman" w:hAnsi="Times New Roman" w:cs="Times New Roman"/>
        <w:sz w:val="20"/>
        <w:szCs w:val="20"/>
      </w:rPr>
      <w:t>0217_</w:t>
    </w:r>
    <w:r>
      <w:rPr>
        <w:rFonts w:ascii="Times New Roman" w:hAnsi="Times New Roman" w:cs="Times New Roman"/>
        <w:bCs/>
        <w:sz w:val="20"/>
        <w:szCs w:val="20"/>
      </w:rPr>
      <w:t xml:space="preserve">petnieciba; </w:t>
    </w:r>
    <w:r w:rsidRPr="004C106B">
      <w:rPr>
        <w:rFonts w:ascii="Times New Roman" w:hAnsi="Times New Roman" w:cs="Times New Roman"/>
        <w:bCs/>
        <w:sz w:val="20"/>
        <w:szCs w:val="20"/>
      </w:rPr>
      <w:t xml:space="preserve">Ministru kabineta </w:t>
    </w:r>
    <w:r>
      <w:rPr>
        <w:rFonts w:ascii="Times New Roman" w:hAnsi="Times New Roman" w:cs="Times New Roman"/>
        <w:bCs/>
        <w:sz w:val="20"/>
        <w:szCs w:val="20"/>
      </w:rPr>
      <w:t>n</w:t>
    </w:r>
    <w:r w:rsidRPr="004C106B">
      <w:rPr>
        <w:rFonts w:ascii="Times New Roman" w:hAnsi="Times New Roman" w:cs="Times New Roman"/>
        <w:bCs/>
        <w:sz w:val="20"/>
        <w:szCs w:val="20"/>
      </w:rPr>
      <w:t>oteikumu projekt</w:t>
    </w:r>
    <w:r>
      <w:rPr>
        <w:rFonts w:ascii="Times New Roman" w:hAnsi="Times New Roman" w:cs="Times New Roman"/>
        <w:bCs/>
        <w:sz w:val="20"/>
        <w:szCs w:val="20"/>
      </w:rPr>
      <w:t>a</w:t>
    </w:r>
    <w:r w:rsidRPr="004C106B">
      <w:rPr>
        <w:rFonts w:ascii="Times New Roman" w:hAnsi="Times New Roman" w:cs="Times New Roman"/>
        <w:bCs/>
        <w:sz w:val="20"/>
        <w:szCs w:val="20"/>
      </w:rPr>
      <w:t xml:space="preserve"> „Noteikumi par atkritumu poligonu pētniecības un attīstības darbību, kas vērsta uz apglabājamā atkritumu apjoma samazināšanu”</w:t>
    </w:r>
    <w:r>
      <w:rPr>
        <w:rFonts w:ascii="Times New Roman" w:hAnsi="Times New Roman" w:cs="Times New Roman"/>
        <w:bCs/>
        <w:sz w:val="20"/>
        <w:szCs w:val="20"/>
      </w:rPr>
      <w:t xml:space="preserve"> </w:t>
    </w:r>
    <w:r w:rsidRPr="00085173">
      <w:rPr>
        <w:rFonts w:ascii="Times New Roman" w:hAnsi="Times New Roman" w:cs="Times New Roman"/>
        <w:sz w:val="20"/>
        <w:szCs w:val="20"/>
      </w:rPr>
      <w:t xml:space="preserve">sākotnējās ietekmes novērtējuma </w:t>
    </w:r>
    <w:smartTag w:uri="schemas-tilde-lv/tildestengine" w:element="veidnes">
      <w:smartTagPr>
        <w:attr w:name="baseform" w:val="ziņojums"/>
        <w:attr w:name="id" w:val="-1"/>
        <w:attr w:name="text" w:val="ziņojums"/>
      </w:smartTagPr>
      <w:r w:rsidRPr="00085173">
        <w:rPr>
          <w:rFonts w:ascii="Times New Roman" w:hAnsi="Times New Roman" w:cs="Times New Roman"/>
          <w:sz w:val="20"/>
          <w:szCs w:val="20"/>
        </w:rPr>
        <w:t>ziņojums</w:t>
      </w:r>
    </w:smartTag>
    <w:r w:rsidRPr="00085173">
      <w:rPr>
        <w:rFonts w:ascii="Times New Roman" w:hAnsi="Times New Roman" w:cs="Times New Roman"/>
        <w:sz w:val="20"/>
        <w:szCs w:val="20"/>
      </w:rPr>
      <w:t xml:space="preserve">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314D2" w:rsidP="00E83D60">
      <w:pPr>
        <w:spacing w:after="0" w:line="240" w:lineRule="auto"/>
      </w:pPr>
      <w:r>
        <w:separator/>
      </w:r>
    </w:p>
  </w:footnote>
  <w:footnote w:type="continuationSeparator" w:id="1">
    <w:p w:rsidR="001314D2" w:rsidP="00E83D60">
      <w:pPr>
        <w:spacing w:after="0" w:line="240" w:lineRule="auto"/>
      </w:pPr>
      <w:r>
        <w:continuationSeparator/>
      </w:r>
    </w:p>
  </w:footnote>
  <w:footnote w:type="continuationNotice" w:id="2">
    <w:p w:rsidR="001314D2">
      <w:pPr>
        <w:spacing w:after="0" w:line="240" w:lineRule="auto"/>
      </w:pPr>
    </w:p>
  </w:footnote>
  <w:footnote w:id="3">
    <w:p w:rsidR="001314D2" w:rsidRPr="00E20FED">
      <w:pPr>
        <w:pStyle w:val="FootnoteText"/>
        <w:rPr>
          <w:rFonts w:ascii="Times New Roman" w:hAnsi="Times New Roman" w:cs="Times New Roman"/>
        </w:rPr>
      </w:pPr>
      <w:r>
        <w:rPr>
          <w:rStyle w:val="FootnoteReference"/>
        </w:rPr>
        <w:footnoteRef/>
      </w:r>
      <w:r>
        <w:t> </w:t>
      </w:r>
      <w:r w:rsidRPr="00E20FED">
        <w:rPr>
          <w:rFonts w:ascii="Times New Roman" w:hAnsi="Times New Roman" w:cs="Times New Roman"/>
        </w:rPr>
        <w:t>Skat.: http://www.keepeek.com/Digital-Asset-Management/oecd/science-and-technology/frascati-manual-2015_9789264239012-en#.WLAnVlWGO70#page2</w:t>
      </w:r>
    </w:p>
  </w:footnote>
  <w:footnote w:id="4">
    <w:p w:rsidR="001314D2">
      <w:pPr>
        <w:pStyle w:val="FootnoteText"/>
      </w:pPr>
      <w:r>
        <w:rPr>
          <w:rStyle w:val="FootnoteReference"/>
        </w:rPr>
        <w:footnoteRef/>
      </w:r>
      <w:r>
        <w:t> </w:t>
      </w:r>
      <w:r w:rsidRPr="00E20FED">
        <w:rPr>
          <w:rFonts w:ascii="Times New Roman" w:hAnsi="Times New Roman" w:cs="Times New Roman"/>
        </w:rPr>
        <w:t>Skat.: http://www.oecd-ilibrary.org/content/book/9789264013100-en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239304346"/>
      <w:docPartObj>
        <w:docPartGallery w:val="Page Numbers (Top of Page)"/>
        <w:docPartUnique/>
      </w:docPartObj>
    </w:sdtPr>
    <w:sdtEndPr>
      <w:rPr>
        <w:noProof/>
      </w:rPr>
    </w:sdtEndPr>
    <w:sdtContent>
      <w:p w:rsidR="001314D2">
        <w:pPr>
          <w:pStyle w:val="Header"/>
          <w:jc w:val="center"/>
        </w:pPr>
        <w:r>
          <w:fldChar w:fldCharType="begin"/>
        </w:r>
        <w:r>
          <w:instrText xml:space="preserve"> PAGE   \* MERGEFORMAT </w:instrText>
        </w:r>
        <w:r>
          <w:fldChar w:fldCharType="separate"/>
        </w:r>
        <w:r w:rsidR="007568DC">
          <w:rPr>
            <w:noProof/>
          </w:rPr>
          <w:t>6</w:t>
        </w:r>
        <w:r>
          <w:rPr>
            <w:noProof/>
          </w:rPr>
          <w:fldChar w:fldCharType="end"/>
        </w:r>
      </w:p>
    </w:sdtContent>
  </w:sdt>
  <w:p w:rsidR="001314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B1765DC"/>
    <w:multiLevelType w:val="hybridMultilevel"/>
    <w:tmpl w:val="C7AA633C"/>
    <w:lvl w:ilvl="0">
      <w:start w:val="6"/>
      <w:numFmt w:val="bullet"/>
      <w:lvlText w:val="-"/>
      <w:lvlJc w:val="left"/>
      <w:pPr>
        <w:ind w:left="720" w:hanging="360"/>
      </w:pPr>
      <w:rPr>
        <w:rFonts w:ascii="CG Times (W1)" w:eastAsia="Times New Roman" w:hAnsi="CG Times (W1)"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29CB113A"/>
    <w:multiLevelType w:val="hybridMultilevel"/>
    <w:tmpl w:val="04045AA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0"/>
    <w:footnote w:id="1"/>
    <w:footnote w:id="2"/>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lv-LV"/>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D68"/>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3D68"/>
    <w:rPr>
      <w:color w:val="808080"/>
    </w:rPr>
  </w:style>
  <w:style w:type="paragraph" w:styleId="BalloonText">
    <w:name w:val="Balloon Text"/>
    <w:basedOn w:val="Normal"/>
    <w:link w:val="BalloonTextChar"/>
    <w:uiPriority w:val="99"/>
    <w:semiHidden/>
    <w:unhideWhenUsed/>
    <w:rsid w:val="00813D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3D68"/>
    <w:rPr>
      <w:rFonts w:ascii="Tahoma" w:hAnsi="Tahoma" w:cs="Tahoma"/>
      <w:sz w:val="16"/>
      <w:szCs w:val="16"/>
    </w:rPr>
  </w:style>
  <w:style w:type="paragraph" w:customStyle="1" w:styleId="naiskr">
    <w:name w:val="naiskr"/>
    <w:basedOn w:val="Normal"/>
    <w:rsid w:val="00813D68"/>
    <w:pPr>
      <w:spacing w:before="75" w:after="75"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813D68"/>
    <w:pPr>
      <w:ind w:left="720"/>
      <w:contextualSpacing/>
    </w:pPr>
  </w:style>
  <w:style w:type="character" w:styleId="Hyperlink">
    <w:name w:val="Hyperlink"/>
    <w:basedOn w:val="DefaultParagraphFont"/>
    <w:uiPriority w:val="99"/>
    <w:unhideWhenUsed/>
    <w:rsid w:val="00813D68"/>
    <w:rPr>
      <w:color w:val="0000FF" w:themeColor="hyperlink"/>
      <w:u w:val="single"/>
    </w:rPr>
  </w:style>
  <w:style w:type="paragraph" w:customStyle="1" w:styleId="naisnod">
    <w:name w:val="naisnod"/>
    <w:basedOn w:val="Normal"/>
    <w:rsid w:val="00E83D60"/>
    <w:pPr>
      <w:spacing w:before="150" w:after="150" w:line="240" w:lineRule="auto"/>
      <w:jc w:val="center"/>
    </w:pPr>
    <w:rPr>
      <w:rFonts w:ascii="Times New Roman" w:eastAsia="Times New Roman" w:hAnsi="Times New Roman" w:cs="Times New Roman"/>
      <w:b/>
      <w:bCs/>
      <w:sz w:val="24"/>
      <w:szCs w:val="24"/>
      <w:lang w:eastAsia="lv-LV"/>
    </w:rPr>
  </w:style>
  <w:style w:type="paragraph" w:customStyle="1" w:styleId="tv2161">
    <w:name w:val="tv2161"/>
    <w:basedOn w:val="Normal"/>
    <w:rsid w:val="00E83D60"/>
    <w:pPr>
      <w:spacing w:before="240" w:after="0" w:line="360" w:lineRule="auto"/>
      <w:ind w:firstLine="259"/>
      <w:jc w:val="right"/>
    </w:pPr>
    <w:rPr>
      <w:rFonts w:ascii="Verdana" w:eastAsia="Times New Roman" w:hAnsi="Verdana" w:cs="Times New Roman"/>
      <w:sz w:val="16"/>
      <w:szCs w:val="16"/>
    </w:rPr>
  </w:style>
  <w:style w:type="paragraph" w:styleId="Header">
    <w:name w:val="header"/>
    <w:basedOn w:val="Normal"/>
    <w:link w:val="HeaderChar"/>
    <w:uiPriority w:val="99"/>
    <w:unhideWhenUsed/>
    <w:rsid w:val="00E83D60"/>
    <w:pPr>
      <w:tabs>
        <w:tab w:val="center" w:pos="4153"/>
        <w:tab w:val="right" w:pos="8306"/>
      </w:tabs>
      <w:spacing w:after="0" w:line="240" w:lineRule="auto"/>
    </w:pPr>
  </w:style>
  <w:style w:type="character" w:customStyle="1" w:styleId="HeaderChar">
    <w:name w:val="Header Char"/>
    <w:basedOn w:val="DefaultParagraphFont"/>
    <w:link w:val="Header"/>
    <w:uiPriority w:val="99"/>
    <w:rsid w:val="00E83D60"/>
  </w:style>
  <w:style w:type="paragraph" w:styleId="Footer">
    <w:name w:val="footer"/>
    <w:basedOn w:val="Normal"/>
    <w:link w:val="FooterChar"/>
    <w:uiPriority w:val="99"/>
    <w:unhideWhenUsed/>
    <w:rsid w:val="00E83D60"/>
    <w:pPr>
      <w:tabs>
        <w:tab w:val="center" w:pos="4153"/>
        <w:tab w:val="right" w:pos="8306"/>
      </w:tabs>
      <w:spacing w:after="0" w:line="240" w:lineRule="auto"/>
    </w:pPr>
  </w:style>
  <w:style w:type="character" w:customStyle="1" w:styleId="FooterChar">
    <w:name w:val="Footer Char"/>
    <w:basedOn w:val="DefaultParagraphFont"/>
    <w:link w:val="Footer"/>
    <w:uiPriority w:val="99"/>
    <w:rsid w:val="00E83D60"/>
  </w:style>
  <w:style w:type="character" w:styleId="CommentReference">
    <w:name w:val="annotation reference"/>
    <w:basedOn w:val="DefaultParagraphFont"/>
    <w:uiPriority w:val="99"/>
    <w:semiHidden/>
    <w:unhideWhenUsed/>
    <w:rsid w:val="00B56D56"/>
    <w:rPr>
      <w:sz w:val="16"/>
      <w:szCs w:val="16"/>
    </w:rPr>
  </w:style>
  <w:style w:type="paragraph" w:styleId="CommentText">
    <w:name w:val="annotation text"/>
    <w:basedOn w:val="Normal"/>
    <w:link w:val="CommentTextChar"/>
    <w:uiPriority w:val="99"/>
    <w:semiHidden/>
    <w:unhideWhenUsed/>
    <w:rsid w:val="00B56D56"/>
    <w:pPr>
      <w:spacing w:line="240" w:lineRule="auto"/>
    </w:pPr>
    <w:rPr>
      <w:sz w:val="20"/>
      <w:szCs w:val="20"/>
    </w:rPr>
  </w:style>
  <w:style w:type="character" w:customStyle="1" w:styleId="CommentTextChar">
    <w:name w:val="Comment Text Char"/>
    <w:basedOn w:val="DefaultParagraphFont"/>
    <w:link w:val="CommentText"/>
    <w:uiPriority w:val="99"/>
    <w:semiHidden/>
    <w:rsid w:val="00B56D56"/>
    <w:rPr>
      <w:sz w:val="20"/>
      <w:szCs w:val="20"/>
    </w:rPr>
  </w:style>
  <w:style w:type="paragraph" w:styleId="CommentSubject">
    <w:name w:val="annotation subject"/>
    <w:basedOn w:val="CommentText"/>
    <w:next w:val="CommentText"/>
    <w:link w:val="CommentSubjectChar"/>
    <w:uiPriority w:val="99"/>
    <w:semiHidden/>
    <w:unhideWhenUsed/>
    <w:rsid w:val="00B56D56"/>
    <w:rPr>
      <w:b/>
      <w:bCs/>
    </w:rPr>
  </w:style>
  <w:style w:type="character" w:customStyle="1" w:styleId="CommentSubjectChar">
    <w:name w:val="Comment Subject Char"/>
    <w:basedOn w:val="CommentTextChar"/>
    <w:link w:val="CommentSubject"/>
    <w:uiPriority w:val="99"/>
    <w:semiHidden/>
    <w:rsid w:val="00B56D56"/>
    <w:rPr>
      <w:b/>
      <w:bCs/>
      <w:sz w:val="20"/>
      <w:szCs w:val="20"/>
    </w:rPr>
  </w:style>
  <w:style w:type="paragraph" w:customStyle="1" w:styleId="naisf">
    <w:name w:val="naisf"/>
    <w:basedOn w:val="Normal"/>
    <w:rsid w:val="003E6E7B"/>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NormalWeb">
    <w:name w:val="Normal (Web)"/>
    <w:basedOn w:val="Normal"/>
    <w:rsid w:val="007A782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FollowedHyperlink">
    <w:name w:val="FollowedHyperlink"/>
    <w:basedOn w:val="DefaultParagraphFont"/>
    <w:uiPriority w:val="99"/>
    <w:semiHidden/>
    <w:unhideWhenUsed/>
    <w:rsid w:val="00091E2D"/>
    <w:rPr>
      <w:color w:val="800080" w:themeColor="followedHyperlink"/>
      <w:u w:val="single"/>
    </w:rPr>
  </w:style>
  <w:style w:type="paragraph" w:styleId="Revision">
    <w:name w:val="Revision"/>
    <w:hidden/>
    <w:uiPriority w:val="99"/>
    <w:semiHidden/>
    <w:rsid w:val="00091E2D"/>
    <w:pPr>
      <w:spacing w:after="0" w:line="240" w:lineRule="auto"/>
    </w:pPr>
  </w:style>
  <w:style w:type="character" w:styleId="Strong">
    <w:name w:val="Strong"/>
    <w:basedOn w:val="DefaultParagraphFont"/>
    <w:uiPriority w:val="22"/>
    <w:qFormat/>
    <w:rsid w:val="00091E2D"/>
    <w:rPr>
      <w:b/>
      <w:bCs/>
    </w:rPr>
  </w:style>
  <w:style w:type="paragraph" w:customStyle="1" w:styleId="tv213">
    <w:name w:val="tv213"/>
    <w:basedOn w:val="Normal"/>
    <w:rsid w:val="001C39E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1C39E0"/>
  </w:style>
  <w:style w:type="character" w:styleId="Emphasis">
    <w:name w:val="Emphasis"/>
    <w:basedOn w:val="DefaultParagraphFont"/>
    <w:uiPriority w:val="20"/>
    <w:qFormat/>
    <w:rsid w:val="00B270DC"/>
    <w:rPr>
      <w:i/>
      <w:iCs/>
    </w:rPr>
  </w:style>
  <w:style w:type="paragraph" w:styleId="FootnoteText">
    <w:name w:val="footnote text"/>
    <w:basedOn w:val="Normal"/>
    <w:link w:val="FootnoteTextChar"/>
    <w:uiPriority w:val="99"/>
    <w:semiHidden/>
    <w:unhideWhenUsed/>
    <w:rsid w:val="00D02A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02AA4"/>
    <w:rPr>
      <w:sz w:val="20"/>
      <w:szCs w:val="20"/>
    </w:rPr>
  </w:style>
  <w:style w:type="character" w:styleId="FootnoteReference">
    <w:name w:val="footnote reference"/>
    <w:basedOn w:val="DefaultParagraphFont"/>
    <w:uiPriority w:val="99"/>
    <w:semiHidden/>
    <w:unhideWhenUsed/>
    <w:rsid w:val="00D02A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EC2C0-5716-442D-92F8-B21E829EF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1828</Words>
  <Characters>10420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Ministru kabineta noteikumu projekta „Noteikumi par sadzīves atkritumu poligonu pētniecības un attīstības darbību, kas vērsta uz apglabājamā atkritumu apjoma samazināšanu”</vt:lpstr>
    </vt:vector>
  </TitlesOfParts>
  <Company>VARAM</Company>
  <LinksUpToDate>false</LinksUpToDate>
  <CharactersWithSpaces>12224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sadzīves atkritumu poligonu pētniecības un attīstības darbību, kas vērsta uz apglabājamā atkritumu apjoma samazināšanu”</dc:title>
  <dc:subject>Noteikumu projekta anotācija</dc:subject>
  <dc:creator>Natālija Cudečka-Puriņa</dc:creator>
  <dc:description>67026461, natalija.cudecka-purina@varam.gov.lv</dc:description>
  <cp:lastModifiedBy>Natālija Cudečka-Puriņa</cp:lastModifiedBy>
  <cp:revision>6</cp:revision>
  <dcterms:created xsi:type="dcterms:W3CDTF">2017-03-01T14:22:00Z</dcterms:created>
  <dcterms:modified xsi:type="dcterms:W3CDTF">2017-04-05T07:16:00Z</dcterms:modified>
</cp:coreProperties>
</file>