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C90DB4" w:rsidP="00C90DB4" w14:paraId="151BE3A1" w14:textId="77777777">
      <w:pPr>
        <w:jc w:val="center"/>
        <w:rPr>
          <w:b/>
          <w:szCs w:val="28"/>
        </w:rPr>
      </w:pPr>
      <w:r w:rsidRPr="000872F6">
        <w:rPr>
          <w:b/>
          <w:szCs w:val="28"/>
        </w:rPr>
        <w:t xml:space="preserve">Ministru kabineta noteikumu projekta </w:t>
      </w:r>
    </w:p>
    <w:p w:rsidR="00C02EDD" w:rsidRPr="00C90DB4" w:rsidP="00C90DB4" w14:paraId="285ADA64" w14:textId="69F8529B">
      <w:pPr>
        <w:jc w:val="center"/>
      </w:pPr>
      <w:r w:rsidRPr="00086ACB">
        <w:rPr>
          <w:b/>
        </w:rPr>
        <w:t>“</w:t>
      </w:r>
      <w:r w:rsidRPr="00C90DB4" w:rsidR="00C90DB4">
        <w:rPr>
          <w:b/>
        </w:rPr>
        <w:t>Kritēriji un kārtība, kādā novērtē atkritumu dalītās savākšanas pakalpojuma pieejamību iedzīvotājiem</w:t>
      </w:r>
      <w:r w:rsidR="00650F6A">
        <w:rPr>
          <w:szCs w:val="28"/>
        </w:rPr>
        <w:t>”</w:t>
      </w:r>
      <w:r w:rsidRPr="000872F6">
        <w:rPr>
          <w:szCs w:val="28"/>
        </w:rPr>
        <w:t xml:space="preserve"> </w:t>
      </w:r>
      <w:r w:rsidRPr="000872F6">
        <w:rPr>
          <w:b/>
          <w:szCs w:val="28"/>
        </w:rPr>
        <w:t xml:space="preserve">sākotnējās ietekmes novērtējuma </w:t>
      </w:r>
      <w:smartTag w:uri="schemas-tilde-lv/tildestengine" w:element="veidnes">
        <w:smartTagPr>
          <w:attr w:name="baseform" w:val="ziņojums"/>
          <w:attr w:name="id" w:val="-1"/>
          <w:attr w:name="text" w:val="ziņojums"/>
        </w:smartTagPr>
        <w:r w:rsidRPr="000872F6">
          <w:rPr>
            <w:b/>
            <w:szCs w:val="28"/>
          </w:rPr>
          <w:t>ziņojums</w:t>
        </w:r>
      </w:smartTag>
      <w:r w:rsidRPr="000872F6">
        <w:rPr>
          <w:b/>
          <w:szCs w:val="28"/>
        </w:rPr>
        <w:t xml:space="preserve"> (anotācija)</w:t>
      </w:r>
    </w:p>
    <w:p w:rsidR="00C02EDD" w:rsidRPr="00FB41DC" w:rsidP="00C02EDD" w14:paraId="4078FE5A" w14:textId="77777777">
      <w:pPr>
        <w:rPr>
          <w:b/>
        </w:rPr>
      </w:pPr>
    </w:p>
    <w:tbl>
      <w:tblPr>
        <w:tblW w:w="572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5"/>
        <w:gridCol w:w="6519"/>
      </w:tblGrid>
      <w:tr w14:paraId="50F085F5" w14:textId="77777777" w:rsidTr="00014E1D">
        <w:tblPrEx>
          <w:tblW w:w="572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000" w:type="pct"/>
            <w:gridSpan w:val="3"/>
          </w:tcPr>
          <w:p w:rsidR="00C02EDD" w:rsidRPr="00FB41DC" w:rsidP="008B2F2E" w14:paraId="7CC29C3B" w14:textId="77777777">
            <w:pPr>
              <w:jc w:val="center"/>
              <w:rPr>
                <w:b/>
              </w:rPr>
            </w:pPr>
            <w:r w:rsidRPr="00FB41DC">
              <w:rPr>
                <w:b/>
              </w:rPr>
              <w:t>I. Tiesību akta projekta izstrādes nepieciešamība</w:t>
            </w:r>
          </w:p>
        </w:tc>
      </w:tr>
      <w:tr w14:paraId="5B99109D" w14:textId="77777777" w:rsidTr="007A287B">
        <w:tblPrEx>
          <w:tblW w:w="5724" w:type="pct"/>
          <w:tblInd w:w="-572" w:type="dxa"/>
          <w:tblLayout w:type="fixed"/>
          <w:tblLook w:val="01E0"/>
        </w:tblPrEx>
        <w:tc>
          <w:tcPr>
            <w:tcW w:w="523" w:type="pct"/>
          </w:tcPr>
          <w:p w:rsidR="00C02EDD" w:rsidRPr="0062273E" w:rsidP="008B2F2E" w14:paraId="364FF207" w14:textId="77777777">
            <w:pPr>
              <w:jc w:val="center"/>
            </w:pPr>
            <w:r w:rsidRPr="0062273E">
              <w:t>1.</w:t>
            </w:r>
          </w:p>
        </w:tc>
        <w:tc>
          <w:tcPr>
            <w:tcW w:w="1045" w:type="pct"/>
          </w:tcPr>
          <w:p w:rsidR="00C02EDD" w:rsidRPr="00476C7F" w:rsidP="008B2F2E" w14:paraId="3404D135" w14:textId="77777777">
            <w:r w:rsidRPr="00476C7F">
              <w:t>Pamatojums</w:t>
            </w:r>
          </w:p>
        </w:tc>
        <w:tc>
          <w:tcPr>
            <w:tcW w:w="3433" w:type="pct"/>
          </w:tcPr>
          <w:p w:rsidR="00C02EDD" w:rsidRPr="00476C7F" w:rsidP="00086ACB" w14:paraId="37DAAFDA" w14:textId="44819D1E">
            <w:r w:rsidRPr="00476C7F">
              <w:t>Atkritumu apsaimniekošanas likuma</w:t>
            </w:r>
            <w:r w:rsidR="00BD181E">
              <w:t xml:space="preserve"> (turpmāk – likums)</w:t>
            </w:r>
            <w:r w:rsidRPr="00476C7F" w:rsidR="00086ACB">
              <w:t xml:space="preserve"> 20.panta vienpadsmitā daļa</w:t>
            </w:r>
            <w:r w:rsidRPr="00476C7F">
              <w:t xml:space="preserve">. </w:t>
            </w:r>
          </w:p>
        </w:tc>
      </w:tr>
      <w:tr w14:paraId="374FF19A" w14:textId="77777777" w:rsidTr="007A287B">
        <w:tblPrEx>
          <w:tblW w:w="5724" w:type="pct"/>
          <w:tblInd w:w="-572" w:type="dxa"/>
          <w:tblLayout w:type="fixed"/>
          <w:tblLook w:val="01E0"/>
        </w:tblPrEx>
        <w:tc>
          <w:tcPr>
            <w:tcW w:w="523" w:type="pct"/>
          </w:tcPr>
          <w:p w:rsidR="00C02EDD" w:rsidRPr="00FB41DC" w:rsidP="008B2F2E" w14:paraId="1A1F4FBF" w14:textId="77777777">
            <w:pPr>
              <w:jc w:val="center"/>
            </w:pPr>
            <w:r w:rsidRPr="00FB41DC">
              <w:t>2.</w:t>
            </w:r>
          </w:p>
        </w:tc>
        <w:tc>
          <w:tcPr>
            <w:tcW w:w="1045" w:type="pct"/>
          </w:tcPr>
          <w:p w:rsidR="00C02EDD" w:rsidRPr="00476C7F" w:rsidP="008B2F2E" w14:paraId="3E431DC4" w14:textId="77777777">
            <w:r w:rsidRPr="00476C7F">
              <w:t>Pašreizējā situācija un problēmas, kuru risināšanai tiesību aktu projekts izstrādāts, tiesiskā regulējuma mērķis un būtība</w:t>
            </w:r>
          </w:p>
        </w:tc>
        <w:tc>
          <w:tcPr>
            <w:tcW w:w="3433" w:type="pct"/>
          </w:tcPr>
          <w:p w:rsidR="00086ACB" w:rsidP="00261E06" w14:paraId="0B9F0C4C" w14:textId="77777777">
            <w:pPr>
              <w:pStyle w:val="naiskr"/>
              <w:spacing w:before="20" w:after="20"/>
              <w:jc w:val="both"/>
            </w:pPr>
            <w:r w:rsidRPr="00476C7F">
              <w:t>Atkritumu apsaimniekošanas likuma 20.panta vienpadsmitā daļa paredz, ka Ministru kabinets nosaka kritērijus un kārtību, kādā novērtē atkritumu dalītās savākšanas pakalpojuma pieejamību iedzīvotājiem.</w:t>
            </w:r>
          </w:p>
          <w:p w:rsidR="003330C5" w:rsidRPr="00476C7F" w:rsidP="00AD0262" w14:paraId="30F07AF1" w14:textId="2BA601E6">
            <w:pPr>
              <w:pStyle w:val="tv213"/>
              <w:jc w:val="both"/>
            </w:pPr>
            <w:r>
              <w:t>Saskaņā ar</w:t>
            </w:r>
            <w:r>
              <w:t xml:space="preserve"> Atkritumu apsaimniekošanas likuma </w:t>
            </w:r>
            <w:r>
              <w:t xml:space="preserve">20.panta </w:t>
            </w:r>
            <w:r w:rsidR="00AF0CCE">
              <w:t xml:space="preserve">ceturto </w:t>
            </w:r>
            <w:r>
              <w:t xml:space="preserve">daļu atbilstoši atkritumu apsaimniekošanas valsts plānam un atkritumu apsaimniekošanas reģionālajiem plāniem, kā arī vides aizsardzības prasībām pašvaldības sadarbībā ar  </w:t>
            </w:r>
            <w:r w:rsidR="00442800">
              <w:t xml:space="preserve">Atkritumu apsaimniekošanas </w:t>
            </w:r>
            <w:r>
              <w:t xml:space="preserve">likuma </w:t>
            </w:r>
            <w:r w:rsidRPr="00BE4F0A" w:rsidR="00442800">
              <w:t>18.panta</w:t>
            </w:r>
            <w:r>
              <w:t xml:space="preserve"> pirmajā daļā minētajiem atkritumu apsaimniekotājiem organizē sadzīves atkritumu, tai skaitā papīra, metāla, plastmasas un stikla atkritumu, atsevišķu savākšanu pašvaldību administratīvajās teritorijās atbilstoši Ministru kabineta noteiktajām kategorijām un termiņam. Ministru kabineta 2013.gada 2.aprīļa noteikumos Nr.184 “Noteikumi par atkritumu dalītu savākšanu, sagatavošanu atkārtotai izmantošanai, pārstrādi un materiālu reģenerāciju” </w:t>
            </w:r>
            <w:r w:rsidR="00EB5663">
              <w:t xml:space="preserve">(turpmāk – MK noteikumi Nr.184) </w:t>
            </w:r>
            <w:r>
              <w:t>2.punktā ir noteikts, ka  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papīru, met</w:t>
            </w:r>
            <w:r w:rsidR="006202CD">
              <w:t>ālu, plastmasu un sti</w:t>
            </w:r>
            <w:r>
              <w:t xml:space="preserve">klu saturošu atkritumu dalītai savākšanai. </w:t>
            </w:r>
            <w:r w:rsidR="00AD0262">
              <w:t>Tomēr pašreiz spēkā esošajos normatīvajos aktos nav noteikti kritēriji, lai novērtētu, vai pašvaldību sadarbībā ar atkritumu apsaimniekotājiem, kas izraudzīti saskaņā ar normatīvajiem aktiem par atkritumu apsaimniekošanu, izveidotās dalītās savākšanas sistēmas ir izveidotas tādā veidā, kas nodrošina dalītās atkritumu savākšanas pakalpojuma pieejamību iedzīvotājiem visās pašvaldībās. Atkritumu dalītās savākšanas pakalpojuma iedzīvotājiem pieejamība ir b</w:t>
            </w:r>
            <w:r w:rsidR="00014E1D">
              <w:t xml:space="preserve">ūtiska arī saistībā ar pašvaldību organizētajiem publiskajiem iepirkumiem par sadzīves atkritumu apsaimniekošanu atbilstoši Atkritumu apsaimniekošanas likuma 18.pantam. </w:t>
            </w:r>
            <w:r w:rsidR="00AD0262">
              <w:t xml:space="preserve"> </w:t>
            </w:r>
          </w:p>
          <w:p w:rsidR="00086ACB" w:rsidRPr="00476C7F" w:rsidP="00086ACB" w14:paraId="7E060955" w14:textId="77777777">
            <w:pPr>
              <w:pStyle w:val="naiskr"/>
              <w:spacing w:before="20" w:after="20"/>
              <w:jc w:val="both"/>
            </w:pPr>
            <w:r w:rsidRPr="00F24B27">
              <w:rPr>
                <w:bCs/>
              </w:rPr>
              <w:t>2015.gadā darbojās:</w:t>
            </w:r>
          </w:p>
          <w:p w:rsidR="00986393" w:rsidRPr="00476C7F" w:rsidP="00F24B27" w14:paraId="48A0EE13" w14:textId="5C452DC7">
            <w:pPr>
              <w:pStyle w:val="naiskr"/>
              <w:numPr>
                <w:ilvl w:val="0"/>
                <w:numId w:val="8"/>
              </w:numPr>
              <w:spacing w:before="20" w:after="20"/>
              <w:jc w:val="both"/>
            </w:pPr>
            <w:r w:rsidRPr="00476C7F">
              <w:t xml:space="preserve">3071 sadzīves atkritumu </w:t>
            </w:r>
            <w:r w:rsidRPr="00F24B27">
              <w:t>dalītās savākšanas punkts</w:t>
            </w:r>
            <w:r w:rsidRPr="00F24B27" w:rsidR="00370BA3">
              <w:t>;</w:t>
            </w:r>
          </w:p>
          <w:p w:rsidR="00986393" w:rsidRPr="00476C7F" w:rsidP="00F24B27" w14:paraId="60DA33D4" w14:textId="64FA0CC6">
            <w:pPr>
              <w:pStyle w:val="naiskr"/>
              <w:numPr>
                <w:ilvl w:val="0"/>
                <w:numId w:val="8"/>
              </w:numPr>
              <w:spacing w:before="20" w:after="20"/>
              <w:jc w:val="both"/>
            </w:pPr>
            <w:r w:rsidRPr="00476C7F">
              <w:t xml:space="preserve">65 šķiroto atkritumu savākšanas </w:t>
            </w:r>
            <w:r w:rsidRPr="00F24B27">
              <w:t>laukumi</w:t>
            </w:r>
            <w:r w:rsidRPr="00F24B27" w:rsidR="00370BA3">
              <w:t>;</w:t>
            </w:r>
          </w:p>
          <w:p w:rsidR="00986393" w:rsidRPr="00476C7F" w:rsidP="00F24B27" w14:paraId="2E033F8E" w14:textId="67C8EDD4">
            <w:pPr>
              <w:pStyle w:val="naiskr"/>
              <w:numPr>
                <w:ilvl w:val="0"/>
                <w:numId w:val="8"/>
              </w:numPr>
              <w:spacing w:before="20" w:after="20"/>
              <w:jc w:val="both"/>
            </w:pPr>
            <w:r w:rsidRPr="00476C7F">
              <w:t xml:space="preserve">50 pašvaldībās tiek nodrošināta dalīto atkritumu savākšana, izmantojot </w:t>
            </w:r>
            <w:r w:rsidRPr="00F24B27">
              <w:t>savākšanas maršrutus</w:t>
            </w:r>
            <w:r w:rsidRPr="00F24B27" w:rsidR="00370BA3">
              <w:t>.</w:t>
            </w:r>
          </w:p>
          <w:p w:rsidR="00086ACB" w:rsidRPr="00476C7F" w:rsidP="00F24B27" w14:paraId="4DAA07DF" w14:textId="77777777">
            <w:pPr>
              <w:pStyle w:val="naiskr"/>
              <w:spacing w:before="20" w:after="20"/>
              <w:jc w:val="both"/>
            </w:pPr>
            <w:r w:rsidRPr="00476C7F">
              <w:t>Latvijā tiek ekspluatētas 23 manuālās atkritumu</w:t>
            </w:r>
            <w:r w:rsidRPr="00F24B27">
              <w:rPr>
                <w:bCs/>
              </w:rPr>
              <w:t xml:space="preserve"> šķirošanas iekārtas </w:t>
            </w:r>
            <w:r w:rsidRPr="00476C7F">
              <w:t xml:space="preserve">ar kopējo aprēķināto apstrādes jaudu ~ 200 tūkstoši tonnas gadā, kā arī 15 </w:t>
            </w:r>
            <w:r w:rsidRPr="00F24B27">
              <w:rPr>
                <w:bCs/>
              </w:rPr>
              <w:t xml:space="preserve">mehāniskās šķirošanas iekārtas </w:t>
            </w:r>
            <w:r w:rsidRPr="00476C7F">
              <w:t>ar kopējo aprēķināto apstrādes jaudu ~ 450 tūkstoši tonnas gadā.</w:t>
            </w:r>
          </w:p>
          <w:p w:rsidR="00986393" w:rsidRPr="00476C7F" w:rsidP="00F24B27" w14:paraId="65D99342" w14:textId="6C7255F0">
            <w:pPr>
              <w:pStyle w:val="naiskr"/>
              <w:spacing w:before="20" w:after="20"/>
              <w:jc w:val="both"/>
            </w:pPr>
            <w:r w:rsidRPr="00F24B27">
              <w:rPr>
                <w:bCs/>
              </w:rPr>
              <w:t xml:space="preserve">Atkritumu dalītās vākšanas infrastruktūras </w:t>
            </w:r>
            <w:r w:rsidRPr="00476C7F">
              <w:t xml:space="preserve">blīvums ir </w:t>
            </w:r>
            <w:r w:rsidRPr="00F24B27">
              <w:t xml:space="preserve">pietiekams vai tuvu pietiekamam </w:t>
            </w:r>
            <w:r w:rsidRPr="00F24B27">
              <w:rPr>
                <w:bCs/>
              </w:rPr>
              <w:t xml:space="preserve">68 pašvaldībās </w:t>
            </w:r>
            <w:r w:rsidRPr="00476C7F">
              <w:t>jeb 760 tūkstošiem (37,9%) iedzīvotāju</w:t>
            </w:r>
            <w:r w:rsidRPr="00476C7F" w:rsidR="00086ACB">
              <w:t>. D</w:t>
            </w:r>
            <w:r w:rsidRPr="00476C7F">
              <w:t xml:space="preserve">alītās vākšanas pakalpojumu, kā </w:t>
            </w:r>
            <w:r w:rsidRPr="00F24B27">
              <w:t xml:space="preserve">apmierinošu </w:t>
            </w:r>
            <w:r w:rsidRPr="00476C7F">
              <w:t>var novērtēt</w:t>
            </w:r>
            <w:r w:rsidRPr="00F24B27">
              <w:rPr>
                <w:bCs/>
              </w:rPr>
              <w:t xml:space="preserve"> 31 pašvaldībās </w:t>
            </w:r>
            <w:r w:rsidRPr="00476C7F">
              <w:t>ar 996 tūkstošiem (49</w:t>
            </w:r>
            <w:r w:rsidRPr="00476C7F" w:rsidR="00613EA4">
              <w:t>,</w:t>
            </w:r>
            <w:r w:rsidRPr="00476C7F">
              <w:t>8%) iedzīvotājiem</w:t>
            </w:r>
            <w:r w:rsidRPr="00476C7F" w:rsidR="00086ACB">
              <w:t xml:space="preserve">. </w:t>
            </w:r>
            <w:r w:rsidRPr="00F24B27">
              <w:rPr>
                <w:bCs/>
              </w:rPr>
              <w:t xml:space="preserve">7 pašvaldībās </w:t>
            </w:r>
            <w:r w:rsidRPr="00476C7F">
              <w:t>ar 175</w:t>
            </w:r>
            <w:r w:rsidRPr="00476C7F" w:rsidR="00613EA4">
              <w:t>,</w:t>
            </w:r>
            <w:r w:rsidRPr="00476C7F">
              <w:t>2 tūkstošiem (8</w:t>
            </w:r>
            <w:r w:rsidRPr="00476C7F" w:rsidR="00613EA4">
              <w:t>,</w:t>
            </w:r>
            <w:r w:rsidRPr="00476C7F">
              <w:t xml:space="preserve">7%) iedzīvotāju atkritumu dalītā vākšana ir </w:t>
            </w:r>
            <w:r w:rsidRPr="00F24B27">
              <w:t xml:space="preserve">pieejama tikai </w:t>
            </w:r>
            <w:r w:rsidRPr="00476C7F">
              <w:t>šķiroto atkritumu savākšanas laukumos vai atsevišķos dalītās savākšanas punktos</w:t>
            </w:r>
            <w:r w:rsidRPr="00476C7F" w:rsidR="00086ACB">
              <w:t xml:space="preserve">. </w:t>
            </w:r>
            <w:r w:rsidRPr="00F24B27" w:rsidR="00086ACB">
              <w:t>B</w:t>
            </w:r>
            <w:r w:rsidRPr="00F24B27">
              <w:t>ez iespējām</w:t>
            </w:r>
            <w:r w:rsidRPr="00476C7F">
              <w:t xml:space="preserve"> piedalīties atkritumu dalītajā vākšanā ir </w:t>
            </w:r>
            <w:r w:rsidRPr="00F24B27">
              <w:rPr>
                <w:bCs/>
              </w:rPr>
              <w:t xml:space="preserve">13 pašvaldību </w:t>
            </w:r>
            <w:r w:rsidRPr="00476C7F">
              <w:t>iedzīvotāji (3</w:t>
            </w:r>
            <w:r w:rsidRPr="00476C7F" w:rsidR="00613EA4">
              <w:t>,</w:t>
            </w:r>
            <w:r w:rsidRPr="00476C7F">
              <w:t>4%, jeb 69 tūkstoši)</w:t>
            </w:r>
            <w:r w:rsidRPr="00476C7F" w:rsidR="00370BA3">
              <w:t>.</w:t>
            </w:r>
          </w:p>
          <w:p w:rsidR="00086ACB" w:rsidRPr="00476C7F" w:rsidP="00261E06" w14:paraId="639921F6" w14:textId="77777777">
            <w:pPr>
              <w:pStyle w:val="naiskr"/>
              <w:spacing w:before="20" w:after="20"/>
              <w:jc w:val="both"/>
            </w:pPr>
          </w:p>
          <w:p w:rsidR="00F24B27" w:rsidP="00261E06" w14:paraId="461F2840" w14:textId="77777777">
            <w:pPr>
              <w:pStyle w:val="naiskr"/>
              <w:spacing w:before="20" w:after="20"/>
              <w:jc w:val="both"/>
            </w:pPr>
            <w:r>
              <w:t>Ministru kabineta n</w:t>
            </w:r>
            <w:r w:rsidRPr="00476C7F" w:rsidR="00086ACB">
              <w:t xml:space="preserve">oteikumu projekts </w:t>
            </w:r>
            <w:r w:rsidRPr="00F44FDA">
              <w:t>“</w:t>
            </w:r>
            <w:r w:rsidRPr="00F24B27">
              <w:t>Noteikumi par kritērijiem un kārtību, kādā novērtē atkritumu dalītās savākšanas pakalpojuma pieejamību iedzīvotājiem”</w:t>
            </w:r>
            <w:r>
              <w:t xml:space="preserve"> (turpmāk – noteikumu projekts)</w:t>
            </w:r>
            <w:r w:rsidRPr="00F44FDA">
              <w:t xml:space="preserve"> </w:t>
            </w:r>
            <w:r w:rsidRPr="00476C7F" w:rsidR="00086ACB">
              <w:t>ir sagatavots, pamatojoties uz pētījumu “</w:t>
            </w:r>
            <w:r w:rsidRPr="00F24B27" w:rsidR="00086ACB">
              <w:rPr>
                <w:bCs/>
              </w:rPr>
              <w:t>Kritēriju izstrāde dalītas atkritumu savākšanas pakalpojuma pieejamības iedzīvotājiem novērtēšanai”</w:t>
            </w:r>
            <w:r w:rsidRPr="00476C7F" w:rsidR="00370BA3">
              <w:t xml:space="preserve"> </w:t>
            </w:r>
          </w:p>
          <w:p w:rsidR="004767AC" w:rsidRPr="00476C7F" w:rsidP="00261E06" w14:paraId="093181CA" w14:textId="02EF2E7D">
            <w:pPr>
              <w:pStyle w:val="naiskr"/>
              <w:spacing w:before="20" w:after="20"/>
              <w:jc w:val="both"/>
            </w:pPr>
            <w:r>
              <w:t xml:space="preserve">(pieejams: </w:t>
            </w:r>
            <w:r>
              <w:fldChar w:fldCharType="begin"/>
            </w:r>
            <w:r>
              <w:instrText xml:space="preserve"> HYPERLINK "http://www.varam.gov.lv/in_site/tools/download.php?file=files/text/publikacijas/petijumi/vide/Atkritumi//Lig_Nr%2061_no12062013_DV_kriteriji_GeoConsultants.pdf" </w:instrText>
            </w:r>
            <w:r>
              <w:fldChar w:fldCharType="separate"/>
            </w:r>
            <w:r w:rsidRPr="00DE2AC5" w:rsidR="00442800">
              <w:rPr>
                <w:rStyle w:val="Hyperlink"/>
              </w:rPr>
              <w:t>http://www.varam.gov.lv/in_site/tools/download.php?file=files/text/publikacijas/petijumi/vide/Atkritumi//Lig_Nr%2061_no12062013_DV_kriteriji_GeoConsultants.pdf</w:t>
            </w:r>
            <w:r>
              <w:fldChar w:fldCharType="end"/>
            </w:r>
            <w:r w:rsidR="00442800">
              <w:t xml:space="preserve"> </w:t>
            </w:r>
            <w:r w:rsidRPr="00F24B27" w:rsidR="00370BA3">
              <w:rPr>
                <w:bCs/>
              </w:rPr>
              <w:t>)</w:t>
            </w:r>
          </w:p>
          <w:p w:rsidR="00086ACB" w:rsidRPr="00F44FDA" w14:paraId="38E0B048" w14:textId="11ABBAF7">
            <w:pPr>
              <w:pStyle w:val="naiskr"/>
              <w:spacing w:before="20" w:after="20"/>
              <w:jc w:val="both"/>
            </w:pPr>
            <w:r w:rsidRPr="00476C7F">
              <w:t xml:space="preserve">Noteikumu projekts nosaka kritērijus un kārtību, kādā novērtē atkritumu dalītās savākšanas pakalpojuma pieejamību iedzīvotājiem. Noteikumu projektā ir ietverti kritēriji </w:t>
            </w:r>
            <w:r w:rsidRPr="00476069">
              <w:t>dalītās atkritumu savākšanas pakalpojuma novērtējumam republikas pilsētās un novados</w:t>
            </w:r>
            <w:r w:rsidR="007D4700">
              <w:t>, ņemot vērā iedzīvotāju skaitu</w:t>
            </w:r>
            <w:r w:rsidRPr="00476069">
              <w:t>.</w:t>
            </w:r>
          </w:p>
          <w:p w:rsidR="00086ACB" w14:paraId="4BBEFD81" w14:textId="77777777">
            <w:pPr>
              <w:pStyle w:val="naiskr"/>
              <w:spacing w:before="20" w:after="20"/>
              <w:jc w:val="both"/>
            </w:pPr>
            <w:r w:rsidRPr="00F44FDA">
              <w:t>Noteikumu projektā ir noteikta minēto kritēriju piemērošanas kārtība, ietverot attiecīgu aprēķinu formu</w:t>
            </w:r>
            <w:r w:rsidRPr="00F24B27">
              <w:t xml:space="preserve">lu. </w:t>
            </w:r>
          </w:p>
          <w:p w:rsidR="00003419" w:rsidRPr="00917D89" w:rsidP="00003419" w14:paraId="7F819F10" w14:textId="77777777">
            <w:pPr>
              <w:pStyle w:val="naiskr"/>
              <w:spacing w:before="20" w:after="20"/>
              <w:jc w:val="both"/>
            </w:pPr>
            <w:r w:rsidRPr="00917D89">
              <w:t>Noteikumu projektā minēto dalītās atkritumu savākšanas pakalpojuma pieejamību iedzīvotājiem novērtēšanas kritēriju piemērošanas piemēri:</w:t>
            </w:r>
          </w:p>
          <w:p w:rsidR="00003419" w:rsidRPr="00917D89" w:rsidP="00003419" w14:paraId="2AC031A2" w14:textId="77777777">
            <w:pPr>
              <w:jc w:val="both"/>
            </w:pPr>
            <w:r w:rsidRPr="00917D89">
              <w:t xml:space="preserve">1. Sadzīves atkritumu dalītās savākšanas punktu pieejamības novērtējums republikas pilsētai - Jēkabpilij: </w:t>
            </w:r>
          </w:p>
          <w:p w:rsidR="00003419" w:rsidRPr="00917D89" w:rsidP="00003419" w14:paraId="2A3CE167" w14:textId="77777777">
            <w:pPr>
              <w:jc w:val="both"/>
            </w:pPr>
            <w:r w:rsidRPr="00917D89">
              <w:t>Pašvaldība, kurai tiek veikts aprēķins: Jēkabpils;</w:t>
            </w:r>
          </w:p>
          <w:p w:rsidR="00003419" w:rsidRPr="00917D89" w:rsidP="00003419" w14:paraId="7CA0062E" w14:textId="77777777">
            <w:pPr>
              <w:jc w:val="both"/>
            </w:pPr>
            <w:r w:rsidRPr="00917D89">
              <w:t xml:space="preserve">Kritērijs: atkritumu dalītās savākšanas punkts uz </w:t>
            </w:r>
            <w:r w:rsidRPr="00917D89">
              <w:rPr>
                <w:u w:val="single"/>
              </w:rPr>
              <w:t>&lt;</w:t>
            </w:r>
            <w:r w:rsidRPr="00917D89">
              <w:t xml:space="preserve"> 700 iedzīvotājiem;</w:t>
            </w:r>
          </w:p>
          <w:p w:rsidR="00003419" w:rsidRPr="00917D89" w:rsidP="00003419" w14:paraId="221A03C8" w14:textId="77777777">
            <w:pPr>
              <w:jc w:val="both"/>
            </w:pPr>
            <w:r w:rsidRPr="00917D89">
              <w:t xml:space="preserve">Aprēķiniem nepieciešamie izejas dati: </w:t>
            </w:r>
          </w:p>
          <w:p w:rsidR="00003419" w:rsidRPr="00917D89" w:rsidP="00003419" w14:paraId="5B0FC6E1" w14:textId="77777777">
            <w:pPr>
              <w:jc w:val="both"/>
            </w:pPr>
            <w:r w:rsidRPr="00917D89">
              <w:t xml:space="preserve">1) iedzīvotāju skaits pašvaldībā - izejas datu iegūšanas avots – LR Centrālās statistikas pārvaldes mājas lapa - </w:t>
            </w:r>
            <w:r>
              <w:fldChar w:fldCharType="begin"/>
            </w:r>
            <w:r>
              <w:instrText xml:space="preserve"> HYPERLINK "http://www.csb.gov.lv/dati/statistikas-datubazes-28270.html" </w:instrText>
            </w:r>
            <w:r>
              <w:fldChar w:fldCharType="separate"/>
            </w:r>
            <w:r w:rsidRPr="00917D89">
              <w:rPr>
                <w:rStyle w:val="Hyperlink"/>
              </w:rPr>
              <w:t>http://www.csb.gov.lv/dati/statistikas-datubazes-28270.html</w:t>
            </w:r>
            <w:r>
              <w:fldChar w:fldCharType="end"/>
            </w:r>
            <w:r w:rsidRPr="00917D89">
              <w:t xml:space="preserve"> ;</w:t>
            </w:r>
          </w:p>
          <w:p w:rsidR="00003419" w:rsidRPr="00917D89" w:rsidP="00003419" w14:paraId="074D7A90" w14:textId="6430C5B3">
            <w:pPr>
              <w:jc w:val="both"/>
            </w:pPr>
            <w:r w:rsidRPr="00917D89">
              <w:t xml:space="preserve"> 2) DSP skaits pašvaldībā – izejas datu avots</w:t>
            </w:r>
            <w:r w:rsidRPr="00917D89" w:rsidR="007A287B">
              <w:t xml:space="preserve"> </w:t>
            </w:r>
            <w:r w:rsidRPr="00917D89">
              <w:t>- pašvaldības vai atkritumu apsaimniekošanas uzņēmumu sniegtā informācija; - Jēkabpilī ir izveidoto 10 atkritumu dalītās savākšanas punkti</w:t>
            </w:r>
          </w:p>
          <w:p w:rsidR="00003419" w:rsidRPr="00917D89" w:rsidP="00003419" w14:paraId="7FDC4566" w14:textId="77777777">
            <w:pPr>
              <w:jc w:val="both"/>
            </w:pPr>
            <w:r w:rsidRPr="00917D89">
              <w:t>Aprēķina formula: iedzīvotāju skaits / kritērija vērtība;</w:t>
            </w:r>
          </w:p>
          <w:p w:rsidR="00003419" w:rsidRPr="00917D89" w:rsidP="00003419" w14:paraId="405F5BE8" w14:textId="77777777">
            <w:pPr>
              <w:jc w:val="both"/>
            </w:pPr>
            <w:r w:rsidRPr="00917D89">
              <w:t>Aprēķins: 23834 / 700 = 34</w:t>
            </w:r>
          </w:p>
          <w:p w:rsidR="00003419" w:rsidRPr="00917D89" w:rsidP="00003419" w14:paraId="2555A4E1" w14:textId="77777777">
            <w:pPr>
              <w:jc w:val="both"/>
            </w:pPr>
            <w:r w:rsidRPr="00917D89">
              <w:t xml:space="preserve">Rezultāts: izveidoto DSP skaits neatbilst sistēmas kvalitātes kritērijam, jo ir izveidoti 10 punkti.  Nepieciešamais papildus izveidojamo punktu skaits - 24. </w:t>
            </w:r>
          </w:p>
          <w:p w:rsidR="00003419" w:rsidRPr="00F94FA2" w:rsidP="00003419" w14:paraId="61A31E28" w14:textId="77777777"/>
          <w:p w:rsidR="00003419" w:rsidRPr="00917D89" w:rsidP="00003419" w14:paraId="49C8DD3E" w14:textId="77777777">
            <w:pPr>
              <w:jc w:val="both"/>
            </w:pPr>
            <w:r w:rsidRPr="00917D89">
              <w:t xml:space="preserve">2. piemērs. Sadzīves atkritumu dalītās savākšanas punktu pieejamības novērtējums novadu pašvaldībai – Cēsu novadam: </w:t>
            </w:r>
          </w:p>
          <w:p w:rsidR="00003419" w:rsidRPr="00917D89" w:rsidP="00003419" w14:paraId="39DC5EE7" w14:textId="77777777">
            <w:pPr>
              <w:jc w:val="both"/>
            </w:pPr>
            <w:r w:rsidRPr="00917D89">
              <w:t xml:space="preserve">Aprēķiniem nepieciešamie izejas dati: </w:t>
            </w:r>
          </w:p>
          <w:p w:rsidR="00003419" w:rsidRPr="00917D89" w:rsidP="00003419" w14:paraId="5631936A" w14:textId="77777777">
            <w:pPr>
              <w:jc w:val="both"/>
            </w:pPr>
            <w:r w:rsidRPr="00917D89">
              <w:t xml:space="preserve">1. iedzīvotāju skaits pašvaldībā - izejas datu iegūšanas avots – LR Pilsonības un migrācijas lietu pārvaldes mājas lapa – </w:t>
            </w:r>
            <w:r>
              <w:fldChar w:fldCharType="begin"/>
            </w:r>
            <w:r>
              <w:instrText xml:space="preserve"> HYPERLINK "http://www.pmlp.gov.lv/lv/sakums/statistika/iedzivotaju-registrs/" </w:instrText>
            </w:r>
            <w:r>
              <w:fldChar w:fldCharType="separate"/>
            </w:r>
            <w:r w:rsidRPr="00917D89">
              <w:rPr>
                <w:rStyle w:val="Hyperlink"/>
              </w:rPr>
              <w:t>www.pmlp.gov.lv/lv/sakums/statistika/iedzivotaju-registrs/</w:t>
            </w:r>
            <w:r>
              <w:fldChar w:fldCharType="end"/>
            </w:r>
            <w:r w:rsidRPr="00917D89">
              <w:t xml:space="preserve">   ;</w:t>
            </w:r>
          </w:p>
          <w:p w:rsidR="00003419" w:rsidRPr="00917D89" w:rsidP="00003419" w14:paraId="46F13EFF" w14:textId="3E1D6115">
            <w:pPr>
              <w:jc w:val="both"/>
            </w:pPr>
            <w:r w:rsidRPr="00917D89">
              <w:t>2. DSP skaits pašvaldībā – izejas datu avots</w:t>
            </w:r>
            <w:r w:rsidRPr="00917D89" w:rsidR="007A287B">
              <w:t xml:space="preserve"> </w:t>
            </w:r>
            <w:r w:rsidRPr="00917D89">
              <w:t xml:space="preserve">- pašvaldības vai atkritumu apsaimniekošanas uzņēmumu sniegtā informācija; - Cēsu novadā ir izveidoti 60 dalītās atkritumu savākšanas punkti. </w:t>
            </w:r>
          </w:p>
          <w:p w:rsidR="00003419" w:rsidRPr="00917D89" w:rsidP="00003419" w14:paraId="300A8F49" w14:textId="77777777">
            <w:pPr>
              <w:jc w:val="both"/>
            </w:pPr>
            <w:r w:rsidRPr="00917D89">
              <w:t>Aprēķina formula: iedzīvotāju skaits / kritērija vērtība;</w:t>
            </w:r>
          </w:p>
          <w:p w:rsidR="00003419" w:rsidRPr="00917D89" w:rsidP="00003419" w14:paraId="2027A469" w14:textId="77777777">
            <w:pPr>
              <w:jc w:val="both"/>
            </w:pPr>
            <w:r w:rsidRPr="00917D89">
              <w:t xml:space="preserve">Aprēķins: </w:t>
            </w:r>
            <w:r w:rsidRPr="00917D89">
              <w:rPr>
                <w:szCs w:val="22"/>
              </w:rPr>
              <w:t>17005/550 = 31 dalītās savākšanas punkts</w:t>
            </w:r>
          </w:p>
          <w:p w:rsidR="00003419" w:rsidRPr="00917D89" w:rsidP="00003419" w14:paraId="2BDB0F29" w14:textId="77777777">
            <w:r w:rsidRPr="00917D89">
              <w:t xml:space="preserve">Rezultāts: izveidoto DSP skaits atbilst noteiktumu projektā noteiktajam kritērijam, jo pašvaldībā ir izveidoti 60 dalītās atkritumu savākšanas punkti.  </w:t>
            </w:r>
          </w:p>
          <w:p w:rsidR="004767AC" w14:paraId="132D6E60" w14:textId="77777777">
            <w:pPr>
              <w:pStyle w:val="naiskr"/>
              <w:spacing w:before="20" w:after="20"/>
              <w:jc w:val="both"/>
            </w:pPr>
          </w:p>
          <w:p w:rsidR="00B90787" w:rsidRPr="00DE0BF0" w14:paraId="18CCDC7E" w14:textId="63288B9F">
            <w:pPr>
              <w:pStyle w:val="naiskr"/>
              <w:spacing w:before="20" w:after="20"/>
              <w:jc w:val="both"/>
              <w:rPr>
                <w:bCs/>
                <w:szCs w:val="28"/>
              </w:rPr>
            </w:pPr>
            <w:r w:rsidRPr="00DE0BF0">
              <w:t>Noteikumu projekts paredz, ka kritērijs dalītās atkritumu savākšanas pakalpojuma novērtējumam republikas pilsētās</w:t>
            </w:r>
            <w:r w:rsidRPr="00DE0BF0" w:rsidR="000F6C76">
              <w:t xml:space="preserve"> ar iedzīvotāju skaitu virs 100 000 ir divi šķiroto atkritumu savākšanas laukumi, kā arī vismaz viens šķiroto atkritumu savākšanas laukums uz katriem nākošiem 100 000 iedzīvotājiem</w:t>
            </w:r>
            <w:r w:rsidRPr="00DE0BF0" w:rsidR="000F6C76">
              <w:rPr>
                <w:bCs/>
              </w:rPr>
              <w:t xml:space="preserve">. Republikas pilsētās, kurās iedzīvotāju skaits pārsniedz 100 000, ir noteikts, ka viens atkritumu dalītās savākšanas laukums ir jāierīko uz katriem nākošiem 100 000 iedzīvotājiem, ņemot vērā </w:t>
            </w:r>
            <w:r w:rsidRPr="00DE0BF0">
              <w:rPr>
                <w:bCs/>
              </w:rPr>
              <w:t>tādus tehniski – ekonomiskus faktorus kā iedzīvotāju izvietojumu un blīvumu, kā arī atkritumu savākšanas un pārvadāšanas izmaksas un attālumus saistībā ar izveidotajiem šķiroto atkritumu savākšanas laukumiem, t.i., nesamērīgi liels šķiroto atkritumu savākšanas laukumu skaits varētu radīt situāciju, ka izveidotie šķiroto atkritumu savākšanas laukumi nedarbojas efektīvi (iedzīvotāji tajos nenogādā šķirotos atkritumus), un ir lielas atkritumu savākšanas un pārvadāšanas izmaksas, ņemot vērā normatīvajos aktos par</w:t>
            </w:r>
            <w:r w:rsidRPr="00DE0BF0">
              <w:rPr>
                <w:bCs/>
                <w:sz w:val="28"/>
                <w:szCs w:val="28"/>
              </w:rPr>
              <w:t xml:space="preserve"> </w:t>
            </w:r>
            <w:r w:rsidRPr="00DE0BF0">
              <w:rPr>
                <w:bCs/>
                <w:szCs w:val="28"/>
              </w:rPr>
              <w:t>atkritumu savākšanas un šķirošanas vietām noteiktajām prasībām noteikt</w:t>
            </w:r>
            <w:r w:rsidRPr="00DE0BF0" w:rsidR="00917D89">
              <w:rPr>
                <w:bCs/>
                <w:szCs w:val="28"/>
              </w:rPr>
              <w:t>ās p</w:t>
            </w:r>
            <w:r w:rsidRPr="00DE0BF0">
              <w:rPr>
                <w:bCs/>
                <w:szCs w:val="28"/>
              </w:rPr>
              <w:t>rasības sadzīves atkritumu uzglabāšanas ilgumam atkritumu savākšanas un šķirošanas vietās.</w:t>
            </w:r>
          </w:p>
          <w:p w:rsidR="00076D29" w14:paraId="29F124A3" w14:textId="77777777">
            <w:pPr>
              <w:pStyle w:val="naiskr"/>
              <w:spacing w:before="20" w:after="20"/>
              <w:jc w:val="both"/>
              <w:rPr>
                <w:bCs/>
                <w:szCs w:val="28"/>
              </w:rPr>
            </w:pPr>
          </w:p>
          <w:p w:rsidR="001C0524" w:rsidRPr="00642A63" w:rsidP="001C0524" w14:paraId="15ABC03A" w14:textId="30DC492B">
            <w:pPr>
              <w:ind w:firstLine="709"/>
              <w:jc w:val="both"/>
              <w:rPr>
                <w:szCs w:val="28"/>
              </w:rPr>
            </w:pPr>
            <w:r w:rsidRPr="00642A63">
              <w:rPr>
                <w:bCs/>
                <w:szCs w:val="28"/>
              </w:rPr>
              <w:t>Noteikumu projektā ir noteikti kritēriji dalītās atkritumu savākšanas pakalpojuma novērtējumam novados. Saskaņā ar Atkritumu apsaimniekošanas likuma 8.panta pirmo daļu pašvaldība s</w:t>
            </w:r>
            <w:r w:rsidRPr="00642A63">
              <w:t xml:space="preserve">avā administratīvajā teritorijā atbilstoši pašvaldības </w:t>
            </w:r>
            <w:r w:rsidRPr="00642A63">
              <w:t>saistošajiem noteikumiem par sadzīves atkritumu apsaimniekošanu, ievērojot atkritumu apsaimniekošanas valsts plānu un reģionālos plānus, organizē visu sadzīves atkritumu, tajā skaitā bīstamo sadzīves atkritumu, apsaimniekošanu savā administratīvajā teritorijā.</w:t>
            </w:r>
            <w:r w:rsidRPr="00642A63" w:rsidR="00984AA5">
              <w:t xml:space="preserve"> Saskaņā ar MK noteikumu Nr.184 2.punktu 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papīru, metālu, plastmasu un stiklu saturošu atkritumu dalītai savākšanai. </w:t>
            </w:r>
            <w:r w:rsidRPr="00642A63">
              <w:t xml:space="preserve"> Ņemot vērā to, ka ne vienmēr ir ekonomiski un tehniski ierīkot šķiroto atkritumu laukumus, noteikumu projektā ir paredzēts, ka </w:t>
            </w:r>
            <w:r w:rsidRPr="00642A63">
              <w:rPr>
                <w:sz w:val="28"/>
                <w:szCs w:val="28"/>
              </w:rPr>
              <w:t xml:space="preserve"> </w:t>
            </w:r>
            <w:r w:rsidRPr="00642A63">
              <w:rPr>
                <w:szCs w:val="28"/>
              </w:rPr>
              <w:t>novadā, kurā netiek veikta šķiroto atkritumu savākšanas laukumu vai sadzīves atkritumu dalītās savākšanas punktu ierīkošana atbilstoši noteikumu projektā minētajiem kritērijiem, pašvaldība  nodrošina regulāru atkritumu dalītās savākšanas pakalpojuma sniegšanu, izmantojot šķiroto atkritumu savākšanas maršrutus.</w:t>
            </w:r>
          </w:p>
          <w:p w:rsidR="00D801F2" w:rsidRPr="00917D89" w14:paraId="4D9CDDEA" w14:textId="77777777">
            <w:pPr>
              <w:pStyle w:val="naiskr"/>
              <w:spacing w:before="20" w:after="20"/>
              <w:jc w:val="both"/>
              <w:rPr>
                <w:b/>
                <w:sz w:val="22"/>
              </w:rPr>
            </w:pPr>
          </w:p>
          <w:p w:rsidR="00EB5663" w:rsidRPr="00917D89" w:rsidP="00EB5663" w14:paraId="51E0E6C6" w14:textId="63768AE3">
            <w:pPr>
              <w:ind w:firstLine="709"/>
              <w:jc w:val="both"/>
              <w:rPr>
                <w:szCs w:val="28"/>
              </w:rPr>
            </w:pPr>
            <w:r w:rsidRPr="00917D89">
              <w:rPr>
                <w:szCs w:val="28"/>
              </w:rPr>
              <w:t xml:space="preserve">Noteikumu projekts paredz, ka </w:t>
            </w:r>
            <w:r w:rsidRPr="00917D89" w:rsidR="003C41A6">
              <w:rPr>
                <w:szCs w:val="28"/>
              </w:rPr>
              <w:t>v</w:t>
            </w:r>
            <w:r w:rsidRPr="00917D89">
              <w:rPr>
                <w:szCs w:val="28"/>
              </w:rPr>
              <w:t xml:space="preserve">iena gada laikā no šo noteikumu spēkā stāšanās dienas pašvaldības izvērtē dalītās vākšanas pakalpojuma pieejamību iedzīvotājiem, ņemot vērā šajos noteikumos noteiktos kritērijus.  </w:t>
            </w:r>
          </w:p>
          <w:p w:rsidR="00EB5663" w:rsidRPr="007A287B" w:rsidP="000065C7" w14:paraId="4E694384" w14:textId="119F0980">
            <w:pPr>
              <w:ind w:firstLine="709"/>
              <w:jc w:val="both"/>
              <w:rPr>
                <w:sz w:val="28"/>
                <w:szCs w:val="28"/>
              </w:rPr>
            </w:pPr>
            <w:r w:rsidRPr="00917D89">
              <w:rPr>
                <w:szCs w:val="28"/>
              </w:rPr>
              <w:t xml:space="preserve">Kā jau iepriekš tika minēts, </w:t>
            </w:r>
            <w:r w:rsidRPr="00917D89">
              <w:t xml:space="preserve">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papīru, metālu, plastmasu un stiklu saturošu atkritumu dalītai savākšanai.  </w:t>
            </w:r>
            <w:r w:rsidRPr="00917D89" w:rsidR="004D4C8B">
              <w:t xml:space="preserve">Tāpēc nebūtu lietderīgi noteikumu projektā noteikt vēl vienu termiņu, kādā būtu jānodrošina atkritumu dalītās savākšanas sistēmas pieejamība iedzīvotājiem. </w:t>
            </w:r>
            <w:r w:rsidRPr="00917D89">
              <w:rPr>
                <w:szCs w:val="28"/>
              </w:rPr>
              <w:t>Ja dalītās vākšanas pakalpojuma pieejamī</w:t>
            </w:r>
            <w:r w:rsidRPr="00917D89" w:rsidR="007A287B">
              <w:rPr>
                <w:szCs w:val="28"/>
              </w:rPr>
              <w:t>ba iedzīvotājiem neatbilst</w:t>
            </w:r>
            <w:r w:rsidRPr="00917D89" w:rsidR="003C41A6">
              <w:rPr>
                <w:szCs w:val="28"/>
              </w:rPr>
              <w:t xml:space="preserve"> noteikumu projekt</w:t>
            </w:r>
            <w:r w:rsidRPr="00917D89" w:rsidR="007A287B">
              <w:rPr>
                <w:szCs w:val="28"/>
              </w:rPr>
              <w:t>ā</w:t>
            </w:r>
            <w:r w:rsidRPr="00917D89">
              <w:rPr>
                <w:szCs w:val="28"/>
              </w:rPr>
              <w:t xml:space="preserve"> noteiktajiem k</w:t>
            </w:r>
            <w:r w:rsidRPr="00917D89" w:rsidR="004D4C8B">
              <w:rPr>
                <w:szCs w:val="28"/>
              </w:rPr>
              <w:t>ritērijiem, pašvaldībām būtu jā</w:t>
            </w:r>
            <w:r w:rsidRPr="00917D89">
              <w:rPr>
                <w:szCs w:val="28"/>
              </w:rPr>
              <w:t xml:space="preserve">nodrošina atkritumu dalītās savākšanas pieejamību iedzīvotājiem atbilstoši </w:t>
            </w:r>
            <w:r w:rsidRPr="00917D89" w:rsidR="003C41A6">
              <w:rPr>
                <w:szCs w:val="28"/>
              </w:rPr>
              <w:t xml:space="preserve">noteikumu projektā </w:t>
            </w:r>
            <w:r w:rsidRPr="00917D89">
              <w:rPr>
                <w:szCs w:val="28"/>
              </w:rPr>
              <w:t>noteiktajiem kritērijiem, sadarbojoties ar atkritumu apsaimniekotājiem, kas izraudzīti publisko iepirkumu vai publisko un privāto partnerību regulējošos normatīvajos aktos noteiktajā kārtībā.</w:t>
            </w:r>
            <w:r w:rsidR="003C41A6">
              <w:rPr>
                <w:szCs w:val="28"/>
              </w:rPr>
              <w:t xml:space="preserve"> </w:t>
            </w:r>
            <w:r w:rsidRPr="00DE0BF0" w:rsidR="00F94FA2">
              <w:rPr>
                <w:szCs w:val="28"/>
              </w:rPr>
              <w:t xml:space="preserve">Vienlaikus ir jāņem vērā, ka atkritumu dalītās savākšanas pakalpojumu iedzīvotājiem pašvaldības nodrošina, slēdzot līgumu par sadzīves atkritumu apsaimniekošanu </w:t>
            </w:r>
            <w:r w:rsidRPr="00DE0BF0" w:rsidR="00F94FA2">
              <w:rPr>
                <w:szCs w:val="28"/>
              </w:rPr>
              <w:t xml:space="preserve">normatīvajos aktos par publisko iepirkumu vai par publisko un privāto partnerību noteiktajā kārtībā. Tāpēc gadījumos, kad </w:t>
            </w:r>
            <w:r w:rsidRPr="00DE0BF0" w:rsidR="00F94FA2">
              <w:t>atkritumu apsaimniekošanas līgumos, kas noslēgti publisko iepirkumu vai publisko un privāto partnerību regulējošos normatīvajos aktos noteiktajā kārtībā līdz šo noteikumu spēkā stāšanās dienai, nav paredzēti nosacījumi, lai nodrošinātu atkritumu dalītās vākšanas pakalpojuma pieejamību iedzīvotājiem atbilstoši šajos noteikumos noteiktajiem kritērijiem, pašvaldības līdz 2020.gada 30.jūnijam nodrošina minēto līgumu pārskatīšanu, iekļaujot tajos nosacījumus, lai nodrošinātu atkritumu dalītās vākšanas pakalpojuma pieejamību iedzīvotājiem atbilstoši šajos noteikumos noteiktajiem kritērijiem. Minēto līgumu pārskatīšanas termiņš ir saistīts ar Atkritumu apsaimniekošanas likuma Pārejas noteikumu 35.punktā minēto termiņu, kādā pašvaldības nodrošina atkritumu apsaimniekošanas līgumu, kas noslēgti publisko iepirkumu vai publisko un privāto partnerību regulējošos normatīvajos aktos noteiktajā kārtībā līdz 2016.gada 31.decembrim vai izsludināti līdz 2016.gada 31.decembrim,  pārskatīšanu saistībā ar sadzīves atkritumu apsaimniekošanas maksas pārrēķināšanu.</w:t>
            </w:r>
            <w:r w:rsidR="00F94FA2">
              <w:t xml:space="preserve"> </w:t>
            </w:r>
          </w:p>
        </w:tc>
      </w:tr>
      <w:tr w14:paraId="00475602" w14:textId="77777777" w:rsidTr="007A287B">
        <w:tblPrEx>
          <w:tblW w:w="5724" w:type="pct"/>
          <w:tblInd w:w="-572" w:type="dxa"/>
          <w:tblLayout w:type="fixed"/>
          <w:tblLook w:val="01E0"/>
        </w:tblPrEx>
        <w:tc>
          <w:tcPr>
            <w:tcW w:w="523" w:type="pct"/>
          </w:tcPr>
          <w:p w:rsidR="00C02EDD" w:rsidRPr="00FB41DC" w:rsidP="008B2F2E" w14:paraId="10F461D6" w14:textId="54018CEC">
            <w:pPr>
              <w:jc w:val="center"/>
            </w:pPr>
            <w:r>
              <w:t>3</w:t>
            </w:r>
            <w:r w:rsidRPr="00FB41DC">
              <w:t>.</w:t>
            </w:r>
          </w:p>
        </w:tc>
        <w:tc>
          <w:tcPr>
            <w:tcW w:w="1045" w:type="pct"/>
          </w:tcPr>
          <w:p w:rsidR="00C02EDD" w:rsidRPr="00476C7F" w:rsidP="008B2F2E" w14:paraId="0A5A0DC3" w14:textId="77777777">
            <w:r w:rsidRPr="00476C7F">
              <w:t>Projekta izstrādē iesaistītās institūcijas</w:t>
            </w:r>
          </w:p>
        </w:tc>
        <w:tc>
          <w:tcPr>
            <w:tcW w:w="3433" w:type="pct"/>
          </w:tcPr>
          <w:p w:rsidR="00C02EDD" w:rsidRPr="00476C7F" w:rsidP="00A4683D" w14:paraId="3BCE9C1A" w14:textId="1B5AD158">
            <w:pPr>
              <w:pStyle w:val="naiskr"/>
              <w:jc w:val="both"/>
            </w:pPr>
            <w:r>
              <w:t>Vides aizsardzības un reģionālās attīstības ministrija (turpmāk – </w:t>
            </w:r>
            <w:r w:rsidRPr="00476C7F" w:rsidR="00086ACB">
              <w:t>VARAM</w:t>
            </w:r>
            <w:r>
              <w:t>)</w:t>
            </w:r>
          </w:p>
        </w:tc>
      </w:tr>
      <w:tr w14:paraId="24263EAC" w14:textId="77777777" w:rsidTr="007A287B">
        <w:tblPrEx>
          <w:tblW w:w="5724" w:type="pct"/>
          <w:tblInd w:w="-572" w:type="dxa"/>
          <w:tblLayout w:type="fixed"/>
          <w:tblLook w:val="01E0"/>
        </w:tblPrEx>
        <w:trPr>
          <w:trHeight w:val="571"/>
        </w:trPr>
        <w:tc>
          <w:tcPr>
            <w:tcW w:w="523" w:type="pct"/>
          </w:tcPr>
          <w:p w:rsidR="00C02EDD" w:rsidRPr="00FB41DC" w:rsidP="008B2F2E" w14:paraId="4BBB45EB" w14:textId="77777777">
            <w:pPr>
              <w:jc w:val="center"/>
            </w:pPr>
            <w:r>
              <w:t>4</w:t>
            </w:r>
            <w:r w:rsidRPr="00FB41DC">
              <w:t>.</w:t>
            </w:r>
          </w:p>
        </w:tc>
        <w:tc>
          <w:tcPr>
            <w:tcW w:w="1045" w:type="pct"/>
          </w:tcPr>
          <w:p w:rsidR="00C02EDD" w:rsidRPr="00476C7F" w:rsidP="008B2F2E" w14:paraId="6A76353E" w14:textId="77777777">
            <w:r w:rsidRPr="00476C7F">
              <w:t>Cita informācija</w:t>
            </w:r>
          </w:p>
        </w:tc>
        <w:tc>
          <w:tcPr>
            <w:tcW w:w="3433" w:type="pct"/>
          </w:tcPr>
          <w:p w:rsidR="00C02EDD" w:rsidRPr="00476C7F" w:rsidP="008B2F2E" w14:paraId="53E570D3" w14:textId="77777777">
            <w:pPr>
              <w:jc w:val="both"/>
              <w:rPr>
                <w:b/>
              </w:rPr>
            </w:pPr>
            <w:r w:rsidRPr="00476C7F">
              <w:rPr>
                <w:rStyle w:val="Strong"/>
                <w:b w:val="0"/>
              </w:rPr>
              <w:t>Nav.</w:t>
            </w:r>
          </w:p>
        </w:tc>
      </w:tr>
    </w:tbl>
    <w:p w:rsidR="00C02EDD" w:rsidRPr="00FB41DC" w:rsidP="00C02EDD" w14:paraId="6A3F152A" w14:textId="77777777">
      <w:pPr>
        <w:jc w:val="cente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51"/>
        <w:gridCol w:w="6580"/>
      </w:tblGrid>
      <w:tr w14:paraId="72A53214" w14:textId="77777777" w:rsidTr="008B2F2E">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C02EDD" w:rsidRPr="002C08C1" w:rsidP="008B2F2E" w14:paraId="111BCD71" w14:textId="77777777">
            <w:pPr>
              <w:jc w:val="center"/>
              <w:rPr>
                <w:b/>
              </w:rPr>
            </w:pPr>
            <w:r w:rsidRPr="002C08C1">
              <w:rPr>
                <w:b/>
                <w:bCs/>
                <w:shd w:val="clear" w:color="auto" w:fill="FFFFFF"/>
              </w:rPr>
              <w:t>II. Tiesību akta projekta ietekme uz sabiedrību, tautsaimniecības attīstību un administratīvo slogu</w:t>
            </w:r>
          </w:p>
        </w:tc>
      </w:tr>
      <w:tr w14:paraId="237D0E2A" w14:textId="77777777" w:rsidTr="008B2F2E">
        <w:tblPrEx>
          <w:tblW w:w="9498" w:type="dxa"/>
          <w:tblInd w:w="-572" w:type="dxa"/>
          <w:tblLook w:val="01E0"/>
        </w:tblPrEx>
        <w:tc>
          <w:tcPr>
            <w:tcW w:w="567" w:type="dxa"/>
          </w:tcPr>
          <w:p w:rsidR="00C02EDD" w:rsidRPr="00FB41DC" w:rsidP="008B2F2E" w14:paraId="467F14CA" w14:textId="77777777">
            <w:pPr>
              <w:jc w:val="center"/>
            </w:pPr>
            <w:r w:rsidRPr="00FB41DC">
              <w:t>1.</w:t>
            </w:r>
          </w:p>
        </w:tc>
        <w:tc>
          <w:tcPr>
            <w:tcW w:w="2351" w:type="dxa"/>
          </w:tcPr>
          <w:p w:rsidR="00C02EDD" w:rsidRPr="00476C7F" w:rsidP="008B2F2E" w14:paraId="144D560A" w14:textId="77777777">
            <w:r w:rsidRPr="00476C7F">
              <w:t>Sabiedrības mērķgrupas, kuras tiesiskais regulējums ietekmē vai varētu ietekmēt</w:t>
            </w:r>
          </w:p>
        </w:tc>
        <w:tc>
          <w:tcPr>
            <w:tcW w:w="6580" w:type="dxa"/>
          </w:tcPr>
          <w:p w:rsidR="00C02EDD" w:rsidRPr="00F24B27" w:rsidP="00086ACB" w14:paraId="60B8901A" w14:textId="34E0CDD5">
            <w:pPr>
              <w:pStyle w:val="ListParagraph"/>
              <w:suppressAutoHyphens/>
              <w:spacing w:after="0" w:line="100" w:lineRule="atLeast"/>
              <w:ind w:left="93"/>
              <w:contextualSpacing w:val="0"/>
              <w:jc w:val="both"/>
              <w:rPr>
                <w:sz w:val="24"/>
                <w:szCs w:val="24"/>
                <w:lang w:val="lv-LV"/>
              </w:rPr>
            </w:pPr>
            <w:r w:rsidRPr="00F24B27">
              <w:rPr>
                <w:rFonts w:ascii="Times New Roman" w:eastAsia="Times New Roman" w:hAnsi="Times New Roman"/>
                <w:sz w:val="24"/>
                <w:szCs w:val="24"/>
                <w:lang w:val="lv-LV" w:eastAsia="lv-LV"/>
              </w:rPr>
              <w:t>Pašvaldības, sadzīves atkritumu apsaimniekotāji, sadzīves atkritumu</w:t>
            </w:r>
            <w:r w:rsidRPr="00F24B27" w:rsidR="00086ACB">
              <w:rPr>
                <w:rFonts w:ascii="Times New Roman" w:eastAsia="Times New Roman" w:hAnsi="Times New Roman"/>
                <w:sz w:val="24"/>
                <w:szCs w:val="24"/>
                <w:lang w:val="lv-LV" w:eastAsia="lv-LV"/>
              </w:rPr>
              <w:t xml:space="preserve"> radītāji un valdītāji</w:t>
            </w:r>
            <w:r w:rsidRPr="00F24B27">
              <w:rPr>
                <w:rFonts w:ascii="Times New Roman" w:eastAsia="Times New Roman" w:hAnsi="Times New Roman"/>
                <w:sz w:val="24"/>
                <w:szCs w:val="24"/>
                <w:lang w:val="lv-LV" w:eastAsia="lv-LV"/>
              </w:rPr>
              <w:t xml:space="preserve">. </w:t>
            </w:r>
          </w:p>
        </w:tc>
      </w:tr>
      <w:tr w14:paraId="6CC789C2" w14:textId="77777777" w:rsidTr="008B2F2E">
        <w:tblPrEx>
          <w:tblW w:w="9498" w:type="dxa"/>
          <w:tblInd w:w="-572" w:type="dxa"/>
          <w:tblLook w:val="01E0"/>
        </w:tblPrEx>
        <w:tc>
          <w:tcPr>
            <w:tcW w:w="567" w:type="dxa"/>
            <w:shd w:val="clear" w:color="auto" w:fill="auto"/>
          </w:tcPr>
          <w:p w:rsidR="00C02EDD" w:rsidRPr="00CC4F9A" w:rsidP="008B2F2E" w14:paraId="0F951722" w14:textId="77777777">
            <w:pPr>
              <w:jc w:val="center"/>
              <w:rPr>
                <w:highlight w:val="yellow"/>
              </w:rPr>
            </w:pPr>
            <w:r>
              <w:t>2</w:t>
            </w:r>
            <w:r w:rsidRPr="00331BA5">
              <w:t>.</w:t>
            </w:r>
          </w:p>
        </w:tc>
        <w:tc>
          <w:tcPr>
            <w:tcW w:w="2351" w:type="dxa"/>
            <w:shd w:val="clear" w:color="auto" w:fill="FFFFFF"/>
          </w:tcPr>
          <w:p w:rsidR="00C02EDD" w:rsidRPr="00476C7F" w:rsidP="008B2F2E" w14:paraId="65A53DD4" w14:textId="77777777">
            <w:pPr>
              <w:rPr>
                <w:highlight w:val="yellow"/>
              </w:rPr>
            </w:pPr>
            <w:r w:rsidRPr="00476C7F">
              <w:t>Tiesiskā regulējuma ietekme uz tautsaimniecību un administratīvo slogu</w:t>
            </w:r>
          </w:p>
        </w:tc>
        <w:tc>
          <w:tcPr>
            <w:tcW w:w="6580" w:type="dxa"/>
            <w:shd w:val="clear" w:color="auto" w:fill="auto"/>
          </w:tcPr>
          <w:p w:rsidR="00C02EDD" w:rsidRPr="00F24B27" w:rsidP="00086ACB" w14:paraId="0F41DCFD" w14:textId="25708328">
            <w:pPr>
              <w:jc w:val="both"/>
            </w:pPr>
            <w:r w:rsidRPr="00476069">
              <w:t>Noteiku</w:t>
            </w:r>
            <w:r w:rsidRPr="00476069" w:rsidR="00086ACB">
              <w:t>mu projekta prasības var piemērot pašvaldības, lai novērtētu dalītās atkritumu apsaimniekošanas pakalpojuma pieejamību iedzīvotājiem. Tālāk šī informācija varētu tikt izmantota, plānojot atkritumu dalītās savākšanas infrastruktūras attīstību attiecīgās paš</w:t>
            </w:r>
            <w:r w:rsidRPr="00F24B27" w:rsidR="00086ACB">
              <w:t xml:space="preserve">valdības administratīvajā teritorijā. </w:t>
            </w:r>
            <w:r w:rsidRPr="00F24B27">
              <w:t xml:space="preserve"> </w:t>
            </w:r>
          </w:p>
        </w:tc>
      </w:tr>
      <w:tr w14:paraId="1D677B0F" w14:textId="77777777" w:rsidTr="00033D55">
        <w:tblPrEx>
          <w:tblW w:w="9498" w:type="dxa"/>
          <w:tblInd w:w="-572" w:type="dxa"/>
          <w:tblLook w:val="01E0"/>
        </w:tblPrEx>
        <w:trPr>
          <w:trHeight w:val="752"/>
        </w:trPr>
        <w:tc>
          <w:tcPr>
            <w:tcW w:w="567" w:type="dxa"/>
          </w:tcPr>
          <w:p w:rsidR="00C02EDD" w:rsidRPr="00FB41DC" w:rsidP="008B2F2E" w14:paraId="3DFCCBFE" w14:textId="77777777">
            <w:pPr>
              <w:jc w:val="center"/>
            </w:pPr>
            <w:r>
              <w:t>3</w:t>
            </w:r>
            <w:r w:rsidRPr="00FB41DC">
              <w:t>.</w:t>
            </w:r>
          </w:p>
        </w:tc>
        <w:tc>
          <w:tcPr>
            <w:tcW w:w="2351" w:type="dxa"/>
          </w:tcPr>
          <w:p w:rsidR="00C02EDD" w:rsidRPr="00476C7F" w:rsidP="008B2F2E" w14:paraId="262A9422" w14:textId="77777777">
            <w:r w:rsidRPr="00476C7F">
              <w:t>Administratīvo izmaksu monetārs novērtējums</w:t>
            </w:r>
          </w:p>
        </w:tc>
        <w:tc>
          <w:tcPr>
            <w:tcW w:w="6580" w:type="dxa"/>
          </w:tcPr>
          <w:p w:rsidR="00650F6A" w:rsidRPr="00F24B27" w:rsidP="00650F6A" w14:paraId="0321417D" w14:textId="1A5EA7FE">
            <w:pPr>
              <w:jc w:val="both"/>
            </w:pPr>
            <w:r w:rsidRPr="00F24B27">
              <w:t>Pašvaldībām</w:t>
            </w:r>
            <w:r w:rsidR="00A04045">
              <w:t>,</w:t>
            </w:r>
            <w:r w:rsidRPr="00F24B27">
              <w:t xml:space="preserve"> veicot spēkā esošo apsaimniekošanas līgumu pārskatīšanu:</w:t>
            </w:r>
          </w:p>
          <w:p w:rsidR="00650F6A" w:rsidRPr="00476C7F" w:rsidP="00650F6A" w14:paraId="2DDA1D7F" w14:textId="11572356">
            <w:pPr>
              <w:spacing w:after="120"/>
              <w:jc w:val="both"/>
            </w:pPr>
            <w:r w:rsidRPr="00476C7F">
              <w:t xml:space="preserve">Pieņemot, ka </w:t>
            </w:r>
            <w:r w:rsidRPr="00476069">
              <w:t>dalītās atkritumu apsaimniekošanas pakalpojuma pieejamību iedzīvotājiem</w:t>
            </w:r>
            <w:r w:rsidRPr="00476C7F">
              <w:t xml:space="preserve"> novērtēšana pašvaldības darbiniekam varētu aizņemt 40 stundas vienu reizi gadā, administratīvo izmaksu monetārs novērtējums par </w:t>
            </w:r>
            <w:r w:rsidRPr="00476069">
              <w:t>dalītās atkritumu apsaimniekošanas pakalpojuma pieejamību iedzīvotājiem</w:t>
            </w:r>
            <w:r w:rsidRPr="00476C7F">
              <w:t xml:space="preserve"> novērtēšana:</w:t>
            </w:r>
          </w:p>
          <w:p w:rsidR="00650F6A" w:rsidRPr="00476C7F" w:rsidP="00650F6A" w14:paraId="23AA56C0" w14:textId="77777777">
            <w:pPr>
              <w:spacing w:after="120"/>
              <w:jc w:val="center"/>
            </w:pPr>
            <w:r w:rsidRPr="00476C7F">
              <w:t>C = (f x l) x (n x b), kur</w:t>
            </w:r>
          </w:p>
          <w:p w:rsidR="00650F6A" w:rsidRPr="00476C7F" w:rsidP="00650F6A" w14:paraId="58CEC469" w14:textId="74021B93">
            <w:pPr>
              <w:jc w:val="both"/>
            </w:pPr>
            <w:r w:rsidRPr="00F24B27">
              <w:t>C</w:t>
            </w:r>
            <w:r w:rsidRPr="00476C7F">
              <w:t xml:space="preserve"> –</w:t>
            </w:r>
            <w:r w:rsidRPr="00476C7F" w:rsidR="00405C7A">
              <w:t xml:space="preserve"> </w:t>
            </w:r>
            <w:r w:rsidRPr="00476C7F">
              <w:t xml:space="preserve">pašvaldībām </w:t>
            </w:r>
            <w:r w:rsidRPr="00476069">
              <w:t>dalītās atkritumu apsaimniekošanas pakalpojuma pieejamību iedzīvotājiem</w:t>
            </w:r>
            <w:r w:rsidRPr="00476C7F">
              <w:t xml:space="preserve"> novērtēšanas radītās izmaksas jeb administratīvās izmaksas;</w:t>
            </w:r>
          </w:p>
          <w:p w:rsidR="00650F6A" w:rsidRPr="00F24B27" w:rsidP="00650F6A" w14:paraId="0F51E6FC" w14:textId="4393731F">
            <w:pPr>
              <w:pStyle w:val="tv213"/>
              <w:spacing w:before="120" w:beforeAutospacing="0" w:after="0" w:afterAutospacing="0"/>
              <w:jc w:val="both"/>
            </w:pPr>
            <w:r w:rsidRPr="00F24B27">
              <w:t xml:space="preserve">f – finanšu līdzekļu apjoms, kas nepieciešams, lai nodrošinātu projektā paredzētā dalītās atkritumu apsaimniekošanas pakalpojuma pieejamību iedzīvotājiem novērtēšanu atbilstoši noteikumu projektā noteiktajām normām (stundas samaksas likme, ieskaitot virsstundas vai stundas limitu ārējo pakalpojumu sniedzējiem, ja tādi ir) – pašvaldību sektorā stundas likme ir aprēķināta, dalot vidējo mēneša algu pašvaldību sektorā (pēc </w:t>
            </w:r>
            <w:r>
              <w:fldChar w:fldCharType="begin"/>
            </w:r>
            <w:r>
              <w:instrText xml:space="preserve"> HYPERLINK "http://www.csb.gov.lv" </w:instrText>
            </w:r>
            <w:r>
              <w:fldChar w:fldCharType="separate"/>
            </w:r>
            <w:r w:rsidRPr="00F24B27">
              <w:rPr>
                <w:rStyle w:val="Hyperlink"/>
              </w:rPr>
              <w:t>www.csb.gov.lv</w:t>
            </w:r>
            <w:r>
              <w:fldChar w:fldCharType="end"/>
            </w:r>
            <w:r w:rsidRPr="00F24B27">
              <w:t xml:space="preserve"> datiem 2015.gadā tā bija 675 </w:t>
            </w:r>
            <w:r w:rsidRPr="00F24B27">
              <w:rPr>
                <w:i/>
              </w:rPr>
              <w:t>euro</w:t>
            </w:r>
            <w:r w:rsidRPr="00F24B27">
              <w:rPr>
                <w:i/>
              </w:rPr>
              <w:t>/</w:t>
            </w:r>
            <w:r w:rsidRPr="00F24B27">
              <w:t xml:space="preserve">mēnesī) ar Darba likuma 131.panta pirmajā daļā minēto normālo darba laiku (40 stundas nedēļā x 1 = 160 stundas mēnesī) = 4,21 </w:t>
            </w:r>
            <w:r w:rsidRPr="00F24B27">
              <w:rPr>
                <w:i/>
              </w:rPr>
              <w:t>euro</w:t>
            </w:r>
            <w:r w:rsidRPr="00F24B27">
              <w:t>/stundā;</w:t>
            </w:r>
          </w:p>
          <w:p w:rsidR="00650F6A" w:rsidRPr="00F24B27" w:rsidP="00650F6A" w14:paraId="5417082B" w14:textId="77777777">
            <w:pPr>
              <w:pStyle w:val="tv213"/>
              <w:spacing w:before="120" w:beforeAutospacing="0" w:after="0" w:afterAutospacing="0"/>
              <w:jc w:val="both"/>
            </w:pPr>
            <w:r w:rsidRPr="00F24B27">
              <w:t>l – laika patēriņš, kas nepieciešams, lai veiktu apsaimniekošanas līguma pārskatīšanu;</w:t>
            </w:r>
          </w:p>
          <w:p w:rsidR="00650F6A" w:rsidRPr="00F24B27" w:rsidP="00650F6A" w14:paraId="12A1436C" w14:textId="10504C37">
            <w:pPr>
              <w:pStyle w:val="tv213"/>
              <w:spacing w:before="120" w:beforeAutospacing="0" w:after="0" w:afterAutospacing="0"/>
              <w:jc w:val="both"/>
            </w:pPr>
            <w:r w:rsidRPr="00F24B27">
              <w:t>n – pašvaldību skaits, uz ko attiecas projektā paredzētās informācijas sniegšanas prasības – 119 pašvaldības;</w:t>
            </w:r>
          </w:p>
          <w:p w:rsidR="00650F6A" w:rsidRPr="00F24B27" w:rsidP="00650F6A" w14:paraId="4FA44BFE" w14:textId="77777777">
            <w:pPr>
              <w:pStyle w:val="tv213"/>
              <w:spacing w:before="120" w:beforeAutospacing="0" w:after="0" w:afterAutospacing="0"/>
              <w:jc w:val="both"/>
            </w:pPr>
            <w:r w:rsidRPr="00F24B27">
              <w:t>b – cik bieži gada laikā pašvaldībām būs nepieciešams veikt līguma pārskatīšanu – 1.</w:t>
            </w:r>
          </w:p>
          <w:p w:rsidR="00650F6A" w:rsidRPr="00F24B27" w:rsidP="00650F6A" w14:paraId="6D042D3B" w14:textId="77777777">
            <w:pPr>
              <w:pStyle w:val="tv213"/>
              <w:spacing w:before="0" w:beforeAutospacing="0" w:after="0" w:afterAutospacing="0"/>
              <w:jc w:val="both"/>
            </w:pPr>
            <w:r w:rsidRPr="00F24B27">
              <w:t xml:space="preserve">Aprēķins: </w:t>
            </w:r>
          </w:p>
          <w:p w:rsidR="00A4422D" w:rsidRPr="00476C7F" w14:paraId="0C907865" w14:textId="7F751E21">
            <w:pPr>
              <w:pStyle w:val="tv213"/>
              <w:spacing w:before="0" w:beforeAutospacing="0" w:after="120" w:afterAutospacing="0"/>
              <w:jc w:val="center"/>
            </w:pPr>
            <w:r w:rsidRPr="00F24B27">
              <w:t xml:space="preserve">C = (4,21 x 40) x (119 x 1) = 20 040 </w:t>
            </w:r>
            <w:r w:rsidRPr="00F24B27">
              <w:rPr>
                <w:i/>
              </w:rPr>
              <w:t>euro</w:t>
            </w:r>
          </w:p>
        </w:tc>
      </w:tr>
      <w:tr w14:paraId="16094046" w14:textId="77777777" w:rsidTr="008B2F2E">
        <w:tblPrEx>
          <w:tblW w:w="9498" w:type="dxa"/>
          <w:tblInd w:w="-572" w:type="dxa"/>
          <w:tblLook w:val="01E0"/>
        </w:tblPrEx>
        <w:tc>
          <w:tcPr>
            <w:tcW w:w="567" w:type="dxa"/>
          </w:tcPr>
          <w:p w:rsidR="00C02EDD" w:rsidRPr="00FB41DC" w:rsidP="008B2F2E" w14:paraId="25E8A30D" w14:textId="5FB5CFD2">
            <w:pPr>
              <w:jc w:val="center"/>
            </w:pPr>
            <w:r>
              <w:t>4</w:t>
            </w:r>
            <w:r w:rsidRPr="00FB41DC">
              <w:t>.</w:t>
            </w:r>
          </w:p>
        </w:tc>
        <w:tc>
          <w:tcPr>
            <w:tcW w:w="2351" w:type="dxa"/>
          </w:tcPr>
          <w:p w:rsidR="00C02EDD" w:rsidRPr="00476C7F" w:rsidP="008B2F2E" w14:paraId="68C3F0D4" w14:textId="77777777">
            <w:r w:rsidRPr="00476C7F">
              <w:t>Cita informācija</w:t>
            </w:r>
          </w:p>
        </w:tc>
        <w:tc>
          <w:tcPr>
            <w:tcW w:w="6580" w:type="dxa"/>
          </w:tcPr>
          <w:p w:rsidR="00C02EDD" w:rsidRPr="00476C7F" w:rsidP="008B2F2E" w14:paraId="3FFADD51" w14:textId="77777777">
            <w:pPr>
              <w:jc w:val="both"/>
            </w:pPr>
            <w:r w:rsidRPr="00476C7F">
              <w:t>Nav.</w:t>
            </w:r>
          </w:p>
        </w:tc>
      </w:tr>
    </w:tbl>
    <w:p w:rsidR="00476C7F" w:rsidP="00C02EDD" w14:paraId="21917C6D" w14:textId="77777777"/>
    <w:p w:rsidR="00A04045" w:rsidRPr="00FB41DC" w:rsidP="00C02EDD" w14:paraId="3C5F7C50" w14:textId="77777777"/>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118"/>
        <w:gridCol w:w="5869"/>
      </w:tblGrid>
      <w:tr w14:paraId="1573AAC9" w14:textId="77777777" w:rsidTr="008B2F2E">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13" w:type="dxa"/>
            <w:gridSpan w:val="3"/>
            <w:tcMar>
              <w:top w:w="57" w:type="dxa"/>
              <w:left w:w="57" w:type="dxa"/>
              <w:bottom w:w="57" w:type="dxa"/>
              <w:right w:w="57" w:type="dxa"/>
            </w:tcMar>
          </w:tcPr>
          <w:p w:rsidR="00C02EDD" w:rsidRPr="00FB41DC" w:rsidP="008B2F2E" w14:paraId="46B7D503" w14:textId="77777777">
            <w:pPr>
              <w:pStyle w:val="naisnod"/>
              <w:spacing w:before="0" w:after="0"/>
              <w:ind w:left="57" w:right="57"/>
            </w:pPr>
            <w:r w:rsidRPr="00FB41DC">
              <w:t xml:space="preserve">VI. Sabiedrības līdzdalība un </w:t>
            </w:r>
            <w:r>
              <w:t>komunikācijas aktivitātes</w:t>
            </w:r>
          </w:p>
        </w:tc>
      </w:tr>
      <w:tr w14:paraId="1D1CBA82" w14:textId="77777777" w:rsidTr="008B2F2E">
        <w:tblPrEx>
          <w:tblW w:w="9413" w:type="dxa"/>
          <w:jc w:val="center"/>
          <w:tblCellMar>
            <w:left w:w="0" w:type="dxa"/>
            <w:right w:w="0" w:type="dxa"/>
          </w:tblCellMar>
          <w:tblLook w:val="0000"/>
        </w:tblPrEx>
        <w:trPr>
          <w:trHeight w:val="553"/>
          <w:jc w:val="center"/>
        </w:trPr>
        <w:tc>
          <w:tcPr>
            <w:tcW w:w="426" w:type="dxa"/>
            <w:tcMar>
              <w:top w:w="57" w:type="dxa"/>
              <w:left w:w="57" w:type="dxa"/>
              <w:bottom w:w="57" w:type="dxa"/>
              <w:right w:w="57" w:type="dxa"/>
            </w:tcMar>
          </w:tcPr>
          <w:p w:rsidR="00C02EDD" w:rsidRPr="00FB41DC" w:rsidP="008B2F2E" w14:paraId="116B9A91" w14:textId="77777777">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rsidR="00C02EDD" w:rsidRPr="00FB41DC" w:rsidP="008B2F2E" w14:paraId="68157355" w14:textId="77777777">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rsidR="00C02EDD" w:rsidRPr="00FB41DC" w:rsidP="00FE7D6B" w14:paraId="19F668BC" w14:textId="38E1290C">
            <w:pPr>
              <w:pStyle w:val="naiskr"/>
              <w:spacing w:before="0" w:after="0"/>
              <w:ind w:left="57" w:right="57"/>
              <w:jc w:val="both"/>
            </w:pPr>
            <w:r>
              <w:t>Noteikumu projekts no 2016.gada</w:t>
            </w:r>
            <w:r w:rsidR="003330C5">
              <w:t xml:space="preserve"> 19.decembra </w:t>
            </w:r>
            <w:r>
              <w:t xml:space="preserve">ir pieejams VARAM </w:t>
            </w:r>
            <w:r w:rsidR="00D844C1">
              <w:t xml:space="preserve">tīmekļa vietnē </w:t>
            </w:r>
            <w:r>
              <w:t xml:space="preserve"> </w:t>
            </w:r>
            <w:r>
              <w:fldChar w:fldCharType="begin"/>
            </w:r>
            <w:r>
              <w:instrText xml:space="preserve"> HYPERLINK "http://www.varam.gov.lv" </w:instrText>
            </w:r>
            <w:r>
              <w:fldChar w:fldCharType="separate"/>
            </w:r>
            <w:r w:rsidRPr="00EB4802">
              <w:rPr>
                <w:rStyle w:val="Hyperlink"/>
              </w:rPr>
              <w:t>www.varam.gov.lv</w:t>
            </w:r>
            <w:r>
              <w:fldChar w:fldCharType="end"/>
            </w:r>
            <w:r>
              <w:t>, līdz ar to ieinteresētajām personām ir iespēja izteikt viedokli un sniegt priekšlikumus.</w:t>
            </w:r>
          </w:p>
        </w:tc>
      </w:tr>
      <w:tr w14:paraId="510F2377" w14:textId="77777777" w:rsidTr="008B2F2E">
        <w:tblPrEx>
          <w:tblW w:w="9413" w:type="dxa"/>
          <w:jc w:val="center"/>
          <w:tblCellMar>
            <w:left w:w="0" w:type="dxa"/>
            <w:right w:w="0" w:type="dxa"/>
          </w:tblCellMar>
          <w:tblLook w:val="0000"/>
        </w:tblPrEx>
        <w:trPr>
          <w:trHeight w:val="339"/>
          <w:jc w:val="center"/>
        </w:trPr>
        <w:tc>
          <w:tcPr>
            <w:tcW w:w="426" w:type="dxa"/>
            <w:tcMar>
              <w:top w:w="57" w:type="dxa"/>
              <w:left w:w="57" w:type="dxa"/>
              <w:bottom w:w="57" w:type="dxa"/>
              <w:right w:w="57" w:type="dxa"/>
            </w:tcMar>
          </w:tcPr>
          <w:p w:rsidR="000F42FB" w:rsidRPr="00FB41DC" w:rsidP="000F42FB" w14:paraId="722BC844" w14:textId="77777777">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rsidR="000F42FB" w:rsidRPr="00FB41DC" w:rsidP="000F42FB" w14:paraId="14AEDE01" w14:textId="77777777">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rsidR="000F42FB" w:rsidRPr="00FB41DC" w:rsidP="000F42FB" w14:paraId="1387853D" w14:textId="2B6B0E08">
            <w:pPr>
              <w:pStyle w:val="naiskr"/>
              <w:spacing w:before="0" w:after="0"/>
              <w:ind w:right="57"/>
              <w:jc w:val="both"/>
            </w:pPr>
            <w:r>
              <w:t>Par noteikumu projektu tika saņemti atzinumu no Latvijas Lielo pilsētu asociācijas un SIA “</w:t>
            </w:r>
            <w:r>
              <w:t>Clean</w:t>
            </w:r>
            <w:r>
              <w:t xml:space="preserve"> R”</w:t>
            </w:r>
          </w:p>
        </w:tc>
      </w:tr>
      <w:tr w14:paraId="4B940463" w14:textId="77777777" w:rsidTr="008B2F2E">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0F42FB" w:rsidRPr="00FB41DC" w:rsidP="000F42FB" w14:paraId="4CD06FCF" w14:textId="77777777">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rsidR="000F42FB" w:rsidRPr="00FB41DC" w:rsidP="000F42FB" w14:paraId="735E4165" w14:textId="77777777">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rsidR="000F42FB" w:rsidRPr="000F42FB" w:rsidP="000F42FB" w14:paraId="22B2BA89" w14:textId="77777777">
            <w:pPr>
              <w:pStyle w:val="naiskr"/>
              <w:spacing w:before="0" w:after="0"/>
              <w:jc w:val="both"/>
              <w:rPr>
                <w:b/>
                <w:u w:val="single"/>
              </w:rPr>
            </w:pPr>
            <w:r w:rsidRPr="000F42FB">
              <w:rPr>
                <w:b/>
                <w:u w:val="single"/>
              </w:rPr>
              <w:t>Latvijas Lielo pilsētu asociācijas priekšlikumi:</w:t>
            </w:r>
          </w:p>
          <w:p w:rsidR="000F42FB" w:rsidRPr="000F42FB" w:rsidP="000F42FB" w14:paraId="3DAAE79F" w14:textId="77777777">
            <w:pPr>
              <w:pStyle w:val="ListParagraph"/>
              <w:numPr>
                <w:ilvl w:val="0"/>
                <w:numId w:val="10"/>
              </w:numPr>
              <w:spacing w:after="0" w:line="240" w:lineRule="auto"/>
              <w:ind w:left="0"/>
              <w:contextualSpacing w:val="0"/>
              <w:jc w:val="both"/>
              <w:rPr>
                <w:rFonts w:ascii="Times New Roman" w:hAnsi="Times New Roman"/>
                <w:i/>
                <w:iCs/>
                <w:sz w:val="24"/>
                <w:szCs w:val="24"/>
                <w:lang w:val="lv-LV"/>
              </w:rPr>
            </w:pPr>
            <w:r w:rsidRPr="000F42FB">
              <w:rPr>
                <w:rFonts w:ascii="Times New Roman" w:hAnsi="Times New Roman"/>
                <w:sz w:val="24"/>
                <w:szCs w:val="24"/>
                <w:lang w:val="lv-LV"/>
              </w:rPr>
              <w:t xml:space="preserve">1) Iebildums pret 4.punkta redakciju: </w:t>
            </w:r>
            <w:r w:rsidRPr="000F42FB">
              <w:rPr>
                <w:rFonts w:ascii="Times New Roman" w:hAnsi="Times New Roman"/>
                <w:i/>
                <w:iCs/>
                <w:sz w:val="24"/>
                <w:szCs w:val="24"/>
                <w:lang w:val="lv-LV"/>
              </w:rPr>
              <w:t>Novados, kur iedzīvotāju skaits nepārsniedz 8000 un kur netiek veikta šķiroto atkritumu savākšanas laukuma ierīkošana, nodrošina regulār</w:t>
            </w:r>
            <w:bookmarkStart w:id="0" w:name="_GoBack"/>
            <w:bookmarkEnd w:id="0"/>
            <w:r w:rsidRPr="000F42FB">
              <w:rPr>
                <w:rFonts w:ascii="Times New Roman" w:hAnsi="Times New Roman"/>
                <w:i/>
                <w:iCs/>
                <w:sz w:val="24"/>
                <w:szCs w:val="24"/>
                <w:lang w:val="lv-LV"/>
              </w:rPr>
              <w:t>u atkritumu dalītās savākšanas pakalpojuma sniegšanu, izmantojot šķiroto atkritumu savākšanas maršrutus.</w:t>
            </w:r>
          </w:p>
          <w:p w:rsidR="000F42FB" w:rsidRPr="000F42FB" w:rsidP="000F42FB" w14:paraId="60848E09" w14:textId="77777777">
            <w:pPr>
              <w:jc w:val="both"/>
            </w:pPr>
            <w:r w:rsidRPr="000F42FB">
              <w:t xml:space="preserve">Lūdzam papildināt MK noteikumu projektu, ka maršrutus varētu veidot arī teritorijās kā </w:t>
            </w:r>
            <w:r w:rsidRPr="000F42FB">
              <w:t>papildlīdzekli</w:t>
            </w:r>
            <w:r w:rsidRPr="000F42FB">
              <w:t xml:space="preserve"> dažādu atkritumu frakciju atsevišķai savākšanai, piemēram, bioloģiski noārdāmiem atkritumiem, sezonāliem atkritumiem. Maršrutu  risinājums būtu izskatāms kā alternatīva dalītās vākšanas punktiem un laukumiem. </w:t>
            </w:r>
          </w:p>
          <w:p w:rsidR="000F42FB" w:rsidRPr="000F42FB" w:rsidP="000F42FB" w14:paraId="5849CFDA" w14:textId="77777777">
            <w:pPr>
              <w:pStyle w:val="naiskr"/>
              <w:spacing w:before="0" w:after="0"/>
              <w:ind w:right="57"/>
              <w:jc w:val="both"/>
              <w:rPr>
                <w:b/>
              </w:rPr>
            </w:pPr>
            <w:r w:rsidRPr="000F42FB">
              <w:rPr>
                <w:b/>
                <w:u w:val="single"/>
              </w:rPr>
              <w:t>VARAM :</w:t>
            </w:r>
            <w:r w:rsidRPr="000F42FB">
              <w:t xml:space="preserve"> </w:t>
            </w:r>
            <w:r w:rsidRPr="000F42FB">
              <w:rPr>
                <w:b/>
              </w:rPr>
              <w:t xml:space="preserve">Priekšlikums ir ņemts vērā daļēji un iekļauts noteikumu projektā. </w:t>
            </w:r>
          </w:p>
          <w:p w:rsidR="000F42FB" w:rsidRPr="000F42FB" w:rsidP="000F42FB" w14:paraId="22B7BD35" w14:textId="77777777">
            <w:pPr>
              <w:jc w:val="both"/>
            </w:pPr>
            <w:r w:rsidRPr="000F42FB">
              <w:t xml:space="preserve">2) Lūdzam skaidrojumu, kurš kritērijs prevalē (iedzīvotāju skaits vai attālums) punktos 2.1 vai 2.2. un 3.1. vai 3.2., jo dabā var gadīties, ka iedzīvotāju skaits tiek sasniegts, bet attālums ir lielāks, vai tieši pretēji – attālums ir atbilstošs, bet iedzīvotāju skaits nav sasniegts. Tā kā aprēķinos (MK noteikumu projekta 6.punkts) tiek ņemts vērā tikai skaits, tad loģiski būtu pieņemt, ka prevalē skaits. </w:t>
            </w:r>
          </w:p>
          <w:p w:rsidR="000F42FB" w:rsidRPr="000F42FB" w:rsidP="000F42FB" w14:paraId="7DE25A04" w14:textId="77777777">
            <w:pPr>
              <w:pStyle w:val="naiskr"/>
              <w:spacing w:before="0" w:after="0"/>
              <w:ind w:right="57"/>
              <w:jc w:val="both"/>
              <w:rPr>
                <w:b/>
              </w:rPr>
            </w:pPr>
            <w:r w:rsidRPr="000F42FB">
              <w:rPr>
                <w:b/>
                <w:u w:val="single"/>
              </w:rPr>
              <w:t>VARAM:</w:t>
            </w:r>
            <w:r w:rsidRPr="000F42FB">
              <w:rPr>
                <w:b/>
              </w:rPr>
              <w:t xml:space="preserve"> Priekšlikums ņemts vērā. Minētā norma nav iekļauta noteikumu projektā.</w:t>
            </w:r>
          </w:p>
          <w:p w:rsidR="000F42FB" w:rsidRPr="000F42FB" w:rsidP="000F42FB" w14:paraId="6FA43B65" w14:textId="77777777">
            <w:pPr>
              <w:pStyle w:val="naiskr"/>
              <w:spacing w:before="0" w:after="0"/>
              <w:ind w:right="57"/>
              <w:jc w:val="both"/>
              <w:rPr>
                <w:b/>
              </w:rPr>
            </w:pPr>
          </w:p>
          <w:p w:rsidR="000F42FB" w:rsidRPr="000F42FB" w:rsidP="000F42FB" w14:paraId="0A8779EC" w14:textId="77777777">
            <w:pPr>
              <w:pStyle w:val="naiskr"/>
              <w:spacing w:before="0" w:after="0"/>
              <w:ind w:right="57"/>
              <w:jc w:val="both"/>
              <w:rPr>
                <w:b/>
                <w:u w:val="single"/>
              </w:rPr>
            </w:pPr>
            <w:r w:rsidRPr="000F42FB">
              <w:rPr>
                <w:b/>
                <w:u w:val="single"/>
              </w:rPr>
              <w:t>SIA “</w:t>
            </w:r>
            <w:r w:rsidRPr="000F42FB">
              <w:rPr>
                <w:b/>
                <w:u w:val="single"/>
              </w:rPr>
              <w:t>Clean</w:t>
            </w:r>
            <w:r w:rsidRPr="000F42FB">
              <w:rPr>
                <w:b/>
                <w:u w:val="single"/>
              </w:rPr>
              <w:t xml:space="preserve"> R” priekšlikumi:</w:t>
            </w:r>
          </w:p>
          <w:p w:rsidR="000F42FB" w:rsidRPr="000F42FB" w:rsidP="000F42FB" w14:paraId="0A5CF953" w14:textId="77777777">
            <w:pPr>
              <w:jc w:val="both"/>
            </w:pPr>
            <w:r w:rsidRPr="000F42FB">
              <w:t>1) prasība 2.2. un 3.2. punktos, ka jābūt  ne vairāk kā 400m līdz tuvākajam punktam - tas nav izpildāms. Privātmāju ciematos, piemēram,  visur ir zemes īpašuma tiesību jautājums. Mēs jau nevaram uzspiest vietu, ja tādu īpašnieki nenodrošina. Šādos gadījumos būtu jāparedz iespēja apsaimniekotājam veidot atsevišķus savākšanas maršrutus, izmantojot speciālās somas vai maisus.</w:t>
            </w:r>
          </w:p>
          <w:p w:rsidR="000F42FB" w:rsidRPr="000F42FB" w:rsidP="000F42FB" w14:paraId="2BD5AD89" w14:textId="77777777">
            <w:pPr>
              <w:jc w:val="both"/>
              <w:rPr>
                <w:b/>
              </w:rPr>
            </w:pPr>
            <w:r w:rsidRPr="000F42FB">
              <w:rPr>
                <w:b/>
                <w:u w:val="single"/>
              </w:rPr>
              <w:t>VARAM:</w:t>
            </w:r>
            <w:r w:rsidRPr="000F42FB">
              <w:rPr>
                <w:b/>
              </w:rPr>
              <w:t xml:space="preserve"> Priekšlikums ņemts vērā. Minētā norma nav iekļauta noteikumu projektā.</w:t>
            </w:r>
          </w:p>
          <w:p w:rsidR="000F42FB" w:rsidRPr="000F42FB" w:rsidP="000F42FB" w14:paraId="3F6F2614" w14:textId="77777777">
            <w:pPr>
              <w:jc w:val="both"/>
            </w:pPr>
            <w:r w:rsidRPr="000F42FB">
              <w:t>2) Formula, pēc kuras rēķina izpildi, nav saprotama. Tāpat nav saprotams, kas notiks, ja tiks konstatēts, ka sistēma nav pieejama. Vai tad ir paredzēts kāds risinājums?</w:t>
            </w:r>
          </w:p>
          <w:p w:rsidR="000F42FB" w:rsidRPr="000F42FB" w:rsidP="000F42FB" w14:paraId="01FFC0CC" w14:textId="2614A7C8">
            <w:pPr>
              <w:pStyle w:val="naiskr"/>
              <w:spacing w:before="0" w:after="0"/>
              <w:ind w:right="57"/>
              <w:jc w:val="both"/>
            </w:pPr>
            <w:r w:rsidRPr="000F42FB">
              <w:rPr>
                <w:b/>
              </w:rPr>
              <w:t xml:space="preserve">VARAM: Priekšlikums ir ņemts vērā. Noteikumu projektā precizēta aprēķinu formula un tās skaidrojumi, noteikumu projekta anotācijā ir sniegti formulas piemērošanas piemēri. Noteikumu projekts papildināts ar regulējumu gadījumiem, kad noteikumu projektā iekļautie kritēriji nav izpildīti. </w:t>
            </w:r>
          </w:p>
        </w:tc>
      </w:tr>
      <w:tr w14:paraId="448FBEB0" w14:textId="77777777" w:rsidTr="008B2F2E">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0F42FB" w:rsidRPr="00FB41DC" w:rsidP="000F42FB" w14:paraId="08791F3D" w14:textId="77777777">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rsidR="000F42FB" w:rsidRPr="00FB41DC" w:rsidP="000F42FB" w14:paraId="29B02667" w14:textId="77777777">
            <w:pPr>
              <w:pStyle w:val="naiskr"/>
              <w:spacing w:before="0" w:after="0"/>
              <w:ind w:left="57" w:right="57"/>
            </w:pPr>
            <w:r w:rsidRPr="00FB41DC">
              <w:t>Cita informācija</w:t>
            </w:r>
          </w:p>
        </w:tc>
        <w:tc>
          <w:tcPr>
            <w:tcW w:w="5869" w:type="dxa"/>
            <w:tcMar>
              <w:top w:w="57" w:type="dxa"/>
              <w:left w:w="57" w:type="dxa"/>
              <w:bottom w:w="57" w:type="dxa"/>
              <w:right w:w="57" w:type="dxa"/>
            </w:tcMar>
          </w:tcPr>
          <w:p w:rsidR="000F42FB" w:rsidRPr="00FB41DC" w:rsidP="000F42FB" w14:paraId="65BDFC95" w14:textId="77777777">
            <w:pPr>
              <w:pStyle w:val="naiskr"/>
              <w:spacing w:before="0" w:after="0"/>
              <w:ind w:right="57"/>
              <w:jc w:val="both"/>
            </w:pPr>
            <w:r>
              <w:t>Nav.</w:t>
            </w:r>
          </w:p>
        </w:tc>
      </w:tr>
    </w:tbl>
    <w:p w:rsidR="00C02EDD" w:rsidP="00C02EDD" w14:paraId="5993489E" w14:textId="77777777"/>
    <w:p w:rsidR="00C02EDD" w:rsidRPr="00FB41DC" w:rsidP="00C02EDD" w14:paraId="0255B7B5" w14:textId="7777777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14:paraId="0A12EA6B" w14:textId="77777777" w:rsidTr="008B2F2E">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C02EDD" w:rsidRPr="00FB41DC" w:rsidP="008B2F2E" w14:paraId="2D755A38" w14:textId="77777777">
            <w:pPr>
              <w:pStyle w:val="naisnod"/>
              <w:spacing w:before="0" w:after="0"/>
              <w:ind w:left="57" w:right="57"/>
            </w:pPr>
            <w:r w:rsidRPr="00FB41DC">
              <w:t>VII. Tiesību akta projekta izpildes nodrošināšana un tās ietekme uz institūcijām</w:t>
            </w:r>
          </w:p>
        </w:tc>
      </w:tr>
      <w:tr w14:paraId="73F0B4E7" w14:textId="77777777" w:rsidTr="008B2F2E">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C02EDD" w:rsidRPr="00FB41DC" w:rsidP="008B2F2E" w14:paraId="12B7CDB6" w14:textId="77777777">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rsidR="00C02EDD" w:rsidRPr="00FB41DC" w:rsidP="008B2F2E" w14:paraId="305B737E" w14:textId="77777777">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rsidR="00C02EDD" w:rsidRPr="00563D3C" w:rsidP="008B2F2E" w14:paraId="3F6A8157" w14:textId="4B11C888">
            <w:pPr>
              <w:pStyle w:val="naisc"/>
              <w:spacing w:before="0" w:after="0"/>
              <w:jc w:val="both"/>
            </w:pPr>
            <w:r>
              <w:t>Pašvaldības</w:t>
            </w:r>
            <w:r w:rsidR="00A04045">
              <w:t>.</w:t>
            </w:r>
          </w:p>
        </w:tc>
      </w:tr>
      <w:tr w14:paraId="20D000D8" w14:textId="77777777" w:rsidTr="008B2F2E">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C02EDD" w:rsidRPr="00FB41DC" w:rsidP="008B2F2E" w14:paraId="7458FB00" w14:textId="77777777">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rsidR="00C02EDD" w:rsidRPr="00FB41DC" w:rsidP="008B2F2E" w14:paraId="14A21D39" w14:textId="77777777">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rsidR="00C02EDD" w:rsidP="008B2F2E" w14:paraId="2A47CEAD" w14:textId="77777777">
            <w:pPr>
              <w:pStyle w:val="naisnod"/>
              <w:spacing w:before="0" w:after="0"/>
              <w:ind w:right="57"/>
              <w:jc w:val="both"/>
              <w:rPr>
                <w:b w:val="0"/>
              </w:rPr>
            </w:pPr>
            <w:r>
              <w:rPr>
                <w:b w:val="0"/>
              </w:rPr>
              <w:t>Noteikumu projekts neietekmē iesaistīto institūciju funkcijas un uzdevumus.</w:t>
            </w:r>
          </w:p>
          <w:p w:rsidR="00C02EDD" w:rsidRPr="00F862E3" w14:paraId="1FD09AD1" w14:textId="2D8BC4F1">
            <w:pPr>
              <w:pStyle w:val="naisnod"/>
              <w:spacing w:before="0" w:after="0"/>
              <w:ind w:right="57"/>
              <w:jc w:val="both"/>
              <w:rPr>
                <w:b w:val="0"/>
              </w:rPr>
            </w:pPr>
            <w:r>
              <w:rPr>
                <w:b w:val="0"/>
              </w:rPr>
              <w:t>Nav paredzēta jauno institūciju izveide</w:t>
            </w:r>
            <w:r w:rsidR="00A04045">
              <w:rPr>
                <w:b w:val="0"/>
              </w:rPr>
              <w:t xml:space="preserve">, </w:t>
            </w:r>
            <w:r>
              <w:rPr>
                <w:b w:val="0"/>
              </w:rPr>
              <w:t>likvidēšana</w:t>
            </w:r>
            <w:r w:rsidR="00A04045">
              <w:rPr>
                <w:b w:val="0"/>
              </w:rPr>
              <w:t xml:space="preserve"> vai </w:t>
            </w:r>
            <w:r>
              <w:rPr>
                <w:b w:val="0"/>
              </w:rPr>
              <w:t>reorganizēšana.</w:t>
            </w:r>
          </w:p>
        </w:tc>
      </w:tr>
      <w:tr w14:paraId="2231BB49" w14:textId="77777777" w:rsidTr="008B2F2E">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C02EDD" w:rsidRPr="00FB41DC" w:rsidP="008B2F2E" w14:paraId="66BD2BCB" w14:textId="77777777">
            <w:pPr>
              <w:pStyle w:val="naiskr"/>
              <w:spacing w:before="0" w:after="0"/>
              <w:ind w:left="57" w:right="57"/>
            </w:pPr>
            <w:r>
              <w:t>3</w:t>
            </w:r>
            <w:r w:rsidRPr="00FB41DC">
              <w:t>.</w:t>
            </w:r>
          </w:p>
        </w:tc>
        <w:tc>
          <w:tcPr>
            <w:tcW w:w="3118" w:type="dxa"/>
            <w:tcMar>
              <w:top w:w="57" w:type="dxa"/>
              <w:left w:w="57" w:type="dxa"/>
              <w:bottom w:w="57" w:type="dxa"/>
              <w:right w:w="57" w:type="dxa"/>
            </w:tcMar>
          </w:tcPr>
          <w:p w:rsidR="00C02EDD" w:rsidRPr="00FB41DC" w:rsidP="008B2F2E" w14:paraId="0245F5F9" w14:textId="77777777">
            <w:pPr>
              <w:pStyle w:val="naiskr"/>
              <w:spacing w:before="0" w:after="0"/>
              <w:ind w:left="57" w:right="57"/>
            </w:pPr>
            <w:r w:rsidRPr="00FB41DC">
              <w:t>Cita informācija</w:t>
            </w:r>
          </w:p>
        </w:tc>
        <w:tc>
          <w:tcPr>
            <w:tcW w:w="5870" w:type="dxa"/>
            <w:tcMar>
              <w:top w:w="57" w:type="dxa"/>
              <w:left w:w="57" w:type="dxa"/>
              <w:bottom w:w="57" w:type="dxa"/>
              <w:right w:w="57" w:type="dxa"/>
            </w:tcMar>
          </w:tcPr>
          <w:p w:rsidR="00C02EDD" w:rsidRPr="00FB41DC" w:rsidP="008B2F2E" w14:paraId="50FA0229" w14:textId="0A8F1FD6">
            <w:pPr>
              <w:pStyle w:val="naiskr"/>
              <w:spacing w:before="0" w:after="0"/>
              <w:ind w:left="57" w:right="57"/>
            </w:pPr>
            <w:r>
              <w:t>Nav</w:t>
            </w:r>
            <w:r w:rsidR="00A04045">
              <w:t>.</w:t>
            </w:r>
          </w:p>
        </w:tc>
      </w:tr>
    </w:tbl>
    <w:p w:rsidR="00C02EDD" w:rsidP="00C02EDD" w14:paraId="68EAA893" w14:textId="77777777">
      <w:pPr>
        <w:pStyle w:val="naisf"/>
        <w:spacing w:before="0" w:after="0"/>
        <w:ind w:firstLine="374"/>
        <w:rPr>
          <w:b/>
        </w:rPr>
      </w:pPr>
    </w:p>
    <w:p w:rsidR="00C02EDD" w:rsidRPr="00EE5F73" w:rsidP="00C02EDD" w14:paraId="0D51ED11" w14:textId="3DD66072">
      <w:pPr>
        <w:pStyle w:val="naisf"/>
        <w:spacing w:before="0" w:after="0"/>
        <w:ind w:firstLine="374"/>
        <w:rPr>
          <w:i/>
        </w:rPr>
      </w:pPr>
      <w:r>
        <w:rPr>
          <w:i/>
        </w:rPr>
        <w:t>Anotācijas III, I</w:t>
      </w:r>
      <w:r w:rsidRPr="00EE5F73">
        <w:rPr>
          <w:i/>
        </w:rPr>
        <w:t>V</w:t>
      </w:r>
      <w:r>
        <w:rPr>
          <w:i/>
        </w:rPr>
        <w:t xml:space="preserve"> un V</w:t>
      </w:r>
      <w:r w:rsidR="00866B25">
        <w:rPr>
          <w:i/>
        </w:rPr>
        <w:t xml:space="preserve"> </w:t>
      </w:r>
      <w:r w:rsidRPr="00EE5F73">
        <w:rPr>
          <w:i/>
        </w:rPr>
        <w:t>sadaļa – noteikumu projekts šo jomu neskar.</w:t>
      </w:r>
    </w:p>
    <w:p w:rsidR="00C02EDD" w:rsidRPr="00ED433D" w:rsidP="00C02EDD" w14:paraId="1B005A9A" w14:textId="77777777"/>
    <w:p w:rsidR="00C02EDD" w:rsidRPr="00ED433D" w:rsidP="00C02EDD" w14:paraId="654D3426" w14:textId="2258434B">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Pr="00ED433D" w:rsidR="00261E06">
        <w:rPr>
          <w:rFonts w:ascii="Times New Roman" w:hAnsi="Times New Roman"/>
          <w:sz w:val="24"/>
          <w:szCs w:val="24"/>
        </w:rPr>
        <w:t xml:space="preserve">ides </w:t>
      </w:r>
      <w:r w:rsidRPr="00ED433D">
        <w:rPr>
          <w:rFonts w:ascii="Times New Roman" w:hAnsi="Times New Roman"/>
          <w:sz w:val="24"/>
          <w:szCs w:val="24"/>
        </w:rPr>
        <w:t xml:space="preserve">aizsardzības un </w:t>
      </w:r>
    </w:p>
    <w:p w:rsidR="00C02EDD" w:rsidP="00C02EDD" w14:paraId="5DD69435" w14:textId="77777777">
      <w:r>
        <w:t>reģionālās attīstības ministrs</w:t>
      </w:r>
      <w:r>
        <w:tab/>
      </w:r>
      <w:r>
        <w:tab/>
      </w:r>
      <w:r>
        <w:tab/>
      </w:r>
      <w:r>
        <w:tab/>
      </w:r>
      <w:r>
        <w:tab/>
      </w:r>
      <w:r>
        <w:tab/>
        <w:t>K.Gerhards</w:t>
      </w:r>
    </w:p>
    <w:p w:rsidR="00C02EDD" w:rsidP="00C02EDD" w14:paraId="0C009F81" w14:textId="77777777"/>
    <w:p w:rsidR="00C02EDD" w:rsidP="00C02EDD" w14:paraId="0EF3E112" w14:textId="77777777"/>
    <w:p w:rsidR="00C02EDD" w:rsidRPr="00ED433D" w:rsidP="00C02EDD" w14:paraId="3D0E34C6" w14:textId="2F1A57AF"/>
    <w:p w:rsidR="00136C38" w:rsidP="00C02EDD" w14:paraId="7E41474C" w14:textId="77777777">
      <w:bookmarkStart w:id="1" w:name="p2008"/>
      <w:bookmarkEnd w:id="1"/>
      <w:r>
        <w:t>V</w:t>
      </w:r>
      <w:r w:rsidR="00261E06">
        <w:t xml:space="preserve">alsts </w:t>
      </w:r>
      <w:r w:rsidR="00C02EDD">
        <w:t>sekretārs</w:t>
      </w:r>
      <w:r w:rsidR="00C02EDD">
        <w:tab/>
      </w:r>
      <w:r w:rsidR="00C02EDD">
        <w:tab/>
      </w:r>
      <w:r w:rsidR="00C02EDD">
        <w:tab/>
      </w:r>
      <w:r w:rsidR="00C02EDD">
        <w:tab/>
      </w:r>
      <w:r w:rsidR="00C02EDD">
        <w:tab/>
      </w:r>
      <w:r w:rsidR="00C02EDD">
        <w:tab/>
      </w:r>
      <w:r w:rsidR="00C02EDD">
        <w:tab/>
        <w:t>R.Muciņš</w:t>
      </w:r>
      <w:r w:rsidR="00C02EDD">
        <w:tab/>
      </w:r>
    </w:p>
    <w:p w:rsidR="00136C38" w:rsidP="00C02EDD" w14:paraId="5E430946" w14:textId="77777777"/>
    <w:p w:rsidR="00136C38" w:rsidP="00C02EDD" w14:paraId="4CC7B7C4" w14:textId="77777777"/>
    <w:p w:rsidR="00136C38" w:rsidP="00C02EDD" w14:paraId="24E1C547" w14:textId="77777777"/>
    <w:p w:rsidR="00136C38" w:rsidP="00C02EDD" w14:paraId="0459FDED" w14:textId="77777777"/>
    <w:p w:rsidR="00136C38" w:rsidRPr="007A287B" w:rsidP="00C02EDD" w14:paraId="42DF6674" w14:textId="77777777">
      <w:pPr>
        <w:rPr>
          <w:sz w:val="22"/>
        </w:rPr>
      </w:pPr>
      <w:r w:rsidRPr="007A287B">
        <w:rPr>
          <w:sz w:val="22"/>
        </w:rPr>
        <w:t>Doniņa, 67026515</w:t>
      </w:r>
    </w:p>
    <w:p w:rsidR="00C02EDD" w:rsidRPr="00DF5FC1" w:rsidP="00C02EDD" w14:paraId="650B6379" w14:textId="13089ECB">
      <w:r>
        <w:fldChar w:fldCharType="begin"/>
      </w:r>
      <w:r>
        <w:instrText xml:space="preserve"> HYPERLINK "mailto:Ilze.donina@varam.gov.lv" </w:instrText>
      </w:r>
      <w:r>
        <w:fldChar w:fldCharType="separate"/>
      </w:r>
      <w:r w:rsidRPr="007A287B" w:rsidR="00136C38">
        <w:rPr>
          <w:rStyle w:val="Hyperlink"/>
          <w:sz w:val="22"/>
        </w:rPr>
        <w:t>Ilze.donina@varam.gov.lv</w:t>
      </w:r>
      <w:r>
        <w:fldChar w:fldCharType="end"/>
      </w:r>
      <w:r w:rsidRPr="007A287B" w:rsidR="00136C38">
        <w:rPr>
          <w:sz w:val="22"/>
        </w:rPr>
        <w:t xml:space="preserve"> </w:t>
      </w:r>
      <w:r w:rsidRPr="007A287B">
        <w:rPr>
          <w:sz w:val="22"/>
        </w:rPr>
        <w:tab/>
      </w:r>
      <w:r>
        <w:tab/>
      </w:r>
      <w:r>
        <w:tab/>
      </w:r>
      <w:r>
        <w:tab/>
      </w:r>
      <w:r>
        <w:tab/>
      </w:r>
      <w:r>
        <w:tab/>
      </w:r>
    </w:p>
    <w:p w:rsidR="000D6C3A" w:rsidRPr="007A287B" w:rsidP="007A287B" w14:paraId="1A0B6B3D" w14:textId="2E80198E">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sectPr w:rsidSect="00017A3B">
      <w:headerReference w:type="default" r:id="rId4"/>
      <w:footerReference w:type="default" r:id="rId5"/>
      <w:footerReference w:type="first" r:id="rId6"/>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6A" w:rsidRPr="00650F6A" w:rsidP="00650F6A" w14:paraId="28C6FC7E" w14:textId="094D0821">
    <w:pPr>
      <w:jc w:val="both"/>
      <w:rPr>
        <w:szCs w:val="28"/>
      </w:rPr>
    </w:pPr>
    <w:r>
      <w:t>VARAMAnot_</w:t>
    </w:r>
    <w:r w:rsidR="00642A63">
      <w:t>24</w:t>
    </w:r>
    <w:r w:rsidR="00311141">
      <w:t>04</w:t>
    </w:r>
    <w:r>
      <w:t>17</w:t>
    </w:r>
    <w:r w:rsidRPr="00650F6A">
      <w:t xml:space="preserve">_kriteriji; </w:t>
    </w:r>
    <w:r w:rsidRPr="00650F6A">
      <w:rPr>
        <w:szCs w:val="28"/>
      </w:rPr>
      <w:t xml:space="preserve">Ministru kabineta noteikumu projekta </w:t>
    </w:r>
    <w:r w:rsidRPr="00650F6A">
      <w:t>“</w:t>
    </w:r>
    <w:r w:rsidRPr="00C90DB4" w:rsidR="00C90DB4">
      <w:t>Kritēriji un kārtība, kādā novērtē atkritumu dalītās savākšanas pakalpojuma pieejamību iedzīvotājiem</w:t>
    </w:r>
    <w:r w:rsidRPr="00650F6A">
      <w:rPr>
        <w:szCs w:val="28"/>
      </w:rPr>
      <w:t xml:space="preserve">” sākotnējās ietekmes novērtējuma </w:t>
    </w:r>
    <w:smartTag w:uri="schemas-tilde-lv/tildestengine" w:element="veidnes">
      <w:smartTagPr>
        <w:attr w:name="baseform" w:val="ziņojums"/>
        <w:attr w:name="id" w:val="-1"/>
        <w:attr w:name="text" w:val="ziņojums"/>
      </w:smartTagPr>
      <w:r w:rsidRPr="00650F6A">
        <w:rPr>
          <w:szCs w:val="28"/>
        </w:rPr>
        <w:t>ziņojums</w:t>
      </w:r>
    </w:smartTag>
    <w:r w:rsidRPr="00650F6A">
      <w:rPr>
        <w:szCs w:val="28"/>
      </w:rPr>
      <w:t xml:space="preserve"> (anotācija)</w:t>
    </w:r>
  </w:p>
  <w:p w:rsidR="00C6407D" w:rsidRPr="00650F6A" w:rsidP="00C6407D" w14:paraId="49B7D358" w14:textId="77777777">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0F6A" w:rsidRPr="00650F6A" w:rsidP="00650F6A" w14:paraId="3A978F0A" w14:textId="5B09492D">
    <w:pPr>
      <w:jc w:val="both"/>
      <w:rPr>
        <w:szCs w:val="28"/>
      </w:rPr>
    </w:pPr>
    <w:r>
      <w:t>VARAMAnot_</w:t>
    </w:r>
    <w:r w:rsidR="00642A63">
      <w:t>24</w:t>
    </w:r>
    <w:r w:rsidR="00311141">
      <w:t>04</w:t>
    </w:r>
    <w:r>
      <w:t>17</w:t>
    </w:r>
    <w:r w:rsidRPr="00650F6A">
      <w:t xml:space="preserve">_kriteriji; </w:t>
    </w:r>
    <w:r w:rsidRPr="00650F6A">
      <w:rPr>
        <w:szCs w:val="28"/>
      </w:rPr>
      <w:t xml:space="preserve">Ministru kabineta noteikumu projekta </w:t>
    </w:r>
    <w:r w:rsidRPr="00650F6A">
      <w:t>“</w:t>
    </w:r>
    <w:r w:rsidRPr="00C90DB4" w:rsidR="00C90DB4">
      <w:t>Kritēriji un kārtība, kādā novērtē atkritumu dalītās savākšanas pakalpojuma pieejamību iedzīvotājiem</w:t>
    </w:r>
    <w:r w:rsidRPr="00650F6A">
      <w:rPr>
        <w:szCs w:val="28"/>
      </w:rPr>
      <w:t xml:space="preserve">” sākotnējās ietekmes novērtējuma </w:t>
    </w:r>
    <w:smartTag w:uri="schemas-tilde-lv/tildestengine" w:element="veidnes">
      <w:smartTagPr>
        <w:attr w:name="baseform" w:val="ziņojums"/>
        <w:attr w:name="id" w:val="-1"/>
        <w:attr w:name="text" w:val="ziņojums"/>
      </w:smartTagPr>
      <w:r w:rsidRPr="00650F6A">
        <w:rPr>
          <w:szCs w:val="28"/>
        </w:rPr>
        <w:t>ziņojums</w:t>
      </w:r>
    </w:smartTag>
    <w:r w:rsidRPr="00650F6A">
      <w:rPr>
        <w:szCs w:val="28"/>
      </w:rPr>
      <w:t xml:space="preserve"> (anotācija)</w:t>
    </w:r>
  </w:p>
  <w:p w:rsidR="00A4422D" w:rsidRPr="00A4422D" w:rsidP="00A4422D" w14:paraId="009EBA2C" w14:textId="061A50B9">
    <w:pPr>
      <w:jc w:val="both"/>
      <w:rPr>
        <w:szCs w:val="28"/>
      </w:rPr>
    </w:pPr>
  </w:p>
  <w:p w:rsidR="00A4422D" w:rsidRPr="00CF73C4" w:rsidP="00A4422D" w14:paraId="1D84D692" w14:textId="5E0D3FE1">
    <w:r w:rsidRPr="00CF73C4">
      <w:t xml:space="preserve"> </w:t>
    </w:r>
  </w:p>
  <w:p w:rsidR="00A4422D" w14:paraId="37B45DF2" w14:textId="777777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6913502"/>
      <w:docPartObj>
        <w:docPartGallery w:val="Page Numbers (Top of Page)"/>
        <w:docPartUnique/>
      </w:docPartObj>
    </w:sdtPr>
    <w:sdtEndPr>
      <w:rPr>
        <w:noProof/>
      </w:rPr>
    </w:sdtEndPr>
    <w:sdtContent>
      <w:p w:rsidR="0007078D" w14:paraId="69B30C5E" w14:textId="16308BB6">
        <w:pPr>
          <w:pStyle w:val="Header"/>
          <w:jc w:val="center"/>
        </w:pPr>
        <w:r>
          <w:fldChar w:fldCharType="begin"/>
        </w:r>
        <w:r>
          <w:instrText xml:space="preserve"> PAGE   \* MERGEFORMAT </w:instrText>
        </w:r>
        <w:r>
          <w:fldChar w:fldCharType="separate"/>
        </w:r>
        <w:r w:rsidR="000F42FB">
          <w:rPr>
            <w:noProof/>
          </w:rPr>
          <w:t>8</w:t>
        </w:r>
        <w:r>
          <w:rPr>
            <w:noProof/>
          </w:rPr>
          <w:fldChar w:fldCharType="end"/>
        </w:r>
      </w:p>
    </w:sdtContent>
  </w:sdt>
  <w:p w:rsidR="0007078D" w:rsidP="00917D89" w14:paraId="2E81ABC5" w14:textId="777777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8677E"/>
    <w:multiLevelType w:val="multilevel"/>
    <w:tmpl w:val="45728D40"/>
    <w:lvl w:ilvl="0">
      <w:start w:val="1"/>
      <w:numFmt w:val="decimal"/>
      <w:lvlText w:val="%1."/>
      <w:lvlJc w:val="left"/>
      <w:pPr>
        <w:ind w:left="720" w:hanging="360"/>
      </w:pPr>
      <w:rPr>
        <w:rFonts w:hint="default"/>
        <w:i w:val="0"/>
      </w:rPr>
    </w:lvl>
    <w:lvl w:ilvl="1">
      <w:start w:val="1"/>
      <w:numFmt w:val="decimal"/>
      <w:isLgl/>
      <w:lvlText w:val="%1.%2."/>
      <w:lvlJc w:val="left"/>
      <w:pPr>
        <w:ind w:left="6107" w:hanging="720"/>
      </w:pPr>
      <w:rPr>
        <w:rFonts w:ascii="Times New Roman" w:hAnsi="Times New Roman" w:hint="default"/>
        <w:sz w:val="28"/>
        <w:szCs w:val="28"/>
      </w:rPr>
    </w:lvl>
    <w:lvl w:ilvl="2">
      <w:start w:val="1"/>
      <w:numFmt w:val="decimal"/>
      <w:isLgl/>
      <w:lvlText w:val="%1.%2.%3."/>
      <w:lvlJc w:val="left"/>
      <w:pPr>
        <w:ind w:left="1080" w:hanging="720"/>
      </w:pPr>
      <w:rPr>
        <w:rFonts w:ascii="Times New Roman" w:hAnsi="Times New Roman" w:hint="default"/>
        <w:sz w:val="28"/>
        <w:szCs w:val="28"/>
      </w:rPr>
    </w:lvl>
    <w:lvl w:ilvl="3">
      <w:start w:val="1"/>
      <w:numFmt w:val="decimal"/>
      <w:isLgl/>
      <w:lvlText w:val="%1.%2.%3.%4."/>
      <w:lvlJc w:val="left"/>
      <w:pPr>
        <w:ind w:left="1440" w:hanging="1080"/>
      </w:pPr>
      <w:rPr>
        <w:rFonts w:ascii="Calibri" w:hAnsi="Calibri" w:hint="default"/>
        <w:sz w:val="22"/>
        <w:szCs w:val="22"/>
      </w:rPr>
    </w:lvl>
    <w:lvl w:ilvl="4">
      <w:start w:val="1"/>
      <w:numFmt w:val="decimal"/>
      <w:isLgl/>
      <w:lvlText w:val="%1.%2.%3.%4.%5."/>
      <w:lvlJc w:val="left"/>
      <w:pPr>
        <w:ind w:left="1440" w:hanging="1080"/>
      </w:pPr>
      <w:rPr>
        <w:rFonts w:ascii="Calibri" w:hAnsi="Calibri" w:hint="default"/>
        <w:sz w:val="22"/>
        <w:szCs w:val="22"/>
      </w:rPr>
    </w:lvl>
    <w:lvl w:ilvl="5">
      <w:start w:val="1"/>
      <w:numFmt w:val="decimal"/>
      <w:isLgl/>
      <w:lvlText w:val="%1.%2.%3.%4.%5.%6."/>
      <w:lvlJc w:val="left"/>
      <w:pPr>
        <w:ind w:left="1800" w:hanging="1440"/>
      </w:pPr>
      <w:rPr>
        <w:rFonts w:ascii="Calibri" w:hAnsi="Calibri" w:hint="default"/>
        <w:sz w:val="22"/>
        <w:szCs w:val="22"/>
      </w:rPr>
    </w:lvl>
    <w:lvl w:ilvl="6">
      <w:start w:val="1"/>
      <w:numFmt w:val="decimal"/>
      <w:isLgl/>
      <w:lvlText w:val="%1.%2.%3.%4.%5.%6.%7."/>
      <w:lvlJc w:val="left"/>
      <w:pPr>
        <w:ind w:left="2160" w:hanging="1800"/>
      </w:pPr>
      <w:rPr>
        <w:rFonts w:ascii="Calibri" w:hAnsi="Calibri" w:hint="default"/>
        <w:sz w:val="22"/>
        <w:szCs w:val="22"/>
      </w:rPr>
    </w:lvl>
    <w:lvl w:ilvl="7">
      <w:start w:val="1"/>
      <w:numFmt w:val="decimal"/>
      <w:isLgl/>
      <w:lvlText w:val="%1.%2.%3.%4.%5.%6.%7.%8."/>
      <w:lvlJc w:val="left"/>
      <w:pPr>
        <w:ind w:left="2160" w:hanging="1800"/>
      </w:pPr>
      <w:rPr>
        <w:rFonts w:ascii="Calibri" w:hAnsi="Calibri" w:hint="default"/>
        <w:sz w:val="22"/>
        <w:szCs w:val="22"/>
      </w:rPr>
    </w:lvl>
    <w:lvl w:ilvl="8">
      <w:start w:val="1"/>
      <w:numFmt w:val="decimal"/>
      <w:isLgl/>
      <w:lvlText w:val="%1.%2.%3.%4.%5.%6.%7.%8.%9."/>
      <w:lvlJc w:val="left"/>
      <w:pPr>
        <w:ind w:left="2520" w:hanging="2160"/>
      </w:pPr>
      <w:rPr>
        <w:rFonts w:ascii="Calibri" w:hAnsi="Calibri" w:hint="default"/>
        <w:sz w:val="22"/>
        <w:szCs w:val="22"/>
      </w:rPr>
    </w:lvl>
  </w:abstractNum>
  <w:abstractNum w:abstractNumId="1">
    <w:nsid w:val="1BD3262E"/>
    <w:multiLevelType w:val="hybridMultilevel"/>
    <w:tmpl w:val="D8AA9F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7038C7"/>
    <w:multiLevelType w:val="hybridMultilevel"/>
    <w:tmpl w:val="F95611B0"/>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8EA5A91"/>
    <w:multiLevelType w:val="hybridMultilevel"/>
    <w:tmpl w:val="501CBFA8"/>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8468B4"/>
    <w:multiLevelType w:val="hybridMultilevel"/>
    <w:tmpl w:val="FA6A794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C8A219E"/>
    <w:multiLevelType w:val="hybridMultilevel"/>
    <w:tmpl w:val="31DA0020"/>
    <w:lvl w:ilvl="0">
      <w:start w:val="3"/>
      <w:numFmt w:val="bullet"/>
      <w:lvlText w:val="-"/>
      <w:lvlJc w:val="left"/>
      <w:pPr>
        <w:ind w:left="453" w:hanging="360"/>
      </w:pPr>
      <w:rPr>
        <w:rFonts w:ascii="Times New Roman" w:eastAsia="Calibri" w:hAnsi="Times New Roman" w:cs="Times New Roman" w:hint="default"/>
        <w:sz w:val="24"/>
      </w:rPr>
    </w:lvl>
    <w:lvl w:ilvl="1" w:tentative="1">
      <w:start w:val="1"/>
      <w:numFmt w:val="bullet"/>
      <w:lvlText w:val="o"/>
      <w:lvlJc w:val="left"/>
      <w:pPr>
        <w:ind w:left="1173" w:hanging="360"/>
      </w:pPr>
      <w:rPr>
        <w:rFonts w:ascii="Courier New" w:hAnsi="Courier New" w:cs="Courier New" w:hint="default"/>
      </w:rPr>
    </w:lvl>
    <w:lvl w:ilvl="2" w:tentative="1">
      <w:start w:val="1"/>
      <w:numFmt w:val="bullet"/>
      <w:lvlText w:val=""/>
      <w:lvlJc w:val="left"/>
      <w:pPr>
        <w:ind w:left="1893" w:hanging="360"/>
      </w:pPr>
      <w:rPr>
        <w:rFonts w:ascii="Wingdings" w:hAnsi="Wingdings" w:hint="default"/>
      </w:rPr>
    </w:lvl>
    <w:lvl w:ilvl="3" w:tentative="1">
      <w:start w:val="1"/>
      <w:numFmt w:val="bullet"/>
      <w:lvlText w:val=""/>
      <w:lvlJc w:val="left"/>
      <w:pPr>
        <w:ind w:left="2613" w:hanging="360"/>
      </w:pPr>
      <w:rPr>
        <w:rFonts w:ascii="Symbol" w:hAnsi="Symbol" w:hint="default"/>
      </w:rPr>
    </w:lvl>
    <w:lvl w:ilvl="4" w:tentative="1">
      <w:start w:val="1"/>
      <w:numFmt w:val="bullet"/>
      <w:lvlText w:val="o"/>
      <w:lvlJc w:val="left"/>
      <w:pPr>
        <w:ind w:left="3333" w:hanging="360"/>
      </w:pPr>
      <w:rPr>
        <w:rFonts w:ascii="Courier New" w:hAnsi="Courier New" w:cs="Courier New" w:hint="default"/>
      </w:rPr>
    </w:lvl>
    <w:lvl w:ilvl="5" w:tentative="1">
      <w:start w:val="1"/>
      <w:numFmt w:val="bullet"/>
      <w:lvlText w:val=""/>
      <w:lvlJc w:val="left"/>
      <w:pPr>
        <w:ind w:left="4053" w:hanging="360"/>
      </w:pPr>
      <w:rPr>
        <w:rFonts w:ascii="Wingdings" w:hAnsi="Wingdings" w:hint="default"/>
      </w:rPr>
    </w:lvl>
    <w:lvl w:ilvl="6" w:tentative="1">
      <w:start w:val="1"/>
      <w:numFmt w:val="bullet"/>
      <w:lvlText w:val=""/>
      <w:lvlJc w:val="left"/>
      <w:pPr>
        <w:ind w:left="4773" w:hanging="360"/>
      </w:pPr>
      <w:rPr>
        <w:rFonts w:ascii="Symbol" w:hAnsi="Symbol" w:hint="default"/>
      </w:rPr>
    </w:lvl>
    <w:lvl w:ilvl="7" w:tentative="1">
      <w:start w:val="1"/>
      <w:numFmt w:val="bullet"/>
      <w:lvlText w:val="o"/>
      <w:lvlJc w:val="left"/>
      <w:pPr>
        <w:ind w:left="5493" w:hanging="360"/>
      </w:pPr>
      <w:rPr>
        <w:rFonts w:ascii="Courier New" w:hAnsi="Courier New" w:cs="Courier New" w:hint="default"/>
      </w:rPr>
    </w:lvl>
    <w:lvl w:ilvl="8" w:tentative="1">
      <w:start w:val="1"/>
      <w:numFmt w:val="bullet"/>
      <w:lvlText w:val=""/>
      <w:lvlJc w:val="left"/>
      <w:pPr>
        <w:ind w:left="6213" w:hanging="360"/>
      </w:pPr>
      <w:rPr>
        <w:rFonts w:ascii="Wingdings" w:hAnsi="Wingdings" w:hint="default"/>
      </w:rPr>
    </w:lvl>
  </w:abstractNum>
  <w:abstractNum w:abstractNumId="6">
    <w:nsid w:val="51DC1E2F"/>
    <w:multiLevelType w:val="hybridMultilevel"/>
    <w:tmpl w:val="667E8F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A7602D"/>
    <w:multiLevelType w:val="hybridMultilevel"/>
    <w:tmpl w:val="681ED868"/>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0C870CE"/>
    <w:multiLevelType w:val="hybridMultilevel"/>
    <w:tmpl w:val="E79AC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FD6AA6"/>
    <w:multiLevelType w:val="hybridMultilevel"/>
    <w:tmpl w:val="6F9AEF3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98197B-D9E9-4CAC-995F-FDB6C42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02EDD"/>
    <w:pPr>
      <w:spacing w:before="75" w:after="75"/>
      <w:ind w:firstLine="375"/>
      <w:jc w:val="both"/>
    </w:pPr>
  </w:style>
  <w:style w:type="character" w:styleId="Hyperlink">
    <w:name w:val="Hyperlink"/>
    <w:rsid w:val="00C02EDD"/>
    <w:rPr>
      <w:rFonts w:cs="Times New Roman"/>
      <w:color w:val="0000FF"/>
      <w:u w:val="single"/>
    </w:rPr>
  </w:style>
  <w:style w:type="paragraph" w:customStyle="1" w:styleId="naisnod">
    <w:name w:val="naisnod"/>
    <w:basedOn w:val="Normal"/>
    <w:rsid w:val="00C02EDD"/>
    <w:pPr>
      <w:spacing w:before="150" w:after="150"/>
      <w:jc w:val="center"/>
    </w:pPr>
    <w:rPr>
      <w:b/>
      <w:bCs/>
    </w:rPr>
  </w:style>
  <w:style w:type="paragraph" w:customStyle="1" w:styleId="naiskr">
    <w:name w:val="naiskr"/>
    <w:basedOn w:val="Normal"/>
    <w:rsid w:val="00C02EDD"/>
    <w:pPr>
      <w:spacing w:before="75" w:after="75"/>
    </w:pPr>
  </w:style>
  <w:style w:type="paragraph" w:customStyle="1" w:styleId="naisc">
    <w:name w:val="naisc"/>
    <w:basedOn w:val="Normal"/>
    <w:rsid w:val="00C02EDD"/>
    <w:pPr>
      <w:spacing w:before="75" w:after="75"/>
      <w:jc w:val="center"/>
    </w:pPr>
  </w:style>
  <w:style w:type="character" w:styleId="Strong">
    <w:name w:val="Strong"/>
    <w:uiPriority w:val="22"/>
    <w:qFormat/>
    <w:rsid w:val="00C02EDD"/>
    <w:rPr>
      <w:b/>
      <w:bCs/>
    </w:rPr>
  </w:style>
  <w:style w:type="paragraph" w:customStyle="1" w:styleId="tv2161">
    <w:name w:val="tv2161"/>
    <w:basedOn w:val="Normal"/>
    <w:rsid w:val="00C02EDD"/>
    <w:pPr>
      <w:spacing w:before="240" w:line="360" w:lineRule="auto"/>
      <w:ind w:firstLine="259"/>
      <w:jc w:val="right"/>
    </w:pPr>
    <w:rPr>
      <w:rFonts w:ascii="Verdana" w:hAnsi="Verdana"/>
      <w:sz w:val="16"/>
      <w:szCs w:val="16"/>
      <w:lang w:eastAsia="en-US"/>
    </w:rPr>
  </w:style>
  <w:style w:type="paragraph" w:styleId="ListParagraph">
    <w:name w:val="List Paragraph"/>
    <w:basedOn w:val="Normal"/>
    <w:link w:val="ListParagraphChar"/>
    <w:uiPriority w:val="99"/>
    <w:qFormat/>
    <w:rsid w:val="00C02EDD"/>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C02EDD"/>
    <w:pPr>
      <w:spacing w:before="100" w:beforeAutospacing="1" w:after="100" w:afterAutospacing="1"/>
    </w:pPr>
  </w:style>
  <w:style w:type="paragraph" w:styleId="Footer">
    <w:name w:val="footer"/>
    <w:basedOn w:val="Normal"/>
    <w:link w:val="FooterChar"/>
    <w:uiPriority w:val="99"/>
    <w:unhideWhenUsed/>
    <w:rsid w:val="00C02EDD"/>
    <w:pPr>
      <w:tabs>
        <w:tab w:val="center" w:pos="4153"/>
        <w:tab w:val="right" w:pos="8306"/>
      </w:tabs>
    </w:pPr>
  </w:style>
  <w:style w:type="character" w:customStyle="1" w:styleId="FooterChar">
    <w:name w:val="Footer Char"/>
    <w:basedOn w:val="DefaultParagraphFont"/>
    <w:link w:val="Footer"/>
    <w:uiPriority w:val="99"/>
    <w:rsid w:val="00C02ED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02EDD"/>
    <w:pPr>
      <w:tabs>
        <w:tab w:val="center" w:pos="4153"/>
        <w:tab w:val="right" w:pos="8306"/>
      </w:tabs>
    </w:pPr>
  </w:style>
  <w:style w:type="character" w:customStyle="1" w:styleId="HeaderChar">
    <w:name w:val="Header Char"/>
    <w:basedOn w:val="DefaultParagraphFont"/>
    <w:link w:val="Header"/>
    <w:uiPriority w:val="99"/>
    <w:rsid w:val="00C02ED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2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E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321A0"/>
    <w:rPr>
      <w:sz w:val="16"/>
      <w:szCs w:val="16"/>
    </w:rPr>
  </w:style>
  <w:style w:type="paragraph" w:styleId="CommentText">
    <w:name w:val="annotation text"/>
    <w:basedOn w:val="Normal"/>
    <w:link w:val="CommentTextChar"/>
    <w:uiPriority w:val="99"/>
    <w:semiHidden/>
    <w:unhideWhenUsed/>
    <w:rsid w:val="00F321A0"/>
    <w:rPr>
      <w:sz w:val="20"/>
      <w:szCs w:val="20"/>
    </w:rPr>
  </w:style>
  <w:style w:type="character" w:customStyle="1" w:styleId="CommentTextChar">
    <w:name w:val="Comment Text Char"/>
    <w:basedOn w:val="DefaultParagraphFont"/>
    <w:link w:val="CommentText"/>
    <w:uiPriority w:val="99"/>
    <w:semiHidden/>
    <w:rsid w:val="00F321A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21A0"/>
    <w:rPr>
      <w:b/>
      <w:bCs/>
    </w:rPr>
  </w:style>
  <w:style w:type="character" w:customStyle="1" w:styleId="CommentSubjectChar">
    <w:name w:val="Comment Subject Char"/>
    <w:basedOn w:val="CommentTextChar"/>
    <w:link w:val="CommentSubject"/>
    <w:uiPriority w:val="99"/>
    <w:semiHidden/>
    <w:rsid w:val="00F321A0"/>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42800"/>
    <w:rPr>
      <w:color w:val="954F72" w:themeColor="followedHyperlink"/>
      <w:u w:val="single"/>
    </w:rPr>
  </w:style>
  <w:style w:type="character" w:customStyle="1" w:styleId="ListParagraphChar">
    <w:name w:val="List Paragraph Char"/>
    <w:link w:val="ListParagraph"/>
    <w:uiPriority w:val="34"/>
    <w:locked/>
    <w:rsid w:val="0000341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11433</Words>
  <Characters>6517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Guna Bērziņa</cp:lastModifiedBy>
  <cp:revision>3</cp:revision>
  <dcterms:created xsi:type="dcterms:W3CDTF">2017-04-24T12:00:00Z</dcterms:created>
  <dcterms:modified xsi:type="dcterms:W3CDTF">2017-04-25T08:23:00Z</dcterms:modified>
</cp:coreProperties>
</file>