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771C3C" w:rsidRPr="0043346E" w:rsidP="00575B7F">
      <w:pPr>
        <w:pStyle w:val="naisc"/>
        <w:spacing w:before="0" w:after="0"/>
        <w:rPr>
          <w:b/>
          <w:sz w:val="28"/>
          <w:szCs w:val="28"/>
        </w:rPr>
      </w:pPr>
      <w:bookmarkStart w:id="0" w:name="OLE_LINK1"/>
      <w:bookmarkStart w:id="1" w:name="OLE_LINK2"/>
      <w:bookmarkStart w:id="2" w:name="OLE_LINK3"/>
      <w:bookmarkStart w:id="3" w:name="OLE_LINK4"/>
      <w:bookmarkStart w:id="4" w:name="OLE_LINK5"/>
      <w:r w:rsidRPr="00EE1172">
        <w:rPr>
          <w:b/>
          <w:sz w:val="28"/>
          <w:szCs w:val="28"/>
        </w:rPr>
        <w:t>Likum</w:t>
      </w:r>
      <w:r w:rsidRPr="00EE1172" w:rsidR="0043346E">
        <w:rPr>
          <w:b/>
          <w:sz w:val="28"/>
          <w:szCs w:val="28"/>
        </w:rPr>
        <w:t xml:space="preserve">projekta </w:t>
      </w:r>
      <w:r w:rsidRPr="00EE1172" w:rsidR="00E559C9">
        <w:rPr>
          <w:b/>
          <w:bCs/>
          <w:sz w:val="28"/>
          <w:szCs w:val="28"/>
        </w:rPr>
        <w:t>"</w:t>
      </w:r>
      <w:r w:rsidR="00AE6525">
        <w:rPr>
          <w:b/>
          <w:sz w:val="28"/>
          <w:szCs w:val="28"/>
        </w:rPr>
        <w:t>Grozījumi</w:t>
      </w:r>
      <w:r w:rsidRPr="00EE1172" w:rsidR="000C053E">
        <w:rPr>
          <w:b/>
          <w:sz w:val="28"/>
          <w:szCs w:val="28"/>
        </w:rPr>
        <w:t xml:space="preserve"> </w:t>
      </w:r>
      <w:r w:rsidRPr="00EE1172">
        <w:rPr>
          <w:b/>
          <w:sz w:val="28"/>
          <w:szCs w:val="28"/>
        </w:rPr>
        <w:t>Epidemioloģiskās drošības likumā</w:t>
      </w:r>
      <w:r w:rsidRPr="00EE1172" w:rsidR="00E559C9">
        <w:rPr>
          <w:b/>
          <w:bCs/>
          <w:sz w:val="28"/>
          <w:szCs w:val="28"/>
        </w:rPr>
        <w:t>"</w:t>
      </w:r>
      <w:r w:rsidRPr="0043346E" w:rsidR="0043346E">
        <w:rPr>
          <w:b/>
          <w:sz w:val="28"/>
          <w:szCs w:val="28"/>
        </w:rPr>
        <w:t xml:space="preserve"> sākotnējās ietekmes novērtējuma ziņojums (anotācija)</w:t>
      </w:r>
    </w:p>
    <w:p w:rsidR="0043346E" w:rsidRPr="004418E4" w:rsidP="00575B7F">
      <w:pPr>
        <w:pStyle w:val="naisc"/>
        <w:spacing w:before="0" w:after="0"/>
        <w:rPr>
          <w:b/>
          <w:bCs/>
          <w:sz w:val="28"/>
          <w:szCs w:val="28"/>
        </w:rPr>
      </w:pPr>
      <w:bookmarkEnd w:id="0"/>
      <w:bookmarkEnd w:id="1"/>
      <w:bookmarkEnd w:id="2"/>
      <w:bookmarkEnd w:id="3"/>
      <w:bookmarkEnd w:id="4"/>
    </w:p>
    <w:tbl>
      <w:tblPr>
        <w:tblStyle w:val="TableGrid"/>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528"/>
        <w:gridCol w:w="2181"/>
        <w:gridCol w:w="6502"/>
      </w:tblGrid>
      <w:tr w:rsidTr="003E3BF4">
        <w:tblPrEx>
          <w:tblW w:w="92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Ex>
        <w:tc>
          <w:tcPr>
            <w:tcW w:w="9211" w:type="dxa"/>
            <w:gridSpan w:val="3"/>
          </w:tcPr>
          <w:p w:rsidR="00771C3C" w:rsidRPr="00B914ED" w:rsidP="0073447B">
            <w:pPr>
              <w:pStyle w:val="naisc"/>
              <w:spacing w:before="20" w:after="20"/>
            </w:pPr>
            <w:r w:rsidRPr="00B914ED">
              <w:rPr>
                <w:b/>
                <w:bCs/>
              </w:rPr>
              <w:t> I. Tiesību akta projekta izstrādes nepieciešamība</w:t>
            </w:r>
          </w:p>
        </w:tc>
      </w:tr>
      <w:tr w:rsidTr="003E3BF4">
        <w:tblPrEx>
          <w:tblW w:w="9211" w:type="dxa"/>
          <w:tblLook w:val="0000"/>
        </w:tblPrEx>
        <w:trPr>
          <w:trHeight w:val="464"/>
        </w:trPr>
        <w:tc>
          <w:tcPr>
            <w:tcW w:w="528" w:type="dxa"/>
          </w:tcPr>
          <w:p w:rsidR="00771C3C" w:rsidRPr="00765024" w:rsidP="0073447B">
            <w:pPr>
              <w:pStyle w:val="naiskr"/>
              <w:spacing w:before="20" w:after="20"/>
              <w:jc w:val="center"/>
            </w:pPr>
            <w:r w:rsidRPr="00765024">
              <w:t>1.</w:t>
            </w:r>
          </w:p>
        </w:tc>
        <w:tc>
          <w:tcPr>
            <w:tcW w:w="2181" w:type="dxa"/>
          </w:tcPr>
          <w:p w:rsidR="00771C3C" w:rsidRPr="00765024" w:rsidP="0073447B">
            <w:pPr>
              <w:pStyle w:val="naislab"/>
              <w:spacing w:before="20" w:after="20"/>
              <w:jc w:val="left"/>
            </w:pPr>
            <w:r w:rsidRPr="00765024">
              <w:t>Pamatojums</w:t>
            </w:r>
          </w:p>
        </w:tc>
        <w:tc>
          <w:tcPr>
            <w:tcW w:w="6502" w:type="dxa"/>
          </w:tcPr>
          <w:p w:rsidR="00917401" w:rsidRPr="00765024" w:rsidP="001A51C8">
            <w:pPr>
              <w:pStyle w:val="naiskr"/>
              <w:spacing w:before="20" w:after="20"/>
              <w:jc w:val="both"/>
            </w:pPr>
            <w:r w:rsidRPr="00765024">
              <w:t xml:space="preserve">Informatīvais ziņojums </w:t>
            </w:r>
            <w:r w:rsidRPr="00765024">
              <w:rPr>
                <w:bCs/>
                <w:i/>
              </w:rPr>
              <w:t>"</w:t>
            </w:r>
            <w:r w:rsidRPr="00765024">
              <w:rPr>
                <w:i/>
              </w:rPr>
              <w:t>Nozaru administratīvo pārkāpumu kodifikācijas ieviešanas sistēma</w:t>
            </w:r>
            <w:r w:rsidRPr="00765024">
              <w:rPr>
                <w:bCs/>
                <w:i/>
              </w:rPr>
              <w:t>"</w:t>
            </w:r>
            <w:r w:rsidRPr="00765024">
              <w:rPr>
                <w:i/>
              </w:rPr>
              <w:t xml:space="preserve"> </w:t>
            </w:r>
            <w:r w:rsidRPr="00765024">
              <w:t>(Ministru kabineta 2014. gada 22. aprīļa sēdes protokola Nr. 24 26.§) nosaka uzdevumu ministrijām sagatavot attiecīgus grozījumus likumos,</w:t>
            </w:r>
            <w:r w:rsidRPr="00765024" w:rsidR="000609EA">
              <w:t xml:space="preserve"> </w:t>
            </w:r>
            <w:r w:rsidRPr="00765024">
              <w:t>lai ietvertu administratīvo atbildību par pārkāpumiem attiecīgajā jomā.</w:t>
            </w:r>
          </w:p>
          <w:p w:rsidR="004C02AC" w:rsidRPr="00765024" w:rsidP="0006476C">
            <w:pPr>
              <w:pStyle w:val="naiskr"/>
              <w:spacing w:before="20" w:after="20"/>
              <w:jc w:val="both"/>
            </w:pPr>
            <w:r w:rsidRPr="00765024">
              <w:t>Ministru kabineta 201</w:t>
            </w:r>
            <w:r w:rsidRPr="00765024" w:rsidR="007177A0">
              <w:t>4</w:t>
            </w:r>
            <w:r w:rsidRPr="00765024">
              <w:t xml:space="preserve">. gada </w:t>
            </w:r>
            <w:r w:rsidRPr="00765024" w:rsidR="007177A0">
              <w:t>22</w:t>
            </w:r>
            <w:r w:rsidRPr="00765024">
              <w:t xml:space="preserve">. </w:t>
            </w:r>
            <w:r w:rsidRPr="00765024" w:rsidR="007177A0">
              <w:t>aprīļa</w:t>
            </w:r>
            <w:r w:rsidRPr="00765024">
              <w:t xml:space="preserve"> sēdes protokola Nr.2</w:t>
            </w:r>
            <w:r w:rsidRPr="00765024" w:rsidR="007177A0">
              <w:t>4</w:t>
            </w:r>
            <w:r w:rsidRPr="00765024">
              <w:t xml:space="preserve"> </w:t>
            </w:r>
            <w:r w:rsidRPr="00765024" w:rsidR="007177A0">
              <w:t>26</w:t>
            </w:r>
            <w:r w:rsidRPr="00765024">
              <w:t>.§ 2.</w:t>
            </w:r>
            <w:r w:rsidRPr="00765024" w:rsidR="001A51C8">
              <w:t xml:space="preserve"> un 3. </w:t>
            </w:r>
            <w:r w:rsidRPr="00765024">
              <w:t>punktā noteiktais (</w:t>
            </w:r>
            <w:r w:rsidRPr="00765024" w:rsidR="001A51C8">
              <w:t>ministrijām, kas atbildīgas par attiecīgo likumprojektu sagatavošanu un virzību, izstrādāt attiecīgos likumprojektus, izstrādātos likumprojektus pirms to izsludināšanas Valsts sekretāru sanāksmē nodot apspriešanai Tieslietu ministrijas izveidotajā Latvijas Administratīvo pārkāpumu kodeksa pastāvīgajā darba grupā, atbildīgo ministriju ministriem saskaņotos likumprojektus iesniegt noteiktā kārtībā Ministru kabinetā</w:t>
            </w:r>
            <w:r w:rsidRPr="00765024">
              <w:t>)</w:t>
            </w:r>
            <w:r w:rsidRPr="00765024" w:rsidR="003F17CA">
              <w:t>.</w:t>
            </w:r>
          </w:p>
        </w:tc>
      </w:tr>
      <w:tr w:rsidTr="003E3BF4">
        <w:tblPrEx>
          <w:tblW w:w="9211" w:type="dxa"/>
          <w:tblLook w:val="0000"/>
        </w:tblPrEx>
        <w:trPr>
          <w:trHeight w:val="557"/>
        </w:trPr>
        <w:tc>
          <w:tcPr>
            <w:tcW w:w="528" w:type="dxa"/>
          </w:tcPr>
          <w:p w:rsidR="00771C3C" w:rsidRPr="00765024" w:rsidP="0073447B">
            <w:pPr>
              <w:pStyle w:val="naiskr"/>
              <w:spacing w:before="20" w:after="20"/>
              <w:jc w:val="center"/>
            </w:pPr>
            <w:r w:rsidRPr="00765024">
              <w:t>2.</w:t>
            </w:r>
          </w:p>
        </w:tc>
        <w:tc>
          <w:tcPr>
            <w:tcW w:w="2181" w:type="dxa"/>
          </w:tcPr>
          <w:p w:rsidR="00771C3C" w:rsidRPr="00765024" w:rsidP="0073447B">
            <w:pPr>
              <w:pStyle w:val="naiskr"/>
              <w:spacing w:before="20" w:after="20"/>
            </w:pPr>
            <w:r w:rsidRPr="00765024">
              <w:t>Pašreizējā situācija un problēmas, kuru risināšanai tiesību akta projekts izstrādāts, tiesiskā regulējuma mērķis un būtība</w:t>
            </w:r>
          </w:p>
        </w:tc>
        <w:tc>
          <w:tcPr>
            <w:tcW w:w="6502" w:type="dxa"/>
          </w:tcPr>
          <w:p w:rsidR="00F17500" w:rsidRPr="00765024" w:rsidP="00336A7D">
            <w:pPr>
              <w:jc w:val="both"/>
            </w:pPr>
            <w:r w:rsidRPr="00765024">
              <w:t xml:space="preserve">Pašreizējā situācija un problēmas, kas saistītas ar </w:t>
            </w:r>
            <w:r w:rsidRPr="00765024">
              <w:rPr>
                <w:i/>
              </w:rPr>
              <w:t>Latvijas Administratīvo pārkāpumu kodeks</w:t>
            </w:r>
            <w:r w:rsidRPr="00765024" w:rsidR="00093093">
              <w:rPr>
                <w:i/>
              </w:rPr>
              <w:t>u</w:t>
            </w:r>
            <w:r w:rsidRPr="00765024">
              <w:t xml:space="preserve"> (turpmāk – LAPK)</w:t>
            </w:r>
            <w:r w:rsidRPr="00765024" w:rsidR="00093093">
              <w:t xml:space="preserve"> ir izklāstītas</w:t>
            </w:r>
            <w:r w:rsidRPr="00765024" w:rsidR="00633147">
              <w:t xml:space="preserve"> </w:t>
            </w:r>
            <w:r w:rsidRPr="00765024" w:rsidR="008E34A6">
              <w:t>i</w:t>
            </w:r>
            <w:r w:rsidRPr="00765024" w:rsidR="00633147">
              <w:t>nformatīva</w:t>
            </w:r>
            <w:r w:rsidRPr="00765024" w:rsidR="00093093">
              <w:t>jā</w:t>
            </w:r>
            <w:r w:rsidRPr="00765024" w:rsidR="00633147">
              <w:t xml:space="preserve"> ziņojum</w:t>
            </w:r>
            <w:r w:rsidRPr="00765024" w:rsidR="00093093">
              <w:t>ā</w:t>
            </w:r>
            <w:r w:rsidRPr="00765024" w:rsidR="00633147">
              <w:t xml:space="preserve"> </w:t>
            </w:r>
            <w:r w:rsidRPr="00765024" w:rsidR="00415DC1">
              <w:rPr>
                <w:bCs/>
                <w:i/>
              </w:rPr>
              <w:t>"</w:t>
            </w:r>
            <w:r w:rsidRPr="00765024" w:rsidR="00633147">
              <w:rPr>
                <w:i/>
              </w:rPr>
              <w:t>Nozaru administratīvo pārkāpumu kodifikācijas ieviešanas sistēma</w:t>
            </w:r>
            <w:r w:rsidRPr="00765024" w:rsidR="00415DC1">
              <w:rPr>
                <w:bCs/>
                <w:i/>
              </w:rPr>
              <w:t>"</w:t>
            </w:r>
            <w:r w:rsidRPr="00765024" w:rsidR="00074412">
              <w:rPr>
                <w:i/>
              </w:rPr>
              <w:t xml:space="preserve"> </w:t>
            </w:r>
            <w:r w:rsidRPr="00765024" w:rsidR="00074412">
              <w:t>(Ministru kabineta 2014. gada 22. aprīļa sēdes protokola Nr. 24 26.§</w:t>
            </w:r>
            <w:r w:rsidR="00AE6525">
              <w:t>).</w:t>
            </w:r>
          </w:p>
          <w:p w:rsidR="00F17500" w:rsidRPr="00523724" w:rsidP="00F17500">
            <w:pPr>
              <w:pStyle w:val="naiskr"/>
              <w:spacing w:before="20" w:after="20"/>
              <w:jc w:val="both"/>
            </w:pPr>
            <w:r w:rsidRPr="00765024">
              <w:t xml:space="preserve">Likumprojekta </w:t>
            </w:r>
            <w:r w:rsidRPr="00AE6525" w:rsidR="00AE6525">
              <w:rPr>
                <w:bCs/>
                <w:i/>
              </w:rPr>
              <w:t>"</w:t>
            </w:r>
            <w:r w:rsidRPr="00AE6525" w:rsidR="00AE6525">
              <w:rPr>
                <w:i/>
              </w:rPr>
              <w:t>Grozījumi Epidemioloģiskās drošības likumā</w:t>
            </w:r>
            <w:r w:rsidRPr="00AE6525" w:rsidR="00AE6525">
              <w:rPr>
                <w:bCs/>
                <w:i/>
              </w:rPr>
              <w:t>"</w:t>
            </w:r>
            <w:r w:rsidR="00AE6525">
              <w:rPr>
                <w:bCs/>
                <w:i/>
              </w:rPr>
              <w:t xml:space="preserve"> </w:t>
            </w:r>
            <w:r w:rsidR="00AE6525">
              <w:rPr>
                <w:bCs/>
              </w:rPr>
              <w:t xml:space="preserve">(turpmāk – likumprojekts) </w:t>
            </w:r>
            <w:r w:rsidRPr="00765024">
              <w:t xml:space="preserve">mērķis ir Veselības inspekcijas kompetencē esošos </w:t>
            </w:r>
            <w:r w:rsidRPr="00765024">
              <w:rPr>
                <w:i/>
              </w:rPr>
              <w:t>LAPK</w:t>
            </w:r>
            <w:r w:rsidRPr="00765024">
              <w:t xml:space="preserve"> </w:t>
            </w:r>
            <w:r w:rsidR="00AE6525">
              <w:t xml:space="preserve">noteiktos </w:t>
            </w:r>
            <w:r w:rsidRPr="00765024">
              <w:t xml:space="preserve">administratīvos pārkāpumu pantus </w:t>
            </w:r>
            <w:r w:rsidRPr="00765024" w:rsidR="00917401">
              <w:t>(</w:t>
            </w:r>
            <w:r w:rsidR="00AE6525">
              <w:t xml:space="preserve">LAPK </w:t>
            </w:r>
            <w:r w:rsidRPr="00765024" w:rsidR="00917401">
              <w:t>42. u</w:t>
            </w:r>
            <w:r w:rsidRPr="00765024" w:rsidR="000609EA">
              <w:t>n 43.pants) ie</w:t>
            </w:r>
            <w:r w:rsidRPr="00765024">
              <w:t>t</w:t>
            </w:r>
            <w:r w:rsidRPr="00765024" w:rsidR="00917401">
              <w:t>vert</w:t>
            </w:r>
            <w:r w:rsidRPr="00765024">
              <w:t xml:space="preserve"> </w:t>
            </w:r>
            <w:r w:rsidRPr="00765024">
              <w:rPr>
                <w:i/>
              </w:rPr>
              <w:t>Epidemioloģiskās drošības likumā</w:t>
            </w:r>
            <w:r w:rsidRPr="00765024" w:rsidR="00917401">
              <w:rPr>
                <w:i/>
              </w:rPr>
              <w:t xml:space="preserve">. </w:t>
            </w:r>
            <w:r w:rsidRPr="00765024" w:rsidR="00917401">
              <w:t>M</w:t>
            </w:r>
            <w:r w:rsidRPr="00765024">
              <w:t>inēt</w:t>
            </w:r>
            <w:r w:rsidR="008F3A3B">
              <w:t>ajos</w:t>
            </w:r>
            <w:r w:rsidRPr="00765024">
              <w:t xml:space="preserve"> LAPK </w:t>
            </w:r>
            <w:r w:rsidR="008F3A3B">
              <w:t xml:space="preserve">pantos </w:t>
            </w:r>
            <w:r w:rsidR="00AE6525">
              <w:t xml:space="preserve">noteiktie </w:t>
            </w:r>
            <w:r w:rsidRPr="00765024">
              <w:t xml:space="preserve">administratīvie pārkāpumi aizskar </w:t>
            </w:r>
            <w:r w:rsidRPr="00765024" w:rsidR="000609EA">
              <w:t xml:space="preserve">būtiskas </w:t>
            </w:r>
            <w:r w:rsidRPr="00765024">
              <w:t xml:space="preserve">sabiedriskās intereses, tādēļ </w:t>
            </w:r>
            <w:r w:rsidRPr="00765024" w:rsidR="00917401">
              <w:rPr>
                <w:i/>
              </w:rPr>
              <w:t>Epidemioloģiskās drošības likumā</w:t>
            </w:r>
            <w:r w:rsidRPr="00765024" w:rsidR="00917401">
              <w:t xml:space="preserve"> </w:t>
            </w:r>
            <w:r w:rsidRPr="00523724">
              <w:t xml:space="preserve">nepieciešams </w:t>
            </w:r>
            <w:r w:rsidR="008F3A3B">
              <w:t>tos saglabāt.</w:t>
            </w:r>
          </w:p>
          <w:p w:rsidR="00803D6B" w:rsidRPr="001742D6" w:rsidP="001742D6">
            <w:pPr>
              <w:pStyle w:val="naiskr"/>
              <w:spacing w:before="20" w:after="20"/>
              <w:jc w:val="both"/>
            </w:pPr>
            <w:r w:rsidRPr="00523724">
              <w:t>Likumprojekta 1</w:t>
            </w:r>
            <w:r w:rsidR="008F3A3B">
              <w:t>.</w:t>
            </w:r>
            <w:r w:rsidRPr="00523724">
              <w:t xml:space="preserve">pants </w:t>
            </w:r>
            <w:r w:rsidR="008F3A3B">
              <w:t>paredz</w:t>
            </w:r>
            <w:r w:rsidRPr="00523724">
              <w:t xml:space="preserve"> izteikt jaunā redakcijā </w:t>
            </w:r>
            <w:r w:rsidRPr="00523724" w:rsidR="008F3A3B">
              <w:rPr>
                <w:i/>
              </w:rPr>
              <w:t>Epidemioloģiskās drošības likuma</w:t>
            </w:r>
            <w:r w:rsidRPr="00523724" w:rsidR="008F3A3B">
              <w:t xml:space="preserve"> </w:t>
            </w:r>
            <w:r w:rsidR="008F3A3B">
              <w:t>I</w:t>
            </w:r>
            <w:r w:rsidRPr="00523724">
              <w:t>X nodaļā esoš</w:t>
            </w:r>
            <w:r w:rsidR="008F3A3B">
              <w:t>o</w:t>
            </w:r>
            <w:r w:rsidRPr="00523724">
              <w:t xml:space="preserve"> 41.pantu. Līdzšinēj</w:t>
            </w:r>
            <w:r w:rsidR="008F3A3B">
              <w:t>ais</w:t>
            </w:r>
            <w:r w:rsidRPr="00523724">
              <w:t xml:space="preserve"> spēkā esošā </w:t>
            </w:r>
            <w:r w:rsidRPr="00523724">
              <w:rPr>
                <w:i/>
              </w:rPr>
              <w:t xml:space="preserve">Epidemioloģiskās drošības likuma </w:t>
            </w:r>
            <w:r w:rsidR="008F3A3B">
              <w:t>41.pants</w:t>
            </w:r>
            <w:r w:rsidRPr="00523724">
              <w:rPr>
                <w:b/>
                <w:bCs/>
              </w:rPr>
              <w:t xml:space="preserve"> </w:t>
            </w:r>
            <w:r w:rsidRPr="00523724">
              <w:rPr>
                <w:bCs/>
                <w:i/>
              </w:rPr>
              <w:t>“Atbildība par šā likuma pārkāpšanu”</w:t>
            </w:r>
            <w:r w:rsidRPr="00523724">
              <w:rPr>
                <w:b/>
                <w:bCs/>
              </w:rPr>
              <w:t xml:space="preserve"> </w:t>
            </w:r>
            <w:r w:rsidRPr="00523724">
              <w:rPr>
                <w:bCs/>
              </w:rPr>
              <w:t>nosaka:</w:t>
            </w:r>
            <w:r w:rsidRPr="00523724">
              <w:rPr>
                <w:b/>
                <w:bCs/>
              </w:rPr>
              <w:t xml:space="preserve"> </w:t>
            </w:r>
            <w:r w:rsidRPr="00523724">
              <w:rPr>
                <w:bCs/>
              </w:rPr>
              <w:t>“</w:t>
            </w:r>
            <w:r w:rsidRPr="00523724">
              <w:t>(1) Par šā likuma pārkāpumiem personas saucamas pie likumos noteiktās atbildības.</w:t>
            </w:r>
            <w:r w:rsidRPr="00523724" w:rsidR="001742D6">
              <w:t xml:space="preserve"> </w:t>
            </w:r>
            <w:r w:rsidRPr="00523724">
              <w:t>(2) Personu saukšana pie disciplinārās, administratīvās</w:t>
            </w:r>
            <w:r w:rsidRPr="001742D6">
              <w:t xml:space="preserve"> vai kriminālās atbildības neatbrīvo tās no pienākuma atlīdzināt šā likuma pārkāpumu rezultātā nodarītos zaudējumus.”</w:t>
            </w:r>
          </w:p>
          <w:p w:rsidR="00803D6B" w:rsidRPr="00D866E5" w:rsidP="007439CF">
            <w:pPr>
              <w:pStyle w:val="tv213"/>
              <w:shd w:val="clear" w:color="auto" w:fill="FFFFFF"/>
              <w:spacing w:before="0" w:beforeAutospacing="0" w:after="0" w:afterAutospacing="0" w:line="293" w:lineRule="atLeast"/>
              <w:jc w:val="both"/>
              <w:rPr>
                <w:lang w:val="lv-LV"/>
              </w:rPr>
            </w:pPr>
            <w:r w:rsidRPr="00D866E5">
              <w:rPr>
                <w:lang w:val="lv-LV"/>
              </w:rPr>
              <w:t>L</w:t>
            </w:r>
            <w:r w:rsidRPr="00D866E5" w:rsidR="00523724">
              <w:rPr>
                <w:lang w:val="lv-LV"/>
              </w:rPr>
              <w:t xml:space="preserve">ikumprojekta 1.pants </w:t>
            </w:r>
            <w:r w:rsidRPr="00D866E5">
              <w:rPr>
                <w:lang w:val="lv-LV"/>
              </w:rPr>
              <w:t xml:space="preserve">paredz </w:t>
            </w:r>
            <w:r w:rsidRPr="00D866E5" w:rsidR="001742D6">
              <w:rPr>
                <w:lang w:val="lv-LV"/>
              </w:rPr>
              <w:t xml:space="preserve">izteikt </w:t>
            </w:r>
            <w:r w:rsidRPr="00D866E5" w:rsidR="00523724">
              <w:rPr>
                <w:i/>
                <w:lang w:val="lv-LV"/>
              </w:rPr>
              <w:t xml:space="preserve">Epidemioloģiskās drošības likuma </w:t>
            </w:r>
            <w:r w:rsidRPr="00D866E5" w:rsidR="00523724">
              <w:rPr>
                <w:lang w:val="lv-LV"/>
              </w:rPr>
              <w:t>41.</w:t>
            </w:r>
            <w:r w:rsidRPr="00D866E5" w:rsidR="001742D6">
              <w:rPr>
                <w:lang w:val="lv-LV"/>
              </w:rPr>
              <w:t>pantu jaunā redakcijā</w:t>
            </w:r>
            <w:r w:rsidRPr="00D866E5" w:rsidR="00523724">
              <w:rPr>
                <w:lang w:val="lv-LV"/>
              </w:rPr>
              <w:t>, jo tiek</w:t>
            </w:r>
            <w:r w:rsidRPr="00D866E5" w:rsidR="001742D6">
              <w:rPr>
                <w:lang w:val="lv-LV"/>
              </w:rPr>
              <w:t xml:space="preserve"> </w:t>
            </w:r>
            <w:r w:rsidRPr="00D866E5">
              <w:rPr>
                <w:lang w:val="lv-LV"/>
              </w:rPr>
              <w:t>grozīt</w:t>
            </w:r>
            <w:r w:rsidRPr="00D866E5" w:rsidR="00523724">
              <w:rPr>
                <w:lang w:val="lv-LV"/>
              </w:rPr>
              <w:t>s</w:t>
            </w:r>
            <w:r w:rsidRPr="00D866E5">
              <w:rPr>
                <w:lang w:val="lv-LV"/>
              </w:rPr>
              <w:t xml:space="preserve"> </w:t>
            </w:r>
            <w:r w:rsidRPr="00D866E5" w:rsidR="001742D6">
              <w:rPr>
                <w:i/>
                <w:lang w:val="lv-LV"/>
              </w:rPr>
              <w:t xml:space="preserve">Epidemioloģiskās drošības likuma </w:t>
            </w:r>
            <w:r w:rsidRPr="00D866E5" w:rsidR="001742D6">
              <w:rPr>
                <w:lang w:val="lv-LV"/>
              </w:rPr>
              <w:t>41.panta</w:t>
            </w:r>
            <w:r w:rsidRPr="00D866E5" w:rsidR="001742D6">
              <w:rPr>
                <w:b/>
                <w:bCs/>
                <w:lang w:val="lv-LV"/>
              </w:rPr>
              <w:t xml:space="preserve"> </w:t>
            </w:r>
            <w:r w:rsidRPr="00D866E5" w:rsidR="001742D6">
              <w:rPr>
                <w:lang w:val="lv-LV"/>
              </w:rPr>
              <w:t>nosaukum</w:t>
            </w:r>
            <w:r w:rsidRPr="00D866E5" w:rsidR="00523724">
              <w:rPr>
                <w:lang w:val="lv-LV"/>
              </w:rPr>
              <w:t xml:space="preserve">s - </w:t>
            </w:r>
            <w:r w:rsidRPr="00D866E5" w:rsidR="001742D6">
              <w:rPr>
                <w:lang w:val="lv-LV"/>
              </w:rPr>
              <w:t xml:space="preserve">ar mērķi panta nosaukumā ietvert atbildību par </w:t>
            </w:r>
            <w:r w:rsidRPr="00D866E5" w:rsidR="008F3A3B">
              <w:rPr>
                <w:lang w:val="lv-LV"/>
              </w:rPr>
              <w:t xml:space="preserve">šā </w:t>
            </w:r>
            <w:r w:rsidRPr="00D866E5" w:rsidR="001742D6">
              <w:rPr>
                <w:lang w:val="lv-LV"/>
              </w:rPr>
              <w:t xml:space="preserve">likuma pārkāpuma rezultātā nodarītajiem zaudējumiem. </w:t>
            </w:r>
            <w:r w:rsidRPr="00D866E5" w:rsidR="008F3A3B">
              <w:rPr>
                <w:lang w:val="lv-LV"/>
              </w:rPr>
              <w:t>Turklāt t</w:t>
            </w:r>
            <w:r w:rsidRPr="00D866E5" w:rsidR="001742D6">
              <w:rPr>
                <w:lang w:val="lv-LV"/>
              </w:rPr>
              <w:t xml:space="preserve">iek </w:t>
            </w:r>
            <w:r w:rsidRPr="00D866E5">
              <w:rPr>
                <w:lang w:val="lv-LV"/>
              </w:rPr>
              <w:t>izslēgt</w:t>
            </w:r>
            <w:r w:rsidRPr="00D866E5" w:rsidR="001742D6">
              <w:rPr>
                <w:lang w:val="lv-LV"/>
              </w:rPr>
              <w:t>a</w:t>
            </w:r>
            <w:r w:rsidRPr="00D866E5">
              <w:rPr>
                <w:lang w:val="lv-LV"/>
              </w:rPr>
              <w:t xml:space="preserve"> </w:t>
            </w:r>
            <w:r w:rsidRPr="00D866E5" w:rsidR="00523724">
              <w:rPr>
                <w:i/>
                <w:lang w:val="lv-LV"/>
              </w:rPr>
              <w:t xml:space="preserve">Epidemioloģiskās drošības likuma </w:t>
            </w:r>
            <w:r w:rsidRPr="00D866E5" w:rsidR="00523724">
              <w:rPr>
                <w:lang w:val="lv-LV"/>
              </w:rPr>
              <w:t>41.panta</w:t>
            </w:r>
            <w:r w:rsidRPr="00D866E5">
              <w:rPr>
                <w:lang w:val="lv-LV"/>
              </w:rPr>
              <w:t xml:space="preserve"> pirm</w:t>
            </w:r>
            <w:r w:rsidRPr="00D866E5" w:rsidR="001742D6">
              <w:rPr>
                <w:lang w:val="lv-LV"/>
              </w:rPr>
              <w:t>ā</w:t>
            </w:r>
            <w:r w:rsidRPr="00D866E5">
              <w:rPr>
                <w:lang w:val="lv-LV"/>
              </w:rPr>
              <w:t xml:space="preserve"> da</w:t>
            </w:r>
            <w:r w:rsidRPr="00D866E5" w:rsidR="001742D6">
              <w:rPr>
                <w:lang w:val="lv-LV"/>
              </w:rPr>
              <w:t>ļa, kura ir deklaratīva, jo tā neietver konkrētu tiesisku regulējumu</w:t>
            </w:r>
            <w:r w:rsidRPr="00D866E5" w:rsidR="008F3A3B">
              <w:rPr>
                <w:lang w:val="lv-LV"/>
              </w:rPr>
              <w:t>.</w:t>
            </w:r>
          </w:p>
          <w:p w:rsidR="00803D6B" w:rsidRPr="001742D6" w:rsidP="00F17500">
            <w:pPr>
              <w:pStyle w:val="naiskr"/>
              <w:spacing w:before="20" w:after="20"/>
              <w:jc w:val="both"/>
              <w:rPr>
                <w:sz w:val="28"/>
                <w:szCs w:val="28"/>
              </w:rPr>
            </w:pPr>
          </w:p>
          <w:p w:rsidR="00F17500" w:rsidRPr="00765024" w:rsidP="00523724">
            <w:pPr>
              <w:jc w:val="both"/>
            </w:pPr>
            <w:r w:rsidRPr="00765024">
              <w:t>Likumprojekt</w:t>
            </w:r>
            <w:r w:rsidR="00523724">
              <w:t>a 2.pants</w:t>
            </w:r>
            <w:r w:rsidRPr="00765024">
              <w:t xml:space="preserve"> </w:t>
            </w:r>
            <w:r w:rsidR="008F3A3B">
              <w:t xml:space="preserve">paredz </w:t>
            </w:r>
            <w:r w:rsidRPr="00765024">
              <w:t>papildin</w:t>
            </w:r>
            <w:r w:rsidR="008F3A3B">
              <w:t>āt</w:t>
            </w:r>
            <w:r w:rsidRPr="00765024">
              <w:t xml:space="preserve"> </w:t>
            </w:r>
            <w:r w:rsidRPr="00765024">
              <w:rPr>
                <w:i/>
              </w:rPr>
              <w:t>Epidemioloģiskās drošības likum</w:t>
            </w:r>
            <w:r w:rsidRPr="00765024" w:rsidR="000609EA">
              <w:rPr>
                <w:i/>
              </w:rPr>
              <w:t>u</w:t>
            </w:r>
            <w:r w:rsidRPr="00765024">
              <w:t xml:space="preserve"> ar X nodaļu ”</w:t>
            </w:r>
            <w:r w:rsidRPr="00765024">
              <w:rPr>
                <w:i/>
              </w:rPr>
              <w:t xml:space="preserve">Administratīvā atbildība epidemioloģiskās drošības jomā un kompetence sodu </w:t>
            </w:r>
            <w:r w:rsidRPr="00765024">
              <w:rPr>
                <w:i/>
              </w:rPr>
              <w:t>piemērošanā</w:t>
            </w:r>
            <w:r w:rsidRPr="00765024">
              <w:t xml:space="preserve">”, kurā </w:t>
            </w:r>
            <w:r w:rsidRPr="00765024" w:rsidR="00F3393E">
              <w:t>pilnībā tiek pārņemts LAPK 42. un 43.</w:t>
            </w:r>
            <w:r w:rsidRPr="00765024" w:rsidR="00147E70">
              <w:t>p</w:t>
            </w:r>
            <w:r w:rsidRPr="00765024" w:rsidR="00F3393E">
              <w:t>ants</w:t>
            </w:r>
            <w:r w:rsidR="00523724">
              <w:t xml:space="preserve"> </w:t>
            </w:r>
            <w:r w:rsidRPr="00765024">
              <w:t xml:space="preserve">(LAPK 42.pants </w:t>
            </w:r>
            <w:r w:rsidRPr="00765024" w:rsidR="00917401">
              <w:t>”</w:t>
            </w:r>
            <w:r w:rsidRPr="00765024">
              <w:t>Epidemioloģiskās drošības prasību pārkāpšana</w:t>
            </w:r>
            <w:r w:rsidRPr="00765024" w:rsidR="00917401">
              <w:t>”</w:t>
            </w:r>
            <w:r w:rsidR="009D3A31">
              <w:t xml:space="preserve"> un</w:t>
            </w:r>
            <w:r w:rsidRPr="00765024">
              <w:t xml:space="preserve"> 43.pants </w:t>
            </w:r>
            <w:r w:rsidRPr="00765024" w:rsidR="00917401">
              <w:t>”</w:t>
            </w:r>
            <w:r w:rsidRPr="00765024" w:rsidR="00FF7598">
              <w:t xml:space="preserve">Sanitāri higiēnisko un sanitāri </w:t>
            </w:r>
            <w:r w:rsidR="008F3A3B">
              <w:t>pret</w:t>
            </w:r>
            <w:r w:rsidRPr="00765024" w:rsidR="00FF7598">
              <w:t>epidēmisko</w:t>
            </w:r>
            <w:r w:rsidRPr="00765024" w:rsidR="00FF7598">
              <w:t xml:space="preserve"> noteikumu pārkāpšana transportā</w:t>
            </w:r>
            <w:r w:rsidRPr="00765024" w:rsidR="00917401">
              <w:t>”</w:t>
            </w:r>
            <w:r w:rsidRPr="00765024" w:rsidR="00FF7598">
              <w:t>)</w:t>
            </w:r>
            <w:r w:rsidRPr="00765024" w:rsidR="000609EA">
              <w:t>.</w:t>
            </w:r>
          </w:p>
          <w:p w:rsidR="000E71B7" w:rsidP="00523724">
            <w:pPr>
              <w:jc w:val="both"/>
            </w:pPr>
            <w:r w:rsidRPr="00765024">
              <w:t>A</w:t>
            </w:r>
            <w:r w:rsidRPr="00765024" w:rsidR="00D87995">
              <w:t xml:space="preserve">r jauno </w:t>
            </w:r>
            <w:r w:rsidRPr="00765024" w:rsidR="00523724">
              <w:rPr>
                <w:i/>
              </w:rPr>
              <w:t>Epidemioloģiskās drošības likum</w:t>
            </w:r>
            <w:r w:rsidR="00523724">
              <w:rPr>
                <w:i/>
              </w:rPr>
              <w:t xml:space="preserve">a </w:t>
            </w:r>
            <w:r w:rsidRPr="00523724" w:rsidR="00523724">
              <w:t>42.panta</w:t>
            </w:r>
            <w:r w:rsidRPr="00765024" w:rsidR="00523724">
              <w:t xml:space="preserve"> </w:t>
            </w:r>
            <w:r w:rsidRPr="00765024" w:rsidR="00D87995">
              <w:t xml:space="preserve">regulējumu </w:t>
            </w:r>
            <w:r w:rsidRPr="00765024" w:rsidR="00FF7598">
              <w:t xml:space="preserve">iepriekšējais </w:t>
            </w:r>
            <w:r w:rsidRPr="00765024">
              <w:t xml:space="preserve">LAPK 42. un 43.panta </w:t>
            </w:r>
            <w:r w:rsidRPr="00765024" w:rsidR="00FF7598">
              <w:t>regulējums (</w:t>
            </w:r>
            <w:r w:rsidR="00D36B89">
              <w:t>epidemioloģiskās drošības prasību pārkāpšana,</w:t>
            </w:r>
            <w:r w:rsidR="004F3B60">
              <w:t xml:space="preserve"> </w:t>
            </w:r>
            <w:r w:rsidR="00D36B89">
              <w:t xml:space="preserve">kā arī </w:t>
            </w:r>
            <w:r w:rsidRPr="00765024" w:rsidR="00FF7598">
              <w:t xml:space="preserve">sanitāri higiēnisko un sanitāri </w:t>
            </w:r>
            <w:r w:rsidRPr="00765024" w:rsidR="00FF7598">
              <w:t>pretepidēmisko</w:t>
            </w:r>
            <w:r w:rsidRPr="00765024" w:rsidR="00FF7598">
              <w:t xml:space="preserve"> noteikumu pārkāpšana transportā, tajā skaitā dzelzceļa transportā, gaisa transportā</w:t>
            </w:r>
            <w:r w:rsidR="00D36B89">
              <w:t xml:space="preserve"> un</w:t>
            </w:r>
            <w:r w:rsidRPr="00765024" w:rsidR="00FF7598">
              <w:t xml:space="preserve"> jūras transportā</w:t>
            </w:r>
            <w:r w:rsidR="00D77BA0">
              <w:t>)</w:t>
            </w:r>
            <w:r w:rsidRPr="00765024" w:rsidR="00D87995">
              <w:t xml:space="preserve"> ir </w:t>
            </w:r>
            <w:r w:rsidRPr="00765024" w:rsidR="00FF7598">
              <w:t>pilnā apjomā ietverts</w:t>
            </w:r>
            <w:r w:rsidRPr="00765024" w:rsidR="00D87995">
              <w:t xml:space="preserve"> </w:t>
            </w:r>
            <w:r w:rsidRPr="00765024" w:rsidR="00FF7598">
              <w:rPr>
                <w:i/>
              </w:rPr>
              <w:t>Epidemi</w:t>
            </w:r>
            <w:r w:rsidR="00A94DF1">
              <w:rPr>
                <w:i/>
              </w:rPr>
              <w:t>oloģis</w:t>
            </w:r>
            <w:r w:rsidRPr="00765024" w:rsidR="00FF7598">
              <w:rPr>
                <w:i/>
              </w:rPr>
              <w:t>kās drošības likuma</w:t>
            </w:r>
            <w:r w:rsidRPr="00765024" w:rsidR="00FF7598">
              <w:t xml:space="preserve"> </w:t>
            </w:r>
            <w:r w:rsidR="009F0D89">
              <w:t>42</w:t>
            </w:r>
            <w:r w:rsidRPr="00765024" w:rsidR="00FF7598">
              <w:t>.panta formulējumā</w:t>
            </w:r>
            <w:r w:rsidRPr="00765024" w:rsidR="00D87995">
              <w:t xml:space="preserve"> –</w:t>
            </w:r>
            <w:r w:rsidR="003C143E">
              <w:t xml:space="preserve"> “</w:t>
            </w:r>
            <w:r w:rsidRPr="00994BAD" w:rsidR="00D87995">
              <w:rPr>
                <w:u w:val="single"/>
              </w:rPr>
              <w:t>epidemioloģis</w:t>
            </w:r>
            <w:r w:rsidRPr="00994BAD" w:rsidR="002B0345">
              <w:rPr>
                <w:u w:val="single"/>
              </w:rPr>
              <w:t>kās drošības prasību pārkāpšana</w:t>
            </w:r>
            <w:r w:rsidRPr="00994BAD" w:rsidR="003C143E">
              <w:rPr>
                <w:u w:val="single"/>
              </w:rPr>
              <w:t xml:space="preserve">, ja tas var </w:t>
            </w:r>
            <w:r w:rsidRPr="00994BAD" w:rsidR="00AF4A95">
              <w:rPr>
                <w:u w:val="single"/>
              </w:rPr>
              <w:t>radīt risku cilvēku veselībai</w:t>
            </w:r>
            <w:r w:rsidR="003C143E">
              <w:t>”</w:t>
            </w:r>
            <w:r w:rsidR="00523724">
              <w:t xml:space="preserve">. </w:t>
            </w:r>
            <w:r w:rsidRPr="00765024" w:rsidR="000609EA">
              <w:t>L</w:t>
            </w:r>
            <w:r w:rsidRPr="00765024" w:rsidR="002459C4">
              <w:t>ikumprojekta (</w:t>
            </w:r>
            <w:r w:rsidRPr="00765024" w:rsidR="002459C4">
              <w:rPr>
                <w:i/>
              </w:rPr>
              <w:t>Epidemi</w:t>
            </w:r>
            <w:r w:rsidR="00EE2935">
              <w:rPr>
                <w:i/>
              </w:rPr>
              <w:t>oloģis</w:t>
            </w:r>
            <w:r w:rsidRPr="00765024" w:rsidR="002459C4">
              <w:rPr>
                <w:i/>
              </w:rPr>
              <w:t>kās drošības likuma</w:t>
            </w:r>
            <w:r w:rsidR="003C143E">
              <w:t xml:space="preserve"> </w:t>
            </w:r>
            <w:r w:rsidR="009F0D89">
              <w:t>42</w:t>
            </w:r>
            <w:r w:rsidRPr="00765024" w:rsidR="00FF7598">
              <w:t>.panta</w:t>
            </w:r>
            <w:r w:rsidR="00523724">
              <w:t>)</w:t>
            </w:r>
            <w:r w:rsidRPr="00765024" w:rsidR="00FF7598">
              <w:t xml:space="preserve"> </w:t>
            </w:r>
            <w:r w:rsidRPr="00765024" w:rsidR="00D87995">
              <w:t xml:space="preserve">regulējums ir </w:t>
            </w:r>
            <w:r w:rsidRPr="00CF27FE" w:rsidR="00D87995">
              <w:t xml:space="preserve">plašāks par LAPK </w:t>
            </w:r>
            <w:r w:rsidRPr="00CF27FE" w:rsidR="00147E70">
              <w:t>42.</w:t>
            </w:r>
            <w:r w:rsidRPr="00CF27FE" w:rsidR="00C01DA6">
              <w:t xml:space="preserve"> </w:t>
            </w:r>
            <w:r w:rsidRPr="00CF27FE" w:rsidR="00147E70">
              <w:t>un 43.</w:t>
            </w:r>
            <w:r w:rsidRPr="00CF27FE" w:rsidR="00D87995">
              <w:t>pant</w:t>
            </w:r>
            <w:r w:rsidRPr="00CF27FE" w:rsidR="00147E70">
              <w:t>a</w:t>
            </w:r>
            <w:r w:rsidRPr="00CF27FE" w:rsidR="00D87995">
              <w:t xml:space="preserve"> redakcijām</w:t>
            </w:r>
            <w:r w:rsidR="00CF27FE">
              <w:t>. T</w:t>
            </w:r>
            <w:r w:rsidRPr="00CF27FE" w:rsidR="00B35B80">
              <w:t xml:space="preserve">ermins “epidemioloģiskā drošība” sevī ietver </w:t>
            </w:r>
            <w:r w:rsidR="00CF27FE">
              <w:t>ne tikai pasākumus</w:t>
            </w:r>
            <w:r w:rsidR="00A40A80">
              <w:t>,</w:t>
            </w:r>
            <w:r w:rsidR="00CF27FE">
              <w:t xml:space="preserve"> lai mazinātu inficēšanās </w:t>
            </w:r>
            <w:r w:rsidRPr="00CF27FE" w:rsidR="00CF27FE">
              <w:t>(</w:t>
            </w:r>
            <w:r w:rsidRPr="00CF27FE" w:rsidR="00CF27FE">
              <w:rPr>
                <w:shd w:val="clear" w:color="auto" w:fill="FFFFFF"/>
              </w:rPr>
              <w:t>infekcijas slimības izraisītāja iekļūšana cilvēka organismā)</w:t>
            </w:r>
            <w:r w:rsidRPr="00CF27FE" w:rsidR="00CF27FE">
              <w:t xml:space="preserve"> </w:t>
            </w:r>
            <w:r w:rsidR="00CF27FE">
              <w:t>risku, bet arī pasākumus, kas</w:t>
            </w:r>
            <w:r w:rsidRPr="00CF27FE" w:rsidR="00CF27FE">
              <w:t xml:space="preserve"> nepieciešami, lai </w:t>
            </w:r>
            <w:r w:rsidRPr="00CF27FE" w:rsidR="00CF27FE">
              <w:rPr>
                <w:shd w:val="clear" w:color="auto" w:fill="FFFFFF"/>
              </w:rPr>
              <w:t>samazinātu vai likvidētu vides faktoru (fizikālo, ķīmisko</w:t>
            </w:r>
            <w:r w:rsidR="00D36B89">
              <w:rPr>
                <w:shd w:val="clear" w:color="auto" w:fill="FFFFFF"/>
              </w:rPr>
              <w:t xml:space="preserve"> un</w:t>
            </w:r>
            <w:r w:rsidRPr="00CF27FE" w:rsidR="00CF27FE">
              <w:rPr>
                <w:shd w:val="clear" w:color="auto" w:fill="FFFFFF"/>
              </w:rPr>
              <w:t xml:space="preserve"> bioloģisko) iespējami kaitīgo iedarbību, garantējot drošu un cilvēka veselībai nekaitīgu vidi un pakalpojumu sniegšanu</w:t>
            </w:r>
            <w:r w:rsidR="004F3B60">
              <w:t>.</w:t>
            </w:r>
          </w:p>
          <w:p w:rsidR="00E1348E" w:rsidP="00523724">
            <w:pPr>
              <w:jc w:val="both"/>
            </w:pPr>
            <w:r>
              <w:t xml:space="preserve">Līdz ar to administratīvā atbildība ir vērsta uz </w:t>
            </w:r>
            <w:r w:rsidR="00C17B62">
              <w:t>infekcijas slimību ierosinātāju</w:t>
            </w:r>
            <w:r w:rsidR="00B35B80">
              <w:t xml:space="preserve">, </w:t>
            </w:r>
            <w:r w:rsidRPr="00796CBC" w:rsidR="00105849">
              <w:t>k</w:t>
            </w:r>
            <w:r w:rsidRPr="00796CBC" w:rsidR="00B35B80">
              <w:t>ā arī</w:t>
            </w:r>
            <w:r w:rsidR="00B35B80">
              <w:t xml:space="preserve"> veselību ietekmējošo </w:t>
            </w:r>
            <w:r w:rsidR="001727DE">
              <w:t xml:space="preserve">bioloģisko, ķīmisko un fizikālo </w:t>
            </w:r>
            <w:r w:rsidR="00B35B80">
              <w:t>vides faktoru</w:t>
            </w:r>
            <w:r w:rsidR="00C01DA6">
              <w:t xml:space="preserve"> </w:t>
            </w:r>
            <w:r w:rsidR="001727DE">
              <w:t>(temperatūra, ķīmiskās vi</w:t>
            </w:r>
            <w:r w:rsidR="00C01DA6">
              <w:t>elas, dzīvnieku valsts (grauzēji</w:t>
            </w:r>
            <w:r w:rsidR="001727DE">
              <w:t>, insekti</w:t>
            </w:r>
            <w:r w:rsidR="00534D4C">
              <w:t>) u.c.</w:t>
            </w:r>
            <w:r w:rsidR="00C01DA6">
              <w:t>)</w:t>
            </w:r>
            <w:r w:rsidR="001727DE">
              <w:t xml:space="preserve"> kaitīgās ietekmes </w:t>
            </w:r>
            <w:r w:rsidR="00CF27FE">
              <w:t xml:space="preserve">sabiedrības veselībai </w:t>
            </w:r>
            <w:r w:rsidR="00B35B80">
              <w:t>rad</w:t>
            </w:r>
            <w:r w:rsidR="0052219E">
              <w:t>ī</w:t>
            </w:r>
            <w:r w:rsidR="00B35B80">
              <w:t>tā apdraudējuma mazināšanu</w:t>
            </w:r>
            <w:r w:rsidRPr="00765024" w:rsidR="00D87995">
              <w:t>.</w:t>
            </w:r>
          </w:p>
          <w:p w:rsidR="00B60AFF" w:rsidP="00523724">
            <w:pPr>
              <w:jc w:val="both"/>
            </w:pPr>
          </w:p>
          <w:p w:rsidR="008B0892" w:rsidP="008B0892">
            <w:pPr>
              <w:jc w:val="both"/>
              <w:rPr>
                <w:color w:val="000000"/>
              </w:rPr>
            </w:pPr>
            <w:r w:rsidRPr="004418E4">
              <w:rPr>
                <w:i/>
              </w:rPr>
              <w:t>Epidemioloģiskās drošības likuma</w:t>
            </w:r>
            <w:r w:rsidRPr="004418E4">
              <w:t xml:space="preserve"> </w:t>
            </w:r>
            <w:r w:rsidRPr="00637463" w:rsidR="00637463">
              <w:t>42.pant</w:t>
            </w:r>
            <w:r w:rsidR="00A40A80">
              <w:t>ā</w:t>
            </w:r>
            <w:r w:rsidRPr="00637463" w:rsidR="00637463">
              <w:t xml:space="preserve"> </w:t>
            </w:r>
            <w:r w:rsidRPr="004418E4" w:rsidR="00AB07E4">
              <w:t>minētā atbildība par epidemioloģiskās drošības prasību pārkāpumiem piemērojama</w:t>
            </w:r>
            <w:r w:rsidRPr="004418E4">
              <w:rPr>
                <w:color w:val="000000"/>
              </w:rPr>
              <w:t xml:space="preserve"> visiem sabiedrības veselības jomas uzraudzības objektiem</w:t>
            </w:r>
            <w:r w:rsidR="00D36B89">
              <w:rPr>
                <w:color w:val="000000"/>
              </w:rPr>
              <w:t>, proti,</w:t>
            </w:r>
            <w:r w:rsidRPr="004418E4">
              <w:rPr>
                <w:color w:val="000000"/>
              </w:rPr>
              <w:t xml:space="preserve"> </w:t>
            </w:r>
            <w:r w:rsidRPr="004418E4">
              <w:t>tiesību subjektiem (komersantiem, biedrībām, nodibinājumiem, iestādēm (arī izglītības iestādēm), atvasinātām publiskām personām</w:t>
            </w:r>
            <w:r w:rsidR="004F3B60">
              <w:t xml:space="preserve"> un</w:t>
            </w:r>
            <w:r w:rsidRPr="004418E4">
              <w:t xml:space="preserve"> </w:t>
            </w:r>
            <w:r w:rsidRPr="004418E4">
              <w:t>pašnodarbinātajiem</w:t>
            </w:r>
            <w:r w:rsidRPr="004418E4">
              <w:t xml:space="preserve">), kuru darbības veids ir pakalpojumu sniegšana patērētājiem un kuru darbības dēļ vai izmantojamo iekārtu darbības dēļ </w:t>
            </w:r>
            <w:r w:rsidRPr="00994BAD">
              <w:rPr>
                <w:rStyle w:val="Strong"/>
                <w:b w:val="0"/>
                <w:color w:val="333333"/>
              </w:rPr>
              <w:t>var</w:t>
            </w:r>
            <w:r w:rsidRPr="00994BAD">
              <w:rPr>
                <w:rStyle w:val="Strong"/>
                <w:color w:val="333333"/>
              </w:rPr>
              <w:t xml:space="preserve"> </w:t>
            </w:r>
            <w:r w:rsidRPr="00994BAD">
              <w:rPr>
                <w:rStyle w:val="Strong"/>
                <w:b w:val="0"/>
                <w:color w:val="333333"/>
              </w:rPr>
              <w:t>izplatīties infekcijas slimības</w:t>
            </w:r>
            <w:r w:rsidRPr="00994BAD">
              <w:rPr>
                <w:rStyle w:val="Strong"/>
                <w:color w:val="333333"/>
              </w:rPr>
              <w:t xml:space="preserve"> </w:t>
            </w:r>
            <w:r w:rsidRPr="00994BAD">
              <w:t>vai kuru darbība ir saistīta ar veselību ietekmējošo faktoru kaitīgo iedarbību un kuri ir pakļauti epidemioloģisko drošību regulējošo nor</w:t>
            </w:r>
            <w:r w:rsidRPr="004418E4">
              <w:t xml:space="preserve">matīvo aktu prasībām, t.sk. izglītības un audzināšanas iestādes, sociālās aprūpes </w:t>
            </w:r>
            <w:r w:rsidR="00F55574">
              <w:t>institūcijas</w:t>
            </w:r>
            <w:r w:rsidRPr="004418E4">
              <w:t xml:space="preserve">, </w:t>
            </w:r>
            <w:r w:rsidRPr="004418E4">
              <w:t>skaistumkopšanas</w:t>
            </w:r>
            <w:r w:rsidRPr="004418E4">
              <w:t xml:space="preserve"> pakalpojumu sniedzēji, </w:t>
            </w:r>
            <w:r w:rsidRPr="004418E4" w:rsidR="00F55574">
              <w:t>peldvietas, peldbaseini, pirtis,</w:t>
            </w:r>
            <w:r w:rsidRPr="004418E4">
              <w:t xml:space="preserve"> dienesta viesnīcas, kuģi, ārstniecības iestādes</w:t>
            </w:r>
            <w:r w:rsidR="00F55574">
              <w:t>,</w:t>
            </w:r>
            <w:r w:rsidRPr="004418E4">
              <w:rPr>
                <w:color w:val="000000"/>
              </w:rPr>
              <w:t xml:space="preserve"> u.c. objekti, </w:t>
            </w:r>
            <w:r w:rsidRPr="00796CBC">
              <w:rPr>
                <w:color w:val="000000"/>
              </w:rPr>
              <w:t>k</w:t>
            </w:r>
            <w:r w:rsidRPr="00796CBC" w:rsidR="00105849">
              <w:rPr>
                <w:color w:val="000000"/>
              </w:rPr>
              <w:t>uru pienākums ir ne</w:t>
            </w:r>
            <w:r w:rsidRPr="00796CBC">
              <w:rPr>
                <w:color w:val="000000"/>
              </w:rPr>
              <w:t>pieļaut</w:t>
            </w:r>
            <w:r w:rsidRPr="004418E4">
              <w:rPr>
                <w:color w:val="000000"/>
              </w:rPr>
              <w:t xml:space="preserve"> epidemioloģiskās drošības pārkāpumus.</w:t>
            </w:r>
          </w:p>
          <w:p w:rsidR="000D4D11" w:rsidP="000D4D11">
            <w:pPr>
              <w:jc w:val="both"/>
            </w:pPr>
            <w:r w:rsidRPr="00765024">
              <w:t>Ar</w:t>
            </w:r>
            <w:r w:rsidRPr="00765024" w:rsidR="002B3B30">
              <w:t xml:space="preserve"> </w:t>
            </w:r>
            <w:r w:rsidRPr="00765024" w:rsidR="002B3B30">
              <w:rPr>
                <w:i/>
              </w:rPr>
              <w:t>Epidemioloģiskās drošības likuma</w:t>
            </w:r>
            <w:r w:rsidRPr="00765024" w:rsidR="002B3B30">
              <w:t xml:space="preserve"> </w:t>
            </w:r>
            <w:r w:rsidR="009F0D89">
              <w:t>42</w:t>
            </w:r>
            <w:r w:rsidRPr="00765024" w:rsidR="002B3B30">
              <w:t>.pant</w:t>
            </w:r>
            <w:r w:rsidR="00637463">
              <w:t xml:space="preserve">a </w:t>
            </w:r>
            <w:r w:rsidRPr="00765024" w:rsidR="002B3B30">
              <w:t xml:space="preserve">nodrošināta iespēja piemērot </w:t>
            </w:r>
            <w:r w:rsidR="00A40A80">
              <w:t xml:space="preserve">administratīvo sodu </w:t>
            </w:r>
            <w:r w:rsidRPr="00765024" w:rsidR="002B3B30">
              <w:t>normatīvo aktu prasību neizpildes gadījumā</w:t>
            </w:r>
            <w:r w:rsidR="00523724">
              <w:t xml:space="preserve">, ja tas var </w:t>
            </w:r>
            <w:r w:rsidRPr="00AF4A95" w:rsidR="00AF4A95">
              <w:t>radīt risku cilvēku veselībai</w:t>
            </w:r>
            <w:r w:rsidR="00105849">
              <w:t xml:space="preserve"> – </w:t>
            </w:r>
            <w:r w:rsidRPr="000D4D11">
              <w:t>tas ir infekcijas slimību ierosinātāju apdraudējumu un veselību ietekmējošo vides faktoru kaitīgās ietekmes radītu apdraudējumu sabiedrības veselībai. Cilvēka veselības apdraudējums (pakļaušana riskam) ir apstāklis, lai sauktu pie administratīvās atbildības.</w:t>
            </w:r>
          </w:p>
          <w:p w:rsidR="00AC2267" w:rsidRPr="000601A5" w:rsidP="002B3B30">
            <w:pPr>
              <w:jc w:val="both"/>
            </w:pPr>
            <w:r w:rsidRPr="004F3B60">
              <w:t xml:space="preserve">Par </w:t>
            </w:r>
            <w:r w:rsidRPr="004F3B60">
              <w:rPr>
                <w:i/>
              </w:rPr>
              <w:t>Epidemioloģiskās drošības likuma</w:t>
            </w:r>
            <w:r w:rsidRPr="004F3B60">
              <w:t xml:space="preserve"> 42.pant</w:t>
            </w:r>
            <w:r w:rsidRPr="004F3B60" w:rsidR="00420F15">
              <w:t>ā</w:t>
            </w:r>
            <w:r w:rsidRPr="004F3B60">
              <w:t xml:space="preserve"> minēto pārkāpumu noteikta </w:t>
            </w:r>
            <w:r w:rsidRPr="004F3B60" w:rsidR="00726010">
              <w:t xml:space="preserve">administratīvā </w:t>
            </w:r>
            <w:r w:rsidRPr="004F3B60">
              <w:t>atbildība,</w:t>
            </w:r>
            <w:r w:rsidRPr="004F3B60" w:rsidR="00420F15">
              <w:t xml:space="preserve"> izsakot brīdinājumu</w:t>
            </w:r>
            <w:r w:rsidR="00420F15">
              <w:t xml:space="preserve"> vai </w:t>
            </w:r>
            <w:r w:rsidRPr="00796CBC">
              <w:t xml:space="preserve"> </w:t>
            </w:r>
            <w:r w:rsidRPr="004F3B60">
              <w:t xml:space="preserve">piemērojot naudas sodu fiziskajām personām no divām līdz </w:t>
            </w:r>
            <w:r w:rsidRPr="004F3B60" w:rsidR="00796CBC">
              <w:t xml:space="preserve">viens simts </w:t>
            </w:r>
            <w:r w:rsidRPr="004F3B60">
              <w:t>četr</w:t>
            </w:r>
            <w:r w:rsidRPr="004F3B60" w:rsidR="00796CBC">
              <w:t xml:space="preserve">desmit </w:t>
            </w:r>
            <w:r w:rsidRPr="004F3B60">
              <w:t>naudas soda</w:t>
            </w:r>
            <w:r w:rsidRPr="004F3B60">
              <w:rPr>
                <w:sz w:val="28"/>
                <w:szCs w:val="28"/>
              </w:rPr>
              <w:t xml:space="preserve"> </w:t>
            </w:r>
            <w:r w:rsidRPr="004F3B60">
              <w:t>vienībām, bet juridiskajām personām – no divdesmit astoņām</w:t>
            </w:r>
            <w:r w:rsidRPr="004F3B60">
              <w:rPr>
                <w:sz w:val="28"/>
                <w:szCs w:val="28"/>
              </w:rPr>
              <w:t xml:space="preserve"> </w:t>
            </w:r>
            <w:r w:rsidRPr="004F3B60">
              <w:t xml:space="preserve">līdz </w:t>
            </w:r>
            <w:r w:rsidRPr="004F3B60" w:rsidR="00A873CA">
              <w:t>astoņ</w:t>
            </w:r>
            <w:r w:rsidRPr="004F3B60">
              <w:t>simt sešdesmit naudas soda vienībām</w:t>
            </w:r>
            <w:r w:rsidRPr="004F3B60" w:rsidR="00420F15">
              <w:t xml:space="preserve">. Naudas soda apmērs </w:t>
            </w:r>
            <w:r w:rsidRPr="004F3B60">
              <w:t>atbilst LAPK 42.</w:t>
            </w:r>
            <w:r w:rsidRPr="004F3B60" w:rsidR="00A873CA">
              <w:t xml:space="preserve"> un 43.</w:t>
            </w:r>
            <w:r w:rsidRPr="004F3B60">
              <w:t xml:space="preserve">pantā </w:t>
            </w:r>
            <w:r w:rsidRPr="004F3B60" w:rsidR="00A873CA">
              <w:t xml:space="preserve"> </w:t>
            </w:r>
            <w:r w:rsidRPr="004F3B60">
              <w:t xml:space="preserve">noteiktajam </w:t>
            </w:r>
            <w:r w:rsidRPr="004F3B60" w:rsidR="00420F15">
              <w:t xml:space="preserve">naudas soda </w:t>
            </w:r>
            <w:r w:rsidRPr="004F3B60">
              <w:t>apmēram.</w:t>
            </w:r>
          </w:p>
          <w:p w:rsidR="00CE62CE" w:rsidRPr="000601A5" w:rsidP="002B3B30">
            <w:pPr>
              <w:jc w:val="both"/>
            </w:pPr>
            <w:r w:rsidRPr="000601A5">
              <w:rPr>
                <w:shd w:val="clear" w:color="auto" w:fill="FFFFFF"/>
              </w:rPr>
              <w:t>Likumprojektā, bez naudas soda ir paredzēts arī mazāks administratīvais sods – brīdinājums. Līdz ar to personai, kura administratīvo pārkāpumu izdarījusi pirmo reizi, vispirms būs iespēja saņemt brīdinājumu.</w:t>
            </w:r>
          </w:p>
          <w:p w:rsidR="00420F15" w:rsidP="00637463">
            <w:pPr>
              <w:jc w:val="both"/>
            </w:pPr>
          </w:p>
          <w:p w:rsidR="00FE71C7" w:rsidRPr="00FE71C7" w:rsidP="00FE71C7">
            <w:pPr>
              <w:jc w:val="both"/>
              <w:rPr>
                <w:kern w:val="20"/>
              </w:rPr>
            </w:pPr>
            <w:r w:rsidRPr="00765024">
              <w:rPr>
                <w:i/>
              </w:rPr>
              <w:t>Epidemioloģiskās drošības likuma</w:t>
            </w:r>
            <w:r w:rsidRPr="00765024">
              <w:t xml:space="preserve"> </w:t>
            </w:r>
            <w:r>
              <w:t>43</w:t>
            </w:r>
            <w:r w:rsidRPr="00765024">
              <w:t>.pant</w:t>
            </w:r>
            <w:r>
              <w:t>s</w:t>
            </w:r>
            <w:r>
              <w:t xml:space="preserve"> </w:t>
            </w:r>
            <w:r w:rsidRPr="004C431C">
              <w:t>“</w:t>
            </w:r>
            <w:r w:rsidRPr="004C431C">
              <w:rPr>
                <w:rFonts w:eastAsia="Calibri"/>
              </w:rPr>
              <w:t>Kompetence sodu piemērošanā”</w:t>
            </w:r>
            <w:r w:rsidRPr="004C431C">
              <w:t xml:space="preserve"> </w:t>
            </w:r>
            <w:r>
              <w:t>no</w:t>
            </w:r>
            <w:r w:rsidR="004C431C">
              <w:t>teic</w:t>
            </w:r>
            <w:r w:rsidR="00F565FB">
              <w:t>, k</w:t>
            </w:r>
            <w:r>
              <w:t xml:space="preserve">a </w:t>
            </w:r>
            <w:r w:rsidRPr="00FE71C7">
              <w:t>a</w:t>
            </w:r>
            <w:r w:rsidRPr="00FE71C7">
              <w:rPr>
                <w:kern w:val="20"/>
              </w:rPr>
              <w:t xml:space="preserve">dministratīvā pārkāpuma procesu par šā likuma </w:t>
            </w:r>
            <w:r>
              <w:rPr>
                <w:kern w:val="20"/>
              </w:rPr>
              <w:t>43</w:t>
            </w:r>
            <w:r w:rsidRPr="00FE71C7">
              <w:rPr>
                <w:kern w:val="20"/>
              </w:rPr>
              <w:t xml:space="preserve">.pantā </w:t>
            </w:r>
            <w:r w:rsidR="004C431C">
              <w:rPr>
                <w:kern w:val="20"/>
              </w:rPr>
              <w:t>min</w:t>
            </w:r>
            <w:r w:rsidRPr="00FE71C7">
              <w:rPr>
                <w:kern w:val="20"/>
              </w:rPr>
              <w:t>ētajiem pārkāpumiem veic Veselības inspekcija.</w:t>
            </w:r>
          </w:p>
          <w:p w:rsidR="007050D7" w:rsidRPr="00765024" w:rsidP="000B23DE">
            <w:pPr>
              <w:jc w:val="both"/>
            </w:pPr>
            <w:r>
              <w:rPr>
                <w:rFonts w:eastAsia="Calibri"/>
              </w:rPr>
              <w:t>Savukārt l</w:t>
            </w:r>
            <w:r w:rsidRPr="00FE71C7" w:rsidR="00FE71C7">
              <w:rPr>
                <w:rFonts w:eastAsia="Calibri"/>
              </w:rPr>
              <w:t xml:space="preserve">ikumprojekta 3.pants </w:t>
            </w:r>
            <w:r>
              <w:rPr>
                <w:rFonts w:eastAsia="Calibri"/>
              </w:rPr>
              <w:t>paredz</w:t>
            </w:r>
            <w:r w:rsidRPr="00FE71C7" w:rsidR="00FE71C7">
              <w:rPr>
                <w:rFonts w:eastAsia="Calibri"/>
              </w:rPr>
              <w:t xml:space="preserve">, ka </w:t>
            </w:r>
            <w:r w:rsidRPr="00FE71C7" w:rsidR="00FE71C7">
              <w:rPr>
                <w:rFonts w:eastAsia="Calibri"/>
                <w:i/>
              </w:rPr>
              <w:t>Epidemioloģiskās drošības likuma</w:t>
            </w:r>
            <w:r w:rsidRPr="00FE71C7" w:rsidR="00FE71C7">
              <w:rPr>
                <w:rFonts w:eastAsia="Calibri"/>
              </w:rPr>
              <w:t xml:space="preserve"> pārejas noteikumi </w:t>
            </w:r>
            <w:r>
              <w:rPr>
                <w:rFonts w:eastAsia="Calibri"/>
              </w:rPr>
              <w:t xml:space="preserve">tiek </w:t>
            </w:r>
            <w:r w:rsidRPr="00FE71C7" w:rsidR="00FE71C7">
              <w:rPr>
                <w:rFonts w:eastAsia="Calibri"/>
              </w:rPr>
              <w:t>papildinā</w:t>
            </w:r>
            <w:r>
              <w:rPr>
                <w:rFonts w:eastAsia="Calibri"/>
              </w:rPr>
              <w:t>t</w:t>
            </w:r>
            <w:r w:rsidRPr="00FE71C7" w:rsidR="00FE71C7">
              <w:rPr>
                <w:rFonts w:eastAsia="Calibri"/>
              </w:rPr>
              <w:t>i ar 11.punktu</w:t>
            </w:r>
            <w:r>
              <w:rPr>
                <w:rFonts w:eastAsia="Calibri"/>
              </w:rPr>
              <w:t>, nosakot, ka g</w:t>
            </w:r>
            <w:r w:rsidRPr="00FE71C7" w:rsidR="00FE71C7">
              <w:rPr>
                <w:rFonts w:eastAsia="Calibri"/>
              </w:rPr>
              <w:t>rozījums šā</w:t>
            </w:r>
            <w:r>
              <w:rPr>
                <w:rFonts w:eastAsia="Calibri"/>
              </w:rPr>
              <w:t xml:space="preserve"> likuma 41.pantā un šā likuma X</w:t>
            </w:r>
            <w:r w:rsidRPr="00FE71C7" w:rsidR="00FE71C7">
              <w:rPr>
                <w:rFonts w:eastAsia="Calibri"/>
              </w:rPr>
              <w:t xml:space="preserve"> nodaļa stājas spēkā vienlaikus ar </w:t>
            </w:r>
            <w:r w:rsidRPr="001D1CDB" w:rsidR="00FE71C7">
              <w:rPr>
                <w:rFonts w:eastAsia="Calibri"/>
                <w:i/>
              </w:rPr>
              <w:t>Administratīvo pārkāpumu procesa</w:t>
            </w:r>
            <w:r w:rsidRPr="00FE71C7" w:rsidR="00FE71C7">
              <w:rPr>
                <w:rFonts w:eastAsia="Calibri"/>
              </w:rPr>
              <w:t xml:space="preserve"> </w:t>
            </w:r>
            <w:r w:rsidRPr="001D1CDB" w:rsidR="00FE71C7">
              <w:rPr>
                <w:rFonts w:eastAsia="Calibri"/>
                <w:i/>
              </w:rPr>
              <w:t>likumu</w:t>
            </w:r>
            <w:r>
              <w:rPr>
                <w:rFonts w:eastAsia="Calibri"/>
                <w:i/>
              </w:rPr>
              <w:t xml:space="preserve">, </w:t>
            </w:r>
            <w:r w:rsidRPr="004C431C">
              <w:rPr>
                <w:rFonts w:eastAsia="Calibri"/>
              </w:rPr>
              <w:t>lai nodrošinātu likumprojektā paredzēto grozījumu spēkā  stāšanos vienlaikus ar</w:t>
            </w:r>
            <w:r>
              <w:rPr>
                <w:rFonts w:eastAsia="Calibri"/>
                <w:i/>
              </w:rPr>
              <w:t xml:space="preserve"> Administratīvo pārkāpumu </w:t>
            </w:r>
            <w:r w:rsidR="00D77BA0">
              <w:rPr>
                <w:rFonts w:eastAsia="Calibri"/>
                <w:i/>
              </w:rPr>
              <w:t xml:space="preserve">procesa likumu </w:t>
            </w:r>
            <w:r w:rsidRPr="004C431C">
              <w:rPr>
                <w:rFonts w:eastAsia="Calibri"/>
              </w:rPr>
              <w:t xml:space="preserve">(proti likumprojektu </w:t>
            </w:r>
            <w:r>
              <w:rPr>
                <w:rFonts w:eastAsia="Calibri"/>
                <w:i/>
              </w:rPr>
              <w:t>“Administratīvo pārkāpu</w:t>
            </w:r>
            <w:r w:rsidR="00D77BA0">
              <w:rPr>
                <w:rFonts w:eastAsia="Calibri"/>
                <w:i/>
              </w:rPr>
              <w:t>mu procesa likums”</w:t>
            </w:r>
            <w:r>
              <w:rPr>
                <w:rFonts w:eastAsia="Calibri"/>
                <w:i/>
              </w:rPr>
              <w:t xml:space="preserve"> </w:t>
            </w:r>
            <w:r w:rsidRPr="004C431C">
              <w:rPr>
                <w:rFonts w:eastAsia="Calibri"/>
              </w:rPr>
              <w:t>(Nr.16/Lp12, kas pieņemts Saeimā otrajā lasījumā 2016.gada 6.oktobrī).</w:t>
            </w:r>
          </w:p>
        </w:tc>
      </w:tr>
      <w:tr w:rsidTr="003E3BF4">
        <w:tblPrEx>
          <w:tblW w:w="9211" w:type="dxa"/>
          <w:tblLook w:val="0000"/>
        </w:tblPrEx>
        <w:trPr>
          <w:trHeight w:val="650"/>
        </w:trPr>
        <w:tc>
          <w:tcPr>
            <w:tcW w:w="528" w:type="dxa"/>
          </w:tcPr>
          <w:p w:rsidR="00771C3C" w:rsidRPr="00765024" w:rsidP="0073447B">
            <w:pPr>
              <w:pStyle w:val="naiskr"/>
              <w:spacing w:before="20" w:after="20"/>
              <w:jc w:val="center"/>
            </w:pPr>
            <w:r w:rsidRPr="00765024">
              <w:t>3.</w:t>
            </w:r>
          </w:p>
        </w:tc>
        <w:tc>
          <w:tcPr>
            <w:tcW w:w="2181" w:type="dxa"/>
          </w:tcPr>
          <w:p w:rsidR="00771C3C" w:rsidRPr="00765024" w:rsidP="0073447B">
            <w:pPr>
              <w:pStyle w:val="naiskr"/>
              <w:spacing w:before="20" w:after="20"/>
            </w:pPr>
            <w:r w:rsidRPr="00765024">
              <w:t>Projekta izstrādē iesaistītās institūcijas</w:t>
            </w:r>
          </w:p>
        </w:tc>
        <w:tc>
          <w:tcPr>
            <w:tcW w:w="6502" w:type="dxa"/>
          </w:tcPr>
          <w:p w:rsidR="00771C3C" w:rsidRPr="00765024" w:rsidP="0099592D">
            <w:pPr>
              <w:pStyle w:val="naiskr"/>
              <w:spacing w:before="20" w:after="20"/>
              <w:jc w:val="both"/>
            </w:pPr>
            <w:r w:rsidRPr="00765024">
              <w:t>Veselības inspekcija</w:t>
            </w:r>
            <w:r w:rsidR="000B23DE">
              <w:t>.</w:t>
            </w:r>
          </w:p>
        </w:tc>
      </w:tr>
      <w:tr w:rsidTr="003E3BF4">
        <w:tblPrEx>
          <w:tblW w:w="9211" w:type="dxa"/>
          <w:tblLook w:val="0000"/>
        </w:tblPrEx>
        <w:tc>
          <w:tcPr>
            <w:tcW w:w="528" w:type="dxa"/>
          </w:tcPr>
          <w:p w:rsidR="00771C3C" w:rsidRPr="00765024" w:rsidP="0073447B">
            <w:pPr>
              <w:pStyle w:val="naiskr"/>
              <w:spacing w:before="20" w:after="20"/>
              <w:jc w:val="center"/>
            </w:pPr>
            <w:r w:rsidRPr="00765024">
              <w:t>4</w:t>
            </w:r>
            <w:r w:rsidRPr="00765024">
              <w:t>.</w:t>
            </w:r>
          </w:p>
        </w:tc>
        <w:tc>
          <w:tcPr>
            <w:tcW w:w="2181" w:type="dxa"/>
          </w:tcPr>
          <w:p w:rsidR="00771C3C" w:rsidRPr="00765024" w:rsidP="0073447B">
            <w:pPr>
              <w:pStyle w:val="naiskr"/>
              <w:spacing w:before="20" w:after="20"/>
            </w:pPr>
            <w:r w:rsidRPr="00765024">
              <w:t>Cita informācija</w:t>
            </w:r>
          </w:p>
        </w:tc>
        <w:tc>
          <w:tcPr>
            <w:tcW w:w="6502" w:type="dxa"/>
          </w:tcPr>
          <w:p w:rsidR="00771C3C" w:rsidP="00420F15">
            <w:pPr>
              <w:pStyle w:val="naiskr"/>
              <w:spacing w:before="20" w:after="20"/>
              <w:jc w:val="both"/>
            </w:pPr>
            <w:r>
              <w:t xml:space="preserve">Likumprojekts </w:t>
            </w:r>
            <w:r w:rsidR="000B23DE">
              <w:t xml:space="preserve">ir </w:t>
            </w:r>
            <w:r>
              <w:t xml:space="preserve">izskatīts Tieslietu ministrijas </w:t>
            </w:r>
            <w:r w:rsidRPr="00727BFF" w:rsidR="00727BFF">
              <w:rPr>
                <w:color w:val="272C32"/>
              </w:rPr>
              <w:t>Latvijas administratīvo pārkāpumu kodeksa pastāvīgajā darba grupā</w:t>
            </w:r>
            <w:r w:rsidRPr="00727BFF" w:rsidR="00727BFF">
              <w:t xml:space="preserve"> </w:t>
            </w:r>
            <w:r w:rsidRPr="002E6985" w:rsidR="00374811">
              <w:t xml:space="preserve">2017.gada </w:t>
            </w:r>
            <w:r w:rsidR="004B3CFB">
              <w:t>19.</w:t>
            </w:r>
            <w:r w:rsidRPr="002E6985" w:rsidR="00374811">
              <w:t>janvārī</w:t>
            </w:r>
            <w:r w:rsidR="000B23DE">
              <w:t>.</w:t>
            </w:r>
          </w:p>
          <w:p w:rsidR="00FD4498" w:rsidRPr="00765024" w:rsidP="00FD4498">
            <w:pPr>
              <w:jc w:val="both"/>
            </w:pPr>
            <w:r w:rsidRPr="00FD4498">
              <w:t>Pielikumā s</w:t>
            </w:r>
            <w:r w:rsidRPr="00FD4498">
              <w:t>alīdzinājums par likumprojektā “Grozījumi Epidemioloģiskās drošības likumā”” ietvertajiem Latvijas Administratīvo pārkāpumu kodeksa pantiem</w:t>
            </w:r>
          </w:p>
        </w:tc>
      </w:tr>
    </w:tbl>
    <w:p w:rsidR="009A2357" w:rsidP="00A57857">
      <w:pPr>
        <w:pStyle w:val="naisf"/>
        <w:spacing w:before="0" w:after="0"/>
        <w:ind w:firstLine="289"/>
        <w:jc w:val="center"/>
      </w:pPr>
    </w:p>
    <w:tbl>
      <w:tblPr>
        <w:tblStyle w:val="TableGrid"/>
        <w:tblW w:w="5160" w:type="pct"/>
        <w:tblLook w:val="04A0"/>
      </w:tblPr>
      <w:tblGrid>
        <w:gridCol w:w="451"/>
        <w:gridCol w:w="2777"/>
        <w:gridCol w:w="6123"/>
      </w:tblGrid>
      <w:tr w:rsidTr="004F3B60">
        <w:tblPrEx>
          <w:tblW w:w="5160" w:type="pct"/>
          <w:tblLook w:val="04A0"/>
        </w:tblPrEx>
        <w:trPr>
          <w:trHeight w:val="555"/>
        </w:trPr>
        <w:tc>
          <w:tcPr>
            <w:tcW w:w="5000" w:type="pct"/>
            <w:gridSpan w:val="3"/>
            <w:hideMark/>
          </w:tcPr>
          <w:p w:rsidR="00803E0A" w:rsidRPr="00765024" w:rsidP="005D64CB">
            <w:pPr>
              <w:spacing w:before="100" w:beforeAutospacing="1" w:after="100" w:afterAutospacing="1"/>
              <w:ind w:firstLine="272"/>
              <w:jc w:val="center"/>
              <w:rPr>
                <w:b/>
                <w:bCs/>
              </w:rPr>
            </w:pPr>
            <w:bookmarkStart w:id="5" w:name="_GoBack"/>
            <w:bookmarkEnd w:id="5"/>
            <w:r w:rsidRPr="00765024">
              <w:rPr>
                <w:b/>
                <w:bCs/>
              </w:rPr>
              <w:t>II. Tiesību akta projekta ietekme uz sabiedrību, tautsaimniecības attīstību un administratīvo slogu</w:t>
            </w:r>
          </w:p>
        </w:tc>
      </w:tr>
      <w:tr w:rsidTr="004F3B60">
        <w:tblPrEx>
          <w:tblW w:w="5160" w:type="pct"/>
          <w:tblLook w:val="04A0"/>
        </w:tblPrEx>
        <w:trPr>
          <w:trHeight w:val="465"/>
        </w:trPr>
        <w:tc>
          <w:tcPr>
            <w:tcW w:w="241" w:type="pct"/>
            <w:hideMark/>
          </w:tcPr>
          <w:p w:rsidR="00803E0A" w:rsidRPr="00765024" w:rsidP="00803E0A">
            <w:r w:rsidRPr="00765024">
              <w:t>1.</w:t>
            </w:r>
          </w:p>
        </w:tc>
        <w:tc>
          <w:tcPr>
            <w:tcW w:w="1485" w:type="pct"/>
            <w:hideMark/>
          </w:tcPr>
          <w:p w:rsidR="00803E0A" w:rsidRPr="00765024" w:rsidP="00803E0A">
            <w:r w:rsidRPr="00765024">
              <w:t xml:space="preserve">Sabiedrības </w:t>
            </w:r>
            <w:r w:rsidRPr="00765024">
              <w:t>mērķgrupas</w:t>
            </w:r>
            <w:r w:rsidRPr="00765024">
              <w:t>, kuras tiesiskais regulējums ietekmē vai varētu ietekmēt</w:t>
            </w:r>
          </w:p>
        </w:tc>
        <w:tc>
          <w:tcPr>
            <w:tcW w:w="3274" w:type="pct"/>
            <w:hideMark/>
          </w:tcPr>
          <w:p w:rsidR="00E40B99" w:rsidP="00374811">
            <w:pPr>
              <w:jc w:val="both"/>
              <w:rPr>
                <w:color w:val="000000"/>
              </w:rPr>
            </w:pPr>
            <w:r w:rsidRPr="004418E4">
              <w:t xml:space="preserve">Likumprojekta regulējums attiecas uz subjektiem (fiziskām un juridiskām personām), kuru darbības veids ir pakalpojumu sniegšana patērētājiem un kura darbības vai izmantojamo iekārtu darbības dēļ var plaši izplatīties infekcijas slimības vai kura darbība ir saistīta ar veselību ietekmējošo faktoru kaitīgo iedarbību un kurš ir pakļauts epidemioloģisko drošību regulējošo normatīvo aktu prasībām, t.sk. peldvietas, peldbaseini, publiskas lietošanas pirtis, izglītības </w:t>
            </w:r>
            <w:r w:rsidR="00EC2743">
              <w:t>iestādes, audzināšanas iestādes</w:t>
            </w:r>
            <w:r w:rsidRPr="004418E4">
              <w:t xml:space="preserve">, sociālās aprūpes </w:t>
            </w:r>
            <w:r w:rsidR="00EC2743">
              <w:t>institūcijas</w:t>
            </w:r>
            <w:r w:rsidRPr="004418E4">
              <w:t xml:space="preserve">, saimnieciskās darbības veicēji, kuru darbība ir saistīta ar </w:t>
            </w:r>
            <w:r w:rsidRPr="004418E4">
              <w:t>skaistumkopšanas</w:t>
            </w:r>
            <w:r w:rsidRPr="004418E4">
              <w:t xml:space="preserve"> (izmantojot fiziskās, fizikālās un ķīmiskās metodes), mākslīgā iedeguma (solāriji), manikīra, pedikīra, friziera, tetovēšanas, skarifikācijas, permanentās grimēšanas, </w:t>
            </w:r>
            <w:r w:rsidRPr="004418E4">
              <w:t>mikropigmentācijas</w:t>
            </w:r>
            <w:r w:rsidRPr="004418E4">
              <w:t xml:space="preserve">, </w:t>
            </w:r>
            <w:r w:rsidRPr="004418E4">
              <w:t>pīrsinga</w:t>
            </w:r>
            <w:r w:rsidRPr="004418E4">
              <w:t xml:space="preserve"> pakalpojumu sniegšanu, </w:t>
            </w:r>
            <w:r w:rsidRPr="004418E4">
              <w:t>dzeramā ūdens apgādes sistēmas, dienesta viesnīcas, kuģi, arī ārstniecības iestādes</w:t>
            </w:r>
            <w:r w:rsidRPr="004418E4">
              <w:rPr>
                <w:color w:val="000000"/>
              </w:rPr>
              <w:t xml:space="preserve"> u.c. objekti, </w:t>
            </w:r>
            <w:r w:rsidRPr="002E6985">
              <w:rPr>
                <w:color w:val="000000"/>
              </w:rPr>
              <w:t>k</w:t>
            </w:r>
            <w:r w:rsidRPr="002E6985" w:rsidR="00374811">
              <w:rPr>
                <w:color w:val="000000"/>
              </w:rPr>
              <w:t>uru pienākums ir nepieļaut</w:t>
            </w:r>
            <w:r w:rsidRPr="002E6985">
              <w:rPr>
                <w:color w:val="000000"/>
              </w:rPr>
              <w:t xml:space="preserve"> epidemioloģiskās drošības pārkāpumus.</w:t>
            </w:r>
          </w:p>
          <w:p w:rsidR="00D77BA0" w:rsidRPr="00765024" w:rsidP="00374811">
            <w:pPr>
              <w:jc w:val="both"/>
            </w:pPr>
            <w:r>
              <w:rPr>
                <w:color w:val="000000"/>
              </w:rPr>
              <w:t>Likumprojekts attiecas arī uz Veselības inspekcijas  amatpersonām, kas piemēros administratīvos sodus par attiecīgajiem pārkāpumiem.</w:t>
            </w:r>
          </w:p>
        </w:tc>
      </w:tr>
      <w:tr w:rsidTr="004F3B60">
        <w:tblPrEx>
          <w:tblW w:w="5160" w:type="pct"/>
          <w:tblLook w:val="04A0"/>
        </w:tblPrEx>
        <w:trPr>
          <w:trHeight w:val="510"/>
        </w:trPr>
        <w:tc>
          <w:tcPr>
            <w:tcW w:w="241" w:type="pct"/>
            <w:hideMark/>
          </w:tcPr>
          <w:p w:rsidR="00803E0A" w:rsidRPr="00765024" w:rsidP="00803E0A">
            <w:r w:rsidRPr="00765024">
              <w:t>2.</w:t>
            </w:r>
          </w:p>
        </w:tc>
        <w:tc>
          <w:tcPr>
            <w:tcW w:w="1485" w:type="pct"/>
            <w:hideMark/>
          </w:tcPr>
          <w:p w:rsidR="00803E0A" w:rsidRPr="00765024" w:rsidP="00803E0A">
            <w:r w:rsidRPr="00765024">
              <w:t>Tiesiskā regulējuma ietekme uz tautsaimniecību un administratīvo slogu</w:t>
            </w:r>
          </w:p>
        </w:tc>
        <w:tc>
          <w:tcPr>
            <w:tcW w:w="3274" w:type="pct"/>
            <w:hideMark/>
          </w:tcPr>
          <w:p w:rsidR="00F40EAE" w:rsidRPr="00765024" w:rsidP="00434FF6">
            <w:pPr>
              <w:jc w:val="both"/>
            </w:pPr>
            <w:r>
              <w:t>Likumprojekts šo jomu neskar.</w:t>
            </w:r>
          </w:p>
        </w:tc>
      </w:tr>
      <w:tr w:rsidTr="004F3B60">
        <w:tblPrEx>
          <w:tblW w:w="5160" w:type="pct"/>
          <w:tblLook w:val="04A0"/>
        </w:tblPrEx>
        <w:trPr>
          <w:trHeight w:val="510"/>
        </w:trPr>
        <w:tc>
          <w:tcPr>
            <w:tcW w:w="241" w:type="pct"/>
            <w:hideMark/>
          </w:tcPr>
          <w:p w:rsidR="00803E0A" w:rsidRPr="00765024" w:rsidP="00803E0A">
            <w:r w:rsidRPr="00765024">
              <w:t>3.</w:t>
            </w:r>
          </w:p>
        </w:tc>
        <w:tc>
          <w:tcPr>
            <w:tcW w:w="1485" w:type="pct"/>
            <w:hideMark/>
          </w:tcPr>
          <w:p w:rsidR="00803E0A" w:rsidRPr="00765024" w:rsidP="00803E0A">
            <w:r w:rsidRPr="00765024">
              <w:t>Administratīvo izmaksu monetārs novērtējums</w:t>
            </w:r>
          </w:p>
        </w:tc>
        <w:tc>
          <w:tcPr>
            <w:tcW w:w="3274" w:type="pct"/>
            <w:hideMark/>
          </w:tcPr>
          <w:p w:rsidR="00803E0A" w:rsidRPr="00765024" w:rsidP="0083561B">
            <w:pPr>
              <w:jc w:val="both"/>
            </w:pPr>
            <w:r>
              <w:t>Likumprojekts šo jomu neskar</w:t>
            </w:r>
            <w:r w:rsidRPr="00765024" w:rsidR="0083561B">
              <w:t>.</w:t>
            </w:r>
          </w:p>
        </w:tc>
      </w:tr>
      <w:tr w:rsidTr="004F3B60">
        <w:tblPrEx>
          <w:tblW w:w="5160" w:type="pct"/>
          <w:tblLook w:val="04A0"/>
        </w:tblPrEx>
        <w:trPr>
          <w:trHeight w:val="259"/>
        </w:trPr>
        <w:tc>
          <w:tcPr>
            <w:tcW w:w="241" w:type="pct"/>
            <w:hideMark/>
          </w:tcPr>
          <w:p w:rsidR="00803E0A" w:rsidRPr="00765024" w:rsidP="00803E0A">
            <w:r w:rsidRPr="00765024">
              <w:t>4.</w:t>
            </w:r>
          </w:p>
        </w:tc>
        <w:tc>
          <w:tcPr>
            <w:tcW w:w="1485" w:type="pct"/>
            <w:hideMark/>
          </w:tcPr>
          <w:p w:rsidR="00803E0A" w:rsidRPr="00765024" w:rsidP="00803E0A">
            <w:r w:rsidRPr="00765024">
              <w:t>Cita informācija</w:t>
            </w:r>
          </w:p>
        </w:tc>
        <w:tc>
          <w:tcPr>
            <w:tcW w:w="3274" w:type="pct"/>
            <w:hideMark/>
          </w:tcPr>
          <w:p w:rsidR="00803E0A" w:rsidRPr="00765024" w:rsidP="00BD6CC2">
            <w:pPr>
              <w:jc w:val="both"/>
            </w:pPr>
            <w:r w:rsidRPr="000B4E13">
              <w:t xml:space="preserve">Likumprojektā </w:t>
            </w:r>
            <w:r>
              <w:t xml:space="preserve">paredzētos </w:t>
            </w:r>
            <w:r w:rsidRPr="000B4E13">
              <w:t>administratīvos sodus Veselības inspekcija piemēros, ievērojot Veselības inspekcijas iekšējā normatīvajā aktā par vadlīnijām administratīvo sodu piemērošanā noteiktos kritērijus</w:t>
            </w:r>
            <w:r>
              <w:t>, kā arī ievērojot Veselības inspekcijas vadītāja izdotā iekšējā normatīvajā aktā noteikto amatpersonu kompetenci administratīvo sodu piemērošanā.</w:t>
            </w:r>
          </w:p>
        </w:tc>
      </w:tr>
    </w:tbl>
    <w:p w:rsidR="002C35FA" w:rsidP="002C35FA">
      <w:pPr>
        <w:jc w:val="both"/>
      </w:pPr>
    </w:p>
    <w:p w:rsidR="00F868A1" w:rsidRPr="00765024" w:rsidP="00F868A1">
      <w:pPr>
        <w:jc w:val="both"/>
      </w:pPr>
    </w:p>
    <w:tbl>
      <w:tblPr>
        <w:tblStyle w:val="TableGrid"/>
        <w:tblW w:w="5160" w:type="pct"/>
        <w:tblLook w:val="04A0"/>
      </w:tblPr>
      <w:tblGrid>
        <w:gridCol w:w="2305"/>
        <w:gridCol w:w="1234"/>
        <w:gridCol w:w="1373"/>
        <w:gridCol w:w="1429"/>
        <w:gridCol w:w="1360"/>
        <w:gridCol w:w="1650"/>
      </w:tblGrid>
      <w:tr w:rsidTr="004F3B60">
        <w:tblPrEx>
          <w:tblW w:w="5160" w:type="pct"/>
          <w:tblLook w:val="04A0"/>
        </w:tblPrEx>
        <w:trPr>
          <w:trHeight w:val="360"/>
        </w:trPr>
        <w:tc>
          <w:tcPr>
            <w:tcW w:w="5000" w:type="pct"/>
            <w:gridSpan w:val="6"/>
            <w:hideMark/>
          </w:tcPr>
          <w:p w:rsidR="00F868A1" w:rsidRPr="00FD059A" w:rsidP="009661AE">
            <w:pPr>
              <w:ind w:firstLine="230"/>
              <w:contextualSpacing/>
              <w:jc w:val="center"/>
              <w:rPr>
                <w:b/>
                <w:bCs/>
                <w:color w:val="414142"/>
              </w:rPr>
            </w:pPr>
            <w:r w:rsidRPr="00FD059A">
              <w:rPr>
                <w:b/>
                <w:bCs/>
                <w:color w:val="414142"/>
              </w:rPr>
              <w:t>III. Tiesību akta projekta ietekme uz valsts budžetu un pašvaldību budžetiem</w:t>
            </w:r>
          </w:p>
        </w:tc>
      </w:tr>
      <w:tr w:rsidTr="004F3B60">
        <w:tblPrEx>
          <w:tblW w:w="5160" w:type="pct"/>
          <w:tblLook w:val="04A0"/>
        </w:tblPrEx>
        <w:tc>
          <w:tcPr>
            <w:tcW w:w="1233" w:type="pct"/>
            <w:vMerge w:val="restart"/>
            <w:hideMark/>
          </w:tcPr>
          <w:p w:rsidR="00F868A1" w:rsidRPr="00FD059A" w:rsidP="009661AE">
            <w:pPr>
              <w:ind w:firstLine="230"/>
              <w:contextualSpacing/>
              <w:jc w:val="center"/>
              <w:rPr>
                <w:b/>
                <w:bCs/>
                <w:color w:val="414142"/>
              </w:rPr>
            </w:pPr>
            <w:r w:rsidRPr="00FD059A">
              <w:rPr>
                <w:b/>
                <w:bCs/>
                <w:color w:val="414142"/>
              </w:rPr>
              <w:t>Rādītāji</w:t>
            </w:r>
          </w:p>
        </w:tc>
        <w:tc>
          <w:tcPr>
            <w:tcW w:w="1394" w:type="pct"/>
            <w:gridSpan w:val="2"/>
            <w:vMerge w:val="restart"/>
            <w:hideMark/>
          </w:tcPr>
          <w:p w:rsidR="00F868A1" w:rsidRPr="00FD059A" w:rsidP="00F868A1">
            <w:pPr>
              <w:ind w:firstLine="230"/>
              <w:contextualSpacing/>
              <w:jc w:val="center"/>
              <w:rPr>
                <w:b/>
                <w:bCs/>
                <w:color w:val="414142"/>
              </w:rPr>
            </w:pPr>
            <w:r w:rsidRPr="00FD059A">
              <w:rPr>
                <w:b/>
                <w:bCs/>
                <w:color w:val="414142"/>
              </w:rPr>
              <w:t>201</w:t>
            </w:r>
            <w:r w:rsidR="00A27E06">
              <w:rPr>
                <w:b/>
                <w:bCs/>
                <w:color w:val="414142"/>
              </w:rPr>
              <w:t>7</w:t>
            </w:r>
            <w:r w:rsidRPr="00FD059A">
              <w:rPr>
                <w:b/>
                <w:bCs/>
                <w:color w:val="414142"/>
              </w:rPr>
              <w:t>-tais gads</w:t>
            </w:r>
          </w:p>
        </w:tc>
        <w:tc>
          <w:tcPr>
            <w:tcW w:w="2373" w:type="pct"/>
            <w:gridSpan w:val="3"/>
            <w:hideMark/>
          </w:tcPr>
          <w:p w:rsidR="00F868A1" w:rsidRPr="00FD059A" w:rsidP="009661AE">
            <w:pPr>
              <w:ind w:firstLine="230"/>
              <w:contextualSpacing/>
              <w:jc w:val="center"/>
              <w:rPr>
                <w:color w:val="414142"/>
              </w:rPr>
            </w:pPr>
            <w:r w:rsidRPr="00FD059A">
              <w:rPr>
                <w:color w:val="414142"/>
              </w:rPr>
              <w:t>Turpmākie trīs gadi (</w:t>
            </w:r>
            <w:r w:rsidRPr="00FD059A">
              <w:rPr>
                <w:i/>
                <w:iCs/>
                <w:color w:val="414142"/>
              </w:rPr>
              <w:t>euro</w:t>
            </w:r>
            <w:r w:rsidRPr="00FD059A">
              <w:rPr>
                <w:color w:val="414142"/>
              </w:rPr>
              <w:t>)</w:t>
            </w:r>
          </w:p>
        </w:tc>
      </w:tr>
      <w:tr w:rsidTr="004F3B60">
        <w:tblPrEx>
          <w:tblW w:w="5160" w:type="pct"/>
          <w:tblLook w:val="04A0"/>
        </w:tblPrEx>
        <w:tc>
          <w:tcPr>
            <w:tcW w:w="1233" w:type="pct"/>
            <w:vMerge/>
            <w:hideMark/>
          </w:tcPr>
          <w:p w:rsidR="00F868A1" w:rsidRPr="00FD059A" w:rsidP="009661AE">
            <w:pPr>
              <w:contextualSpacing/>
              <w:rPr>
                <w:b/>
                <w:bCs/>
                <w:color w:val="414142"/>
              </w:rPr>
            </w:pPr>
          </w:p>
        </w:tc>
        <w:tc>
          <w:tcPr>
            <w:tcW w:w="1394" w:type="pct"/>
            <w:gridSpan w:val="2"/>
            <w:vMerge/>
            <w:hideMark/>
          </w:tcPr>
          <w:p w:rsidR="00F868A1" w:rsidRPr="00FD059A" w:rsidP="009661AE">
            <w:pPr>
              <w:contextualSpacing/>
              <w:rPr>
                <w:b/>
                <w:bCs/>
                <w:color w:val="414142"/>
              </w:rPr>
            </w:pPr>
          </w:p>
        </w:tc>
        <w:tc>
          <w:tcPr>
            <w:tcW w:w="764" w:type="pct"/>
            <w:hideMark/>
          </w:tcPr>
          <w:p w:rsidR="00F868A1" w:rsidRPr="00FD059A" w:rsidP="00F868A1">
            <w:pPr>
              <w:ind w:firstLine="230"/>
              <w:contextualSpacing/>
              <w:jc w:val="center"/>
              <w:rPr>
                <w:b/>
                <w:bCs/>
                <w:color w:val="414142"/>
              </w:rPr>
            </w:pPr>
            <w:r w:rsidRPr="00FD059A">
              <w:rPr>
                <w:b/>
                <w:bCs/>
                <w:color w:val="414142"/>
              </w:rPr>
              <w:t>20</w:t>
            </w:r>
            <w:r w:rsidR="00A27E06">
              <w:rPr>
                <w:b/>
                <w:bCs/>
                <w:color w:val="414142"/>
              </w:rPr>
              <w:t>18</w:t>
            </w:r>
          </w:p>
        </w:tc>
        <w:tc>
          <w:tcPr>
            <w:tcW w:w="727" w:type="pct"/>
            <w:hideMark/>
          </w:tcPr>
          <w:p w:rsidR="00F868A1" w:rsidRPr="00FD059A" w:rsidP="00F868A1">
            <w:pPr>
              <w:ind w:firstLine="230"/>
              <w:contextualSpacing/>
              <w:jc w:val="center"/>
              <w:rPr>
                <w:b/>
                <w:bCs/>
                <w:color w:val="414142"/>
              </w:rPr>
            </w:pPr>
            <w:r w:rsidRPr="00FD059A">
              <w:rPr>
                <w:b/>
                <w:bCs/>
                <w:color w:val="414142"/>
              </w:rPr>
              <w:t>20</w:t>
            </w:r>
            <w:r w:rsidR="00A27E06">
              <w:rPr>
                <w:b/>
                <w:bCs/>
                <w:color w:val="414142"/>
              </w:rPr>
              <w:t>19</w:t>
            </w:r>
          </w:p>
        </w:tc>
        <w:tc>
          <w:tcPr>
            <w:tcW w:w="882" w:type="pct"/>
            <w:hideMark/>
          </w:tcPr>
          <w:p w:rsidR="00F868A1" w:rsidRPr="00FD059A" w:rsidP="00F868A1">
            <w:pPr>
              <w:ind w:firstLine="230"/>
              <w:contextualSpacing/>
              <w:jc w:val="center"/>
              <w:rPr>
                <w:b/>
                <w:bCs/>
                <w:color w:val="414142"/>
              </w:rPr>
            </w:pPr>
            <w:r w:rsidRPr="00FD059A">
              <w:rPr>
                <w:b/>
                <w:bCs/>
                <w:color w:val="414142"/>
              </w:rPr>
              <w:t>202</w:t>
            </w:r>
            <w:r w:rsidR="00A27E06">
              <w:rPr>
                <w:b/>
                <w:bCs/>
                <w:color w:val="414142"/>
              </w:rPr>
              <w:t>0</w:t>
            </w:r>
          </w:p>
        </w:tc>
      </w:tr>
      <w:tr w:rsidTr="004F3B60">
        <w:tblPrEx>
          <w:tblW w:w="5160" w:type="pct"/>
          <w:tblLook w:val="04A0"/>
        </w:tblPrEx>
        <w:tc>
          <w:tcPr>
            <w:tcW w:w="1233" w:type="pct"/>
            <w:vMerge/>
            <w:hideMark/>
          </w:tcPr>
          <w:p w:rsidR="00F868A1" w:rsidRPr="00FD059A" w:rsidP="009661AE">
            <w:pPr>
              <w:contextualSpacing/>
              <w:rPr>
                <w:b/>
                <w:bCs/>
                <w:color w:val="414142"/>
              </w:rPr>
            </w:pPr>
          </w:p>
        </w:tc>
        <w:tc>
          <w:tcPr>
            <w:tcW w:w="660" w:type="pct"/>
            <w:hideMark/>
          </w:tcPr>
          <w:p w:rsidR="00F868A1" w:rsidRPr="00FD059A" w:rsidP="009661AE">
            <w:pPr>
              <w:ind w:firstLine="230"/>
              <w:contextualSpacing/>
              <w:jc w:val="center"/>
              <w:rPr>
                <w:color w:val="414142"/>
              </w:rPr>
            </w:pPr>
            <w:r w:rsidRPr="00FD059A">
              <w:rPr>
                <w:color w:val="414142"/>
              </w:rPr>
              <w:t>saskaņā ar valsts budžetu kārtējam gadam</w:t>
            </w:r>
          </w:p>
        </w:tc>
        <w:tc>
          <w:tcPr>
            <w:tcW w:w="734" w:type="pct"/>
            <w:hideMark/>
          </w:tcPr>
          <w:p w:rsidR="00F868A1" w:rsidRPr="00FD059A" w:rsidP="009661AE">
            <w:pPr>
              <w:ind w:firstLine="230"/>
              <w:contextualSpacing/>
              <w:jc w:val="center"/>
              <w:rPr>
                <w:color w:val="414142"/>
              </w:rPr>
            </w:pPr>
            <w:r w:rsidRPr="00FD059A">
              <w:rPr>
                <w:color w:val="414142"/>
              </w:rPr>
              <w:t>izmaiņas kārtējā gadā, salīdzinot ar valsts budžetu kārtējam gadam</w:t>
            </w:r>
          </w:p>
        </w:tc>
        <w:tc>
          <w:tcPr>
            <w:tcW w:w="764" w:type="pct"/>
            <w:hideMark/>
          </w:tcPr>
          <w:p w:rsidR="00F868A1" w:rsidRPr="00FD059A" w:rsidP="009661AE">
            <w:pPr>
              <w:ind w:firstLine="230"/>
              <w:contextualSpacing/>
              <w:jc w:val="center"/>
              <w:rPr>
                <w:color w:val="414142"/>
              </w:rPr>
            </w:pPr>
            <w:r w:rsidRPr="00FD059A">
              <w:rPr>
                <w:color w:val="414142"/>
              </w:rPr>
              <w:t>izmaiņas, salīdzinot ar kārtējo (n) gadu</w:t>
            </w:r>
          </w:p>
        </w:tc>
        <w:tc>
          <w:tcPr>
            <w:tcW w:w="727" w:type="pct"/>
            <w:hideMark/>
          </w:tcPr>
          <w:p w:rsidR="00F868A1" w:rsidRPr="00FD059A" w:rsidP="009661AE">
            <w:pPr>
              <w:ind w:firstLine="230"/>
              <w:contextualSpacing/>
              <w:jc w:val="center"/>
              <w:rPr>
                <w:color w:val="414142"/>
              </w:rPr>
            </w:pPr>
            <w:r w:rsidRPr="00FD059A">
              <w:rPr>
                <w:color w:val="414142"/>
              </w:rPr>
              <w:t>izmaiņas, salīdzinot ar kārtējo (n) gadu</w:t>
            </w:r>
          </w:p>
        </w:tc>
        <w:tc>
          <w:tcPr>
            <w:tcW w:w="882" w:type="pct"/>
            <w:hideMark/>
          </w:tcPr>
          <w:p w:rsidR="00F868A1" w:rsidRPr="00FD059A" w:rsidP="009661AE">
            <w:pPr>
              <w:ind w:firstLine="230"/>
              <w:contextualSpacing/>
              <w:jc w:val="center"/>
              <w:rPr>
                <w:color w:val="414142"/>
              </w:rPr>
            </w:pPr>
            <w:r w:rsidRPr="00FD059A">
              <w:rPr>
                <w:color w:val="414142"/>
              </w:rPr>
              <w:t>izmaiņas, salīdzinot ar kārtējo (n) gadu</w:t>
            </w:r>
          </w:p>
        </w:tc>
      </w:tr>
      <w:tr w:rsidTr="004F3B60">
        <w:tblPrEx>
          <w:tblW w:w="5160" w:type="pct"/>
          <w:tblLook w:val="04A0"/>
        </w:tblPrEx>
        <w:tc>
          <w:tcPr>
            <w:tcW w:w="1233" w:type="pct"/>
            <w:hideMark/>
          </w:tcPr>
          <w:p w:rsidR="00F868A1" w:rsidRPr="00FD059A" w:rsidP="009661AE">
            <w:pPr>
              <w:ind w:firstLine="230"/>
              <w:contextualSpacing/>
              <w:jc w:val="center"/>
              <w:rPr>
                <w:color w:val="414142"/>
              </w:rPr>
            </w:pPr>
            <w:r w:rsidRPr="00FD059A">
              <w:rPr>
                <w:color w:val="414142"/>
              </w:rPr>
              <w:t>1</w:t>
            </w:r>
          </w:p>
        </w:tc>
        <w:tc>
          <w:tcPr>
            <w:tcW w:w="660" w:type="pct"/>
            <w:hideMark/>
          </w:tcPr>
          <w:p w:rsidR="00F868A1" w:rsidRPr="00FD059A" w:rsidP="009661AE">
            <w:pPr>
              <w:ind w:firstLine="230"/>
              <w:contextualSpacing/>
              <w:jc w:val="center"/>
              <w:rPr>
                <w:color w:val="414142"/>
              </w:rPr>
            </w:pPr>
            <w:r w:rsidRPr="00FD059A">
              <w:rPr>
                <w:color w:val="414142"/>
              </w:rPr>
              <w:t>2</w:t>
            </w:r>
          </w:p>
        </w:tc>
        <w:tc>
          <w:tcPr>
            <w:tcW w:w="734" w:type="pct"/>
            <w:hideMark/>
          </w:tcPr>
          <w:p w:rsidR="00F868A1" w:rsidRPr="00FD059A" w:rsidP="009661AE">
            <w:pPr>
              <w:ind w:firstLine="230"/>
              <w:contextualSpacing/>
              <w:jc w:val="center"/>
              <w:rPr>
                <w:color w:val="414142"/>
              </w:rPr>
            </w:pPr>
            <w:r w:rsidRPr="00FD059A">
              <w:rPr>
                <w:color w:val="414142"/>
              </w:rPr>
              <w:t>3</w:t>
            </w:r>
          </w:p>
        </w:tc>
        <w:tc>
          <w:tcPr>
            <w:tcW w:w="764" w:type="pct"/>
            <w:hideMark/>
          </w:tcPr>
          <w:p w:rsidR="00F868A1" w:rsidRPr="00FD059A" w:rsidP="009661AE">
            <w:pPr>
              <w:ind w:firstLine="230"/>
              <w:contextualSpacing/>
              <w:jc w:val="center"/>
              <w:rPr>
                <w:color w:val="414142"/>
              </w:rPr>
            </w:pPr>
            <w:r w:rsidRPr="00FD059A">
              <w:rPr>
                <w:color w:val="414142"/>
              </w:rPr>
              <w:t>4</w:t>
            </w:r>
          </w:p>
        </w:tc>
        <w:tc>
          <w:tcPr>
            <w:tcW w:w="727" w:type="pct"/>
            <w:hideMark/>
          </w:tcPr>
          <w:p w:rsidR="00F868A1" w:rsidRPr="00FD059A" w:rsidP="009661AE">
            <w:pPr>
              <w:ind w:firstLine="230"/>
              <w:contextualSpacing/>
              <w:jc w:val="center"/>
              <w:rPr>
                <w:color w:val="414142"/>
              </w:rPr>
            </w:pPr>
            <w:r w:rsidRPr="00FD059A">
              <w:rPr>
                <w:color w:val="414142"/>
              </w:rPr>
              <w:t>5</w:t>
            </w:r>
          </w:p>
        </w:tc>
        <w:tc>
          <w:tcPr>
            <w:tcW w:w="882" w:type="pct"/>
            <w:hideMark/>
          </w:tcPr>
          <w:p w:rsidR="00F868A1" w:rsidRPr="00FD059A" w:rsidP="009661AE">
            <w:pPr>
              <w:ind w:firstLine="230"/>
              <w:contextualSpacing/>
              <w:jc w:val="center"/>
              <w:rPr>
                <w:color w:val="414142"/>
              </w:rPr>
            </w:pPr>
            <w:r w:rsidRPr="00FD059A">
              <w:rPr>
                <w:color w:val="414142"/>
              </w:rPr>
              <w:t>6</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1. Budžeta ieņēmumi:</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12691E">
            <w:pPr>
              <w:contextualSpacing/>
              <w:rPr>
                <w:color w:val="414142"/>
              </w:rPr>
            </w:pPr>
            <w:r w:rsidRPr="00FD059A">
              <w:rPr>
                <w:color w:val="414142"/>
              </w:rPr>
              <w:t> </w:t>
            </w:r>
            <w:r w:rsidR="0012691E">
              <w:rPr>
                <w:color w:val="414142"/>
              </w:rPr>
              <w:t>0</w:t>
            </w:r>
          </w:p>
        </w:tc>
        <w:tc>
          <w:tcPr>
            <w:tcW w:w="764" w:type="pct"/>
            <w:hideMark/>
          </w:tcPr>
          <w:p w:rsidR="00F868A1" w:rsidRPr="00FD059A" w:rsidP="0012691E">
            <w:pPr>
              <w:contextualSpacing/>
              <w:rPr>
                <w:color w:val="414142"/>
              </w:rPr>
            </w:pPr>
            <w:r w:rsidRPr="00FD059A">
              <w:rPr>
                <w:color w:val="414142"/>
              </w:rPr>
              <w:t> </w:t>
            </w:r>
            <w:r w:rsidR="0012691E">
              <w:rPr>
                <w:color w:val="414142"/>
              </w:rPr>
              <w:t>0</w:t>
            </w:r>
          </w:p>
        </w:tc>
        <w:tc>
          <w:tcPr>
            <w:tcW w:w="727" w:type="pct"/>
            <w:hideMark/>
          </w:tcPr>
          <w:p w:rsidR="00F868A1" w:rsidRPr="00FD059A" w:rsidP="0012691E">
            <w:pPr>
              <w:contextualSpacing/>
              <w:rPr>
                <w:color w:val="414142"/>
              </w:rPr>
            </w:pPr>
            <w:r w:rsidRPr="00FD059A">
              <w:rPr>
                <w:color w:val="414142"/>
              </w:rPr>
              <w:t> </w:t>
            </w:r>
            <w:r w:rsidR="0012691E">
              <w:rPr>
                <w:color w:val="414142"/>
              </w:rPr>
              <w:t>0</w:t>
            </w:r>
          </w:p>
        </w:tc>
        <w:tc>
          <w:tcPr>
            <w:tcW w:w="882" w:type="pct"/>
            <w:hideMark/>
          </w:tcPr>
          <w:p w:rsidR="00F868A1" w:rsidRPr="00FD059A" w:rsidP="0012691E">
            <w:pPr>
              <w:contextualSpacing/>
              <w:rPr>
                <w:color w:val="414142"/>
              </w:rPr>
            </w:pPr>
            <w:r w:rsidRPr="00FD059A">
              <w:rPr>
                <w:color w:val="414142"/>
              </w:rPr>
              <w:t> </w:t>
            </w:r>
            <w:r w:rsidR="0012691E">
              <w:rPr>
                <w:color w:val="414142"/>
              </w:rPr>
              <w:t>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1.1. valsts pamatbudžets, tai skaitā ieņēmumi no maksas pakalpojumiem un citi pašu ieņēmumi</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12691E">
            <w:pPr>
              <w:contextualSpacing/>
              <w:rPr>
                <w:color w:val="414142"/>
              </w:rPr>
            </w:pPr>
            <w:r w:rsidRPr="00FD059A">
              <w:rPr>
                <w:color w:val="414142"/>
              </w:rPr>
              <w:t> </w:t>
            </w:r>
            <w:r w:rsidR="0012691E">
              <w:rPr>
                <w:color w:val="414142"/>
              </w:rPr>
              <w:t>0</w:t>
            </w:r>
          </w:p>
        </w:tc>
        <w:tc>
          <w:tcPr>
            <w:tcW w:w="764" w:type="pct"/>
            <w:hideMark/>
          </w:tcPr>
          <w:p w:rsidR="00F868A1" w:rsidRPr="00FD059A" w:rsidP="0012691E">
            <w:pPr>
              <w:contextualSpacing/>
              <w:rPr>
                <w:color w:val="414142"/>
              </w:rPr>
            </w:pPr>
            <w:r w:rsidRPr="00FD059A">
              <w:rPr>
                <w:color w:val="414142"/>
              </w:rPr>
              <w:t> </w:t>
            </w:r>
            <w:r w:rsidR="0012691E">
              <w:rPr>
                <w:color w:val="414142"/>
              </w:rPr>
              <w:t>0</w:t>
            </w:r>
          </w:p>
        </w:tc>
        <w:tc>
          <w:tcPr>
            <w:tcW w:w="727" w:type="pct"/>
            <w:hideMark/>
          </w:tcPr>
          <w:p w:rsidR="00F868A1" w:rsidRPr="00FD059A" w:rsidP="0012691E">
            <w:pPr>
              <w:contextualSpacing/>
              <w:rPr>
                <w:color w:val="414142"/>
              </w:rPr>
            </w:pPr>
            <w:r w:rsidRPr="00FD059A">
              <w:rPr>
                <w:color w:val="414142"/>
              </w:rPr>
              <w:t> </w:t>
            </w:r>
            <w:r w:rsidR="0012691E">
              <w:rPr>
                <w:color w:val="414142"/>
              </w:rPr>
              <w:t>0</w:t>
            </w:r>
          </w:p>
        </w:tc>
        <w:tc>
          <w:tcPr>
            <w:tcW w:w="882" w:type="pct"/>
            <w:hideMark/>
          </w:tcPr>
          <w:p w:rsidR="00F868A1" w:rsidRPr="00FD059A" w:rsidP="0012691E">
            <w:pPr>
              <w:contextualSpacing/>
              <w:rPr>
                <w:color w:val="414142"/>
              </w:rPr>
            </w:pPr>
            <w:r w:rsidRPr="00FD059A">
              <w:rPr>
                <w:color w:val="414142"/>
              </w:rPr>
              <w:t> </w:t>
            </w:r>
            <w:r w:rsidR="0012691E">
              <w:rPr>
                <w:color w:val="414142"/>
              </w:rPr>
              <w:t>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1.2. valsts speciālais budžets</w:t>
            </w:r>
          </w:p>
        </w:tc>
        <w:tc>
          <w:tcPr>
            <w:tcW w:w="660" w:type="pct"/>
            <w:hideMark/>
          </w:tcPr>
          <w:p w:rsidR="00F868A1" w:rsidRPr="00FD059A" w:rsidP="0012691E">
            <w:pPr>
              <w:contextualSpacing/>
              <w:rPr>
                <w:color w:val="414142"/>
              </w:rPr>
            </w:pPr>
            <w:r w:rsidRPr="00FD059A">
              <w:rPr>
                <w:color w:val="414142"/>
              </w:rPr>
              <w:t> </w:t>
            </w:r>
            <w:r w:rsidR="0012691E">
              <w:rPr>
                <w:color w:val="414142"/>
              </w:rPr>
              <w:t>0</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0 </w:t>
            </w:r>
          </w:p>
        </w:tc>
        <w:tc>
          <w:tcPr>
            <w:tcW w:w="727" w:type="pct"/>
            <w:hideMark/>
          </w:tcPr>
          <w:p w:rsidR="00F868A1" w:rsidRPr="00FD059A" w:rsidP="009661AE">
            <w:pPr>
              <w:contextualSpacing/>
              <w:rPr>
                <w:color w:val="414142"/>
              </w:rPr>
            </w:pPr>
            <w:r w:rsidRPr="00FD059A">
              <w:rPr>
                <w:color w:val="414142"/>
              </w:rPr>
              <w:t>0 </w:t>
            </w:r>
          </w:p>
        </w:tc>
        <w:tc>
          <w:tcPr>
            <w:tcW w:w="882" w:type="pct"/>
            <w:hideMark/>
          </w:tcPr>
          <w:p w:rsidR="00F868A1" w:rsidRPr="00FD059A" w:rsidP="009661AE">
            <w:pPr>
              <w:contextualSpacing/>
              <w:rPr>
                <w:color w:val="414142"/>
              </w:rPr>
            </w:pPr>
            <w:r w:rsidRPr="00FD059A">
              <w:rPr>
                <w:color w:val="414142"/>
              </w:rPr>
              <w:t>0 </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1.3. pašvaldību budžets</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0 </w:t>
            </w:r>
          </w:p>
        </w:tc>
        <w:tc>
          <w:tcPr>
            <w:tcW w:w="882" w:type="pct"/>
            <w:hideMark/>
          </w:tcPr>
          <w:p w:rsidR="00F868A1" w:rsidRPr="00FD059A" w:rsidP="009661AE">
            <w:pPr>
              <w:contextualSpacing/>
              <w:rPr>
                <w:color w:val="414142"/>
              </w:rPr>
            </w:pPr>
            <w:r w:rsidRPr="00FD059A">
              <w:rPr>
                <w:color w:val="414142"/>
              </w:rPr>
              <w:t>0 </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2. Budžeta izdevumi:</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2.1. valsts pamatbudžets</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2.2. valsts speciālais budžets</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2.3. pašvaldību budžets</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3. Finansiālā ietekme:</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12691E">
            <w:pPr>
              <w:contextualSpacing/>
              <w:rPr>
                <w:color w:val="414142"/>
              </w:rPr>
            </w:pPr>
            <w:r w:rsidRPr="00FD059A">
              <w:rPr>
                <w:color w:val="414142"/>
              </w:rPr>
              <w:t> </w:t>
            </w:r>
            <w:r w:rsidR="0012691E">
              <w:rPr>
                <w:color w:val="414142"/>
              </w:rPr>
              <w:t>0</w:t>
            </w:r>
          </w:p>
        </w:tc>
        <w:tc>
          <w:tcPr>
            <w:tcW w:w="764" w:type="pct"/>
            <w:hideMark/>
          </w:tcPr>
          <w:p w:rsidR="00F868A1" w:rsidRPr="00FD059A" w:rsidP="0012691E">
            <w:pPr>
              <w:spacing w:before="240"/>
              <w:contextualSpacing/>
              <w:rPr>
                <w:color w:val="414142"/>
              </w:rPr>
            </w:pPr>
            <w:r w:rsidRPr="00FD059A">
              <w:rPr>
                <w:color w:val="414142"/>
              </w:rPr>
              <w:t> </w:t>
            </w:r>
            <w:r w:rsidR="0012691E">
              <w:rPr>
                <w:color w:val="414142"/>
              </w:rPr>
              <w:t>0</w:t>
            </w:r>
          </w:p>
        </w:tc>
        <w:tc>
          <w:tcPr>
            <w:tcW w:w="727" w:type="pct"/>
            <w:hideMark/>
          </w:tcPr>
          <w:p w:rsidR="00F868A1" w:rsidRPr="00FD059A" w:rsidP="0012691E">
            <w:pPr>
              <w:contextualSpacing/>
              <w:rPr>
                <w:color w:val="414142"/>
              </w:rPr>
            </w:pPr>
            <w:r w:rsidRPr="00FD059A">
              <w:rPr>
                <w:color w:val="414142"/>
              </w:rPr>
              <w:t> </w:t>
            </w:r>
            <w:r w:rsidR="0012691E">
              <w:rPr>
                <w:color w:val="414142"/>
              </w:rPr>
              <w:t>0</w:t>
            </w:r>
          </w:p>
        </w:tc>
        <w:tc>
          <w:tcPr>
            <w:tcW w:w="882" w:type="pct"/>
            <w:hideMark/>
          </w:tcPr>
          <w:p w:rsidR="00F868A1" w:rsidRPr="00FD059A" w:rsidP="0012691E">
            <w:pPr>
              <w:contextualSpacing/>
              <w:rPr>
                <w:color w:val="414142"/>
              </w:rPr>
            </w:pPr>
            <w:r w:rsidRPr="00FD059A">
              <w:rPr>
                <w:color w:val="414142"/>
              </w:rPr>
              <w:t> </w:t>
            </w:r>
            <w:r w:rsidR="0012691E">
              <w:rPr>
                <w:color w:val="414142"/>
              </w:rPr>
              <w:t>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3.1. valsts pamatbudžets</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12691E">
            <w:pPr>
              <w:contextualSpacing/>
              <w:rPr>
                <w:color w:val="414142"/>
              </w:rPr>
            </w:pPr>
            <w:r w:rsidRPr="00FD059A">
              <w:rPr>
                <w:color w:val="414142"/>
              </w:rPr>
              <w:t> </w:t>
            </w:r>
            <w:r w:rsidR="0012691E">
              <w:rPr>
                <w:color w:val="414142"/>
              </w:rPr>
              <w:t>0</w:t>
            </w:r>
          </w:p>
        </w:tc>
        <w:tc>
          <w:tcPr>
            <w:tcW w:w="764" w:type="pct"/>
            <w:hideMark/>
          </w:tcPr>
          <w:p w:rsidR="00F868A1" w:rsidRPr="00FD059A" w:rsidP="0012691E">
            <w:pPr>
              <w:contextualSpacing/>
              <w:rPr>
                <w:color w:val="414142"/>
              </w:rPr>
            </w:pPr>
            <w:r w:rsidRPr="00FD059A">
              <w:rPr>
                <w:color w:val="414142"/>
              </w:rPr>
              <w:t> </w:t>
            </w:r>
            <w:r w:rsidR="0012691E">
              <w:rPr>
                <w:color w:val="414142"/>
              </w:rPr>
              <w:t>0</w:t>
            </w:r>
          </w:p>
        </w:tc>
        <w:tc>
          <w:tcPr>
            <w:tcW w:w="727" w:type="pct"/>
            <w:hideMark/>
          </w:tcPr>
          <w:p w:rsidR="00F868A1" w:rsidRPr="00FD059A" w:rsidP="0012691E">
            <w:pPr>
              <w:contextualSpacing/>
              <w:rPr>
                <w:color w:val="414142"/>
              </w:rPr>
            </w:pPr>
            <w:r w:rsidRPr="00FD059A">
              <w:rPr>
                <w:color w:val="414142"/>
              </w:rPr>
              <w:t> </w:t>
            </w:r>
            <w:r w:rsidR="0012691E">
              <w:rPr>
                <w:color w:val="414142"/>
              </w:rPr>
              <w:t>0</w:t>
            </w:r>
          </w:p>
        </w:tc>
        <w:tc>
          <w:tcPr>
            <w:tcW w:w="882" w:type="pct"/>
            <w:hideMark/>
          </w:tcPr>
          <w:p w:rsidR="00F868A1" w:rsidRPr="00FD059A" w:rsidP="0012691E">
            <w:pPr>
              <w:contextualSpacing/>
              <w:rPr>
                <w:color w:val="414142"/>
              </w:rPr>
            </w:pPr>
            <w:r w:rsidRPr="00FD059A">
              <w:rPr>
                <w:color w:val="414142"/>
              </w:rPr>
              <w:t> </w:t>
            </w:r>
            <w:r w:rsidR="0012691E">
              <w:rPr>
                <w:color w:val="414142"/>
              </w:rPr>
              <w:t>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3.2. speciālais budžets</w:t>
            </w:r>
          </w:p>
        </w:tc>
        <w:tc>
          <w:tcPr>
            <w:tcW w:w="660" w:type="pct"/>
            <w:hideMark/>
          </w:tcPr>
          <w:p w:rsidR="00F868A1" w:rsidRPr="00FD059A" w:rsidP="009661AE">
            <w:pPr>
              <w:contextualSpacing/>
              <w:rPr>
                <w:color w:val="414142"/>
              </w:rPr>
            </w:pPr>
            <w:r w:rsidRPr="00FD059A">
              <w:rPr>
                <w:color w:val="414142"/>
              </w:rPr>
              <w:t> </w:t>
            </w:r>
            <w:r w:rsidR="0012691E">
              <w:rPr>
                <w:color w:val="414142"/>
              </w:rPr>
              <w:t>0</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3.3. pašvaldību budžets</w:t>
            </w:r>
          </w:p>
        </w:tc>
        <w:tc>
          <w:tcPr>
            <w:tcW w:w="660" w:type="pct"/>
            <w:hideMark/>
          </w:tcPr>
          <w:p w:rsidR="00F868A1" w:rsidRPr="00FD059A" w:rsidP="009661AE">
            <w:pPr>
              <w:contextualSpacing/>
              <w:rPr>
                <w:color w:val="414142"/>
              </w:rPr>
            </w:pPr>
            <w:r w:rsidRPr="00FD059A">
              <w:rPr>
                <w:color w:val="414142"/>
              </w:rPr>
              <w:t> </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vMerge w:val="restart"/>
            <w:hideMark/>
          </w:tcPr>
          <w:p w:rsidR="00F868A1" w:rsidRPr="00FD059A" w:rsidP="009661AE">
            <w:pPr>
              <w:contextualSpacing/>
              <w:rPr>
                <w:color w:val="414142"/>
              </w:rPr>
            </w:pPr>
            <w:r w:rsidRPr="00FD059A">
              <w:rPr>
                <w:color w:val="414142"/>
              </w:rPr>
              <w:t>4. Finanšu līdzekļi papildu izdevumu finansēšanai (kompensējošu izdevumu samazinājumu norāda ar "+" zīmi)</w:t>
            </w:r>
          </w:p>
        </w:tc>
        <w:tc>
          <w:tcPr>
            <w:tcW w:w="660" w:type="pct"/>
            <w:vMerge w:val="restart"/>
            <w:hideMark/>
          </w:tcPr>
          <w:p w:rsidR="00F868A1" w:rsidRPr="00FD059A" w:rsidP="009661AE">
            <w:pPr>
              <w:ind w:firstLine="230"/>
              <w:contextualSpacing/>
              <w:jc w:val="center"/>
              <w:rPr>
                <w:color w:val="414142"/>
              </w:rPr>
            </w:pPr>
            <w:r w:rsidRPr="00FD059A">
              <w:rPr>
                <w:color w:val="414142"/>
              </w:rPr>
              <w:t>X</w:t>
            </w: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vMerge/>
            <w:hideMark/>
          </w:tcPr>
          <w:p w:rsidR="00F868A1" w:rsidRPr="00FD059A" w:rsidP="009661AE">
            <w:pPr>
              <w:contextualSpacing/>
              <w:rPr>
                <w:color w:val="414142"/>
              </w:rPr>
            </w:pPr>
          </w:p>
        </w:tc>
        <w:tc>
          <w:tcPr>
            <w:tcW w:w="660" w:type="pct"/>
            <w:vMerge/>
            <w:hideMark/>
          </w:tcPr>
          <w:p w:rsidR="00F868A1" w:rsidRPr="00FD059A" w:rsidP="009661AE">
            <w:pPr>
              <w:contextualSpacing/>
              <w:rPr>
                <w:color w:val="414142"/>
              </w:rPr>
            </w:pPr>
          </w:p>
        </w:tc>
        <w:tc>
          <w:tcPr>
            <w:tcW w:w="734" w:type="pct"/>
            <w:hideMark/>
          </w:tcPr>
          <w:p w:rsidR="00F868A1" w:rsidRPr="00FD059A" w:rsidP="009661AE">
            <w:pPr>
              <w:contextualSpacing/>
              <w:rPr>
                <w:color w:val="414142"/>
              </w:rPr>
            </w:pPr>
            <w:r w:rsidRPr="00FD059A">
              <w:rPr>
                <w:color w:val="414142"/>
              </w:rPr>
              <w:t> </w:t>
            </w:r>
          </w:p>
        </w:tc>
        <w:tc>
          <w:tcPr>
            <w:tcW w:w="764" w:type="pct"/>
            <w:hideMark/>
          </w:tcPr>
          <w:p w:rsidR="00F868A1" w:rsidRPr="00FD059A" w:rsidP="009661AE">
            <w:pPr>
              <w:contextualSpacing/>
              <w:rPr>
                <w:color w:val="414142"/>
              </w:rPr>
            </w:pPr>
            <w:r w:rsidRPr="00FD059A">
              <w:rPr>
                <w:color w:val="414142"/>
              </w:rPr>
              <w:t> </w:t>
            </w:r>
          </w:p>
        </w:tc>
        <w:tc>
          <w:tcPr>
            <w:tcW w:w="727" w:type="pct"/>
            <w:hideMark/>
          </w:tcPr>
          <w:p w:rsidR="00F868A1" w:rsidRPr="00FD059A" w:rsidP="009661AE">
            <w:pPr>
              <w:contextualSpacing/>
              <w:rPr>
                <w:color w:val="414142"/>
              </w:rPr>
            </w:pPr>
            <w:r w:rsidRPr="00FD059A">
              <w:rPr>
                <w:color w:val="414142"/>
              </w:rPr>
              <w:t> </w:t>
            </w:r>
          </w:p>
        </w:tc>
        <w:tc>
          <w:tcPr>
            <w:tcW w:w="882" w:type="pct"/>
            <w:hideMark/>
          </w:tcPr>
          <w:p w:rsidR="00F868A1" w:rsidRPr="00FD059A" w:rsidP="009661AE">
            <w:pPr>
              <w:contextualSpacing/>
              <w:rPr>
                <w:color w:val="414142"/>
              </w:rPr>
            </w:pPr>
            <w:r w:rsidRPr="00FD059A">
              <w:rPr>
                <w:color w:val="414142"/>
              </w:rPr>
              <w:t> </w:t>
            </w:r>
          </w:p>
        </w:tc>
      </w:tr>
      <w:tr w:rsidTr="004F3B60">
        <w:tblPrEx>
          <w:tblW w:w="5160" w:type="pct"/>
          <w:tblLook w:val="04A0"/>
        </w:tblPrEx>
        <w:tc>
          <w:tcPr>
            <w:tcW w:w="1233" w:type="pct"/>
            <w:vMerge/>
            <w:hideMark/>
          </w:tcPr>
          <w:p w:rsidR="00F868A1" w:rsidRPr="00FD059A" w:rsidP="009661AE">
            <w:pPr>
              <w:contextualSpacing/>
              <w:rPr>
                <w:color w:val="414142"/>
              </w:rPr>
            </w:pPr>
          </w:p>
        </w:tc>
        <w:tc>
          <w:tcPr>
            <w:tcW w:w="660" w:type="pct"/>
            <w:vMerge/>
            <w:hideMark/>
          </w:tcPr>
          <w:p w:rsidR="00F868A1" w:rsidRPr="00FD059A" w:rsidP="009661AE">
            <w:pPr>
              <w:contextualSpacing/>
              <w:rPr>
                <w:color w:val="414142"/>
              </w:rPr>
            </w:pPr>
          </w:p>
        </w:tc>
        <w:tc>
          <w:tcPr>
            <w:tcW w:w="734" w:type="pct"/>
            <w:hideMark/>
          </w:tcPr>
          <w:p w:rsidR="00F868A1" w:rsidRPr="00FD059A" w:rsidP="009661AE">
            <w:pPr>
              <w:contextualSpacing/>
              <w:rPr>
                <w:color w:val="414142"/>
              </w:rPr>
            </w:pPr>
            <w:r w:rsidRPr="00FD059A">
              <w:rPr>
                <w:color w:val="414142"/>
              </w:rPr>
              <w:t> </w:t>
            </w:r>
          </w:p>
        </w:tc>
        <w:tc>
          <w:tcPr>
            <w:tcW w:w="764" w:type="pct"/>
            <w:hideMark/>
          </w:tcPr>
          <w:p w:rsidR="00F868A1" w:rsidRPr="00FD059A" w:rsidP="009661AE">
            <w:pPr>
              <w:contextualSpacing/>
              <w:rPr>
                <w:color w:val="414142"/>
              </w:rPr>
            </w:pPr>
            <w:r w:rsidRPr="00FD059A">
              <w:rPr>
                <w:color w:val="414142"/>
              </w:rPr>
              <w:t> </w:t>
            </w:r>
          </w:p>
        </w:tc>
        <w:tc>
          <w:tcPr>
            <w:tcW w:w="727" w:type="pct"/>
            <w:hideMark/>
          </w:tcPr>
          <w:p w:rsidR="00F868A1" w:rsidRPr="00FD059A" w:rsidP="009661AE">
            <w:pPr>
              <w:contextualSpacing/>
              <w:rPr>
                <w:color w:val="414142"/>
              </w:rPr>
            </w:pPr>
            <w:r w:rsidRPr="00FD059A">
              <w:rPr>
                <w:color w:val="414142"/>
              </w:rPr>
              <w:t> </w:t>
            </w:r>
          </w:p>
        </w:tc>
        <w:tc>
          <w:tcPr>
            <w:tcW w:w="882" w:type="pct"/>
            <w:hideMark/>
          </w:tcPr>
          <w:p w:rsidR="00F868A1" w:rsidRPr="00FD059A" w:rsidP="009661AE">
            <w:pPr>
              <w:contextualSpacing/>
              <w:rPr>
                <w:color w:val="414142"/>
              </w:rPr>
            </w:pPr>
            <w:r w:rsidRPr="00FD059A">
              <w:rPr>
                <w:color w:val="414142"/>
              </w:rPr>
              <w:t> </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5. Precizēta finansiālā ietekme:</w:t>
            </w:r>
          </w:p>
        </w:tc>
        <w:tc>
          <w:tcPr>
            <w:tcW w:w="660" w:type="pct"/>
            <w:vMerge w:val="restart"/>
            <w:hideMark/>
          </w:tcPr>
          <w:p w:rsidR="00F868A1" w:rsidRPr="00FD059A" w:rsidP="009661AE">
            <w:pPr>
              <w:ind w:firstLine="230"/>
              <w:contextualSpacing/>
              <w:jc w:val="center"/>
              <w:rPr>
                <w:color w:val="414142"/>
              </w:rPr>
            </w:pPr>
            <w:r w:rsidRPr="00FD059A">
              <w:rPr>
                <w:color w:val="414142"/>
              </w:rPr>
              <w:t>X</w:t>
            </w:r>
          </w:p>
        </w:tc>
        <w:tc>
          <w:tcPr>
            <w:tcW w:w="734" w:type="pct"/>
            <w:hideMark/>
          </w:tcPr>
          <w:p w:rsidR="00F868A1" w:rsidRPr="00FD059A" w:rsidP="0012691E">
            <w:pPr>
              <w:contextualSpacing/>
              <w:rPr>
                <w:color w:val="414142"/>
              </w:rPr>
            </w:pPr>
            <w:r>
              <w:rPr>
                <w:color w:val="414142"/>
              </w:rPr>
              <w:t> 0</w:t>
            </w:r>
          </w:p>
        </w:tc>
        <w:tc>
          <w:tcPr>
            <w:tcW w:w="764" w:type="pct"/>
            <w:hideMark/>
          </w:tcPr>
          <w:p w:rsidR="00F868A1" w:rsidRPr="00FD059A" w:rsidP="009661AE">
            <w:pPr>
              <w:contextualSpacing/>
              <w:rPr>
                <w:color w:val="414142"/>
              </w:rPr>
            </w:pPr>
            <w:r>
              <w:rPr>
                <w:color w:val="414142"/>
              </w:rPr>
              <w:t>0</w:t>
            </w:r>
          </w:p>
        </w:tc>
        <w:tc>
          <w:tcPr>
            <w:tcW w:w="727" w:type="pct"/>
            <w:hideMark/>
          </w:tcPr>
          <w:p w:rsidR="00F868A1" w:rsidRPr="00FD059A" w:rsidP="0012691E">
            <w:pPr>
              <w:contextualSpacing/>
              <w:rPr>
                <w:color w:val="414142"/>
              </w:rPr>
            </w:pPr>
            <w:r w:rsidRPr="00FD059A">
              <w:rPr>
                <w:color w:val="414142"/>
              </w:rPr>
              <w:t> </w:t>
            </w:r>
            <w:r w:rsidR="0012691E">
              <w:rPr>
                <w:color w:val="414142"/>
              </w:rPr>
              <w:t>0</w:t>
            </w:r>
          </w:p>
        </w:tc>
        <w:tc>
          <w:tcPr>
            <w:tcW w:w="882" w:type="pct"/>
            <w:hideMark/>
          </w:tcPr>
          <w:p w:rsidR="00F868A1" w:rsidRPr="00FD059A" w:rsidP="0012691E">
            <w:pPr>
              <w:contextualSpacing/>
              <w:rPr>
                <w:color w:val="414142"/>
              </w:rPr>
            </w:pPr>
            <w:r w:rsidRPr="00FD059A">
              <w:rPr>
                <w:color w:val="414142"/>
              </w:rPr>
              <w:t> </w:t>
            </w:r>
            <w:r w:rsidR="0012691E">
              <w:rPr>
                <w:color w:val="414142"/>
              </w:rPr>
              <w:t>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5.1. valsts pamatbudžets</w:t>
            </w:r>
          </w:p>
        </w:tc>
        <w:tc>
          <w:tcPr>
            <w:tcW w:w="660" w:type="pct"/>
            <w:vMerge/>
            <w:hideMark/>
          </w:tcPr>
          <w:p w:rsidR="00F868A1" w:rsidRPr="00FD059A" w:rsidP="009661AE">
            <w:pPr>
              <w:contextualSpacing/>
              <w:rPr>
                <w:color w:val="414142"/>
              </w:rPr>
            </w:pPr>
          </w:p>
        </w:tc>
        <w:tc>
          <w:tcPr>
            <w:tcW w:w="734" w:type="pct"/>
            <w:hideMark/>
          </w:tcPr>
          <w:p w:rsidR="00F868A1" w:rsidRPr="00FD059A" w:rsidP="0012691E">
            <w:pPr>
              <w:contextualSpacing/>
              <w:rPr>
                <w:color w:val="414142"/>
              </w:rPr>
            </w:pPr>
            <w:r w:rsidRPr="00FD059A">
              <w:rPr>
                <w:color w:val="414142"/>
              </w:rPr>
              <w:t> </w:t>
            </w:r>
            <w:r w:rsidR="0012691E">
              <w:rPr>
                <w:color w:val="414142"/>
              </w:rPr>
              <w:t>0</w:t>
            </w:r>
          </w:p>
        </w:tc>
        <w:tc>
          <w:tcPr>
            <w:tcW w:w="764" w:type="pct"/>
            <w:hideMark/>
          </w:tcPr>
          <w:p w:rsidR="00F868A1" w:rsidRPr="00FD059A" w:rsidP="0012691E">
            <w:pPr>
              <w:contextualSpacing/>
              <w:rPr>
                <w:color w:val="414142"/>
              </w:rPr>
            </w:pPr>
            <w:r w:rsidRPr="00FD059A">
              <w:rPr>
                <w:color w:val="414142"/>
              </w:rPr>
              <w:t> </w:t>
            </w:r>
            <w:r w:rsidR="0012691E">
              <w:rPr>
                <w:color w:val="414142"/>
              </w:rPr>
              <w:t>0</w:t>
            </w:r>
          </w:p>
        </w:tc>
        <w:tc>
          <w:tcPr>
            <w:tcW w:w="727" w:type="pct"/>
            <w:hideMark/>
          </w:tcPr>
          <w:p w:rsidR="00F868A1" w:rsidRPr="00FD059A" w:rsidP="0012691E">
            <w:pPr>
              <w:contextualSpacing/>
              <w:rPr>
                <w:color w:val="414142"/>
              </w:rPr>
            </w:pPr>
            <w:r w:rsidRPr="00FD059A">
              <w:rPr>
                <w:color w:val="414142"/>
              </w:rPr>
              <w:t> </w:t>
            </w:r>
            <w:r w:rsidR="0012691E">
              <w:rPr>
                <w:color w:val="414142"/>
              </w:rPr>
              <w:t>0</w:t>
            </w:r>
          </w:p>
        </w:tc>
        <w:tc>
          <w:tcPr>
            <w:tcW w:w="882" w:type="pct"/>
            <w:hideMark/>
          </w:tcPr>
          <w:p w:rsidR="00F868A1" w:rsidRPr="00FD059A" w:rsidP="0012691E">
            <w:pPr>
              <w:contextualSpacing/>
              <w:rPr>
                <w:color w:val="414142"/>
              </w:rPr>
            </w:pPr>
            <w:r w:rsidRPr="00FD059A">
              <w:rPr>
                <w:color w:val="414142"/>
              </w:rPr>
              <w:t> </w:t>
            </w:r>
            <w:r w:rsidR="0012691E">
              <w:rPr>
                <w:color w:val="414142"/>
              </w:rPr>
              <w:t>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5.2. speciālais budžets</w:t>
            </w:r>
          </w:p>
        </w:tc>
        <w:tc>
          <w:tcPr>
            <w:tcW w:w="660" w:type="pct"/>
            <w:vMerge/>
            <w:hideMark/>
          </w:tcPr>
          <w:p w:rsidR="00F868A1" w:rsidRPr="00FD059A" w:rsidP="009661AE">
            <w:pPr>
              <w:contextualSpacing/>
              <w:rPr>
                <w:color w:val="414142"/>
              </w:rPr>
            </w:pP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5.3. pašvaldību budžets</w:t>
            </w:r>
          </w:p>
        </w:tc>
        <w:tc>
          <w:tcPr>
            <w:tcW w:w="660" w:type="pct"/>
            <w:vMerge/>
            <w:hideMark/>
          </w:tcPr>
          <w:p w:rsidR="00F868A1" w:rsidRPr="00FD059A" w:rsidP="009661AE">
            <w:pPr>
              <w:contextualSpacing/>
              <w:rPr>
                <w:color w:val="414142"/>
              </w:rPr>
            </w:pPr>
          </w:p>
        </w:tc>
        <w:tc>
          <w:tcPr>
            <w:tcW w:w="734" w:type="pct"/>
            <w:hideMark/>
          </w:tcPr>
          <w:p w:rsidR="00F868A1" w:rsidRPr="00FD059A" w:rsidP="009661AE">
            <w:pPr>
              <w:contextualSpacing/>
              <w:rPr>
                <w:color w:val="414142"/>
              </w:rPr>
            </w:pPr>
            <w:r w:rsidRPr="00FD059A">
              <w:rPr>
                <w:color w:val="414142"/>
              </w:rPr>
              <w:t> 0</w:t>
            </w:r>
          </w:p>
        </w:tc>
        <w:tc>
          <w:tcPr>
            <w:tcW w:w="764" w:type="pct"/>
            <w:hideMark/>
          </w:tcPr>
          <w:p w:rsidR="00F868A1" w:rsidRPr="00FD059A" w:rsidP="009661AE">
            <w:pPr>
              <w:contextualSpacing/>
              <w:rPr>
                <w:color w:val="414142"/>
              </w:rPr>
            </w:pPr>
            <w:r w:rsidRPr="00FD059A">
              <w:rPr>
                <w:color w:val="414142"/>
              </w:rPr>
              <w:t> 0</w:t>
            </w:r>
          </w:p>
        </w:tc>
        <w:tc>
          <w:tcPr>
            <w:tcW w:w="727" w:type="pct"/>
            <w:hideMark/>
          </w:tcPr>
          <w:p w:rsidR="00F868A1" w:rsidRPr="00FD059A" w:rsidP="009661AE">
            <w:pPr>
              <w:contextualSpacing/>
              <w:rPr>
                <w:color w:val="414142"/>
              </w:rPr>
            </w:pPr>
            <w:r w:rsidRPr="00FD059A">
              <w:rPr>
                <w:color w:val="414142"/>
              </w:rPr>
              <w:t> 0</w:t>
            </w:r>
          </w:p>
        </w:tc>
        <w:tc>
          <w:tcPr>
            <w:tcW w:w="882" w:type="pct"/>
            <w:hideMark/>
          </w:tcPr>
          <w:p w:rsidR="00F868A1" w:rsidRPr="00FD059A" w:rsidP="009661AE">
            <w:pPr>
              <w:contextualSpacing/>
              <w:rPr>
                <w:color w:val="414142"/>
              </w:rPr>
            </w:pPr>
            <w:r w:rsidRPr="00FD059A">
              <w:rPr>
                <w:color w:val="414142"/>
              </w:rPr>
              <w:t> 0</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6. Detalizēts ieņēmumu un izdevumu aprēķins (ja nepieciešams, detalizētu ieņēmumu un izdevumu aprēķinu var pievienot anotācijas pielikumā):</w:t>
            </w:r>
          </w:p>
        </w:tc>
        <w:tc>
          <w:tcPr>
            <w:tcW w:w="3767" w:type="pct"/>
            <w:gridSpan w:val="5"/>
            <w:vMerge w:val="restart"/>
            <w:hideMark/>
          </w:tcPr>
          <w:p w:rsidR="00F868A1" w:rsidRPr="00FD059A" w:rsidP="00F868A1">
            <w:pPr>
              <w:rPr>
                <w:color w:val="414142"/>
              </w:rPr>
            </w:pPr>
            <w:r>
              <w:rPr>
                <w:color w:val="414142"/>
              </w:rPr>
              <w:t>Likumprojekts nerada papildus izdevumus valsts budžetā</w:t>
            </w:r>
            <w:r w:rsidR="00EC2743">
              <w:rPr>
                <w:color w:val="414142"/>
              </w:rPr>
              <w:t>.</w:t>
            </w: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6.1. detalizēts ieņēmumu aprēķins</w:t>
            </w:r>
          </w:p>
        </w:tc>
        <w:tc>
          <w:tcPr>
            <w:tcW w:w="3767" w:type="pct"/>
            <w:gridSpan w:val="5"/>
            <w:vMerge/>
            <w:hideMark/>
          </w:tcPr>
          <w:p w:rsidR="00F868A1" w:rsidRPr="00FD059A" w:rsidP="009661AE">
            <w:pPr>
              <w:contextualSpacing/>
              <w:rPr>
                <w:color w:val="414142"/>
              </w:rPr>
            </w:pPr>
          </w:p>
        </w:tc>
      </w:tr>
      <w:tr w:rsidTr="004F3B60">
        <w:tblPrEx>
          <w:tblW w:w="5160" w:type="pct"/>
          <w:tblLook w:val="04A0"/>
        </w:tblPrEx>
        <w:tc>
          <w:tcPr>
            <w:tcW w:w="1233" w:type="pct"/>
            <w:hideMark/>
          </w:tcPr>
          <w:p w:rsidR="00F868A1" w:rsidRPr="00FD059A" w:rsidP="009661AE">
            <w:pPr>
              <w:contextualSpacing/>
              <w:rPr>
                <w:color w:val="414142"/>
              </w:rPr>
            </w:pPr>
            <w:r w:rsidRPr="00FD059A">
              <w:rPr>
                <w:color w:val="414142"/>
              </w:rPr>
              <w:t>6.2. detalizēts izdevumu aprēķins</w:t>
            </w:r>
          </w:p>
        </w:tc>
        <w:tc>
          <w:tcPr>
            <w:tcW w:w="3767" w:type="pct"/>
            <w:gridSpan w:val="5"/>
            <w:vMerge/>
            <w:hideMark/>
          </w:tcPr>
          <w:p w:rsidR="00F868A1" w:rsidRPr="00FD059A" w:rsidP="009661AE">
            <w:pPr>
              <w:contextualSpacing/>
              <w:rPr>
                <w:color w:val="414142"/>
              </w:rPr>
            </w:pPr>
          </w:p>
        </w:tc>
      </w:tr>
      <w:tr w:rsidTr="004F3B60">
        <w:tblPrEx>
          <w:tblW w:w="5160" w:type="pct"/>
          <w:tblLook w:val="04A0"/>
        </w:tblPrEx>
        <w:trPr>
          <w:trHeight w:val="555"/>
        </w:trPr>
        <w:tc>
          <w:tcPr>
            <w:tcW w:w="1233" w:type="pct"/>
            <w:hideMark/>
          </w:tcPr>
          <w:p w:rsidR="00F868A1" w:rsidRPr="00FD059A" w:rsidP="009661AE">
            <w:pPr>
              <w:contextualSpacing/>
              <w:rPr>
                <w:color w:val="414142"/>
              </w:rPr>
            </w:pPr>
            <w:r w:rsidRPr="00FD059A">
              <w:rPr>
                <w:color w:val="414142"/>
              </w:rPr>
              <w:t>7. Cita informācija</w:t>
            </w:r>
          </w:p>
        </w:tc>
        <w:tc>
          <w:tcPr>
            <w:tcW w:w="3767" w:type="pct"/>
            <w:gridSpan w:val="5"/>
            <w:hideMark/>
          </w:tcPr>
          <w:p w:rsidR="00F868A1" w:rsidRPr="00FD059A" w:rsidP="009661AE">
            <w:pPr>
              <w:jc w:val="both"/>
            </w:pPr>
            <w:r w:rsidRPr="00FD059A">
              <w:t>Veselības inspekcija 2019.gadā un turpmākajos gados  likumprojektā paredzēto pasākumu īstenošanu nodrošinās piešķirto finanšu līdzekļu ietvaros.</w:t>
            </w:r>
          </w:p>
          <w:p w:rsidR="00F868A1" w:rsidRPr="00C51C25" w:rsidP="0012691E">
            <w:pPr>
              <w:jc w:val="both"/>
              <w:rPr>
                <w:color w:val="414142"/>
              </w:rPr>
            </w:pPr>
            <w:r w:rsidRPr="00FD059A">
              <w:t>Ieņēmumi no likumprojektā paredzēto administratīvo sodu piemērošanas tiks ieskaitīti valsts budžeta kopējos ieņēmumos. Ieņēmumi no likumprojektā paredzēto administratīvo sodu piemērošanas plānojami kārtējā gada likumā par valsts budžetu.</w:t>
            </w:r>
          </w:p>
        </w:tc>
      </w:tr>
    </w:tbl>
    <w:p w:rsidR="00F868A1" w:rsidP="00F868A1">
      <w:pPr>
        <w:jc w:val="both"/>
      </w:pPr>
    </w:p>
    <w:p w:rsidR="00D866E5" w:rsidP="00F868A1">
      <w:pPr>
        <w:jc w:val="both"/>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356"/>
      </w:tblGrid>
      <w:tr w:rsidTr="00D866E5">
        <w:tblPrEx>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outset" w:sz="6" w:space="0" w:color="000000"/>
              <w:left w:val="outset" w:sz="6" w:space="0" w:color="000000"/>
              <w:bottom w:val="outset" w:sz="6" w:space="0" w:color="000000"/>
              <w:right w:val="outset" w:sz="6" w:space="0" w:color="000000"/>
            </w:tcBorders>
          </w:tcPr>
          <w:p w:rsidR="00D57A01" w:rsidRPr="00583CC4" w:rsidP="00A775CA">
            <w:pPr>
              <w:spacing w:before="100" w:beforeAutospacing="1" w:after="100" w:afterAutospacing="1"/>
              <w:jc w:val="center"/>
              <w:rPr>
                <w:b/>
                <w:bCs/>
                <w:sz w:val="28"/>
                <w:szCs w:val="28"/>
              </w:rPr>
            </w:pPr>
            <w:r>
              <w:rPr>
                <w:b/>
                <w:bCs/>
                <w:sz w:val="28"/>
                <w:szCs w:val="28"/>
              </w:rPr>
              <w:t>I</w:t>
            </w:r>
            <w:r w:rsidRPr="00583CC4">
              <w:rPr>
                <w:b/>
                <w:bCs/>
                <w:sz w:val="28"/>
                <w:szCs w:val="28"/>
              </w:rPr>
              <w:t xml:space="preserve">V. </w:t>
            </w:r>
            <w:r w:rsidRPr="00443797">
              <w:rPr>
                <w:b/>
                <w:sz w:val="28"/>
                <w:szCs w:val="28"/>
              </w:rPr>
              <w:t>Tiesību akta projekta ietekme uz spēkā esošo tiesību normu sistēmu</w:t>
            </w:r>
          </w:p>
        </w:tc>
      </w:tr>
      <w:tr w:rsidTr="00D866E5">
        <w:tblPrEx>
          <w:tblW w:w="5166" w:type="pct"/>
          <w:tblInd w:w="-8" w:type="dxa"/>
          <w:tblCellMar>
            <w:top w:w="30" w:type="dxa"/>
            <w:left w:w="30" w:type="dxa"/>
            <w:bottom w:w="30" w:type="dxa"/>
            <w:right w:w="30" w:type="dxa"/>
          </w:tblCellMar>
          <w:tblLook w:val="0000"/>
        </w:tblPrEx>
        <w:tc>
          <w:tcPr>
            <w:tcW w:w="5000" w:type="pct"/>
            <w:tcBorders>
              <w:top w:val="outset" w:sz="6" w:space="0" w:color="000000"/>
              <w:left w:val="outset" w:sz="6" w:space="0" w:color="000000"/>
              <w:bottom w:val="outset" w:sz="6" w:space="0" w:color="000000"/>
              <w:right w:val="outset" w:sz="6" w:space="0" w:color="000000"/>
            </w:tcBorders>
          </w:tcPr>
          <w:p w:rsidR="00D57A01" w:rsidRPr="008E275D" w:rsidP="00A775CA">
            <w:pPr>
              <w:spacing w:before="100" w:beforeAutospacing="1" w:after="100" w:afterAutospacing="1"/>
              <w:jc w:val="center"/>
              <w:rPr>
                <w:b/>
                <w:bCs/>
              </w:rPr>
            </w:pPr>
            <w:r w:rsidRPr="008E275D">
              <w:t>Likumprojekts šo jomu neskar</w:t>
            </w:r>
            <w:r w:rsidR="00EC2743">
              <w:t>.</w:t>
            </w:r>
          </w:p>
        </w:tc>
      </w:tr>
    </w:tbl>
    <w:p w:rsidR="00D57A01" w:rsidP="00D57A01">
      <w:pPr>
        <w:rPr>
          <w:highlight w:val="yellow"/>
        </w:rPr>
      </w:pPr>
    </w:p>
    <w:p w:rsidR="00D866E5" w:rsidRPr="005923D8" w:rsidP="00D57A01">
      <w:pPr>
        <w:rPr>
          <w:highlight w:val="yellow"/>
        </w:rPr>
      </w:pPr>
    </w:p>
    <w:tbl>
      <w:tblPr>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
      <w:tblGrid>
        <w:gridCol w:w="9356"/>
      </w:tblGrid>
      <w:tr w:rsidTr="00D866E5">
        <w:tblPrEx>
          <w:tblW w:w="5166"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tblPrEx>
        <w:tc>
          <w:tcPr>
            <w:tcW w:w="5000" w:type="pct"/>
            <w:tcBorders>
              <w:top w:val="outset" w:sz="6" w:space="0" w:color="000000"/>
              <w:left w:val="outset" w:sz="6" w:space="0" w:color="000000"/>
              <w:bottom w:val="outset" w:sz="6" w:space="0" w:color="000000"/>
              <w:right w:val="outset" w:sz="6" w:space="0" w:color="000000"/>
            </w:tcBorders>
          </w:tcPr>
          <w:p w:rsidR="00D57A01" w:rsidRPr="00583CC4" w:rsidP="00D57A01">
            <w:pPr>
              <w:spacing w:before="100" w:beforeAutospacing="1" w:after="100" w:afterAutospacing="1"/>
              <w:jc w:val="center"/>
              <w:rPr>
                <w:b/>
                <w:bCs/>
                <w:sz w:val="28"/>
                <w:szCs w:val="28"/>
              </w:rPr>
            </w:pPr>
            <w:r w:rsidRPr="00583CC4">
              <w:rPr>
                <w:b/>
                <w:bCs/>
                <w:sz w:val="28"/>
                <w:szCs w:val="28"/>
              </w:rPr>
              <w:t xml:space="preserve">V. </w:t>
            </w:r>
            <w:r w:rsidRPr="00443797">
              <w:rPr>
                <w:b/>
                <w:sz w:val="28"/>
                <w:szCs w:val="28"/>
              </w:rPr>
              <w:t xml:space="preserve">Tiesību akta projekta </w:t>
            </w:r>
            <w:r>
              <w:rPr>
                <w:b/>
                <w:sz w:val="28"/>
                <w:szCs w:val="28"/>
              </w:rPr>
              <w:t>atbilstība Latvijas Republikas starptautiskajām saistībām</w:t>
            </w:r>
          </w:p>
        </w:tc>
      </w:tr>
      <w:tr w:rsidTr="00D866E5">
        <w:tblPrEx>
          <w:tblW w:w="5166" w:type="pct"/>
          <w:tblInd w:w="-8" w:type="dxa"/>
          <w:tblCellMar>
            <w:top w:w="30" w:type="dxa"/>
            <w:left w:w="30" w:type="dxa"/>
            <w:bottom w:w="30" w:type="dxa"/>
            <w:right w:w="30" w:type="dxa"/>
          </w:tblCellMar>
          <w:tblLook w:val="0000"/>
        </w:tblPrEx>
        <w:tc>
          <w:tcPr>
            <w:tcW w:w="5000" w:type="pct"/>
            <w:tcBorders>
              <w:top w:val="outset" w:sz="6" w:space="0" w:color="000000"/>
              <w:left w:val="outset" w:sz="6" w:space="0" w:color="000000"/>
              <w:bottom w:val="outset" w:sz="6" w:space="0" w:color="000000"/>
              <w:right w:val="outset" w:sz="6" w:space="0" w:color="000000"/>
            </w:tcBorders>
          </w:tcPr>
          <w:p w:rsidR="00D57A01" w:rsidRPr="008E275D" w:rsidP="00A775CA">
            <w:pPr>
              <w:spacing w:before="100" w:beforeAutospacing="1" w:after="100" w:afterAutospacing="1"/>
              <w:jc w:val="center"/>
              <w:rPr>
                <w:b/>
                <w:bCs/>
              </w:rPr>
            </w:pPr>
            <w:r w:rsidRPr="008E275D">
              <w:t>Likumprojekts šo jomu neskar</w:t>
            </w:r>
            <w:r w:rsidR="00EC2743">
              <w:t>.</w:t>
            </w:r>
          </w:p>
        </w:tc>
      </w:tr>
    </w:tbl>
    <w:p w:rsidR="00D57A01" w:rsidP="00D57A01">
      <w:pPr>
        <w:rPr>
          <w:highlight w:val="yellow"/>
        </w:rPr>
      </w:pPr>
    </w:p>
    <w:p w:rsidR="00D866E5" w:rsidRPr="005923D8" w:rsidP="00D57A01">
      <w:pPr>
        <w:rPr>
          <w:highlight w:val="yellow"/>
        </w:rPr>
      </w:pPr>
    </w:p>
    <w:tbl>
      <w:tblPr>
        <w:tblStyle w:val="TableGrid"/>
        <w:tblW w:w="5160" w:type="pct"/>
        <w:tblLook w:val="04A0"/>
      </w:tblPr>
      <w:tblGrid>
        <w:gridCol w:w="453"/>
        <w:gridCol w:w="2706"/>
        <w:gridCol w:w="6192"/>
      </w:tblGrid>
      <w:tr w:rsidTr="00917D07">
        <w:tblPrEx>
          <w:tblW w:w="5160" w:type="pct"/>
          <w:tblLook w:val="04A0"/>
        </w:tblPrEx>
        <w:trPr>
          <w:trHeight w:val="246"/>
        </w:trPr>
        <w:tc>
          <w:tcPr>
            <w:tcW w:w="5000" w:type="pct"/>
            <w:gridSpan w:val="3"/>
            <w:hideMark/>
          </w:tcPr>
          <w:p w:rsidR="006414CC" w:rsidRPr="00B70FD2" w:rsidP="006414CC">
            <w:pPr>
              <w:pStyle w:val="tvhtml"/>
              <w:spacing w:line="293" w:lineRule="atLeast"/>
              <w:jc w:val="center"/>
              <w:rPr>
                <w:b/>
                <w:bCs/>
                <w:lang w:val="lv-LV"/>
              </w:rPr>
            </w:pPr>
            <w:r w:rsidRPr="00B70FD2">
              <w:rPr>
                <w:b/>
                <w:bCs/>
                <w:lang w:val="lv-LV"/>
              </w:rPr>
              <w:t>VI. Sabiedrības līdzdalība un komunikācijas aktivitātes</w:t>
            </w:r>
          </w:p>
        </w:tc>
      </w:tr>
      <w:tr w:rsidTr="00917D07">
        <w:tblPrEx>
          <w:tblW w:w="5160" w:type="pct"/>
          <w:tblLook w:val="04A0"/>
        </w:tblPrEx>
        <w:trPr>
          <w:trHeight w:val="540"/>
        </w:trPr>
        <w:tc>
          <w:tcPr>
            <w:tcW w:w="242" w:type="pct"/>
            <w:hideMark/>
          </w:tcPr>
          <w:p w:rsidR="006414CC" w:rsidRPr="00B70FD2" w:rsidP="006414CC">
            <w:r w:rsidRPr="00B70FD2">
              <w:t>1.</w:t>
            </w:r>
          </w:p>
        </w:tc>
        <w:tc>
          <w:tcPr>
            <w:tcW w:w="1447" w:type="pct"/>
            <w:hideMark/>
          </w:tcPr>
          <w:p w:rsidR="006414CC" w:rsidRPr="00B70FD2" w:rsidP="006414CC">
            <w:r w:rsidRPr="00B70FD2">
              <w:t>Plānotās sabiedrības līdzdalības un komunikācijas aktivitātes saistībā ar projektu</w:t>
            </w:r>
          </w:p>
        </w:tc>
        <w:tc>
          <w:tcPr>
            <w:tcW w:w="3311" w:type="pct"/>
            <w:hideMark/>
          </w:tcPr>
          <w:p w:rsidR="001E54AF" w:rsidRPr="00B70FD2" w:rsidP="00BD6CC2">
            <w:pPr>
              <w:jc w:val="both"/>
            </w:pPr>
            <w:r w:rsidRPr="00C53D1A">
              <w:rPr>
                <w:bCs/>
                <w:color w:val="414142"/>
                <w:shd w:val="clear" w:color="auto" w:fill="FFFFFF"/>
              </w:rPr>
              <w:t xml:space="preserve">Sabiedriskā apspriešana </w:t>
            </w:r>
            <w:r w:rsidR="00EC2743">
              <w:rPr>
                <w:bCs/>
                <w:color w:val="414142"/>
                <w:shd w:val="clear" w:color="auto" w:fill="FFFFFF"/>
              </w:rPr>
              <w:t>likum</w:t>
            </w:r>
            <w:r w:rsidRPr="00C53D1A">
              <w:rPr>
                <w:bCs/>
                <w:color w:val="414142"/>
                <w:shd w:val="clear" w:color="auto" w:fill="FFFFFF"/>
              </w:rPr>
              <w:t>projekta izstrādē nav veikta, jo projekts būtiski nemaina esošo regulējumu un neparedz ieviest jaunas politiskās iniciatīvas</w:t>
            </w:r>
            <w:r>
              <w:rPr>
                <w:bCs/>
                <w:color w:val="414142"/>
                <w:shd w:val="clear" w:color="auto" w:fill="FFFFFF"/>
              </w:rPr>
              <w:t>.</w:t>
            </w:r>
          </w:p>
        </w:tc>
      </w:tr>
      <w:tr w:rsidTr="00917D07">
        <w:tblPrEx>
          <w:tblW w:w="5160" w:type="pct"/>
          <w:tblLook w:val="04A0"/>
        </w:tblPrEx>
        <w:trPr>
          <w:trHeight w:val="330"/>
        </w:trPr>
        <w:tc>
          <w:tcPr>
            <w:tcW w:w="242" w:type="pct"/>
            <w:hideMark/>
          </w:tcPr>
          <w:p w:rsidR="001F342B" w:rsidRPr="00B70FD2" w:rsidP="006414CC">
            <w:r w:rsidRPr="00B70FD2">
              <w:t>2.</w:t>
            </w:r>
          </w:p>
        </w:tc>
        <w:tc>
          <w:tcPr>
            <w:tcW w:w="1447" w:type="pct"/>
            <w:hideMark/>
          </w:tcPr>
          <w:p w:rsidR="001F342B" w:rsidRPr="00B70FD2" w:rsidP="006414CC">
            <w:r w:rsidRPr="00B70FD2">
              <w:t>Sabiedrības līdzdalība projekta izstrādē</w:t>
            </w:r>
          </w:p>
        </w:tc>
        <w:tc>
          <w:tcPr>
            <w:tcW w:w="3311" w:type="pct"/>
            <w:hideMark/>
          </w:tcPr>
          <w:p w:rsidR="00A66DC9" w:rsidRPr="00B70FD2" w:rsidP="00A66DC9">
            <w:pPr>
              <w:jc w:val="both"/>
            </w:pPr>
            <w:r>
              <w:t>Likumprojekts šo jomu neskar.</w:t>
            </w:r>
          </w:p>
        </w:tc>
      </w:tr>
      <w:tr w:rsidTr="00917D07">
        <w:tblPrEx>
          <w:tblW w:w="5160" w:type="pct"/>
          <w:tblLook w:val="04A0"/>
        </w:tblPrEx>
        <w:trPr>
          <w:trHeight w:val="465"/>
        </w:trPr>
        <w:tc>
          <w:tcPr>
            <w:tcW w:w="242" w:type="pct"/>
            <w:hideMark/>
          </w:tcPr>
          <w:p w:rsidR="006414CC" w:rsidRPr="00B70FD2" w:rsidP="006414CC">
            <w:r w:rsidRPr="00B70FD2">
              <w:t>3.</w:t>
            </w:r>
          </w:p>
        </w:tc>
        <w:tc>
          <w:tcPr>
            <w:tcW w:w="1447" w:type="pct"/>
            <w:hideMark/>
          </w:tcPr>
          <w:p w:rsidR="006414CC" w:rsidRPr="00B70FD2" w:rsidP="006414CC">
            <w:r w:rsidRPr="00B70FD2">
              <w:t>Sabiedrības līdzdalības rezultāti</w:t>
            </w:r>
          </w:p>
        </w:tc>
        <w:tc>
          <w:tcPr>
            <w:tcW w:w="3311" w:type="pct"/>
            <w:hideMark/>
          </w:tcPr>
          <w:p w:rsidR="006414CC" w:rsidRPr="00B70FD2" w:rsidP="00267BB8">
            <w:pPr>
              <w:jc w:val="both"/>
            </w:pPr>
            <w:r>
              <w:t>Likumprojekts šo jomu neskar.</w:t>
            </w:r>
          </w:p>
        </w:tc>
      </w:tr>
      <w:tr w:rsidTr="00917D07">
        <w:tblPrEx>
          <w:tblW w:w="5160" w:type="pct"/>
          <w:tblLook w:val="04A0"/>
        </w:tblPrEx>
        <w:trPr>
          <w:trHeight w:val="209"/>
        </w:trPr>
        <w:tc>
          <w:tcPr>
            <w:tcW w:w="242" w:type="pct"/>
            <w:hideMark/>
          </w:tcPr>
          <w:p w:rsidR="006414CC" w:rsidRPr="00B70FD2" w:rsidP="006414CC">
            <w:r w:rsidRPr="00B70FD2">
              <w:t>4.</w:t>
            </w:r>
          </w:p>
        </w:tc>
        <w:tc>
          <w:tcPr>
            <w:tcW w:w="1447" w:type="pct"/>
            <w:hideMark/>
          </w:tcPr>
          <w:p w:rsidR="006414CC" w:rsidRPr="00B70FD2" w:rsidP="006414CC">
            <w:r w:rsidRPr="00B70FD2">
              <w:t>Cita informācija</w:t>
            </w:r>
          </w:p>
        </w:tc>
        <w:tc>
          <w:tcPr>
            <w:tcW w:w="3311" w:type="pct"/>
            <w:hideMark/>
          </w:tcPr>
          <w:p w:rsidR="006414CC" w:rsidRPr="00B70FD2" w:rsidP="001E647D">
            <w:r w:rsidRPr="00B70FD2">
              <w:t>Nav</w:t>
            </w:r>
          </w:p>
        </w:tc>
      </w:tr>
    </w:tbl>
    <w:p w:rsidR="00C6758B" w:rsidP="00B1641A">
      <w:pPr>
        <w:pStyle w:val="naisf"/>
        <w:spacing w:before="0" w:after="0"/>
        <w:ind w:firstLine="289"/>
        <w:jc w:val="center"/>
      </w:pPr>
    </w:p>
    <w:p w:rsidR="003E3BF4" w:rsidP="00B1641A">
      <w:pPr>
        <w:pStyle w:val="naisf"/>
        <w:spacing w:before="0" w:after="0"/>
        <w:ind w:firstLine="289"/>
        <w:jc w:val="center"/>
      </w:pPr>
    </w:p>
    <w:tbl>
      <w:tblPr>
        <w:tblStyle w:val="TableGrid"/>
        <w:tblW w:w="5160" w:type="pct"/>
        <w:tblLook w:val="04A0"/>
      </w:tblPr>
      <w:tblGrid>
        <w:gridCol w:w="451"/>
        <w:gridCol w:w="3428"/>
        <w:gridCol w:w="5472"/>
      </w:tblGrid>
      <w:tr w:rsidTr="00917D07">
        <w:tblPrEx>
          <w:tblW w:w="5160" w:type="pct"/>
          <w:tblLook w:val="04A0"/>
        </w:tblPrEx>
        <w:trPr>
          <w:trHeight w:val="375"/>
        </w:trPr>
        <w:tc>
          <w:tcPr>
            <w:tcW w:w="5000" w:type="pct"/>
            <w:gridSpan w:val="3"/>
            <w:hideMark/>
          </w:tcPr>
          <w:p w:rsidR="00C6758B" w:rsidRPr="00B70FD2">
            <w:pPr>
              <w:pStyle w:val="tvhtml"/>
              <w:spacing w:line="293" w:lineRule="atLeast"/>
              <w:jc w:val="center"/>
              <w:rPr>
                <w:b/>
                <w:bCs/>
                <w:lang w:val="lv-LV"/>
              </w:rPr>
            </w:pPr>
            <w:r w:rsidRPr="00B70FD2">
              <w:rPr>
                <w:b/>
                <w:bCs/>
                <w:lang w:val="lv-LV"/>
              </w:rPr>
              <w:t>VII. Tiesību akta projekta izpildes nodrošināšana un tās ietekme uz institūcijām</w:t>
            </w:r>
          </w:p>
        </w:tc>
      </w:tr>
      <w:tr w:rsidTr="00D866E5">
        <w:tblPrEx>
          <w:tblW w:w="5160" w:type="pct"/>
          <w:tblLook w:val="04A0"/>
        </w:tblPrEx>
        <w:trPr>
          <w:trHeight w:val="420"/>
        </w:trPr>
        <w:tc>
          <w:tcPr>
            <w:tcW w:w="241" w:type="pct"/>
            <w:hideMark/>
          </w:tcPr>
          <w:p w:rsidR="00C6758B" w:rsidRPr="00B70FD2">
            <w:r w:rsidRPr="00B70FD2">
              <w:t>1.</w:t>
            </w:r>
          </w:p>
        </w:tc>
        <w:tc>
          <w:tcPr>
            <w:tcW w:w="1833" w:type="pct"/>
            <w:hideMark/>
          </w:tcPr>
          <w:p w:rsidR="00C6758B" w:rsidRPr="00B70FD2">
            <w:r w:rsidRPr="00B70FD2">
              <w:t>Projekta izpildē iesaistītās institūcijas</w:t>
            </w:r>
          </w:p>
        </w:tc>
        <w:tc>
          <w:tcPr>
            <w:tcW w:w="2926" w:type="pct"/>
            <w:hideMark/>
          </w:tcPr>
          <w:p w:rsidR="00C6758B" w:rsidRPr="00B70FD2" w:rsidP="00016787">
            <w:pPr>
              <w:jc w:val="both"/>
            </w:pPr>
            <w:r w:rsidRPr="00B24118">
              <w:t>Veselības inspekcija</w:t>
            </w:r>
            <w:r w:rsidR="00EC2743">
              <w:t>.</w:t>
            </w:r>
          </w:p>
        </w:tc>
      </w:tr>
      <w:tr w:rsidTr="00D866E5">
        <w:tblPrEx>
          <w:tblW w:w="5160" w:type="pct"/>
          <w:tblLook w:val="04A0"/>
        </w:tblPrEx>
        <w:trPr>
          <w:trHeight w:val="450"/>
        </w:trPr>
        <w:tc>
          <w:tcPr>
            <w:tcW w:w="241" w:type="pct"/>
            <w:hideMark/>
          </w:tcPr>
          <w:p w:rsidR="00D76FB9" w:rsidRPr="00B70FD2">
            <w:r w:rsidRPr="00B70FD2">
              <w:t>2.</w:t>
            </w:r>
          </w:p>
        </w:tc>
        <w:tc>
          <w:tcPr>
            <w:tcW w:w="1833" w:type="pct"/>
            <w:hideMark/>
          </w:tcPr>
          <w:p w:rsidR="00D76FB9" w:rsidRPr="00B70FD2" w:rsidP="00F47742">
            <w:r w:rsidRPr="00B70FD2">
              <w:t>Projekta izpildes ietekme uz pārvaldes funkcijām un institucionālo struktūru.</w:t>
            </w:r>
          </w:p>
          <w:p w:rsidR="00D76FB9" w:rsidRPr="00B70FD2" w:rsidP="00F47742">
            <w:pPr>
              <w:pStyle w:val="tvhtml"/>
              <w:spacing w:before="0" w:beforeAutospacing="0" w:after="0" w:afterAutospacing="0"/>
              <w:rPr>
                <w:lang w:val="lv-LV"/>
              </w:rPr>
            </w:pPr>
            <w:r w:rsidRPr="00B70FD2">
              <w:rPr>
                <w:lang w:val="lv-LV"/>
              </w:rPr>
              <w:t>Jaunu institūciju izveide, esošu institūciju likvidācija vai reorganizācija, to ietekme uz institūcijas cilvēkresursiem</w:t>
            </w:r>
          </w:p>
        </w:tc>
        <w:tc>
          <w:tcPr>
            <w:tcW w:w="2926" w:type="pct"/>
            <w:hideMark/>
          </w:tcPr>
          <w:p w:rsidR="00D76FB9" w:rsidRPr="00D866E5" w:rsidP="00BD6CC2">
            <w:pPr>
              <w:pStyle w:val="tvhtml"/>
              <w:spacing w:line="293" w:lineRule="atLeast"/>
              <w:jc w:val="both"/>
              <w:rPr>
                <w:lang w:val="lv-LV"/>
              </w:rPr>
            </w:pPr>
            <w:r w:rsidRPr="00D866E5">
              <w:rPr>
                <w:lang w:val="lv-LV"/>
              </w:rPr>
              <w:t>Likumprojekts šo jomu neskar.</w:t>
            </w:r>
          </w:p>
        </w:tc>
      </w:tr>
      <w:tr w:rsidTr="00D866E5">
        <w:tblPrEx>
          <w:tblW w:w="5160" w:type="pct"/>
          <w:tblLook w:val="04A0"/>
        </w:tblPrEx>
        <w:trPr>
          <w:trHeight w:val="245"/>
        </w:trPr>
        <w:tc>
          <w:tcPr>
            <w:tcW w:w="241" w:type="pct"/>
            <w:hideMark/>
          </w:tcPr>
          <w:p w:rsidR="00C6758B" w:rsidRPr="00B70FD2" w:rsidP="00F47742">
            <w:r w:rsidRPr="00B70FD2">
              <w:t>3.</w:t>
            </w:r>
          </w:p>
        </w:tc>
        <w:tc>
          <w:tcPr>
            <w:tcW w:w="1833" w:type="pct"/>
            <w:hideMark/>
          </w:tcPr>
          <w:p w:rsidR="00C6758B" w:rsidRPr="00B70FD2" w:rsidP="00F47742">
            <w:r w:rsidRPr="00B70FD2">
              <w:t>Cita informācija</w:t>
            </w:r>
          </w:p>
        </w:tc>
        <w:tc>
          <w:tcPr>
            <w:tcW w:w="2926" w:type="pct"/>
            <w:hideMark/>
          </w:tcPr>
          <w:p w:rsidR="007B71CE" w:rsidRPr="00B70FD2" w:rsidP="00AF4A95">
            <w:pPr>
              <w:pStyle w:val="tvhtml"/>
              <w:spacing w:before="0" w:beforeAutospacing="0" w:after="0" w:afterAutospacing="0"/>
              <w:jc w:val="both"/>
              <w:rPr>
                <w:lang w:val="lv-LV"/>
              </w:rPr>
            </w:pPr>
            <w:r>
              <w:rPr>
                <w:lang w:val="lv-LV"/>
              </w:rPr>
              <w:t>Nav</w:t>
            </w:r>
            <w:r w:rsidR="008B0F15">
              <w:rPr>
                <w:lang w:val="lv-LV"/>
              </w:rPr>
              <w:t>.</w:t>
            </w:r>
          </w:p>
        </w:tc>
      </w:tr>
    </w:tbl>
    <w:p w:rsidR="00103BAD" w:rsidRPr="004418E4" w:rsidP="00A57857">
      <w:pPr>
        <w:jc w:val="both"/>
        <w:rPr>
          <w:b/>
          <w:sz w:val="28"/>
          <w:szCs w:val="28"/>
        </w:rPr>
      </w:pPr>
    </w:p>
    <w:p w:rsidR="00F565FB" w:rsidP="00AE2D74">
      <w:pPr>
        <w:rPr>
          <w:sz w:val="28"/>
          <w:szCs w:val="28"/>
        </w:rPr>
      </w:pPr>
    </w:p>
    <w:p w:rsidR="00AE2D74" w:rsidRPr="00FF03A1" w:rsidP="00D866E5">
      <w:pPr>
        <w:spacing w:after="240"/>
        <w:rPr>
          <w:sz w:val="28"/>
          <w:szCs w:val="28"/>
        </w:rPr>
      </w:pPr>
      <w:r w:rsidRPr="00FF03A1">
        <w:rPr>
          <w:sz w:val="28"/>
          <w:szCs w:val="28"/>
        </w:rPr>
        <w:t>Veselības ministr</w:t>
      </w:r>
      <w:r w:rsidR="00412677">
        <w:rPr>
          <w:sz w:val="28"/>
          <w:szCs w:val="28"/>
        </w:rPr>
        <w:t>e</w:t>
      </w:r>
      <w:r w:rsidR="00412CFF">
        <w:rPr>
          <w:sz w:val="28"/>
          <w:szCs w:val="28"/>
        </w:rPr>
        <w:t xml:space="preserve"> </w:t>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r>
      <w:r w:rsidR="00412CFF">
        <w:rPr>
          <w:sz w:val="28"/>
          <w:szCs w:val="28"/>
        </w:rPr>
        <w:tab/>
      </w:r>
      <w:r w:rsidR="00765024">
        <w:rPr>
          <w:sz w:val="28"/>
          <w:szCs w:val="28"/>
        </w:rPr>
        <w:tab/>
      </w:r>
      <w:r w:rsidR="00765024">
        <w:rPr>
          <w:sz w:val="28"/>
          <w:szCs w:val="28"/>
        </w:rPr>
        <w:tab/>
      </w:r>
      <w:r w:rsidR="006B6CCF">
        <w:rPr>
          <w:sz w:val="28"/>
          <w:szCs w:val="28"/>
        </w:rPr>
        <w:t>A</w:t>
      </w:r>
      <w:r w:rsidR="00D866E5">
        <w:rPr>
          <w:sz w:val="28"/>
          <w:szCs w:val="28"/>
        </w:rPr>
        <w:t xml:space="preserve">nda </w:t>
      </w:r>
      <w:r w:rsidR="006B6CCF">
        <w:rPr>
          <w:sz w:val="28"/>
          <w:szCs w:val="28"/>
        </w:rPr>
        <w:t>Čakša</w:t>
      </w:r>
      <w:r w:rsidR="00412CFF">
        <w:rPr>
          <w:sz w:val="28"/>
          <w:szCs w:val="28"/>
        </w:rPr>
        <w:t xml:space="preserve"> </w:t>
      </w:r>
    </w:p>
    <w:p w:rsidR="0008107F" w:rsidP="00760AD6">
      <w:pPr>
        <w:rPr>
          <w:sz w:val="28"/>
          <w:szCs w:val="28"/>
        </w:rPr>
      </w:pPr>
    </w:p>
    <w:p w:rsidR="0008107F" w:rsidP="00760AD6">
      <w:pPr>
        <w:rPr>
          <w:sz w:val="28"/>
          <w:szCs w:val="28"/>
        </w:rPr>
      </w:pPr>
      <w:r>
        <w:rPr>
          <w:sz w:val="28"/>
          <w:szCs w:val="28"/>
        </w:rPr>
        <w:t>V</w:t>
      </w:r>
      <w:r w:rsidRPr="0008107F">
        <w:rPr>
          <w:sz w:val="28"/>
          <w:szCs w:val="28"/>
        </w:rPr>
        <w:t>īza: Valsts sekretār</w:t>
      </w:r>
      <w:r w:rsidR="00412677">
        <w:rPr>
          <w:sz w:val="28"/>
          <w:szCs w:val="28"/>
        </w:rPr>
        <w:t>s</w:t>
      </w:r>
      <w:r w:rsidR="006B6CCF">
        <w:rPr>
          <w:sz w:val="28"/>
          <w:szCs w:val="28"/>
        </w:rPr>
        <w:tab/>
      </w:r>
      <w:r w:rsidR="006B6CCF">
        <w:rPr>
          <w:sz w:val="28"/>
          <w:szCs w:val="28"/>
        </w:rPr>
        <w:tab/>
      </w:r>
      <w:r w:rsidR="006B6CCF">
        <w:rPr>
          <w:sz w:val="28"/>
          <w:szCs w:val="28"/>
        </w:rPr>
        <w:tab/>
      </w:r>
      <w:r w:rsidR="006B6CCF">
        <w:rPr>
          <w:sz w:val="28"/>
          <w:szCs w:val="28"/>
        </w:rPr>
        <w:tab/>
      </w:r>
      <w:r w:rsidR="006B6CCF">
        <w:rPr>
          <w:sz w:val="28"/>
          <w:szCs w:val="28"/>
        </w:rPr>
        <w:tab/>
      </w:r>
      <w:r w:rsidR="00765024">
        <w:rPr>
          <w:sz w:val="28"/>
          <w:szCs w:val="28"/>
        </w:rPr>
        <w:tab/>
      </w:r>
      <w:r w:rsidR="00765024">
        <w:rPr>
          <w:sz w:val="28"/>
          <w:szCs w:val="28"/>
        </w:rPr>
        <w:tab/>
      </w:r>
      <w:r>
        <w:rPr>
          <w:sz w:val="28"/>
          <w:szCs w:val="28"/>
        </w:rPr>
        <w:t xml:space="preserve"> </w:t>
      </w:r>
      <w:r w:rsidR="006B6CCF">
        <w:rPr>
          <w:sz w:val="28"/>
          <w:szCs w:val="28"/>
        </w:rPr>
        <w:t>K</w:t>
      </w:r>
      <w:r>
        <w:rPr>
          <w:sz w:val="28"/>
          <w:szCs w:val="28"/>
        </w:rPr>
        <w:t xml:space="preserve">ārlis </w:t>
      </w:r>
      <w:r w:rsidR="006B6CCF">
        <w:rPr>
          <w:sz w:val="28"/>
          <w:szCs w:val="28"/>
        </w:rPr>
        <w:t>Ketners</w:t>
      </w:r>
    </w:p>
    <w:p w:rsidR="008F1E79" w:rsidP="00760AD6">
      <w:pPr>
        <w:rPr>
          <w:sz w:val="28"/>
          <w:szCs w:val="28"/>
        </w:rPr>
      </w:pPr>
    </w:p>
    <w:p w:rsidR="008F1E79" w:rsidP="00760AD6">
      <w:pPr>
        <w:rPr>
          <w:sz w:val="28"/>
          <w:szCs w:val="28"/>
        </w:rPr>
      </w:pPr>
    </w:p>
    <w:p w:rsidR="00F565FB" w:rsidP="00397D48">
      <w:pPr>
        <w:jc w:val="both"/>
        <w:rPr>
          <w:sz w:val="20"/>
          <w:szCs w:val="20"/>
        </w:rPr>
      </w:pPr>
    </w:p>
    <w:p w:rsidR="00F565FB" w:rsidP="00397D48">
      <w:pPr>
        <w:jc w:val="both"/>
        <w:rPr>
          <w:sz w:val="20"/>
          <w:szCs w:val="20"/>
        </w:rPr>
      </w:pPr>
    </w:p>
    <w:p w:rsidR="00381718" w:rsidRPr="00F565FB" w:rsidP="00381718">
      <w:pPr>
        <w:rPr>
          <w:sz w:val="20"/>
          <w:szCs w:val="20"/>
        </w:rPr>
      </w:pPr>
      <w:r w:rsidRPr="00F565FB">
        <w:rPr>
          <w:sz w:val="20"/>
          <w:szCs w:val="20"/>
        </w:rPr>
        <w:t>Br</w:t>
      </w:r>
      <w:r>
        <w:rPr>
          <w:sz w:val="20"/>
          <w:szCs w:val="20"/>
        </w:rPr>
        <w:t>ū</w:t>
      </w:r>
      <w:r w:rsidRPr="00F565FB">
        <w:rPr>
          <w:sz w:val="20"/>
          <w:szCs w:val="20"/>
        </w:rPr>
        <w:t>vere 67876061</w:t>
      </w:r>
    </w:p>
    <w:p w:rsidR="00381718" w:rsidP="00381718">
      <w:pPr>
        <w:jc w:val="both"/>
        <w:rPr>
          <w:sz w:val="20"/>
          <w:szCs w:val="20"/>
        </w:rPr>
      </w:pPr>
      <w:r w:rsidRPr="00381718">
        <w:rPr>
          <w:sz w:val="20"/>
          <w:szCs w:val="20"/>
        </w:rPr>
        <w:t>Ieva.Bruvere@vm.gov.lv</w:t>
      </w:r>
    </w:p>
    <w:p w:rsidR="00381718" w:rsidRPr="00F565FB" w:rsidP="00381718">
      <w:pPr>
        <w:jc w:val="both"/>
        <w:rPr>
          <w:sz w:val="20"/>
          <w:szCs w:val="20"/>
        </w:rPr>
      </w:pPr>
      <w:r>
        <w:rPr>
          <w:sz w:val="20"/>
          <w:szCs w:val="20"/>
        </w:rPr>
        <w:t>Segliņa</w:t>
      </w:r>
      <w:r w:rsidRPr="00F565FB">
        <w:rPr>
          <w:sz w:val="20"/>
          <w:szCs w:val="20"/>
        </w:rPr>
        <w:t xml:space="preserve"> 678760</w:t>
      </w:r>
      <w:r>
        <w:rPr>
          <w:sz w:val="20"/>
          <w:szCs w:val="20"/>
        </w:rPr>
        <w:t>42</w:t>
      </w:r>
    </w:p>
    <w:p w:rsidR="00381718" w:rsidRPr="00381718" w:rsidP="00381718">
      <w:pPr>
        <w:jc w:val="both"/>
        <w:rPr>
          <w:sz w:val="20"/>
          <w:szCs w:val="20"/>
        </w:rPr>
      </w:pPr>
      <w:r w:rsidRPr="00381718">
        <w:rPr>
          <w:sz w:val="20"/>
          <w:szCs w:val="20"/>
        </w:rPr>
        <w:t>Anita.Seglina@vm.gov.lv</w:t>
      </w:r>
    </w:p>
    <w:p w:rsidR="00381718" w:rsidP="00381718">
      <w:pPr>
        <w:rPr>
          <w:color w:val="1F497D"/>
          <w:sz w:val="20"/>
          <w:szCs w:val="20"/>
        </w:rPr>
      </w:pPr>
      <w:r w:rsidRPr="00F565FB">
        <w:rPr>
          <w:sz w:val="20"/>
          <w:szCs w:val="20"/>
        </w:rPr>
        <w:t>Mudelis</w:t>
      </w:r>
      <w:r w:rsidRPr="00F565FB">
        <w:rPr>
          <w:sz w:val="20"/>
          <w:szCs w:val="20"/>
        </w:rPr>
        <w:t xml:space="preserve"> 67507986</w:t>
      </w:r>
    </w:p>
    <w:p w:rsidR="004F3B60" w:rsidP="00381718">
      <w:pPr>
        <w:jc w:val="both"/>
        <w:rPr>
          <w:sz w:val="20"/>
          <w:szCs w:val="20"/>
        </w:rPr>
      </w:pPr>
      <w:r w:rsidRPr="00381718">
        <w:rPr>
          <w:sz w:val="20"/>
          <w:szCs w:val="20"/>
        </w:rPr>
        <w:t>Maris.Mudelis@vi.gov.lv</w:t>
      </w:r>
    </w:p>
    <w:p w:rsidR="004F3B60" w:rsidP="00397D48">
      <w:pPr>
        <w:jc w:val="both"/>
        <w:rPr>
          <w:sz w:val="20"/>
          <w:szCs w:val="20"/>
        </w:rPr>
      </w:pPr>
    </w:p>
    <w:p w:rsidR="004F3B60" w:rsidP="00397D48">
      <w:pPr>
        <w:jc w:val="both"/>
        <w:rPr>
          <w:sz w:val="20"/>
          <w:szCs w:val="20"/>
        </w:rPr>
      </w:pPr>
    </w:p>
    <w:p w:rsidR="00637463" w:rsidP="00760AD6">
      <w:pPr>
        <w:rPr>
          <w:color w:val="1F497D"/>
          <w:sz w:val="20"/>
          <w:szCs w:val="20"/>
        </w:rPr>
      </w:pPr>
    </w:p>
    <w:p w:rsidR="00637463" w:rsidRPr="00765024" w:rsidP="008223CD">
      <w:pPr>
        <w:rPr>
          <w:sz w:val="20"/>
          <w:szCs w:val="20"/>
        </w:rPr>
      </w:pPr>
    </w:p>
    <w:sectPr w:rsidSect="003E3BF4">
      <w:headerReference w:type="even" r:id="rId5"/>
      <w:headerReference w:type="default" r:id="rId6"/>
      <w:footerReference w:type="default" r:id="rId7"/>
      <w:footerReference w:type="first" r:id="rId8"/>
      <w:pgSz w:w="11906" w:h="16838"/>
      <w:pgMar w:top="1418" w:right="1134" w:bottom="1134" w:left="1701" w:header="709" w:footer="68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RPr="00D866E5" w:rsidP="002855E4">
    <w:pPr>
      <w:pStyle w:val="Footer"/>
      <w:jc w:val="both"/>
      <w:rPr>
        <w:sz w:val="20"/>
        <w:szCs w:val="20"/>
      </w:rPr>
    </w:pPr>
    <w:r w:rsidRPr="00D866E5">
      <w:rPr>
        <w:sz w:val="20"/>
        <w:szCs w:val="20"/>
      </w:rPr>
      <w:t>V</w:t>
    </w:r>
    <w:r w:rsidRPr="00D866E5" w:rsidR="00D866E5">
      <w:rPr>
        <w:sz w:val="20"/>
        <w:szCs w:val="20"/>
      </w:rPr>
      <w:t>Ma</w:t>
    </w:r>
    <w:r w:rsidRPr="00D866E5">
      <w:rPr>
        <w:sz w:val="20"/>
        <w:szCs w:val="20"/>
      </w:rPr>
      <w:t>not_</w:t>
    </w:r>
    <w:r w:rsidR="000B3AA5">
      <w:rPr>
        <w:sz w:val="20"/>
        <w:szCs w:val="20"/>
      </w:rPr>
      <w:t>2</w:t>
    </w:r>
    <w:r w:rsidR="00AA33F2">
      <w:rPr>
        <w:sz w:val="20"/>
        <w:szCs w:val="20"/>
      </w:rPr>
      <w:t>205</w:t>
    </w:r>
    <w:r w:rsidRPr="00D866E5">
      <w:rPr>
        <w:sz w:val="20"/>
        <w:szCs w:val="20"/>
      </w:rPr>
      <w:t>1</w:t>
    </w:r>
    <w:r w:rsidRPr="00D866E5" w:rsidR="008F2CBF">
      <w:rPr>
        <w:sz w:val="20"/>
        <w:szCs w:val="20"/>
      </w:rPr>
      <w:t>7</w:t>
    </w:r>
    <w:r w:rsidRPr="00D866E5">
      <w:rPr>
        <w:sz w:val="20"/>
        <w:szCs w:val="20"/>
      </w:rPr>
      <w:t>_epid</w:t>
    </w:r>
    <w:r w:rsidRPr="00D866E5" w:rsidR="00763988">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RPr="00D866E5" w:rsidP="003F3CED">
    <w:pPr>
      <w:jc w:val="both"/>
      <w:rPr>
        <w:b/>
        <w:bCs/>
        <w:sz w:val="20"/>
        <w:szCs w:val="20"/>
      </w:rPr>
    </w:pPr>
    <w:r w:rsidRPr="00D866E5">
      <w:rPr>
        <w:sz w:val="20"/>
        <w:szCs w:val="20"/>
      </w:rPr>
      <w:t>V</w:t>
    </w:r>
    <w:r w:rsidRPr="00D866E5" w:rsidR="00D866E5">
      <w:rPr>
        <w:sz w:val="20"/>
        <w:szCs w:val="20"/>
      </w:rPr>
      <w:t>Ma</w:t>
    </w:r>
    <w:r w:rsidRPr="00D866E5">
      <w:rPr>
        <w:sz w:val="20"/>
        <w:szCs w:val="20"/>
      </w:rPr>
      <w:t>not_</w:t>
    </w:r>
    <w:r w:rsidR="000B3AA5">
      <w:rPr>
        <w:sz w:val="20"/>
        <w:szCs w:val="20"/>
      </w:rPr>
      <w:t>2</w:t>
    </w:r>
    <w:r w:rsidR="00AA33F2">
      <w:rPr>
        <w:sz w:val="20"/>
        <w:szCs w:val="20"/>
      </w:rPr>
      <w:t>205</w:t>
    </w:r>
    <w:r w:rsidRPr="00D866E5">
      <w:rPr>
        <w:sz w:val="20"/>
        <w:szCs w:val="20"/>
      </w:rPr>
      <w:t>1</w:t>
    </w:r>
    <w:r w:rsidRPr="00D866E5" w:rsidR="008F2CBF">
      <w:rPr>
        <w:sz w:val="20"/>
        <w:szCs w:val="20"/>
      </w:rPr>
      <w:t>7</w:t>
    </w:r>
    <w:r w:rsidRPr="00D866E5">
      <w:rPr>
        <w:sz w:val="20"/>
        <w:szCs w:val="20"/>
      </w:rPr>
      <w:t xml:space="preserve">_epid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45F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45F78" w:rsidP="007F59C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6</w:t>
    </w:r>
    <w:r>
      <w:rPr>
        <w:rStyle w:val="PageNumber"/>
      </w:rPr>
      <w:fldChar w:fldCharType="end"/>
    </w:r>
  </w:p>
  <w:p w:rsidR="00045F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E7B9C"/>
    <w:multiLevelType w:val="hybridMultilevel"/>
    <w:tmpl w:val="19AACE14"/>
    <w:lvl w:ilvl="0">
      <w:start w:val="1"/>
      <w:numFmt w:val="decimal"/>
      <w:lvlText w:val="%1."/>
      <w:lvlJc w:val="left"/>
      <w:pPr>
        <w:tabs>
          <w:tab w:val="num" w:pos="720"/>
        </w:tabs>
        <w:ind w:left="720" w:hanging="360"/>
      </w:pPr>
      <w:rPr>
        <w:rFonts w:ascii="Times New Roman" w:hAnsi="Times New Roman" w:hint="default"/>
        <w:sz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036F6B63"/>
    <w:multiLevelType w:val="hybridMultilevel"/>
    <w:tmpl w:val="84CAC796"/>
    <w:lvl w:ilvl="0">
      <w:start w:val="1"/>
      <w:numFmt w:val="lowerLetter"/>
      <w:lvlText w:val="%1)"/>
      <w:lvlJc w:val="left"/>
      <w:pPr>
        <w:ind w:left="720" w:hanging="360"/>
      </w:p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8526458"/>
    <w:multiLevelType w:val="hybridMultilevel"/>
    <w:tmpl w:val="409AD908"/>
    <w:lvl w:ilvl="0">
      <w:start w:val="1"/>
      <w:numFmt w:val="decimal"/>
      <w:lvlText w:val="%1)"/>
      <w:lvlJc w:val="left"/>
      <w:pPr>
        <w:ind w:left="1497" w:hanging="930"/>
      </w:pPr>
      <w:rPr>
        <w:rFonts w:cs="Times New Roman" w:hint="default"/>
      </w:rPr>
    </w:lvl>
    <w:lvl w:ilvl="1" w:tentative="1">
      <w:start w:val="1"/>
      <w:numFmt w:val="lowerLetter"/>
      <w:lvlText w:val="%2."/>
      <w:lvlJc w:val="left"/>
      <w:pPr>
        <w:ind w:left="1647" w:hanging="360"/>
      </w:pPr>
      <w:rPr>
        <w:rFonts w:cs="Times New Roman"/>
      </w:rPr>
    </w:lvl>
    <w:lvl w:ilvl="2" w:tentative="1">
      <w:start w:val="1"/>
      <w:numFmt w:val="lowerRoman"/>
      <w:lvlText w:val="%3."/>
      <w:lvlJc w:val="right"/>
      <w:pPr>
        <w:ind w:left="2367" w:hanging="180"/>
      </w:pPr>
      <w:rPr>
        <w:rFonts w:cs="Times New Roman"/>
      </w:rPr>
    </w:lvl>
    <w:lvl w:ilvl="3" w:tentative="1">
      <w:start w:val="1"/>
      <w:numFmt w:val="decimal"/>
      <w:lvlText w:val="%4."/>
      <w:lvlJc w:val="left"/>
      <w:pPr>
        <w:ind w:left="3087" w:hanging="360"/>
      </w:pPr>
      <w:rPr>
        <w:rFonts w:cs="Times New Roman"/>
      </w:rPr>
    </w:lvl>
    <w:lvl w:ilvl="4" w:tentative="1">
      <w:start w:val="1"/>
      <w:numFmt w:val="lowerLetter"/>
      <w:lvlText w:val="%5."/>
      <w:lvlJc w:val="left"/>
      <w:pPr>
        <w:ind w:left="3807" w:hanging="360"/>
      </w:pPr>
      <w:rPr>
        <w:rFonts w:cs="Times New Roman"/>
      </w:rPr>
    </w:lvl>
    <w:lvl w:ilvl="5" w:tentative="1">
      <w:start w:val="1"/>
      <w:numFmt w:val="lowerRoman"/>
      <w:lvlText w:val="%6."/>
      <w:lvlJc w:val="right"/>
      <w:pPr>
        <w:ind w:left="4527" w:hanging="180"/>
      </w:pPr>
      <w:rPr>
        <w:rFonts w:cs="Times New Roman"/>
      </w:rPr>
    </w:lvl>
    <w:lvl w:ilvl="6" w:tentative="1">
      <w:start w:val="1"/>
      <w:numFmt w:val="decimal"/>
      <w:lvlText w:val="%7."/>
      <w:lvlJc w:val="left"/>
      <w:pPr>
        <w:ind w:left="5247" w:hanging="360"/>
      </w:pPr>
      <w:rPr>
        <w:rFonts w:cs="Times New Roman"/>
      </w:rPr>
    </w:lvl>
    <w:lvl w:ilvl="7" w:tentative="1">
      <w:start w:val="1"/>
      <w:numFmt w:val="lowerLetter"/>
      <w:lvlText w:val="%8."/>
      <w:lvlJc w:val="left"/>
      <w:pPr>
        <w:ind w:left="5967" w:hanging="360"/>
      </w:pPr>
      <w:rPr>
        <w:rFonts w:cs="Times New Roman"/>
      </w:rPr>
    </w:lvl>
    <w:lvl w:ilvl="8" w:tentative="1">
      <w:start w:val="1"/>
      <w:numFmt w:val="lowerRoman"/>
      <w:lvlText w:val="%9."/>
      <w:lvlJc w:val="right"/>
      <w:pPr>
        <w:ind w:left="6687" w:hanging="180"/>
      </w:pPr>
      <w:rPr>
        <w:rFonts w:cs="Times New Roman"/>
      </w:rPr>
    </w:lvl>
  </w:abstractNum>
  <w:abstractNum w:abstractNumId="3">
    <w:nsid w:val="0D0E1517"/>
    <w:multiLevelType w:val="hybridMultilevel"/>
    <w:tmpl w:val="F7B09F2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EC675B6"/>
    <w:multiLevelType w:val="hybridMultilevel"/>
    <w:tmpl w:val="3064D4B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5">
    <w:nsid w:val="11175647"/>
    <w:multiLevelType w:val="hybridMultilevel"/>
    <w:tmpl w:val="0CD826AA"/>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13252E22"/>
    <w:multiLevelType w:val="hybridMultilevel"/>
    <w:tmpl w:val="3342BFDA"/>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nsid w:val="15687495"/>
    <w:multiLevelType w:val="hybridMultilevel"/>
    <w:tmpl w:val="90EEA5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6101F58"/>
    <w:multiLevelType w:val="hybridMultilevel"/>
    <w:tmpl w:val="657CBA40"/>
    <w:lvl w:ilvl="0">
      <w:start w:val="1"/>
      <w:numFmt w:val="decimal"/>
      <w:lvlText w:val="%1."/>
      <w:lvlJc w:val="left"/>
      <w:pPr>
        <w:tabs>
          <w:tab w:val="num" w:pos="555"/>
        </w:tabs>
        <w:ind w:left="555" w:hanging="360"/>
      </w:pPr>
      <w:rPr>
        <w:rFonts w:cs="Times New Roman"/>
      </w:rPr>
    </w:lvl>
    <w:lvl w:ilvl="1" w:tentative="1">
      <w:start w:val="1"/>
      <w:numFmt w:val="lowerLetter"/>
      <w:lvlText w:val="%2."/>
      <w:lvlJc w:val="left"/>
      <w:pPr>
        <w:tabs>
          <w:tab w:val="num" w:pos="1275"/>
        </w:tabs>
        <w:ind w:left="1275" w:hanging="360"/>
      </w:pPr>
      <w:rPr>
        <w:rFonts w:cs="Times New Roman"/>
      </w:rPr>
    </w:lvl>
    <w:lvl w:ilvl="2" w:tentative="1">
      <w:start w:val="1"/>
      <w:numFmt w:val="lowerRoman"/>
      <w:lvlText w:val="%3."/>
      <w:lvlJc w:val="right"/>
      <w:pPr>
        <w:tabs>
          <w:tab w:val="num" w:pos="1995"/>
        </w:tabs>
        <w:ind w:left="1995" w:hanging="180"/>
      </w:pPr>
      <w:rPr>
        <w:rFonts w:cs="Times New Roman"/>
      </w:rPr>
    </w:lvl>
    <w:lvl w:ilvl="3" w:tentative="1">
      <w:start w:val="1"/>
      <w:numFmt w:val="decimal"/>
      <w:lvlText w:val="%4."/>
      <w:lvlJc w:val="left"/>
      <w:pPr>
        <w:tabs>
          <w:tab w:val="num" w:pos="2715"/>
        </w:tabs>
        <w:ind w:left="2715" w:hanging="360"/>
      </w:pPr>
      <w:rPr>
        <w:rFonts w:cs="Times New Roman"/>
      </w:rPr>
    </w:lvl>
    <w:lvl w:ilvl="4" w:tentative="1">
      <w:start w:val="1"/>
      <w:numFmt w:val="lowerLetter"/>
      <w:lvlText w:val="%5."/>
      <w:lvlJc w:val="left"/>
      <w:pPr>
        <w:tabs>
          <w:tab w:val="num" w:pos="3435"/>
        </w:tabs>
        <w:ind w:left="3435" w:hanging="360"/>
      </w:pPr>
      <w:rPr>
        <w:rFonts w:cs="Times New Roman"/>
      </w:rPr>
    </w:lvl>
    <w:lvl w:ilvl="5" w:tentative="1">
      <w:start w:val="1"/>
      <w:numFmt w:val="lowerRoman"/>
      <w:lvlText w:val="%6."/>
      <w:lvlJc w:val="right"/>
      <w:pPr>
        <w:tabs>
          <w:tab w:val="num" w:pos="4155"/>
        </w:tabs>
        <w:ind w:left="4155" w:hanging="180"/>
      </w:pPr>
      <w:rPr>
        <w:rFonts w:cs="Times New Roman"/>
      </w:rPr>
    </w:lvl>
    <w:lvl w:ilvl="6" w:tentative="1">
      <w:start w:val="1"/>
      <w:numFmt w:val="decimal"/>
      <w:lvlText w:val="%7."/>
      <w:lvlJc w:val="left"/>
      <w:pPr>
        <w:tabs>
          <w:tab w:val="num" w:pos="4875"/>
        </w:tabs>
        <w:ind w:left="4875" w:hanging="360"/>
      </w:pPr>
      <w:rPr>
        <w:rFonts w:cs="Times New Roman"/>
      </w:rPr>
    </w:lvl>
    <w:lvl w:ilvl="7" w:tentative="1">
      <w:start w:val="1"/>
      <w:numFmt w:val="lowerLetter"/>
      <w:lvlText w:val="%8."/>
      <w:lvlJc w:val="left"/>
      <w:pPr>
        <w:tabs>
          <w:tab w:val="num" w:pos="5595"/>
        </w:tabs>
        <w:ind w:left="5595" w:hanging="360"/>
      </w:pPr>
      <w:rPr>
        <w:rFonts w:cs="Times New Roman"/>
      </w:rPr>
    </w:lvl>
    <w:lvl w:ilvl="8" w:tentative="1">
      <w:start w:val="1"/>
      <w:numFmt w:val="lowerRoman"/>
      <w:lvlText w:val="%9."/>
      <w:lvlJc w:val="right"/>
      <w:pPr>
        <w:tabs>
          <w:tab w:val="num" w:pos="6315"/>
        </w:tabs>
        <w:ind w:left="6315" w:hanging="180"/>
      </w:pPr>
      <w:rPr>
        <w:rFonts w:cs="Times New Roman"/>
      </w:rPr>
    </w:lvl>
  </w:abstractNum>
  <w:abstractNum w:abstractNumId="9">
    <w:nsid w:val="18582A6A"/>
    <w:multiLevelType w:val="hybridMultilevel"/>
    <w:tmpl w:val="908A7956"/>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C4118B4"/>
    <w:multiLevelType w:val="hybridMultilevel"/>
    <w:tmpl w:val="47589044"/>
    <w:lvl w:ilvl="0">
      <w:start w:val="1"/>
      <w:numFmt w:val="decimal"/>
      <w:lvlText w:val="%1)"/>
      <w:lvlJc w:val="left"/>
      <w:pPr>
        <w:ind w:left="420" w:hanging="4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1">
    <w:nsid w:val="1C715593"/>
    <w:multiLevelType w:val="hybridMultilevel"/>
    <w:tmpl w:val="50C860E6"/>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E955FD5"/>
    <w:multiLevelType w:val="hybridMultilevel"/>
    <w:tmpl w:val="180019B2"/>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19168DD"/>
    <w:multiLevelType w:val="hybridMultilevel"/>
    <w:tmpl w:val="AD32E3D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37449B7"/>
    <w:multiLevelType w:val="hybridMultilevel"/>
    <w:tmpl w:val="7C6CB5E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41F7868"/>
    <w:multiLevelType w:val="hybridMultilevel"/>
    <w:tmpl w:val="6CB27810"/>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291001D7"/>
    <w:multiLevelType w:val="hybridMultilevel"/>
    <w:tmpl w:val="C1E62F7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9711295"/>
    <w:multiLevelType w:val="hybridMultilevel"/>
    <w:tmpl w:val="E13C77BE"/>
    <w:lvl w:ilvl="0">
      <w:start w:val="1"/>
      <w:numFmt w:val="bullet"/>
      <w:lvlText w:val="-"/>
      <w:lvlJc w:val="left"/>
      <w:pPr>
        <w:ind w:left="927" w:hanging="360"/>
      </w:pPr>
      <w:rPr>
        <w:rFonts w:ascii="Times New Roman" w:eastAsia="Times New Roman" w:hAnsi="Times New Roman" w:hint="default"/>
      </w:rPr>
    </w:lvl>
    <w:lvl w:ilvl="1" w:tentative="1">
      <w:start w:val="1"/>
      <w:numFmt w:val="bullet"/>
      <w:lvlText w:val="o"/>
      <w:lvlJc w:val="left"/>
      <w:pPr>
        <w:ind w:left="1647" w:hanging="360"/>
      </w:pPr>
      <w:rPr>
        <w:rFonts w:ascii="Courier New" w:hAnsi="Courier New" w:hint="default"/>
      </w:rPr>
    </w:lvl>
    <w:lvl w:ilvl="2" w:tentative="1">
      <w:start w:val="1"/>
      <w:numFmt w:val="bullet"/>
      <w:lvlText w:val=""/>
      <w:lvlJc w:val="left"/>
      <w:pPr>
        <w:ind w:left="2367" w:hanging="360"/>
      </w:pPr>
      <w:rPr>
        <w:rFonts w:ascii="Wingdings" w:hAnsi="Wingdings" w:hint="default"/>
      </w:rPr>
    </w:lvl>
    <w:lvl w:ilvl="3" w:tentative="1">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hint="default"/>
      </w:rPr>
    </w:lvl>
    <w:lvl w:ilvl="5" w:tentative="1">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hint="default"/>
      </w:rPr>
    </w:lvl>
    <w:lvl w:ilvl="8" w:tentative="1">
      <w:start w:val="1"/>
      <w:numFmt w:val="bullet"/>
      <w:lvlText w:val=""/>
      <w:lvlJc w:val="left"/>
      <w:pPr>
        <w:ind w:left="6687" w:hanging="360"/>
      </w:pPr>
      <w:rPr>
        <w:rFonts w:ascii="Wingdings" w:hAnsi="Wingdings" w:hint="default"/>
      </w:rPr>
    </w:lvl>
  </w:abstractNum>
  <w:abstractNum w:abstractNumId="18">
    <w:nsid w:val="32CB496D"/>
    <w:multiLevelType w:val="hybridMultilevel"/>
    <w:tmpl w:val="5946412C"/>
    <w:lvl w:ilvl="0">
      <w:start w:val="1"/>
      <w:numFmt w:val="bullet"/>
      <w:lvlText w:val="–"/>
      <w:lvlJc w:val="left"/>
      <w:pPr>
        <w:ind w:left="720" w:hanging="360"/>
      </w:pPr>
      <w:rPr>
        <w:rFonts w:ascii="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6615DBF"/>
    <w:multiLevelType w:val="hybridMultilevel"/>
    <w:tmpl w:val="49E672A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E451098"/>
    <w:multiLevelType w:val="hybridMultilevel"/>
    <w:tmpl w:val="1FB6EC44"/>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1">
    <w:nsid w:val="42340D09"/>
    <w:multiLevelType w:val="hybridMultilevel"/>
    <w:tmpl w:val="966C1386"/>
    <w:lvl w:ilvl="0">
      <w:start w:val="1"/>
      <w:numFmt w:val="decimal"/>
      <w:lvlText w:val="%1)"/>
      <w:lvlJc w:val="left"/>
      <w:pPr>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96C0446"/>
    <w:multiLevelType w:val="hybridMultilevel"/>
    <w:tmpl w:val="E7147AEA"/>
    <w:lvl w:ilvl="0">
      <w:start w:val="5000"/>
      <w:numFmt w:val="decimal"/>
      <w:lvlText w:val="%1"/>
      <w:lvlJc w:val="left"/>
      <w:pPr>
        <w:ind w:left="517" w:hanging="480"/>
      </w:pPr>
      <w:rPr>
        <w:rFonts w:hint="default"/>
      </w:rPr>
    </w:lvl>
    <w:lvl w:ilvl="1" w:tentative="1">
      <w:start w:val="1"/>
      <w:numFmt w:val="lowerLetter"/>
      <w:lvlText w:val="%2."/>
      <w:lvlJc w:val="left"/>
      <w:pPr>
        <w:ind w:left="1117" w:hanging="360"/>
      </w:pPr>
    </w:lvl>
    <w:lvl w:ilvl="2" w:tentative="1">
      <w:start w:val="1"/>
      <w:numFmt w:val="lowerRoman"/>
      <w:lvlText w:val="%3."/>
      <w:lvlJc w:val="right"/>
      <w:pPr>
        <w:ind w:left="1837" w:hanging="180"/>
      </w:pPr>
    </w:lvl>
    <w:lvl w:ilvl="3" w:tentative="1">
      <w:start w:val="1"/>
      <w:numFmt w:val="decimal"/>
      <w:lvlText w:val="%4."/>
      <w:lvlJc w:val="left"/>
      <w:pPr>
        <w:ind w:left="2557" w:hanging="360"/>
      </w:pPr>
    </w:lvl>
    <w:lvl w:ilvl="4" w:tentative="1">
      <w:start w:val="1"/>
      <w:numFmt w:val="lowerLetter"/>
      <w:lvlText w:val="%5."/>
      <w:lvlJc w:val="left"/>
      <w:pPr>
        <w:ind w:left="3277" w:hanging="360"/>
      </w:pPr>
    </w:lvl>
    <w:lvl w:ilvl="5" w:tentative="1">
      <w:start w:val="1"/>
      <w:numFmt w:val="lowerRoman"/>
      <w:lvlText w:val="%6."/>
      <w:lvlJc w:val="right"/>
      <w:pPr>
        <w:ind w:left="3997" w:hanging="180"/>
      </w:pPr>
    </w:lvl>
    <w:lvl w:ilvl="6" w:tentative="1">
      <w:start w:val="1"/>
      <w:numFmt w:val="decimal"/>
      <w:lvlText w:val="%7."/>
      <w:lvlJc w:val="left"/>
      <w:pPr>
        <w:ind w:left="4717" w:hanging="360"/>
      </w:pPr>
    </w:lvl>
    <w:lvl w:ilvl="7" w:tentative="1">
      <w:start w:val="1"/>
      <w:numFmt w:val="lowerLetter"/>
      <w:lvlText w:val="%8."/>
      <w:lvlJc w:val="left"/>
      <w:pPr>
        <w:ind w:left="5437" w:hanging="360"/>
      </w:pPr>
    </w:lvl>
    <w:lvl w:ilvl="8" w:tentative="1">
      <w:start w:val="1"/>
      <w:numFmt w:val="lowerRoman"/>
      <w:lvlText w:val="%9."/>
      <w:lvlJc w:val="right"/>
      <w:pPr>
        <w:ind w:left="6157" w:hanging="180"/>
      </w:pPr>
    </w:lvl>
  </w:abstractNum>
  <w:abstractNum w:abstractNumId="23">
    <w:nsid w:val="49C30C25"/>
    <w:multiLevelType w:val="hybridMultilevel"/>
    <w:tmpl w:val="E2A09856"/>
    <w:lvl w:ilvl="0">
      <w:start w:val="1"/>
      <w:numFmt w:val="decimal"/>
      <w:lvlText w:val="%1."/>
      <w:lvlJc w:val="left"/>
      <w:pPr>
        <w:ind w:left="720" w:hanging="360"/>
      </w:pPr>
      <w:rPr>
        <w:rFonts w:ascii="Times New Roman" w:hAnsi="Times New Roman"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D207B44"/>
    <w:multiLevelType w:val="hybridMultilevel"/>
    <w:tmpl w:val="A4B65A62"/>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5">
    <w:nsid w:val="4DDB0C56"/>
    <w:multiLevelType w:val="hybridMultilevel"/>
    <w:tmpl w:val="850A52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38009E1"/>
    <w:multiLevelType w:val="hybridMultilevel"/>
    <w:tmpl w:val="FC1412BC"/>
    <w:lvl w:ilvl="0">
      <w:start w:val="46"/>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57B0500B"/>
    <w:multiLevelType w:val="hybridMultilevel"/>
    <w:tmpl w:val="0AEC4F6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63A45335"/>
    <w:multiLevelType w:val="hybridMultilevel"/>
    <w:tmpl w:val="CAA4914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4D63CF"/>
    <w:multiLevelType w:val="hybridMultilevel"/>
    <w:tmpl w:val="7702E63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67A875F1"/>
    <w:multiLevelType w:val="hybridMultilevel"/>
    <w:tmpl w:val="7BF838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6AC55BA8"/>
    <w:multiLevelType w:val="hybridMultilevel"/>
    <w:tmpl w:val="FAE6E1B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2">
    <w:nsid w:val="7106343A"/>
    <w:multiLevelType w:val="hybridMultilevel"/>
    <w:tmpl w:val="044046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3B42144"/>
    <w:multiLevelType w:val="hybridMultilevel"/>
    <w:tmpl w:val="B34E47E0"/>
    <w:lvl w:ilvl="0">
      <w:start w:val="1"/>
      <w:numFmt w:val="decimal"/>
      <w:lvlText w:val="%1)"/>
      <w:lvlJc w:val="left"/>
      <w:pPr>
        <w:ind w:left="720" w:hanging="360"/>
      </w:pPr>
      <w:rPr>
        <w:rFonts w:eastAsia="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752C69EB"/>
    <w:multiLevelType w:val="hybridMultilevel"/>
    <w:tmpl w:val="2B025A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7B8F7EC9"/>
    <w:multiLevelType w:val="hybridMultilevel"/>
    <w:tmpl w:val="54C47EC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D8A67AF"/>
    <w:multiLevelType w:val="hybridMultilevel"/>
    <w:tmpl w:val="23B2E8B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7E0B3501"/>
    <w:multiLevelType w:val="hybridMultilevel"/>
    <w:tmpl w:val="F0FC72C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2"/>
  </w:num>
  <w:num w:numId="3">
    <w:abstractNumId w:val="17"/>
  </w:num>
  <w:num w:numId="4">
    <w:abstractNumId w:val="24"/>
  </w:num>
  <w:num w:numId="5">
    <w:abstractNumId w:val="20"/>
  </w:num>
  <w:num w:numId="6">
    <w:abstractNumId w:val="4"/>
  </w:num>
  <w:num w:numId="7">
    <w:abstractNumId w:val="0"/>
  </w:num>
  <w:num w:numId="8">
    <w:abstractNumId w:val="12"/>
  </w:num>
  <w:num w:numId="9">
    <w:abstractNumId w:val="26"/>
  </w:num>
  <w:num w:numId="10">
    <w:abstractNumId w:val="22"/>
  </w:num>
  <w:num w:numId="11">
    <w:abstractNumId w:val="28"/>
  </w:num>
  <w:num w:numId="12">
    <w:abstractNumId w:val="15"/>
  </w:num>
  <w:num w:numId="13">
    <w:abstractNumId w:val="21"/>
  </w:num>
  <w:num w:numId="14">
    <w:abstractNumId w:val="10"/>
  </w:num>
  <w:num w:numId="15">
    <w:abstractNumId w:val="6"/>
  </w:num>
  <w:num w:numId="16">
    <w:abstractNumId w:val="5"/>
  </w:num>
  <w:num w:numId="17">
    <w:abstractNumId w:val="19"/>
  </w:num>
  <w:num w:numId="18">
    <w:abstractNumId w:val="31"/>
  </w:num>
  <w:num w:numId="19">
    <w:abstractNumId w:val="27"/>
  </w:num>
  <w:num w:numId="20">
    <w:abstractNumId w:val="16"/>
  </w:num>
  <w:num w:numId="21">
    <w:abstractNumId w:val="13"/>
  </w:num>
  <w:num w:numId="22">
    <w:abstractNumId w:val="25"/>
  </w:num>
  <w:num w:numId="23">
    <w:abstractNumId w:val="9"/>
  </w:num>
  <w:num w:numId="24">
    <w:abstractNumId w:val="7"/>
  </w:num>
  <w:num w:numId="25">
    <w:abstractNumId w:val="37"/>
  </w:num>
  <w:num w:numId="26">
    <w:abstractNumId w:val="23"/>
  </w:num>
  <w:num w:numId="27">
    <w:abstractNumId w:val="32"/>
  </w:num>
  <w:num w:numId="28">
    <w:abstractNumId w:val="11"/>
  </w:num>
  <w:num w:numId="29">
    <w:abstractNumId w:val="14"/>
  </w:num>
  <w:num w:numId="30">
    <w:abstractNumId w:val="33"/>
  </w:num>
  <w:num w:numId="31">
    <w:abstractNumId w:val="35"/>
  </w:num>
  <w:num w:numId="32">
    <w:abstractNumId w:val="30"/>
  </w:num>
  <w:num w:numId="33">
    <w:abstractNumId w:val="1"/>
  </w:num>
  <w:num w:numId="34">
    <w:abstractNumId w:val="3"/>
  </w:num>
  <w:num w:numId="35">
    <w:abstractNumId w:val="34"/>
  </w:num>
  <w:num w:numId="36">
    <w:abstractNumId w:val="36"/>
  </w:num>
  <w:num w:numId="37">
    <w:abstractNumId w:val="2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docId w15:val="{C7B4AFF4-6620-4106-A696-FEAC406C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uiPriority w:val="99"/>
    <w:rsid w:val="00575B7F"/>
    <w:pPr>
      <w:spacing w:before="75" w:after="75"/>
    </w:pPr>
    <w:rPr>
      <w:rFonts w:eastAsia="SimSun"/>
      <w:noProof/>
      <w:lang w:eastAsia="zh-CN"/>
    </w:rPr>
  </w:style>
  <w:style w:type="paragraph" w:customStyle="1" w:styleId="naiskr">
    <w:name w:val="naiskr"/>
    <w:basedOn w:val="Normal"/>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uiPriority w:val="99"/>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BA6486"/>
    <w:rPr>
      <w:sz w:val="20"/>
      <w:szCs w:val="20"/>
    </w:rPr>
  </w:style>
  <w:style w:type="character" w:customStyle="1" w:styleId="FootnoteTextChar">
    <w:name w:val="Footnote Text Char"/>
    <w:basedOn w:val="DefaultParagraphFont"/>
    <w:link w:val="FootnoteText"/>
    <w:uiPriority w:val="99"/>
    <w:semiHidden/>
    <w:rsid w:val="00BA6486"/>
  </w:style>
  <w:style w:type="character" w:styleId="FootnoteReference">
    <w:name w:val="footnote reference"/>
    <w:basedOn w:val="DefaultParagraphFont"/>
    <w:uiPriority w:val="99"/>
    <w:semiHidden/>
    <w:unhideWhenUsed/>
    <w:rsid w:val="00BA6486"/>
    <w:rPr>
      <w:vertAlign w:val="superscript"/>
    </w:rPr>
  </w:style>
  <w:style w:type="paragraph" w:styleId="NoSpacing">
    <w:name w:val="No Spacing"/>
    <w:uiPriority w:val="1"/>
    <w:qFormat/>
    <w:rsid w:val="008545C2"/>
    <w:rPr>
      <w:rFonts w:asciiTheme="minorHAnsi" w:eastAsiaTheme="minorHAnsi" w:hAnsiTheme="minorHAnsi" w:cstheme="minorBidi"/>
      <w:sz w:val="22"/>
      <w:szCs w:val="22"/>
      <w:lang w:val="en-US" w:eastAsia="en-US"/>
    </w:rPr>
  </w:style>
  <w:style w:type="paragraph" w:customStyle="1" w:styleId="tv2131">
    <w:name w:val="tv2131"/>
    <w:basedOn w:val="Normal"/>
    <w:rsid w:val="00DD3B3F"/>
    <w:pPr>
      <w:spacing w:line="360" w:lineRule="auto"/>
      <w:ind w:firstLine="300"/>
    </w:pPr>
    <w:rPr>
      <w:color w:val="414142"/>
      <w:sz w:val="20"/>
      <w:szCs w:val="20"/>
    </w:rPr>
  </w:style>
  <w:style w:type="paragraph" w:customStyle="1" w:styleId="tvhtmlmktable">
    <w:name w:val="tv_html mk_table"/>
    <w:basedOn w:val="Normal"/>
    <w:rsid w:val="00BD66BD"/>
    <w:pPr>
      <w:spacing w:before="100" w:beforeAutospacing="1" w:after="100" w:afterAutospacing="1"/>
    </w:pPr>
  </w:style>
  <w:style w:type="numbering" w:customStyle="1" w:styleId="NoList1">
    <w:name w:val="No List1"/>
    <w:next w:val="NoList"/>
    <w:uiPriority w:val="99"/>
    <w:semiHidden/>
    <w:unhideWhenUsed/>
    <w:rsid w:val="00BD66BD"/>
  </w:style>
  <w:style w:type="character" w:customStyle="1" w:styleId="apple-converted-space">
    <w:name w:val="apple-converted-space"/>
    <w:basedOn w:val="DefaultParagraphFont"/>
    <w:rsid w:val="00BD66BD"/>
  </w:style>
  <w:style w:type="paragraph" w:customStyle="1" w:styleId="tv213">
    <w:name w:val="tv213"/>
    <w:basedOn w:val="Normal"/>
    <w:rsid w:val="00BD66BD"/>
    <w:pPr>
      <w:spacing w:before="100" w:beforeAutospacing="1" w:after="100" w:afterAutospacing="1"/>
    </w:pPr>
    <w:rPr>
      <w:lang w:val="en-US" w:eastAsia="en-US"/>
    </w:rPr>
  </w:style>
  <w:style w:type="character" w:styleId="Strong">
    <w:name w:val="Strong"/>
    <w:basedOn w:val="DefaultParagraphFont"/>
    <w:uiPriority w:val="22"/>
    <w:qFormat/>
    <w:locked/>
    <w:rsid w:val="008B0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E90E0-4973-4B3B-92CB-BD68E88D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1502</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Likumprojekta "Grozījumi Epidemioloģiskās drošības likumā" sākotnējās ietekmes novērtējuma ziņojums (anotācija)</vt:lpstr>
    </vt:vector>
  </TitlesOfParts>
  <Company>Veselības ministrija</Company>
  <LinksUpToDate>false</LinksUpToDate>
  <CharactersWithSpaces>12520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Epidemioloģiskās drošības likumā" sākotnējās ietekmes novērtējuma ziņojums (anotācija)</dc:title>
  <dc:subject>Anotācija</dc:subject>
  <dc:creator>Ieva Brūvere, Anita Segliņa, Māris Mudelis</dc:creator>
  <dc:description>Brūvere 67876061_x000D_
Ieva.Bruvere@vm.gov.lv_x000D_
Segliņa 67876042_x000D_
Anita.Seglina@vm.gov.lv_x000D_
Mudelis 67507986_x000D_
Maris.Mudelis@vi.gov.lv</dc:description>
  <cp:lastModifiedBy>Ieva Brūvere</cp:lastModifiedBy>
  <cp:revision>7</cp:revision>
  <cp:lastPrinted>2017-03-08T15:53:00Z</cp:lastPrinted>
  <dcterms:created xsi:type="dcterms:W3CDTF">2017-03-10T13:43:00Z</dcterms:created>
  <dcterms:modified xsi:type="dcterms:W3CDTF">2017-05-22T06:56:00Z</dcterms:modified>
</cp:coreProperties>
</file>