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2CD9" w14:textId="77777777" w:rsidR="00856079" w:rsidRPr="003601BD" w:rsidRDefault="00856079" w:rsidP="00856079">
      <w:pPr>
        <w:keepNext/>
        <w:jc w:val="center"/>
        <w:outlineLvl w:val="1"/>
        <w:rPr>
          <w:bCs/>
          <w:iCs/>
          <w:sz w:val="28"/>
          <w:szCs w:val="28"/>
        </w:rPr>
      </w:pPr>
      <w:bookmarkStart w:id="0" w:name="OLE_LINK6"/>
      <w:bookmarkStart w:id="1" w:name="OLE_LINK7"/>
      <w:r w:rsidRPr="003601BD">
        <w:rPr>
          <w:bCs/>
          <w:iCs/>
          <w:sz w:val="28"/>
          <w:szCs w:val="28"/>
        </w:rPr>
        <w:t xml:space="preserve">Ministru kabineta noteikumu projekta </w:t>
      </w:r>
    </w:p>
    <w:p w14:paraId="35BE2CDA" w14:textId="77777777" w:rsidR="00856079" w:rsidRPr="003601BD" w:rsidRDefault="0054074E" w:rsidP="003A3D6B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3601BD">
        <w:rPr>
          <w:b/>
          <w:sz w:val="28"/>
          <w:szCs w:val="28"/>
          <w:lang w:val="lv-LV"/>
        </w:rPr>
        <w:t>“</w:t>
      </w:r>
      <w:r w:rsidR="003A3D6B" w:rsidRPr="003601BD">
        <w:rPr>
          <w:b/>
          <w:sz w:val="28"/>
          <w:szCs w:val="28"/>
          <w:lang w:val="lv-LV"/>
        </w:rPr>
        <w:t>Grozījumi Ministru kabineta 2016. gada 14. jūnija noteikumos Nr.</w:t>
      </w:r>
      <w:r w:rsidRPr="003601BD">
        <w:rPr>
          <w:b/>
          <w:sz w:val="28"/>
          <w:szCs w:val="28"/>
          <w:lang w:val="lv-LV"/>
        </w:rPr>
        <w:t xml:space="preserve"> </w:t>
      </w:r>
      <w:r w:rsidR="003A3D6B" w:rsidRPr="003601BD">
        <w:rPr>
          <w:b/>
          <w:sz w:val="28"/>
          <w:szCs w:val="28"/>
          <w:lang w:val="lv-LV"/>
        </w:rPr>
        <w:t>361 „</w:t>
      </w:r>
      <w:r w:rsidR="003A3D6B" w:rsidRPr="003601BD">
        <w:rPr>
          <w:b/>
          <w:bCs/>
          <w:sz w:val="28"/>
          <w:szCs w:val="28"/>
          <w:lang w:val="lv-LV"/>
        </w:rPr>
        <w:t>Noteikumi par augļu un dārzeņu ražotāju organizācijām”</w:t>
      </w:r>
      <w:r w:rsidRPr="003601BD">
        <w:rPr>
          <w:b/>
          <w:bCs/>
          <w:sz w:val="28"/>
          <w:szCs w:val="28"/>
          <w:lang w:val="lv-LV"/>
        </w:rPr>
        <w:t>”</w:t>
      </w:r>
    </w:p>
    <w:p w14:paraId="35BE2CDB" w14:textId="77777777" w:rsidR="00856079" w:rsidRPr="00DA5CD4" w:rsidRDefault="00856079" w:rsidP="00DA5CD4">
      <w:pPr>
        <w:jc w:val="center"/>
        <w:rPr>
          <w:sz w:val="28"/>
          <w:szCs w:val="28"/>
          <w:lang w:eastAsia="en-US"/>
        </w:rPr>
      </w:pPr>
      <w:r w:rsidRPr="003601BD">
        <w:rPr>
          <w:sz w:val="28"/>
          <w:szCs w:val="28"/>
          <w:lang w:eastAsia="en-US"/>
        </w:rPr>
        <w:t>sākotnējās ietekmes novērtējuma ziņojums (anotācija</w:t>
      </w:r>
      <w:bookmarkEnd w:id="0"/>
      <w:bookmarkEnd w:id="1"/>
      <w:r w:rsidRPr="003601BD">
        <w:rPr>
          <w:sz w:val="28"/>
          <w:szCs w:val="28"/>
          <w:lang w:eastAsia="en-US"/>
        </w:rPr>
        <w:t>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"/>
        <w:gridCol w:w="1847"/>
        <w:gridCol w:w="6931"/>
      </w:tblGrid>
      <w:tr w:rsidR="0030341E" w:rsidRPr="004C094F" w14:paraId="35BE2CDD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5BE2CDC" w14:textId="77777777" w:rsidR="0030341E" w:rsidRPr="004C094F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30341E" w:rsidRPr="004C094F" w14:paraId="35BE2CE1" w14:textId="77777777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CDE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CDF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CE0" w14:textId="77777777" w:rsidR="00CD1961" w:rsidRPr="004C094F" w:rsidRDefault="00C13A48" w:rsidP="0099509A">
            <w:pPr>
              <w:jc w:val="both"/>
              <w:rPr>
                <w:color w:val="000000"/>
              </w:rPr>
            </w:pPr>
            <w:r w:rsidRPr="00C13A48">
              <w:rPr>
                <w:color w:val="000000"/>
              </w:rPr>
              <w:t>Lauksaimniecības un lauku attīstības likuma 5.</w:t>
            </w:r>
            <w:r w:rsidR="00585145">
              <w:rPr>
                <w:color w:val="000000"/>
              </w:rPr>
              <w:t xml:space="preserve"> </w:t>
            </w:r>
            <w:r w:rsidRPr="00C13A48">
              <w:rPr>
                <w:color w:val="000000"/>
              </w:rPr>
              <w:t>panta ceturt</w:t>
            </w:r>
            <w:r w:rsidR="0099509A">
              <w:rPr>
                <w:color w:val="000000"/>
              </w:rPr>
              <w:t>ā</w:t>
            </w:r>
            <w:r w:rsidRPr="00C13A48">
              <w:rPr>
                <w:color w:val="000000"/>
              </w:rPr>
              <w:t>, septīt</w:t>
            </w:r>
            <w:r w:rsidR="0099509A">
              <w:rPr>
                <w:color w:val="000000"/>
              </w:rPr>
              <w:t>ā</w:t>
            </w:r>
            <w:r w:rsidRPr="00C13A48">
              <w:rPr>
                <w:color w:val="000000"/>
              </w:rPr>
              <w:t xml:space="preserve"> un 9.</w:t>
            </w:r>
            <w:r w:rsidR="00585145">
              <w:rPr>
                <w:color w:val="000000"/>
              </w:rPr>
              <w:t xml:space="preserve"> </w:t>
            </w:r>
            <w:r w:rsidRPr="00C13A48">
              <w:rPr>
                <w:color w:val="000000"/>
              </w:rPr>
              <w:t>panta treš</w:t>
            </w:r>
            <w:r w:rsidR="0099509A">
              <w:rPr>
                <w:color w:val="000000"/>
              </w:rPr>
              <w:t>ā</w:t>
            </w:r>
            <w:r w:rsidRPr="00C13A48">
              <w:rPr>
                <w:color w:val="000000"/>
              </w:rPr>
              <w:t xml:space="preserve"> daļa.</w:t>
            </w:r>
          </w:p>
        </w:tc>
      </w:tr>
      <w:tr w:rsidR="0030341E" w:rsidRPr="004C094F" w14:paraId="35BE2D24" w14:textId="77777777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CE2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CE3" w14:textId="77777777" w:rsidR="00193D0A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35BE2CE4" w14:textId="77777777" w:rsidR="00193D0A" w:rsidRPr="0003234D" w:rsidRDefault="00193D0A" w:rsidP="00193D0A"/>
          <w:p w14:paraId="35BE2CE5" w14:textId="77777777" w:rsidR="00193D0A" w:rsidRPr="0003234D" w:rsidRDefault="00193D0A"/>
          <w:p w14:paraId="35BE2CE6" w14:textId="77777777" w:rsidR="00193D0A" w:rsidRPr="0003234D" w:rsidRDefault="00193D0A"/>
          <w:p w14:paraId="35BE2CE7" w14:textId="77777777" w:rsidR="00193D0A" w:rsidRPr="0003234D" w:rsidRDefault="00193D0A"/>
          <w:p w14:paraId="35BE2CE8" w14:textId="77777777" w:rsidR="00193D0A" w:rsidRPr="0003234D" w:rsidRDefault="00193D0A"/>
          <w:p w14:paraId="35BE2CE9" w14:textId="77777777" w:rsidR="00193D0A" w:rsidRPr="0003234D" w:rsidRDefault="00193D0A"/>
          <w:p w14:paraId="35BE2CEA" w14:textId="77777777" w:rsidR="00193D0A" w:rsidRDefault="00193D0A" w:rsidP="00193D0A"/>
          <w:p w14:paraId="35BE2CEB" w14:textId="77777777" w:rsidR="00412E0D" w:rsidRDefault="00412E0D" w:rsidP="0003234D">
            <w:pPr>
              <w:jc w:val="center"/>
            </w:pPr>
          </w:p>
          <w:p w14:paraId="35BE2CEC" w14:textId="77777777" w:rsidR="00412E0D" w:rsidRPr="00412E0D" w:rsidRDefault="00412E0D" w:rsidP="00412E0D"/>
          <w:p w14:paraId="35BE2CED" w14:textId="77777777" w:rsidR="00412E0D" w:rsidRPr="00412E0D" w:rsidRDefault="00412E0D" w:rsidP="00412E0D"/>
          <w:p w14:paraId="35BE2CEE" w14:textId="77777777" w:rsidR="00412E0D" w:rsidRPr="00412E0D" w:rsidRDefault="00412E0D" w:rsidP="00412E0D"/>
          <w:p w14:paraId="35BE2CEF" w14:textId="77777777" w:rsidR="00412E0D" w:rsidRPr="00412E0D" w:rsidRDefault="00412E0D" w:rsidP="00412E0D"/>
          <w:p w14:paraId="35BE2CF0" w14:textId="77777777" w:rsidR="00412E0D" w:rsidRPr="00412E0D" w:rsidRDefault="00412E0D" w:rsidP="00412E0D"/>
          <w:p w14:paraId="35BE2CF1" w14:textId="77777777" w:rsidR="00412E0D" w:rsidRPr="00412E0D" w:rsidRDefault="00412E0D" w:rsidP="00412E0D"/>
          <w:p w14:paraId="35BE2CF2" w14:textId="77777777" w:rsidR="00412E0D" w:rsidRPr="00412E0D" w:rsidRDefault="00412E0D" w:rsidP="00412E0D"/>
          <w:p w14:paraId="35BE2CF3" w14:textId="77777777" w:rsidR="00412E0D" w:rsidRPr="00412E0D" w:rsidRDefault="00412E0D" w:rsidP="00412E0D"/>
          <w:p w14:paraId="35BE2CF4" w14:textId="77777777" w:rsidR="00412E0D" w:rsidRPr="00412E0D" w:rsidRDefault="00412E0D" w:rsidP="00412E0D"/>
          <w:p w14:paraId="35BE2CF5" w14:textId="77777777" w:rsidR="00412E0D" w:rsidRPr="00412E0D" w:rsidRDefault="00412E0D" w:rsidP="00412E0D"/>
          <w:p w14:paraId="35BE2CF6" w14:textId="77777777" w:rsidR="00412E0D" w:rsidRPr="00412E0D" w:rsidRDefault="00412E0D" w:rsidP="00412E0D"/>
          <w:p w14:paraId="35BE2CF7" w14:textId="77777777" w:rsidR="00412E0D" w:rsidRPr="00412E0D" w:rsidRDefault="00412E0D" w:rsidP="00412E0D"/>
          <w:p w14:paraId="35BE2CF8" w14:textId="77777777" w:rsidR="00412E0D" w:rsidRPr="00412E0D" w:rsidRDefault="00412E0D" w:rsidP="00412E0D"/>
          <w:p w14:paraId="35BE2CF9" w14:textId="77777777" w:rsidR="00412E0D" w:rsidRPr="00412E0D" w:rsidRDefault="00412E0D" w:rsidP="00412E0D"/>
          <w:p w14:paraId="35BE2CFA" w14:textId="77777777" w:rsidR="00412E0D" w:rsidRPr="00412E0D" w:rsidRDefault="00412E0D" w:rsidP="00412E0D"/>
          <w:p w14:paraId="35BE2CFB" w14:textId="77777777" w:rsidR="00412E0D" w:rsidRPr="00412E0D" w:rsidRDefault="00412E0D" w:rsidP="00412E0D"/>
          <w:p w14:paraId="35BE2CFC" w14:textId="77777777" w:rsidR="00412E0D" w:rsidRPr="00412E0D" w:rsidRDefault="00412E0D" w:rsidP="00412E0D"/>
          <w:p w14:paraId="35BE2CFD" w14:textId="77777777" w:rsidR="00412E0D" w:rsidRPr="00412E0D" w:rsidRDefault="00412E0D" w:rsidP="00412E0D"/>
          <w:p w14:paraId="35BE2CFE" w14:textId="77777777" w:rsidR="00412E0D" w:rsidRPr="00412E0D" w:rsidRDefault="00412E0D" w:rsidP="00412E0D"/>
          <w:p w14:paraId="35BE2CFF" w14:textId="77777777" w:rsidR="00412E0D" w:rsidRPr="00412E0D" w:rsidRDefault="00412E0D" w:rsidP="00412E0D"/>
          <w:p w14:paraId="35BE2D00" w14:textId="77777777" w:rsidR="00412E0D" w:rsidRPr="00412E0D" w:rsidRDefault="00412E0D" w:rsidP="00412E0D"/>
          <w:p w14:paraId="35BE2D01" w14:textId="77777777" w:rsidR="00412E0D" w:rsidRPr="00412E0D" w:rsidRDefault="00412E0D" w:rsidP="00412E0D"/>
          <w:p w14:paraId="35BE2D02" w14:textId="77777777" w:rsidR="00412E0D" w:rsidRPr="00412E0D" w:rsidRDefault="00412E0D" w:rsidP="00412E0D"/>
          <w:p w14:paraId="35BE2D03" w14:textId="77777777" w:rsidR="00412E0D" w:rsidRDefault="00412E0D" w:rsidP="00412E0D"/>
          <w:p w14:paraId="35BE2D04" w14:textId="77777777" w:rsidR="00412E0D" w:rsidRPr="00412E0D" w:rsidRDefault="00412E0D" w:rsidP="00412E0D"/>
          <w:p w14:paraId="35BE2D05" w14:textId="77777777" w:rsidR="0030341E" w:rsidRPr="00412E0D" w:rsidRDefault="0030341E" w:rsidP="00412E0D">
            <w:pPr>
              <w:ind w:firstLine="720"/>
            </w:pP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06" w14:textId="77777777" w:rsidR="00E3091F" w:rsidRPr="0003234D" w:rsidRDefault="00E3091F" w:rsidP="00E3091F">
            <w:pPr>
              <w:jc w:val="both"/>
            </w:pPr>
            <w:r w:rsidRPr="0003234D">
              <w:t>Ministru kabineta 2016</w:t>
            </w:r>
            <w:r w:rsidR="00FD3F68">
              <w:t>. gada 14. jūnija noteikumi Nr.</w:t>
            </w:r>
            <w:r w:rsidRPr="0003234D">
              <w:t>361 „Noteikumi par augļu un dārzeņu ražotāju organizā</w:t>
            </w:r>
            <w:r w:rsidR="00FD3F68">
              <w:t>cijām” (turpmāk – noteikumi Nr.</w:t>
            </w:r>
            <w:r w:rsidRPr="0003234D">
              <w:t xml:space="preserve">361) nosaka augļu un dārzeņu ražotāju organizāciju atzīšanas kritērijus, atzīšanas kārtību, darbības nosacījumus un kontroli, kā arī kārtību, kādā piešķir, administrē un uzrauga Eiropas Savienības </w:t>
            </w:r>
            <w:proofErr w:type="gramStart"/>
            <w:r w:rsidR="00BD4EB6" w:rsidRPr="0003234D">
              <w:t>(</w:t>
            </w:r>
            <w:proofErr w:type="gramEnd"/>
            <w:r w:rsidR="00BD4EB6" w:rsidRPr="0003234D">
              <w:t xml:space="preserve">turpmāk – ES) </w:t>
            </w:r>
            <w:r w:rsidRPr="0003234D">
              <w:t>atbalstu augļu un dārzeņu ražotāju organizācijām.</w:t>
            </w:r>
          </w:p>
          <w:p w14:paraId="35BE2D07" w14:textId="77777777" w:rsidR="005D1B1D" w:rsidRDefault="003A3D6B" w:rsidP="00E3091F">
            <w:pPr>
              <w:jc w:val="both"/>
            </w:pPr>
            <w:r w:rsidRPr="0003234D">
              <w:t xml:space="preserve">Pamatojoties uz Komisijas 2016. gada 10. </w:t>
            </w:r>
            <w:r w:rsidR="00FD3F68">
              <w:t>jūnija Deleģēto regulu (ES) Nr.</w:t>
            </w:r>
            <w:r w:rsidRPr="0003234D">
              <w:t>2016/921, ar ko nosaka turpmākus pagaidu ārkārtas atbalsta pasākumus konkrētu augļu un dārzeņu ra</w:t>
            </w:r>
            <w:r w:rsidR="00FD3F68">
              <w:t>žotājiem, (turpmāk – regula Nr.</w:t>
            </w:r>
            <w:r w:rsidRPr="0003234D">
              <w:t xml:space="preserve">2016/921) </w:t>
            </w:r>
            <w:r w:rsidR="002867BA">
              <w:t xml:space="preserve">līdz 2017. gada 30. jūnijam augļu un dārzeņu ražotāji var pieteikties uz </w:t>
            </w:r>
            <w:r w:rsidR="003601BD">
              <w:t>ES pagaidu ārkārtas atbalstus</w:t>
            </w:r>
            <w:r w:rsidRPr="0003234D">
              <w:t xml:space="preserve"> augļu un dārzeņu nozarei</w:t>
            </w:r>
            <w:r w:rsidR="005D1B1D">
              <w:t>.</w:t>
            </w:r>
          </w:p>
          <w:p w14:paraId="35BE2D08" w14:textId="77777777" w:rsidR="002867BA" w:rsidRDefault="002867BA" w:rsidP="002867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BE2D09" w14:textId="77777777" w:rsidR="002867BA" w:rsidRDefault="002867BA" w:rsidP="002867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34D">
              <w:rPr>
                <w:rFonts w:ascii="Times New Roman" w:hAnsi="Times New Roman" w:cs="Times New Roman"/>
                <w:color w:val="auto"/>
              </w:rPr>
              <w:t>Saskaņā ar regulas Nr. 2016/921 3. pantu Latvijai noteiktais atbalsta tiesīgo produktu apjoms</w:t>
            </w:r>
            <w:r>
              <w:rPr>
                <w:rFonts w:ascii="Times New Roman" w:hAnsi="Times New Roman" w:cs="Times New Roman"/>
                <w:color w:val="auto"/>
              </w:rPr>
              <w:t xml:space="preserve"> 3 600 tonnas</w:t>
            </w:r>
            <w:r w:rsidRPr="0003234D">
              <w:rPr>
                <w:rFonts w:ascii="Times New Roman" w:hAnsi="Times New Roman" w:cs="Times New Roman"/>
                <w:color w:val="auto"/>
              </w:rPr>
              <w:t xml:space="preserve"> ir sada</w:t>
            </w:r>
            <w:r>
              <w:rPr>
                <w:rFonts w:ascii="Times New Roman" w:hAnsi="Times New Roman" w:cs="Times New Roman"/>
                <w:color w:val="auto"/>
              </w:rPr>
              <w:t>lītas</w:t>
            </w:r>
            <w:r w:rsidRPr="0003234D">
              <w:rPr>
                <w:rFonts w:ascii="Times New Roman" w:hAnsi="Times New Roman" w:cs="Times New Roman"/>
                <w:color w:val="auto"/>
              </w:rPr>
              <w:t xml:space="preserve"> starp ražotāju organizācijām un individuālajiem ražotājiem, kas n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av ražotāju organizāciju biedri, </w:t>
            </w:r>
            <w:r w:rsidR="003601BD">
              <w:rPr>
                <w:rFonts w:ascii="Times New Roman" w:hAnsi="Times New Roman" w:cs="Times New Roman"/>
                <w:color w:val="auto"/>
              </w:rPr>
              <w:t>ievērojot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B7276" w:rsidRPr="0003234D">
              <w:rPr>
                <w:rFonts w:ascii="Times New Roman" w:hAnsi="Times New Roman" w:cs="Times New Roman"/>
                <w:color w:val="auto"/>
              </w:rPr>
              <w:t>Ministru kabineta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 2</w:t>
            </w:r>
            <w:r w:rsidR="003601BD">
              <w:rPr>
                <w:rFonts w:ascii="Times New Roman" w:hAnsi="Times New Roman" w:cs="Times New Roman"/>
                <w:color w:val="auto"/>
              </w:rPr>
              <w:t>016. gada 14. jūnija noteikumus</w:t>
            </w:r>
            <w:r w:rsidR="00AB7276" w:rsidRPr="0003234D">
              <w:rPr>
                <w:rFonts w:ascii="Times New Roman" w:hAnsi="Times New Roman" w:cs="Times New Roman"/>
                <w:color w:val="auto"/>
              </w:rPr>
              <w:t xml:space="preserve"> Nr. 361 „Noteikumi par augļu un dārzeņu ražotāju organizācijām”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 (turpmāk – MK noteikumi Nr.361):</w:t>
            </w:r>
          </w:p>
          <w:p w14:paraId="35BE2D0A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1. par āboliem un bumbieriem:</w:t>
            </w:r>
          </w:p>
          <w:p w14:paraId="35BE2D0B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AB7276">
              <w:rPr>
                <w:rFonts w:ascii="Times New Roman" w:hAnsi="Times New Roman" w:cs="Times New Roman"/>
                <w:color w:val="auto"/>
              </w:rPr>
              <w:t>1. ražotāju organizācijām – par vienu tonnu;</w:t>
            </w:r>
          </w:p>
          <w:p w14:paraId="35BE2D0C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1.2. individuālajiem ražotājiem – par 199 tonnām;</w:t>
            </w:r>
          </w:p>
          <w:p w14:paraId="35BE2D0D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2. par tomātiem un gurķiem (atklātā laukā, segtās platībās), burkāniem:</w:t>
            </w:r>
          </w:p>
          <w:p w14:paraId="35BE2D0E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2.1. ražotāju organizācijām – par 254 tonnām;</w:t>
            </w:r>
          </w:p>
          <w:p w14:paraId="35BE2D0F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2.2. individuālajiem ražotājiem – par 146 tonnām;</w:t>
            </w:r>
          </w:p>
          <w:p w14:paraId="35BE2D10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 xml:space="preserve">3. par </w:t>
            </w:r>
            <w:r>
              <w:rPr>
                <w:rFonts w:ascii="Times New Roman" w:hAnsi="Times New Roman" w:cs="Times New Roman"/>
                <w:color w:val="auto"/>
              </w:rPr>
              <w:t>MK noteikumu Nr.361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" w:anchor="piel12" w:tgtFrame="_blank" w:history="1">
              <w:r w:rsidRPr="00AB7276">
                <w:rPr>
                  <w:rFonts w:ascii="Times New Roman" w:hAnsi="Times New Roman" w:cs="Times New Roman"/>
                  <w:color w:val="auto"/>
                </w:rPr>
                <w:t>12. pielikumā</w:t>
              </w:r>
            </w:hyperlink>
            <w:r w:rsidRPr="00AB7276">
              <w:rPr>
                <w:rFonts w:ascii="Times New Roman" w:hAnsi="Times New Roman" w:cs="Times New Roman"/>
                <w:color w:val="auto"/>
              </w:rPr>
              <w:t xml:space="preserve"> minētajiem produktiem:</w:t>
            </w:r>
          </w:p>
          <w:p w14:paraId="35BE2D11" w14:textId="77777777" w:rsidR="00AB7276" w:rsidRPr="00AB7276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3.1. ražotāju organizācijām – par 1009 tonnām;</w:t>
            </w:r>
          </w:p>
          <w:p w14:paraId="35BE2D12" w14:textId="77777777" w:rsidR="00AB7276" w:rsidRPr="0003234D" w:rsidRDefault="00AB7276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276">
              <w:rPr>
                <w:rFonts w:ascii="Times New Roman" w:hAnsi="Times New Roman" w:cs="Times New Roman"/>
                <w:color w:val="auto"/>
              </w:rPr>
              <w:t>3.2. individuālajiem ražotājiem – par 1991 tonnu.</w:t>
            </w:r>
          </w:p>
          <w:p w14:paraId="35BE2D13" w14:textId="77777777" w:rsidR="002867BA" w:rsidRPr="00AB7276" w:rsidRDefault="002867BA" w:rsidP="00AB72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BE2D14" w14:textId="09F67409" w:rsidR="002867BA" w:rsidRPr="00746C12" w:rsidRDefault="002867BA" w:rsidP="002867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6C12">
              <w:rPr>
                <w:rFonts w:ascii="Times New Roman" w:hAnsi="Times New Roman" w:cs="Times New Roman"/>
                <w:color w:val="auto"/>
              </w:rPr>
              <w:t>Pēc Lauku atbalsta dienesta (turpmāk – LAD</w:t>
            </w:r>
            <w:r w:rsidR="00FD3F68" w:rsidRPr="00746C12">
              <w:rPr>
                <w:rFonts w:ascii="Times New Roman" w:hAnsi="Times New Roman" w:cs="Times New Roman"/>
                <w:color w:val="auto"/>
              </w:rPr>
              <w:t xml:space="preserve">) informācijas līdz </w:t>
            </w:r>
            <w:proofErr w:type="gramStart"/>
            <w:r w:rsidR="00FD3F68" w:rsidRPr="00746C12">
              <w:rPr>
                <w:rFonts w:ascii="Times New Roman" w:hAnsi="Times New Roman" w:cs="Times New Roman"/>
                <w:color w:val="auto"/>
              </w:rPr>
              <w:t>201</w:t>
            </w:r>
            <w:r w:rsidR="00A30091">
              <w:rPr>
                <w:rFonts w:ascii="Times New Roman" w:hAnsi="Times New Roman" w:cs="Times New Roman"/>
                <w:color w:val="auto"/>
              </w:rPr>
              <w:t>7</w:t>
            </w:r>
            <w:r w:rsidR="00FD3F68" w:rsidRPr="00746C12">
              <w:rPr>
                <w:rFonts w:ascii="Times New Roman" w:hAnsi="Times New Roman" w:cs="Times New Roman"/>
                <w:color w:val="auto"/>
              </w:rPr>
              <w:t>.</w:t>
            </w:r>
            <w:r w:rsidR="001B34D6" w:rsidRPr="00746C12">
              <w:rPr>
                <w:rFonts w:ascii="Times New Roman" w:hAnsi="Times New Roman" w:cs="Times New Roman"/>
                <w:color w:val="auto"/>
              </w:rPr>
              <w:t>gada</w:t>
            </w:r>
            <w:proofErr w:type="gramEnd"/>
            <w:r w:rsidR="001B34D6" w:rsidRPr="00746C12"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Pr="00746C1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B34D6" w:rsidRPr="00746C12">
              <w:rPr>
                <w:rFonts w:ascii="Times New Roman" w:hAnsi="Times New Roman" w:cs="Times New Roman"/>
                <w:color w:val="auto"/>
              </w:rPr>
              <w:t>maija</w:t>
            </w:r>
            <w:r w:rsidR="009F6791" w:rsidRPr="00746C12">
              <w:rPr>
                <w:rFonts w:ascii="Times New Roman" w:hAnsi="Times New Roman" w:cs="Times New Roman"/>
                <w:color w:val="auto"/>
              </w:rPr>
              <w:t>m</w:t>
            </w:r>
            <w:r w:rsidRPr="00746C12">
              <w:rPr>
                <w:rFonts w:ascii="Times New Roman" w:hAnsi="Times New Roman" w:cs="Times New Roman"/>
                <w:color w:val="auto"/>
              </w:rPr>
              <w:t xml:space="preserve"> no visiem Latvijas augļu un dārzeņu ražotājiem uz ES ārkārtas atbalstu ir pieteikusies viena ražotāju organizācija, piesakot 2269 tonnu d</w:t>
            </w:r>
            <w:r w:rsidR="00990D0F" w:rsidRPr="00746C12">
              <w:rPr>
                <w:rFonts w:ascii="Times New Roman" w:hAnsi="Times New Roman" w:cs="Times New Roman"/>
                <w:color w:val="auto"/>
              </w:rPr>
              <w:t>ārzeņu.</w:t>
            </w:r>
          </w:p>
          <w:p w14:paraId="35BE2D15" w14:textId="77777777" w:rsidR="002867BA" w:rsidRDefault="002867BA" w:rsidP="00E3091F">
            <w:pPr>
              <w:jc w:val="both"/>
            </w:pPr>
          </w:p>
          <w:p w14:paraId="35BE2D16" w14:textId="77777777" w:rsidR="002867BA" w:rsidRDefault="00B00438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34D">
              <w:rPr>
                <w:rFonts w:ascii="Times New Roman" w:hAnsi="Times New Roman" w:cs="Times New Roman"/>
                <w:color w:val="auto"/>
              </w:rPr>
              <w:t xml:space="preserve">Lai Latvijas augļu un dārzeņu ražotājiem būtu iespēja izmantot šo ES atbalstu, ir nepieciešams grozīt </w:t>
            </w:r>
            <w:r w:rsidR="002867BA">
              <w:rPr>
                <w:rFonts w:ascii="Times New Roman" w:hAnsi="Times New Roman" w:cs="Times New Roman"/>
                <w:color w:val="auto"/>
              </w:rPr>
              <w:t xml:space="preserve">MK </w:t>
            </w:r>
            <w:r w:rsidR="00AB7276">
              <w:rPr>
                <w:rFonts w:ascii="Times New Roman" w:hAnsi="Times New Roman" w:cs="Times New Roman"/>
                <w:color w:val="auto"/>
              </w:rPr>
              <w:t>noteikumus Nr.</w:t>
            </w:r>
            <w:r w:rsidR="00FD3F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601BD">
              <w:rPr>
                <w:rFonts w:ascii="Times New Roman" w:hAnsi="Times New Roman" w:cs="Times New Roman"/>
                <w:color w:val="auto"/>
              </w:rPr>
              <w:t>361, pārdalot iepriekšminēto apjomu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 starp augļu un dārzeņu ražotāju organizācijām</w:t>
            </w:r>
            <w:proofErr w:type="gramStart"/>
            <w:r w:rsidR="00AB7276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End"/>
            <w:r w:rsidR="00AB7276">
              <w:rPr>
                <w:rFonts w:ascii="Times New Roman" w:hAnsi="Times New Roman" w:cs="Times New Roman"/>
                <w:color w:val="auto"/>
              </w:rPr>
              <w:t xml:space="preserve">un </w:t>
            </w:r>
            <w:r w:rsidR="00AB7276" w:rsidRPr="0003234D">
              <w:rPr>
                <w:rFonts w:ascii="Times New Roman" w:hAnsi="Times New Roman" w:cs="Times New Roman"/>
                <w:color w:val="auto"/>
              </w:rPr>
              <w:t>individuālajiem ražotājiem, kas n</w:t>
            </w:r>
            <w:r w:rsidR="00AB7276">
              <w:rPr>
                <w:rFonts w:ascii="Times New Roman" w:hAnsi="Times New Roman" w:cs="Times New Roman"/>
                <w:color w:val="auto"/>
              </w:rPr>
              <w:t>av ražotāju organizāciju biedri</w:t>
            </w:r>
            <w:r w:rsidR="003601BD">
              <w:rPr>
                <w:rFonts w:ascii="Times New Roman" w:hAnsi="Times New Roman" w:cs="Times New Roman"/>
                <w:color w:val="auto"/>
              </w:rPr>
              <w:t>, ņemot vērā ne tikai pieteikto apjomu</w:t>
            </w:r>
            <w:r w:rsidR="00AB7276">
              <w:rPr>
                <w:rFonts w:ascii="Times New Roman" w:hAnsi="Times New Roman" w:cs="Times New Roman"/>
                <w:color w:val="auto"/>
              </w:rPr>
              <w:t>, bet arī augļu un dārzeņu ražošanu periodā līdz 2017. gada 30. jūnijam</w:t>
            </w:r>
            <w:r w:rsidR="003861EC">
              <w:rPr>
                <w:rFonts w:ascii="Times New Roman" w:hAnsi="Times New Roman" w:cs="Times New Roman"/>
                <w:color w:val="auto"/>
              </w:rPr>
              <w:t xml:space="preserve"> (t.i., šajā periodā, </w:t>
            </w:r>
            <w:r w:rsidR="003601BD">
              <w:rPr>
                <w:rFonts w:ascii="Times New Roman" w:hAnsi="Times New Roman" w:cs="Times New Roman"/>
                <w:color w:val="auto"/>
              </w:rPr>
              <w:t xml:space="preserve">ievērojot </w:t>
            </w:r>
            <w:r w:rsidR="003861EC">
              <w:rPr>
                <w:rFonts w:ascii="Times New Roman" w:hAnsi="Times New Roman" w:cs="Times New Roman"/>
                <w:color w:val="auto"/>
              </w:rPr>
              <w:t>Latvijas klimatiskos apstākļus, varēs izaudzēt tikai gurķus – uz lauka un segtajās platībās</w:t>
            </w:r>
            <w:r w:rsidR="003601BD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="003861EC">
              <w:rPr>
                <w:rFonts w:ascii="Times New Roman" w:hAnsi="Times New Roman" w:cs="Times New Roman"/>
                <w:color w:val="auto"/>
              </w:rPr>
              <w:t xml:space="preserve"> un tomātus – tikai segtajās platībās)</w:t>
            </w:r>
            <w:r w:rsidR="00AB7276">
              <w:rPr>
                <w:rFonts w:ascii="Times New Roman" w:hAnsi="Times New Roman" w:cs="Times New Roman"/>
                <w:color w:val="auto"/>
              </w:rPr>
              <w:t xml:space="preserve"> un attiecīgās </w:t>
            </w:r>
            <w:r w:rsidR="003861EC">
              <w:rPr>
                <w:rFonts w:ascii="Times New Roman" w:hAnsi="Times New Roman" w:cs="Times New Roman"/>
                <w:color w:val="auto"/>
              </w:rPr>
              <w:t xml:space="preserve">šo produktu </w:t>
            </w:r>
            <w:r w:rsidR="003601BD">
              <w:rPr>
                <w:rFonts w:ascii="Times New Roman" w:hAnsi="Times New Roman" w:cs="Times New Roman"/>
                <w:color w:val="auto"/>
              </w:rPr>
              <w:t>aizņemtās platības un vidējo ražību</w:t>
            </w:r>
            <w:r w:rsidR="00AB7276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5BE2D17" w14:textId="77777777" w:rsidR="00B00438" w:rsidRPr="0003234D" w:rsidRDefault="00B00438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34D">
              <w:rPr>
                <w:rFonts w:ascii="Times New Roman" w:hAnsi="Times New Roman" w:cs="Times New Roman"/>
                <w:color w:val="auto"/>
              </w:rPr>
              <w:lastRenderedPageBreak/>
              <w:t>Tādējādi ir sagatavots Ministru kabineta noteikumu projekts “Grozījumi Ministru kabineta 2016. gada 14. jūnija noteikumos Nr. 361 „Noteikumi par augļu un dārzeņu ražotāju organizācijām”” (turpmāk – noteikumu projekts).</w:t>
            </w:r>
          </w:p>
          <w:p w14:paraId="35BE2D18" w14:textId="61F50FB9" w:rsidR="003861EC" w:rsidRDefault="00810B6F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B00438" w:rsidRPr="0003234D">
              <w:rPr>
                <w:rFonts w:ascii="Times New Roman" w:hAnsi="Times New Roman" w:cs="Times New Roman"/>
                <w:color w:val="auto"/>
              </w:rPr>
              <w:t>oteikumu projektā</w:t>
            </w:r>
            <w:r w:rsidR="00F274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861EC">
              <w:rPr>
                <w:rFonts w:ascii="Times New Roman" w:hAnsi="Times New Roman" w:cs="Times New Roman"/>
                <w:color w:val="auto"/>
              </w:rPr>
              <w:t>tiek</w:t>
            </w:r>
            <w:r w:rsidR="003321A9">
              <w:rPr>
                <w:rFonts w:ascii="Times New Roman" w:hAnsi="Times New Roman" w:cs="Times New Roman"/>
                <w:color w:val="auto"/>
              </w:rPr>
              <w:t xml:space="preserve"> precizēts atbalst</w:t>
            </w:r>
            <w:r w:rsidR="002267F0">
              <w:rPr>
                <w:rFonts w:ascii="Times New Roman" w:hAnsi="Times New Roman" w:cs="Times New Roman"/>
                <w:color w:val="auto"/>
              </w:rPr>
              <w:t>a</w:t>
            </w:r>
            <w:r w:rsidR="00635A46">
              <w:rPr>
                <w:rFonts w:ascii="Times New Roman" w:hAnsi="Times New Roman" w:cs="Times New Roman"/>
                <w:color w:val="auto"/>
              </w:rPr>
              <w:t xml:space="preserve"> tiesīgo produktu apjoms starp ražotāju organizācijām un </w:t>
            </w:r>
            <w:r w:rsidR="00FE0CF5">
              <w:rPr>
                <w:rFonts w:ascii="Times New Roman" w:hAnsi="Times New Roman" w:cs="Times New Roman"/>
                <w:color w:val="auto"/>
              </w:rPr>
              <w:t>individuāliem ražotājiem</w:t>
            </w:r>
            <w:r w:rsidR="003861EC">
              <w:rPr>
                <w:rFonts w:ascii="Times New Roman" w:hAnsi="Times New Roman" w:cs="Times New Roman"/>
                <w:color w:val="auto"/>
              </w:rPr>
              <w:t>,</w:t>
            </w:r>
            <w:r w:rsidR="00FE0CF5">
              <w:rPr>
                <w:rFonts w:ascii="Times New Roman" w:hAnsi="Times New Roman" w:cs="Times New Roman"/>
                <w:color w:val="auto"/>
              </w:rPr>
              <w:t xml:space="preserve"> kas nav ražotāju organizācijas biedri, </w:t>
            </w:r>
            <w:r w:rsidR="003861EC">
              <w:rPr>
                <w:rFonts w:ascii="Times New Roman" w:hAnsi="Times New Roman" w:cs="Times New Roman"/>
                <w:color w:val="auto"/>
              </w:rPr>
              <w:t>nosakot</w:t>
            </w:r>
            <w:r w:rsidR="003321A9">
              <w:rPr>
                <w:rFonts w:ascii="Times New Roman" w:hAnsi="Times New Roman" w:cs="Times New Roman"/>
                <w:color w:val="auto"/>
              </w:rPr>
              <w:t xml:space="preserve"> šādu daudzumu</w:t>
            </w:r>
            <w:r w:rsidR="003861EC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5BE2D19" w14:textId="77777777" w:rsidR="003861EC" w:rsidRPr="00AB7276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AB7276">
              <w:rPr>
                <w:rFonts w:ascii="Times New Roman" w:hAnsi="Times New Roman" w:cs="Times New Roman"/>
                <w:color w:val="auto"/>
              </w:rPr>
              <w:t>. par tomātiem un gurķiem (atklātā laukā, segtās platībās), burkāniem:</w:t>
            </w:r>
          </w:p>
          <w:p w14:paraId="35BE2D1A" w14:textId="77777777" w:rsidR="003861EC" w:rsidRPr="00AB7276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.1. ražotāju organizācijām – </w:t>
            </w:r>
            <w:r w:rsidRPr="00247C0B">
              <w:rPr>
                <w:rFonts w:ascii="Times New Roman" w:hAnsi="Times New Roman" w:cs="Times New Roman"/>
                <w:color w:val="auto"/>
              </w:rPr>
              <w:t>par 400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 tonnām;</w:t>
            </w:r>
          </w:p>
          <w:p w14:paraId="35BE2D1B" w14:textId="77777777" w:rsidR="003861EC" w:rsidRPr="00AB7276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.2. individuālajiem ražotājiem – par 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 tonnām;</w:t>
            </w:r>
          </w:p>
          <w:p w14:paraId="35BE2D1C" w14:textId="77777777" w:rsidR="003861EC" w:rsidRPr="00AB7276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. par </w:t>
            </w:r>
            <w:r>
              <w:rPr>
                <w:rFonts w:ascii="Times New Roman" w:hAnsi="Times New Roman" w:cs="Times New Roman"/>
                <w:color w:val="auto"/>
              </w:rPr>
              <w:t>MK noteikumu Nr.361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9" w:anchor="piel12" w:tgtFrame="_blank" w:history="1">
              <w:r w:rsidRPr="00AB7276">
                <w:rPr>
                  <w:rFonts w:ascii="Times New Roman" w:hAnsi="Times New Roman" w:cs="Times New Roman"/>
                  <w:color w:val="auto"/>
                </w:rPr>
                <w:t>12. pielikumā</w:t>
              </w:r>
            </w:hyperlink>
            <w:r w:rsidRPr="00AB7276">
              <w:rPr>
                <w:rFonts w:ascii="Times New Roman" w:hAnsi="Times New Roman" w:cs="Times New Roman"/>
                <w:color w:val="auto"/>
              </w:rPr>
              <w:t xml:space="preserve"> minētajiem produktiem:</w:t>
            </w:r>
          </w:p>
          <w:p w14:paraId="35BE2D1D" w14:textId="77777777" w:rsidR="003861EC" w:rsidRPr="00AB7276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.1. ražotāju organizācijām – par </w:t>
            </w:r>
            <w:r w:rsidR="00247C0B">
              <w:rPr>
                <w:rFonts w:ascii="Times New Roman" w:hAnsi="Times New Roman" w:cs="Times New Roman"/>
                <w:color w:val="auto"/>
              </w:rPr>
              <w:t>2771</w:t>
            </w:r>
            <w:r w:rsidR="003321A9">
              <w:rPr>
                <w:rFonts w:ascii="Times New Roman" w:hAnsi="Times New Roman" w:cs="Times New Roman"/>
                <w:color w:val="auto"/>
              </w:rPr>
              <w:t xml:space="preserve"> tonnu</w:t>
            </w:r>
            <w:r w:rsidRPr="00AB7276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5BE2D1E" w14:textId="77777777" w:rsidR="003861EC" w:rsidRPr="0003234D" w:rsidRDefault="003861EC" w:rsidP="003861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B7276">
              <w:rPr>
                <w:rFonts w:ascii="Times New Roman" w:hAnsi="Times New Roman" w:cs="Times New Roman"/>
                <w:color w:val="auto"/>
              </w:rPr>
              <w:t xml:space="preserve">.2. individuālajiem ražotājiem – par </w:t>
            </w:r>
            <w:r w:rsidR="00247C0B" w:rsidRPr="00247C0B">
              <w:rPr>
                <w:rFonts w:ascii="Times New Roman" w:hAnsi="Times New Roman" w:cs="Times New Roman"/>
                <w:color w:val="auto"/>
              </w:rPr>
              <w:t>229</w:t>
            </w:r>
            <w:r w:rsidR="003321A9">
              <w:rPr>
                <w:rFonts w:ascii="Times New Roman" w:hAnsi="Times New Roman" w:cs="Times New Roman"/>
                <w:color w:val="auto"/>
              </w:rPr>
              <w:t xml:space="preserve"> tonnām</w:t>
            </w:r>
            <w:r w:rsidRPr="00AB7276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5BE2D1F" w14:textId="77777777" w:rsidR="003861EC" w:rsidRDefault="003861EC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BE2D20" w14:textId="77777777" w:rsidR="00746C12" w:rsidRDefault="00DC1574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Noteikumu projektā iekļauti arī precizējumi par darbības programmas </w:t>
            </w:r>
            <w:r w:rsidR="003321A9">
              <w:rPr>
                <w:rFonts w:ascii="Times New Roman" w:hAnsi="Times New Roman" w:cs="Times New Roman"/>
                <w:color w:val="auto"/>
              </w:rPr>
              <w:t>laikā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321A9">
              <w:rPr>
                <w:rFonts w:ascii="Times New Roman" w:hAnsi="Times New Roman" w:cs="Times New Roman"/>
                <w:color w:val="auto"/>
              </w:rPr>
              <w:t>īstenoto</w:t>
            </w:r>
            <w:r>
              <w:rPr>
                <w:rFonts w:ascii="Times New Roman" w:hAnsi="Times New Roman" w:cs="Times New Roman"/>
                <w:color w:val="auto"/>
              </w:rPr>
              <w:t xml:space="preserve"> ieguldījumu uzraudzības periodu, </w:t>
            </w:r>
            <w:r w:rsidR="003321A9">
              <w:rPr>
                <w:rFonts w:ascii="Times New Roman" w:hAnsi="Times New Roman" w:cs="Times New Roman"/>
                <w:color w:val="auto"/>
              </w:rPr>
              <w:t>to īpašum</w:t>
            </w:r>
            <w:r w:rsidR="00A32FBB">
              <w:rPr>
                <w:rFonts w:ascii="Times New Roman" w:hAnsi="Times New Roman" w:cs="Times New Roman"/>
                <w:color w:val="auto"/>
              </w:rPr>
              <w:t xml:space="preserve"> tiesībām </w:t>
            </w:r>
            <w:r>
              <w:rPr>
                <w:rFonts w:ascii="Times New Roman" w:hAnsi="Times New Roman" w:cs="Times New Roman"/>
                <w:color w:val="auto"/>
              </w:rPr>
              <w:t xml:space="preserve">ražotāju organizācijas biedru </w:t>
            </w:r>
            <w:r w:rsidR="00316B06">
              <w:rPr>
                <w:rFonts w:ascii="Times New Roman" w:hAnsi="Times New Roman" w:cs="Times New Roman"/>
                <w:color w:val="auto"/>
              </w:rPr>
              <w:t>izstāšanās gadījumā,</w:t>
            </w:r>
            <w:r w:rsidR="00A32FBB">
              <w:rPr>
                <w:rFonts w:ascii="Times New Roman" w:hAnsi="Times New Roman" w:cs="Times New Roman"/>
                <w:color w:val="auto"/>
              </w:rPr>
              <w:t xml:space="preserve"> finanšu korekciju piemērošana</w:t>
            </w:r>
            <w:r w:rsidR="003321A9">
              <w:rPr>
                <w:rFonts w:ascii="Times New Roman" w:hAnsi="Times New Roman" w:cs="Times New Roman"/>
                <w:color w:val="auto"/>
              </w:rPr>
              <w:t>s kārtību</w:t>
            </w:r>
            <w:r w:rsidR="00A32FBB">
              <w:rPr>
                <w:rFonts w:ascii="Times New Roman" w:hAnsi="Times New Roman" w:cs="Times New Roman"/>
                <w:color w:val="auto"/>
              </w:rPr>
              <w:t xml:space="preserve"> neievēroto normatīvo aktu pras</w:t>
            </w:r>
            <w:r w:rsidR="00860BE2">
              <w:rPr>
                <w:rFonts w:ascii="Times New Roman" w:hAnsi="Times New Roman" w:cs="Times New Roman"/>
                <w:color w:val="auto"/>
              </w:rPr>
              <w:t>ību</w:t>
            </w:r>
            <w:r w:rsidR="00A32F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60BE2">
              <w:rPr>
                <w:rFonts w:ascii="Times New Roman" w:hAnsi="Times New Roman" w:cs="Times New Roman"/>
                <w:color w:val="auto"/>
              </w:rPr>
              <w:t>darbības programmas īs</w:t>
            </w:r>
            <w:r w:rsidR="00316B06">
              <w:rPr>
                <w:rFonts w:ascii="Times New Roman" w:hAnsi="Times New Roman" w:cs="Times New Roman"/>
                <w:color w:val="auto"/>
              </w:rPr>
              <w:t>tenošanas vai uzraudzības laikā</w:t>
            </w:r>
            <w:r w:rsidR="00746C1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35BE2D21" w14:textId="77777777" w:rsidR="00DA4BE0" w:rsidRDefault="00DA4BE0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Vienlaikus, precizējot darbības programmas ietvaros veikto ieguldījumu uzraudzības periodu un nosakot to uz pieciem gadiem, projekta 1</w:t>
            </w:r>
            <w:r w:rsidR="00270C9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. punkts paredz atkāpi, nosakot, ka nosacījumu par ieguldījumu uzraudzības periodu nepiemēro ieguldījumiem, kas veikti līdz projekta spēkā stāšanās dienai. </w:t>
            </w:r>
            <w:r w:rsidRPr="00DA4BE0">
              <w:rPr>
                <w:rFonts w:ascii="Times New Roman" w:hAnsi="Times New Roman" w:cs="Times New Roman"/>
                <w:b/>
                <w:color w:val="auto"/>
              </w:rPr>
              <w:t xml:space="preserve">Pašreiz projekta </w:t>
            </w:r>
            <w:r w:rsidR="00270C9A"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Pr="00DA4BE0">
              <w:rPr>
                <w:rFonts w:ascii="Times New Roman" w:hAnsi="Times New Roman" w:cs="Times New Roman"/>
                <w:b/>
                <w:color w:val="auto"/>
              </w:rPr>
              <w:t xml:space="preserve">. punktā izteiktā </w:t>
            </w:r>
            <w:r w:rsidR="00270C9A">
              <w:rPr>
                <w:rFonts w:ascii="Times New Roman" w:hAnsi="Times New Roman" w:cs="Times New Roman"/>
                <w:b/>
                <w:color w:val="auto"/>
              </w:rPr>
              <w:t>100.</w:t>
            </w:r>
            <w:r w:rsidRPr="00DA4BE0">
              <w:rPr>
                <w:rFonts w:ascii="Times New Roman" w:hAnsi="Times New Roman" w:cs="Times New Roman"/>
                <w:b/>
                <w:color w:val="auto"/>
              </w:rPr>
              <w:t xml:space="preserve"> punkta redakcijā šī atkāpe paredzēta līdz </w:t>
            </w:r>
            <w:r w:rsidR="00587B00" w:rsidRPr="00DA4BE0">
              <w:rPr>
                <w:rFonts w:ascii="Times New Roman" w:hAnsi="Times New Roman" w:cs="Times New Roman"/>
                <w:b/>
                <w:color w:val="auto"/>
              </w:rPr>
              <w:t xml:space="preserve">2017. gada </w:t>
            </w:r>
            <w:r w:rsidR="00587B0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587B00" w:rsidRPr="00DA4BE0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587B00">
              <w:rPr>
                <w:rFonts w:ascii="Times New Roman" w:hAnsi="Times New Roman" w:cs="Times New Roman"/>
                <w:b/>
                <w:color w:val="auto"/>
              </w:rPr>
              <w:t>jūlijam</w:t>
            </w:r>
            <w:r w:rsidRPr="00DA4BE0">
              <w:rPr>
                <w:rFonts w:ascii="Times New Roman" w:hAnsi="Times New Roman" w:cs="Times New Roman"/>
                <w:b/>
                <w:color w:val="auto"/>
              </w:rPr>
              <w:t xml:space="preserve">, taču datums ir noteikts </w:t>
            </w:r>
            <w:proofErr w:type="gramStart"/>
            <w:r w:rsidRPr="00DA4BE0">
              <w:rPr>
                <w:rFonts w:ascii="Times New Roman" w:hAnsi="Times New Roman" w:cs="Times New Roman"/>
                <w:b/>
                <w:color w:val="auto"/>
              </w:rPr>
              <w:t>orientējoši</w:t>
            </w:r>
            <w:proofErr w:type="gramEnd"/>
            <w:r w:rsidRPr="00DA4BE0">
              <w:rPr>
                <w:rFonts w:ascii="Times New Roman" w:hAnsi="Times New Roman" w:cs="Times New Roman"/>
                <w:b/>
                <w:color w:val="auto"/>
              </w:rPr>
              <w:t>, un to būs nepieciešams precizēt atkarībā no datuma, kurā projektu izskatīs Ministru kabineta sēdē.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BE2D22" w14:textId="77777777" w:rsidR="00DC1574" w:rsidRDefault="00746C12" w:rsidP="00B00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Tāpat arī noteikumu projekts </w:t>
            </w:r>
            <w:r w:rsidR="00316B06">
              <w:rPr>
                <w:rFonts w:ascii="Times New Roman" w:hAnsi="Times New Roman" w:cs="Times New Roman"/>
                <w:color w:val="auto"/>
              </w:rPr>
              <w:t>paplašin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="00316B0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atbalsttiesīgos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16B06">
              <w:rPr>
                <w:rFonts w:ascii="Times New Roman" w:hAnsi="Times New Roman" w:cs="Times New Roman"/>
                <w:color w:val="auto"/>
              </w:rPr>
              <w:t>pasākum</w:t>
            </w:r>
            <w:r>
              <w:rPr>
                <w:rFonts w:ascii="Times New Roman" w:hAnsi="Times New Roman" w:cs="Times New Roman"/>
                <w:color w:val="auto"/>
              </w:rPr>
              <w:t>us</w:t>
            </w:r>
            <w:r w:rsidR="00316B06">
              <w:rPr>
                <w:rFonts w:ascii="Times New Roman" w:hAnsi="Times New Roman" w:cs="Times New Roman"/>
                <w:color w:val="auto"/>
              </w:rPr>
              <w:t xml:space="preserve"> apstiprināto darbības programmu īstenošanai un tajos noteikto mērķu sasniegšanai.</w:t>
            </w:r>
            <w:r w:rsidR="00A32FB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5BE2D23" w14:textId="77777777" w:rsidR="006C345B" w:rsidRPr="00DE73E2" w:rsidRDefault="006C345B" w:rsidP="00DC1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341E" w:rsidRPr="004C094F" w14:paraId="35BE2D29" w14:textId="77777777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5" w14:textId="77777777"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</w:t>
            </w:r>
            <w:r w:rsidR="0030341E" w:rsidRPr="004C094F">
              <w:rPr>
                <w:color w:val="000000"/>
              </w:rPr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6" w14:textId="77777777"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7" w14:textId="77777777" w:rsidR="0030341E" w:rsidRDefault="0069761D" w:rsidP="00C81DEC">
            <w:pPr>
              <w:jc w:val="both"/>
            </w:pPr>
            <w:r w:rsidRPr="003B78CD">
              <w:t>Lauku atbalsta dienests</w:t>
            </w:r>
            <w:r>
              <w:t>, biedrības „Latvijas Dārznieks” un „Latvijas Augļkopju Asociācija”.</w:t>
            </w:r>
          </w:p>
          <w:p w14:paraId="35BE2D28" w14:textId="77777777" w:rsidR="00C81DEC" w:rsidRPr="004C094F" w:rsidRDefault="00C81DEC" w:rsidP="00C81DEC">
            <w:pPr>
              <w:jc w:val="both"/>
              <w:rPr>
                <w:color w:val="000000"/>
              </w:rPr>
            </w:pPr>
          </w:p>
        </w:tc>
      </w:tr>
      <w:tr w:rsidR="00114052" w:rsidRPr="004C094F" w14:paraId="35BE2D2D" w14:textId="77777777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A" w14:textId="77777777" w:rsidR="00114052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4</w:t>
            </w:r>
            <w:r w:rsidR="00114052" w:rsidRPr="004C094F">
              <w:rPr>
                <w:color w:val="000000"/>
              </w:rPr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B" w14:textId="77777777" w:rsidR="00114052" w:rsidRPr="004C094F" w:rsidRDefault="00114052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2C" w14:textId="77777777" w:rsidR="00114052" w:rsidRPr="004C094F" w:rsidRDefault="001A7910" w:rsidP="00437470">
            <w:pPr>
              <w:jc w:val="both"/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</w:p>
        </w:tc>
      </w:tr>
    </w:tbl>
    <w:p w14:paraId="35BE2D2E" w14:textId="77777777" w:rsidR="00C318BB" w:rsidRPr="004C094F" w:rsidRDefault="0030341E" w:rsidP="0030341E">
      <w:pPr>
        <w:rPr>
          <w:color w:val="000000"/>
        </w:rPr>
      </w:pPr>
      <w:r w:rsidRPr="004C094F">
        <w:rPr>
          <w:color w:val="000000"/>
        </w:rPr>
        <w:t>  </w:t>
      </w: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115550" w:rsidRPr="004C094F" w14:paraId="35BE2D31" w14:textId="77777777" w:rsidTr="001A7910"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5BE2D2F" w14:textId="77777777" w:rsidR="001A7349" w:rsidRPr="004C094F" w:rsidRDefault="00115550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 xml:space="preserve">II. </w:t>
            </w:r>
            <w:r w:rsidR="001A7349" w:rsidRPr="004C094F">
              <w:rPr>
                <w:b/>
                <w:bCs/>
                <w:color w:val="000000"/>
              </w:rPr>
              <w:t>Tiesību akta projekta ietekme uz sabiedrību, tautsaimniecības attīstību</w:t>
            </w:r>
          </w:p>
          <w:p w14:paraId="35BE2D30" w14:textId="77777777" w:rsidR="00115550" w:rsidRPr="004C094F" w:rsidRDefault="001A7349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un administratīvo slogu</w:t>
            </w:r>
          </w:p>
        </w:tc>
      </w:tr>
      <w:tr w:rsidR="00115550" w:rsidRPr="004C094F" w14:paraId="35BE2D35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2" w14:textId="77777777" w:rsidR="00115550" w:rsidRPr="004C094F" w:rsidRDefault="00115550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3" w14:textId="77777777" w:rsidR="00115550" w:rsidRPr="004C094F" w:rsidRDefault="001A7349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4" w14:textId="77777777" w:rsidR="0055446B" w:rsidRPr="004962CF" w:rsidRDefault="0069761D" w:rsidP="00671375">
            <w:pPr>
              <w:jc w:val="both"/>
            </w:pPr>
            <w:r>
              <w:t>N</w:t>
            </w:r>
            <w:r w:rsidRPr="003B78CD">
              <w:t xml:space="preserve">oteikumu projekta tiesiskais regulējums attieksies uz </w:t>
            </w:r>
            <w:r>
              <w:t>augļu un dārzeņu ražotājiem un šo ražotāju dibinātām ražotāju organizācijām.</w:t>
            </w:r>
          </w:p>
        </w:tc>
      </w:tr>
      <w:tr w:rsidR="0069761D" w:rsidRPr="004C094F" w14:paraId="35BE2D3B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6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7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8" w14:textId="77777777" w:rsidR="00730138" w:rsidRPr="003B78CD" w:rsidRDefault="00730138" w:rsidP="00730138">
            <w:pPr>
              <w:jc w:val="both"/>
            </w:pPr>
            <w:r w:rsidRPr="003B78CD">
              <w:t xml:space="preserve">Noteikumu projekta tiesiskais regulējums var ietekmēt </w:t>
            </w:r>
            <w:r>
              <w:t xml:space="preserve">augļu un dārzeņu ražotājus, </w:t>
            </w:r>
            <w:r w:rsidR="003321A9">
              <w:t>dodot iespēju</w:t>
            </w:r>
            <w:r>
              <w:t xml:space="preserve"> viņiem saņemt atbalstu par ārkārtas atbalsta pasākumu īstenošanu attiecībā uz viņu saražotu produkciju. Šo pasākumu īstenošana Eiropas līmenī var sekmēt cenu stabilizēšanos katrā atsevišķā dalībvalstī.</w:t>
            </w:r>
          </w:p>
          <w:p w14:paraId="35BE2D39" w14:textId="77777777" w:rsidR="00730138" w:rsidRDefault="00730138" w:rsidP="00730138">
            <w:pPr>
              <w:jc w:val="both"/>
            </w:pPr>
            <w:r w:rsidRPr="003B78CD">
              <w:t xml:space="preserve">Noteikumu projekta tiesiskais regulējums radīs papildu administratīvo slogu </w:t>
            </w:r>
            <w:r>
              <w:t>ražotājiem</w:t>
            </w:r>
            <w:r w:rsidRPr="003B78CD">
              <w:t xml:space="preserve">, kas </w:t>
            </w:r>
            <w:r>
              <w:t xml:space="preserve">īstenos pagaidu ārkārtas atbalsta </w:t>
            </w:r>
            <w:r>
              <w:lastRenderedPageBreak/>
              <w:t>pasākumus augļu un dārzeņu sektorā</w:t>
            </w:r>
            <w:r w:rsidRPr="003B78CD">
              <w:t>, jo būs nepieciešams aizpildīt un iesniegt iesniegumu veidlapas</w:t>
            </w:r>
            <w:r>
              <w:t xml:space="preserve"> un citus dokumentus.</w:t>
            </w:r>
          </w:p>
          <w:p w14:paraId="35BE2D3A" w14:textId="77777777" w:rsidR="0069761D" w:rsidRPr="003B78CD" w:rsidRDefault="00730138" w:rsidP="003321A9">
            <w:pPr>
              <w:jc w:val="both"/>
            </w:pPr>
            <w:r w:rsidRPr="003B78CD">
              <w:t xml:space="preserve">Tomēr pašlaik ir grūti novērtēt ietekmes </w:t>
            </w:r>
            <w:r w:rsidR="003321A9">
              <w:t>mērogus</w:t>
            </w:r>
            <w:r w:rsidRPr="003B78CD">
              <w:t xml:space="preserve">, jo nav zināms, cik plaši Latvijas </w:t>
            </w:r>
            <w:r>
              <w:t>ražotāji</w:t>
            </w:r>
            <w:r w:rsidRPr="003B78CD">
              <w:t xml:space="preserve"> izmantos</w:t>
            </w:r>
            <w:r>
              <w:t xml:space="preserve"> minēto atbalstu</w:t>
            </w:r>
            <w:r w:rsidR="00CA0F77">
              <w:t xml:space="preserve">, </w:t>
            </w:r>
            <w:r w:rsidR="003321A9">
              <w:t>ievērojot</w:t>
            </w:r>
            <w:r w:rsidR="00CA0F77">
              <w:t xml:space="preserve"> to</w:t>
            </w:r>
            <w:r w:rsidR="00C465A0">
              <w:t xml:space="preserve">, ka </w:t>
            </w:r>
            <w:r w:rsidR="003321A9">
              <w:t>patlaban</w:t>
            </w:r>
            <w:r w:rsidR="00C465A0">
              <w:t xml:space="preserve"> ir grūti prognozēt tendences augļu un dārzeņu tirgū</w:t>
            </w:r>
            <w:r w:rsidRPr="003B78CD">
              <w:t>.</w:t>
            </w:r>
          </w:p>
        </w:tc>
      </w:tr>
      <w:tr w:rsidR="0069761D" w:rsidRPr="004C094F" w14:paraId="35BE2D4B" w14:textId="77777777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C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D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Administratīvo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3E" w14:textId="77777777" w:rsidR="006B6C72" w:rsidRDefault="00B37996" w:rsidP="00C81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Aprēķins ir pamatos ar Centrālās statistikas pārvaldes (turpmāk – CSP) datiem</w:t>
            </w:r>
            <w:r w:rsidR="0086093E">
              <w:rPr>
                <w:color w:val="000000"/>
              </w:rPr>
              <w:t>, t.i., ka</w:t>
            </w:r>
            <w:r>
              <w:rPr>
                <w:color w:val="000000"/>
              </w:rPr>
              <w:t xml:space="preserve"> vienas stundas darbaspēka izmaksas lauksaimniecības sektorā 2016. gada </w:t>
            </w:r>
            <w:r w:rsidR="0003707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ceturksnī </w:t>
            </w:r>
            <w:r w:rsidR="0086093E">
              <w:rPr>
                <w:color w:val="000000"/>
              </w:rPr>
              <w:t>bija</w:t>
            </w:r>
            <w:r>
              <w:rPr>
                <w:color w:val="000000"/>
              </w:rPr>
              <w:t xml:space="preserve"> 6,79 </w:t>
            </w:r>
            <w:proofErr w:type="spellStart"/>
            <w:r w:rsidR="004F3503" w:rsidRPr="007A3728">
              <w:rPr>
                <w:i/>
                <w:color w:val="000000"/>
              </w:rPr>
              <w:t>euro</w:t>
            </w:r>
            <w:proofErr w:type="spellEnd"/>
            <w:r w:rsidR="0086093E">
              <w:rPr>
                <w:color w:val="000000"/>
              </w:rPr>
              <w:t>, bet valsts pārvaldē – 8,</w:t>
            </w:r>
            <w:r>
              <w:rPr>
                <w:color w:val="000000"/>
              </w:rPr>
              <w:t xml:space="preserve">34 </w:t>
            </w:r>
            <w:proofErr w:type="spellStart"/>
            <w:r w:rsidR="004F3503" w:rsidRPr="0003234D">
              <w:rPr>
                <w:i/>
                <w:color w:val="000000"/>
              </w:rPr>
              <w:t>euro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5BE2D3F" w14:textId="77777777" w:rsidR="00013CDD" w:rsidRDefault="00013CDD" w:rsidP="00C81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Izvērtējot dat</w:t>
            </w:r>
            <w:r w:rsidR="0086093E">
              <w:rPr>
                <w:color w:val="000000"/>
              </w:rPr>
              <w:t>us par ārkārtas atbalstu augļu</w:t>
            </w:r>
            <w:r>
              <w:rPr>
                <w:color w:val="000000"/>
              </w:rPr>
              <w:t xml:space="preserve"> </w:t>
            </w:r>
            <w:r w:rsidR="0086093E">
              <w:rPr>
                <w:color w:val="000000"/>
              </w:rPr>
              <w:t>un dārzeņu ražotājiem</w:t>
            </w:r>
            <w:r w:rsidR="00FD3F68">
              <w:rPr>
                <w:color w:val="000000"/>
              </w:rPr>
              <w:t xml:space="preserve"> 2014./2015. </w:t>
            </w:r>
            <w:r w:rsidR="004D4F62">
              <w:rPr>
                <w:color w:val="000000"/>
              </w:rPr>
              <w:t>gadā salīdzinājumā</w:t>
            </w:r>
            <w:r>
              <w:rPr>
                <w:color w:val="000000"/>
              </w:rPr>
              <w:t xml:space="preserve"> a</w:t>
            </w:r>
            <w:r w:rsidR="00FD3F68">
              <w:rPr>
                <w:color w:val="000000"/>
              </w:rPr>
              <w:t>r tādu pašu periodu 2015./2016.</w:t>
            </w:r>
            <w:r>
              <w:rPr>
                <w:color w:val="000000"/>
              </w:rPr>
              <w:t xml:space="preserve">gadā, </w:t>
            </w:r>
            <w:r w:rsidR="004D4F62">
              <w:rPr>
                <w:color w:val="000000"/>
              </w:rPr>
              <w:t>var pieņemt, ka pretendenti vidēji iesniedz</w:t>
            </w:r>
            <w:r>
              <w:rPr>
                <w:color w:val="000000"/>
              </w:rPr>
              <w:t xml:space="preserve"> </w:t>
            </w:r>
            <w:r w:rsidR="004D4F62">
              <w:rPr>
                <w:color w:val="000000"/>
              </w:rPr>
              <w:t>sešus iesniegumus.</w:t>
            </w:r>
          </w:p>
          <w:p w14:paraId="35BE2D40" w14:textId="77777777" w:rsidR="006B6C72" w:rsidRDefault="0086093E" w:rsidP="00C81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Tā kā </w:t>
            </w:r>
            <w:r w:rsidR="00EE736E">
              <w:rPr>
                <w:color w:val="000000"/>
              </w:rPr>
              <w:t>augļu un dārzeņu ražotāj</w:t>
            </w:r>
            <w:r w:rsidR="004D4F62">
              <w:rPr>
                <w:color w:val="000000"/>
              </w:rPr>
              <w:t xml:space="preserve">i pieteikumus iesniedz papīra formā, var pieņemt, </w:t>
            </w:r>
            <w:r w:rsidR="006B6C72">
              <w:rPr>
                <w:color w:val="000000"/>
              </w:rPr>
              <w:t>ka iesn</w:t>
            </w:r>
            <w:r w:rsidR="004D4F62">
              <w:rPr>
                <w:color w:val="000000"/>
              </w:rPr>
              <w:t>ieguma aizpildīšanai tiks tērēta</w:t>
            </w:r>
            <w:r w:rsidR="006B6C72">
              <w:rPr>
                <w:color w:val="000000"/>
              </w:rPr>
              <w:t xml:space="preserve"> </w:t>
            </w:r>
            <w:r w:rsidR="0068698D">
              <w:rPr>
                <w:color w:val="000000"/>
              </w:rPr>
              <w:t>aptuveni pus</w:t>
            </w:r>
            <w:r w:rsidR="006B6C72">
              <w:rPr>
                <w:color w:val="000000"/>
              </w:rPr>
              <w:t>st</w:t>
            </w:r>
            <w:r w:rsidR="0068698D">
              <w:rPr>
                <w:color w:val="000000"/>
              </w:rPr>
              <w:t>u</w:t>
            </w:r>
            <w:r w:rsidR="006B6C72">
              <w:rPr>
                <w:color w:val="000000"/>
              </w:rPr>
              <w:t>nda.</w:t>
            </w:r>
          </w:p>
          <w:p w14:paraId="35BE2D41" w14:textId="77777777" w:rsidR="006B6C72" w:rsidRDefault="0068698D" w:rsidP="00C81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Tā kā Lauku atbalsts dienests, </w:t>
            </w:r>
            <w:r w:rsidR="0086093E">
              <w:rPr>
                <w:color w:val="000000"/>
              </w:rPr>
              <w:t xml:space="preserve">pēc ārkārtas atbalsta iesnieguma saņemšanas </w:t>
            </w:r>
            <w:r>
              <w:rPr>
                <w:color w:val="000000"/>
              </w:rPr>
              <w:t xml:space="preserve">sadarbībā ar Valsts augu aizsardzības dienestu </w:t>
            </w:r>
            <w:r w:rsidR="0086093E">
              <w:rPr>
                <w:color w:val="000000"/>
              </w:rPr>
              <w:t>apseko attiecīgās platības</w:t>
            </w:r>
            <w:r w:rsidR="006411B3">
              <w:rPr>
                <w:color w:val="000000"/>
              </w:rPr>
              <w:t xml:space="preserve"> </w:t>
            </w:r>
            <w:r w:rsidR="0086093E">
              <w:rPr>
                <w:color w:val="000000"/>
              </w:rPr>
              <w:t>un sagatavo,</w:t>
            </w:r>
            <w:r w:rsidR="00EE736E">
              <w:rPr>
                <w:color w:val="000000"/>
              </w:rPr>
              <w:t xml:space="preserve"> aktu</w:t>
            </w:r>
            <w:r w:rsidR="0086093E">
              <w:rPr>
                <w:color w:val="000000"/>
              </w:rPr>
              <w:t>s un kontroles lapas,</w:t>
            </w:r>
            <w:r w:rsidR="00EE736E">
              <w:rPr>
                <w:color w:val="000000"/>
              </w:rPr>
              <w:t xml:space="preserve"> tad</w:t>
            </w:r>
            <w:r w:rsidR="0003707B">
              <w:rPr>
                <w:color w:val="000000"/>
              </w:rPr>
              <w:t>,</w:t>
            </w:r>
            <w:r w:rsidR="00EE736E">
              <w:rPr>
                <w:color w:val="000000"/>
              </w:rPr>
              <w:t xml:space="preserve"> </w:t>
            </w:r>
            <w:r w:rsidR="0086093E">
              <w:rPr>
                <w:color w:val="000000"/>
              </w:rPr>
              <w:t>ievērojot</w:t>
            </w:r>
            <w:proofErr w:type="gramStart"/>
            <w:r w:rsidR="00EE736E">
              <w:rPr>
                <w:color w:val="000000"/>
              </w:rPr>
              <w:t xml:space="preserve">  </w:t>
            </w:r>
            <w:proofErr w:type="gramEnd"/>
            <w:r w:rsidR="00EE736E">
              <w:rPr>
                <w:color w:val="000000"/>
              </w:rPr>
              <w:t>iepriekšējo gadu pieredz</w:t>
            </w:r>
            <w:r w:rsidR="0003707B">
              <w:rPr>
                <w:color w:val="000000"/>
              </w:rPr>
              <w:t>i,</w:t>
            </w:r>
            <w:r w:rsidR="00EE736E">
              <w:rPr>
                <w:color w:val="000000"/>
              </w:rPr>
              <w:t xml:space="preserve"> valsts </w:t>
            </w:r>
            <w:r w:rsidR="0003707B">
              <w:rPr>
                <w:color w:val="000000"/>
              </w:rPr>
              <w:t xml:space="preserve">iestāžu </w:t>
            </w:r>
            <w:r w:rsidR="00EE736E">
              <w:rPr>
                <w:color w:val="000000"/>
              </w:rPr>
              <w:t xml:space="preserve">administratīvās izmaksas </w:t>
            </w:r>
            <w:r w:rsidR="0086093E">
              <w:rPr>
                <w:color w:val="000000"/>
              </w:rPr>
              <w:t>ir šādas</w:t>
            </w:r>
            <w:r w:rsidR="00EE736E">
              <w:rPr>
                <w:color w:val="000000"/>
              </w:rPr>
              <w:t>:</w:t>
            </w:r>
          </w:p>
          <w:p w14:paraId="35BE2D42" w14:textId="77777777" w:rsidR="00EE736E" w:rsidRDefault="00EE736E" w:rsidP="00520FD8">
            <w:pPr>
              <w:rPr>
                <w:color w:val="000000"/>
              </w:rPr>
            </w:pPr>
          </w:p>
          <w:p w14:paraId="35BE2D43" w14:textId="77777777" w:rsidR="00013CDD" w:rsidRDefault="0086093E" w:rsidP="00013CD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Lauku atbalsta dienestam</w:t>
            </w:r>
            <w:r w:rsidR="00013CDD">
              <w:rPr>
                <w:color w:val="000000"/>
              </w:rPr>
              <w:t>:</w:t>
            </w:r>
          </w:p>
          <w:p w14:paraId="35BE2D44" w14:textId="77777777" w:rsidR="00013CDD" w:rsidRDefault="00013CDD" w:rsidP="00013CD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(8,36x10)x(6x1) = 501,6 </w:t>
            </w:r>
            <w:proofErr w:type="spellStart"/>
            <w:r w:rsidRPr="007A3728">
              <w:rPr>
                <w:i/>
                <w:color w:val="000000"/>
              </w:rPr>
              <w:t>euro</w:t>
            </w:r>
            <w:proofErr w:type="spellEnd"/>
          </w:p>
          <w:p w14:paraId="35BE2D45" w14:textId="77777777" w:rsidR="00013CDD" w:rsidRDefault="00013CDD" w:rsidP="00013CDD">
            <w:pPr>
              <w:ind w:left="360"/>
              <w:rPr>
                <w:color w:val="000000"/>
              </w:rPr>
            </w:pPr>
          </w:p>
          <w:p w14:paraId="35BE2D46" w14:textId="77777777" w:rsidR="00013CDD" w:rsidRDefault="00013CDD" w:rsidP="00013CDD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Valsts augu aizsardzības dienest</w:t>
            </w:r>
            <w:r w:rsidR="0086093E">
              <w:rPr>
                <w:color w:val="000000"/>
              </w:rPr>
              <w:t>am</w:t>
            </w:r>
            <w:r>
              <w:rPr>
                <w:color w:val="000000"/>
              </w:rPr>
              <w:t>:</w:t>
            </w:r>
          </w:p>
          <w:p w14:paraId="35BE2D47" w14:textId="77777777" w:rsidR="00013CDD" w:rsidRDefault="00013CDD" w:rsidP="00013CD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(8,36x2)x(6x1) = 100,32 9 </w:t>
            </w:r>
            <w:proofErr w:type="spellStart"/>
            <w:r w:rsidRPr="007A3728">
              <w:rPr>
                <w:i/>
                <w:color w:val="000000"/>
              </w:rPr>
              <w:t>euro</w:t>
            </w:r>
            <w:proofErr w:type="spellEnd"/>
          </w:p>
          <w:p w14:paraId="35BE2D48" w14:textId="77777777" w:rsidR="00013CDD" w:rsidRPr="007A3728" w:rsidRDefault="00013CDD" w:rsidP="00013CDD">
            <w:pPr>
              <w:ind w:left="360"/>
              <w:rPr>
                <w:color w:val="000000"/>
              </w:rPr>
            </w:pPr>
          </w:p>
          <w:p w14:paraId="35BE2D49" w14:textId="77777777" w:rsidR="00013CDD" w:rsidRDefault="00013CDD" w:rsidP="00013CDD">
            <w:pPr>
              <w:rPr>
                <w:color w:val="000000"/>
              </w:rPr>
            </w:pPr>
            <w:r>
              <w:rPr>
                <w:color w:val="000000"/>
              </w:rPr>
              <w:t>Atbalsta pretendenta administratīvās izmaksas kopumā</w:t>
            </w:r>
            <w:r w:rsidR="0086093E">
              <w:rPr>
                <w:color w:val="000000"/>
              </w:rPr>
              <w:t xml:space="preserve"> ir</w:t>
            </w:r>
            <w:r>
              <w:rPr>
                <w:color w:val="000000"/>
              </w:rPr>
              <w:t>:</w:t>
            </w:r>
          </w:p>
          <w:p w14:paraId="35BE2D4A" w14:textId="77777777" w:rsidR="00E6274A" w:rsidRPr="004C094F" w:rsidRDefault="00013CDD" w:rsidP="0086093E">
            <w:pPr>
              <w:rPr>
                <w:color w:val="000000"/>
              </w:rPr>
            </w:pPr>
            <w:r>
              <w:rPr>
                <w:color w:val="000000"/>
              </w:rPr>
              <w:t xml:space="preserve">40,74 </w:t>
            </w:r>
            <w:proofErr w:type="spellStart"/>
            <w:r w:rsidRPr="007A3728">
              <w:rPr>
                <w:i/>
                <w:color w:val="000000"/>
              </w:rPr>
              <w:t>euro</w:t>
            </w:r>
            <w:proofErr w:type="spellEnd"/>
            <w:r>
              <w:rPr>
                <w:color w:val="000000"/>
              </w:rPr>
              <w:t>, kas veidojas</w:t>
            </w:r>
            <w:r w:rsidR="0086093E">
              <w:rPr>
                <w:color w:val="000000"/>
              </w:rPr>
              <w:t xml:space="preserve"> šādi</w:t>
            </w:r>
            <w:r>
              <w:rPr>
                <w:color w:val="000000"/>
              </w:rPr>
              <w:t>: (6,79x0,5)x(6x1)= 20,37.</w:t>
            </w:r>
          </w:p>
        </w:tc>
      </w:tr>
      <w:tr w:rsidR="0069761D" w:rsidRPr="004C094F" w14:paraId="35BE2D4F" w14:textId="77777777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4C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4.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4D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E2D4E" w14:textId="77777777"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</w:p>
        </w:tc>
      </w:tr>
    </w:tbl>
    <w:p w14:paraId="35BE2D50" w14:textId="77777777" w:rsidR="00CB6209" w:rsidRDefault="00CB6209" w:rsidP="009E31BC">
      <w:pPr>
        <w:rPr>
          <w:color w:val="000000"/>
        </w:rPr>
      </w:pPr>
    </w:p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9"/>
        <w:gridCol w:w="1215"/>
        <w:gridCol w:w="1561"/>
        <w:gridCol w:w="1215"/>
        <w:gridCol w:w="1215"/>
        <w:gridCol w:w="1500"/>
      </w:tblGrid>
      <w:tr w:rsidR="003A0CE8" w:rsidRPr="00623FFE" w14:paraId="35BE2D52" w14:textId="77777777" w:rsidTr="00365C7E">
        <w:trPr>
          <w:trHeight w:val="360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1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A0CE8" w:rsidRPr="003B78CD" w14:paraId="35BE2D56" w14:textId="77777777" w:rsidTr="00365C7E">
        <w:trPr>
          <w:jc w:val="center"/>
        </w:trPr>
        <w:tc>
          <w:tcPr>
            <w:tcW w:w="13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3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Rādītāji</w:t>
            </w:r>
          </w:p>
        </w:tc>
        <w:tc>
          <w:tcPr>
            <w:tcW w:w="1508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4" w14:textId="77777777" w:rsidR="003A0CE8" w:rsidRPr="003B78CD" w:rsidRDefault="00740F1D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213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5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Turpmākie trīs gadi (</w:t>
            </w:r>
            <w:proofErr w:type="spellStart"/>
            <w:r w:rsidRPr="003B78CD">
              <w:rPr>
                <w:i/>
                <w:iCs/>
              </w:rPr>
              <w:t>euro</w:t>
            </w:r>
            <w:proofErr w:type="spellEnd"/>
            <w:r w:rsidRPr="003B78CD">
              <w:t>)</w:t>
            </w:r>
          </w:p>
        </w:tc>
      </w:tr>
      <w:tr w:rsidR="003A0CE8" w:rsidRPr="003B78CD" w14:paraId="35BE2D5C" w14:textId="77777777" w:rsidTr="00365C7E">
        <w:trPr>
          <w:jc w:val="center"/>
        </w:trPr>
        <w:tc>
          <w:tcPr>
            <w:tcW w:w="13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7" w14:textId="77777777"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1508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8" w14:textId="77777777"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9" w14:textId="77777777" w:rsidR="003A0CE8" w:rsidRPr="003B78CD" w:rsidRDefault="00740F1D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A" w14:textId="77777777" w:rsidR="003A0CE8" w:rsidRPr="003B78CD" w:rsidRDefault="00740F1D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B" w14:textId="77777777" w:rsidR="003A0CE8" w:rsidRPr="003B78CD" w:rsidRDefault="00740F1D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3A0CE8" w:rsidRPr="003B78CD">
              <w:rPr>
                <w:b/>
                <w:bCs/>
              </w:rPr>
              <w:t>.</w:t>
            </w:r>
          </w:p>
        </w:tc>
      </w:tr>
      <w:tr w:rsidR="003A0CE8" w:rsidRPr="002B04C6" w14:paraId="35BE2D63" w14:textId="77777777" w:rsidTr="00365C7E">
        <w:trPr>
          <w:jc w:val="center"/>
        </w:trPr>
        <w:tc>
          <w:tcPr>
            <w:tcW w:w="13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D" w14:textId="77777777"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E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saskaņā ar valsts budžetu kārtējam gadam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5F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izmaiņas kārtējā gadā, salīdzinot ar valsts budžetu kārtējam gadam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0" w14:textId="77777777" w:rsidR="003A0CE8" w:rsidRPr="003B78CD" w:rsidRDefault="003A0CE8" w:rsidP="007A4E86">
            <w:pPr>
              <w:pStyle w:val="tvhtml"/>
              <w:spacing w:line="293" w:lineRule="atLeast"/>
              <w:jc w:val="center"/>
            </w:pPr>
            <w:r w:rsidRPr="003B78CD">
              <w:t>izm</w:t>
            </w:r>
            <w:r w:rsidR="00DC5878">
              <w:t>aiņas, salīdzinot ar kārtējo 201</w:t>
            </w:r>
            <w:r w:rsidR="007A4E86">
              <w:t>7</w:t>
            </w:r>
            <w:r w:rsidR="00DC5878">
              <w:t>.</w:t>
            </w:r>
            <w:r w:rsidRPr="003B78CD">
              <w:t xml:space="preserve"> gadu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1" w14:textId="77777777" w:rsidR="003A0CE8" w:rsidRPr="003B78CD" w:rsidRDefault="003A0CE8">
            <w:pPr>
              <w:pStyle w:val="tvhtml"/>
              <w:spacing w:line="293" w:lineRule="atLeast"/>
              <w:jc w:val="center"/>
            </w:pPr>
            <w:r w:rsidRPr="003B78CD">
              <w:t>izm</w:t>
            </w:r>
            <w:r w:rsidR="00DC5878">
              <w:t>aiņas, salīdzinot ar kārtējo 201</w:t>
            </w:r>
            <w:r w:rsidR="007A4E86">
              <w:t>7</w:t>
            </w:r>
            <w:r w:rsidR="00DC5878">
              <w:t>.</w:t>
            </w:r>
            <w:r w:rsidRPr="003B78CD">
              <w:t xml:space="preserve"> gadu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2" w14:textId="77777777" w:rsidR="003A0CE8" w:rsidRPr="003B78CD" w:rsidRDefault="003A0CE8">
            <w:pPr>
              <w:pStyle w:val="tvhtml"/>
              <w:spacing w:line="293" w:lineRule="atLeast"/>
              <w:jc w:val="center"/>
            </w:pPr>
            <w:r w:rsidRPr="003B78CD">
              <w:t xml:space="preserve">izmaiņas, </w:t>
            </w:r>
            <w:r w:rsidR="00DC5878">
              <w:t>salīdzinot ar kārtējo 201</w:t>
            </w:r>
            <w:r w:rsidR="007A4E86">
              <w:t>7</w:t>
            </w:r>
            <w:r w:rsidR="00DC5878">
              <w:t>.</w:t>
            </w:r>
            <w:r w:rsidRPr="003B78CD">
              <w:t xml:space="preserve"> gadu</w:t>
            </w:r>
          </w:p>
        </w:tc>
      </w:tr>
      <w:tr w:rsidR="003A0CE8" w:rsidRPr="003B78CD" w14:paraId="35BE2D6A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4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1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5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2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6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3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7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4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8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5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69" w14:textId="77777777"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6</w:t>
            </w:r>
          </w:p>
        </w:tc>
      </w:tr>
      <w:tr w:rsidR="006D6041" w:rsidRPr="003B78CD" w14:paraId="35BE2D71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6B" w14:textId="77777777" w:rsidR="006D6041" w:rsidRPr="003B78CD" w:rsidRDefault="006D6041" w:rsidP="006D6041">
            <w:r w:rsidRPr="003B78CD">
              <w:t>1. Budžeta ieņēmumi: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6C" w14:textId="77777777" w:rsidR="006D6041" w:rsidRPr="00DE73E2" w:rsidRDefault="007723F2" w:rsidP="006D6041">
            <w:pPr>
              <w:jc w:val="center"/>
            </w:pPr>
            <w:r w:rsidRPr="00DE73E2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6D" w14:textId="77777777" w:rsidR="006D6041" w:rsidRPr="00A46AD8" w:rsidRDefault="00740F1D" w:rsidP="006D6041">
            <w:pPr>
              <w:jc w:val="center"/>
            </w:pPr>
            <w:r>
              <w:t>130 899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6E" w14:textId="77777777" w:rsidR="006D6041" w:rsidRPr="00361BE9" w:rsidRDefault="00740F1D" w:rsidP="006D6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6F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0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</w:tr>
      <w:tr w:rsidR="006D6041" w:rsidRPr="003B78CD" w14:paraId="35BE2D78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72" w14:textId="77777777" w:rsidR="006D6041" w:rsidRPr="003B78CD" w:rsidRDefault="006D6041" w:rsidP="006D6041">
            <w:r w:rsidRPr="003B78CD">
              <w:t>1.1. valsts pamatbudžets, tai skaitā ieņēmumi no maksas pakalpojumiem un citi pašu ieņēmumi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3" w14:textId="77777777" w:rsidR="006D6041" w:rsidRPr="00DE73E2" w:rsidRDefault="007723F2" w:rsidP="006D6041">
            <w:pPr>
              <w:jc w:val="center"/>
            </w:pPr>
            <w:r w:rsidRPr="00DE73E2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4" w14:textId="77777777" w:rsidR="006D6041" w:rsidRPr="00A46AD8" w:rsidRDefault="00740F1D" w:rsidP="006D6041">
            <w:pPr>
              <w:jc w:val="center"/>
            </w:pPr>
            <w:r>
              <w:t>130 899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5" w14:textId="77777777" w:rsidR="006D6041" w:rsidRPr="00361BE9" w:rsidRDefault="00740F1D" w:rsidP="006D6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6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7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</w:tr>
      <w:tr w:rsidR="006D6041" w:rsidRPr="003B78CD" w14:paraId="35BE2D7F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79" w14:textId="77777777" w:rsidR="006D6041" w:rsidRPr="003B78CD" w:rsidRDefault="006D6041" w:rsidP="006D6041">
            <w:r w:rsidRPr="003B78CD">
              <w:lastRenderedPageBreak/>
              <w:t>1.2. valsts speciālais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A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B" w14:textId="77777777" w:rsidR="006D6041" w:rsidRPr="00A46AD8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C" w14:textId="77777777" w:rsidR="006D6041" w:rsidRPr="00361BE9" w:rsidRDefault="00383941" w:rsidP="00F205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D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7E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</w:tr>
      <w:tr w:rsidR="006D6041" w:rsidRPr="003B78CD" w14:paraId="35BE2D86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80" w14:textId="77777777" w:rsidR="006D6041" w:rsidRPr="003B78CD" w:rsidRDefault="006D6041" w:rsidP="006D6041">
            <w:r w:rsidRPr="003B78CD">
              <w:t>1.3. pašvaldību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1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2" w14:textId="77777777" w:rsidR="006D6041" w:rsidRPr="00A46AD8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3" w14:textId="77777777" w:rsidR="006D6041" w:rsidRPr="00361BE9" w:rsidRDefault="00383941" w:rsidP="00F205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4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5" w14:textId="77777777" w:rsidR="006D6041" w:rsidRPr="00DE73E2" w:rsidRDefault="00383941" w:rsidP="00F20529">
            <w:pPr>
              <w:jc w:val="center"/>
            </w:pPr>
            <w:r>
              <w:t>0</w:t>
            </w:r>
          </w:p>
        </w:tc>
      </w:tr>
      <w:tr w:rsidR="006D6041" w:rsidRPr="003B78CD" w14:paraId="35BE2D8D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87" w14:textId="77777777" w:rsidR="006D6041" w:rsidRPr="003B78CD" w:rsidRDefault="006D6041" w:rsidP="006D6041">
            <w:r w:rsidRPr="003B78CD">
              <w:t>2. Budžeta izdevumi: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8" w14:textId="77777777" w:rsidR="006D6041" w:rsidRPr="00DE73E2" w:rsidRDefault="007723F2" w:rsidP="006D6041">
            <w:pPr>
              <w:jc w:val="center"/>
            </w:pPr>
            <w:r w:rsidRPr="00DE73E2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BE2D89" w14:textId="77777777" w:rsidR="006D6041" w:rsidRPr="00A46AD8" w:rsidRDefault="00740F1D" w:rsidP="006D6041">
            <w:pPr>
              <w:jc w:val="center"/>
            </w:pPr>
            <w:r>
              <w:t>130 899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A" w14:textId="77777777" w:rsidR="006D6041" w:rsidRPr="00361BE9" w:rsidRDefault="00740F1D" w:rsidP="006D6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B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C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</w:tr>
      <w:tr w:rsidR="006D6041" w:rsidRPr="003B78CD" w14:paraId="35BE2D94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8E" w14:textId="77777777" w:rsidR="006D6041" w:rsidRPr="003B78CD" w:rsidRDefault="006D6041" w:rsidP="006D6041">
            <w:r w:rsidRPr="003B78CD">
              <w:t>2.1. valsts pamatbudžets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8F" w14:textId="77777777" w:rsidR="006D6041" w:rsidRPr="00DE73E2" w:rsidRDefault="007723F2" w:rsidP="006D6041">
            <w:pPr>
              <w:jc w:val="center"/>
            </w:pPr>
            <w:r w:rsidRPr="00DE73E2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0" w14:textId="77777777" w:rsidR="006D6041" w:rsidRPr="00A46AD8" w:rsidRDefault="00740F1D" w:rsidP="006D6041">
            <w:pPr>
              <w:jc w:val="center"/>
            </w:pPr>
            <w:r>
              <w:t>130 899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1" w14:textId="77777777" w:rsidR="006D6041" w:rsidRPr="00361BE9" w:rsidRDefault="00740F1D" w:rsidP="006D6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2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3" w14:textId="77777777" w:rsidR="006D6041" w:rsidRPr="00DE73E2" w:rsidRDefault="00C570B8" w:rsidP="006D6041">
            <w:pPr>
              <w:jc w:val="center"/>
            </w:pPr>
            <w:r w:rsidRPr="00DE73E2">
              <w:t>0</w:t>
            </w:r>
          </w:p>
        </w:tc>
      </w:tr>
      <w:tr w:rsidR="003A0CE8" w:rsidRPr="003B78CD" w14:paraId="35BE2D9B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95" w14:textId="77777777" w:rsidR="003A0CE8" w:rsidRPr="003B78CD" w:rsidRDefault="003A0CE8" w:rsidP="00306098">
            <w:r w:rsidRPr="003B78CD">
              <w:t>2.2. valsts speciālais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6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7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8" w14:textId="77777777" w:rsidR="003A0CE8" w:rsidRPr="0086093E" w:rsidRDefault="00383941" w:rsidP="0086093E">
            <w:pPr>
              <w:jc w:val="center"/>
            </w:pPr>
            <w:r w:rsidRPr="0086093E"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9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A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A2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9C" w14:textId="77777777" w:rsidR="003A0CE8" w:rsidRPr="003B78CD" w:rsidRDefault="003A0CE8" w:rsidP="00306098">
            <w:r w:rsidRPr="003B78CD">
              <w:t>2.3. pašvaldību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D" w14:textId="77777777" w:rsidR="003A0CE8" w:rsidRPr="003B78CD" w:rsidRDefault="00C22535" w:rsidP="0086093E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E" w14:textId="77777777" w:rsidR="003A0CE8" w:rsidRPr="003B78CD" w:rsidRDefault="00C22535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9F" w14:textId="77777777" w:rsidR="003A0CE8" w:rsidRPr="003B78CD" w:rsidRDefault="00C22535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0" w14:textId="77777777" w:rsidR="003A0CE8" w:rsidRPr="003B78CD" w:rsidRDefault="00C22535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1" w14:textId="77777777" w:rsidR="003A0CE8" w:rsidRPr="003B78CD" w:rsidRDefault="00C22535" w:rsidP="0086093E">
            <w:pPr>
              <w:jc w:val="center"/>
            </w:pPr>
            <w:r>
              <w:t>0</w:t>
            </w:r>
          </w:p>
        </w:tc>
      </w:tr>
      <w:tr w:rsidR="005922A2" w:rsidRPr="003B78CD" w14:paraId="35BE2DA9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A3" w14:textId="77777777" w:rsidR="005922A2" w:rsidRPr="003B78CD" w:rsidRDefault="005922A2" w:rsidP="00306098">
            <w:r w:rsidRPr="003B78CD">
              <w:t>3. Finansiālā ietekme: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4" w14:textId="77777777" w:rsidR="005922A2" w:rsidRPr="003B78CD" w:rsidRDefault="005922A2" w:rsidP="00730138">
            <w:pPr>
              <w:jc w:val="center"/>
            </w:pPr>
            <w:r w:rsidRPr="003B78CD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5" w14:textId="77777777" w:rsidR="005922A2" w:rsidRPr="003B78CD" w:rsidRDefault="00740F1D" w:rsidP="00740F1D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6" w14:textId="77777777" w:rsidR="005922A2" w:rsidRPr="003B78CD" w:rsidRDefault="005922A2" w:rsidP="00B153BB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7" w14:textId="77777777" w:rsidR="005922A2" w:rsidRPr="003B78CD" w:rsidRDefault="005922A2" w:rsidP="004A6460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8" w14:textId="77777777" w:rsidR="005922A2" w:rsidRPr="003B78CD" w:rsidRDefault="005922A2" w:rsidP="004A6460">
            <w:pPr>
              <w:jc w:val="center"/>
            </w:pPr>
            <w:r>
              <w:t>0</w:t>
            </w:r>
          </w:p>
        </w:tc>
      </w:tr>
      <w:tr w:rsidR="005922A2" w:rsidRPr="003B78CD" w14:paraId="35BE2DB0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AA" w14:textId="77777777" w:rsidR="005922A2" w:rsidRPr="003B78CD" w:rsidRDefault="005922A2" w:rsidP="00306098">
            <w:r w:rsidRPr="003B78CD">
              <w:t>3.1. valsts pamatbudžets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B" w14:textId="77777777" w:rsidR="005922A2" w:rsidRPr="003B78CD" w:rsidRDefault="005922A2" w:rsidP="00730138">
            <w:pPr>
              <w:jc w:val="center"/>
            </w:pPr>
            <w:r w:rsidRPr="003B78CD"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C" w14:textId="77777777" w:rsidR="005922A2" w:rsidRPr="003B78CD" w:rsidRDefault="00740F1D" w:rsidP="00740F1D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D" w14:textId="77777777" w:rsidR="005922A2" w:rsidRPr="003B78CD" w:rsidRDefault="005922A2" w:rsidP="00B153BB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E" w14:textId="77777777" w:rsidR="005922A2" w:rsidRPr="003B78CD" w:rsidRDefault="005922A2" w:rsidP="004A6460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AF" w14:textId="77777777" w:rsidR="005922A2" w:rsidRPr="003B78CD" w:rsidRDefault="005922A2" w:rsidP="004A6460">
            <w:pPr>
              <w:jc w:val="center"/>
            </w:pPr>
            <w:r>
              <w:t>0</w:t>
            </w:r>
          </w:p>
        </w:tc>
      </w:tr>
      <w:tr w:rsidR="003A0CE8" w:rsidRPr="003B78CD" w14:paraId="35BE2DB7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B1" w14:textId="77777777" w:rsidR="003A0CE8" w:rsidRPr="003B78CD" w:rsidRDefault="003A0CE8" w:rsidP="00306098">
            <w:r w:rsidRPr="003B78CD">
              <w:t>3.2. speciālais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2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3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4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5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6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BE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B8" w14:textId="77777777" w:rsidR="003A0CE8" w:rsidRPr="003B78CD" w:rsidRDefault="003A0CE8" w:rsidP="00306098">
            <w:r w:rsidRPr="003B78CD">
              <w:t>3.3. pašvaldību budžets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9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A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B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C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BD" w14:textId="77777777" w:rsidR="003A0CE8" w:rsidRPr="003B78CD" w:rsidRDefault="00383941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C5" w14:textId="77777777" w:rsidTr="00365C7E">
        <w:trPr>
          <w:jc w:val="center"/>
        </w:trPr>
        <w:tc>
          <w:tcPr>
            <w:tcW w:w="135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BF" w14:textId="77777777" w:rsidR="003A0CE8" w:rsidRPr="003B78CD" w:rsidRDefault="003A0CE8" w:rsidP="00306098">
            <w:r w:rsidRPr="003B78CD">
              <w:t>4. Finanšu līdzekļi papildu izdevumu finansēšanai (kompensējošu izdevumu samazinājumu norāda ar "+" zīmi)</w:t>
            </w:r>
          </w:p>
        </w:tc>
        <w:tc>
          <w:tcPr>
            <w:tcW w:w="6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C0" w14:textId="77777777" w:rsidR="003A0CE8" w:rsidRPr="003B78CD" w:rsidRDefault="00987448" w:rsidP="00306098">
            <w:pPr>
              <w:pStyle w:val="tvhtml"/>
              <w:spacing w:line="293" w:lineRule="atLeast"/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1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2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3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4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CC" w14:textId="77777777" w:rsidTr="00365C7E">
        <w:trPr>
          <w:jc w:val="center"/>
        </w:trPr>
        <w:tc>
          <w:tcPr>
            <w:tcW w:w="13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C6" w14:textId="77777777" w:rsidR="003A0CE8" w:rsidRPr="003B78CD" w:rsidRDefault="003A0CE8" w:rsidP="00306098"/>
        </w:tc>
        <w:tc>
          <w:tcPr>
            <w:tcW w:w="6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C7" w14:textId="77777777" w:rsidR="003A0CE8" w:rsidRPr="003B78CD" w:rsidRDefault="003A0CE8" w:rsidP="00306098"/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8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9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A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B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D3" w14:textId="77777777" w:rsidTr="00365C7E">
        <w:trPr>
          <w:jc w:val="center"/>
        </w:trPr>
        <w:tc>
          <w:tcPr>
            <w:tcW w:w="135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CD" w14:textId="77777777" w:rsidR="003A0CE8" w:rsidRPr="003B78CD" w:rsidRDefault="003A0CE8" w:rsidP="00306098"/>
        </w:tc>
        <w:tc>
          <w:tcPr>
            <w:tcW w:w="6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CE" w14:textId="77777777" w:rsidR="003A0CE8" w:rsidRPr="003B78CD" w:rsidRDefault="003A0CE8" w:rsidP="00306098"/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CF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0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1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2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DA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D4" w14:textId="77777777" w:rsidR="003A0CE8" w:rsidRPr="003B78CD" w:rsidRDefault="003A0CE8" w:rsidP="00306098">
            <w:r w:rsidRPr="003B78CD">
              <w:t>5. Precizēta finansiālā ietekme:</w:t>
            </w:r>
          </w:p>
        </w:tc>
        <w:tc>
          <w:tcPr>
            <w:tcW w:w="6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D5" w14:textId="77777777" w:rsidR="003A0CE8" w:rsidRPr="003B78CD" w:rsidRDefault="00987448" w:rsidP="00306098">
            <w:pPr>
              <w:pStyle w:val="tvhtml"/>
              <w:spacing w:line="293" w:lineRule="atLeast"/>
              <w:jc w:val="center"/>
            </w:pPr>
            <w:r>
              <w:t>0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6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7" w14:textId="77777777" w:rsidR="003A0CE8" w:rsidRPr="003B78CD" w:rsidRDefault="00987448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8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9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E1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DB" w14:textId="77777777" w:rsidR="003A0CE8" w:rsidRPr="003B78CD" w:rsidRDefault="003A0CE8" w:rsidP="00306098">
            <w:r w:rsidRPr="003B78CD">
              <w:t>5.1. valsts pamatbudžets</w:t>
            </w:r>
          </w:p>
        </w:tc>
        <w:tc>
          <w:tcPr>
            <w:tcW w:w="6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DC" w14:textId="77777777" w:rsidR="003A0CE8" w:rsidRPr="003B78CD" w:rsidRDefault="003A0CE8" w:rsidP="00306098"/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D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E" w14:textId="77777777" w:rsidR="003A0CE8" w:rsidRPr="003B78CD" w:rsidRDefault="00987448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DF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0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E8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E2" w14:textId="77777777" w:rsidR="003A0CE8" w:rsidRPr="003B78CD" w:rsidRDefault="003A0CE8" w:rsidP="00306098">
            <w:r w:rsidRPr="003B78CD">
              <w:t>5.2. speciālais budžets</w:t>
            </w:r>
          </w:p>
        </w:tc>
        <w:tc>
          <w:tcPr>
            <w:tcW w:w="6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E3" w14:textId="77777777" w:rsidR="003A0CE8" w:rsidRPr="003B78CD" w:rsidRDefault="003A0CE8" w:rsidP="00306098"/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4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5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6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7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3B78CD" w14:paraId="35BE2DEF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E9" w14:textId="77777777" w:rsidR="003A0CE8" w:rsidRPr="003B78CD" w:rsidRDefault="003A0CE8" w:rsidP="00306098">
            <w:r w:rsidRPr="003B78CD">
              <w:t>5.3. pašvaldību budžets</w:t>
            </w:r>
          </w:p>
        </w:tc>
        <w:tc>
          <w:tcPr>
            <w:tcW w:w="66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EA" w14:textId="77777777" w:rsidR="003A0CE8" w:rsidRPr="003B78CD" w:rsidRDefault="003A0CE8" w:rsidP="00306098"/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B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C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D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EE" w14:textId="77777777" w:rsidR="003A0CE8" w:rsidRPr="003B78CD" w:rsidRDefault="00987448" w:rsidP="0086093E">
            <w:pPr>
              <w:jc w:val="center"/>
            </w:pPr>
            <w:r>
              <w:t>0</w:t>
            </w:r>
          </w:p>
        </w:tc>
      </w:tr>
      <w:tr w:rsidR="003A0CE8" w:rsidRPr="002B04C6" w14:paraId="35BE2DF2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F0" w14:textId="77777777" w:rsidR="003A0CE8" w:rsidRPr="003B78CD" w:rsidRDefault="003A0CE8" w:rsidP="00306098">
            <w:r w:rsidRPr="003B78CD"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643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BE2DF1" w14:textId="77777777" w:rsidR="003A0CE8" w:rsidRPr="003B78CD" w:rsidRDefault="003A0CE8" w:rsidP="005404FB">
            <w:pPr>
              <w:jc w:val="both"/>
            </w:pPr>
          </w:p>
        </w:tc>
      </w:tr>
      <w:tr w:rsidR="003A0CE8" w:rsidRPr="003B78CD" w14:paraId="35BE2DF5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F3" w14:textId="77777777" w:rsidR="003A0CE8" w:rsidRPr="003B78CD" w:rsidRDefault="003A0CE8" w:rsidP="00306098">
            <w:r w:rsidRPr="003B78CD">
              <w:t>6.1. detalizēts ieņēmumu aprēķins</w:t>
            </w:r>
          </w:p>
        </w:tc>
        <w:tc>
          <w:tcPr>
            <w:tcW w:w="3643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F4" w14:textId="77777777" w:rsidR="003A0CE8" w:rsidRPr="003B78CD" w:rsidRDefault="003A0CE8" w:rsidP="00306098"/>
        </w:tc>
      </w:tr>
      <w:tr w:rsidR="003A0CE8" w:rsidRPr="003B78CD" w14:paraId="35BE2DF8" w14:textId="77777777" w:rsidTr="00365C7E">
        <w:trPr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F6" w14:textId="77777777" w:rsidR="003A0CE8" w:rsidRPr="003B78CD" w:rsidRDefault="003A0CE8" w:rsidP="00306098">
            <w:r w:rsidRPr="003B78CD">
              <w:t>6.2. detalizēts izdevumu aprēķins</w:t>
            </w:r>
          </w:p>
        </w:tc>
        <w:tc>
          <w:tcPr>
            <w:tcW w:w="3643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DF7" w14:textId="77777777" w:rsidR="003A0CE8" w:rsidRPr="003B78CD" w:rsidRDefault="003A0CE8" w:rsidP="00306098"/>
        </w:tc>
      </w:tr>
      <w:tr w:rsidR="003A0CE8" w:rsidRPr="00623FFE" w14:paraId="35BE2E02" w14:textId="77777777" w:rsidTr="00365C7E">
        <w:trPr>
          <w:trHeight w:val="555"/>
          <w:jc w:val="center"/>
        </w:trPr>
        <w:tc>
          <w:tcPr>
            <w:tcW w:w="13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DF9" w14:textId="77777777" w:rsidR="003A0CE8" w:rsidRPr="003B78CD" w:rsidRDefault="003A0CE8" w:rsidP="00306098">
            <w:r w:rsidRPr="003B78CD">
              <w:t>7. Cita informācija</w:t>
            </w:r>
          </w:p>
        </w:tc>
        <w:tc>
          <w:tcPr>
            <w:tcW w:w="364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DFA" w14:textId="77777777" w:rsidR="0086093E" w:rsidRPr="009170F0" w:rsidRDefault="0086093E" w:rsidP="0086093E">
            <w:pPr>
              <w:pStyle w:val="tvhtml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365C7E">
              <w:rPr>
                <w:color w:val="000000"/>
              </w:rPr>
              <w:t>Katrai dalībvalstij ir noteikt</w:t>
            </w:r>
            <w:r>
              <w:rPr>
                <w:color w:val="000000"/>
              </w:rPr>
              <w:t>s</w:t>
            </w:r>
            <w:r w:rsidRPr="00365C7E">
              <w:rPr>
                <w:color w:val="000000"/>
              </w:rPr>
              <w:t xml:space="preserve"> daudzum</w:t>
            </w:r>
            <w:r>
              <w:rPr>
                <w:color w:val="000000"/>
              </w:rPr>
              <w:t>s</w:t>
            </w:r>
            <w:r w:rsidRPr="00365C7E">
              <w:rPr>
                <w:color w:val="000000"/>
              </w:rPr>
              <w:t>, par kur</w:t>
            </w:r>
            <w:r>
              <w:rPr>
                <w:color w:val="000000"/>
              </w:rPr>
              <w:t>u</w:t>
            </w:r>
            <w:r w:rsidRPr="00365C7E">
              <w:rPr>
                <w:color w:val="000000"/>
              </w:rPr>
              <w:t xml:space="preserve"> var pretendēt uz ārkārtas atbalstu (Latvij</w:t>
            </w:r>
            <w:r>
              <w:rPr>
                <w:color w:val="000000"/>
              </w:rPr>
              <w:t>ā</w:t>
            </w:r>
            <w:r w:rsidRPr="00365C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365C7E">
              <w:rPr>
                <w:color w:val="000000"/>
              </w:rPr>
              <w:t xml:space="preserve"> 3600 tonn</w:t>
            </w:r>
            <w:r>
              <w:rPr>
                <w:color w:val="000000"/>
              </w:rPr>
              <w:t>u</w:t>
            </w:r>
            <w:r w:rsidRPr="00365C7E">
              <w:rPr>
                <w:color w:val="000000"/>
              </w:rPr>
              <w:t>). Regula Nr. 2016/921 paredz, ka ES finansiālā palīdzība attiecībā uz produktiem, kas izņemti no tirgus bezmaksas izplatīšanai, saskaņ</w:t>
            </w:r>
            <w:r>
              <w:rPr>
                <w:color w:val="000000"/>
              </w:rPr>
              <w:t>ā</w:t>
            </w:r>
            <w:r w:rsidRPr="00365C7E">
              <w:rPr>
                <w:color w:val="000000"/>
              </w:rPr>
              <w:t xml:space="preserve"> ar Regulas Nr.</w:t>
            </w:r>
            <w:r>
              <w:rPr>
                <w:color w:val="000000"/>
              </w:rPr>
              <w:t> </w:t>
            </w:r>
            <w:r w:rsidRPr="00365C7E">
              <w:rPr>
                <w:color w:val="000000"/>
              </w:rPr>
              <w:t>2016/921 II</w:t>
            </w:r>
            <w:r>
              <w:rPr>
                <w:color w:val="000000"/>
              </w:rPr>
              <w:t> </w:t>
            </w:r>
            <w:r w:rsidRPr="00365C7E">
              <w:rPr>
                <w:color w:val="000000"/>
              </w:rPr>
              <w:t>pielikumu tiks izmaksāta 100% ap</w:t>
            </w:r>
            <w:r>
              <w:rPr>
                <w:color w:val="000000"/>
              </w:rPr>
              <w:t>mērā</w:t>
            </w:r>
            <w:r w:rsidRPr="00365C7E">
              <w:rPr>
                <w:color w:val="000000"/>
              </w:rPr>
              <w:t>. ES finansiālā palīdzība par priekšlai</w:t>
            </w:r>
            <w:r>
              <w:rPr>
                <w:color w:val="000000"/>
              </w:rPr>
              <w:t>kus</w:t>
            </w:r>
            <w:r w:rsidRPr="00365C7E">
              <w:rPr>
                <w:color w:val="000000"/>
              </w:rPr>
              <w:t xml:space="preserve"> novāktiem vai nenovāktiem produktiem ražotāju organizāciju biedriem sasniegs 75% no likmēm izplatīšanai </w:t>
            </w:r>
            <w:r>
              <w:rPr>
                <w:color w:val="000000"/>
              </w:rPr>
              <w:t xml:space="preserve">uz </w:t>
            </w:r>
            <w:r w:rsidRPr="00365C7E">
              <w:rPr>
                <w:color w:val="000000"/>
              </w:rPr>
              <w:t xml:space="preserve">citiem galamērķiem (pārējie 25% ir jāsedz ražotāju organizācijai), savukārt ražotājiem, kas nav ražotāju organizācijas biedri, 50% no likmēm izplatīšanai </w:t>
            </w:r>
            <w:r>
              <w:rPr>
                <w:color w:val="000000"/>
              </w:rPr>
              <w:t xml:space="preserve">uz </w:t>
            </w:r>
            <w:r w:rsidRPr="00365C7E">
              <w:rPr>
                <w:color w:val="000000"/>
              </w:rPr>
              <w:t>citiem galamērķiem. Valsts finansējums šajā gadījumā nav jāparedz</w:t>
            </w:r>
            <w:r w:rsidRPr="009170F0">
              <w:rPr>
                <w:color w:val="000000"/>
              </w:rPr>
              <w:t>.</w:t>
            </w:r>
          </w:p>
          <w:p w14:paraId="35BE2DFB" w14:textId="77777777" w:rsidR="00730138" w:rsidRPr="009170F0" w:rsidRDefault="00730138" w:rsidP="00556829">
            <w:pPr>
              <w:pStyle w:val="tvhtml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  <w:p w14:paraId="35BE2DFC" w14:textId="77777777" w:rsidR="00C570B8" w:rsidRDefault="0086093E" w:rsidP="00556829">
            <w:pPr>
              <w:pStyle w:val="tvhtml"/>
              <w:spacing w:before="0" w:beforeAutospacing="0" w:after="0" w:afterAutospacing="0" w:line="0" w:lineRule="atLeast"/>
              <w:jc w:val="both"/>
            </w:pPr>
            <w:r>
              <w:lastRenderedPageBreak/>
              <w:t>Lauku atbalsta dienests maksājumus izmaksās tikai pēc tam, kad būs saņemti visi iesniegumi. Patlaban</w:t>
            </w:r>
            <w:r w:rsidRPr="00DE73E2">
              <w:t xml:space="preserve"> ir grūti p</w:t>
            </w:r>
            <w:r>
              <w:t>rognozēt</w:t>
            </w:r>
            <w:r w:rsidRPr="00DE73E2">
              <w:t xml:space="preserve"> finansējuma ap</w:t>
            </w:r>
            <w:r>
              <w:t xml:space="preserve">mēru, jo tas būs atkarīgs no iesniegumu skaita </w:t>
            </w:r>
            <w:r w:rsidRPr="00DE73E2">
              <w:t>un</w:t>
            </w:r>
            <w:r>
              <w:t xml:space="preserve"> </w:t>
            </w:r>
            <w:r w:rsidRPr="00DE73E2">
              <w:t>no tirgus situācijas ārkārtas atbalsta periodā, kas ir līdz 2017. gada 30. jūnijam vai līdz dienai, kad sasniegt</w:t>
            </w:r>
            <w:r>
              <w:t>s</w:t>
            </w:r>
            <w:r w:rsidRPr="00DE73E2">
              <w:t xml:space="preserve"> katrai dalībvalstij</w:t>
            </w:r>
            <w:r w:rsidRPr="000F4EB2">
              <w:rPr>
                <w:b/>
              </w:rPr>
              <w:t xml:space="preserve"> </w:t>
            </w:r>
            <w:r w:rsidRPr="00DE73E2">
              <w:t>(Latvija</w:t>
            </w:r>
            <w:r>
              <w:t xml:space="preserve">i – </w:t>
            </w:r>
            <w:r w:rsidRPr="00DE73E2">
              <w:t>3600 tonnas) noteikt</w:t>
            </w:r>
            <w:r>
              <w:t>ais</w:t>
            </w:r>
            <w:r w:rsidRPr="00DE73E2">
              <w:t xml:space="preserve"> </w:t>
            </w:r>
            <w:proofErr w:type="spellStart"/>
            <w:r w:rsidRPr="00DE73E2">
              <w:t>atbalsttiesīg</w:t>
            </w:r>
            <w:r>
              <w:t>ais</w:t>
            </w:r>
            <w:proofErr w:type="spellEnd"/>
            <w:r w:rsidRPr="00DE73E2">
              <w:t xml:space="preserve"> produktu daudzum</w:t>
            </w:r>
            <w:r>
              <w:t>s</w:t>
            </w:r>
            <w:r w:rsidRPr="00DE73E2">
              <w:t>.</w:t>
            </w:r>
          </w:p>
          <w:p w14:paraId="35BE2DFD" w14:textId="77777777" w:rsidR="0086093E" w:rsidRPr="002E1521" w:rsidRDefault="0086093E" w:rsidP="008609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1521">
              <w:rPr>
                <w:rFonts w:ascii="Times New Roman" w:hAnsi="Times New Roman" w:cs="Times New Roman"/>
                <w:color w:val="auto"/>
              </w:rPr>
              <w:t>Pēc LAD informācijas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E1521">
              <w:rPr>
                <w:rFonts w:ascii="Times New Roman" w:hAnsi="Times New Roman" w:cs="Times New Roman"/>
                <w:color w:val="auto"/>
              </w:rPr>
              <w:t xml:space="preserve"> līdz 2017. gada 1. maijam uz ES ārkārtas atbalstu ir pieteiktas 2269 tonnu dārzeņu </w:t>
            </w:r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2E1521">
              <w:rPr>
                <w:rFonts w:ascii="Times New Roman" w:hAnsi="Times New Roman" w:cs="Times New Roman"/>
                <w:color w:val="auto"/>
              </w:rPr>
              <w:t>ar kopējo summu 130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2E1521">
              <w:rPr>
                <w:rFonts w:ascii="Times New Roman" w:hAnsi="Times New Roman" w:cs="Times New Roman"/>
                <w:color w:val="auto"/>
              </w:rPr>
              <w:t>899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proofErr w:type="spellStart"/>
            <w:r w:rsidRPr="002E1521">
              <w:rPr>
                <w:rFonts w:ascii="Times New Roman" w:hAnsi="Times New Roman" w:cs="Times New Roman"/>
                <w:i/>
                <w:color w:val="auto"/>
              </w:rPr>
              <w:t>euro</w:t>
            </w:r>
            <w:proofErr w:type="spellEnd"/>
            <w:r w:rsidRPr="002E15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5BE2DFE" w14:textId="77777777" w:rsidR="00425BCD" w:rsidRDefault="00425BCD" w:rsidP="007723F2">
            <w:pPr>
              <w:pStyle w:val="tvhtml"/>
              <w:spacing w:before="0" w:beforeAutospacing="0" w:after="0" w:afterAutospacing="0"/>
              <w:jc w:val="both"/>
            </w:pPr>
          </w:p>
          <w:p w14:paraId="35BE2DFF" w14:textId="77777777" w:rsidR="0086093E" w:rsidRPr="00DE73E2" w:rsidRDefault="0086093E" w:rsidP="0086093E">
            <w:pPr>
              <w:pStyle w:val="tvhtml"/>
              <w:spacing w:before="0" w:beforeAutospacing="0" w:after="0" w:afterAutospacing="0"/>
              <w:jc w:val="both"/>
            </w:pPr>
            <w:r w:rsidRPr="00DE73E2">
              <w:t>ES atbalsts 100% apmērā ārkārtas pasākumu īstenošanai ir vienreizējs atbalsts saskaņā ar Regulu Nr.</w:t>
            </w:r>
            <w:r>
              <w:t> </w:t>
            </w:r>
            <w:r w:rsidRPr="00DE73E2">
              <w:t>2016/921</w:t>
            </w:r>
            <w:r>
              <w:t>,</w:t>
            </w:r>
            <w:r w:rsidRPr="00DE73E2">
              <w:t xml:space="preserve"> un </w:t>
            </w:r>
            <w:r>
              <w:t xml:space="preserve">tas </w:t>
            </w:r>
            <w:r w:rsidRPr="00DE73E2">
              <w:t>nav saistīts ar Zemkopības ministrijas budžetā jau ieplānotajiem finanšu līdzekļiem augļu un dārzeņu ražotāju grupām un ražotāju organizācijām.</w:t>
            </w:r>
          </w:p>
          <w:p w14:paraId="35BE2E00" w14:textId="77777777" w:rsidR="0086093E" w:rsidRDefault="0086093E" w:rsidP="0086093E">
            <w:pPr>
              <w:pStyle w:val="tvhtml"/>
              <w:spacing w:before="0" w:beforeAutospacing="0" w:after="0" w:afterAutospacing="0"/>
              <w:jc w:val="both"/>
            </w:pPr>
            <w:r w:rsidRPr="00DE73E2">
              <w:t>M</w:t>
            </w:r>
            <w:r w:rsidRPr="00B740E2">
              <w:t xml:space="preserve">aksājumi tiks </w:t>
            </w:r>
            <w:r>
              <w:t>izmaksāti</w:t>
            </w:r>
            <w:r w:rsidRPr="00B740E2">
              <w:t xml:space="preserve"> no Zemkopības ministrijas budžeta apakšprogrammas 64.08.00. „Izdevumi Eiropas Lauksaimniecības garantiju fonda (ELGF) projektu un pasākumu īstenošanai </w:t>
            </w:r>
            <w:r>
              <w:t>(2014–2020)”.</w:t>
            </w:r>
          </w:p>
          <w:p w14:paraId="35BE2E01" w14:textId="77777777" w:rsidR="003A0CE8" w:rsidRPr="003B78CD" w:rsidRDefault="00730138" w:rsidP="0086093E">
            <w:pPr>
              <w:pStyle w:val="tvhtml"/>
              <w:spacing w:before="0" w:beforeAutospacing="0" w:after="0" w:afterAutospacing="0"/>
              <w:jc w:val="both"/>
            </w:pPr>
            <w:r w:rsidRPr="003476BA">
              <w:t>Nepieciešamo finansējumu</w:t>
            </w:r>
            <w:r w:rsidR="006D6041" w:rsidRPr="003476BA">
              <w:t xml:space="preserve"> </w:t>
            </w:r>
            <w:r w:rsidR="00B263F2">
              <w:rPr>
                <w:bCs/>
              </w:rPr>
              <w:t>noteikumu projekta īstenošanai</w:t>
            </w:r>
            <w:r w:rsidR="006D6041">
              <w:rPr>
                <w:bCs/>
              </w:rPr>
              <w:t xml:space="preserve"> </w:t>
            </w:r>
            <w:r w:rsidRPr="00B740E2">
              <w:rPr>
                <w:bCs/>
              </w:rPr>
              <w:t>Zemkopības ministrija normatīvajos aktos noteiktajā kārtībā pieprasīs no valsts pamatbudžeta programmas 80.00.00 „Nesadalītais finansējums Eiropas Savienības politiku instrumentu un pārējās ārvalstu finanšu palīdzības līdzfinansēto projektu un pasākumu īstenošanai”.</w:t>
            </w:r>
          </w:p>
        </w:tc>
      </w:tr>
    </w:tbl>
    <w:p w14:paraId="35BE2E03" w14:textId="77777777" w:rsidR="003A0CE8" w:rsidRDefault="003A0CE8" w:rsidP="009E31BC">
      <w:pPr>
        <w:rPr>
          <w:color w:val="000000"/>
        </w:rPr>
      </w:pPr>
    </w:p>
    <w:p w14:paraId="35BE2E04" w14:textId="77777777" w:rsidR="001A28EB" w:rsidRPr="003B78CD" w:rsidRDefault="001A28EB" w:rsidP="001A28EB">
      <w:pPr>
        <w:pStyle w:val="tvhtml"/>
        <w:shd w:val="clear" w:color="auto" w:fill="FFFFFF"/>
        <w:spacing w:line="293" w:lineRule="atLeast"/>
        <w:ind w:firstLine="300"/>
        <w:rPr>
          <w:i/>
        </w:rPr>
      </w:pPr>
      <w:r w:rsidRPr="003B78CD">
        <w:rPr>
          <w:i/>
        </w:rPr>
        <w:t xml:space="preserve"> Anotācijas IV sadaļa </w:t>
      </w:r>
      <w:r w:rsidR="009D2F96">
        <w:rPr>
          <w:i/>
        </w:rPr>
        <w:t xml:space="preserve">un V sadaļas 2. tabula </w:t>
      </w:r>
      <w:r w:rsidRPr="003B78CD">
        <w:rPr>
          <w:i/>
        </w:rPr>
        <w:t xml:space="preserve">– </w:t>
      </w:r>
      <w:r w:rsidR="005A270A">
        <w:rPr>
          <w:i/>
        </w:rPr>
        <w:t>p</w:t>
      </w:r>
      <w:r w:rsidRPr="003B78CD">
        <w:rPr>
          <w:i/>
        </w:rPr>
        <w:t>rojekts šo jomu neskar.</w:t>
      </w: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726"/>
        <w:gridCol w:w="6186"/>
      </w:tblGrid>
      <w:tr w:rsidR="001A28EB" w:rsidRPr="002B04C6" w14:paraId="35BE2E06" w14:textId="77777777" w:rsidTr="00132DA0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BE2E05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28EB" w:rsidRPr="00F55060" w14:paraId="35BE2E0D" w14:textId="77777777" w:rsidTr="00132DA0"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07" w14:textId="77777777" w:rsidR="001A28EB" w:rsidRPr="003B78CD" w:rsidRDefault="001A28EB" w:rsidP="00306098">
            <w:r w:rsidRPr="003B78CD">
              <w:t>1.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08" w14:textId="77777777" w:rsidR="001A28EB" w:rsidRPr="003B78CD" w:rsidRDefault="001A28EB" w:rsidP="00306098">
            <w:r w:rsidRPr="003B78CD">
              <w:t>Saistības pret Eiropas Savienību</w:t>
            </w:r>
          </w:p>
        </w:tc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09" w14:textId="77777777" w:rsidR="00D120BD" w:rsidRDefault="00D120BD" w:rsidP="00306098">
            <w:pPr>
              <w:jc w:val="both"/>
            </w:pPr>
            <w:r>
              <w:t xml:space="preserve">Eiropas Parlamenta un Padomes </w:t>
            </w:r>
            <w:r w:rsidR="00046558">
              <w:t xml:space="preserve">2013. gada 17. decembra </w:t>
            </w:r>
            <w:r>
              <w:t xml:space="preserve">Regula </w:t>
            </w:r>
            <w:r w:rsidR="00046558">
              <w:t>(ES)</w:t>
            </w:r>
            <w:r w:rsidR="00746C12">
              <w:t xml:space="preserve"> Nr. 543/2011</w:t>
            </w:r>
            <w:r w:rsidR="00046558">
              <w:t>, ar ko izveido lauksaimniecības produktu tirgu kopīgu organizāciju un atceļ Padomes Regulas (EEK) Nr.922/72, (EEK) Nr. 234/79, (EK) Nr. 1037/2001 un (EK) Nr. 1234/2007</w:t>
            </w:r>
            <w:r w:rsidR="00746C12">
              <w:t xml:space="preserve"> </w:t>
            </w:r>
            <w:proofErr w:type="gramStart"/>
            <w:r w:rsidR="00746C12">
              <w:t>(</w:t>
            </w:r>
            <w:proofErr w:type="gramEnd"/>
            <w:r w:rsidR="00746C12">
              <w:t>Turpmāk – Regula Nr. 543/2011)</w:t>
            </w:r>
          </w:p>
          <w:p w14:paraId="35BE2E0A" w14:textId="77777777" w:rsidR="00D120BD" w:rsidRDefault="00D120BD" w:rsidP="00306098">
            <w:pPr>
              <w:jc w:val="both"/>
            </w:pPr>
          </w:p>
          <w:p w14:paraId="35BE2E0B" w14:textId="77777777" w:rsidR="001A28EB" w:rsidRDefault="00B56B81" w:rsidP="00306098">
            <w:pPr>
              <w:jc w:val="both"/>
            </w:pPr>
            <w:r w:rsidRPr="00B56B81">
              <w:t>Komisijas 2016. gada 10. jūnija Deleģēt</w:t>
            </w:r>
            <w:r>
              <w:t>ā</w:t>
            </w:r>
            <w:r w:rsidRPr="00B56B81">
              <w:t xml:space="preserve"> </w:t>
            </w:r>
            <w:r>
              <w:t>R</w:t>
            </w:r>
            <w:r w:rsidRPr="00B56B81">
              <w:t>egul</w:t>
            </w:r>
            <w:r>
              <w:t>a</w:t>
            </w:r>
            <w:r w:rsidRPr="00B56B81">
              <w:t xml:space="preserve"> (ES) Nr. 2016/921, ar ko nosaka turpmākus pagaidu ārkārtas atbalsta pasākumus konkrētu augļu un dārzeņu ražotājiem</w:t>
            </w:r>
            <w:r w:rsidR="00746C12">
              <w:t xml:space="preserve"> (turpmāk – Regula Nr. 2016/921)</w:t>
            </w:r>
          </w:p>
          <w:p w14:paraId="35BE2E0C" w14:textId="77777777" w:rsidR="001A28EB" w:rsidRPr="003B78CD" w:rsidRDefault="001A28EB" w:rsidP="00306098">
            <w:pPr>
              <w:jc w:val="both"/>
            </w:pPr>
          </w:p>
        </w:tc>
      </w:tr>
      <w:tr w:rsidR="001A28EB" w:rsidRPr="003B78CD" w14:paraId="35BE2E11" w14:textId="77777777" w:rsidTr="00132DA0"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0E" w14:textId="77777777" w:rsidR="001A28EB" w:rsidRPr="003B78CD" w:rsidRDefault="001A28EB" w:rsidP="00306098">
            <w:r w:rsidRPr="003B78CD">
              <w:t>2.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0F" w14:textId="77777777" w:rsidR="001A28EB" w:rsidRPr="003B78CD" w:rsidRDefault="001A28EB" w:rsidP="00306098">
            <w:r w:rsidRPr="003B78CD">
              <w:t>Citas starptautiskās saistības</w:t>
            </w:r>
          </w:p>
        </w:tc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10" w14:textId="77777777" w:rsidR="001A28EB" w:rsidRPr="003B78CD" w:rsidRDefault="001A28EB" w:rsidP="00306098">
            <w:pPr>
              <w:jc w:val="both"/>
            </w:pPr>
            <w:r w:rsidRPr="003B78CD">
              <w:t>Projekts šo jomu neskar.</w:t>
            </w:r>
          </w:p>
        </w:tc>
      </w:tr>
      <w:tr w:rsidR="001A28EB" w:rsidRPr="003B78CD" w14:paraId="35BE2E15" w14:textId="77777777" w:rsidTr="00132DA0"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12" w14:textId="77777777" w:rsidR="001A28EB" w:rsidRPr="003B78CD" w:rsidRDefault="001A28EB" w:rsidP="00306098">
            <w:r w:rsidRPr="003B78CD">
              <w:t>3.</w:t>
            </w:r>
          </w:p>
        </w:tc>
        <w:tc>
          <w:tcPr>
            <w:tcW w:w="1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13" w14:textId="77777777" w:rsidR="001A28EB" w:rsidRPr="003B78CD" w:rsidRDefault="001A28EB" w:rsidP="00306098">
            <w:r w:rsidRPr="003B78CD">
              <w:t>Cita informācija</w:t>
            </w:r>
          </w:p>
        </w:tc>
        <w:tc>
          <w:tcPr>
            <w:tcW w:w="3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E2E14" w14:textId="77777777"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14:paraId="35BE2E16" w14:textId="77777777" w:rsidR="00C318BB" w:rsidRPr="004C094F" w:rsidRDefault="00C318BB" w:rsidP="001B366C">
      <w:pPr>
        <w:jc w:val="both"/>
      </w:pPr>
    </w:p>
    <w:tbl>
      <w:tblPr>
        <w:tblW w:w="516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6"/>
        <w:gridCol w:w="2049"/>
        <w:gridCol w:w="2612"/>
        <w:gridCol w:w="2579"/>
      </w:tblGrid>
      <w:tr w:rsidR="001A28EB" w:rsidRPr="00623FFE" w14:paraId="35BE2E18" w14:textId="77777777" w:rsidTr="00132DA0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E17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1.tabula</w:t>
            </w:r>
            <w:r w:rsidRPr="003B78CD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1A28EB" w:rsidRPr="00001BD6" w14:paraId="35BE2E1C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19" w14:textId="77777777" w:rsidR="001A28EB" w:rsidRPr="003B78CD" w:rsidRDefault="001A28EB" w:rsidP="00306098">
            <w:r w:rsidRPr="003B78CD">
              <w:t>Attiecīgā ES tiesību akta datums, numurs un nosaukums</w:t>
            </w:r>
          </w:p>
        </w:tc>
        <w:tc>
          <w:tcPr>
            <w:tcW w:w="386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1A" w14:textId="77777777" w:rsidR="00046558" w:rsidRDefault="00746C12" w:rsidP="00B56B81">
            <w:r>
              <w:t>Regula Nr. 543/2011</w:t>
            </w:r>
          </w:p>
          <w:p w14:paraId="35BE2E1B" w14:textId="77777777" w:rsidR="001A28EB" w:rsidRPr="003B78CD" w:rsidRDefault="00746C12" w:rsidP="00B56B81">
            <w:r>
              <w:t>Regula Nr. 2016/921</w:t>
            </w:r>
          </w:p>
        </w:tc>
      </w:tr>
      <w:tr w:rsidR="001A28EB" w:rsidRPr="003B78CD" w14:paraId="35BE2E21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E1D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lastRenderedPageBreak/>
              <w:t>A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E1E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E1F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E2E20" w14:textId="77777777"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D</w:t>
            </w:r>
          </w:p>
        </w:tc>
      </w:tr>
      <w:tr w:rsidR="001A28EB" w:rsidRPr="00623FFE" w14:paraId="35BE2E2A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22" w14:textId="77777777" w:rsidR="001A28EB" w:rsidRPr="003B78CD" w:rsidRDefault="001A28EB" w:rsidP="00306098">
            <w:r w:rsidRPr="003B78CD">
              <w:t>Attiecīgā ES tiesību akta panta numurs (uzskaitot katru tiesību akta vienību – pantu, daļu, punktu, apakšpunktu)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23" w14:textId="77777777" w:rsidR="001A28EB" w:rsidRPr="003B78CD" w:rsidRDefault="001A28EB" w:rsidP="00306098">
            <w:r w:rsidRPr="003B78CD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24" w14:textId="77777777" w:rsidR="001A28EB" w:rsidRPr="003B78CD" w:rsidRDefault="001A28EB" w:rsidP="00306098">
            <w:r w:rsidRPr="003B78CD">
              <w:t>Informācija par to, vai šīs tabulas A ailē minētās ES tiesību akta vienības tiek pārņemtas vai ieviestas pilnībā vai daļēji.</w:t>
            </w:r>
          </w:p>
          <w:p w14:paraId="35BE2E25" w14:textId="77777777" w:rsidR="001A28EB" w:rsidRPr="003B78CD" w:rsidRDefault="001A28EB" w:rsidP="000909A5">
            <w:pPr>
              <w:pStyle w:val="tvhtml"/>
              <w:spacing w:before="0" w:beforeAutospacing="0" w:after="0" w:afterAutospacing="0" w:line="0" w:lineRule="atLeast"/>
            </w:pPr>
            <w:r w:rsidRPr="003B78CD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35BE2E26" w14:textId="77777777" w:rsidR="001A28EB" w:rsidRPr="003B78CD" w:rsidRDefault="001A28EB" w:rsidP="000909A5">
            <w:pPr>
              <w:pStyle w:val="tvhtml"/>
              <w:spacing w:before="0" w:beforeAutospacing="0" w:after="0" w:afterAutospacing="0" w:line="0" w:lineRule="atLeast"/>
            </w:pPr>
            <w:r w:rsidRPr="003B78CD">
              <w:t>Norāda institūciju, kas ir atbildīga par šo saistību izpildi pilnībā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27" w14:textId="77777777" w:rsidR="001A28EB" w:rsidRPr="003B78CD" w:rsidRDefault="001A28EB" w:rsidP="00306098">
            <w:r w:rsidRPr="003B78CD">
              <w:t>Informācija par to, vai šīs tabulas B ailē minētās projekta vienības paredz stingrākas prasības nekā šīs tabulas A ailē minētās ES tiesību akta vienības.</w:t>
            </w:r>
          </w:p>
          <w:p w14:paraId="35BE2E28" w14:textId="77777777" w:rsidR="001A28EB" w:rsidRPr="003B78CD" w:rsidRDefault="001A28EB" w:rsidP="000909A5">
            <w:pPr>
              <w:pStyle w:val="tvhtml"/>
              <w:spacing w:before="0" w:beforeAutospacing="0" w:after="0" w:afterAutospacing="0" w:line="0" w:lineRule="atLeast"/>
            </w:pPr>
            <w:r w:rsidRPr="003B78CD">
              <w:t>Ja projekts satur stingrākas prasības nekā attiecīgais ES tiesību akts, norāda pamatojumu un samērīgumu.</w:t>
            </w:r>
          </w:p>
          <w:p w14:paraId="35BE2E29" w14:textId="77777777" w:rsidR="001A28EB" w:rsidRPr="003B78CD" w:rsidRDefault="001A28EB" w:rsidP="000909A5">
            <w:pPr>
              <w:pStyle w:val="tvhtml"/>
              <w:spacing w:before="0" w:beforeAutospacing="0" w:after="0" w:afterAutospacing="0" w:line="0" w:lineRule="atLeast"/>
            </w:pPr>
            <w:r w:rsidRPr="003B78C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A3026" w:rsidRPr="00623FFE" w14:paraId="35BE2E2F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2B" w14:textId="77777777" w:rsidR="00FA3026" w:rsidRPr="003B78CD" w:rsidRDefault="00FA3026" w:rsidP="00FA3026">
            <w:r>
              <w:t xml:space="preserve">Regulas Nr.543/2011 57. pants un IX pielikums 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2C" w14:textId="77777777" w:rsidR="00FA3026" w:rsidRPr="003B78CD" w:rsidRDefault="00FA3026" w:rsidP="00FA3026">
            <w:r>
              <w:t>1., 2 un 3.punkts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2D" w14:textId="77777777" w:rsidR="00FA3026" w:rsidRPr="003B78CD" w:rsidRDefault="00FA3026" w:rsidP="00FA3026">
            <w:r>
              <w:t>Atbilst pilnībā.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2E" w14:textId="77777777" w:rsidR="00FA3026" w:rsidRPr="003B78CD" w:rsidRDefault="00FA3026" w:rsidP="00FA3026">
            <w:r>
              <w:t>Neparedz stingrākas prasības.</w:t>
            </w:r>
          </w:p>
        </w:tc>
      </w:tr>
      <w:tr w:rsidR="00FA3026" w:rsidRPr="00623FFE" w14:paraId="35BE2E34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0" w14:textId="77777777" w:rsidR="00FA3026" w:rsidRDefault="00FA3026" w:rsidP="00FA3026">
            <w:r>
              <w:t>Regulas Nr.543/2011 60.</w:t>
            </w:r>
            <w:r w:rsidR="00405868">
              <w:t xml:space="preserve"> </w:t>
            </w:r>
            <w:r>
              <w:t>panta 5. un 6.punkts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1" w14:textId="77777777" w:rsidR="00FA3026" w:rsidRDefault="00FA3026" w:rsidP="00FA3026">
            <w:r>
              <w:t>4. punkts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2" w14:textId="77777777" w:rsidR="00FA3026" w:rsidRDefault="00FA3026" w:rsidP="00FA3026">
            <w:r>
              <w:t>Atbilst pilnībā.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3" w14:textId="77777777" w:rsidR="00FA3026" w:rsidRDefault="00FA3026" w:rsidP="00FA3026">
            <w:r>
              <w:t>Neparedz stingrākas prasības.</w:t>
            </w:r>
          </w:p>
        </w:tc>
      </w:tr>
      <w:tr w:rsidR="00FA3026" w:rsidRPr="00623FFE" w14:paraId="35BE2E39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5" w14:textId="77777777" w:rsidR="00FA3026" w:rsidRDefault="00FA3026" w:rsidP="00FA3026">
            <w:r>
              <w:t xml:space="preserve">Regulas Nr.543/2011 105., 106.un 107. pantu 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6" w14:textId="77777777" w:rsidR="00FA3026" w:rsidRDefault="00FA3026" w:rsidP="00FA3026">
            <w:r>
              <w:t>6.punkts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7" w14:textId="77777777" w:rsidR="00FA3026" w:rsidRDefault="00FA3026" w:rsidP="00FA3026">
            <w:r>
              <w:t>Atbilst pilnībā.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8" w14:textId="77777777" w:rsidR="00FA3026" w:rsidRDefault="00FA3026" w:rsidP="00FA3026">
            <w:r>
              <w:t>Neparedz stingrākas prasības.</w:t>
            </w:r>
          </w:p>
        </w:tc>
      </w:tr>
      <w:tr w:rsidR="00FA3026" w:rsidRPr="00225026" w14:paraId="35BE2E3F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A" w14:textId="77777777" w:rsidR="00FA3026" w:rsidRDefault="00FA3026" w:rsidP="00FA3026">
            <w:r w:rsidRPr="00695895">
              <w:t>Regulas Nr.</w:t>
            </w:r>
            <w:r>
              <w:t>2016/921</w:t>
            </w:r>
          </w:p>
          <w:p w14:paraId="35BE2E3B" w14:textId="77777777" w:rsidR="00FA3026" w:rsidRDefault="00FA3026" w:rsidP="00FA3026">
            <w:r>
              <w:t xml:space="preserve">2. panta 1. punkts un 3. pants 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C" w14:textId="77777777" w:rsidR="00FA3026" w:rsidRPr="00695895" w:rsidRDefault="00FA3026" w:rsidP="00FA3026">
            <w:r>
              <w:t>7.,8.,9. un 10. punkts</w:t>
            </w:r>
          </w:p>
        </w:tc>
        <w:tc>
          <w:tcPr>
            <w:tcW w:w="1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D" w14:textId="77777777" w:rsidR="00FA3026" w:rsidRPr="003B78CD" w:rsidRDefault="00E1471A" w:rsidP="00FA3026">
            <w:r>
              <w:t>Ieviests</w:t>
            </w:r>
            <w:r w:rsidR="00FA3026">
              <w:t xml:space="preserve"> pilnībā.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3E" w14:textId="77777777" w:rsidR="00FA3026" w:rsidRPr="003B78CD" w:rsidRDefault="00FA3026" w:rsidP="00FA3026">
            <w:r>
              <w:t>Neparedz stingrākas prasības.</w:t>
            </w:r>
          </w:p>
        </w:tc>
      </w:tr>
      <w:tr w:rsidR="00FA3026" w:rsidRPr="003B78CD" w14:paraId="35BE2E42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40" w14:textId="77777777" w:rsidR="00FA3026" w:rsidRPr="003B78CD" w:rsidRDefault="00FA3026" w:rsidP="00FA3026">
            <w:r w:rsidRPr="003B78CD">
              <w:t>Kā ir izmantota ES tiesību aktā paredzētā rīcības brīvība dalībvalstij pārņemt vai ieviest noteiktas ES tiesību akta normas?</w:t>
            </w:r>
            <w:r w:rsidRPr="003B78CD">
              <w:br/>
              <w:t>Kādēļ?</w:t>
            </w:r>
          </w:p>
        </w:tc>
        <w:tc>
          <w:tcPr>
            <w:tcW w:w="386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BE2E41" w14:textId="77777777" w:rsidR="00FA3026" w:rsidRPr="003B78CD" w:rsidRDefault="00FA3026" w:rsidP="00FA3026">
            <w:r w:rsidRPr="003B78CD">
              <w:t>Projekts šo jomu neskar.</w:t>
            </w:r>
          </w:p>
        </w:tc>
      </w:tr>
      <w:tr w:rsidR="00FA3026" w:rsidRPr="003B78CD" w14:paraId="35BE2E45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43" w14:textId="77777777" w:rsidR="00FA3026" w:rsidRPr="003B78CD" w:rsidRDefault="00FA3026" w:rsidP="00FA3026">
            <w:r w:rsidRPr="003B78C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6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44" w14:textId="77777777" w:rsidR="00FA3026" w:rsidRPr="003B78CD" w:rsidRDefault="00FA3026" w:rsidP="00FA3026">
            <w:r w:rsidRPr="003B78CD">
              <w:t>Projekts šo jomu neskar.</w:t>
            </w:r>
          </w:p>
        </w:tc>
      </w:tr>
      <w:tr w:rsidR="00FA3026" w:rsidRPr="003B78CD" w14:paraId="35BE2E48" w14:textId="77777777" w:rsidTr="00132DA0">
        <w:trPr>
          <w:jc w:val="center"/>
        </w:trPr>
        <w:tc>
          <w:tcPr>
            <w:tcW w:w="1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46" w14:textId="77777777" w:rsidR="00FA3026" w:rsidRPr="003B78CD" w:rsidRDefault="00FA3026" w:rsidP="00FA3026">
            <w:r w:rsidRPr="003B78CD">
              <w:t>Cita informācija</w:t>
            </w:r>
          </w:p>
        </w:tc>
        <w:tc>
          <w:tcPr>
            <w:tcW w:w="386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E2E47" w14:textId="77777777" w:rsidR="00FA3026" w:rsidRPr="003B78CD" w:rsidRDefault="00FA3026" w:rsidP="00FA3026">
            <w:pPr>
              <w:pStyle w:val="tvhtml"/>
              <w:spacing w:line="293" w:lineRule="atLeast"/>
            </w:pPr>
            <w:r w:rsidRPr="003B78CD">
              <w:t>Nav</w:t>
            </w:r>
          </w:p>
        </w:tc>
      </w:tr>
    </w:tbl>
    <w:p w14:paraId="35BE2E49" w14:textId="77777777" w:rsidR="00C318BB" w:rsidRPr="004C094F" w:rsidRDefault="00C318BB" w:rsidP="006B3C54">
      <w:pPr>
        <w:jc w:val="both"/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990"/>
        <w:gridCol w:w="4994"/>
      </w:tblGrid>
      <w:tr w:rsidR="00263FFC" w:rsidRPr="00085B89" w14:paraId="35BE2E4B" w14:textId="77777777" w:rsidTr="00132DA0">
        <w:trPr>
          <w:jc w:val="center"/>
        </w:trPr>
        <w:tc>
          <w:tcPr>
            <w:tcW w:w="9319" w:type="dxa"/>
            <w:gridSpan w:val="3"/>
          </w:tcPr>
          <w:p w14:paraId="35BE2E4A" w14:textId="77777777" w:rsidR="00263FFC" w:rsidRPr="00085B89" w:rsidRDefault="00263FFC" w:rsidP="0054074E">
            <w:pPr>
              <w:pStyle w:val="naisnod"/>
              <w:spacing w:before="0" w:after="0"/>
              <w:ind w:left="57" w:right="57"/>
            </w:pPr>
            <w:r w:rsidRPr="00085B89">
              <w:t xml:space="preserve">VI. Sabiedrības līdzdalība un </w:t>
            </w:r>
            <w:r w:rsidR="0054074E" w:rsidRPr="0054074E">
              <w:t>komunikācijas aktivitātes</w:t>
            </w:r>
            <w:r w:rsidR="0054074E" w:rsidRPr="0054074E" w:rsidDel="0054074E">
              <w:t xml:space="preserve"> </w:t>
            </w:r>
          </w:p>
        </w:tc>
      </w:tr>
      <w:tr w:rsidR="00263FFC" w:rsidRPr="00085B89" w14:paraId="35BE2E50" w14:textId="77777777" w:rsidTr="00132DA0">
        <w:trPr>
          <w:trHeight w:val="553"/>
          <w:jc w:val="center"/>
        </w:trPr>
        <w:tc>
          <w:tcPr>
            <w:tcW w:w="301" w:type="dxa"/>
          </w:tcPr>
          <w:p w14:paraId="35BE2E4C" w14:textId="77777777" w:rsidR="00263FFC" w:rsidRPr="00343022" w:rsidRDefault="00263FFC" w:rsidP="00306098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430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05" w:type="dxa"/>
          </w:tcPr>
          <w:p w14:paraId="35BE2E4D" w14:textId="77777777" w:rsidR="00B8353B" w:rsidRDefault="00B8353B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</w:p>
          <w:p w14:paraId="35BE2E4E" w14:textId="77777777" w:rsidR="00263FFC" w:rsidRPr="00085B89" w:rsidRDefault="00B8353B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B8353B">
              <w:t>Plānotās sabiedrības līdzdalības un komunikācijas aktivitātes saistībā ar projektu</w:t>
            </w:r>
          </w:p>
        </w:tc>
        <w:tc>
          <w:tcPr>
            <w:tcW w:w="5013" w:type="dxa"/>
          </w:tcPr>
          <w:p w14:paraId="35BE2E4F" w14:textId="77777777" w:rsidR="00263FFC" w:rsidRPr="00085B89" w:rsidRDefault="00263FFC" w:rsidP="009D2F96">
            <w:pPr>
              <w:pStyle w:val="naiskr"/>
              <w:spacing w:before="0" w:after="0"/>
              <w:ind w:left="57" w:right="57"/>
              <w:jc w:val="both"/>
            </w:pPr>
            <w:r w:rsidRPr="00085B89">
              <w:t>Informācija par Ministru kabineta noteikumu projektu ir ievietota Zemkopības ministrijas tīmekļa vietnē.</w:t>
            </w:r>
          </w:p>
        </w:tc>
      </w:tr>
      <w:tr w:rsidR="00263FFC" w:rsidRPr="00085B89" w14:paraId="35BE2E54" w14:textId="77777777" w:rsidTr="00132DA0">
        <w:trPr>
          <w:trHeight w:val="1487"/>
          <w:jc w:val="center"/>
        </w:trPr>
        <w:tc>
          <w:tcPr>
            <w:tcW w:w="301" w:type="dxa"/>
          </w:tcPr>
          <w:p w14:paraId="35BE2E51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2.</w:t>
            </w:r>
          </w:p>
        </w:tc>
        <w:tc>
          <w:tcPr>
            <w:tcW w:w="4005" w:type="dxa"/>
          </w:tcPr>
          <w:p w14:paraId="35BE2E52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 projekta izstrādē </w:t>
            </w:r>
          </w:p>
        </w:tc>
        <w:tc>
          <w:tcPr>
            <w:tcW w:w="5013" w:type="dxa"/>
          </w:tcPr>
          <w:p w14:paraId="35BE2E53" w14:textId="77777777" w:rsidR="00263FFC" w:rsidRPr="00085B89" w:rsidRDefault="009D2F96" w:rsidP="009D2F96">
            <w:pPr>
              <w:jc w:val="both"/>
            </w:pPr>
            <w:r>
              <w:t>N</w:t>
            </w:r>
            <w:r w:rsidR="00263FFC" w:rsidRPr="00085B89">
              <w:t>oteikumu projekt</w:t>
            </w:r>
            <w:r>
              <w:t>s</w:t>
            </w:r>
            <w:r w:rsidR="00263FFC" w:rsidRPr="00085B89">
              <w:t xml:space="preserve"> apspriests ar Lauksaimnieku organizācijas sadarbības padomi, Lauksaimniecības Kooperatīvu asociāciju, biedrību „Latvijas dārznieks”</w:t>
            </w:r>
            <w:r>
              <w:t>,</w:t>
            </w:r>
            <w:r w:rsidR="00263FFC" w:rsidRPr="00085B89">
              <w:t xml:space="preserve"> </w:t>
            </w:r>
            <w:r w:rsidR="00085B89">
              <w:t>Latvijas augļkopju asociāciju un Zemnieku Saeimu.</w:t>
            </w:r>
          </w:p>
        </w:tc>
      </w:tr>
      <w:tr w:rsidR="00263FFC" w:rsidRPr="00343022" w14:paraId="35BE2E58" w14:textId="77777777" w:rsidTr="00132DA0">
        <w:trPr>
          <w:trHeight w:val="375"/>
          <w:jc w:val="center"/>
        </w:trPr>
        <w:tc>
          <w:tcPr>
            <w:tcW w:w="301" w:type="dxa"/>
          </w:tcPr>
          <w:p w14:paraId="35BE2E55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3.</w:t>
            </w:r>
          </w:p>
        </w:tc>
        <w:tc>
          <w:tcPr>
            <w:tcW w:w="4005" w:type="dxa"/>
          </w:tcPr>
          <w:p w14:paraId="35BE2E56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līdzdalības rezultāti </w:t>
            </w:r>
          </w:p>
        </w:tc>
        <w:tc>
          <w:tcPr>
            <w:tcW w:w="5013" w:type="dxa"/>
          </w:tcPr>
          <w:p w14:paraId="35BE2E57" w14:textId="77777777" w:rsidR="00263FFC" w:rsidRPr="00085B89" w:rsidRDefault="00263FFC" w:rsidP="009D2F96">
            <w:pPr>
              <w:pStyle w:val="naiskr"/>
              <w:spacing w:before="0" w:after="0"/>
              <w:ind w:left="57" w:right="57"/>
              <w:jc w:val="both"/>
            </w:pPr>
            <w:r w:rsidRPr="00085B89">
              <w:t>Sociālie partneri atbalsta noteikumu projekta tālāku virzību.</w:t>
            </w:r>
          </w:p>
        </w:tc>
      </w:tr>
      <w:tr w:rsidR="00263FFC" w:rsidRPr="00343022" w14:paraId="35BE2E5D" w14:textId="77777777" w:rsidTr="00132DA0">
        <w:trPr>
          <w:trHeight w:val="476"/>
          <w:jc w:val="center"/>
        </w:trPr>
        <w:tc>
          <w:tcPr>
            <w:tcW w:w="301" w:type="dxa"/>
          </w:tcPr>
          <w:p w14:paraId="35BE2E59" w14:textId="77777777" w:rsidR="00263FFC" w:rsidRPr="00085B89" w:rsidRDefault="00B8353B" w:rsidP="00B8353B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263FFC" w:rsidRPr="00085B89">
              <w:rPr>
                <w:bCs/>
              </w:rPr>
              <w:t>.</w:t>
            </w:r>
          </w:p>
        </w:tc>
        <w:tc>
          <w:tcPr>
            <w:tcW w:w="4005" w:type="dxa"/>
          </w:tcPr>
          <w:p w14:paraId="35BE2E5A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  <w:p w14:paraId="35BE2E5B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</w:p>
        </w:tc>
        <w:tc>
          <w:tcPr>
            <w:tcW w:w="5013" w:type="dxa"/>
          </w:tcPr>
          <w:p w14:paraId="35BE2E5C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  <w:jc w:val="both"/>
            </w:pPr>
            <w:r w:rsidRPr="00085B89">
              <w:t>Nav</w:t>
            </w:r>
          </w:p>
        </w:tc>
      </w:tr>
    </w:tbl>
    <w:p w14:paraId="35BE2E5E" w14:textId="77777777" w:rsidR="00A10BF2" w:rsidRPr="004C094F" w:rsidRDefault="00A10BF2" w:rsidP="006B3C54">
      <w:pPr>
        <w:jc w:val="both"/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3827"/>
      </w:tblGrid>
      <w:tr w:rsidR="00263FFC" w:rsidRPr="00343022" w14:paraId="35BE2E60" w14:textId="77777777" w:rsidTr="00263FF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35BE2E5F" w14:textId="77777777" w:rsidR="00263FFC" w:rsidRPr="00343022" w:rsidRDefault="00263FFC" w:rsidP="00306098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343022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263FFC" w:rsidRPr="00343022" w14:paraId="35BE2E64" w14:textId="77777777" w:rsidTr="00263FFC">
        <w:trPr>
          <w:trHeight w:val="427"/>
        </w:trPr>
        <w:tc>
          <w:tcPr>
            <w:tcW w:w="568" w:type="dxa"/>
          </w:tcPr>
          <w:p w14:paraId="35BE2E61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1.</w:t>
            </w:r>
          </w:p>
        </w:tc>
        <w:tc>
          <w:tcPr>
            <w:tcW w:w="4961" w:type="dxa"/>
          </w:tcPr>
          <w:p w14:paraId="35BE2E62" w14:textId="77777777"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izpildē iesaistītās institūcijas </w:t>
            </w:r>
          </w:p>
        </w:tc>
        <w:tc>
          <w:tcPr>
            <w:tcW w:w="3827" w:type="dxa"/>
          </w:tcPr>
          <w:p w14:paraId="35BE2E63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85B89">
              <w:rPr>
                <w:b w:val="0"/>
              </w:rPr>
              <w:t>Normatīvā akta izpildi nodrošinās Lauku atbalsta dienests.</w:t>
            </w:r>
          </w:p>
        </w:tc>
      </w:tr>
      <w:tr w:rsidR="00263FFC" w:rsidRPr="00343022" w14:paraId="35BE2E69" w14:textId="77777777" w:rsidTr="00263FFC">
        <w:trPr>
          <w:trHeight w:val="463"/>
        </w:trPr>
        <w:tc>
          <w:tcPr>
            <w:tcW w:w="568" w:type="dxa"/>
          </w:tcPr>
          <w:p w14:paraId="35BE2E65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2.</w:t>
            </w:r>
          </w:p>
        </w:tc>
        <w:tc>
          <w:tcPr>
            <w:tcW w:w="4961" w:type="dxa"/>
          </w:tcPr>
          <w:p w14:paraId="35BE2E66" w14:textId="77777777" w:rsidR="00B8353B" w:rsidRPr="00085B89" w:rsidRDefault="00263FFC" w:rsidP="00B8353B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Projekta izpildes ietekme uz pārvaldes funkcijām</w:t>
            </w:r>
            <w:r w:rsidR="00B8353B">
              <w:t xml:space="preserve"> un </w:t>
            </w:r>
            <w:r w:rsidR="00B8353B" w:rsidRPr="00085B89">
              <w:t>institucionālo struktūru.</w:t>
            </w:r>
          </w:p>
          <w:p w14:paraId="35BE2E67" w14:textId="77777777" w:rsidR="00263FFC" w:rsidRPr="00085B89" w:rsidRDefault="00B8353B" w:rsidP="0079784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>Jaunu institūciju izveide</w:t>
            </w:r>
            <w:r>
              <w:t>, e</w:t>
            </w:r>
            <w:r w:rsidRPr="00085B89">
              <w:t>sošu institūciju likvidācija</w:t>
            </w:r>
            <w:r>
              <w:t xml:space="preserve"> vai </w:t>
            </w:r>
            <w:r w:rsidRPr="00085B89">
              <w:t>reorganizācija</w:t>
            </w:r>
            <w:r>
              <w:t xml:space="preserve">, to </w:t>
            </w:r>
            <w:r w:rsidRPr="00085B89">
              <w:t>ietekme uz instit</w:t>
            </w:r>
            <w:r>
              <w:t>ūcijas cilvēkresursiem</w:t>
            </w:r>
            <w:r w:rsidR="0003234D">
              <w:t>.</w:t>
            </w:r>
          </w:p>
        </w:tc>
        <w:tc>
          <w:tcPr>
            <w:tcW w:w="3827" w:type="dxa"/>
          </w:tcPr>
          <w:p w14:paraId="35BE2E68" w14:textId="77777777"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Noteikumu projekts šo jomu neskar.</w:t>
            </w:r>
          </w:p>
        </w:tc>
      </w:tr>
      <w:tr w:rsidR="00263FFC" w:rsidRPr="00343022" w14:paraId="35BE2E6D" w14:textId="77777777" w:rsidTr="00263FFC">
        <w:trPr>
          <w:trHeight w:val="476"/>
        </w:trPr>
        <w:tc>
          <w:tcPr>
            <w:tcW w:w="568" w:type="dxa"/>
          </w:tcPr>
          <w:p w14:paraId="35BE2E6A" w14:textId="77777777" w:rsidR="00263FFC" w:rsidRPr="00085B89" w:rsidRDefault="00797848" w:rsidP="00306098">
            <w:pPr>
              <w:pStyle w:val="naiskr"/>
              <w:spacing w:before="0" w:after="0"/>
              <w:ind w:left="57" w:right="57"/>
            </w:pPr>
            <w:r>
              <w:t>3</w:t>
            </w:r>
            <w:r w:rsidR="00263FFC" w:rsidRPr="00085B89">
              <w:t>.</w:t>
            </w:r>
          </w:p>
        </w:tc>
        <w:tc>
          <w:tcPr>
            <w:tcW w:w="4961" w:type="dxa"/>
          </w:tcPr>
          <w:p w14:paraId="35BE2E6B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</w:tc>
        <w:tc>
          <w:tcPr>
            <w:tcW w:w="3827" w:type="dxa"/>
          </w:tcPr>
          <w:p w14:paraId="35BE2E6C" w14:textId="77777777"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Nav</w:t>
            </w:r>
          </w:p>
        </w:tc>
      </w:tr>
    </w:tbl>
    <w:p w14:paraId="35BE2E6E" w14:textId="77777777" w:rsidR="00263FFC" w:rsidRDefault="00263FFC" w:rsidP="00DA5CD4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35BE2E6F" w14:textId="77777777" w:rsidR="00263FFC" w:rsidRDefault="00F432A4" w:rsidP="00263FFC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r w:rsidR="00263FFC" w:rsidRPr="00343022">
        <w:rPr>
          <w:sz w:val="28"/>
          <w:szCs w:val="28"/>
        </w:rPr>
        <w:t>Dūklavs</w:t>
      </w:r>
    </w:p>
    <w:p w14:paraId="35BE2E70" w14:textId="77777777" w:rsidR="00DA5CD4" w:rsidRDefault="00DA5CD4" w:rsidP="00DA5CD4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35BE2E71" w14:textId="77777777" w:rsidR="00DA5CD4" w:rsidRDefault="00DA5CD4" w:rsidP="00DA5CD4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35BE2E72" w14:textId="77777777" w:rsidR="00DA5CD4" w:rsidRDefault="00DA5CD4" w:rsidP="00263FFC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ministrijas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D.Lucaua</w:t>
      </w:r>
    </w:p>
    <w:p w14:paraId="35BE2E73" w14:textId="77777777" w:rsidR="00DA5CD4" w:rsidRDefault="00DA5CD4" w:rsidP="00DA5CD4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14:paraId="35BE2E74" w14:textId="77777777" w:rsidR="00DA5CD4" w:rsidRPr="00343022" w:rsidRDefault="00DA5CD4" w:rsidP="00DA5CD4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  <w:bookmarkStart w:id="2" w:name="_GoBack"/>
      <w:bookmarkEnd w:id="2"/>
    </w:p>
    <w:p w14:paraId="35BE2E75" w14:textId="77777777" w:rsidR="00263FFC" w:rsidRDefault="00263FFC" w:rsidP="00263FFC">
      <w:pPr>
        <w:jc w:val="both"/>
        <w:rPr>
          <w:sz w:val="20"/>
          <w:szCs w:val="20"/>
        </w:rPr>
      </w:pPr>
    </w:p>
    <w:p w14:paraId="35BE2E76" w14:textId="77777777" w:rsidR="00DA5CD4" w:rsidRDefault="0043729B" w:rsidP="00DA5CD4">
      <w:pPr>
        <w:jc w:val="both"/>
      </w:pPr>
      <w:r w:rsidRPr="00F432A4">
        <w:t>Ozola</w:t>
      </w:r>
      <w:r w:rsidR="00DA5CD4">
        <w:t xml:space="preserve"> </w:t>
      </w:r>
      <w:r w:rsidR="00A03411" w:rsidRPr="00F432A4">
        <w:t>67027</w:t>
      </w:r>
      <w:r w:rsidRPr="00F432A4">
        <w:t>019</w:t>
      </w:r>
    </w:p>
    <w:p w14:paraId="35BE2E77" w14:textId="77777777" w:rsidR="00263FFC" w:rsidRPr="00F432A4" w:rsidRDefault="0043729B" w:rsidP="00DA5CD4">
      <w:pPr>
        <w:jc w:val="both"/>
      </w:pPr>
      <w:r w:rsidRPr="00F432A4">
        <w:t>Inese.Ozola</w:t>
      </w:r>
      <w:r w:rsidR="00263FFC" w:rsidRPr="00F432A4">
        <w:t>@zm.gov.lv</w:t>
      </w:r>
    </w:p>
    <w:sectPr w:rsidR="00263FFC" w:rsidRPr="00F432A4" w:rsidSect="0030341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2E7A" w14:textId="77777777" w:rsidR="006959BA" w:rsidRDefault="006959BA">
      <w:r>
        <w:separator/>
      </w:r>
    </w:p>
  </w:endnote>
  <w:endnote w:type="continuationSeparator" w:id="0">
    <w:p w14:paraId="35BE2E7B" w14:textId="77777777" w:rsidR="006959BA" w:rsidRDefault="006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E80" w14:textId="77777777" w:rsidR="006B6C72" w:rsidRPr="00DA5CD4" w:rsidRDefault="00DA5CD4" w:rsidP="00DA5CD4">
    <w:pPr>
      <w:pStyle w:val="Footer"/>
    </w:pPr>
    <w:r w:rsidRPr="00DA5CD4">
      <w:rPr>
        <w:sz w:val="20"/>
        <w:szCs w:val="20"/>
      </w:rPr>
      <w:t>ZMAnot_070617_razotaj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E81" w14:textId="77777777" w:rsidR="006B6C72" w:rsidRPr="00DA5CD4" w:rsidRDefault="00DA5CD4" w:rsidP="00DA5CD4">
    <w:pPr>
      <w:pStyle w:val="Footer"/>
    </w:pPr>
    <w:r w:rsidRPr="00DA5CD4">
      <w:rPr>
        <w:sz w:val="20"/>
        <w:szCs w:val="20"/>
      </w:rPr>
      <w:t>ZMAnot_070617_razotaj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E2E78" w14:textId="77777777" w:rsidR="006959BA" w:rsidRDefault="006959BA">
      <w:r>
        <w:separator/>
      </w:r>
    </w:p>
  </w:footnote>
  <w:footnote w:type="continuationSeparator" w:id="0">
    <w:p w14:paraId="35BE2E79" w14:textId="77777777" w:rsidR="006959BA" w:rsidRDefault="0069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E7C" w14:textId="77777777" w:rsidR="006B6C72" w:rsidRDefault="006B6C72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E2E7D" w14:textId="77777777" w:rsidR="006B6C72" w:rsidRDefault="006B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E7E" w14:textId="77777777" w:rsidR="006B6C72" w:rsidRDefault="006B6C72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7F0">
      <w:rPr>
        <w:rStyle w:val="PageNumber"/>
        <w:noProof/>
      </w:rPr>
      <w:t>7</w:t>
    </w:r>
    <w:r>
      <w:rPr>
        <w:rStyle w:val="PageNumber"/>
      </w:rPr>
      <w:fldChar w:fldCharType="end"/>
    </w:r>
  </w:p>
  <w:p w14:paraId="35BE2E7F" w14:textId="77777777" w:rsidR="006B6C72" w:rsidRDefault="006B6C72" w:rsidP="00701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B4"/>
    <w:multiLevelType w:val="hybridMultilevel"/>
    <w:tmpl w:val="5202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8FC"/>
    <w:multiLevelType w:val="hybridMultilevel"/>
    <w:tmpl w:val="A01C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2A3E"/>
    <w:multiLevelType w:val="hybridMultilevel"/>
    <w:tmpl w:val="3EC2E4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D87"/>
    <w:multiLevelType w:val="hybridMultilevel"/>
    <w:tmpl w:val="D8A84494"/>
    <w:lvl w:ilvl="0" w:tplc="0C22B7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D41C43"/>
    <w:multiLevelType w:val="hybridMultilevel"/>
    <w:tmpl w:val="77A6A99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0A86"/>
    <w:multiLevelType w:val="multilevel"/>
    <w:tmpl w:val="B6402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D64A97"/>
    <w:multiLevelType w:val="hybridMultilevel"/>
    <w:tmpl w:val="83FE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A6B"/>
    <w:multiLevelType w:val="hybridMultilevel"/>
    <w:tmpl w:val="9F1EE94E"/>
    <w:lvl w:ilvl="0" w:tplc="BE5690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8C7"/>
    <w:multiLevelType w:val="hybridMultilevel"/>
    <w:tmpl w:val="AC08593E"/>
    <w:lvl w:ilvl="0" w:tplc="67A48A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3C2C"/>
    <w:rsid w:val="00005826"/>
    <w:rsid w:val="000071F5"/>
    <w:rsid w:val="00010FE3"/>
    <w:rsid w:val="00013CDD"/>
    <w:rsid w:val="00015666"/>
    <w:rsid w:val="00024ECF"/>
    <w:rsid w:val="00025FA9"/>
    <w:rsid w:val="00026532"/>
    <w:rsid w:val="00027756"/>
    <w:rsid w:val="0002797B"/>
    <w:rsid w:val="00027A5A"/>
    <w:rsid w:val="00031399"/>
    <w:rsid w:val="0003234D"/>
    <w:rsid w:val="00033554"/>
    <w:rsid w:val="0003707B"/>
    <w:rsid w:val="00037C68"/>
    <w:rsid w:val="00040172"/>
    <w:rsid w:val="000404D3"/>
    <w:rsid w:val="00040E6B"/>
    <w:rsid w:val="000413D1"/>
    <w:rsid w:val="00043CB1"/>
    <w:rsid w:val="00046558"/>
    <w:rsid w:val="000473F7"/>
    <w:rsid w:val="00050F54"/>
    <w:rsid w:val="00051106"/>
    <w:rsid w:val="0005143C"/>
    <w:rsid w:val="00052BCB"/>
    <w:rsid w:val="00056D70"/>
    <w:rsid w:val="00060888"/>
    <w:rsid w:val="00062822"/>
    <w:rsid w:val="0006534F"/>
    <w:rsid w:val="00065DAB"/>
    <w:rsid w:val="00066E0A"/>
    <w:rsid w:val="00070FB4"/>
    <w:rsid w:val="00071884"/>
    <w:rsid w:val="0007220E"/>
    <w:rsid w:val="00073270"/>
    <w:rsid w:val="0007788D"/>
    <w:rsid w:val="0008488A"/>
    <w:rsid w:val="00085B89"/>
    <w:rsid w:val="00087D13"/>
    <w:rsid w:val="000909A5"/>
    <w:rsid w:val="00092DF0"/>
    <w:rsid w:val="0009472F"/>
    <w:rsid w:val="000A2211"/>
    <w:rsid w:val="000A6067"/>
    <w:rsid w:val="000B1AB1"/>
    <w:rsid w:val="000B4607"/>
    <w:rsid w:val="000B6DF1"/>
    <w:rsid w:val="000C022C"/>
    <w:rsid w:val="000C0EDB"/>
    <w:rsid w:val="000C230C"/>
    <w:rsid w:val="000C32EA"/>
    <w:rsid w:val="000C37D8"/>
    <w:rsid w:val="000C5FBC"/>
    <w:rsid w:val="000D163F"/>
    <w:rsid w:val="000D2C4F"/>
    <w:rsid w:val="000D35F4"/>
    <w:rsid w:val="000D41F8"/>
    <w:rsid w:val="000D5549"/>
    <w:rsid w:val="000D650D"/>
    <w:rsid w:val="000D7C74"/>
    <w:rsid w:val="000E2092"/>
    <w:rsid w:val="000F0876"/>
    <w:rsid w:val="000F4EB2"/>
    <w:rsid w:val="000F5E59"/>
    <w:rsid w:val="000F6A6D"/>
    <w:rsid w:val="00103B63"/>
    <w:rsid w:val="00110173"/>
    <w:rsid w:val="001114E0"/>
    <w:rsid w:val="00114052"/>
    <w:rsid w:val="00115550"/>
    <w:rsid w:val="0012082E"/>
    <w:rsid w:val="001209A4"/>
    <w:rsid w:val="001214F2"/>
    <w:rsid w:val="00123E30"/>
    <w:rsid w:val="001240C4"/>
    <w:rsid w:val="001242F0"/>
    <w:rsid w:val="00125941"/>
    <w:rsid w:val="00127C6E"/>
    <w:rsid w:val="00132DA0"/>
    <w:rsid w:val="001347ED"/>
    <w:rsid w:val="001359E3"/>
    <w:rsid w:val="00137BF2"/>
    <w:rsid w:val="00141294"/>
    <w:rsid w:val="001425FF"/>
    <w:rsid w:val="00143528"/>
    <w:rsid w:val="00146E61"/>
    <w:rsid w:val="00153486"/>
    <w:rsid w:val="001536BA"/>
    <w:rsid w:val="00153BD9"/>
    <w:rsid w:val="00154636"/>
    <w:rsid w:val="0015719D"/>
    <w:rsid w:val="00161AD7"/>
    <w:rsid w:val="001620F6"/>
    <w:rsid w:val="00163D88"/>
    <w:rsid w:val="00166457"/>
    <w:rsid w:val="00166B1A"/>
    <w:rsid w:val="00167BB9"/>
    <w:rsid w:val="00167FA0"/>
    <w:rsid w:val="00171922"/>
    <w:rsid w:val="00171E39"/>
    <w:rsid w:val="00175296"/>
    <w:rsid w:val="00176D51"/>
    <w:rsid w:val="00176E7B"/>
    <w:rsid w:val="00180130"/>
    <w:rsid w:val="00180848"/>
    <w:rsid w:val="001811FB"/>
    <w:rsid w:val="0018436B"/>
    <w:rsid w:val="00184E5C"/>
    <w:rsid w:val="00191859"/>
    <w:rsid w:val="00193D0A"/>
    <w:rsid w:val="001A28EB"/>
    <w:rsid w:val="001A60FD"/>
    <w:rsid w:val="001A620C"/>
    <w:rsid w:val="001A7349"/>
    <w:rsid w:val="001A7910"/>
    <w:rsid w:val="001B256B"/>
    <w:rsid w:val="001B34D6"/>
    <w:rsid w:val="001B366C"/>
    <w:rsid w:val="001B3ECB"/>
    <w:rsid w:val="001B5881"/>
    <w:rsid w:val="001C002C"/>
    <w:rsid w:val="001C0442"/>
    <w:rsid w:val="001C05EA"/>
    <w:rsid w:val="001C5276"/>
    <w:rsid w:val="001D0C1C"/>
    <w:rsid w:val="001D315D"/>
    <w:rsid w:val="001D6E4F"/>
    <w:rsid w:val="001E19E2"/>
    <w:rsid w:val="001E6D7D"/>
    <w:rsid w:val="001E7E58"/>
    <w:rsid w:val="001F06CA"/>
    <w:rsid w:val="001F101B"/>
    <w:rsid w:val="001F59D8"/>
    <w:rsid w:val="00200346"/>
    <w:rsid w:val="0020357D"/>
    <w:rsid w:val="00203965"/>
    <w:rsid w:val="0020406F"/>
    <w:rsid w:val="002047D6"/>
    <w:rsid w:val="00205B93"/>
    <w:rsid w:val="00206050"/>
    <w:rsid w:val="00206332"/>
    <w:rsid w:val="00207018"/>
    <w:rsid w:val="002123C8"/>
    <w:rsid w:val="0021395B"/>
    <w:rsid w:val="0021417A"/>
    <w:rsid w:val="00216AE2"/>
    <w:rsid w:val="00223974"/>
    <w:rsid w:val="002249BA"/>
    <w:rsid w:val="00224D11"/>
    <w:rsid w:val="002267F0"/>
    <w:rsid w:val="0022722B"/>
    <w:rsid w:val="00231B9D"/>
    <w:rsid w:val="00232A10"/>
    <w:rsid w:val="002335D5"/>
    <w:rsid w:val="00243419"/>
    <w:rsid w:val="002436CE"/>
    <w:rsid w:val="00247C0B"/>
    <w:rsid w:val="00250DA9"/>
    <w:rsid w:val="002564A2"/>
    <w:rsid w:val="00260591"/>
    <w:rsid w:val="00263889"/>
    <w:rsid w:val="00263FBD"/>
    <w:rsid w:val="00263FFC"/>
    <w:rsid w:val="0026475B"/>
    <w:rsid w:val="0026537B"/>
    <w:rsid w:val="00266BB4"/>
    <w:rsid w:val="00270C9A"/>
    <w:rsid w:val="00277727"/>
    <w:rsid w:val="00280003"/>
    <w:rsid w:val="002811CE"/>
    <w:rsid w:val="00282AA6"/>
    <w:rsid w:val="00283314"/>
    <w:rsid w:val="0028468F"/>
    <w:rsid w:val="0028533B"/>
    <w:rsid w:val="002867BA"/>
    <w:rsid w:val="002868A2"/>
    <w:rsid w:val="002907A3"/>
    <w:rsid w:val="00290E2C"/>
    <w:rsid w:val="0029223E"/>
    <w:rsid w:val="0029259B"/>
    <w:rsid w:val="00292C47"/>
    <w:rsid w:val="002931C2"/>
    <w:rsid w:val="00294D7F"/>
    <w:rsid w:val="00295BFE"/>
    <w:rsid w:val="00297E1C"/>
    <w:rsid w:val="002A0761"/>
    <w:rsid w:val="002A2CC4"/>
    <w:rsid w:val="002A33C1"/>
    <w:rsid w:val="002A4549"/>
    <w:rsid w:val="002B17E8"/>
    <w:rsid w:val="002B3ACF"/>
    <w:rsid w:val="002B438C"/>
    <w:rsid w:val="002B7D81"/>
    <w:rsid w:val="002B7EAD"/>
    <w:rsid w:val="002C1999"/>
    <w:rsid w:val="002C2060"/>
    <w:rsid w:val="002C2B64"/>
    <w:rsid w:val="002C4761"/>
    <w:rsid w:val="002C5D2F"/>
    <w:rsid w:val="002D0400"/>
    <w:rsid w:val="002D202F"/>
    <w:rsid w:val="002D3BD3"/>
    <w:rsid w:val="002E03C4"/>
    <w:rsid w:val="002E0611"/>
    <w:rsid w:val="002E134E"/>
    <w:rsid w:val="002F0CDC"/>
    <w:rsid w:val="002F2ABF"/>
    <w:rsid w:val="002F5CD1"/>
    <w:rsid w:val="002F722A"/>
    <w:rsid w:val="00301319"/>
    <w:rsid w:val="003033D1"/>
    <w:rsid w:val="0030341E"/>
    <w:rsid w:val="003042DA"/>
    <w:rsid w:val="00305A2D"/>
    <w:rsid w:val="00305B71"/>
    <w:rsid w:val="00306098"/>
    <w:rsid w:val="003110F6"/>
    <w:rsid w:val="0031134A"/>
    <w:rsid w:val="00312A0E"/>
    <w:rsid w:val="003154EB"/>
    <w:rsid w:val="00316B06"/>
    <w:rsid w:val="00320C98"/>
    <w:rsid w:val="00330A1A"/>
    <w:rsid w:val="003321A9"/>
    <w:rsid w:val="003455B3"/>
    <w:rsid w:val="003476BA"/>
    <w:rsid w:val="003526F4"/>
    <w:rsid w:val="003558B0"/>
    <w:rsid w:val="003601BD"/>
    <w:rsid w:val="00360508"/>
    <w:rsid w:val="00361BE9"/>
    <w:rsid w:val="00364C53"/>
    <w:rsid w:val="00365C7E"/>
    <w:rsid w:val="00373605"/>
    <w:rsid w:val="003826CD"/>
    <w:rsid w:val="00383941"/>
    <w:rsid w:val="003848A9"/>
    <w:rsid w:val="0038507B"/>
    <w:rsid w:val="003861EC"/>
    <w:rsid w:val="00391F7C"/>
    <w:rsid w:val="0039479B"/>
    <w:rsid w:val="003957C3"/>
    <w:rsid w:val="0039664A"/>
    <w:rsid w:val="003A0CE8"/>
    <w:rsid w:val="003A3D6B"/>
    <w:rsid w:val="003A66D4"/>
    <w:rsid w:val="003B011E"/>
    <w:rsid w:val="003B10FA"/>
    <w:rsid w:val="003B2102"/>
    <w:rsid w:val="003B2598"/>
    <w:rsid w:val="003B5875"/>
    <w:rsid w:val="003B5CDA"/>
    <w:rsid w:val="003C2229"/>
    <w:rsid w:val="003C3340"/>
    <w:rsid w:val="003C3461"/>
    <w:rsid w:val="003C4B70"/>
    <w:rsid w:val="003C5A60"/>
    <w:rsid w:val="003D1E06"/>
    <w:rsid w:val="003D721C"/>
    <w:rsid w:val="003E34FE"/>
    <w:rsid w:val="003E7DAA"/>
    <w:rsid w:val="003F1515"/>
    <w:rsid w:val="003F2FD3"/>
    <w:rsid w:val="003F3E5B"/>
    <w:rsid w:val="003F427C"/>
    <w:rsid w:val="003F5986"/>
    <w:rsid w:val="0040005B"/>
    <w:rsid w:val="004054BD"/>
    <w:rsid w:val="00405868"/>
    <w:rsid w:val="00405DE9"/>
    <w:rsid w:val="00406090"/>
    <w:rsid w:val="00406FBA"/>
    <w:rsid w:val="00407BB9"/>
    <w:rsid w:val="00412439"/>
    <w:rsid w:val="00412E0D"/>
    <w:rsid w:val="004144C6"/>
    <w:rsid w:val="00415AEE"/>
    <w:rsid w:val="00417111"/>
    <w:rsid w:val="004202B9"/>
    <w:rsid w:val="00420939"/>
    <w:rsid w:val="00423183"/>
    <w:rsid w:val="00423761"/>
    <w:rsid w:val="00425BCD"/>
    <w:rsid w:val="004279CC"/>
    <w:rsid w:val="00433137"/>
    <w:rsid w:val="00434F57"/>
    <w:rsid w:val="00435C79"/>
    <w:rsid w:val="00436122"/>
    <w:rsid w:val="0043729B"/>
    <w:rsid w:val="00437470"/>
    <w:rsid w:val="00441CE8"/>
    <w:rsid w:val="00445211"/>
    <w:rsid w:val="00446E89"/>
    <w:rsid w:val="00446F7F"/>
    <w:rsid w:val="004474D0"/>
    <w:rsid w:val="00450914"/>
    <w:rsid w:val="00456037"/>
    <w:rsid w:val="004675EA"/>
    <w:rsid w:val="00470C11"/>
    <w:rsid w:val="004712E6"/>
    <w:rsid w:val="004802BC"/>
    <w:rsid w:val="00482B5C"/>
    <w:rsid w:val="0048488E"/>
    <w:rsid w:val="00490E54"/>
    <w:rsid w:val="00490E6D"/>
    <w:rsid w:val="00491AC1"/>
    <w:rsid w:val="0049260D"/>
    <w:rsid w:val="00493362"/>
    <w:rsid w:val="004947BF"/>
    <w:rsid w:val="00495FD5"/>
    <w:rsid w:val="004962CF"/>
    <w:rsid w:val="004A6317"/>
    <w:rsid w:val="004A6460"/>
    <w:rsid w:val="004B0D14"/>
    <w:rsid w:val="004B352C"/>
    <w:rsid w:val="004B5BD2"/>
    <w:rsid w:val="004C094F"/>
    <w:rsid w:val="004C59A6"/>
    <w:rsid w:val="004C5ECD"/>
    <w:rsid w:val="004D0CA0"/>
    <w:rsid w:val="004D132D"/>
    <w:rsid w:val="004D17FE"/>
    <w:rsid w:val="004D1BC6"/>
    <w:rsid w:val="004D3A7E"/>
    <w:rsid w:val="004D3CCF"/>
    <w:rsid w:val="004D4F62"/>
    <w:rsid w:val="004D7E9B"/>
    <w:rsid w:val="004E17E3"/>
    <w:rsid w:val="004E17F1"/>
    <w:rsid w:val="004E1CA7"/>
    <w:rsid w:val="004E4342"/>
    <w:rsid w:val="004F077E"/>
    <w:rsid w:val="004F3503"/>
    <w:rsid w:val="004F54E4"/>
    <w:rsid w:val="00500FFC"/>
    <w:rsid w:val="00501475"/>
    <w:rsid w:val="005055FE"/>
    <w:rsid w:val="00507AD7"/>
    <w:rsid w:val="00513124"/>
    <w:rsid w:val="005140B7"/>
    <w:rsid w:val="00514A95"/>
    <w:rsid w:val="00515496"/>
    <w:rsid w:val="005161D0"/>
    <w:rsid w:val="00517BBF"/>
    <w:rsid w:val="00520FD8"/>
    <w:rsid w:val="00522B73"/>
    <w:rsid w:val="00525563"/>
    <w:rsid w:val="00526827"/>
    <w:rsid w:val="0052735E"/>
    <w:rsid w:val="005309C2"/>
    <w:rsid w:val="00532EA1"/>
    <w:rsid w:val="00533E07"/>
    <w:rsid w:val="00534B38"/>
    <w:rsid w:val="0053525B"/>
    <w:rsid w:val="00537132"/>
    <w:rsid w:val="005404FB"/>
    <w:rsid w:val="0054074E"/>
    <w:rsid w:val="005418E2"/>
    <w:rsid w:val="005449CC"/>
    <w:rsid w:val="0055446B"/>
    <w:rsid w:val="00556829"/>
    <w:rsid w:val="00560B3F"/>
    <w:rsid w:val="00564B0C"/>
    <w:rsid w:val="0056565B"/>
    <w:rsid w:val="00567F45"/>
    <w:rsid w:val="00570C02"/>
    <w:rsid w:val="00572AE9"/>
    <w:rsid w:val="0057574A"/>
    <w:rsid w:val="00580D2E"/>
    <w:rsid w:val="00582B56"/>
    <w:rsid w:val="00585145"/>
    <w:rsid w:val="00586927"/>
    <w:rsid w:val="00587B00"/>
    <w:rsid w:val="00591871"/>
    <w:rsid w:val="005918C9"/>
    <w:rsid w:val="005922A2"/>
    <w:rsid w:val="00592D57"/>
    <w:rsid w:val="00593BEA"/>
    <w:rsid w:val="00597DDB"/>
    <w:rsid w:val="005A1C2B"/>
    <w:rsid w:val="005A270A"/>
    <w:rsid w:val="005A305F"/>
    <w:rsid w:val="005A355A"/>
    <w:rsid w:val="005A613F"/>
    <w:rsid w:val="005A6F9D"/>
    <w:rsid w:val="005A7D59"/>
    <w:rsid w:val="005A7F8F"/>
    <w:rsid w:val="005B17F2"/>
    <w:rsid w:val="005B396B"/>
    <w:rsid w:val="005B54AA"/>
    <w:rsid w:val="005B5CBA"/>
    <w:rsid w:val="005B65F2"/>
    <w:rsid w:val="005B7B48"/>
    <w:rsid w:val="005C13DD"/>
    <w:rsid w:val="005C180F"/>
    <w:rsid w:val="005C2CE0"/>
    <w:rsid w:val="005D1B1D"/>
    <w:rsid w:val="005D294C"/>
    <w:rsid w:val="005D3048"/>
    <w:rsid w:val="005D48A9"/>
    <w:rsid w:val="005E39AC"/>
    <w:rsid w:val="005F2BF0"/>
    <w:rsid w:val="005F2CFA"/>
    <w:rsid w:val="005F6C79"/>
    <w:rsid w:val="005F6D0A"/>
    <w:rsid w:val="00600290"/>
    <w:rsid w:val="00601C91"/>
    <w:rsid w:val="00602D03"/>
    <w:rsid w:val="00605CB7"/>
    <w:rsid w:val="00605CE6"/>
    <w:rsid w:val="00613413"/>
    <w:rsid w:val="006149CC"/>
    <w:rsid w:val="00615FBE"/>
    <w:rsid w:val="00616E1B"/>
    <w:rsid w:val="00620457"/>
    <w:rsid w:val="00620F17"/>
    <w:rsid w:val="00621706"/>
    <w:rsid w:val="00624C39"/>
    <w:rsid w:val="0063554C"/>
    <w:rsid w:val="00635A46"/>
    <w:rsid w:val="00637FBF"/>
    <w:rsid w:val="006407A9"/>
    <w:rsid w:val="00641112"/>
    <w:rsid w:val="006411B3"/>
    <w:rsid w:val="00643603"/>
    <w:rsid w:val="00643833"/>
    <w:rsid w:val="0064635B"/>
    <w:rsid w:val="006504F9"/>
    <w:rsid w:val="006511EE"/>
    <w:rsid w:val="00660A46"/>
    <w:rsid w:val="00661BC9"/>
    <w:rsid w:val="00662EFB"/>
    <w:rsid w:val="006633C1"/>
    <w:rsid w:val="00664BBD"/>
    <w:rsid w:val="0066639B"/>
    <w:rsid w:val="0066766E"/>
    <w:rsid w:val="00670A62"/>
    <w:rsid w:val="006711FE"/>
    <w:rsid w:val="00671375"/>
    <w:rsid w:val="00677B70"/>
    <w:rsid w:val="006805FB"/>
    <w:rsid w:val="0068440D"/>
    <w:rsid w:val="00685B67"/>
    <w:rsid w:val="0068698D"/>
    <w:rsid w:val="00691F57"/>
    <w:rsid w:val="006959BA"/>
    <w:rsid w:val="0069761D"/>
    <w:rsid w:val="006A0060"/>
    <w:rsid w:val="006A0D3E"/>
    <w:rsid w:val="006A3A31"/>
    <w:rsid w:val="006A3CE6"/>
    <w:rsid w:val="006A6B6F"/>
    <w:rsid w:val="006A6C84"/>
    <w:rsid w:val="006B1114"/>
    <w:rsid w:val="006B1453"/>
    <w:rsid w:val="006B197E"/>
    <w:rsid w:val="006B3C54"/>
    <w:rsid w:val="006B50F2"/>
    <w:rsid w:val="006B6C72"/>
    <w:rsid w:val="006C345B"/>
    <w:rsid w:val="006C369A"/>
    <w:rsid w:val="006C38AC"/>
    <w:rsid w:val="006C7105"/>
    <w:rsid w:val="006D033F"/>
    <w:rsid w:val="006D4AEF"/>
    <w:rsid w:val="006D5F2F"/>
    <w:rsid w:val="006D6041"/>
    <w:rsid w:val="006E066E"/>
    <w:rsid w:val="006E1731"/>
    <w:rsid w:val="006E3313"/>
    <w:rsid w:val="006E536C"/>
    <w:rsid w:val="006E65F2"/>
    <w:rsid w:val="006F1BAA"/>
    <w:rsid w:val="006F20BD"/>
    <w:rsid w:val="006F4C57"/>
    <w:rsid w:val="006F7CE9"/>
    <w:rsid w:val="00700398"/>
    <w:rsid w:val="00701FF8"/>
    <w:rsid w:val="00704566"/>
    <w:rsid w:val="00711996"/>
    <w:rsid w:val="007133F3"/>
    <w:rsid w:val="0071341B"/>
    <w:rsid w:val="00713930"/>
    <w:rsid w:val="00713A94"/>
    <w:rsid w:val="00715E7F"/>
    <w:rsid w:val="007211CE"/>
    <w:rsid w:val="0072328A"/>
    <w:rsid w:val="0072378B"/>
    <w:rsid w:val="00724D8A"/>
    <w:rsid w:val="007255BE"/>
    <w:rsid w:val="00730138"/>
    <w:rsid w:val="007309EE"/>
    <w:rsid w:val="00732C63"/>
    <w:rsid w:val="00733A3F"/>
    <w:rsid w:val="00736E8B"/>
    <w:rsid w:val="00740F1D"/>
    <w:rsid w:val="00741112"/>
    <w:rsid w:val="007414DA"/>
    <w:rsid w:val="00743601"/>
    <w:rsid w:val="00746C12"/>
    <w:rsid w:val="00747D34"/>
    <w:rsid w:val="007513D2"/>
    <w:rsid w:val="00751D95"/>
    <w:rsid w:val="007554AD"/>
    <w:rsid w:val="007555B5"/>
    <w:rsid w:val="00755764"/>
    <w:rsid w:val="007560FE"/>
    <w:rsid w:val="007606B4"/>
    <w:rsid w:val="00760E38"/>
    <w:rsid w:val="007628F0"/>
    <w:rsid w:val="00763033"/>
    <w:rsid w:val="007633F7"/>
    <w:rsid w:val="007723F2"/>
    <w:rsid w:val="00772B86"/>
    <w:rsid w:val="00773DB4"/>
    <w:rsid w:val="007762A8"/>
    <w:rsid w:val="00782C4C"/>
    <w:rsid w:val="007856FE"/>
    <w:rsid w:val="007873AE"/>
    <w:rsid w:val="00787433"/>
    <w:rsid w:val="00792248"/>
    <w:rsid w:val="00797848"/>
    <w:rsid w:val="007A4E86"/>
    <w:rsid w:val="007A5C89"/>
    <w:rsid w:val="007A6A69"/>
    <w:rsid w:val="007B19C7"/>
    <w:rsid w:val="007B4D2D"/>
    <w:rsid w:val="007B71DB"/>
    <w:rsid w:val="007C20ED"/>
    <w:rsid w:val="007C3957"/>
    <w:rsid w:val="007C3B09"/>
    <w:rsid w:val="007C7DB3"/>
    <w:rsid w:val="007D1658"/>
    <w:rsid w:val="007D1E37"/>
    <w:rsid w:val="007D2846"/>
    <w:rsid w:val="007D2E1D"/>
    <w:rsid w:val="007D3D58"/>
    <w:rsid w:val="007D3FB0"/>
    <w:rsid w:val="007D5D83"/>
    <w:rsid w:val="007E1930"/>
    <w:rsid w:val="007E790F"/>
    <w:rsid w:val="007F03FB"/>
    <w:rsid w:val="007F1795"/>
    <w:rsid w:val="007F19BF"/>
    <w:rsid w:val="007F426D"/>
    <w:rsid w:val="007F476F"/>
    <w:rsid w:val="007F5438"/>
    <w:rsid w:val="007F6147"/>
    <w:rsid w:val="007F729F"/>
    <w:rsid w:val="007F7D72"/>
    <w:rsid w:val="00801AB9"/>
    <w:rsid w:val="00804634"/>
    <w:rsid w:val="00806AE0"/>
    <w:rsid w:val="00810B6F"/>
    <w:rsid w:val="00814F2C"/>
    <w:rsid w:val="00820313"/>
    <w:rsid w:val="0082068E"/>
    <w:rsid w:val="008215AE"/>
    <w:rsid w:val="00824C5C"/>
    <w:rsid w:val="00825CA4"/>
    <w:rsid w:val="0082666E"/>
    <w:rsid w:val="00827EEC"/>
    <w:rsid w:val="008328CE"/>
    <w:rsid w:val="0083380E"/>
    <w:rsid w:val="00834C35"/>
    <w:rsid w:val="00842054"/>
    <w:rsid w:val="00845248"/>
    <w:rsid w:val="00845860"/>
    <w:rsid w:val="00846AB2"/>
    <w:rsid w:val="00846B74"/>
    <w:rsid w:val="0085213A"/>
    <w:rsid w:val="00856079"/>
    <w:rsid w:val="0086093E"/>
    <w:rsid w:val="00860BE2"/>
    <w:rsid w:val="00865B4A"/>
    <w:rsid w:val="00866E74"/>
    <w:rsid w:val="00866F57"/>
    <w:rsid w:val="008712AE"/>
    <w:rsid w:val="00872701"/>
    <w:rsid w:val="00872E9D"/>
    <w:rsid w:val="00873200"/>
    <w:rsid w:val="00873EA2"/>
    <w:rsid w:val="00875308"/>
    <w:rsid w:val="00876EC3"/>
    <w:rsid w:val="00880B99"/>
    <w:rsid w:val="00880F24"/>
    <w:rsid w:val="00883D0F"/>
    <w:rsid w:val="00885371"/>
    <w:rsid w:val="00885B5F"/>
    <w:rsid w:val="0089203E"/>
    <w:rsid w:val="008929C5"/>
    <w:rsid w:val="00893136"/>
    <w:rsid w:val="00894637"/>
    <w:rsid w:val="008956E6"/>
    <w:rsid w:val="00897D57"/>
    <w:rsid w:val="008A0B5F"/>
    <w:rsid w:val="008A1EAA"/>
    <w:rsid w:val="008A5706"/>
    <w:rsid w:val="008A57F2"/>
    <w:rsid w:val="008A57F8"/>
    <w:rsid w:val="008A619D"/>
    <w:rsid w:val="008A627F"/>
    <w:rsid w:val="008A6726"/>
    <w:rsid w:val="008A678C"/>
    <w:rsid w:val="008A67D0"/>
    <w:rsid w:val="008A7369"/>
    <w:rsid w:val="008B1EB0"/>
    <w:rsid w:val="008B4D9E"/>
    <w:rsid w:val="008B5603"/>
    <w:rsid w:val="008B5DCB"/>
    <w:rsid w:val="008B6871"/>
    <w:rsid w:val="008B6F5B"/>
    <w:rsid w:val="008C1F38"/>
    <w:rsid w:val="008C5336"/>
    <w:rsid w:val="008C7473"/>
    <w:rsid w:val="008D0185"/>
    <w:rsid w:val="008D281B"/>
    <w:rsid w:val="008E198D"/>
    <w:rsid w:val="008E24BC"/>
    <w:rsid w:val="008E32A1"/>
    <w:rsid w:val="008E4062"/>
    <w:rsid w:val="008E7E5F"/>
    <w:rsid w:val="008F13E3"/>
    <w:rsid w:val="008F2297"/>
    <w:rsid w:val="008F7088"/>
    <w:rsid w:val="00901073"/>
    <w:rsid w:val="00902164"/>
    <w:rsid w:val="00906C51"/>
    <w:rsid w:val="009106F7"/>
    <w:rsid w:val="0091628C"/>
    <w:rsid w:val="009170F0"/>
    <w:rsid w:val="00924A11"/>
    <w:rsid w:val="00926517"/>
    <w:rsid w:val="009274C3"/>
    <w:rsid w:val="00930C7F"/>
    <w:rsid w:val="00932E56"/>
    <w:rsid w:val="00933A70"/>
    <w:rsid w:val="009343F9"/>
    <w:rsid w:val="00934D05"/>
    <w:rsid w:val="00944AA2"/>
    <w:rsid w:val="00945ADB"/>
    <w:rsid w:val="00947D60"/>
    <w:rsid w:val="00947ED0"/>
    <w:rsid w:val="00950466"/>
    <w:rsid w:val="00952ACE"/>
    <w:rsid w:val="00953862"/>
    <w:rsid w:val="00953E8D"/>
    <w:rsid w:val="00954F24"/>
    <w:rsid w:val="0095542F"/>
    <w:rsid w:val="00956DDA"/>
    <w:rsid w:val="009578A4"/>
    <w:rsid w:val="00961E6A"/>
    <w:rsid w:val="00963973"/>
    <w:rsid w:val="00964171"/>
    <w:rsid w:val="00966DA2"/>
    <w:rsid w:val="00970995"/>
    <w:rsid w:val="00970F58"/>
    <w:rsid w:val="00972584"/>
    <w:rsid w:val="009726F9"/>
    <w:rsid w:val="00973681"/>
    <w:rsid w:val="00975735"/>
    <w:rsid w:val="00980258"/>
    <w:rsid w:val="0098182C"/>
    <w:rsid w:val="00987448"/>
    <w:rsid w:val="00990D0F"/>
    <w:rsid w:val="009928D4"/>
    <w:rsid w:val="00993DC8"/>
    <w:rsid w:val="00993F65"/>
    <w:rsid w:val="00993FE4"/>
    <w:rsid w:val="0099509A"/>
    <w:rsid w:val="0099705B"/>
    <w:rsid w:val="009A07BA"/>
    <w:rsid w:val="009A1CA4"/>
    <w:rsid w:val="009A2AAA"/>
    <w:rsid w:val="009A4F8A"/>
    <w:rsid w:val="009A5FCD"/>
    <w:rsid w:val="009B0ED7"/>
    <w:rsid w:val="009B6BA5"/>
    <w:rsid w:val="009B716B"/>
    <w:rsid w:val="009D1AB5"/>
    <w:rsid w:val="009D2F96"/>
    <w:rsid w:val="009D3309"/>
    <w:rsid w:val="009D7632"/>
    <w:rsid w:val="009E31BC"/>
    <w:rsid w:val="009E40E2"/>
    <w:rsid w:val="009E4845"/>
    <w:rsid w:val="009E5179"/>
    <w:rsid w:val="009F3724"/>
    <w:rsid w:val="009F4772"/>
    <w:rsid w:val="009F6791"/>
    <w:rsid w:val="009F7FDD"/>
    <w:rsid w:val="00A006B5"/>
    <w:rsid w:val="00A03411"/>
    <w:rsid w:val="00A05A84"/>
    <w:rsid w:val="00A068A8"/>
    <w:rsid w:val="00A06C44"/>
    <w:rsid w:val="00A10BF2"/>
    <w:rsid w:val="00A16288"/>
    <w:rsid w:val="00A16DAD"/>
    <w:rsid w:val="00A20225"/>
    <w:rsid w:val="00A26959"/>
    <w:rsid w:val="00A27074"/>
    <w:rsid w:val="00A272A1"/>
    <w:rsid w:val="00A30091"/>
    <w:rsid w:val="00A30186"/>
    <w:rsid w:val="00A305D7"/>
    <w:rsid w:val="00A30C05"/>
    <w:rsid w:val="00A3108B"/>
    <w:rsid w:val="00A32FBB"/>
    <w:rsid w:val="00A34A26"/>
    <w:rsid w:val="00A353FB"/>
    <w:rsid w:val="00A35C80"/>
    <w:rsid w:val="00A41B4D"/>
    <w:rsid w:val="00A45A0C"/>
    <w:rsid w:val="00A46AD8"/>
    <w:rsid w:val="00A50202"/>
    <w:rsid w:val="00A52DA2"/>
    <w:rsid w:val="00A5449F"/>
    <w:rsid w:val="00A56621"/>
    <w:rsid w:val="00A6424F"/>
    <w:rsid w:val="00A67EE1"/>
    <w:rsid w:val="00A738C7"/>
    <w:rsid w:val="00A73F65"/>
    <w:rsid w:val="00A74A6B"/>
    <w:rsid w:val="00A802EA"/>
    <w:rsid w:val="00A8508F"/>
    <w:rsid w:val="00A90631"/>
    <w:rsid w:val="00A93E4D"/>
    <w:rsid w:val="00A95EB9"/>
    <w:rsid w:val="00A96FC5"/>
    <w:rsid w:val="00A9776F"/>
    <w:rsid w:val="00A97927"/>
    <w:rsid w:val="00A97FEB"/>
    <w:rsid w:val="00AB065B"/>
    <w:rsid w:val="00AB09D7"/>
    <w:rsid w:val="00AB26C1"/>
    <w:rsid w:val="00AB2ABA"/>
    <w:rsid w:val="00AB40C2"/>
    <w:rsid w:val="00AB7276"/>
    <w:rsid w:val="00AC035A"/>
    <w:rsid w:val="00AC0AEE"/>
    <w:rsid w:val="00AC288C"/>
    <w:rsid w:val="00AC29FB"/>
    <w:rsid w:val="00AC38EF"/>
    <w:rsid w:val="00AC43B9"/>
    <w:rsid w:val="00AD0E27"/>
    <w:rsid w:val="00AD519F"/>
    <w:rsid w:val="00AD5222"/>
    <w:rsid w:val="00AE088A"/>
    <w:rsid w:val="00AE15C2"/>
    <w:rsid w:val="00AE3BA6"/>
    <w:rsid w:val="00AE5A9F"/>
    <w:rsid w:val="00AF000B"/>
    <w:rsid w:val="00AF02A0"/>
    <w:rsid w:val="00AF162C"/>
    <w:rsid w:val="00AF4884"/>
    <w:rsid w:val="00AF5217"/>
    <w:rsid w:val="00AF5A7B"/>
    <w:rsid w:val="00AF67BB"/>
    <w:rsid w:val="00B00438"/>
    <w:rsid w:val="00B01FF6"/>
    <w:rsid w:val="00B06856"/>
    <w:rsid w:val="00B06E7B"/>
    <w:rsid w:val="00B1226B"/>
    <w:rsid w:val="00B1459F"/>
    <w:rsid w:val="00B153BB"/>
    <w:rsid w:val="00B15487"/>
    <w:rsid w:val="00B202F4"/>
    <w:rsid w:val="00B215E8"/>
    <w:rsid w:val="00B21F3D"/>
    <w:rsid w:val="00B224DC"/>
    <w:rsid w:val="00B22884"/>
    <w:rsid w:val="00B23203"/>
    <w:rsid w:val="00B263F2"/>
    <w:rsid w:val="00B3029E"/>
    <w:rsid w:val="00B306A3"/>
    <w:rsid w:val="00B30FD0"/>
    <w:rsid w:val="00B31FD5"/>
    <w:rsid w:val="00B32E97"/>
    <w:rsid w:val="00B369D3"/>
    <w:rsid w:val="00B37996"/>
    <w:rsid w:val="00B401E0"/>
    <w:rsid w:val="00B42F08"/>
    <w:rsid w:val="00B43701"/>
    <w:rsid w:val="00B46D49"/>
    <w:rsid w:val="00B470B0"/>
    <w:rsid w:val="00B56B81"/>
    <w:rsid w:val="00B576F3"/>
    <w:rsid w:val="00B608D1"/>
    <w:rsid w:val="00B60E0A"/>
    <w:rsid w:val="00B622A5"/>
    <w:rsid w:val="00B66785"/>
    <w:rsid w:val="00B717E2"/>
    <w:rsid w:val="00B7335D"/>
    <w:rsid w:val="00B739DC"/>
    <w:rsid w:val="00B7445A"/>
    <w:rsid w:val="00B82681"/>
    <w:rsid w:val="00B826C7"/>
    <w:rsid w:val="00B82802"/>
    <w:rsid w:val="00B8353B"/>
    <w:rsid w:val="00B86DFE"/>
    <w:rsid w:val="00B87814"/>
    <w:rsid w:val="00BA24D9"/>
    <w:rsid w:val="00BA3F97"/>
    <w:rsid w:val="00BA460C"/>
    <w:rsid w:val="00BB021A"/>
    <w:rsid w:val="00BB0961"/>
    <w:rsid w:val="00BB0A31"/>
    <w:rsid w:val="00BB1CBE"/>
    <w:rsid w:val="00BB68AD"/>
    <w:rsid w:val="00BB6B02"/>
    <w:rsid w:val="00BC1398"/>
    <w:rsid w:val="00BC15F3"/>
    <w:rsid w:val="00BC2ADD"/>
    <w:rsid w:val="00BC2BFC"/>
    <w:rsid w:val="00BC3573"/>
    <w:rsid w:val="00BC462A"/>
    <w:rsid w:val="00BC4704"/>
    <w:rsid w:val="00BC4B42"/>
    <w:rsid w:val="00BC6AE0"/>
    <w:rsid w:val="00BD0805"/>
    <w:rsid w:val="00BD4EB6"/>
    <w:rsid w:val="00BD7F2B"/>
    <w:rsid w:val="00BE23DE"/>
    <w:rsid w:val="00BE60DA"/>
    <w:rsid w:val="00BF0011"/>
    <w:rsid w:val="00BF03F0"/>
    <w:rsid w:val="00BF214B"/>
    <w:rsid w:val="00BF3388"/>
    <w:rsid w:val="00BF6416"/>
    <w:rsid w:val="00BF651D"/>
    <w:rsid w:val="00BF6E5B"/>
    <w:rsid w:val="00C00836"/>
    <w:rsid w:val="00C01D88"/>
    <w:rsid w:val="00C0287F"/>
    <w:rsid w:val="00C049A7"/>
    <w:rsid w:val="00C04C37"/>
    <w:rsid w:val="00C13A48"/>
    <w:rsid w:val="00C20970"/>
    <w:rsid w:val="00C21090"/>
    <w:rsid w:val="00C22535"/>
    <w:rsid w:val="00C239A0"/>
    <w:rsid w:val="00C23C00"/>
    <w:rsid w:val="00C267D5"/>
    <w:rsid w:val="00C318BB"/>
    <w:rsid w:val="00C3220D"/>
    <w:rsid w:val="00C33A0D"/>
    <w:rsid w:val="00C460E4"/>
    <w:rsid w:val="00C465A0"/>
    <w:rsid w:val="00C4759B"/>
    <w:rsid w:val="00C50488"/>
    <w:rsid w:val="00C526B9"/>
    <w:rsid w:val="00C570B8"/>
    <w:rsid w:val="00C57374"/>
    <w:rsid w:val="00C61F58"/>
    <w:rsid w:val="00C63412"/>
    <w:rsid w:val="00C67735"/>
    <w:rsid w:val="00C75F1A"/>
    <w:rsid w:val="00C75F7D"/>
    <w:rsid w:val="00C76F10"/>
    <w:rsid w:val="00C77CF6"/>
    <w:rsid w:val="00C8176F"/>
    <w:rsid w:val="00C81CDB"/>
    <w:rsid w:val="00C81DEC"/>
    <w:rsid w:val="00C859D3"/>
    <w:rsid w:val="00C92F0C"/>
    <w:rsid w:val="00C93266"/>
    <w:rsid w:val="00CA0F77"/>
    <w:rsid w:val="00CA28AF"/>
    <w:rsid w:val="00CA7ECE"/>
    <w:rsid w:val="00CB1692"/>
    <w:rsid w:val="00CB2ED4"/>
    <w:rsid w:val="00CB3168"/>
    <w:rsid w:val="00CB3EE5"/>
    <w:rsid w:val="00CB44B3"/>
    <w:rsid w:val="00CB6209"/>
    <w:rsid w:val="00CB62DF"/>
    <w:rsid w:val="00CC01F7"/>
    <w:rsid w:val="00CC028F"/>
    <w:rsid w:val="00CC03D0"/>
    <w:rsid w:val="00CC090A"/>
    <w:rsid w:val="00CC4800"/>
    <w:rsid w:val="00CD045A"/>
    <w:rsid w:val="00CD1961"/>
    <w:rsid w:val="00CD2812"/>
    <w:rsid w:val="00CE21C9"/>
    <w:rsid w:val="00CE3567"/>
    <w:rsid w:val="00CF1E84"/>
    <w:rsid w:val="00CF543E"/>
    <w:rsid w:val="00CF5648"/>
    <w:rsid w:val="00CF57B4"/>
    <w:rsid w:val="00D00A1C"/>
    <w:rsid w:val="00D033C6"/>
    <w:rsid w:val="00D06B16"/>
    <w:rsid w:val="00D120BD"/>
    <w:rsid w:val="00D123A4"/>
    <w:rsid w:val="00D129A5"/>
    <w:rsid w:val="00D12B4A"/>
    <w:rsid w:val="00D12DA6"/>
    <w:rsid w:val="00D13F9C"/>
    <w:rsid w:val="00D145FB"/>
    <w:rsid w:val="00D148E1"/>
    <w:rsid w:val="00D15628"/>
    <w:rsid w:val="00D20567"/>
    <w:rsid w:val="00D26062"/>
    <w:rsid w:val="00D30FDF"/>
    <w:rsid w:val="00D31A2D"/>
    <w:rsid w:val="00D32369"/>
    <w:rsid w:val="00D361DB"/>
    <w:rsid w:val="00D37ABD"/>
    <w:rsid w:val="00D418C3"/>
    <w:rsid w:val="00D42B34"/>
    <w:rsid w:val="00D4365C"/>
    <w:rsid w:val="00D44C75"/>
    <w:rsid w:val="00D47909"/>
    <w:rsid w:val="00D47DA8"/>
    <w:rsid w:val="00D47F43"/>
    <w:rsid w:val="00D53193"/>
    <w:rsid w:val="00D56A51"/>
    <w:rsid w:val="00D61CCF"/>
    <w:rsid w:val="00D63653"/>
    <w:rsid w:val="00D655BC"/>
    <w:rsid w:val="00D6678D"/>
    <w:rsid w:val="00D66DD2"/>
    <w:rsid w:val="00D66E17"/>
    <w:rsid w:val="00D67288"/>
    <w:rsid w:val="00D7056E"/>
    <w:rsid w:val="00D73602"/>
    <w:rsid w:val="00D73C2A"/>
    <w:rsid w:val="00D74204"/>
    <w:rsid w:val="00D76565"/>
    <w:rsid w:val="00D83937"/>
    <w:rsid w:val="00D84054"/>
    <w:rsid w:val="00D84EB7"/>
    <w:rsid w:val="00D8570D"/>
    <w:rsid w:val="00D85FA3"/>
    <w:rsid w:val="00D86A84"/>
    <w:rsid w:val="00D92224"/>
    <w:rsid w:val="00D964CA"/>
    <w:rsid w:val="00DA1951"/>
    <w:rsid w:val="00DA2561"/>
    <w:rsid w:val="00DA4BE0"/>
    <w:rsid w:val="00DA56B7"/>
    <w:rsid w:val="00DA5CD4"/>
    <w:rsid w:val="00DA78A0"/>
    <w:rsid w:val="00DB0AE3"/>
    <w:rsid w:val="00DB3796"/>
    <w:rsid w:val="00DB5056"/>
    <w:rsid w:val="00DC1574"/>
    <w:rsid w:val="00DC1E19"/>
    <w:rsid w:val="00DC3C76"/>
    <w:rsid w:val="00DC5878"/>
    <w:rsid w:val="00DC7A0F"/>
    <w:rsid w:val="00DC7C08"/>
    <w:rsid w:val="00DD0A03"/>
    <w:rsid w:val="00DD6234"/>
    <w:rsid w:val="00DD76D8"/>
    <w:rsid w:val="00DE210A"/>
    <w:rsid w:val="00DE21BA"/>
    <w:rsid w:val="00DE2440"/>
    <w:rsid w:val="00DE2C41"/>
    <w:rsid w:val="00DE3800"/>
    <w:rsid w:val="00DE4307"/>
    <w:rsid w:val="00DE6608"/>
    <w:rsid w:val="00DE66AE"/>
    <w:rsid w:val="00DE73E2"/>
    <w:rsid w:val="00DE75F0"/>
    <w:rsid w:val="00DF09FD"/>
    <w:rsid w:val="00DF0AEA"/>
    <w:rsid w:val="00DF3206"/>
    <w:rsid w:val="00DF4D6A"/>
    <w:rsid w:val="00DF4F96"/>
    <w:rsid w:val="00DF65F5"/>
    <w:rsid w:val="00E00227"/>
    <w:rsid w:val="00E010E1"/>
    <w:rsid w:val="00E0228A"/>
    <w:rsid w:val="00E0582F"/>
    <w:rsid w:val="00E10FA0"/>
    <w:rsid w:val="00E13F51"/>
    <w:rsid w:val="00E1471A"/>
    <w:rsid w:val="00E2149C"/>
    <w:rsid w:val="00E23E28"/>
    <w:rsid w:val="00E26064"/>
    <w:rsid w:val="00E26248"/>
    <w:rsid w:val="00E270AF"/>
    <w:rsid w:val="00E272CE"/>
    <w:rsid w:val="00E3091F"/>
    <w:rsid w:val="00E30B16"/>
    <w:rsid w:val="00E31F05"/>
    <w:rsid w:val="00E33019"/>
    <w:rsid w:val="00E33D7D"/>
    <w:rsid w:val="00E349FC"/>
    <w:rsid w:val="00E35EAD"/>
    <w:rsid w:val="00E439B1"/>
    <w:rsid w:val="00E516C3"/>
    <w:rsid w:val="00E57513"/>
    <w:rsid w:val="00E6274A"/>
    <w:rsid w:val="00E63F02"/>
    <w:rsid w:val="00E65B7F"/>
    <w:rsid w:val="00E6646C"/>
    <w:rsid w:val="00E67026"/>
    <w:rsid w:val="00E67E80"/>
    <w:rsid w:val="00E70762"/>
    <w:rsid w:val="00E72B51"/>
    <w:rsid w:val="00E745D5"/>
    <w:rsid w:val="00E77030"/>
    <w:rsid w:val="00E8101D"/>
    <w:rsid w:val="00E81198"/>
    <w:rsid w:val="00E8150A"/>
    <w:rsid w:val="00E834DC"/>
    <w:rsid w:val="00E84B62"/>
    <w:rsid w:val="00E85A0C"/>
    <w:rsid w:val="00E91166"/>
    <w:rsid w:val="00E93326"/>
    <w:rsid w:val="00E93F88"/>
    <w:rsid w:val="00E948D2"/>
    <w:rsid w:val="00E96D81"/>
    <w:rsid w:val="00EA040B"/>
    <w:rsid w:val="00EA05F0"/>
    <w:rsid w:val="00EA1151"/>
    <w:rsid w:val="00EA4429"/>
    <w:rsid w:val="00EA578C"/>
    <w:rsid w:val="00EA6231"/>
    <w:rsid w:val="00EA70D7"/>
    <w:rsid w:val="00EB1FE9"/>
    <w:rsid w:val="00EB2900"/>
    <w:rsid w:val="00EB3256"/>
    <w:rsid w:val="00EB33C0"/>
    <w:rsid w:val="00EB60AD"/>
    <w:rsid w:val="00EB798E"/>
    <w:rsid w:val="00EC09BA"/>
    <w:rsid w:val="00EC1600"/>
    <w:rsid w:val="00EC3757"/>
    <w:rsid w:val="00EC396F"/>
    <w:rsid w:val="00EC4F36"/>
    <w:rsid w:val="00EC516E"/>
    <w:rsid w:val="00EC6148"/>
    <w:rsid w:val="00EC72BA"/>
    <w:rsid w:val="00ED3952"/>
    <w:rsid w:val="00ED4F32"/>
    <w:rsid w:val="00ED5085"/>
    <w:rsid w:val="00ED5575"/>
    <w:rsid w:val="00ED655C"/>
    <w:rsid w:val="00ED6BF9"/>
    <w:rsid w:val="00ED7725"/>
    <w:rsid w:val="00ED787A"/>
    <w:rsid w:val="00EE29C4"/>
    <w:rsid w:val="00EE3242"/>
    <w:rsid w:val="00EE71FD"/>
    <w:rsid w:val="00EE736E"/>
    <w:rsid w:val="00EE7C78"/>
    <w:rsid w:val="00EF014A"/>
    <w:rsid w:val="00EF6B64"/>
    <w:rsid w:val="00F100A7"/>
    <w:rsid w:val="00F11970"/>
    <w:rsid w:val="00F15778"/>
    <w:rsid w:val="00F16606"/>
    <w:rsid w:val="00F20529"/>
    <w:rsid w:val="00F21525"/>
    <w:rsid w:val="00F27410"/>
    <w:rsid w:val="00F27E54"/>
    <w:rsid w:val="00F3015A"/>
    <w:rsid w:val="00F33460"/>
    <w:rsid w:val="00F33D12"/>
    <w:rsid w:val="00F35487"/>
    <w:rsid w:val="00F40B0E"/>
    <w:rsid w:val="00F41146"/>
    <w:rsid w:val="00F432A4"/>
    <w:rsid w:val="00F43A3D"/>
    <w:rsid w:val="00F465C3"/>
    <w:rsid w:val="00F50C41"/>
    <w:rsid w:val="00F5140A"/>
    <w:rsid w:val="00F542E0"/>
    <w:rsid w:val="00F55494"/>
    <w:rsid w:val="00F616D3"/>
    <w:rsid w:val="00F621A9"/>
    <w:rsid w:val="00F6481F"/>
    <w:rsid w:val="00F65B2E"/>
    <w:rsid w:val="00F72296"/>
    <w:rsid w:val="00F724A2"/>
    <w:rsid w:val="00F7258F"/>
    <w:rsid w:val="00F848F2"/>
    <w:rsid w:val="00F84B9B"/>
    <w:rsid w:val="00F94318"/>
    <w:rsid w:val="00FA0963"/>
    <w:rsid w:val="00FA3026"/>
    <w:rsid w:val="00FA4CB5"/>
    <w:rsid w:val="00FA4DAE"/>
    <w:rsid w:val="00FA51D2"/>
    <w:rsid w:val="00FA5AFB"/>
    <w:rsid w:val="00FA632A"/>
    <w:rsid w:val="00FB0D4A"/>
    <w:rsid w:val="00FB3B93"/>
    <w:rsid w:val="00FB60A3"/>
    <w:rsid w:val="00FC1AAB"/>
    <w:rsid w:val="00FC65F1"/>
    <w:rsid w:val="00FD179A"/>
    <w:rsid w:val="00FD1883"/>
    <w:rsid w:val="00FD3F68"/>
    <w:rsid w:val="00FE0CF5"/>
    <w:rsid w:val="00FE26FE"/>
    <w:rsid w:val="00FE2901"/>
    <w:rsid w:val="00FE48AE"/>
    <w:rsid w:val="00FE755A"/>
    <w:rsid w:val="00FF3A2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5BE2CD9"/>
  <w15:docId w15:val="{6E65718E-549E-4C85-BF07-81C27CF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rsid w:val="00200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A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7ABD"/>
    <w:rPr>
      <w:sz w:val="16"/>
      <w:szCs w:val="16"/>
    </w:rPr>
  </w:style>
  <w:style w:type="paragraph" w:styleId="CommentText">
    <w:name w:val="annotation text"/>
    <w:basedOn w:val="Normal"/>
    <w:semiHidden/>
    <w:rsid w:val="00D37A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7ABD"/>
    <w:rPr>
      <w:b/>
      <w:bCs/>
    </w:rPr>
  </w:style>
  <w:style w:type="character" w:customStyle="1" w:styleId="FooterChar">
    <w:name w:val="Footer Char"/>
    <w:link w:val="Footer"/>
    <w:rsid w:val="00A50202"/>
    <w:rPr>
      <w:sz w:val="24"/>
      <w:szCs w:val="24"/>
    </w:rPr>
  </w:style>
  <w:style w:type="paragraph" w:styleId="BodyText2">
    <w:name w:val="Body Text 2"/>
    <w:basedOn w:val="Normal"/>
    <w:link w:val="BodyText2Char"/>
    <w:rsid w:val="00115550"/>
    <w:pPr>
      <w:jc w:val="both"/>
    </w:pPr>
    <w:rPr>
      <w:color w:val="000000"/>
      <w:sz w:val="28"/>
      <w:szCs w:val="28"/>
    </w:rPr>
  </w:style>
  <w:style w:type="character" w:customStyle="1" w:styleId="BodyText2Char">
    <w:name w:val="Body Text 2 Char"/>
    <w:link w:val="BodyText2"/>
    <w:rsid w:val="00115550"/>
    <w:rPr>
      <w:color w:val="000000"/>
      <w:sz w:val="28"/>
      <w:szCs w:val="28"/>
    </w:rPr>
  </w:style>
  <w:style w:type="character" w:styleId="Strong">
    <w:name w:val="Strong"/>
    <w:uiPriority w:val="22"/>
    <w:qFormat/>
    <w:rsid w:val="007D2E1D"/>
    <w:rPr>
      <w:b/>
      <w:bCs/>
    </w:rPr>
  </w:style>
  <w:style w:type="paragraph" w:customStyle="1" w:styleId="naisnod">
    <w:name w:val="naisnod"/>
    <w:basedOn w:val="Normal"/>
    <w:rsid w:val="007D5D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7D5D83"/>
    <w:pPr>
      <w:spacing w:before="75" w:after="75"/>
    </w:pPr>
  </w:style>
  <w:style w:type="table" w:styleId="TableGrid">
    <w:name w:val="Table Grid"/>
    <w:basedOn w:val="TableNormal"/>
    <w:rsid w:val="009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Normal"/>
    <w:rsid w:val="00FC65F1"/>
    <w:pPr>
      <w:spacing w:before="100" w:beforeAutospacing="1" w:after="100" w:afterAutospacing="1"/>
    </w:pPr>
  </w:style>
  <w:style w:type="character" w:styleId="Emphasis">
    <w:name w:val="Emphasis"/>
    <w:qFormat/>
    <w:rsid w:val="007F1795"/>
    <w:rPr>
      <w:i/>
      <w:iCs/>
    </w:rPr>
  </w:style>
  <w:style w:type="character" w:customStyle="1" w:styleId="Heading1Char">
    <w:name w:val="Heading 1 Char"/>
    <w:link w:val="Heading1"/>
    <w:rsid w:val="00DF0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F09FD"/>
    <w:pPr>
      <w:spacing w:after="120"/>
    </w:pPr>
  </w:style>
  <w:style w:type="character" w:customStyle="1" w:styleId="BodyTextChar">
    <w:name w:val="Body Text Char"/>
    <w:link w:val="BodyText"/>
    <w:rsid w:val="00DF09FD"/>
    <w:rPr>
      <w:sz w:val="24"/>
      <w:szCs w:val="24"/>
    </w:rPr>
  </w:style>
  <w:style w:type="character" w:customStyle="1" w:styleId="Heading3Char">
    <w:name w:val="Heading 3 Char"/>
    <w:link w:val="Heading3"/>
    <w:semiHidden/>
    <w:rsid w:val="003B259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3A3D6B"/>
    <w:pPr>
      <w:spacing w:after="120" w:line="480" w:lineRule="auto"/>
      <w:ind w:left="283"/>
    </w:pPr>
    <w:rPr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A3D6B"/>
    <w:rPr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73013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36E"/>
    <w:pPr>
      <w:ind w:left="720"/>
      <w:contextualSpacing/>
    </w:pPr>
  </w:style>
  <w:style w:type="paragraph" w:customStyle="1" w:styleId="tv2132">
    <w:name w:val="tv2132"/>
    <w:basedOn w:val="Normal"/>
    <w:rsid w:val="00AB7276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2896-noteikumi-par-auglu-un-darzenu-razotaju-organizacij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2896-noteikumi-par-auglu-un-darzenu-razotaju-organizacij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559C-9F19-45D0-9579-BD8419CF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1975</Words>
  <Characters>13015</Characters>
  <Application>Microsoft Office Word</Application>
  <DocSecurity>0</DocSecurity>
  <Lines>108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augļu un dārzeņu ražotāju organizāciju atzīšanu, to darbības nosacījumiem un kontroli, kā arī kārtību, kādā piešķir, administrē un uzrauga Eiropas Savienības atbalstu augļu un dārzeņu ražotāju organizācijām</vt:lpstr>
      <vt:lpstr>Noteikumi par augļu un dārzeņu ražotāju organizāciju atzīšanu, to darbības nosacījumiem un kontroli, kā arī kārtību, kādā piešķir, administrē un uzrauga Eiropas Savienības atbalstu augļu un dārzeņu ražotāju organizācijām</vt:lpstr>
    </vt:vector>
  </TitlesOfParts>
  <Company>ZM</Company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augļu un dārzeņu ražotāju organizāciju atzīšanu, to darbības nosacījumiem un kontroli, kā arī kārtību, kādā piešķir, administrē un uzrauga Eiropas Savienības atbalstu augļu un dārzeņu ražotāju organizācijām</dc:title>
  <dc:subject>Anotācija</dc:subject>
  <dc:creator>Dace.Freimane@zm.gov.lv</dc:creator>
  <dc:description>Inese Ozola 67027019_x000d_
Inese.Ozola@zm.gov.lv</dc:description>
  <cp:lastModifiedBy>Dace Freimane</cp:lastModifiedBy>
  <cp:revision>21</cp:revision>
  <cp:lastPrinted>2016-08-24T06:40:00Z</cp:lastPrinted>
  <dcterms:created xsi:type="dcterms:W3CDTF">2017-06-06T06:57:00Z</dcterms:created>
  <dcterms:modified xsi:type="dcterms:W3CDTF">2017-06-13T12:38:00Z</dcterms:modified>
</cp:coreProperties>
</file>