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5F2" w:rsidRPr="00E65F9E" w:rsidRDefault="00066E44" w:rsidP="00066E44">
      <w:pPr>
        <w:shd w:val="clear" w:color="auto" w:fill="FFFFFF"/>
        <w:jc w:val="center"/>
        <w:rPr>
          <w:rFonts w:cs="Times New Roman"/>
          <w:b/>
          <w:bCs/>
          <w:sz w:val="24"/>
          <w:szCs w:val="24"/>
          <w:lang w:val="lv-LV" w:eastAsia="lv-LV" w:bidi="ar-SA"/>
        </w:rPr>
      </w:pPr>
      <w:r>
        <w:rPr>
          <w:rFonts w:cs="Times New Roman"/>
          <w:b/>
          <w:bCs/>
          <w:sz w:val="24"/>
          <w:szCs w:val="24"/>
          <w:lang w:val="lv-LV" w:eastAsia="lv-LV" w:bidi="ar-SA"/>
        </w:rPr>
        <w:t xml:space="preserve">Ministru </w:t>
      </w:r>
      <w:r w:rsidRPr="009170F5">
        <w:rPr>
          <w:rFonts w:cs="Times New Roman"/>
          <w:b/>
          <w:bCs/>
          <w:sz w:val="24"/>
          <w:szCs w:val="24"/>
          <w:lang w:val="lv-LV" w:eastAsia="lv-LV" w:bidi="ar-SA"/>
        </w:rPr>
        <w:t>kabineta noteikumu projekta</w:t>
      </w:r>
      <w:r w:rsidR="00DA55F2" w:rsidRPr="009170F5">
        <w:rPr>
          <w:rFonts w:cs="Times New Roman"/>
          <w:b/>
          <w:bCs/>
          <w:sz w:val="24"/>
          <w:szCs w:val="24"/>
          <w:lang w:val="lv-LV" w:eastAsia="lv-LV" w:bidi="ar-SA"/>
        </w:rPr>
        <w:t xml:space="preserve"> „Grozījumi </w:t>
      </w:r>
      <w:r w:rsidRPr="009170F5">
        <w:rPr>
          <w:rFonts w:cs="Times New Roman"/>
          <w:b/>
          <w:sz w:val="24"/>
          <w:szCs w:val="24"/>
          <w:lang w:val="lv-LV"/>
        </w:rPr>
        <w:t xml:space="preserve">Ministru kabineta 2009.gada </w:t>
      </w:r>
      <w:r w:rsidR="005156C0" w:rsidRPr="009170F5">
        <w:rPr>
          <w:rFonts w:cs="Times New Roman"/>
          <w:b/>
          <w:sz w:val="24"/>
          <w:szCs w:val="24"/>
          <w:lang w:val="lv-LV"/>
        </w:rPr>
        <w:t>10.novembra</w:t>
      </w:r>
      <w:r w:rsidRPr="009170F5">
        <w:rPr>
          <w:rFonts w:cs="Times New Roman"/>
          <w:b/>
          <w:sz w:val="24"/>
          <w:szCs w:val="24"/>
          <w:lang w:val="lv-LV"/>
        </w:rPr>
        <w:t xml:space="preserve"> noteikumos Nr.1</w:t>
      </w:r>
      <w:r w:rsidR="005156C0" w:rsidRPr="009170F5">
        <w:rPr>
          <w:rFonts w:cs="Times New Roman"/>
          <w:b/>
          <w:sz w:val="24"/>
          <w:szCs w:val="24"/>
          <w:lang w:val="lv-LV"/>
        </w:rPr>
        <w:t>312</w:t>
      </w:r>
      <w:r w:rsidRPr="009170F5">
        <w:rPr>
          <w:rFonts w:cs="Times New Roman"/>
          <w:b/>
          <w:sz w:val="24"/>
          <w:szCs w:val="24"/>
          <w:lang w:val="lv-LV"/>
        </w:rPr>
        <w:t xml:space="preserve"> „</w:t>
      </w:r>
      <w:r w:rsidR="005156C0" w:rsidRPr="009170F5">
        <w:rPr>
          <w:rFonts w:cs="Times New Roman"/>
          <w:b/>
          <w:sz w:val="24"/>
          <w:szCs w:val="24"/>
          <w:lang w:val="lv-LV"/>
        </w:rPr>
        <w:t>Noteikumi par darbību ierobežojumiem aizsargjoslās ap valsts aizsardzības objektiem</w:t>
      </w:r>
      <w:r w:rsidRPr="009170F5">
        <w:rPr>
          <w:rFonts w:cs="Times New Roman"/>
          <w:b/>
          <w:sz w:val="24"/>
          <w:szCs w:val="24"/>
          <w:lang w:val="lv-LV"/>
        </w:rPr>
        <w:t>”</w:t>
      </w:r>
      <w:r w:rsidR="00DA55F2" w:rsidRPr="009170F5">
        <w:rPr>
          <w:rFonts w:cs="Times New Roman"/>
          <w:b/>
          <w:bCs/>
          <w:sz w:val="24"/>
          <w:szCs w:val="24"/>
          <w:lang w:val="lv-LV" w:eastAsia="lv-LV" w:bidi="ar-SA"/>
        </w:rPr>
        <w:t>” sākotnējās ietekmes novērtējuma ziņojums (anotācija</w:t>
      </w:r>
      <w:r w:rsidR="00DA55F2" w:rsidRPr="00E65F9E">
        <w:rPr>
          <w:rFonts w:cs="Times New Roman"/>
          <w:b/>
          <w:bCs/>
          <w:sz w:val="24"/>
          <w:szCs w:val="24"/>
          <w:lang w:val="lv-LV" w:eastAsia="lv-LV" w:bidi="ar-SA"/>
        </w:rPr>
        <w:t>)</w:t>
      </w:r>
    </w:p>
    <w:p w:rsidR="00DA55F2" w:rsidRPr="00E65F9E" w:rsidRDefault="00DA55F2" w:rsidP="00DA55F2">
      <w:pPr>
        <w:shd w:val="clear" w:color="auto" w:fill="FFFFFF"/>
        <w:spacing w:before="45" w:line="240" w:lineRule="atLeast"/>
        <w:ind w:firstLine="300"/>
        <w:jc w:val="center"/>
        <w:rPr>
          <w:rFonts w:cs="Times New Roman"/>
          <w:i/>
          <w:iCs/>
          <w:sz w:val="24"/>
          <w:szCs w:val="24"/>
          <w:lang w:val="lv-LV" w:eastAsia="lv-LV" w:bidi="ar-SA"/>
        </w:rPr>
      </w:pPr>
    </w:p>
    <w:tbl>
      <w:tblPr>
        <w:tblW w:w="4966"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82"/>
        <w:gridCol w:w="2754"/>
        <w:gridCol w:w="5684"/>
      </w:tblGrid>
      <w:tr w:rsidR="00065F37" w:rsidRPr="00E65F9E" w:rsidTr="00040423">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A55F2" w:rsidRPr="00E65F9E" w:rsidRDefault="00DA55F2" w:rsidP="00DA55F2">
            <w:pPr>
              <w:spacing w:before="100" w:beforeAutospacing="1" w:after="100" w:afterAutospacing="1" w:line="315" w:lineRule="atLeast"/>
              <w:jc w:val="center"/>
              <w:rPr>
                <w:rFonts w:cs="Times New Roman"/>
                <w:b/>
                <w:bCs/>
                <w:sz w:val="24"/>
                <w:szCs w:val="24"/>
                <w:lang w:val="lv-LV" w:eastAsia="lv-LV" w:bidi="ar-SA"/>
              </w:rPr>
            </w:pPr>
            <w:r w:rsidRPr="00E65F9E">
              <w:rPr>
                <w:rFonts w:cs="Times New Roman"/>
                <w:b/>
                <w:bCs/>
                <w:sz w:val="24"/>
                <w:szCs w:val="24"/>
                <w:lang w:val="lv-LV" w:eastAsia="lv-LV" w:bidi="ar-SA"/>
              </w:rPr>
              <w:t>I. Tiesību akta projekta izstrādes nepieciešamība</w:t>
            </w:r>
          </w:p>
        </w:tc>
      </w:tr>
      <w:tr w:rsidR="00065F37" w:rsidRPr="00A65728" w:rsidTr="00040423">
        <w:trPr>
          <w:trHeight w:val="324"/>
        </w:trPr>
        <w:tc>
          <w:tcPr>
            <w:tcW w:w="217"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spacing w:before="100" w:beforeAutospacing="1" w:after="100" w:afterAutospacing="1" w:line="315" w:lineRule="atLeast"/>
              <w:jc w:val="center"/>
              <w:rPr>
                <w:rFonts w:cs="Times New Roman"/>
                <w:sz w:val="24"/>
                <w:szCs w:val="24"/>
                <w:lang w:val="lv-LV" w:eastAsia="lv-LV" w:bidi="ar-SA"/>
              </w:rPr>
            </w:pPr>
            <w:r w:rsidRPr="00E65F9E">
              <w:rPr>
                <w:rFonts w:cs="Times New Roman"/>
                <w:sz w:val="24"/>
                <w:szCs w:val="24"/>
                <w:lang w:val="lv-LV" w:eastAsia="lv-LV" w:bidi="ar-SA"/>
              </w:rPr>
              <w:t>1.</w:t>
            </w:r>
          </w:p>
        </w:tc>
        <w:tc>
          <w:tcPr>
            <w:tcW w:w="1561"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Pamatojums</w:t>
            </w:r>
          </w:p>
        </w:tc>
        <w:tc>
          <w:tcPr>
            <w:tcW w:w="3222" w:type="pct"/>
            <w:tcBorders>
              <w:top w:val="outset" w:sz="6" w:space="0" w:color="414142"/>
              <w:left w:val="outset" w:sz="6" w:space="0" w:color="414142"/>
              <w:bottom w:val="outset" w:sz="6" w:space="0" w:color="414142"/>
              <w:right w:val="outset" w:sz="6" w:space="0" w:color="414142"/>
            </w:tcBorders>
            <w:hideMark/>
          </w:tcPr>
          <w:p w:rsidR="00DA55F2" w:rsidRPr="00066E44" w:rsidRDefault="00482937" w:rsidP="000B7E14">
            <w:pPr>
              <w:jc w:val="both"/>
              <w:rPr>
                <w:rFonts w:cs="Times New Roman"/>
                <w:sz w:val="24"/>
                <w:szCs w:val="24"/>
                <w:lang w:val="lv-LV" w:eastAsia="lv-LV" w:bidi="ar-SA"/>
              </w:rPr>
            </w:pPr>
            <w:r>
              <w:rPr>
                <w:sz w:val="24"/>
                <w:szCs w:val="24"/>
                <w:lang w:val="lv-LV"/>
              </w:rPr>
              <w:t>Ministru kabineta noteikumu projekts izstrādāts</w:t>
            </w:r>
            <w:r w:rsidR="000B7E14">
              <w:rPr>
                <w:sz w:val="24"/>
                <w:szCs w:val="24"/>
                <w:lang w:val="lv-LV"/>
              </w:rPr>
              <w:t>, pamatojoties uz Aizsardzības ministrijas un Nacionālo bruņoto spēku iniciatīvu</w:t>
            </w:r>
            <w:r w:rsidR="00F957AA">
              <w:rPr>
                <w:sz w:val="24"/>
                <w:szCs w:val="24"/>
                <w:lang w:val="lv-LV"/>
              </w:rPr>
              <w:t>, lai ierobežotu iespēju gūt informāciju par valsts aizsardzības objektiem.</w:t>
            </w:r>
          </w:p>
        </w:tc>
      </w:tr>
      <w:tr w:rsidR="00065F37" w:rsidRPr="009170F5" w:rsidTr="00040423">
        <w:trPr>
          <w:trHeight w:val="372"/>
        </w:trPr>
        <w:tc>
          <w:tcPr>
            <w:tcW w:w="217"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spacing w:before="100" w:beforeAutospacing="1" w:after="100" w:afterAutospacing="1" w:line="315" w:lineRule="atLeast"/>
              <w:jc w:val="center"/>
              <w:rPr>
                <w:rFonts w:cs="Times New Roman"/>
                <w:sz w:val="24"/>
                <w:szCs w:val="24"/>
                <w:lang w:val="lv-LV" w:eastAsia="lv-LV" w:bidi="ar-SA"/>
              </w:rPr>
            </w:pPr>
            <w:r w:rsidRPr="00E65F9E">
              <w:rPr>
                <w:rFonts w:cs="Times New Roman"/>
                <w:sz w:val="24"/>
                <w:szCs w:val="24"/>
                <w:lang w:val="lv-LV" w:eastAsia="lv-LV" w:bidi="ar-SA"/>
              </w:rPr>
              <w:t>2.</w:t>
            </w:r>
          </w:p>
        </w:tc>
        <w:tc>
          <w:tcPr>
            <w:tcW w:w="1561"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Pašreizējā situācija un problēmas, kuru risināšanai tiesību akta projekts izstrādāts, tiesiskā regulējuma mērķis un būtība</w:t>
            </w:r>
          </w:p>
        </w:tc>
        <w:tc>
          <w:tcPr>
            <w:tcW w:w="3222" w:type="pct"/>
            <w:tcBorders>
              <w:top w:val="outset" w:sz="6" w:space="0" w:color="414142"/>
              <w:left w:val="outset" w:sz="6" w:space="0" w:color="414142"/>
              <w:bottom w:val="outset" w:sz="6" w:space="0" w:color="414142"/>
              <w:right w:val="outset" w:sz="6" w:space="0" w:color="414142"/>
            </w:tcBorders>
            <w:hideMark/>
          </w:tcPr>
          <w:p w:rsidR="00C6183A" w:rsidRDefault="008B6083" w:rsidP="00624009">
            <w:pPr>
              <w:pStyle w:val="naiskr"/>
              <w:spacing w:before="0" w:after="0"/>
              <w:ind w:firstLine="452"/>
              <w:jc w:val="both"/>
            </w:pPr>
            <w:r>
              <w:t>Atbilstoš</w:t>
            </w:r>
            <w:r w:rsidR="00167CC1">
              <w:t>i</w:t>
            </w:r>
            <w:r>
              <w:t xml:space="preserve"> Aizsargjoslu likuma</w:t>
            </w:r>
            <w:r w:rsidR="00167CC1">
              <w:t xml:space="preserve"> </w:t>
            </w:r>
            <w:r>
              <w:t>1.pant</w:t>
            </w:r>
            <w:r w:rsidR="00167CC1">
              <w:t>a</w:t>
            </w:r>
            <w:r>
              <w:t xml:space="preserve"> 1.punktam aizsargjoslu uzdevums aizsargāt objektus no nevēlamās ārējās iedarbības, nodrošināt to ekspluatāciju un drošību vai pasargāt vidi un cilvēku no kāda objekta kaitīgās ietekmes. </w:t>
            </w:r>
          </w:p>
          <w:p w:rsidR="0066337C" w:rsidRDefault="00442DD2" w:rsidP="00624009">
            <w:pPr>
              <w:pStyle w:val="naiskr"/>
              <w:spacing w:before="0" w:after="0"/>
              <w:ind w:firstLine="452"/>
              <w:jc w:val="both"/>
            </w:pPr>
            <w:r>
              <w:t xml:space="preserve">Pašreiz </w:t>
            </w:r>
            <w:r w:rsidR="00F957AA">
              <w:t xml:space="preserve">Ministru kabineta 2009.gada 10.novembra noteikumi Nr.1312 „Noteikumi par darbību ierobežojumiem aizsargjoslās ap valsts aizsardzības objektiem” (turpmāk – noteikumi) aizsargjoslās ap valsts aizsardzības objektiem </w:t>
            </w:r>
            <w:r w:rsidR="00167CC1">
              <w:t xml:space="preserve">aizliedz </w:t>
            </w:r>
            <w:r w:rsidR="00F957AA">
              <w:t>bez saskaņošanas ar Valsts aizsardzības objekta valdītāju ierīkot spēļu laukumus un atpūtas zonas, celt teltis un kurt ugunskurus, rīkot publiskus pasākumus (sapulces, gājienus un piketus), turēt dzīvniekus un nokraut materiālus, novietot mehāniskos transportlīdzekļus un traktortehniku vai citu tehniku, kas netiek izmantota valsts aizsardzības objektā izvietoto valsts pārvaldes institūciju funkciju nodrošināšanai.</w:t>
            </w:r>
            <w:r w:rsidR="008B6083">
              <w:t xml:space="preserve"> Noteikumos ietvertās prasības nav pietiekamas, lai aizsargātu informāciju par Aizsardzības ministrijas </w:t>
            </w:r>
            <w:r w:rsidR="00EC6EB4">
              <w:t xml:space="preserve">un Iekšlietu ministrijas </w:t>
            </w:r>
            <w:r w:rsidR="008B6083">
              <w:t>valdījumā esošo objektu materiāli tehnisko nodrošinājumu</w:t>
            </w:r>
            <w:r w:rsidR="004D612A">
              <w:t>, drošības pasākumiem un citu informāciju</w:t>
            </w:r>
            <w:r w:rsidR="00125D70">
              <w:t>, proti, š</w:t>
            </w:r>
            <w:r w:rsidR="00C30027">
              <w:t>obrīd noteikumos ietvertās prasības nav pietiekamas, lai savlaicīgi novērstu objekta apdraudējumu vai šāda apdraudējuma plānošanu.</w:t>
            </w:r>
            <w:r w:rsidR="00C6183A">
              <w:t xml:space="preserve"> </w:t>
            </w:r>
            <w:r w:rsidR="000B6BBC">
              <w:t xml:space="preserve">Tādēļ noteikumus nepieciešams papildināt </w:t>
            </w:r>
            <w:r w:rsidR="00AC1573">
              <w:t xml:space="preserve">ar </w:t>
            </w:r>
            <w:r w:rsidR="000B6BBC">
              <w:t>normu, kas liedz bez saskaņojuma ar objekta valdītāju fotografē</w:t>
            </w:r>
            <w:r w:rsidR="00AC1573">
              <w:t xml:space="preserve">t un </w:t>
            </w:r>
            <w:r w:rsidR="000B6BBC">
              <w:t>filmē</w:t>
            </w:r>
            <w:r w:rsidR="00AC1573">
              <w:t>t</w:t>
            </w:r>
            <w:r w:rsidR="000B6BBC">
              <w:t xml:space="preserve"> </w:t>
            </w:r>
            <w:r w:rsidR="00AC1573">
              <w:t xml:space="preserve">valsts aizsardzības objektu </w:t>
            </w:r>
            <w:r w:rsidR="000B6BBC">
              <w:t xml:space="preserve">vai citādā veidā iegūt informāciju par </w:t>
            </w:r>
            <w:r w:rsidR="00AC1573">
              <w:t>to</w:t>
            </w:r>
            <w:r w:rsidR="000B6BBC">
              <w:t>.</w:t>
            </w:r>
          </w:p>
          <w:p w:rsidR="00C30872" w:rsidRDefault="00C30872" w:rsidP="00624009">
            <w:pPr>
              <w:pStyle w:val="naiskr"/>
              <w:spacing w:before="0" w:after="0"/>
              <w:ind w:firstLine="452"/>
              <w:jc w:val="both"/>
            </w:pPr>
            <w:r>
              <w:t xml:space="preserve">Valsts aizsardzības objekta tiesiskā valdītāja saskaņojums filmēšanas veikšanai, fotografēšanai vai informācijas iegūšanai </w:t>
            </w:r>
            <w:r w:rsidR="004C54C0">
              <w:t xml:space="preserve">citādā veidā </w:t>
            </w:r>
            <w:r>
              <w:t>par objektu valsts aizsardzības objekta aizsargjoslā nepieciešams, lai nodrošinātu informācijas aizsardzību par valsts aizsardzības objekta teritorijā notiekošo apmācību vai vingrinājumu saturu, materiāli tehnisko nodrošinājumu, personālu vai realizētajiem apsardzes pasākumiem, kuri saskaņā ar likumu “Par valsts noslēpumu” ir valsts noslēpumu saturoša informācija vai saskaņā ar Informācijas a</w:t>
            </w:r>
            <w:r w:rsidR="00F423E8">
              <w:t xml:space="preserve">tklātības likumu ir informācija dienesta </w:t>
            </w:r>
            <w:r w:rsidR="00F423E8">
              <w:lastRenderedPageBreak/>
              <w:t>vajadzībām. Normatīvajos aktos noteikto būvniecības</w:t>
            </w:r>
            <w:r w:rsidR="00D2460F">
              <w:t xml:space="preserve"> normatīvu, realizējamo būvniecības risinājumu izmaksu vai apvidus īpatnību dēļ grozījumu noteikumu 2.¹punktā uzskaitītajos valsts aizsardzības objektos bez filmēšanas, fotografēšanas vai cita veida informācijas iegūšanas </w:t>
            </w:r>
            <w:r w:rsidR="004C54C0">
              <w:t>ierobežojuma nav iespējams pastāvīgi nodrošināt atbilstošus informācijas aizsardzības pasākumus. Savukārt pēc atbilstoša saskaņojuma pieprasījuma saņemšanas par filmēšanu, fotografēšanu vai informācijas iegūšanu citādā veidā</w:t>
            </w:r>
            <w:proofErr w:type="gramStart"/>
            <w:r w:rsidR="004C54C0">
              <w:t xml:space="preserve"> </w:t>
            </w:r>
            <w:r w:rsidR="006A1C15">
              <w:t xml:space="preserve">, </w:t>
            </w:r>
            <w:proofErr w:type="gramEnd"/>
            <w:r w:rsidR="006A1C15">
              <w:t>objekta tiesiskais valdītājs varēs veikt īslaicīgus papildus drošības pasākumus, piemēram, apmācību vingrinājumu pārcelšanu citā laikā vai vietā, materiāli tehnisko līdzekļu novietošanu citā objekta daļā avi aizklāšanu un nodrošināt, ka informācijas ieguvēja rīcībā nenonāk militāra rakstura valsts noslēpumu saturoša informācija vai informācija dienesta vajadzībām. Citos Aizsardzības ministrijas valdījumā esošajos valsts aizsardzības objektos informācijas aizsardzību ir iespējams nodrošināt bez papildus ierobežojumiem veikt filmēšanu, fotografēšanu vai informācijas dokumentēšanu citādā veidā par valsts aizsardzības objektu.</w:t>
            </w:r>
          </w:p>
          <w:p w:rsidR="006A1C15" w:rsidRDefault="006A1C15" w:rsidP="00624009">
            <w:pPr>
              <w:pStyle w:val="naiskr"/>
              <w:spacing w:before="0" w:after="0"/>
              <w:ind w:firstLine="452"/>
              <w:jc w:val="both"/>
            </w:pPr>
            <w:r>
              <w:t>Ar vārdiem “citādā veidā dokumentēt valsts aizsardzības objektu”</w:t>
            </w:r>
            <w:r w:rsidR="006A5660">
              <w:t xml:space="preserve"> saprot, piemēram, aizsardzības objekta nožogojuma un teritorijā esošo ēku skiču veidošanu, to izmēru un citu parametru pierakstīšanu, piezīmju veikšanu par materiāli tehnisko līdzekļu atrašanos objekta teritorijā, kā arī personu vai transportlīdzekļu pārvietošanos objekta teritorijā vai objekta aizsargjoslā. Filmēšanas un fotografēšanas saskaņojuma papildināšana ar vārdiem “citādā veidā dokumentēt valsts aizsardzības objektu” palīdzēs objekta apsardzei noskaidrot personas ilgstošas uzturēšanas iemeslus valsts aizsardzības objekta aizsargjoslā gadījumos, ja persona neveic atklātu fotografēšanu vai filmēšanu.</w:t>
            </w:r>
          </w:p>
          <w:p w:rsidR="00624009" w:rsidRDefault="00624009" w:rsidP="00EE1BB2">
            <w:pPr>
              <w:pStyle w:val="naiskr"/>
              <w:spacing w:before="0" w:after="0"/>
              <w:ind w:firstLine="452"/>
              <w:jc w:val="both"/>
            </w:pPr>
            <w:r w:rsidRPr="00624009">
              <w:t>Fiziskās drošības prasību ievērošana atbilstoši militārajiem standartiem ir būtiska ne tikai lidojumu nodrošināšanai, bet arī specializētā aprīkojuma uzglabāšanai un aeronavigācijas aprīkojuma darbībai. Ievērojot ierobežoto Nacionālo bruņoto spēku Aviācijas bāzes teritoriju, daļa jauno infrastruktūras objektu tiek izvietota tuvu bāzes teritorijas ārējai malai, kā arī tās pieguļošajā teritorijā (slēdzot vienošanos ar attiecīgo pašvaldību).</w:t>
            </w:r>
            <w:r w:rsidR="006570B1">
              <w:t xml:space="preserve"> Lai nodrošinātu </w:t>
            </w:r>
            <w:r w:rsidRPr="00624009">
              <w:t>Nacionālo bruņoto spēku Aviācijas bāz</w:t>
            </w:r>
            <w:r w:rsidR="00EE1BB2">
              <w:t xml:space="preserve">es </w:t>
            </w:r>
            <w:r w:rsidRPr="00624009">
              <w:t>attiecīgo objektu efektīvu un drošu ekspluatāciju un attīstības iespējas, neradot papildus fiziskus šķēršļus objektā izvietoto sakaru, navigācijas, novērošanas un citu iekārtu darbībai</w:t>
            </w:r>
            <w:r w:rsidR="006570B1">
              <w:t xml:space="preserve">, projekts paredz aizliegumu </w:t>
            </w:r>
            <w:r w:rsidR="00A67DDB">
              <w:t>audzēt</w:t>
            </w:r>
            <w:r w:rsidR="006570B1">
              <w:t xml:space="preserve"> kokus bez saskaņojuma saņemšanas no objekta valdītāja aizsargjoslā</w:t>
            </w:r>
            <w:r w:rsidR="00AA564F">
              <w:t xml:space="preserve"> </w:t>
            </w:r>
            <w:r w:rsidR="006570B1">
              <w:t xml:space="preserve">ap </w:t>
            </w:r>
            <w:r w:rsidR="00AA564F">
              <w:t xml:space="preserve">Nacionālo bruņoto spēku </w:t>
            </w:r>
            <w:r w:rsidR="00AA564F">
              <w:lastRenderedPageBreak/>
              <w:t>Aviācijas bāzi</w:t>
            </w:r>
            <w:r w:rsidRPr="00624009">
              <w:t>.</w:t>
            </w:r>
            <w:r w:rsidR="00C707CA">
              <w:t xml:space="preserve"> Ar koku audzēšanu tiek saprasta gan mērķtiecīga koku </w:t>
            </w:r>
            <w:r w:rsidR="007349D9">
              <w:t>sēšana</w:t>
            </w:r>
            <w:r w:rsidR="00F80D88">
              <w:t>,</w:t>
            </w:r>
            <w:r w:rsidR="007349D9">
              <w:t xml:space="preserve"> stādīšana,</w:t>
            </w:r>
            <w:r w:rsidR="00F80D88">
              <w:t xml:space="preserve"> audzēšana,</w:t>
            </w:r>
            <w:r w:rsidR="007349D9">
              <w:t xml:space="preserve"> gan </w:t>
            </w:r>
            <w:r w:rsidR="003C58B7">
              <w:t xml:space="preserve">koku saglabāšana, kas iesējās </w:t>
            </w:r>
            <w:r w:rsidR="0059064F">
              <w:t xml:space="preserve">un aug bez </w:t>
            </w:r>
            <w:r w:rsidR="0010373C">
              <w:t>cilvēka</w:t>
            </w:r>
            <w:r w:rsidR="0059064F">
              <w:t xml:space="preserve"> līdzdalības</w:t>
            </w:r>
            <w:r w:rsidR="003C58B7">
              <w:t>.</w:t>
            </w:r>
          </w:p>
          <w:p w:rsidR="00747E55" w:rsidRPr="00E65F9E" w:rsidRDefault="003973F8" w:rsidP="00061963">
            <w:pPr>
              <w:pStyle w:val="naiskr"/>
              <w:spacing w:before="0" w:after="0"/>
              <w:ind w:firstLine="452"/>
              <w:jc w:val="both"/>
            </w:pPr>
            <w:r>
              <w:t>P</w:t>
            </w:r>
            <w:r w:rsidR="00747E55">
              <w:t>rojekts satur atsauces uz Ministru kabineta 2006.gada 27.jūnija noteikumu Nr.508 “Noteikumi par aizsargjoslās ap valsts aizsardzības objektiem un šo aizsargjoslu platumu” punktiem</w:t>
            </w:r>
            <w:r>
              <w:t>, kuri stāsies spēkā vienlaikus ar šo Ministru kabineta noteikumu projektu. Tādēļ projektā norādīts tā spēkā stāšanās datums – 2017.gada 1.</w:t>
            </w:r>
            <w:r w:rsidR="00061963">
              <w:t>jūlijs</w:t>
            </w:r>
            <w:r>
              <w:t>.</w:t>
            </w:r>
          </w:p>
        </w:tc>
      </w:tr>
      <w:tr w:rsidR="00065F37" w:rsidRPr="000B7E14" w:rsidTr="00040423">
        <w:trPr>
          <w:trHeight w:val="372"/>
        </w:trPr>
        <w:tc>
          <w:tcPr>
            <w:tcW w:w="217"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spacing w:before="100" w:beforeAutospacing="1" w:after="100" w:afterAutospacing="1" w:line="315" w:lineRule="atLeast"/>
              <w:jc w:val="center"/>
              <w:rPr>
                <w:rFonts w:cs="Times New Roman"/>
                <w:sz w:val="24"/>
                <w:szCs w:val="24"/>
                <w:lang w:val="lv-LV" w:eastAsia="lv-LV" w:bidi="ar-SA"/>
              </w:rPr>
            </w:pPr>
            <w:r w:rsidRPr="00E65F9E">
              <w:rPr>
                <w:rFonts w:cs="Times New Roman"/>
                <w:sz w:val="24"/>
                <w:szCs w:val="24"/>
                <w:lang w:val="lv-LV" w:eastAsia="lv-LV" w:bidi="ar-SA"/>
              </w:rPr>
              <w:lastRenderedPageBreak/>
              <w:t>3.</w:t>
            </w:r>
          </w:p>
        </w:tc>
        <w:tc>
          <w:tcPr>
            <w:tcW w:w="1561"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Projekta izstrādē iesaistītās institūcijas</w:t>
            </w:r>
          </w:p>
        </w:tc>
        <w:tc>
          <w:tcPr>
            <w:tcW w:w="3222" w:type="pct"/>
            <w:tcBorders>
              <w:top w:val="outset" w:sz="6" w:space="0" w:color="414142"/>
              <w:left w:val="outset" w:sz="6" w:space="0" w:color="414142"/>
              <w:bottom w:val="outset" w:sz="6" w:space="0" w:color="414142"/>
              <w:right w:val="outset" w:sz="6" w:space="0" w:color="414142"/>
            </w:tcBorders>
            <w:hideMark/>
          </w:tcPr>
          <w:p w:rsidR="00DA55F2" w:rsidRPr="00E65F9E" w:rsidRDefault="00E64ADC" w:rsidP="000B7E14">
            <w:pPr>
              <w:rPr>
                <w:rFonts w:cs="Times New Roman"/>
                <w:sz w:val="24"/>
                <w:szCs w:val="24"/>
                <w:lang w:val="lv-LV" w:eastAsia="lv-LV" w:bidi="ar-SA"/>
              </w:rPr>
            </w:pPr>
            <w:r w:rsidRPr="00E65F9E">
              <w:rPr>
                <w:rFonts w:cs="Times New Roman"/>
                <w:sz w:val="24"/>
                <w:szCs w:val="24"/>
                <w:lang w:val="lv-LV" w:eastAsia="lv-LV" w:bidi="ar-SA"/>
              </w:rPr>
              <w:t>Nacionālie bruņotie spēki</w:t>
            </w:r>
            <w:r w:rsidR="00B432E8">
              <w:rPr>
                <w:rFonts w:cs="Times New Roman"/>
                <w:sz w:val="24"/>
                <w:szCs w:val="24"/>
                <w:lang w:val="lv-LV" w:eastAsia="lv-LV" w:bidi="ar-SA"/>
              </w:rPr>
              <w:t>,</w:t>
            </w:r>
            <w:r w:rsidRPr="00E65F9E">
              <w:rPr>
                <w:rFonts w:cs="Times New Roman"/>
                <w:sz w:val="24"/>
                <w:szCs w:val="24"/>
                <w:lang w:val="lv-LV" w:eastAsia="lv-LV" w:bidi="ar-SA"/>
              </w:rPr>
              <w:t xml:space="preserve"> </w:t>
            </w:r>
            <w:r w:rsidR="001F2472" w:rsidRPr="00E65F9E">
              <w:rPr>
                <w:rFonts w:cs="Times New Roman"/>
                <w:sz w:val="24"/>
                <w:szCs w:val="24"/>
                <w:lang w:val="lv-LV" w:eastAsia="lv-LV" w:bidi="ar-SA"/>
              </w:rPr>
              <w:t>Aizsardzības ministrija</w:t>
            </w:r>
            <w:r w:rsidR="00EC6EB4">
              <w:rPr>
                <w:rFonts w:cs="Times New Roman"/>
                <w:sz w:val="24"/>
                <w:szCs w:val="24"/>
                <w:lang w:val="lv-LV" w:eastAsia="lv-LV" w:bidi="ar-SA"/>
              </w:rPr>
              <w:t>, Iekšlietu ministrija</w:t>
            </w:r>
          </w:p>
        </w:tc>
      </w:tr>
      <w:tr w:rsidR="00065F37" w:rsidRPr="00A65728" w:rsidTr="00040423">
        <w:tc>
          <w:tcPr>
            <w:tcW w:w="217"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spacing w:before="100" w:beforeAutospacing="1" w:after="100" w:afterAutospacing="1" w:line="315" w:lineRule="atLeast"/>
              <w:jc w:val="center"/>
              <w:rPr>
                <w:rFonts w:cs="Times New Roman"/>
                <w:sz w:val="24"/>
                <w:szCs w:val="24"/>
                <w:lang w:val="lv-LV" w:eastAsia="lv-LV" w:bidi="ar-SA"/>
              </w:rPr>
            </w:pPr>
            <w:r w:rsidRPr="00E65F9E">
              <w:rPr>
                <w:rFonts w:cs="Times New Roman"/>
                <w:sz w:val="24"/>
                <w:szCs w:val="24"/>
                <w:lang w:val="lv-LV" w:eastAsia="lv-LV" w:bidi="ar-SA"/>
              </w:rPr>
              <w:t>4.</w:t>
            </w:r>
          </w:p>
        </w:tc>
        <w:tc>
          <w:tcPr>
            <w:tcW w:w="1561"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Cita informācija</w:t>
            </w:r>
          </w:p>
        </w:tc>
        <w:tc>
          <w:tcPr>
            <w:tcW w:w="3222" w:type="pct"/>
            <w:tcBorders>
              <w:top w:val="outset" w:sz="6" w:space="0" w:color="414142"/>
              <w:left w:val="outset" w:sz="6" w:space="0" w:color="414142"/>
              <w:bottom w:val="outset" w:sz="6" w:space="0" w:color="414142"/>
              <w:right w:val="outset" w:sz="6" w:space="0" w:color="414142"/>
            </w:tcBorders>
            <w:hideMark/>
          </w:tcPr>
          <w:p w:rsidR="00DA55F2" w:rsidRPr="00E65F9E" w:rsidRDefault="009121D6" w:rsidP="00AE79FC">
            <w:pPr>
              <w:jc w:val="both"/>
              <w:rPr>
                <w:rFonts w:cs="Times New Roman"/>
                <w:sz w:val="24"/>
                <w:szCs w:val="24"/>
                <w:lang w:val="lv-LV" w:eastAsia="lv-LV" w:bidi="ar-SA"/>
              </w:rPr>
            </w:pPr>
            <w:r>
              <w:rPr>
                <w:rFonts w:cs="Times New Roman"/>
                <w:sz w:val="24"/>
                <w:szCs w:val="24"/>
                <w:lang w:val="lv-LV" w:eastAsia="lv-LV" w:bidi="ar-SA"/>
              </w:rPr>
              <w:t xml:space="preserve">Noteikumu projektā paredzēto pasākumu īstenošana tiks nodrošināta </w:t>
            </w:r>
            <w:r w:rsidR="00784248">
              <w:rPr>
                <w:rFonts w:cs="Times New Roman"/>
                <w:sz w:val="24"/>
                <w:szCs w:val="24"/>
                <w:lang w:val="lv-LV" w:eastAsia="lv-LV" w:bidi="ar-SA"/>
              </w:rPr>
              <w:t>Nacionālajiem bruņotajiem spēkiem un Militārajam izlūkošanas dienestam</w:t>
            </w:r>
            <w:r>
              <w:rPr>
                <w:rFonts w:cs="Times New Roman"/>
                <w:sz w:val="24"/>
                <w:szCs w:val="24"/>
                <w:lang w:val="lv-LV" w:eastAsia="lv-LV" w:bidi="ar-SA"/>
              </w:rPr>
              <w:t xml:space="preserve"> piešķirto valsts budžeta līdzekļu ietvaros.</w:t>
            </w:r>
          </w:p>
        </w:tc>
      </w:tr>
    </w:tbl>
    <w:p w:rsidR="00DA55F2" w:rsidRPr="00E65F9E" w:rsidRDefault="00DA55F2" w:rsidP="00DA55F2">
      <w:pPr>
        <w:shd w:val="clear" w:color="auto" w:fill="FFFFFF"/>
        <w:spacing w:before="100" w:beforeAutospacing="1" w:after="100" w:afterAutospacing="1" w:line="315" w:lineRule="atLeast"/>
        <w:ind w:firstLine="300"/>
        <w:rPr>
          <w:rFonts w:cs="Times New Roman"/>
          <w:sz w:val="24"/>
          <w:szCs w:val="24"/>
          <w:lang w:val="lv-LV" w:eastAsia="lv-LV" w:bidi="ar-SA"/>
        </w:rPr>
      </w:pPr>
      <w:r w:rsidRPr="00E65F9E">
        <w:rPr>
          <w:rFonts w:cs="Times New Roman"/>
          <w:sz w:val="24"/>
          <w:szCs w:val="24"/>
          <w:lang w:val="lv-LV" w:eastAsia="lv-LV" w:bidi="ar-SA"/>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44"/>
        <w:gridCol w:w="2753"/>
        <w:gridCol w:w="5683"/>
      </w:tblGrid>
      <w:tr w:rsidR="00065F37" w:rsidRPr="00A65728" w:rsidTr="00DA55F2">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A55F2" w:rsidRPr="00E65F9E" w:rsidRDefault="00DA55F2" w:rsidP="00DA55F2">
            <w:pPr>
              <w:spacing w:before="100" w:beforeAutospacing="1" w:after="100" w:afterAutospacing="1" w:line="315" w:lineRule="atLeast"/>
              <w:jc w:val="center"/>
              <w:rPr>
                <w:rFonts w:cs="Times New Roman"/>
                <w:b/>
                <w:bCs/>
                <w:sz w:val="24"/>
                <w:szCs w:val="24"/>
                <w:lang w:val="lv-LV" w:eastAsia="lv-LV" w:bidi="ar-SA"/>
              </w:rPr>
            </w:pPr>
            <w:r w:rsidRPr="00E65F9E">
              <w:rPr>
                <w:rFonts w:cs="Times New Roman"/>
                <w:b/>
                <w:bCs/>
                <w:sz w:val="24"/>
                <w:szCs w:val="24"/>
                <w:lang w:val="lv-LV" w:eastAsia="lv-LV" w:bidi="ar-SA"/>
              </w:rPr>
              <w:t>II. Tiesību akta projekta ietekme uz sabiedrību, tautsaimniecības attīstību un administratīvo slogu</w:t>
            </w:r>
          </w:p>
        </w:tc>
      </w:tr>
      <w:tr w:rsidR="00065F37" w:rsidRPr="00A65728" w:rsidTr="00DA55F2">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1.</w:t>
            </w:r>
          </w:p>
        </w:tc>
        <w:tc>
          <w:tcPr>
            <w:tcW w:w="15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DA55F2" w:rsidRPr="00E65F9E" w:rsidRDefault="00C26B20" w:rsidP="00674130">
            <w:pPr>
              <w:jc w:val="both"/>
              <w:rPr>
                <w:rFonts w:cs="Times New Roman"/>
                <w:sz w:val="24"/>
                <w:szCs w:val="24"/>
                <w:lang w:val="lv-LV" w:eastAsia="lv-LV" w:bidi="ar-SA"/>
              </w:rPr>
            </w:pPr>
            <w:r>
              <w:rPr>
                <w:rFonts w:cs="Times New Roman"/>
                <w:sz w:val="24"/>
                <w:szCs w:val="24"/>
                <w:lang w:val="lv-LV" w:eastAsia="lv-LV" w:bidi="ar-SA"/>
              </w:rPr>
              <w:t xml:space="preserve">Sabiedrības locekļi, kas vēlēsies gūt informāciju par </w:t>
            </w:r>
            <w:r w:rsidR="00ED23D6">
              <w:rPr>
                <w:rFonts w:cs="Times New Roman"/>
                <w:sz w:val="24"/>
                <w:szCs w:val="24"/>
                <w:lang w:val="lv-LV" w:eastAsia="lv-LV" w:bidi="ar-SA"/>
              </w:rPr>
              <w:t xml:space="preserve">Aizsardzības ministrijas valdījumā esošajiem objektiem, </w:t>
            </w:r>
            <w:r w:rsidR="00040BA5" w:rsidRPr="00E65F9E">
              <w:rPr>
                <w:rFonts w:cs="Times New Roman"/>
                <w:sz w:val="24"/>
                <w:szCs w:val="24"/>
                <w:lang w:val="lv-LV" w:eastAsia="lv-LV" w:bidi="ar-SA"/>
              </w:rPr>
              <w:t xml:space="preserve">Nacionālo bruņoto spēku profesionālā dienesta karavīri </w:t>
            </w:r>
          </w:p>
        </w:tc>
      </w:tr>
      <w:tr w:rsidR="00065F37" w:rsidRPr="00E65F9E" w:rsidTr="00DA55F2">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2.</w:t>
            </w:r>
          </w:p>
        </w:tc>
        <w:tc>
          <w:tcPr>
            <w:tcW w:w="15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DA55F2" w:rsidRPr="00E65F9E" w:rsidRDefault="00E20B65" w:rsidP="00DA55F2">
            <w:pPr>
              <w:rPr>
                <w:rFonts w:cs="Times New Roman"/>
                <w:sz w:val="24"/>
                <w:szCs w:val="24"/>
                <w:lang w:val="lv-LV" w:eastAsia="lv-LV" w:bidi="ar-SA"/>
              </w:rPr>
            </w:pPr>
            <w:r w:rsidRPr="00E65F9E">
              <w:rPr>
                <w:rFonts w:cs="Times New Roman"/>
                <w:sz w:val="24"/>
                <w:szCs w:val="24"/>
                <w:lang w:val="lv-LV" w:eastAsia="lv-LV" w:bidi="ar-SA"/>
              </w:rPr>
              <w:t>Projekts šo jomu neskar.</w:t>
            </w:r>
          </w:p>
        </w:tc>
      </w:tr>
      <w:tr w:rsidR="00065F37" w:rsidRPr="00E65F9E" w:rsidTr="00DA55F2">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3.</w:t>
            </w:r>
          </w:p>
        </w:tc>
        <w:tc>
          <w:tcPr>
            <w:tcW w:w="15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DA55F2" w:rsidRPr="00E65F9E" w:rsidRDefault="00E20B65" w:rsidP="00DA55F2">
            <w:pPr>
              <w:rPr>
                <w:rFonts w:cs="Times New Roman"/>
                <w:sz w:val="24"/>
                <w:szCs w:val="24"/>
                <w:lang w:val="lv-LV" w:eastAsia="lv-LV" w:bidi="ar-SA"/>
              </w:rPr>
            </w:pPr>
            <w:r w:rsidRPr="00E65F9E">
              <w:rPr>
                <w:rFonts w:cs="Times New Roman"/>
                <w:sz w:val="24"/>
                <w:szCs w:val="24"/>
                <w:lang w:val="lv-LV" w:eastAsia="lv-LV" w:bidi="ar-SA"/>
              </w:rPr>
              <w:t>Projekts šo jomu neskar.</w:t>
            </w:r>
          </w:p>
        </w:tc>
      </w:tr>
      <w:tr w:rsidR="00065F37" w:rsidRPr="00E65F9E" w:rsidTr="00DA55F2">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4.</w:t>
            </w:r>
          </w:p>
        </w:tc>
        <w:tc>
          <w:tcPr>
            <w:tcW w:w="15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spacing w:before="100" w:beforeAutospacing="1" w:after="100" w:afterAutospacing="1" w:line="315" w:lineRule="atLeast"/>
              <w:rPr>
                <w:rFonts w:cs="Times New Roman"/>
                <w:sz w:val="24"/>
                <w:szCs w:val="24"/>
                <w:lang w:val="lv-LV" w:eastAsia="lv-LV" w:bidi="ar-SA"/>
              </w:rPr>
            </w:pPr>
            <w:r w:rsidRPr="00E65F9E">
              <w:rPr>
                <w:rFonts w:cs="Times New Roman"/>
                <w:sz w:val="24"/>
                <w:szCs w:val="24"/>
                <w:lang w:val="lv-LV" w:eastAsia="lv-LV" w:bidi="ar-SA"/>
              </w:rPr>
              <w:t>Nav</w:t>
            </w:r>
            <w:r w:rsidR="00D50FA7" w:rsidRPr="00E65F9E">
              <w:rPr>
                <w:rFonts w:cs="Times New Roman"/>
                <w:sz w:val="24"/>
                <w:szCs w:val="24"/>
                <w:lang w:val="lv-LV" w:eastAsia="lv-LV" w:bidi="ar-SA"/>
              </w:rPr>
              <w:t>.</w:t>
            </w:r>
          </w:p>
        </w:tc>
      </w:tr>
    </w:tbl>
    <w:p w:rsidR="00DA55F2" w:rsidRDefault="00DA55F2" w:rsidP="00DA55F2">
      <w:pPr>
        <w:shd w:val="clear" w:color="auto" w:fill="FFFFFF"/>
        <w:spacing w:before="100" w:beforeAutospacing="1" w:after="100" w:afterAutospacing="1" w:line="315" w:lineRule="atLeast"/>
        <w:ind w:firstLine="300"/>
        <w:rPr>
          <w:rFonts w:cs="Times New Roman"/>
          <w:sz w:val="24"/>
          <w:szCs w:val="24"/>
          <w:lang w:val="lv-LV" w:eastAsia="lv-LV" w:bidi="ar-SA"/>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44"/>
        <w:gridCol w:w="2575"/>
        <w:gridCol w:w="5861"/>
      </w:tblGrid>
      <w:tr w:rsidR="002767EB" w:rsidRPr="00A65728" w:rsidTr="002767EB">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2767EB" w:rsidRDefault="002767EB">
            <w:pPr>
              <w:spacing w:before="100" w:beforeAutospacing="1" w:after="100" w:afterAutospacing="1" w:line="315" w:lineRule="atLeast"/>
              <w:jc w:val="center"/>
              <w:rPr>
                <w:rFonts w:ascii="Dutch TL" w:hAnsi="Dutch TL" w:cs="Times New Roman"/>
                <w:b/>
                <w:bCs/>
                <w:sz w:val="24"/>
                <w:szCs w:val="24"/>
                <w:lang w:val="lv-LV" w:eastAsia="lv-LV" w:bidi="ar-SA"/>
              </w:rPr>
            </w:pPr>
            <w:r>
              <w:rPr>
                <w:rFonts w:ascii="Dutch TL" w:hAnsi="Dutch TL" w:cs="Times New Roman"/>
                <w:b/>
                <w:bCs/>
                <w:sz w:val="24"/>
                <w:szCs w:val="24"/>
                <w:lang w:val="lv-LV" w:eastAsia="lv-LV" w:bidi="ar-SA"/>
              </w:rPr>
              <w:t>IV. Tiesību akta projekta ietekme uz spēkā esošo tiesību normu sistēmu</w:t>
            </w:r>
          </w:p>
        </w:tc>
      </w:tr>
      <w:tr w:rsidR="002767EB" w:rsidRPr="00A65728" w:rsidTr="002767EB">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2767EB" w:rsidRDefault="002767EB">
            <w:pPr>
              <w:rPr>
                <w:rFonts w:ascii="Dutch TL" w:hAnsi="Dutch TL" w:cs="Times New Roman"/>
                <w:sz w:val="24"/>
                <w:szCs w:val="24"/>
                <w:lang w:val="lv-LV" w:eastAsia="lv-LV" w:bidi="ar-SA"/>
              </w:rPr>
            </w:pPr>
            <w:r>
              <w:rPr>
                <w:rFonts w:ascii="Dutch TL" w:hAnsi="Dutch TL" w:cs="Times New Roman"/>
                <w:sz w:val="24"/>
                <w:szCs w:val="24"/>
                <w:lang w:val="lv-LV" w:eastAsia="lv-LV" w:bidi="ar-SA"/>
              </w:rPr>
              <w:t>1.</w:t>
            </w:r>
          </w:p>
        </w:tc>
        <w:tc>
          <w:tcPr>
            <w:tcW w:w="1450" w:type="pct"/>
            <w:tcBorders>
              <w:top w:val="outset" w:sz="6" w:space="0" w:color="414142"/>
              <w:left w:val="outset" w:sz="6" w:space="0" w:color="414142"/>
              <w:bottom w:val="outset" w:sz="6" w:space="0" w:color="414142"/>
              <w:right w:val="outset" w:sz="6" w:space="0" w:color="414142"/>
            </w:tcBorders>
            <w:hideMark/>
          </w:tcPr>
          <w:p w:rsidR="002767EB" w:rsidRDefault="002767EB">
            <w:pPr>
              <w:rPr>
                <w:rFonts w:ascii="Dutch TL" w:hAnsi="Dutch TL" w:cs="Times New Roman"/>
                <w:sz w:val="24"/>
                <w:szCs w:val="24"/>
                <w:lang w:val="lv-LV" w:eastAsia="lv-LV" w:bidi="ar-SA"/>
              </w:rPr>
            </w:pPr>
            <w:r>
              <w:rPr>
                <w:rFonts w:ascii="Dutch TL" w:hAnsi="Dutch TL" w:cs="Times New Roman"/>
                <w:sz w:val="24"/>
                <w:szCs w:val="24"/>
                <w:lang w:val="lv-LV" w:eastAsia="lv-LV" w:bidi="ar-SA"/>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tcPr>
          <w:p w:rsidR="002767EB" w:rsidRPr="00192369" w:rsidRDefault="002767EB" w:rsidP="001C443B">
            <w:pPr>
              <w:pStyle w:val="ListParagraph"/>
              <w:tabs>
                <w:tab w:val="left" w:pos="292"/>
              </w:tabs>
              <w:ind w:left="0"/>
              <w:jc w:val="both"/>
              <w:rPr>
                <w:rFonts w:ascii="Dutch TL" w:hAnsi="Dutch TL" w:cs="Times New Roman"/>
                <w:sz w:val="24"/>
                <w:szCs w:val="24"/>
                <w:lang w:val="lv-LV" w:eastAsia="lv-LV" w:bidi="ar-SA"/>
              </w:rPr>
            </w:pPr>
            <w:r>
              <w:rPr>
                <w:rFonts w:ascii="Dutch TL" w:hAnsi="Dutch TL" w:cs="Times New Roman"/>
                <w:sz w:val="24"/>
                <w:szCs w:val="24"/>
                <w:lang w:val="lv-LV" w:eastAsia="lv-LV" w:bidi="ar-SA"/>
              </w:rPr>
              <w:t>Projekts stāsies spēkā vienlaikus ar grozījumiem</w:t>
            </w:r>
            <w:r w:rsidR="00192369" w:rsidRPr="00192369">
              <w:rPr>
                <w:lang w:val="lv-LV"/>
              </w:rPr>
              <w:t xml:space="preserve"> </w:t>
            </w:r>
            <w:r w:rsidR="00192369" w:rsidRPr="00192369">
              <w:rPr>
                <w:sz w:val="24"/>
                <w:szCs w:val="24"/>
                <w:lang w:val="lv-LV"/>
              </w:rPr>
              <w:t>Ministru kabineta 2006.gada 27.jūnija noteikum</w:t>
            </w:r>
            <w:r w:rsidR="001C443B">
              <w:rPr>
                <w:sz w:val="24"/>
                <w:szCs w:val="24"/>
                <w:lang w:val="lv-LV"/>
              </w:rPr>
              <w:t>os</w:t>
            </w:r>
            <w:r w:rsidR="00192369" w:rsidRPr="00192369">
              <w:rPr>
                <w:sz w:val="24"/>
                <w:szCs w:val="24"/>
                <w:lang w:val="lv-LV"/>
              </w:rPr>
              <w:t xml:space="preserve"> Nr.508 “Noteikumi par aizsargjoslās ap valsts aizsardzības objektiem un šo aizsargjoslu platumu”</w:t>
            </w:r>
          </w:p>
        </w:tc>
      </w:tr>
      <w:tr w:rsidR="002767EB" w:rsidTr="002767EB">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2767EB" w:rsidRDefault="002767EB">
            <w:pPr>
              <w:rPr>
                <w:rFonts w:ascii="Dutch TL" w:hAnsi="Dutch TL" w:cs="Times New Roman"/>
                <w:sz w:val="24"/>
                <w:szCs w:val="24"/>
                <w:lang w:val="lv-LV" w:eastAsia="lv-LV" w:bidi="ar-SA"/>
              </w:rPr>
            </w:pPr>
            <w:r>
              <w:rPr>
                <w:rFonts w:ascii="Dutch TL" w:hAnsi="Dutch TL" w:cs="Times New Roman"/>
                <w:sz w:val="24"/>
                <w:szCs w:val="24"/>
                <w:lang w:val="lv-LV" w:eastAsia="lv-LV" w:bidi="ar-SA"/>
              </w:rPr>
              <w:t>2.</w:t>
            </w:r>
          </w:p>
        </w:tc>
        <w:tc>
          <w:tcPr>
            <w:tcW w:w="1450" w:type="pct"/>
            <w:tcBorders>
              <w:top w:val="outset" w:sz="6" w:space="0" w:color="414142"/>
              <w:left w:val="outset" w:sz="6" w:space="0" w:color="414142"/>
              <w:bottom w:val="outset" w:sz="6" w:space="0" w:color="414142"/>
              <w:right w:val="outset" w:sz="6" w:space="0" w:color="414142"/>
            </w:tcBorders>
            <w:hideMark/>
          </w:tcPr>
          <w:p w:rsidR="002767EB" w:rsidRDefault="002767EB">
            <w:pPr>
              <w:rPr>
                <w:rFonts w:ascii="Dutch TL" w:hAnsi="Dutch TL" w:cs="Times New Roman"/>
                <w:sz w:val="24"/>
                <w:szCs w:val="24"/>
                <w:lang w:val="lv-LV" w:eastAsia="lv-LV" w:bidi="ar-SA"/>
              </w:rPr>
            </w:pPr>
            <w:r>
              <w:rPr>
                <w:rFonts w:ascii="Dutch TL" w:hAnsi="Dutch TL" w:cs="Times New Roman"/>
                <w:sz w:val="24"/>
                <w:szCs w:val="24"/>
                <w:lang w:val="lv-LV" w:eastAsia="lv-LV" w:bidi="ar-SA"/>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2767EB" w:rsidRDefault="002767EB" w:rsidP="009B3222">
            <w:pPr>
              <w:rPr>
                <w:rFonts w:ascii="Dutch TL" w:hAnsi="Dutch TL" w:cs="Times New Roman"/>
                <w:sz w:val="24"/>
                <w:szCs w:val="24"/>
                <w:lang w:val="lv-LV" w:eastAsia="lv-LV" w:bidi="ar-SA"/>
              </w:rPr>
            </w:pPr>
            <w:r>
              <w:rPr>
                <w:rFonts w:ascii="Dutch TL" w:hAnsi="Dutch TL" w:cs="Times New Roman"/>
                <w:sz w:val="24"/>
                <w:szCs w:val="24"/>
                <w:lang w:val="lv-LV" w:eastAsia="lv-LV" w:bidi="ar-SA"/>
              </w:rPr>
              <w:t>Aizsardzības ministrija</w:t>
            </w:r>
          </w:p>
        </w:tc>
      </w:tr>
      <w:tr w:rsidR="002767EB" w:rsidTr="002767EB">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2767EB" w:rsidRDefault="002767EB">
            <w:pPr>
              <w:rPr>
                <w:rFonts w:ascii="Dutch TL" w:hAnsi="Dutch TL" w:cs="Times New Roman"/>
                <w:sz w:val="24"/>
                <w:szCs w:val="24"/>
                <w:lang w:val="lv-LV" w:eastAsia="lv-LV" w:bidi="ar-SA"/>
              </w:rPr>
            </w:pPr>
            <w:r>
              <w:rPr>
                <w:rFonts w:ascii="Dutch TL" w:hAnsi="Dutch TL" w:cs="Times New Roman"/>
                <w:sz w:val="24"/>
                <w:szCs w:val="24"/>
                <w:lang w:val="lv-LV" w:eastAsia="lv-LV" w:bidi="ar-SA"/>
              </w:rPr>
              <w:t>3.</w:t>
            </w:r>
          </w:p>
        </w:tc>
        <w:tc>
          <w:tcPr>
            <w:tcW w:w="1450" w:type="pct"/>
            <w:tcBorders>
              <w:top w:val="outset" w:sz="6" w:space="0" w:color="414142"/>
              <w:left w:val="outset" w:sz="6" w:space="0" w:color="414142"/>
              <w:bottom w:val="outset" w:sz="6" w:space="0" w:color="414142"/>
              <w:right w:val="outset" w:sz="6" w:space="0" w:color="414142"/>
            </w:tcBorders>
            <w:hideMark/>
          </w:tcPr>
          <w:p w:rsidR="002767EB" w:rsidRDefault="002767EB">
            <w:pPr>
              <w:rPr>
                <w:rFonts w:ascii="Dutch TL" w:hAnsi="Dutch TL" w:cs="Times New Roman"/>
                <w:sz w:val="24"/>
                <w:szCs w:val="24"/>
                <w:lang w:val="lv-LV" w:eastAsia="lv-LV" w:bidi="ar-SA"/>
              </w:rPr>
            </w:pPr>
            <w:r>
              <w:rPr>
                <w:rFonts w:ascii="Dutch TL" w:hAnsi="Dutch TL" w:cs="Times New Roman"/>
                <w:sz w:val="24"/>
                <w:szCs w:val="24"/>
                <w:lang w:val="lv-LV" w:eastAsia="lv-LV" w:bidi="ar-SA"/>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2767EB" w:rsidRDefault="002767EB">
            <w:pPr>
              <w:spacing w:before="100" w:beforeAutospacing="1" w:after="100" w:afterAutospacing="1" w:line="315" w:lineRule="atLeast"/>
              <w:rPr>
                <w:rFonts w:ascii="Dutch TL" w:hAnsi="Dutch TL" w:cs="Times New Roman"/>
                <w:sz w:val="24"/>
                <w:szCs w:val="24"/>
                <w:lang w:val="lv-LV" w:eastAsia="lv-LV" w:bidi="ar-SA"/>
              </w:rPr>
            </w:pPr>
            <w:r>
              <w:rPr>
                <w:rFonts w:ascii="Dutch TL" w:hAnsi="Dutch TL" w:cs="Times New Roman"/>
                <w:sz w:val="24"/>
                <w:szCs w:val="24"/>
                <w:lang w:val="lv-LV" w:eastAsia="lv-LV" w:bidi="ar-SA"/>
              </w:rPr>
              <w:t>Nav.</w:t>
            </w:r>
          </w:p>
        </w:tc>
      </w:tr>
    </w:tbl>
    <w:p w:rsidR="002767EB" w:rsidRPr="00CC2D52" w:rsidRDefault="002767EB" w:rsidP="00DA55F2">
      <w:pPr>
        <w:shd w:val="clear" w:color="auto" w:fill="FFFFFF"/>
        <w:spacing w:before="100" w:beforeAutospacing="1" w:after="100" w:afterAutospacing="1" w:line="315" w:lineRule="atLeast"/>
        <w:ind w:firstLine="300"/>
        <w:rPr>
          <w:rFonts w:ascii="Dutch TL" w:hAnsi="Dutch TL" w:cs="Times New Roman"/>
          <w:sz w:val="24"/>
          <w:szCs w:val="24"/>
          <w:lang w:val="lv-LV" w:eastAsia="lv-LV" w:bidi="ar-SA"/>
        </w:rPr>
      </w:pPr>
    </w:p>
    <w:tbl>
      <w:tblPr>
        <w:tblW w:w="8814" w:type="dxa"/>
        <w:jc w:val="center"/>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7"/>
        <w:gridCol w:w="2814"/>
        <w:gridCol w:w="5583"/>
      </w:tblGrid>
      <w:tr w:rsidR="00055B30" w:rsidRPr="00A65728" w:rsidTr="006F7A3A">
        <w:trPr>
          <w:trHeight w:val="421"/>
          <w:jc w:val="center"/>
        </w:trPr>
        <w:tc>
          <w:tcPr>
            <w:tcW w:w="8814" w:type="dxa"/>
            <w:gridSpan w:val="3"/>
            <w:vAlign w:val="center"/>
          </w:tcPr>
          <w:p w:rsidR="00055B30" w:rsidRPr="00CC2D52" w:rsidRDefault="00055B30" w:rsidP="00097186">
            <w:pPr>
              <w:pStyle w:val="naisnod"/>
              <w:spacing w:before="0" w:after="0"/>
              <w:ind w:left="57" w:right="57"/>
              <w:rPr>
                <w:rFonts w:ascii="Dutch TL" w:hAnsi="Dutch TL"/>
              </w:rPr>
            </w:pPr>
            <w:r w:rsidRPr="00CC2D52">
              <w:rPr>
                <w:rFonts w:ascii="Dutch TL" w:hAnsi="Dutch TL"/>
              </w:rPr>
              <w:t>VI. Sabiedrības līdzdalība un komunikācijas aktivitātes</w:t>
            </w:r>
          </w:p>
        </w:tc>
      </w:tr>
      <w:tr w:rsidR="00055B30" w:rsidRPr="00A65728" w:rsidTr="006F7A3A">
        <w:trPr>
          <w:trHeight w:val="553"/>
          <w:jc w:val="center"/>
        </w:trPr>
        <w:tc>
          <w:tcPr>
            <w:tcW w:w="417" w:type="dxa"/>
          </w:tcPr>
          <w:p w:rsidR="00055B30" w:rsidRPr="00CC2D52" w:rsidRDefault="00055B30" w:rsidP="00097186">
            <w:pPr>
              <w:ind w:left="57" w:right="57"/>
              <w:rPr>
                <w:rFonts w:ascii="Dutch TL" w:hAnsi="Dutch TL"/>
                <w:bCs/>
                <w:sz w:val="24"/>
                <w:szCs w:val="24"/>
              </w:rPr>
            </w:pPr>
            <w:r w:rsidRPr="00CC2D52">
              <w:rPr>
                <w:rFonts w:ascii="Dutch TL" w:hAnsi="Dutch TL"/>
                <w:bCs/>
                <w:sz w:val="24"/>
                <w:szCs w:val="24"/>
              </w:rPr>
              <w:lastRenderedPageBreak/>
              <w:t>1.</w:t>
            </w:r>
          </w:p>
        </w:tc>
        <w:tc>
          <w:tcPr>
            <w:tcW w:w="2814" w:type="dxa"/>
          </w:tcPr>
          <w:p w:rsidR="00055B30" w:rsidRPr="00CC2D52" w:rsidRDefault="00055B30" w:rsidP="00097186">
            <w:pPr>
              <w:tabs>
                <w:tab w:val="left" w:pos="170"/>
              </w:tabs>
              <w:ind w:left="57" w:right="57"/>
              <w:rPr>
                <w:rFonts w:ascii="Dutch TL" w:hAnsi="Dutch TL"/>
                <w:sz w:val="24"/>
                <w:szCs w:val="24"/>
                <w:lang w:val="lv-LV" w:eastAsia="lv-LV"/>
              </w:rPr>
            </w:pPr>
            <w:r w:rsidRPr="00CC2D52">
              <w:rPr>
                <w:rFonts w:ascii="Dutch TL" w:hAnsi="Dutch TL"/>
                <w:sz w:val="24"/>
                <w:szCs w:val="24"/>
                <w:lang w:val="lv-LV" w:eastAsia="lv-LV"/>
              </w:rPr>
              <w:t>Plānotās sabiedrības līdzdalības un komunikācijas aktivitātes saistībā ar projektu</w:t>
            </w:r>
          </w:p>
        </w:tc>
        <w:tc>
          <w:tcPr>
            <w:tcW w:w="5583" w:type="dxa"/>
          </w:tcPr>
          <w:p w:rsidR="00055B30" w:rsidRPr="00A952B9" w:rsidRDefault="000B3A1C" w:rsidP="00ED46CC">
            <w:pPr>
              <w:shd w:val="clear" w:color="auto" w:fill="FFFFFF"/>
              <w:ind w:left="57" w:right="57"/>
              <w:jc w:val="both"/>
              <w:rPr>
                <w:rFonts w:ascii="Dutch TL" w:hAnsi="Dutch TL"/>
                <w:sz w:val="24"/>
                <w:szCs w:val="24"/>
                <w:lang w:val="lv-LV" w:eastAsia="lv-LV"/>
              </w:rPr>
            </w:pPr>
            <w:bookmarkStart w:id="0" w:name="p61"/>
            <w:bookmarkEnd w:id="0"/>
            <w:r w:rsidRPr="00CC2D52">
              <w:rPr>
                <w:rFonts w:ascii="Dutch TL" w:hAnsi="Dutch TL"/>
                <w:sz w:val="24"/>
                <w:szCs w:val="24"/>
                <w:lang w:val="lv-LV"/>
              </w:rPr>
              <w:t xml:space="preserve">Ministru kabineta noteikumu projekts un tā sākotnējās ietekmes novērtējuma ziņojums (anotācija) tika publicēti tīmekļa vietnē </w:t>
            </w:r>
            <w:hyperlink r:id="rId9" w:history="1">
              <w:r w:rsidRPr="00CC2D52">
                <w:rPr>
                  <w:rStyle w:val="Hyperlink"/>
                  <w:rFonts w:ascii="Dutch TL" w:hAnsi="Dutch TL"/>
                  <w:sz w:val="24"/>
                  <w:szCs w:val="24"/>
                  <w:lang w:val="lv-LV"/>
                </w:rPr>
                <w:t>www.mod.gov.lv</w:t>
              </w:r>
            </w:hyperlink>
            <w:r w:rsidRPr="00CC2D52">
              <w:rPr>
                <w:rFonts w:ascii="Dutch TL" w:hAnsi="Dutch TL"/>
                <w:sz w:val="24"/>
                <w:szCs w:val="24"/>
                <w:lang w:val="lv-LV"/>
              </w:rPr>
              <w:t xml:space="preserve"> sadaļā </w:t>
            </w:r>
            <w:r w:rsidRPr="00CC2D52">
              <w:rPr>
                <w:rFonts w:ascii="Dutch TL" w:hAnsi="Dutch TL" w:cs="Times New Roman"/>
                <w:sz w:val="24"/>
                <w:szCs w:val="24"/>
                <w:lang w:val="lv-LV"/>
              </w:rPr>
              <w:t>„</w:t>
            </w:r>
            <w:r w:rsidRPr="00CC2D52">
              <w:rPr>
                <w:rFonts w:ascii="Dutch TL" w:hAnsi="Dutch TL"/>
                <w:sz w:val="24"/>
                <w:szCs w:val="24"/>
                <w:lang w:val="lv-LV"/>
              </w:rPr>
              <w:t>Sabiedrības līdzdalība”.</w:t>
            </w:r>
          </w:p>
        </w:tc>
      </w:tr>
      <w:tr w:rsidR="00055B30" w:rsidRPr="00A65728" w:rsidTr="006F7A3A">
        <w:trPr>
          <w:trHeight w:val="339"/>
          <w:jc w:val="center"/>
        </w:trPr>
        <w:tc>
          <w:tcPr>
            <w:tcW w:w="417" w:type="dxa"/>
          </w:tcPr>
          <w:p w:rsidR="00055B30" w:rsidRPr="00CC2D52" w:rsidRDefault="00055B30" w:rsidP="00097186">
            <w:pPr>
              <w:ind w:left="57" w:right="57"/>
              <w:rPr>
                <w:rFonts w:ascii="Dutch TL" w:hAnsi="Dutch TL"/>
                <w:bCs/>
                <w:sz w:val="24"/>
                <w:szCs w:val="24"/>
              </w:rPr>
            </w:pPr>
            <w:r w:rsidRPr="00CC2D52">
              <w:rPr>
                <w:rFonts w:ascii="Dutch TL" w:hAnsi="Dutch TL"/>
                <w:bCs/>
                <w:sz w:val="24"/>
                <w:szCs w:val="24"/>
              </w:rPr>
              <w:t>2.</w:t>
            </w:r>
          </w:p>
        </w:tc>
        <w:tc>
          <w:tcPr>
            <w:tcW w:w="2814" w:type="dxa"/>
          </w:tcPr>
          <w:p w:rsidR="00055B30" w:rsidRPr="00CC2D52" w:rsidRDefault="00055B30" w:rsidP="00097186">
            <w:pPr>
              <w:ind w:left="57" w:right="57"/>
              <w:rPr>
                <w:rFonts w:ascii="Dutch TL" w:hAnsi="Dutch TL"/>
                <w:sz w:val="24"/>
                <w:szCs w:val="24"/>
                <w:lang w:val="lv-LV" w:eastAsia="lv-LV"/>
              </w:rPr>
            </w:pPr>
            <w:r w:rsidRPr="00CC2D52">
              <w:rPr>
                <w:rFonts w:ascii="Dutch TL" w:hAnsi="Dutch TL"/>
                <w:sz w:val="24"/>
                <w:szCs w:val="24"/>
                <w:lang w:val="lv-LV" w:eastAsia="lv-LV"/>
              </w:rPr>
              <w:t>Sabiedrības līdzdalība projekta izstrādē</w:t>
            </w:r>
          </w:p>
        </w:tc>
        <w:tc>
          <w:tcPr>
            <w:tcW w:w="5583" w:type="dxa"/>
          </w:tcPr>
          <w:p w:rsidR="00055B30" w:rsidRPr="00CC2D52" w:rsidRDefault="00204B4F" w:rsidP="00C62A9C">
            <w:pPr>
              <w:jc w:val="both"/>
              <w:rPr>
                <w:rFonts w:ascii="Dutch TL" w:hAnsi="Dutch TL"/>
                <w:sz w:val="24"/>
                <w:szCs w:val="24"/>
                <w:lang w:val="lv-LV" w:eastAsia="lv-LV"/>
              </w:rPr>
            </w:pPr>
            <w:bookmarkStart w:id="1" w:name="p62"/>
            <w:bookmarkEnd w:id="1"/>
            <w:r w:rsidRPr="00CC2D52">
              <w:rPr>
                <w:rFonts w:ascii="Dutch TL" w:hAnsi="Dutch TL"/>
                <w:sz w:val="24"/>
                <w:szCs w:val="24"/>
                <w:lang w:val="lv-LV"/>
              </w:rPr>
              <w:t>Sabiedrības līdzdalība Ministru kabineta noteikumu projekta izstrādē tika nodrošināta,</w:t>
            </w:r>
            <w:r w:rsidR="00C62A9C" w:rsidRPr="00C62A9C">
              <w:rPr>
                <w:rFonts w:ascii="Dutch TL" w:hAnsi="Dutch TL"/>
                <w:sz w:val="24"/>
                <w:szCs w:val="24"/>
                <w:lang w:val="lv-LV"/>
              </w:rPr>
              <w:t xml:space="preserve"> </w:t>
            </w:r>
            <w:r w:rsidR="00C62A9C" w:rsidRPr="00CC2D52">
              <w:rPr>
                <w:rFonts w:ascii="Dutch TL" w:hAnsi="Dutch TL"/>
                <w:sz w:val="24"/>
                <w:szCs w:val="24"/>
                <w:lang w:val="lv-LV"/>
              </w:rPr>
              <w:t>ievietojot</w:t>
            </w:r>
            <w:r w:rsidR="00C62A9C" w:rsidRPr="00C62A9C">
              <w:rPr>
                <w:rFonts w:ascii="Dutch TL" w:hAnsi="Dutch TL"/>
                <w:sz w:val="24"/>
                <w:szCs w:val="24"/>
                <w:lang w:val="lv-LV"/>
              </w:rPr>
              <w:t xml:space="preserve"> Ministru kabineta noteikumu projekt</w:t>
            </w:r>
            <w:r w:rsidR="00C62A9C">
              <w:rPr>
                <w:rFonts w:ascii="Dutch TL" w:hAnsi="Dutch TL"/>
                <w:sz w:val="24"/>
                <w:szCs w:val="24"/>
                <w:lang w:val="lv-LV"/>
              </w:rPr>
              <w:t>u</w:t>
            </w:r>
            <w:r w:rsidR="00C62A9C" w:rsidRPr="00C62A9C">
              <w:rPr>
                <w:rFonts w:ascii="Dutch TL" w:hAnsi="Dutch TL"/>
                <w:sz w:val="24"/>
                <w:szCs w:val="24"/>
                <w:lang w:val="lv-LV"/>
              </w:rPr>
              <w:t xml:space="preserve"> un tā sākotnējās ietekmes novērtējuma ziņojum</w:t>
            </w:r>
            <w:r w:rsidR="00C62A9C">
              <w:rPr>
                <w:rFonts w:ascii="Dutch TL" w:hAnsi="Dutch TL"/>
                <w:sz w:val="24"/>
                <w:szCs w:val="24"/>
                <w:lang w:val="lv-LV"/>
              </w:rPr>
              <w:t>u (anotāciju</w:t>
            </w:r>
            <w:r w:rsidR="00C62A9C" w:rsidRPr="00C62A9C">
              <w:rPr>
                <w:rFonts w:ascii="Dutch TL" w:hAnsi="Dutch TL"/>
                <w:sz w:val="24"/>
                <w:szCs w:val="24"/>
                <w:lang w:val="lv-LV"/>
              </w:rPr>
              <w:t xml:space="preserve">) 28.09.2016. un pēc projekta un anotācijas papildinājumiem atkārtoti 15.02.2017. </w:t>
            </w:r>
            <w:r w:rsidR="00660964">
              <w:rPr>
                <w:rFonts w:ascii="Dutch TL" w:hAnsi="Dutch TL"/>
                <w:sz w:val="24"/>
                <w:szCs w:val="24"/>
                <w:lang w:val="lv-LV"/>
              </w:rPr>
              <w:t xml:space="preserve">un 15.05.2017. </w:t>
            </w:r>
            <w:r w:rsidRPr="00CC2D52">
              <w:rPr>
                <w:rFonts w:ascii="Dutch TL" w:hAnsi="Dutch TL"/>
                <w:sz w:val="24"/>
                <w:szCs w:val="24"/>
                <w:lang w:val="lv-LV"/>
              </w:rPr>
              <w:t xml:space="preserve">tīmekļa vietnē </w:t>
            </w:r>
            <w:hyperlink r:id="rId10" w:history="1">
              <w:r w:rsidRPr="00CC2D52">
                <w:rPr>
                  <w:rStyle w:val="Hyperlink"/>
                  <w:rFonts w:ascii="Dutch TL" w:hAnsi="Dutch TL"/>
                  <w:sz w:val="24"/>
                  <w:szCs w:val="24"/>
                  <w:lang w:val="lv-LV"/>
                </w:rPr>
                <w:t>www.mod.gov.lv</w:t>
              </w:r>
            </w:hyperlink>
            <w:r w:rsidRPr="00CC2D52">
              <w:rPr>
                <w:rFonts w:ascii="Dutch TL" w:hAnsi="Dutch TL"/>
                <w:sz w:val="24"/>
                <w:szCs w:val="24"/>
                <w:lang w:val="lv-LV"/>
              </w:rPr>
              <w:t xml:space="preserve"> un aicinot sabiedrības pārstāvjus rakstiski sniegt viedokli par Ministru kabineta noteikumu projektu tā izstrādes </w:t>
            </w:r>
            <w:r w:rsidR="001A2CAA">
              <w:rPr>
                <w:rFonts w:ascii="Dutch TL" w:hAnsi="Dutch TL"/>
                <w:sz w:val="24"/>
                <w:szCs w:val="24"/>
                <w:lang w:val="lv-LV"/>
              </w:rPr>
              <w:t xml:space="preserve">un saskaņošanas </w:t>
            </w:r>
            <w:r w:rsidRPr="00CC2D52">
              <w:rPr>
                <w:rFonts w:ascii="Dutch TL" w:hAnsi="Dutch TL"/>
                <w:sz w:val="24"/>
                <w:szCs w:val="24"/>
                <w:lang w:val="lv-LV"/>
              </w:rPr>
              <w:t>stadijā – nosūtot elektroniski uz e-pastu: Vita.Upeniece@mod.gov.lv</w:t>
            </w:r>
          </w:p>
        </w:tc>
      </w:tr>
      <w:tr w:rsidR="00055B30" w:rsidRPr="00660964" w:rsidTr="006F7A3A">
        <w:trPr>
          <w:trHeight w:val="476"/>
          <w:jc w:val="center"/>
        </w:trPr>
        <w:tc>
          <w:tcPr>
            <w:tcW w:w="417" w:type="dxa"/>
          </w:tcPr>
          <w:p w:rsidR="00055B30" w:rsidRPr="00660964" w:rsidRDefault="00055B30" w:rsidP="00097186">
            <w:pPr>
              <w:ind w:left="57" w:right="57"/>
              <w:rPr>
                <w:rFonts w:ascii="Dutch TL" w:hAnsi="Dutch TL"/>
                <w:bCs/>
                <w:sz w:val="24"/>
                <w:szCs w:val="24"/>
                <w:lang w:val="lv-LV"/>
              </w:rPr>
            </w:pPr>
            <w:r w:rsidRPr="00660964">
              <w:rPr>
                <w:rFonts w:ascii="Dutch TL" w:hAnsi="Dutch TL"/>
                <w:bCs/>
                <w:sz w:val="24"/>
                <w:szCs w:val="24"/>
                <w:lang w:val="lv-LV"/>
              </w:rPr>
              <w:t>3.</w:t>
            </w:r>
          </w:p>
        </w:tc>
        <w:tc>
          <w:tcPr>
            <w:tcW w:w="2814" w:type="dxa"/>
          </w:tcPr>
          <w:p w:rsidR="00055B30" w:rsidRPr="00CC2D52" w:rsidRDefault="00055B30" w:rsidP="00097186">
            <w:pPr>
              <w:ind w:left="57" w:right="57"/>
              <w:rPr>
                <w:rFonts w:ascii="Dutch TL" w:hAnsi="Dutch TL"/>
                <w:sz w:val="24"/>
                <w:szCs w:val="24"/>
                <w:lang w:val="lv-LV" w:eastAsia="lv-LV"/>
              </w:rPr>
            </w:pPr>
            <w:r w:rsidRPr="00CC2D52">
              <w:rPr>
                <w:rFonts w:ascii="Dutch TL" w:hAnsi="Dutch TL"/>
                <w:sz w:val="24"/>
                <w:szCs w:val="24"/>
                <w:lang w:val="lv-LV" w:eastAsia="lv-LV"/>
              </w:rPr>
              <w:t>Sabiedrības līdzdalības rezultāti</w:t>
            </w:r>
          </w:p>
        </w:tc>
        <w:tc>
          <w:tcPr>
            <w:tcW w:w="5583" w:type="dxa"/>
          </w:tcPr>
          <w:p w:rsidR="00055B30" w:rsidRPr="00CC2D52" w:rsidRDefault="005A41D9" w:rsidP="00ED46CC">
            <w:pPr>
              <w:shd w:val="clear" w:color="auto" w:fill="FFFFFF"/>
              <w:ind w:left="57" w:right="57"/>
              <w:jc w:val="both"/>
              <w:rPr>
                <w:rFonts w:ascii="Dutch TL" w:hAnsi="Dutch TL"/>
                <w:sz w:val="24"/>
                <w:szCs w:val="24"/>
                <w:lang w:val="lv-LV" w:eastAsia="lv-LV"/>
              </w:rPr>
            </w:pPr>
            <w:r w:rsidRPr="00CC2D52">
              <w:rPr>
                <w:rFonts w:ascii="Dutch TL" w:hAnsi="Dutch TL"/>
                <w:sz w:val="24"/>
                <w:szCs w:val="24"/>
                <w:lang w:val="lv-LV"/>
              </w:rPr>
              <w:t>Priekšlikumi noteiktajā laika periodā netika sniegti.</w:t>
            </w:r>
          </w:p>
        </w:tc>
      </w:tr>
      <w:tr w:rsidR="00055B30" w:rsidRPr="00CC2D52" w:rsidTr="006F7A3A">
        <w:trPr>
          <w:trHeight w:val="476"/>
          <w:jc w:val="center"/>
        </w:trPr>
        <w:tc>
          <w:tcPr>
            <w:tcW w:w="417" w:type="dxa"/>
          </w:tcPr>
          <w:p w:rsidR="00055B30" w:rsidRPr="00660964" w:rsidRDefault="00055B30" w:rsidP="00097186">
            <w:pPr>
              <w:ind w:left="57" w:right="57"/>
              <w:rPr>
                <w:rFonts w:ascii="Dutch TL" w:hAnsi="Dutch TL"/>
                <w:bCs/>
                <w:sz w:val="24"/>
                <w:szCs w:val="24"/>
                <w:lang w:val="lv-LV"/>
              </w:rPr>
            </w:pPr>
            <w:r w:rsidRPr="00660964">
              <w:rPr>
                <w:rFonts w:ascii="Dutch TL" w:hAnsi="Dutch TL"/>
                <w:bCs/>
                <w:sz w:val="24"/>
                <w:szCs w:val="24"/>
                <w:lang w:val="lv-LV"/>
              </w:rPr>
              <w:t>4.</w:t>
            </w:r>
          </w:p>
        </w:tc>
        <w:tc>
          <w:tcPr>
            <w:tcW w:w="2814" w:type="dxa"/>
          </w:tcPr>
          <w:p w:rsidR="00055B30" w:rsidRPr="00CC2D52" w:rsidRDefault="00055B30" w:rsidP="00097186">
            <w:pPr>
              <w:ind w:left="57" w:right="57"/>
              <w:rPr>
                <w:rFonts w:ascii="Dutch TL" w:hAnsi="Dutch TL"/>
                <w:sz w:val="24"/>
                <w:szCs w:val="24"/>
                <w:lang w:val="lv-LV" w:eastAsia="lv-LV"/>
              </w:rPr>
            </w:pPr>
            <w:r w:rsidRPr="00CC2D52">
              <w:rPr>
                <w:rFonts w:ascii="Dutch TL" w:hAnsi="Dutch TL"/>
                <w:sz w:val="24"/>
                <w:szCs w:val="24"/>
                <w:lang w:val="lv-LV" w:eastAsia="lv-LV"/>
              </w:rPr>
              <w:t>Cita informācija</w:t>
            </w:r>
          </w:p>
        </w:tc>
        <w:tc>
          <w:tcPr>
            <w:tcW w:w="5583" w:type="dxa"/>
          </w:tcPr>
          <w:p w:rsidR="00055B30" w:rsidRPr="00CC2D52" w:rsidRDefault="00055B30" w:rsidP="00097186">
            <w:pPr>
              <w:ind w:left="57" w:right="57"/>
              <w:rPr>
                <w:rFonts w:ascii="Dutch TL" w:hAnsi="Dutch TL"/>
                <w:sz w:val="24"/>
                <w:szCs w:val="24"/>
                <w:lang w:val="lv-LV" w:eastAsia="lv-LV"/>
              </w:rPr>
            </w:pPr>
            <w:r w:rsidRPr="00CC2D52">
              <w:rPr>
                <w:rFonts w:ascii="Dutch TL" w:hAnsi="Dutch TL"/>
                <w:sz w:val="24"/>
                <w:szCs w:val="24"/>
                <w:lang w:val="lv-LV"/>
              </w:rPr>
              <w:t>Nav.</w:t>
            </w:r>
          </w:p>
        </w:tc>
      </w:tr>
    </w:tbl>
    <w:p w:rsidR="00055B30" w:rsidRPr="00E65F9E" w:rsidRDefault="00055B30" w:rsidP="00055B30">
      <w:pPr>
        <w:shd w:val="clear" w:color="auto" w:fill="FFFFFF"/>
        <w:spacing w:before="100" w:beforeAutospacing="1" w:after="100" w:afterAutospacing="1" w:line="315" w:lineRule="atLeast"/>
        <w:rPr>
          <w:rFonts w:cs="Times New Roman"/>
          <w:sz w:val="24"/>
          <w:szCs w:val="24"/>
          <w:lang w:val="lv-LV" w:eastAsia="lv-LV" w:bidi="ar-SA"/>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44"/>
        <w:gridCol w:w="3374"/>
        <w:gridCol w:w="5062"/>
      </w:tblGrid>
      <w:tr w:rsidR="00065F37" w:rsidRPr="00A65728" w:rsidTr="00DA55F2">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A55F2" w:rsidRPr="00E65F9E" w:rsidRDefault="00DA55F2" w:rsidP="00DA55F2">
            <w:pPr>
              <w:spacing w:before="100" w:beforeAutospacing="1" w:after="100" w:afterAutospacing="1" w:line="315" w:lineRule="atLeast"/>
              <w:jc w:val="center"/>
              <w:rPr>
                <w:rFonts w:cs="Times New Roman"/>
                <w:b/>
                <w:bCs/>
                <w:sz w:val="24"/>
                <w:szCs w:val="24"/>
                <w:lang w:val="lv-LV" w:eastAsia="lv-LV" w:bidi="ar-SA"/>
              </w:rPr>
            </w:pPr>
            <w:r w:rsidRPr="00E65F9E">
              <w:rPr>
                <w:rFonts w:cs="Times New Roman"/>
                <w:b/>
                <w:bCs/>
                <w:sz w:val="24"/>
                <w:szCs w:val="24"/>
                <w:lang w:val="lv-LV" w:eastAsia="lv-LV" w:bidi="ar-SA"/>
              </w:rPr>
              <w:t>VII. Tiesību akta projekta izpildes nodrošināšana un tās ietekme uz institūcijām</w:t>
            </w:r>
          </w:p>
        </w:tc>
      </w:tr>
      <w:tr w:rsidR="00065F37" w:rsidRPr="00A65728" w:rsidTr="00DA55F2">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1.</w:t>
            </w:r>
          </w:p>
        </w:tc>
        <w:tc>
          <w:tcPr>
            <w:tcW w:w="190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DA55F2" w:rsidRPr="00E65F9E" w:rsidRDefault="00DD0703" w:rsidP="00211CDB">
            <w:pPr>
              <w:rPr>
                <w:rFonts w:cs="Times New Roman"/>
                <w:sz w:val="24"/>
                <w:szCs w:val="24"/>
                <w:lang w:val="lv-LV" w:eastAsia="lv-LV" w:bidi="ar-SA"/>
              </w:rPr>
            </w:pPr>
            <w:r w:rsidRPr="00E65F9E">
              <w:rPr>
                <w:rFonts w:cs="Times New Roman"/>
                <w:sz w:val="24"/>
                <w:szCs w:val="24"/>
                <w:lang w:val="lv-LV" w:eastAsia="lv-LV" w:bidi="ar-SA"/>
              </w:rPr>
              <w:t>Aizsardzības ministrija</w:t>
            </w:r>
            <w:r w:rsidR="00A669D6">
              <w:rPr>
                <w:rFonts w:cs="Times New Roman"/>
                <w:sz w:val="24"/>
                <w:szCs w:val="24"/>
                <w:lang w:val="lv-LV" w:eastAsia="lv-LV" w:bidi="ar-SA"/>
              </w:rPr>
              <w:t>, Nacionālie bruņotie spēki</w:t>
            </w:r>
            <w:r w:rsidRPr="00E65F9E">
              <w:rPr>
                <w:rFonts w:cs="Times New Roman"/>
                <w:sz w:val="24"/>
                <w:szCs w:val="24"/>
                <w:lang w:val="lv-LV" w:eastAsia="lv-LV" w:bidi="ar-SA"/>
              </w:rPr>
              <w:t xml:space="preserve"> un </w:t>
            </w:r>
            <w:r w:rsidR="00211CDB">
              <w:rPr>
                <w:rFonts w:cs="Times New Roman"/>
                <w:sz w:val="24"/>
                <w:szCs w:val="24"/>
                <w:lang w:val="lv-LV" w:eastAsia="lv-LV" w:bidi="ar-SA"/>
              </w:rPr>
              <w:t>Militārās izlūkošanas un drošības dienests</w:t>
            </w:r>
            <w:r w:rsidRPr="00E65F9E">
              <w:rPr>
                <w:rFonts w:cs="Times New Roman"/>
                <w:sz w:val="24"/>
                <w:szCs w:val="24"/>
                <w:lang w:val="lv-LV" w:eastAsia="lv-LV" w:bidi="ar-SA"/>
              </w:rPr>
              <w:t>.</w:t>
            </w:r>
          </w:p>
        </w:tc>
      </w:tr>
      <w:tr w:rsidR="00065F37" w:rsidRPr="00A65728" w:rsidTr="00DA55F2">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2.</w:t>
            </w:r>
          </w:p>
        </w:tc>
        <w:tc>
          <w:tcPr>
            <w:tcW w:w="190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Projekta izpildes ietekme uz pārvaldes funkcijām un institucionālo struktūru.</w:t>
            </w:r>
          </w:p>
          <w:p w:rsidR="00DA55F2" w:rsidRPr="00E65F9E" w:rsidRDefault="00DA55F2" w:rsidP="00DA55F2">
            <w:pPr>
              <w:spacing w:before="100" w:beforeAutospacing="1" w:after="100" w:afterAutospacing="1" w:line="315" w:lineRule="atLeast"/>
              <w:rPr>
                <w:rFonts w:cs="Times New Roman"/>
                <w:sz w:val="24"/>
                <w:szCs w:val="24"/>
                <w:lang w:val="lv-LV" w:eastAsia="lv-LV" w:bidi="ar-SA"/>
              </w:rPr>
            </w:pPr>
            <w:r w:rsidRPr="00E65F9E">
              <w:rPr>
                <w:rFonts w:cs="Times New Roman"/>
                <w:sz w:val="24"/>
                <w:szCs w:val="24"/>
                <w:lang w:val="lv-LV" w:eastAsia="lv-LV" w:bidi="ar-SA"/>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DD0703" w:rsidRDefault="00A22EA0" w:rsidP="001B7346">
            <w:pPr>
              <w:jc w:val="both"/>
              <w:rPr>
                <w:rFonts w:cs="Times New Roman"/>
                <w:sz w:val="24"/>
                <w:szCs w:val="24"/>
                <w:lang w:val="lv-LV" w:eastAsia="lv-LV" w:bidi="ar-SA"/>
              </w:rPr>
            </w:pPr>
            <w:r>
              <w:rPr>
                <w:rFonts w:cs="Times New Roman"/>
                <w:sz w:val="24"/>
                <w:szCs w:val="24"/>
                <w:lang w:val="lv-LV" w:eastAsia="lv-LV" w:bidi="ar-SA"/>
              </w:rPr>
              <w:t>Projekta izpilde neradīs būtisku ietekmi uz pārvaldes funkcijām un neietekmēs institucionālo struktūru.</w:t>
            </w:r>
          </w:p>
          <w:p w:rsidR="00A22EA0" w:rsidRPr="00E65F9E" w:rsidRDefault="00A22EA0" w:rsidP="001B7346">
            <w:pPr>
              <w:jc w:val="both"/>
              <w:rPr>
                <w:rFonts w:cs="Times New Roman"/>
                <w:sz w:val="24"/>
                <w:szCs w:val="24"/>
                <w:lang w:val="lv-LV" w:eastAsia="lv-LV" w:bidi="ar-SA"/>
              </w:rPr>
            </w:pPr>
            <w:r>
              <w:rPr>
                <w:rFonts w:cs="Times New Roman"/>
                <w:sz w:val="24"/>
                <w:szCs w:val="24"/>
                <w:lang w:val="lv-LV" w:eastAsia="lv-LV" w:bidi="ar-SA"/>
              </w:rPr>
              <w:t xml:space="preserve">Jaunu institūciju izveide vai esošo </w:t>
            </w:r>
            <w:r w:rsidR="00B61020">
              <w:rPr>
                <w:rFonts w:cs="Times New Roman"/>
                <w:sz w:val="24"/>
                <w:szCs w:val="24"/>
                <w:lang w:val="lv-LV" w:eastAsia="lv-LV" w:bidi="ar-SA"/>
              </w:rPr>
              <w:t xml:space="preserve">institūciju </w:t>
            </w:r>
            <w:r>
              <w:rPr>
                <w:rFonts w:cs="Times New Roman"/>
                <w:sz w:val="24"/>
                <w:szCs w:val="24"/>
                <w:lang w:val="lv-LV" w:eastAsia="lv-LV" w:bidi="ar-SA"/>
              </w:rPr>
              <w:t>reorganizācija nav nepieciešama.</w:t>
            </w:r>
          </w:p>
        </w:tc>
      </w:tr>
      <w:tr w:rsidR="00DA55F2" w:rsidRPr="00E65F9E" w:rsidTr="00DA55F2">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3.</w:t>
            </w:r>
          </w:p>
        </w:tc>
        <w:tc>
          <w:tcPr>
            <w:tcW w:w="190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spacing w:before="100" w:beforeAutospacing="1" w:after="100" w:afterAutospacing="1" w:line="315" w:lineRule="atLeast"/>
              <w:rPr>
                <w:rFonts w:cs="Times New Roman"/>
                <w:sz w:val="24"/>
                <w:szCs w:val="24"/>
                <w:lang w:val="lv-LV" w:eastAsia="lv-LV" w:bidi="ar-SA"/>
              </w:rPr>
            </w:pPr>
            <w:r w:rsidRPr="00E65F9E">
              <w:rPr>
                <w:rFonts w:cs="Times New Roman"/>
                <w:sz w:val="24"/>
                <w:szCs w:val="24"/>
                <w:lang w:val="lv-LV" w:eastAsia="lv-LV" w:bidi="ar-SA"/>
              </w:rPr>
              <w:t>Nav.</w:t>
            </w:r>
          </w:p>
        </w:tc>
      </w:tr>
    </w:tbl>
    <w:p w:rsidR="001B283B" w:rsidRPr="001B283B" w:rsidRDefault="00055B30" w:rsidP="001B283B">
      <w:pPr>
        <w:tabs>
          <w:tab w:val="right" w:pos="9074"/>
        </w:tabs>
        <w:rPr>
          <w:i/>
          <w:iCs/>
          <w:sz w:val="25"/>
          <w:szCs w:val="25"/>
          <w:lang w:val="lv-LV"/>
        </w:rPr>
      </w:pPr>
      <w:r>
        <w:rPr>
          <w:i/>
          <w:iCs/>
          <w:sz w:val="25"/>
          <w:szCs w:val="25"/>
          <w:lang w:val="lv-LV"/>
        </w:rPr>
        <w:t>Anotācijas III. un</w:t>
      </w:r>
      <w:r w:rsidR="001B283B" w:rsidRPr="001B283B">
        <w:rPr>
          <w:i/>
          <w:iCs/>
          <w:sz w:val="25"/>
          <w:szCs w:val="25"/>
          <w:lang w:val="lv-LV"/>
        </w:rPr>
        <w:t xml:space="preserve"> </w:t>
      </w:r>
      <w:r>
        <w:rPr>
          <w:i/>
          <w:iCs/>
          <w:sz w:val="25"/>
          <w:szCs w:val="25"/>
          <w:lang w:val="lv-LV"/>
        </w:rPr>
        <w:t>V</w:t>
      </w:r>
      <w:r w:rsidR="008C57B8">
        <w:rPr>
          <w:i/>
          <w:iCs/>
          <w:sz w:val="25"/>
          <w:szCs w:val="25"/>
          <w:lang w:val="lv-LV"/>
        </w:rPr>
        <w:t>.</w:t>
      </w:r>
      <w:r w:rsidR="001B283B" w:rsidRPr="001B283B">
        <w:rPr>
          <w:i/>
          <w:iCs/>
          <w:sz w:val="25"/>
          <w:szCs w:val="25"/>
          <w:lang w:val="lv-LV"/>
        </w:rPr>
        <w:t xml:space="preserve"> sadaļa</w:t>
      </w:r>
      <w:proofErr w:type="gramStart"/>
      <w:r w:rsidR="001B283B" w:rsidRPr="001B283B">
        <w:rPr>
          <w:i/>
          <w:iCs/>
          <w:sz w:val="25"/>
          <w:szCs w:val="25"/>
          <w:lang w:val="lv-LV"/>
        </w:rPr>
        <w:t xml:space="preserve">  </w:t>
      </w:r>
      <w:proofErr w:type="gramEnd"/>
      <w:r w:rsidR="001B283B" w:rsidRPr="001B283B">
        <w:rPr>
          <w:i/>
          <w:iCs/>
          <w:sz w:val="25"/>
          <w:szCs w:val="25"/>
          <w:lang w:val="lv-LV"/>
        </w:rPr>
        <w:t>–  projekts šīs jomas neskar</w:t>
      </w:r>
      <w:r w:rsidR="00421048">
        <w:rPr>
          <w:i/>
          <w:iCs/>
          <w:sz w:val="25"/>
          <w:szCs w:val="25"/>
          <w:lang w:val="lv-LV"/>
        </w:rPr>
        <w:t>.</w:t>
      </w:r>
    </w:p>
    <w:p w:rsidR="004600D1" w:rsidRPr="00E65F9E" w:rsidRDefault="004600D1" w:rsidP="00DD0703">
      <w:pPr>
        <w:tabs>
          <w:tab w:val="right" w:pos="9074"/>
        </w:tabs>
        <w:rPr>
          <w:rFonts w:cs="Times New Roman"/>
          <w:sz w:val="24"/>
          <w:szCs w:val="24"/>
          <w:lang w:val="lv-LV"/>
        </w:rPr>
      </w:pPr>
    </w:p>
    <w:p w:rsidR="004600D1" w:rsidRPr="00E65F9E" w:rsidRDefault="004600D1" w:rsidP="00DD0703">
      <w:pPr>
        <w:tabs>
          <w:tab w:val="right" w:pos="9074"/>
        </w:tabs>
        <w:rPr>
          <w:rFonts w:cs="Times New Roman"/>
          <w:sz w:val="24"/>
          <w:szCs w:val="24"/>
          <w:lang w:val="lv-LV"/>
        </w:rPr>
      </w:pPr>
    </w:p>
    <w:p w:rsidR="00DD0703" w:rsidRPr="00E65F9E" w:rsidRDefault="00DD0703" w:rsidP="00172AF9">
      <w:pPr>
        <w:tabs>
          <w:tab w:val="right" w:pos="9074"/>
        </w:tabs>
        <w:rPr>
          <w:rFonts w:cs="Times New Roman"/>
          <w:sz w:val="24"/>
          <w:szCs w:val="24"/>
          <w:lang w:val="lv-LV"/>
        </w:rPr>
      </w:pPr>
      <w:r w:rsidRPr="00E65F9E">
        <w:rPr>
          <w:rFonts w:cs="Times New Roman"/>
          <w:sz w:val="24"/>
          <w:szCs w:val="24"/>
          <w:lang w:val="lv-LV"/>
        </w:rPr>
        <w:t xml:space="preserve">Aizsardzības </w:t>
      </w:r>
      <w:r w:rsidR="00172AF9">
        <w:rPr>
          <w:rFonts w:cs="Times New Roman"/>
          <w:sz w:val="24"/>
          <w:szCs w:val="24"/>
          <w:lang w:val="lv-LV"/>
        </w:rPr>
        <w:t>ministrs</w:t>
      </w:r>
      <w:r w:rsidRPr="00E65F9E">
        <w:rPr>
          <w:rFonts w:cs="Times New Roman"/>
          <w:sz w:val="24"/>
          <w:szCs w:val="24"/>
          <w:lang w:val="lv-LV"/>
        </w:rPr>
        <w:tab/>
      </w:r>
      <w:r w:rsidR="00172AF9">
        <w:rPr>
          <w:rFonts w:cs="Times New Roman"/>
          <w:sz w:val="24"/>
          <w:szCs w:val="24"/>
          <w:lang w:val="lv-LV"/>
        </w:rPr>
        <w:t>R.</w:t>
      </w:r>
      <w:r w:rsidR="006C7ADF">
        <w:rPr>
          <w:rFonts w:cs="Times New Roman"/>
          <w:sz w:val="24"/>
          <w:szCs w:val="24"/>
          <w:lang w:val="lv-LV"/>
        </w:rPr>
        <w:t>Bergmanis</w:t>
      </w:r>
    </w:p>
    <w:p w:rsidR="001701FF" w:rsidRDefault="001701FF" w:rsidP="00DD0703">
      <w:pPr>
        <w:tabs>
          <w:tab w:val="right" w:pos="9000"/>
        </w:tabs>
        <w:jc w:val="both"/>
        <w:rPr>
          <w:rFonts w:cs="Times New Roman"/>
          <w:sz w:val="24"/>
          <w:szCs w:val="24"/>
          <w:lang w:val="lv-LV"/>
        </w:rPr>
      </w:pPr>
    </w:p>
    <w:p w:rsidR="001701FF" w:rsidRDefault="001701FF" w:rsidP="00DD0703">
      <w:pPr>
        <w:tabs>
          <w:tab w:val="right" w:pos="9000"/>
        </w:tabs>
        <w:jc w:val="both"/>
        <w:rPr>
          <w:rFonts w:cs="Times New Roman"/>
          <w:sz w:val="24"/>
          <w:szCs w:val="24"/>
          <w:lang w:val="lv-LV"/>
        </w:rPr>
      </w:pPr>
    </w:p>
    <w:p w:rsidR="007A690E" w:rsidRPr="00E65F9E" w:rsidRDefault="007A690E" w:rsidP="00DD0703">
      <w:pPr>
        <w:tabs>
          <w:tab w:val="right" w:pos="9000"/>
        </w:tabs>
        <w:jc w:val="both"/>
        <w:rPr>
          <w:rFonts w:cs="Times New Roman"/>
          <w:sz w:val="24"/>
          <w:szCs w:val="24"/>
          <w:lang w:val="lv-LV"/>
        </w:rPr>
      </w:pPr>
    </w:p>
    <w:p w:rsidR="00DD0703" w:rsidRPr="00E65F9E" w:rsidRDefault="00DD0703" w:rsidP="00DD0703">
      <w:pPr>
        <w:tabs>
          <w:tab w:val="right" w:pos="9000"/>
        </w:tabs>
        <w:jc w:val="both"/>
        <w:rPr>
          <w:rFonts w:cs="Times New Roman"/>
          <w:sz w:val="24"/>
          <w:szCs w:val="24"/>
          <w:lang w:val="lv-LV"/>
        </w:rPr>
      </w:pPr>
      <w:r w:rsidRPr="00E65F9E">
        <w:rPr>
          <w:rFonts w:cs="Times New Roman"/>
          <w:sz w:val="24"/>
          <w:szCs w:val="24"/>
          <w:lang w:val="lv-LV"/>
        </w:rPr>
        <w:t>Vīza: valsts sekretārs</w:t>
      </w:r>
      <w:r w:rsidRPr="00E65F9E">
        <w:rPr>
          <w:rFonts w:cs="Times New Roman"/>
          <w:sz w:val="24"/>
          <w:szCs w:val="24"/>
          <w:lang w:val="lv-LV"/>
        </w:rPr>
        <w:tab/>
        <w:t>J.</w:t>
      </w:r>
      <w:r w:rsidR="0013777F">
        <w:rPr>
          <w:rFonts w:cs="Times New Roman"/>
          <w:sz w:val="24"/>
          <w:szCs w:val="24"/>
          <w:lang w:val="lv-LV"/>
        </w:rPr>
        <w:t>Garisons</w:t>
      </w:r>
    </w:p>
    <w:p w:rsidR="00DD0703" w:rsidRDefault="00DD0703" w:rsidP="00DD0703">
      <w:pPr>
        <w:tabs>
          <w:tab w:val="left" w:pos="1560"/>
        </w:tabs>
        <w:rPr>
          <w:rFonts w:cs="Times New Roman"/>
          <w:lang w:val="lv-LV"/>
        </w:rPr>
      </w:pPr>
    </w:p>
    <w:p w:rsidR="001701FF" w:rsidRDefault="001701FF" w:rsidP="00DD0703">
      <w:pPr>
        <w:tabs>
          <w:tab w:val="left" w:pos="1560"/>
        </w:tabs>
        <w:rPr>
          <w:rFonts w:cs="Times New Roman"/>
          <w:lang w:val="lv-LV"/>
        </w:rPr>
      </w:pPr>
    </w:p>
    <w:p w:rsidR="001701FF" w:rsidRPr="007A690E" w:rsidRDefault="001701FF" w:rsidP="00DD0703">
      <w:pPr>
        <w:tabs>
          <w:tab w:val="left" w:pos="1560"/>
        </w:tabs>
        <w:rPr>
          <w:rFonts w:cs="Times New Roman"/>
          <w:sz w:val="16"/>
          <w:szCs w:val="16"/>
          <w:lang w:val="lv-LV"/>
        </w:rPr>
      </w:pPr>
    </w:p>
    <w:p w:rsidR="004600D1" w:rsidRPr="007A690E" w:rsidRDefault="00A65728" w:rsidP="004600D1">
      <w:pPr>
        <w:tabs>
          <w:tab w:val="left" w:pos="1560"/>
        </w:tabs>
        <w:rPr>
          <w:sz w:val="16"/>
          <w:szCs w:val="16"/>
          <w:lang w:val="lv-LV"/>
        </w:rPr>
      </w:pPr>
      <w:r>
        <w:rPr>
          <w:sz w:val="16"/>
          <w:szCs w:val="16"/>
          <w:lang w:val="lv-LV"/>
        </w:rPr>
        <w:t>02.06</w:t>
      </w:r>
      <w:r w:rsidR="00F61B2A">
        <w:rPr>
          <w:sz w:val="16"/>
          <w:szCs w:val="16"/>
          <w:lang w:val="lv-LV"/>
        </w:rPr>
        <w:t>.2017.</w:t>
      </w:r>
      <w:proofErr w:type="gramStart"/>
      <w:r w:rsidR="004600D1" w:rsidRPr="007A690E">
        <w:rPr>
          <w:sz w:val="16"/>
          <w:szCs w:val="16"/>
          <w:lang w:val="lv-LV"/>
        </w:rPr>
        <w:t xml:space="preserve">   </w:t>
      </w:r>
      <w:proofErr w:type="gramEnd"/>
      <w:r w:rsidR="001312D8" w:rsidRPr="007A690E">
        <w:rPr>
          <w:sz w:val="16"/>
          <w:szCs w:val="16"/>
          <w:lang w:val="lv-LV"/>
        </w:rPr>
        <w:t>1</w:t>
      </w:r>
      <w:r w:rsidR="00A65E3B">
        <w:rPr>
          <w:sz w:val="16"/>
          <w:szCs w:val="16"/>
          <w:lang w:val="lv-LV"/>
        </w:rPr>
        <w:t>6</w:t>
      </w:r>
      <w:r w:rsidR="001312D8" w:rsidRPr="007A690E">
        <w:rPr>
          <w:sz w:val="16"/>
          <w:szCs w:val="16"/>
          <w:lang w:val="lv-LV"/>
        </w:rPr>
        <w:t>:</w:t>
      </w:r>
      <w:r w:rsidR="00A65E3B">
        <w:rPr>
          <w:sz w:val="16"/>
          <w:szCs w:val="16"/>
          <w:lang w:val="lv-LV"/>
        </w:rPr>
        <w:t>38</w:t>
      </w:r>
      <w:bookmarkStart w:id="2" w:name="_GoBack"/>
      <w:bookmarkEnd w:id="2"/>
    </w:p>
    <w:p w:rsidR="004600D1" w:rsidRPr="007A690E" w:rsidRDefault="00A33CCA" w:rsidP="004600D1">
      <w:pPr>
        <w:pStyle w:val="Header"/>
        <w:rPr>
          <w:sz w:val="16"/>
          <w:szCs w:val="16"/>
        </w:rPr>
      </w:pPr>
      <w:r>
        <w:rPr>
          <w:sz w:val="16"/>
          <w:szCs w:val="16"/>
        </w:rPr>
        <w:t>10</w:t>
      </w:r>
      <w:r w:rsidR="00734E99">
        <w:rPr>
          <w:sz w:val="16"/>
          <w:szCs w:val="16"/>
        </w:rPr>
        <w:t>2</w:t>
      </w:r>
      <w:r w:rsidR="00660964">
        <w:rPr>
          <w:sz w:val="16"/>
          <w:szCs w:val="16"/>
        </w:rPr>
        <w:t>5</w:t>
      </w:r>
    </w:p>
    <w:p w:rsidR="0051227D" w:rsidRPr="007A690E" w:rsidRDefault="0051227D" w:rsidP="004600D1">
      <w:pPr>
        <w:pStyle w:val="Header"/>
        <w:rPr>
          <w:sz w:val="16"/>
          <w:szCs w:val="16"/>
        </w:rPr>
      </w:pPr>
      <w:r w:rsidRPr="007A690E">
        <w:rPr>
          <w:sz w:val="16"/>
          <w:szCs w:val="16"/>
        </w:rPr>
        <w:t>Vita Upeniece</w:t>
      </w:r>
    </w:p>
    <w:p w:rsidR="0051227D" w:rsidRPr="007A690E" w:rsidRDefault="00A65E3B" w:rsidP="004600D1">
      <w:pPr>
        <w:pStyle w:val="Header"/>
        <w:rPr>
          <w:sz w:val="16"/>
          <w:szCs w:val="16"/>
        </w:rPr>
      </w:pPr>
      <w:hyperlink r:id="rId11" w:history="1">
        <w:r w:rsidR="00204B4F" w:rsidRPr="007A690E">
          <w:rPr>
            <w:rStyle w:val="Hyperlink"/>
            <w:sz w:val="16"/>
            <w:szCs w:val="16"/>
          </w:rPr>
          <w:t>Vita.Upeniece@mod.gov.lv</w:t>
        </w:r>
      </w:hyperlink>
      <w:r w:rsidR="0051227D" w:rsidRPr="007A690E">
        <w:rPr>
          <w:sz w:val="16"/>
          <w:szCs w:val="16"/>
        </w:rPr>
        <w:t>; 67335077</w:t>
      </w:r>
    </w:p>
    <w:sectPr w:rsidR="0051227D" w:rsidRPr="007A690E" w:rsidSect="006315D2">
      <w:headerReference w:type="default" r:id="rId12"/>
      <w:footerReference w:type="default" r:id="rId13"/>
      <w:pgSz w:w="11906" w:h="16838"/>
      <w:pgMar w:top="851" w:right="1274"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DD2" w:rsidRDefault="00442DD2" w:rsidP="00793251">
      <w:r>
        <w:separator/>
      </w:r>
    </w:p>
  </w:endnote>
  <w:endnote w:type="continuationSeparator" w:id="0">
    <w:p w:rsidR="00442DD2" w:rsidRDefault="00442DD2" w:rsidP="00793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6F9" w:rsidRPr="009B75EA" w:rsidRDefault="00442DD2" w:rsidP="00A076F9">
    <w:pPr>
      <w:shd w:val="clear" w:color="auto" w:fill="FFFFFF"/>
      <w:jc w:val="both"/>
      <w:rPr>
        <w:rFonts w:cs="Times New Roman"/>
        <w:bCs/>
        <w:lang w:val="lv-LV" w:eastAsia="lv-LV" w:bidi="ar-SA"/>
      </w:rPr>
    </w:pPr>
    <w:r w:rsidRPr="00FD5C45">
      <w:rPr>
        <w:lang w:val="lv-LV"/>
      </w:rPr>
      <w:t>AIMAnot_</w:t>
    </w:r>
    <w:r w:rsidR="00A65728">
      <w:rPr>
        <w:lang w:val="lv-LV"/>
      </w:rPr>
      <w:t>0206</w:t>
    </w:r>
    <w:r w:rsidR="00EC6EB4">
      <w:rPr>
        <w:lang w:val="lv-LV"/>
      </w:rPr>
      <w:t>17</w:t>
    </w:r>
    <w:r w:rsidRPr="00FD5C45">
      <w:rPr>
        <w:lang w:val="lv-LV"/>
      </w:rPr>
      <w:t>_</w:t>
    </w:r>
    <w:r w:rsidR="00A076F9">
      <w:rPr>
        <w:lang w:val="lv-LV"/>
      </w:rPr>
      <w:t>ierobežojumi</w:t>
    </w:r>
    <w:r w:rsidRPr="00FD5C45">
      <w:rPr>
        <w:lang w:val="lv-LV"/>
      </w:rPr>
      <w:t xml:space="preserve">; </w:t>
    </w:r>
    <w:r w:rsidR="00A076F9" w:rsidRPr="00A076F9">
      <w:rPr>
        <w:rFonts w:cs="Times New Roman"/>
        <w:bCs/>
        <w:lang w:val="lv-LV" w:eastAsia="lv-LV" w:bidi="ar-SA"/>
      </w:rPr>
      <w:t xml:space="preserve">Ministru kabineta noteikumu projekta „Grozījumi </w:t>
    </w:r>
    <w:r w:rsidR="00A076F9" w:rsidRPr="00BC7D20">
      <w:rPr>
        <w:rFonts w:cs="Times New Roman"/>
        <w:lang w:val="lv-LV"/>
      </w:rPr>
      <w:t>Ministru kabineta</w:t>
    </w:r>
    <w:r w:rsidR="00A076F9" w:rsidRPr="00A076F9">
      <w:rPr>
        <w:rFonts w:cs="Times New Roman"/>
      </w:rPr>
      <w:t xml:space="preserve"> 2009.gada 10.</w:t>
    </w:r>
    <w:r w:rsidR="00A076F9" w:rsidRPr="009B75EA">
      <w:rPr>
        <w:rFonts w:cs="Times New Roman"/>
        <w:lang w:val="lv-LV"/>
      </w:rPr>
      <w:t>novembra noteikumos Nr.1312 „Noteikumi par darbību ierobežojumiem aizsargjoslās ap valsts aizsardzības objektiem”</w:t>
    </w:r>
    <w:r w:rsidR="00A076F9" w:rsidRPr="009B75EA">
      <w:rPr>
        <w:rFonts w:cs="Times New Roman"/>
        <w:bCs/>
        <w:lang w:val="lv-LV" w:eastAsia="lv-LV" w:bidi="ar-SA"/>
      </w:rPr>
      <w:t>” sākotnējās ietekmes novērtējuma ziņojums (anotācija)</w:t>
    </w:r>
  </w:p>
  <w:p w:rsidR="00442DD2" w:rsidRPr="009B75EA" w:rsidRDefault="00442DD2" w:rsidP="00FD5C45">
    <w:pPr>
      <w:pStyle w:val="Footer"/>
      <w:jc w:val="both"/>
      <w:rPr>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DD2" w:rsidRDefault="00442DD2" w:rsidP="00793251">
      <w:r>
        <w:separator/>
      </w:r>
    </w:p>
  </w:footnote>
  <w:footnote w:type="continuationSeparator" w:id="0">
    <w:p w:rsidR="00442DD2" w:rsidRDefault="00442DD2" w:rsidP="00793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187475"/>
      <w:docPartObj>
        <w:docPartGallery w:val="Page Numbers (Top of Page)"/>
        <w:docPartUnique/>
      </w:docPartObj>
    </w:sdtPr>
    <w:sdtEndPr>
      <w:rPr>
        <w:noProof/>
      </w:rPr>
    </w:sdtEndPr>
    <w:sdtContent>
      <w:p w:rsidR="00442DD2" w:rsidRDefault="00442DD2">
        <w:pPr>
          <w:pStyle w:val="Header"/>
          <w:jc w:val="center"/>
        </w:pPr>
        <w:r>
          <w:fldChar w:fldCharType="begin"/>
        </w:r>
        <w:r>
          <w:instrText xml:space="preserve"> PAGE   \* MERGEFORMAT </w:instrText>
        </w:r>
        <w:r>
          <w:fldChar w:fldCharType="separate"/>
        </w:r>
        <w:r w:rsidR="00A65E3B">
          <w:rPr>
            <w:noProof/>
          </w:rPr>
          <w:t>4</w:t>
        </w:r>
        <w:r>
          <w:rPr>
            <w:noProof/>
          </w:rPr>
          <w:fldChar w:fldCharType="end"/>
        </w:r>
      </w:p>
    </w:sdtContent>
  </w:sdt>
  <w:p w:rsidR="00442DD2" w:rsidRDefault="00442D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51DAF"/>
    <w:multiLevelType w:val="hybridMultilevel"/>
    <w:tmpl w:val="8A464384"/>
    <w:lvl w:ilvl="0" w:tplc="1F5C8E8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22442C4"/>
    <w:multiLevelType w:val="hybridMultilevel"/>
    <w:tmpl w:val="930488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43F3E4A"/>
    <w:multiLevelType w:val="hybridMultilevel"/>
    <w:tmpl w:val="B8700EF2"/>
    <w:lvl w:ilvl="0" w:tplc="1F5C8E8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8E01F6B"/>
    <w:multiLevelType w:val="hybridMultilevel"/>
    <w:tmpl w:val="807C82F8"/>
    <w:lvl w:ilvl="0" w:tplc="248A0D2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5F2"/>
    <w:rsid w:val="000040C6"/>
    <w:rsid w:val="00030C42"/>
    <w:rsid w:val="00040423"/>
    <w:rsid w:val="00040BA5"/>
    <w:rsid w:val="00042947"/>
    <w:rsid w:val="00053AD3"/>
    <w:rsid w:val="00055B30"/>
    <w:rsid w:val="00061963"/>
    <w:rsid w:val="000621C2"/>
    <w:rsid w:val="0006373E"/>
    <w:rsid w:val="000637B5"/>
    <w:rsid w:val="00065F37"/>
    <w:rsid w:val="00066E44"/>
    <w:rsid w:val="00074AC8"/>
    <w:rsid w:val="00077CB2"/>
    <w:rsid w:val="000838CC"/>
    <w:rsid w:val="00086FA2"/>
    <w:rsid w:val="000874A0"/>
    <w:rsid w:val="00090C83"/>
    <w:rsid w:val="000951DC"/>
    <w:rsid w:val="000A1D45"/>
    <w:rsid w:val="000B3A1C"/>
    <w:rsid w:val="000B6BBC"/>
    <w:rsid w:val="000B6D2F"/>
    <w:rsid w:val="000B7E14"/>
    <w:rsid w:val="000D12AB"/>
    <w:rsid w:val="000F0597"/>
    <w:rsid w:val="000F245C"/>
    <w:rsid w:val="000F24DA"/>
    <w:rsid w:val="000F26B1"/>
    <w:rsid w:val="000F5E0C"/>
    <w:rsid w:val="0010373C"/>
    <w:rsid w:val="00103E34"/>
    <w:rsid w:val="001153FE"/>
    <w:rsid w:val="00125D70"/>
    <w:rsid w:val="001312D8"/>
    <w:rsid w:val="0013777F"/>
    <w:rsid w:val="00137D90"/>
    <w:rsid w:val="00167CC1"/>
    <w:rsid w:val="001701FF"/>
    <w:rsid w:val="00172AF9"/>
    <w:rsid w:val="001735EB"/>
    <w:rsid w:val="0017553A"/>
    <w:rsid w:val="001919C8"/>
    <w:rsid w:val="00192369"/>
    <w:rsid w:val="00193650"/>
    <w:rsid w:val="0019390A"/>
    <w:rsid w:val="00194D40"/>
    <w:rsid w:val="001A2CAA"/>
    <w:rsid w:val="001A42A1"/>
    <w:rsid w:val="001B283B"/>
    <w:rsid w:val="001B7346"/>
    <w:rsid w:val="001C12F3"/>
    <w:rsid w:val="001C25DB"/>
    <w:rsid w:val="001C443B"/>
    <w:rsid w:val="001E4F19"/>
    <w:rsid w:val="001F2472"/>
    <w:rsid w:val="00204B4F"/>
    <w:rsid w:val="00211CDB"/>
    <w:rsid w:val="0022395F"/>
    <w:rsid w:val="00224D82"/>
    <w:rsid w:val="00237EC9"/>
    <w:rsid w:val="00254A93"/>
    <w:rsid w:val="0026236D"/>
    <w:rsid w:val="00266C74"/>
    <w:rsid w:val="002767EB"/>
    <w:rsid w:val="002768AB"/>
    <w:rsid w:val="002809EE"/>
    <w:rsid w:val="00297668"/>
    <w:rsid w:val="002A24A5"/>
    <w:rsid w:val="002B7A3C"/>
    <w:rsid w:val="002D21E4"/>
    <w:rsid w:val="002E23CA"/>
    <w:rsid w:val="002E384D"/>
    <w:rsid w:val="00302D0B"/>
    <w:rsid w:val="00304507"/>
    <w:rsid w:val="00304C07"/>
    <w:rsid w:val="0034103C"/>
    <w:rsid w:val="00361FB8"/>
    <w:rsid w:val="003973F8"/>
    <w:rsid w:val="003A1662"/>
    <w:rsid w:val="003A2021"/>
    <w:rsid w:val="003A30C8"/>
    <w:rsid w:val="003A4B6F"/>
    <w:rsid w:val="003B1EE2"/>
    <w:rsid w:val="003B2BD8"/>
    <w:rsid w:val="003B3B31"/>
    <w:rsid w:val="003C58B7"/>
    <w:rsid w:val="003D1AF7"/>
    <w:rsid w:val="003E0077"/>
    <w:rsid w:val="003E14F7"/>
    <w:rsid w:val="003E2675"/>
    <w:rsid w:val="003F48C9"/>
    <w:rsid w:val="0041665F"/>
    <w:rsid w:val="00421048"/>
    <w:rsid w:val="004226C2"/>
    <w:rsid w:val="004307F9"/>
    <w:rsid w:val="0043361D"/>
    <w:rsid w:val="004336E9"/>
    <w:rsid w:val="004362ED"/>
    <w:rsid w:val="004379DC"/>
    <w:rsid w:val="00442DD2"/>
    <w:rsid w:val="004600D1"/>
    <w:rsid w:val="004630A0"/>
    <w:rsid w:val="00482454"/>
    <w:rsid w:val="00482937"/>
    <w:rsid w:val="004831D3"/>
    <w:rsid w:val="00490576"/>
    <w:rsid w:val="004917C2"/>
    <w:rsid w:val="004B4277"/>
    <w:rsid w:val="004C54C0"/>
    <w:rsid w:val="004D0464"/>
    <w:rsid w:val="004D2188"/>
    <w:rsid w:val="004D5115"/>
    <w:rsid w:val="004D612A"/>
    <w:rsid w:val="004E2D2D"/>
    <w:rsid w:val="004E2E30"/>
    <w:rsid w:val="00504AE1"/>
    <w:rsid w:val="0051227D"/>
    <w:rsid w:val="005156C0"/>
    <w:rsid w:val="00551A8D"/>
    <w:rsid w:val="00570332"/>
    <w:rsid w:val="00573EFC"/>
    <w:rsid w:val="0059064F"/>
    <w:rsid w:val="005A41D9"/>
    <w:rsid w:val="005A630D"/>
    <w:rsid w:val="005D09BD"/>
    <w:rsid w:val="005E086C"/>
    <w:rsid w:val="005E2B7A"/>
    <w:rsid w:val="005E5934"/>
    <w:rsid w:val="005F0ED9"/>
    <w:rsid w:val="005F1F40"/>
    <w:rsid w:val="005F6A99"/>
    <w:rsid w:val="00616389"/>
    <w:rsid w:val="00624009"/>
    <w:rsid w:val="006315D2"/>
    <w:rsid w:val="0063178D"/>
    <w:rsid w:val="0063540A"/>
    <w:rsid w:val="00642A4A"/>
    <w:rsid w:val="006502FA"/>
    <w:rsid w:val="00650AAC"/>
    <w:rsid w:val="006570B1"/>
    <w:rsid w:val="00660964"/>
    <w:rsid w:val="0066337C"/>
    <w:rsid w:val="0066667B"/>
    <w:rsid w:val="00674130"/>
    <w:rsid w:val="006956F2"/>
    <w:rsid w:val="006A1C15"/>
    <w:rsid w:val="006A5660"/>
    <w:rsid w:val="006C0AB6"/>
    <w:rsid w:val="006C36FE"/>
    <w:rsid w:val="006C3A52"/>
    <w:rsid w:val="006C7ADF"/>
    <w:rsid w:val="006D6267"/>
    <w:rsid w:val="006E7B93"/>
    <w:rsid w:val="006F7A3A"/>
    <w:rsid w:val="006F7C61"/>
    <w:rsid w:val="00702C3D"/>
    <w:rsid w:val="007200F8"/>
    <w:rsid w:val="007349D9"/>
    <w:rsid w:val="00734E99"/>
    <w:rsid w:val="007370A5"/>
    <w:rsid w:val="00747E55"/>
    <w:rsid w:val="0075182F"/>
    <w:rsid w:val="007533A4"/>
    <w:rsid w:val="007635F3"/>
    <w:rsid w:val="00784248"/>
    <w:rsid w:val="00793251"/>
    <w:rsid w:val="00797A20"/>
    <w:rsid w:val="007A690E"/>
    <w:rsid w:val="007B15A2"/>
    <w:rsid w:val="007B4C36"/>
    <w:rsid w:val="007B5EE0"/>
    <w:rsid w:val="007F1D73"/>
    <w:rsid w:val="008118E4"/>
    <w:rsid w:val="00813D92"/>
    <w:rsid w:val="00826569"/>
    <w:rsid w:val="008804EF"/>
    <w:rsid w:val="00890568"/>
    <w:rsid w:val="008914F7"/>
    <w:rsid w:val="008B6083"/>
    <w:rsid w:val="008C57B8"/>
    <w:rsid w:val="008C6180"/>
    <w:rsid w:val="008D4F6E"/>
    <w:rsid w:val="008E0711"/>
    <w:rsid w:val="008F7180"/>
    <w:rsid w:val="009121D6"/>
    <w:rsid w:val="009170F5"/>
    <w:rsid w:val="009213E1"/>
    <w:rsid w:val="0093126B"/>
    <w:rsid w:val="00961EAA"/>
    <w:rsid w:val="00963455"/>
    <w:rsid w:val="00966A51"/>
    <w:rsid w:val="00971470"/>
    <w:rsid w:val="00972D20"/>
    <w:rsid w:val="00976F2C"/>
    <w:rsid w:val="00983DBF"/>
    <w:rsid w:val="0099492C"/>
    <w:rsid w:val="0099597E"/>
    <w:rsid w:val="009A48D6"/>
    <w:rsid w:val="009B0629"/>
    <w:rsid w:val="009B3222"/>
    <w:rsid w:val="009B32A9"/>
    <w:rsid w:val="009B41E9"/>
    <w:rsid w:val="009B4565"/>
    <w:rsid w:val="009B75EA"/>
    <w:rsid w:val="009B7AA7"/>
    <w:rsid w:val="009D176E"/>
    <w:rsid w:val="009E6E78"/>
    <w:rsid w:val="009F1792"/>
    <w:rsid w:val="00A0659A"/>
    <w:rsid w:val="00A076F9"/>
    <w:rsid w:val="00A16DD5"/>
    <w:rsid w:val="00A22EA0"/>
    <w:rsid w:val="00A26527"/>
    <w:rsid w:val="00A2782A"/>
    <w:rsid w:val="00A33CCA"/>
    <w:rsid w:val="00A44F5A"/>
    <w:rsid w:val="00A50AF5"/>
    <w:rsid w:val="00A50D61"/>
    <w:rsid w:val="00A65728"/>
    <w:rsid w:val="00A65E3B"/>
    <w:rsid w:val="00A669D6"/>
    <w:rsid w:val="00A67DDB"/>
    <w:rsid w:val="00A93B9C"/>
    <w:rsid w:val="00A952B9"/>
    <w:rsid w:val="00AA564F"/>
    <w:rsid w:val="00AA7611"/>
    <w:rsid w:val="00AC1573"/>
    <w:rsid w:val="00AE79FC"/>
    <w:rsid w:val="00AF3AC3"/>
    <w:rsid w:val="00B03CDB"/>
    <w:rsid w:val="00B432E8"/>
    <w:rsid w:val="00B47AF6"/>
    <w:rsid w:val="00B61020"/>
    <w:rsid w:val="00B64B56"/>
    <w:rsid w:val="00B7271A"/>
    <w:rsid w:val="00B74A26"/>
    <w:rsid w:val="00B80259"/>
    <w:rsid w:val="00B91C5E"/>
    <w:rsid w:val="00B924BD"/>
    <w:rsid w:val="00BA6DC0"/>
    <w:rsid w:val="00BC7D20"/>
    <w:rsid w:val="00BD4BCF"/>
    <w:rsid w:val="00C02C1B"/>
    <w:rsid w:val="00C042E0"/>
    <w:rsid w:val="00C04E7D"/>
    <w:rsid w:val="00C15175"/>
    <w:rsid w:val="00C26B20"/>
    <w:rsid w:val="00C30027"/>
    <w:rsid w:val="00C30872"/>
    <w:rsid w:val="00C328D7"/>
    <w:rsid w:val="00C366C1"/>
    <w:rsid w:val="00C53718"/>
    <w:rsid w:val="00C550EA"/>
    <w:rsid w:val="00C6134E"/>
    <w:rsid w:val="00C6183A"/>
    <w:rsid w:val="00C62A9C"/>
    <w:rsid w:val="00C70134"/>
    <w:rsid w:val="00C707CA"/>
    <w:rsid w:val="00C729FB"/>
    <w:rsid w:val="00C77BDB"/>
    <w:rsid w:val="00CB7EEF"/>
    <w:rsid w:val="00CC2D52"/>
    <w:rsid w:val="00D2460F"/>
    <w:rsid w:val="00D30F08"/>
    <w:rsid w:val="00D30F88"/>
    <w:rsid w:val="00D46BC9"/>
    <w:rsid w:val="00D50953"/>
    <w:rsid w:val="00D50FA7"/>
    <w:rsid w:val="00D544B0"/>
    <w:rsid w:val="00D57145"/>
    <w:rsid w:val="00DA12B7"/>
    <w:rsid w:val="00DA43BA"/>
    <w:rsid w:val="00DA55F2"/>
    <w:rsid w:val="00DC2CFC"/>
    <w:rsid w:val="00DD0703"/>
    <w:rsid w:val="00DF263E"/>
    <w:rsid w:val="00DF2944"/>
    <w:rsid w:val="00E20B65"/>
    <w:rsid w:val="00E57635"/>
    <w:rsid w:val="00E64ADC"/>
    <w:rsid w:val="00E65F9E"/>
    <w:rsid w:val="00EB4C92"/>
    <w:rsid w:val="00EB5489"/>
    <w:rsid w:val="00EC6EB4"/>
    <w:rsid w:val="00ED23D6"/>
    <w:rsid w:val="00ED46CC"/>
    <w:rsid w:val="00EE1BB2"/>
    <w:rsid w:val="00F22346"/>
    <w:rsid w:val="00F41B10"/>
    <w:rsid w:val="00F423E8"/>
    <w:rsid w:val="00F44D94"/>
    <w:rsid w:val="00F52B0B"/>
    <w:rsid w:val="00F61B2A"/>
    <w:rsid w:val="00F64DAF"/>
    <w:rsid w:val="00F74DE5"/>
    <w:rsid w:val="00F80D88"/>
    <w:rsid w:val="00F87F12"/>
    <w:rsid w:val="00F957AA"/>
    <w:rsid w:val="00FA69E4"/>
    <w:rsid w:val="00FB485B"/>
    <w:rsid w:val="00FD02ED"/>
    <w:rsid w:val="00FD24CA"/>
    <w:rsid w:val="00FD3BFE"/>
    <w:rsid w:val="00FD5443"/>
    <w:rsid w:val="00FD5C45"/>
    <w:rsid w:val="00FE7C75"/>
    <w:rsid w:val="00FF4709"/>
    <w:rsid w:val="00FF79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0A0"/>
    <w:pPr>
      <w:ind w:left="720"/>
      <w:contextualSpacing/>
    </w:pPr>
  </w:style>
  <w:style w:type="paragraph" w:customStyle="1" w:styleId="naisnod">
    <w:name w:val="naisnod"/>
    <w:basedOn w:val="Normal"/>
    <w:uiPriority w:val="99"/>
    <w:rsid w:val="00E20B65"/>
    <w:pPr>
      <w:spacing w:before="150" w:after="150"/>
      <w:jc w:val="center"/>
    </w:pPr>
    <w:rPr>
      <w:rFonts w:cs="Times New Roman"/>
      <w:b/>
      <w:bCs/>
      <w:sz w:val="24"/>
      <w:szCs w:val="24"/>
      <w:lang w:val="lv-LV" w:eastAsia="lv-LV" w:bidi="ar-SA"/>
    </w:rPr>
  </w:style>
  <w:style w:type="paragraph" w:styleId="Header">
    <w:name w:val="header"/>
    <w:basedOn w:val="Normal"/>
    <w:link w:val="HeaderChar"/>
    <w:rsid w:val="00DD0703"/>
    <w:pPr>
      <w:tabs>
        <w:tab w:val="center" w:pos="4153"/>
        <w:tab w:val="right" w:pos="8306"/>
      </w:tabs>
    </w:pPr>
    <w:rPr>
      <w:rFonts w:cs="Times New Roman"/>
      <w:sz w:val="24"/>
      <w:szCs w:val="24"/>
      <w:lang w:val="lv-LV" w:eastAsia="lv-LV" w:bidi="ar-SA"/>
    </w:rPr>
  </w:style>
  <w:style w:type="character" w:customStyle="1" w:styleId="HeaderChar">
    <w:name w:val="Header Char"/>
    <w:basedOn w:val="DefaultParagraphFont"/>
    <w:link w:val="Header"/>
    <w:rsid w:val="00DD0703"/>
    <w:rPr>
      <w:sz w:val="24"/>
      <w:szCs w:val="24"/>
    </w:rPr>
  </w:style>
  <w:style w:type="character" w:styleId="Hyperlink">
    <w:name w:val="Hyperlink"/>
    <w:rsid w:val="00DD0703"/>
    <w:rPr>
      <w:color w:val="0000FF"/>
      <w:u w:val="single"/>
    </w:rPr>
  </w:style>
  <w:style w:type="paragraph" w:styleId="Footer">
    <w:name w:val="footer"/>
    <w:basedOn w:val="Normal"/>
    <w:link w:val="FooterChar"/>
    <w:rsid w:val="00793251"/>
    <w:pPr>
      <w:tabs>
        <w:tab w:val="center" w:pos="4153"/>
        <w:tab w:val="right" w:pos="8306"/>
      </w:tabs>
    </w:pPr>
  </w:style>
  <w:style w:type="character" w:customStyle="1" w:styleId="FooterChar">
    <w:name w:val="Footer Char"/>
    <w:basedOn w:val="DefaultParagraphFont"/>
    <w:link w:val="Footer"/>
    <w:rsid w:val="00793251"/>
    <w:rPr>
      <w:rFonts w:cs="Arial Unicode MS"/>
      <w:lang w:val="en-AU" w:eastAsia="en-US" w:bidi="lo-LA"/>
    </w:rPr>
  </w:style>
  <w:style w:type="paragraph" w:customStyle="1" w:styleId="naiskr">
    <w:name w:val="naiskr"/>
    <w:basedOn w:val="Normal"/>
    <w:rsid w:val="00030C42"/>
    <w:pPr>
      <w:spacing w:before="75" w:after="75"/>
    </w:pPr>
    <w:rPr>
      <w:rFonts w:cs="Times New Roman"/>
      <w:sz w:val="24"/>
      <w:szCs w:val="24"/>
      <w:lang w:val="lv-LV" w:eastAsia="lv-LV" w:bidi="ar-SA"/>
    </w:rPr>
  </w:style>
  <w:style w:type="paragraph" w:styleId="BalloonText">
    <w:name w:val="Balloon Text"/>
    <w:basedOn w:val="Normal"/>
    <w:link w:val="BalloonTextChar"/>
    <w:rsid w:val="00504AE1"/>
    <w:rPr>
      <w:rFonts w:ascii="Tahoma" w:hAnsi="Tahoma" w:cs="Tahoma"/>
      <w:sz w:val="16"/>
      <w:szCs w:val="16"/>
    </w:rPr>
  </w:style>
  <w:style w:type="character" w:customStyle="1" w:styleId="BalloonTextChar">
    <w:name w:val="Balloon Text Char"/>
    <w:basedOn w:val="DefaultParagraphFont"/>
    <w:link w:val="BalloonText"/>
    <w:rsid w:val="00504AE1"/>
    <w:rPr>
      <w:rFonts w:ascii="Tahoma" w:hAnsi="Tahoma" w:cs="Tahoma"/>
      <w:sz w:val="16"/>
      <w:szCs w:val="16"/>
      <w:lang w:val="en-AU" w:eastAsia="en-US" w:bidi="lo-LA"/>
    </w:rPr>
  </w:style>
  <w:style w:type="paragraph" w:customStyle="1" w:styleId="tv2131">
    <w:name w:val="tv2131"/>
    <w:basedOn w:val="Normal"/>
    <w:rsid w:val="00966A51"/>
    <w:pPr>
      <w:spacing w:line="360" w:lineRule="auto"/>
      <w:ind w:firstLine="300"/>
    </w:pPr>
    <w:rPr>
      <w:rFonts w:cs="Times New Roman"/>
      <w:color w:val="414142"/>
      <w:lang w:val="lv-LV" w:eastAsia="lv-LV" w:bidi="ar-SA"/>
    </w:rPr>
  </w:style>
  <w:style w:type="character" w:styleId="CommentReference">
    <w:name w:val="annotation reference"/>
    <w:basedOn w:val="DefaultParagraphFont"/>
    <w:rsid w:val="00FA69E4"/>
    <w:rPr>
      <w:sz w:val="16"/>
      <w:szCs w:val="16"/>
    </w:rPr>
  </w:style>
  <w:style w:type="paragraph" w:styleId="CommentText">
    <w:name w:val="annotation text"/>
    <w:basedOn w:val="Normal"/>
    <w:link w:val="CommentTextChar"/>
    <w:rsid w:val="00FA69E4"/>
  </w:style>
  <w:style w:type="character" w:customStyle="1" w:styleId="CommentTextChar">
    <w:name w:val="Comment Text Char"/>
    <w:basedOn w:val="DefaultParagraphFont"/>
    <w:link w:val="CommentText"/>
    <w:rsid w:val="00FA69E4"/>
    <w:rPr>
      <w:rFonts w:cs="Arial Unicode MS"/>
      <w:lang w:val="en-AU" w:eastAsia="en-US" w:bidi="lo-LA"/>
    </w:rPr>
  </w:style>
  <w:style w:type="paragraph" w:styleId="CommentSubject">
    <w:name w:val="annotation subject"/>
    <w:basedOn w:val="CommentText"/>
    <w:next w:val="CommentText"/>
    <w:link w:val="CommentSubjectChar"/>
    <w:rsid w:val="00FA69E4"/>
    <w:rPr>
      <w:b/>
      <w:bCs/>
    </w:rPr>
  </w:style>
  <w:style w:type="character" w:customStyle="1" w:styleId="CommentSubjectChar">
    <w:name w:val="Comment Subject Char"/>
    <w:basedOn w:val="CommentTextChar"/>
    <w:link w:val="CommentSubject"/>
    <w:rsid w:val="00FA69E4"/>
    <w:rPr>
      <w:rFonts w:cs="Arial Unicode MS"/>
      <w:b/>
      <w:bCs/>
      <w:lang w:val="en-AU" w:eastAsia="en-US" w:bidi="lo-L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0A0"/>
    <w:pPr>
      <w:ind w:left="720"/>
      <w:contextualSpacing/>
    </w:pPr>
  </w:style>
  <w:style w:type="paragraph" w:customStyle="1" w:styleId="naisnod">
    <w:name w:val="naisnod"/>
    <w:basedOn w:val="Normal"/>
    <w:uiPriority w:val="99"/>
    <w:rsid w:val="00E20B65"/>
    <w:pPr>
      <w:spacing w:before="150" w:after="150"/>
      <w:jc w:val="center"/>
    </w:pPr>
    <w:rPr>
      <w:rFonts w:cs="Times New Roman"/>
      <w:b/>
      <w:bCs/>
      <w:sz w:val="24"/>
      <w:szCs w:val="24"/>
      <w:lang w:val="lv-LV" w:eastAsia="lv-LV" w:bidi="ar-SA"/>
    </w:rPr>
  </w:style>
  <w:style w:type="paragraph" w:styleId="Header">
    <w:name w:val="header"/>
    <w:basedOn w:val="Normal"/>
    <w:link w:val="HeaderChar"/>
    <w:rsid w:val="00DD0703"/>
    <w:pPr>
      <w:tabs>
        <w:tab w:val="center" w:pos="4153"/>
        <w:tab w:val="right" w:pos="8306"/>
      </w:tabs>
    </w:pPr>
    <w:rPr>
      <w:rFonts w:cs="Times New Roman"/>
      <w:sz w:val="24"/>
      <w:szCs w:val="24"/>
      <w:lang w:val="lv-LV" w:eastAsia="lv-LV" w:bidi="ar-SA"/>
    </w:rPr>
  </w:style>
  <w:style w:type="character" w:customStyle="1" w:styleId="HeaderChar">
    <w:name w:val="Header Char"/>
    <w:basedOn w:val="DefaultParagraphFont"/>
    <w:link w:val="Header"/>
    <w:rsid w:val="00DD0703"/>
    <w:rPr>
      <w:sz w:val="24"/>
      <w:szCs w:val="24"/>
    </w:rPr>
  </w:style>
  <w:style w:type="character" w:styleId="Hyperlink">
    <w:name w:val="Hyperlink"/>
    <w:rsid w:val="00DD0703"/>
    <w:rPr>
      <w:color w:val="0000FF"/>
      <w:u w:val="single"/>
    </w:rPr>
  </w:style>
  <w:style w:type="paragraph" w:styleId="Footer">
    <w:name w:val="footer"/>
    <w:basedOn w:val="Normal"/>
    <w:link w:val="FooterChar"/>
    <w:rsid w:val="00793251"/>
    <w:pPr>
      <w:tabs>
        <w:tab w:val="center" w:pos="4153"/>
        <w:tab w:val="right" w:pos="8306"/>
      </w:tabs>
    </w:pPr>
  </w:style>
  <w:style w:type="character" w:customStyle="1" w:styleId="FooterChar">
    <w:name w:val="Footer Char"/>
    <w:basedOn w:val="DefaultParagraphFont"/>
    <w:link w:val="Footer"/>
    <w:rsid w:val="00793251"/>
    <w:rPr>
      <w:rFonts w:cs="Arial Unicode MS"/>
      <w:lang w:val="en-AU" w:eastAsia="en-US" w:bidi="lo-LA"/>
    </w:rPr>
  </w:style>
  <w:style w:type="paragraph" w:customStyle="1" w:styleId="naiskr">
    <w:name w:val="naiskr"/>
    <w:basedOn w:val="Normal"/>
    <w:rsid w:val="00030C42"/>
    <w:pPr>
      <w:spacing w:before="75" w:after="75"/>
    </w:pPr>
    <w:rPr>
      <w:rFonts w:cs="Times New Roman"/>
      <w:sz w:val="24"/>
      <w:szCs w:val="24"/>
      <w:lang w:val="lv-LV" w:eastAsia="lv-LV" w:bidi="ar-SA"/>
    </w:rPr>
  </w:style>
  <w:style w:type="paragraph" w:styleId="BalloonText">
    <w:name w:val="Balloon Text"/>
    <w:basedOn w:val="Normal"/>
    <w:link w:val="BalloonTextChar"/>
    <w:rsid w:val="00504AE1"/>
    <w:rPr>
      <w:rFonts w:ascii="Tahoma" w:hAnsi="Tahoma" w:cs="Tahoma"/>
      <w:sz w:val="16"/>
      <w:szCs w:val="16"/>
    </w:rPr>
  </w:style>
  <w:style w:type="character" w:customStyle="1" w:styleId="BalloonTextChar">
    <w:name w:val="Balloon Text Char"/>
    <w:basedOn w:val="DefaultParagraphFont"/>
    <w:link w:val="BalloonText"/>
    <w:rsid w:val="00504AE1"/>
    <w:rPr>
      <w:rFonts w:ascii="Tahoma" w:hAnsi="Tahoma" w:cs="Tahoma"/>
      <w:sz w:val="16"/>
      <w:szCs w:val="16"/>
      <w:lang w:val="en-AU" w:eastAsia="en-US" w:bidi="lo-LA"/>
    </w:rPr>
  </w:style>
  <w:style w:type="paragraph" w:customStyle="1" w:styleId="tv2131">
    <w:name w:val="tv2131"/>
    <w:basedOn w:val="Normal"/>
    <w:rsid w:val="00966A51"/>
    <w:pPr>
      <w:spacing w:line="360" w:lineRule="auto"/>
      <w:ind w:firstLine="300"/>
    </w:pPr>
    <w:rPr>
      <w:rFonts w:cs="Times New Roman"/>
      <w:color w:val="414142"/>
      <w:lang w:val="lv-LV" w:eastAsia="lv-LV" w:bidi="ar-SA"/>
    </w:rPr>
  </w:style>
  <w:style w:type="character" w:styleId="CommentReference">
    <w:name w:val="annotation reference"/>
    <w:basedOn w:val="DefaultParagraphFont"/>
    <w:rsid w:val="00FA69E4"/>
    <w:rPr>
      <w:sz w:val="16"/>
      <w:szCs w:val="16"/>
    </w:rPr>
  </w:style>
  <w:style w:type="paragraph" w:styleId="CommentText">
    <w:name w:val="annotation text"/>
    <w:basedOn w:val="Normal"/>
    <w:link w:val="CommentTextChar"/>
    <w:rsid w:val="00FA69E4"/>
  </w:style>
  <w:style w:type="character" w:customStyle="1" w:styleId="CommentTextChar">
    <w:name w:val="Comment Text Char"/>
    <w:basedOn w:val="DefaultParagraphFont"/>
    <w:link w:val="CommentText"/>
    <w:rsid w:val="00FA69E4"/>
    <w:rPr>
      <w:rFonts w:cs="Arial Unicode MS"/>
      <w:lang w:val="en-AU" w:eastAsia="en-US" w:bidi="lo-LA"/>
    </w:rPr>
  </w:style>
  <w:style w:type="paragraph" w:styleId="CommentSubject">
    <w:name w:val="annotation subject"/>
    <w:basedOn w:val="CommentText"/>
    <w:next w:val="CommentText"/>
    <w:link w:val="CommentSubjectChar"/>
    <w:rsid w:val="00FA69E4"/>
    <w:rPr>
      <w:b/>
      <w:bCs/>
    </w:rPr>
  </w:style>
  <w:style w:type="character" w:customStyle="1" w:styleId="CommentSubjectChar">
    <w:name w:val="Comment Subject Char"/>
    <w:basedOn w:val="CommentTextChar"/>
    <w:link w:val="CommentSubject"/>
    <w:rsid w:val="00FA69E4"/>
    <w:rPr>
      <w:rFonts w:cs="Arial Unicode MS"/>
      <w:b/>
      <w:bCs/>
      <w:lang w:val="en-AU" w:eastAsia="en-US"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60211">
      <w:bodyDiv w:val="1"/>
      <w:marLeft w:val="0"/>
      <w:marRight w:val="0"/>
      <w:marTop w:val="0"/>
      <w:marBottom w:val="0"/>
      <w:divBdr>
        <w:top w:val="none" w:sz="0" w:space="0" w:color="auto"/>
        <w:left w:val="none" w:sz="0" w:space="0" w:color="auto"/>
        <w:bottom w:val="none" w:sz="0" w:space="0" w:color="auto"/>
        <w:right w:val="none" w:sz="0" w:space="0" w:color="auto"/>
      </w:divBdr>
      <w:divsChild>
        <w:div w:id="2048330731">
          <w:marLeft w:val="0"/>
          <w:marRight w:val="0"/>
          <w:marTop w:val="400"/>
          <w:marBottom w:val="0"/>
          <w:divBdr>
            <w:top w:val="none" w:sz="0" w:space="0" w:color="auto"/>
            <w:left w:val="none" w:sz="0" w:space="0" w:color="auto"/>
            <w:bottom w:val="none" w:sz="0" w:space="0" w:color="auto"/>
            <w:right w:val="none" w:sz="0" w:space="0" w:color="auto"/>
          </w:divBdr>
        </w:div>
        <w:div w:id="606541192">
          <w:marLeft w:val="0"/>
          <w:marRight w:val="0"/>
          <w:marTop w:val="240"/>
          <w:marBottom w:val="0"/>
          <w:divBdr>
            <w:top w:val="none" w:sz="0" w:space="0" w:color="auto"/>
            <w:left w:val="none" w:sz="0" w:space="0" w:color="auto"/>
            <w:bottom w:val="none" w:sz="0" w:space="0" w:color="auto"/>
            <w:right w:val="none" w:sz="0" w:space="0" w:color="auto"/>
          </w:divBdr>
        </w:div>
      </w:divsChild>
    </w:div>
    <w:div w:id="451873507">
      <w:bodyDiv w:val="1"/>
      <w:marLeft w:val="0"/>
      <w:marRight w:val="0"/>
      <w:marTop w:val="0"/>
      <w:marBottom w:val="0"/>
      <w:divBdr>
        <w:top w:val="none" w:sz="0" w:space="0" w:color="auto"/>
        <w:left w:val="none" w:sz="0" w:space="0" w:color="auto"/>
        <w:bottom w:val="none" w:sz="0" w:space="0" w:color="auto"/>
        <w:right w:val="none" w:sz="0" w:space="0" w:color="auto"/>
      </w:divBdr>
    </w:div>
    <w:div w:id="1353650645">
      <w:bodyDiv w:val="1"/>
      <w:marLeft w:val="0"/>
      <w:marRight w:val="0"/>
      <w:marTop w:val="0"/>
      <w:marBottom w:val="0"/>
      <w:divBdr>
        <w:top w:val="none" w:sz="0" w:space="0" w:color="auto"/>
        <w:left w:val="none" w:sz="0" w:space="0" w:color="auto"/>
        <w:bottom w:val="none" w:sz="0" w:space="0" w:color="auto"/>
        <w:right w:val="none" w:sz="0" w:space="0" w:color="auto"/>
      </w:divBdr>
    </w:div>
    <w:div w:id="1663584640">
      <w:bodyDiv w:val="1"/>
      <w:marLeft w:val="0"/>
      <w:marRight w:val="0"/>
      <w:marTop w:val="0"/>
      <w:marBottom w:val="0"/>
      <w:divBdr>
        <w:top w:val="none" w:sz="0" w:space="0" w:color="auto"/>
        <w:left w:val="none" w:sz="0" w:space="0" w:color="auto"/>
        <w:bottom w:val="none" w:sz="0" w:space="0" w:color="auto"/>
        <w:right w:val="none" w:sz="0" w:space="0" w:color="auto"/>
      </w:divBdr>
    </w:div>
    <w:div w:id="203079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ta.Upeniece@mod.gov.l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od.gov.lv" TargetMode="External"/><Relationship Id="rId4" Type="http://schemas.microsoft.com/office/2007/relationships/stylesWithEffects" Target="stylesWithEffects.xml"/><Relationship Id="rId9" Type="http://schemas.openxmlformats.org/officeDocument/2006/relationships/hyperlink" Target="http://www.mod.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554E2-28F0-47CC-9FAA-AA0900725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4</Pages>
  <Words>1025</Words>
  <Characters>7978</Characters>
  <Application>Microsoft Office Word</Application>
  <DocSecurity>0</DocSecurity>
  <Lines>1139</Lines>
  <Paragraphs>600</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2009.gada 10.novembra noteikumos Nr.1312 "Noteikumi par darbību ierobežojumiem aizsargjoslās ap valsts aizsardzības objektiem" sākotnējās ietekmes novērtējuma ziņojums (anotācija)</vt:lpstr>
    </vt:vector>
  </TitlesOfParts>
  <Manager>Aizsardzības ministrija</Manager>
  <Company>Aizsardzības ministrija</Company>
  <LinksUpToDate>false</LinksUpToDate>
  <CharactersWithSpaces>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2009.gada 10.novembra noteikumos Nr.1312 "Noteikumi par darbību ierobežojumiem aizsargjoslās ap valsts aizsardzības objektiem" sākotnējās ietekmes novērtējuma ziņojums (anotācija)</dc:title>
  <dc:subject>anotācija</dc:subject>
  <dc:creator>Vita Upeneice</dc:creator>
  <dc:description>Vita.Upeniece@mod.gov.lv; 67335077</dc:description>
  <cp:lastModifiedBy>Vita Upeniece</cp:lastModifiedBy>
  <cp:revision>179</cp:revision>
  <cp:lastPrinted>2015-05-15T08:58:00Z</cp:lastPrinted>
  <dcterms:created xsi:type="dcterms:W3CDTF">2014-07-01T13:07:00Z</dcterms:created>
  <dcterms:modified xsi:type="dcterms:W3CDTF">2017-06-02T13:38:00Z</dcterms:modified>
</cp:coreProperties>
</file>