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9B26A" w14:textId="2796D8BB" w:rsidR="0066561B" w:rsidRPr="001E48AC" w:rsidRDefault="0066561B" w:rsidP="00E13B7D">
      <w:pPr>
        <w:jc w:val="center"/>
        <w:rPr>
          <w:rFonts w:cs="Times New Roman"/>
          <w:b/>
        </w:rPr>
      </w:pPr>
    </w:p>
    <w:p w14:paraId="610534B4" w14:textId="77777777" w:rsidR="009D0E8E" w:rsidRPr="001E48AC" w:rsidRDefault="009D0E8E" w:rsidP="00E13B7D">
      <w:pPr>
        <w:jc w:val="center"/>
        <w:rPr>
          <w:rFonts w:cs="Times New Roman"/>
          <w:b/>
        </w:rPr>
      </w:pPr>
    </w:p>
    <w:p w14:paraId="068E7F3A" w14:textId="77777777" w:rsidR="0066561B" w:rsidRPr="001E48AC" w:rsidRDefault="0066561B" w:rsidP="00E13B7D">
      <w:pPr>
        <w:jc w:val="center"/>
        <w:rPr>
          <w:rFonts w:cs="Times New Roman"/>
          <w:b/>
        </w:rPr>
      </w:pPr>
    </w:p>
    <w:p w14:paraId="23B38B12" w14:textId="77777777" w:rsidR="0066561B" w:rsidRPr="001E48AC" w:rsidRDefault="0066561B" w:rsidP="00E13B7D">
      <w:pPr>
        <w:jc w:val="center"/>
        <w:rPr>
          <w:rFonts w:cs="Times New Roman"/>
          <w:b/>
        </w:rPr>
      </w:pPr>
    </w:p>
    <w:p w14:paraId="39EAF174" w14:textId="77777777" w:rsidR="0066561B" w:rsidRPr="001E48AC" w:rsidRDefault="0066561B" w:rsidP="00E13B7D">
      <w:pPr>
        <w:jc w:val="center"/>
        <w:rPr>
          <w:rFonts w:cs="Times New Roman"/>
          <w:b/>
        </w:rPr>
      </w:pPr>
    </w:p>
    <w:p w14:paraId="053DC6A9" w14:textId="77777777" w:rsidR="00372FE3" w:rsidRPr="001E48AC" w:rsidRDefault="00372FE3" w:rsidP="00E13B7D">
      <w:pPr>
        <w:jc w:val="center"/>
        <w:rPr>
          <w:rFonts w:cs="Times New Roman"/>
          <w:sz w:val="32"/>
        </w:rPr>
      </w:pPr>
      <w:r w:rsidRPr="001E48AC">
        <w:rPr>
          <w:rFonts w:cs="Times New Roman"/>
          <w:sz w:val="32"/>
        </w:rPr>
        <w:t>Informatīvais ziņojums</w:t>
      </w:r>
    </w:p>
    <w:p w14:paraId="2DFAFADE" w14:textId="77777777" w:rsidR="00E45A96" w:rsidRPr="001E48AC" w:rsidRDefault="0088403A" w:rsidP="00E13B7D">
      <w:pPr>
        <w:jc w:val="center"/>
        <w:rPr>
          <w:rFonts w:cs="Times New Roman"/>
          <w:b/>
          <w:sz w:val="32"/>
          <w:szCs w:val="32"/>
        </w:rPr>
      </w:pPr>
      <w:r w:rsidRPr="001E48AC">
        <w:rPr>
          <w:rFonts w:cs="Times New Roman"/>
          <w:b/>
          <w:sz w:val="32"/>
          <w:szCs w:val="32"/>
        </w:rPr>
        <w:t>Par virzību uz indikatīvo valsts energoefektivitātes mērķi</w:t>
      </w:r>
      <w:r w:rsidR="00AE58D1" w:rsidRPr="001E48AC">
        <w:rPr>
          <w:rFonts w:cs="Times New Roman"/>
          <w:b/>
          <w:sz w:val="32"/>
          <w:szCs w:val="32"/>
        </w:rPr>
        <w:t xml:space="preserve"> </w:t>
      </w:r>
    </w:p>
    <w:p w14:paraId="1076D657" w14:textId="77777777" w:rsidR="00994124" w:rsidRPr="001E48AC" w:rsidRDefault="00AE58D1" w:rsidP="00E13B7D">
      <w:pPr>
        <w:jc w:val="center"/>
        <w:rPr>
          <w:rFonts w:cs="Times New Roman"/>
          <w:b/>
          <w:sz w:val="32"/>
          <w:szCs w:val="32"/>
        </w:rPr>
      </w:pPr>
      <w:r w:rsidRPr="001E48AC">
        <w:rPr>
          <w:rFonts w:cs="Times New Roman"/>
          <w:b/>
          <w:sz w:val="32"/>
          <w:szCs w:val="32"/>
        </w:rPr>
        <w:t>201</w:t>
      </w:r>
      <w:r w:rsidR="005229F8" w:rsidRPr="001E48AC">
        <w:rPr>
          <w:rFonts w:cs="Times New Roman"/>
          <w:b/>
          <w:sz w:val="32"/>
          <w:szCs w:val="32"/>
        </w:rPr>
        <w:t>7</w:t>
      </w:r>
      <w:r w:rsidRPr="001E48AC">
        <w:rPr>
          <w:rFonts w:cs="Times New Roman"/>
          <w:b/>
          <w:sz w:val="32"/>
          <w:szCs w:val="32"/>
        </w:rPr>
        <w:t>. – 201</w:t>
      </w:r>
      <w:r w:rsidR="005229F8" w:rsidRPr="001E48AC">
        <w:rPr>
          <w:rFonts w:cs="Times New Roman"/>
          <w:b/>
          <w:sz w:val="32"/>
          <w:szCs w:val="32"/>
        </w:rPr>
        <w:t>9</w:t>
      </w:r>
      <w:r w:rsidRPr="001E48AC">
        <w:rPr>
          <w:rFonts w:cs="Times New Roman"/>
          <w:b/>
          <w:sz w:val="32"/>
          <w:szCs w:val="32"/>
        </w:rPr>
        <w:t>. </w:t>
      </w:r>
      <w:r w:rsidR="00372FE3" w:rsidRPr="001E48AC">
        <w:rPr>
          <w:rFonts w:cs="Times New Roman"/>
          <w:b/>
          <w:sz w:val="32"/>
          <w:szCs w:val="32"/>
        </w:rPr>
        <w:t>gad</w:t>
      </w:r>
      <w:r w:rsidR="00F85A58" w:rsidRPr="001E48AC">
        <w:rPr>
          <w:rFonts w:cs="Times New Roman"/>
          <w:b/>
          <w:sz w:val="32"/>
          <w:szCs w:val="32"/>
        </w:rPr>
        <w:t>ā</w:t>
      </w:r>
      <w:r w:rsidRPr="001E48AC">
        <w:rPr>
          <w:rFonts w:cs="Times New Roman"/>
          <w:b/>
          <w:sz w:val="32"/>
          <w:szCs w:val="32"/>
        </w:rPr>
        <w:t xml:space="preserve"> saskaņā ar </w:t>
      </w:r>
      <w:r w:rsidRPr="001E48AC">
        <w:rPr>
          <w:rFonts w:cs="Times New Roman"/>
          <w:b/>
          <w:bCs/>
          <w:sz w:val="32"/>
          <w:szCs w:val="32"/>
        </w:rPr>
        <w:t>Eiropas Parlamenta un Padomes 2012. gada 25. oktobra Direktīvu 2012/27/ES par energoefektivitāti, ar ko groza Direktīvas 2009/125/EK un 2010/30/ES un atceļ Direktīvas 2004/8/EK un 2006/32/EK</w:t>
      </w:r>
    </w:p>
    <w:p w14:paraId="3A098A38" w14:textId="6B421E4A" w:rsidR="00E13B7D" w:rsidRPr="001E48AC" w:rsidRDefault="00E13B7D" w:rsidP="00E13B7D">
      <w:pPr>
        <w:jc w:val="center"/>
        <w:rPr>
          <w:rFonts w:cs="Times New Roman"/>
          <w:sz w:val="24"/>
        </w:rPr>
      </w:pPr>
      <w:r w:rsidRPr="001E48AC">
        <w:rPr>
          <w:rFonts w:cs="Times New Roman"/>
          <w:sz w:val="24"/>
        </w:rPr>
        <w:t>201</w:t>
      </w:r>
      <w:r w:rsidR="005229F8" w:rsidRPr="001E48AC">
        <w:rPr>
          <w:rFonts w:cs="Times New Roman"/>
          <w:sz w:val="24"/>
        </w:rPr>
        <w:t>7</w:t>
      </w:r>
      <w:r w:rsidRPr="001E48AC">
        <w:rPr>
          <w:rFonts w:cs="Times New Roman"/>
          <w:sz w:val="24"/>
        </w:rPr>
        <w:t xml:space="preserve">. gada </w:t>
      </w:r>
      <w:r w:rsidR="00E45A96" w:rsidRPr="001E48AC">
        <w:rPr>
          <w:rFonts w:cs="Times New Roman"/>
          <w:sz w:val="24"/>
        </w:rPr>
        <w:t xml:space="preserve"> </w:t>
      </w:r>
      <w:r w:rsidR="00B329F1" w:rsidRPr="001E48AC">
        <w:rPr>
          <w:rFonts w:cs="Times New Roman"/>
          <w:sz w:val="24"/>
        </w:rPr>
        <w:t>2</w:t>
      </w:r>
      <w:r w:rsidR="00306F81" w:rsidRPr="001E48AC">
        <w:rPr>
          <w:rFonts w:cs="Times New Roman"/>
          <w:sz w:val="24"/>
        </w:rPr>
        <w:t>1</w:t>
      </w:r>
      <w:r w:rsidR="00B329F1" w:rsidRPr="001E48AC">
        <w:rPr>
          <w:rFonts w:cs="Times New Roman"/>
          <w:sz w:val="24"/>
        </w:rPr>
        <w:t>.</w:t>
      </w:r>
      <w:r w:rsidR="00E45A96" w:rsidRPr="001E48AC">
        <w:rPr>
          <w:rFonts w:cs="Times New Roman"/>
          <w:sz w:val="24"/>
        </w:rPr>
        <w:t xml:space="preserve"> aprīlī</w:t>
      </w:r>
    </w:p>
    <w:p w14:paraId="1B084C2E" w14:textId="77777777" w:rsidR="00E13B7D" w:rsidRPr="001E48AC" w:rsidRDefault="00E13B7D">
      <w:pPr>
        <w:rPr>
          <w:rFonts w:cs="Times New Roman"/>
        </w:rPr>
      </w:pPr>
      <w:r w:rsidRPr="001E48AC">
        <w:rPr>
          <w:rFonts w:cs="Times New Roman"/>
        </w:rPr>
        <w:br w:type="page"/>
      </w:r>
    </w:p>
    <w:sdt>
      <w:sdtPr>
        <w:rPr>
          <w:rFonts w:cs="Times New Roman"/>
          <w:sz w:val="24"/>
        </w:rPr>
        <w:id w:val="-1616743799"/>
        <w:docPartObj>
          <w:docPartGallery w:val="Table of Contents"/>
          <w:docPartUnique/>
        </w:docPartObj>
      </w:sdtPr>
      <w:sdtEndPr>
        <w:rPr>
          <w:b/>
          <w:bCs/>
        </w:rPr>
      </w:sdtEndPr>
      <w:sdtContent>
        <w:p w14:paraId="285F3F47" w14:textId="77777777" w:rsidR="00994124" w:rsidRPr="001E48AC" w:rsidRDefault="00994124" w:rsidP="00965FE4">
          <w:pPr>
            <w:autoSpaceDE w:val="0"/>
            <w:autoSpaceDN w:val="0"/>
            <w:adjustRightInd w:val="0"/>
            <w:spacing w:after="0" w:line="240" w:lineRule="auto"/>
            <w:jc w:val="center"/>
            <w:rPr>
              <w:rFonts w:cs="Times New Roman"/>
              <w:b/>
              <w:bCs/>
              <w:szCs w:val="28"/>
            </w:rPr>
          </w:pPr>
          <w:r w:rsidRPr="001E48AC">
            <w:rPr>
              <w:rFonts w:cs="Times New Roman"/>
              <w:b/>
              <w:bCs/>
              <w:szCs w:val="28"/>
            </w:rPr>
            <w:t>SATURS</w:t>
          </w:r>
        </w:p>
        <w:p w14:paraId="7F76C519" w14:textId="040DFB9F" w:rsidR="00BC2E60" w:rsidRPr="001E48AC" w:rsidRDefault="00AC26F7">
          <w:pPr>
            <w:pStyle w:val="TOC1"/>
            <w:tabs>
              <w:tab w:val="right" w:leader="dot" w:pos="9016"/>
            </w:tabs>
            <w:rPr>
              <w:rFonts w:asciiTheme="minorHAnsi" w:eastAsiaTheme="minorEastAsia" w:hAnsiTheme="minorHAnsi"/>
              <w:noProof/>
              <w:sz w:val="22"/>
              <w:lang w:eastAsia="lv-LV"/>
            </w:rPr>
          </w:pPr>
          <w:r w:rsidRPr="001E48AC">
            <w:rPr>
              <w:rFonts w:cs="Times New Roman"/>
              <w:sz w:val="24"/>
            </w:rPr>
            <w:fldChar w:fldCharType="begin"/>
          </w:r>
          <w:r w:rsidR="00994124" w:rsidRPr="001E48AC">
            <w:rPr>
              <w:rFonts w:cs="Times New Roman"/>
              <w:sz w:val="24"/>
            </w:rPr>
            <w:instrText xml:space="preserve"> TOC \o "1-3" \h \z \u </w:instrText>
          </w:r>
          <w:r w:rsidRPr="001E48AC">
            <w:rPr>
              <w:rFonts w:cs="Times New Roman"/>
              <w:sz w:val="24"/>
            </w:rPr>
            <w:fldChar w:fldCharType="separate"/>
          </w:r>
          <w:hyperlink w:anchor="_Toc482711514" w:history="1">
            <w:r w:rsidR="00BC2E60" w:rsidRPr="001E48AC">
              <w:rPr>
                <w:rStyle w:val="Hyperlink"/>
                <w:noProof/>
                <w:color w:val="auto"/>
              </w:rPr>
              <w:t>1. IEVADS</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_Toc482711514 \h </w:instrText>
            </w:r>
            <w:r w:rsidR="00BC2E60" w:rsidRPr="001E48AC">
              <w:rPr>
                <w:noProof/>
                <w:webHidden/>
              </w:rPr>
            </w:r>
            <w:r w:rsidR="00BC2E60" w:rsidRPr="001E48AC">
              <w:rPr>
                <w:noProof/>
                <w:webHidden/>
              </w:rPr>
              <w:fldChar w:fldCharType="separate"/>
            </w:r>
            <w:r w:rsidR="00BC2E60" w:rsidRPr="001E48AC">
              <w:rPr>
                <w:noProof/>
                <w:webHidden/>
              </w:rPr>
              <w:t>6</w:t>
            </w:r>
            <w:r w:rsidR="00BC2E60" w:rsidRPr="001E48AC">
              <w:rPr>
                <w:noProof/>
                <w:webHidden/>
              </w:rPr>
              <w:fldChar w:fldCharType="end"/>
            </w:r>
          </w:hyperlink>
        </w:p>
        <w:p w14:paraId="0A743D42" w14:textId="53833751" w:rsidR="00BC2E60" w:rsidRPr="001E48AC" w:rsidRDefault="00DF4077">
          <w:pPr>
            <w:pStyle w:val="TOC1"/>
            <w:tabs>
              <w:tab w:val="right" w:leader="dot" w:pos="9016"/>
            </w:tabs>
            <w:rPr>
              <w:rFonts w:asciiTheme="minorHAnsi" w:eastAsiaTheme="minorEastAsia" w:hAnsiTheme="minorHAnsi"/>
              <w:noProof/>
              <w:sz w:val="22"/>
              <w:lang w:eastAsia="lv-LV"/>
            </w:rPr>
          </w:pPr>
          <w:hyperlink w:anchor="_Toc482711515" w:history="1">
            <w:r w:rsidR="00BC2E60" w:rsidRPr="001E48AC">
              <w:rPr>
                <w:rStyle w:val="Hyperlink"/>
                <w:rFonts w:cs="Times New Roman"/>
                <w:noProof/>
                <w:color w:val="auto"/>
              </w:rPr>
              <w:t>2. PĀRSKATS PAR VALSTS ENERGOEFEKTIVITĀTES MĒRĶIEM UN IETAUPĪJUMIEM</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_Toc482711515 \h </w:instrText>
            </w:r>
            <w:r w:rsidR="00BC2E60" w:rsidRPr="001E48AC">
              <w:rPr>
                <w:noProof/>
                <w:webHidden/>
              </w:rPr>
            </w:r>
            <w:r w:rsidR="00BC2E60" w:rsidRPr="001E48AC">
              <w:rPr>
                <w:noProof/>
                <w:webHidden/>
              </w:rPr>
              <w:fldChar w:fldCharType="separate"/>
            </w:r>
            <w:r w:rsidR="00BC2E60" w:rsidRPr="001E48AC">
              <w:rPr>
                <w:noProof/>
                <w:webHidden/>
              </w:rPr>
              <w:t>8</w:t>
            </w:r>
            <w:r w:rsidR="00BC2E60" w:rsidRPr="001E48AC">
              <w:rPr>
                <w:noProof/>
                <w:webHidden/>
              </w:rPr>
              <w:fldChar w:fldCharType="end"/>
            </w:r>
          </w:hyperlink>
        </w:p>
        <w:p w14:paraId="285EB31E" w14:textId="2E85730B" w:rsidR="00BC2E60" w:rsidRPr="001E48AC" w:rsidRDefault="00DF4077">
          <w:pPr>
            <w:pStyle w:val="TOC2"/>
            <w:rPr>
              <w:rFonts w:asciiTheme="minorHAnsi" w:eastAsiaTheme="minorEastAsia" w:hAnsiTheme="minorHAnsi"/>
              <w:noProof/>
              <w:sz w:val="22"/>
              <w:lang w:eastAsia="lv-LV"/>
            </w:rPr>
          </w:pPr>
          <w:hyperlink w:anchor="_Toc482711516" w:history="1">
            <w:r w:rsidR="00BC2E60" w:rsidRPr="001E48AC">
              <w:rPr>
                <w:rStyle w:val="Hyperlink"/>
                <w:noProof/>
                <w:color w:val="auto"/>
              </w:rPr>
              <w:t>2.1. Indikatīvais valsts energoefektivitātes mērķis 2020. gadam</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_Toc482711516 \h </w:instrText>
            </w:r>
            <w:r w:rsidR="00BC2E60" w:rsidRPr="001E48AC">
              <w:rPr>
                <w:noProof/>
                <w:webHidden/>
              </w:rPr>
            </w:r>
            <w:r w:rsidR="00BC2E60" w:rsidRPr="001E48AC">
              <w:rPr>
                <w:noProof/>
                <w:webHidden/>
              </w:rPr>
              <w:fldChar w:fldCharType="separate"/>
            </w:r>
            <w:r w:rsidR="00BC2E60" w:rsidRPr="001E48AC">
              <w:rPr>
                <w:noProof/>
                <w:webHidden/>
              </w:rPr>
              <w:t>8</w:t>
            </w:r>
            <w:r w:rsidR="00BC2E60" w:rsidRPr="001E48AC">
              <w:rPr>
                <w:noProof/>
                <w:webHidden/>
              </w:rPr>
              <w:fldChar w:fldCharType="end"/>
            </w:r>
          </w:hyperlink>
        </w:p>
        <w:p w14:paraId="540A4AD5" w14:textId="25EBA3AA" w:rsidR="00BC2E60" w:rsidRPr="001E48AC" w:rsidRDefault="00DF4077">
          <w:pPr>
            <w:pStyle w:val="TOC2"/>
            <w:rPr>
              <w:rFonts w:asciiTheme="minorHAnsi" w:eastAsiaTheme="minorEastAsia" w:hAnsiTheme="minorHAnsi"/>
              <w:noProof/>
              <w:sz w:val="22"/>
              <w:lang w:eastAsia="lv-LV"/>
            </w:rPr>
          </w:pPr>
          <w:hyperlink w:anchor="_Toc482711517" w:history="1">
            <w:r w:rsidR="00BC2E60" w:rsidRPr="001E48AC">
              <w:rPr>
                <w:rStyle w:val="Hyperlink"/>
                <w:noProof/>
                <w:color w:val="auto"/>
              </w:rPr>
              <w:t>2.2. Enerģijas galapatēriņa indikatīvais mērķis atbilstoši Direktīvas 2006/32/EK prasībām</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_Toc482711517 \h </w:instrText>
            </w:r>
            <w:r w:rsidR="00BC2E60" w:rsidRPr="001E48AC">
              <w:rPr>
                <w:noProof/>
                <w:webHidden/>
              </w:rPr>
            </w:r>
            <w:r w:rsidR="00BC2E60" w:rsidRPr="001E48AC">
              <w:rPr>
                <w:noProof/>
                <w:webHidden/>
              </w:rPr>
              <w:fldChar w:fldCharType="separate"/>
            </w:r>
            <w:r w:rsidR="00BC2E60" w:rsidRPr="001E48AC">
              <w:rPr>
                <w:noProof/>
                <w:webHidden/>
              </w:rPr>
              <w:t>8</w:t>
            </w:r>
            <w:r w:rsidR="00BC2E60" w:rsidRPr="001E48AC">
              <w:rPr>
                <w:noProof/>
                <w:webHidden/>
              </w:rPr>
              <w:fldChar w:fldCharType="end"/>
            </w:r>
          </w:hyperlink>
        </w:p>
        <w:p w14:paraId="29E5AB6A" w14:textId="4B1B2802" w:rsidR="00BC2E60" w:rsidRPr="001E48AC" w:rsidRDefault="00DF4077">
          <w:pPr>
            <w:pStyle w:val="TOC2"/>
            <w:rPr>
              <w:rFonts w:asciiTheme="minorHAnsi" w:eastAsiaTheme="minorEastAsia" w:hAnsiTheme="minorHAnsi"/>
              <w:noProof/>
              <w:sz w:val="22"/>
              <w:lang w:eastAsia="lv-LV"/>
            </w:rPr>
          </w:pPr>
          <w:hyperlink w:anchor="_Toc482711518" w:history="1">
            <w:r w:rsidR="00BC2E60" w:rsidRPr="001E48AC">
              <w:rPr>
                <w:rStyle w:val="Hyperlink"/>
                <w:noProof/>
                <w:color w:val="auto"/>
              </w:rPr>
              <w:t>2.3. Papildu energoefektivitātes mērķi</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_Toc482711518 \h </w:instrText>
            </w:r>
            <w:r w:rsidR="00BC2E60" w:rsidRPr="001E48AC">
              <w:rPr>
                <w:noProof/>
                <w:webHidden/>
              </w:rPr>
            </w:r>
            <w:r w:rsidR="00BC2E60" w:rsidRPr="001E48AC">
              <w:rPr>
                <w:noProof/>
                <w:webHidden/>
              </w:rPr>
              <w:fldChar w:fldCharType="separate"/>
            </w:r>
            <w:r w:rsidR="00BC2E60" w:rsidRPr="001E48AC">
              <w:rPr>
                <w:noProof/>
                <w:webHidden/>
              </w:rPr>
              <w:t>10</w:t>
            </w:r>
            <w:r w:rsidR="00BC2E60" w:rsidRPr="001E48AC">
              <w:rPr>
                <w:noProof/>
                <w:webHidden/>
              </w:rPr>
              <w:fldChar w:fldCharType="end"/>
            </w:r>
          </w:hyperlink>
        </w:p>
        <w:p w14:paraId="6AEDD9C5" w14:textId="5B66C7DF" w:rsidR="00BC2E60" w:rsidRPr="001E48AC" w:rsidRDefault="00DF4077">
          <w:pPr>
            <w:pStyle w:val="TOC2"/>
            <w:rPr>
              <w:rFonts w:asciiTheme="minorHAnsi" w:eastAsiaTheme="minorEastAsia" w:hAnsiTheme="minorHAnsi"/>
              <w:noProof/>
              <w:sz w:val="22"/>
              <w:lang w:eastAsia="lv-LV"/>
            </w:rPr>
          </w:pPr>
          <w:hyperlink w:anchor="_Toc482711519" w:history="1">
            <w:r w:rsidR="00BC2E60" w:rsidRPr="001E48AC">
              <w:rPr>
                <w:rStyle w:val="Hyperlink"/>
                <w:noProof/>
                <w:color w:val="auto"/>
              </w:rPr>
              <w:t>2.4. Primārās enerģijas ietaupījums</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_Toc482711519 \h </w:instrText>
            </w:r>
            <w:r w:rsidR="00BC2E60" w:rsidRPr="001E48AC">
              <w:rPr>
                <w:noProof/>
                <w:webHidden/>
              </w:rPr>
            </w:r>
            <w:r w:rsidR="00BC2E60" w:rsidRPr="001E48AC">
              <w:rPr>
                <w:noProof/>
                <w:webHidden/>
              </w:rPr>
              <w:fldChar w:fldCharType="separate"/>
            </w:r>
            <w:r w:rsidR="00BC2E60" w:rsidRPr="001E48AC">
              <w:rPr>
                <w:noProof/>
                <w:webHidden/>
              </w:rPr>
              <w:t>10</w:t>
            </w:r>
            <w:r w:rsidR="00BC2E60" w:rsidRPr="001E48AC">
              <w:rPr>
                <w:noProof/>
                <w:webHidden/>
              </w:rPr>
              <w:fldChar w:fldCharType="end"/>
            </w:r>
          </w:hyperlink>
        </w:p>
        <w:p w14:paraId="41C859B8" w14:textId="06276E80" w:rsidR="00BC2E60" w:rsidRPr="001E48AC" w:rsidRDefault="00DF4077">
          <w:pPr>
            <w:pStyle w:val="TOC2"/>
            <w:rPr>
              <w:rFonts w:asciiTheme="minorHAnsi" w:eastAsiaTheme="minorEastAsia" w:hAnsiTheme="minorHAnsi"/>
              <w:noProof/>
              <w:sz w:val="22"/>
              <w:lang w:eastAsia="lv-LV"/>
            </w:rPr>
          </w:pPr>
          <w:hyperlink w:anchor="_Toc482711520" w:history="1">
            <w:r w:rsidR="00BC2E60" w:rsidRPr="001E48AC">
              <w:rPr>
                <w:rStyle w:val="Hyperlink"/>
                <w:noProof/>
                <w:color w:val="auto"/>
              </w:rPr>
              <w:t>2.5. Sasniegtais gala enerģijas ietaupījums un ietaupījumu prognoze</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_Toc482711520 \h </w:instrText>
            </w:r>
            <w:r w:rsidR="00BC2E60" w:rsidRPr="001E48AC">
              <w:rPr>
                <w:noProof/>
                <w:webHidden/>
              </w:rPr>
            </w:r>
            <w:r w:rsidR="00BC2E60" w:rsidRPr="001E48AC">
              <w:rPr>
                <w:noProof/>
                <w:webHidden/>
              </w:rPr>
              <w:fldChar w:fldCharType="separate"/>
            </w:r>
            <w:r w:rsidR="00BC2E60" w:rsidRPr="001E48AC">
              <w:rPr>
                <w:noProof/>
                <w:webHidden/>
              </w:rPr>
              <w:t>11</w:t>
            </w:r>
            <w:r w:rsidR="00BC2E60" w:rsidRPr="001E48AC">
              <w:rPr>
                <w:noProof/>
                <w:webHidden/>
              </w:rPr>
              <w:fldChar w:fldCharType="end"/>
            </w:r>
          </w:hyperlink>
        </w:p>
        <w:p w14:paraId="3E26CB20" w14:textId="23FF5477" w:rsidR="00BC2E60" w:rsidRPr="001E48AC" w:rsidRDefault="00DF4077">
          <w:pPr>
            <w:pStyle w:val="TOC3"/>
            <w:rPr>
              <w:rFonts w:asciiTheme="minorHAnsi" w:eastAsiaTheme="minorEastAsia" w:hAnsiTheme="minorHAnsi"/>
              <w:noProof/>
              <w:sz w:val="22"/>
              <w:lang w:eastAsia="lv-LV"/>
            </w:rPr>
          </w:pPr>
          <w:hyperlink w:anchor="_Toc482711521" w:history="1">
            <w:r w:rsidR="00BC2E60" w:rsidRPr="001E48AC">
              <w:rPr>
                <w:rStyle w:val="Hyperlink"/>
                <w:noProof/>
                <w:color w:val="auto"/>
              </w:rPr>
              <w:t>2.5.1. Atbilstoši Direktīvas 2006/32/EK prasībām aprēķinātais enerģijas ietaupījums galapatēriņā</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_Toc482711521 \h </w:instrText>
            </w:r>
            <w:r w:rsidR="00BC2E60" w:rsidRPr="001E48AC">
              <w:rPr>
                <w:noProof/>
                <w:webHidden/>
              </w:rPr>
            </w:r>
            <w:r w:rsidR="00BC2E60" w:rsidRPr="001E48AC">
              <w:rPr>
                <w:noProof/>
                <w:webHidden/>
              </w:rPr>
              <w:fldChar w:fldCharType="separate"/>
            </w:r>
            <w:r w:rsidR="00BC2E60" w:rsidRPr="001E48AC">
              <w:rPr>
                <w:noProof/>
                <w:webHidden/>
              </w:rPr>
              <w:t>12</w:t>
            </w:r>
            <w:r w:rsidR="00BC2E60" w:rsidRPr="001E48AC">
              <w:rPr>
                <w:noProof/>
                <w:webHidden/>
              </w:rPr>
              <w:fldChar w:fldCharType="end"/>
            </w:r>
          </w:hyperlink>
        </w:p>
        <w:p w14:paraId="714B57F3" w14:textId="51C4F45E" w:rsidR="00BC2E60" w:rsidRPr="001E48AC" w:rsidRDefault="00DF4077">
          <w:pPr>
            <w:pStyle w:val="TOC3"/>
            <w:rPr>
              <w:rFonts w:asciiTheme="minorHAnsi" w:eastAsiaTheme="minorEastAsia" w:hAnsiTheme="minorHAnsi"/>
              <w:noProof/>
              <w:sz w:val="22"/>
              <w:lang w:eastAsia="lv-LV"/>
            </w:rPr>
          </w:pPr>
          <w:hyperlink w:anchor="_Toc482711522" w:history="1">
            <w:r w:rsidR="00BC2E60" w:rsidRPr="001E48AC">
              <w:rPr>
                <w:rStyle w:val="Hyperlink"/>
                <w:noProof/>
                <w:color w:val="auto"/>
              </w:rPr>
              <w:t>2.5.2. Atbilstoši Direktīvas 2012/27/ES 7.pantam aprēķinātais uzkrātais gala enerģijas ietaupījums</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_Toc482711522 \h </w:instrText>
            </w:r>
            <w:r w:rsidR="00BC2E60" w:rsidRPr="001E48AC">
              <w:rPr>
                <w:noProof/>
                <w:webHidden/>
              </w:rPr>
            </w:r>
            <w:r w:rsidR="00BC2E60" w:rsidRPr="001E48AC">
              <w:rPr>
                <w:noProof/>
                <w:webHidden/>
              </w:rPr>
              <w:fldChar w:fldCharType="separate"/>
            </w:r>
            <w:r w:rsidR="00BC2E60" w:rsidRPr="001E48AC">
              <w:rPr>
                <w:noProof/>
                <w:webHidden/>
              </w:rPr>
              <w:t>15</w:t>
            </w:r>
            <w:r w:rsidR="00BC2E60" w:rsidRPr="001E48AC">
              <w:rPr>
                <w:noProof/>
                <w:webHidden/>
              </w:rPr>
              <w:fldChar w:fldCharType="end"/>
            </w:r>
          </w:hyperlink>
        </w:p>
        <w:p w14:paraId="7279F07F" w14:textId="75993D7F" w:rsidR="00BC2E60" w:rsidRPr="001E48AC" w:rsidRDefault="00DF4077">
          <w:pPr>
            <w:pStyle w:val="TOC1"/>
            <w:tabs>
              <w:tab w:val="right" w:leader="dot" w:pos="9016"/>
            </w:tabs>
            <w:rPr>
              <w:rFonts w:asciiTheme="minorHAnsi" w:eastAsiaTheme="minorEastAsia" w:hAnsiTheme="minorHAnsi"/>
              <w:noProof/>
              <w:sz w:val="22"/>
              <w:lang w:eastAsia="lv-LV"/>
            </w:rPr>
          </w:pPr>
          <w:hyperlink w:anchor="_Toc482711523" w:history="1">
            <w:r w:rsidR="00BC2E60" w:rsidRPr="001E48AC">
              <w:rPr>
                <w:rStyle w:val="Hyperlink"/>
                <w:noProof/>
                <w:color w:val="auto"/>
              </w:rPr>
              <w:t>3. ENERGOEFEKTIVITĀTES POLITIKAS PASĀKUMU ĪSTENOŠANA</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_Toc482711523 \h </w:instrText>
            </w:r>
            <w:r w:rsidR="00BC2E60" w:rsidRPr="001E48AC">
              <w:rPr>
                <w:noProof/>
                <w:webHidden/>
              </w:rPr>
            </w:r>
            <w:r w:rsidR="00BC2E60" w:rsidRPr="001E48AC">
              <w:rPr>
                <w:noProof/>
                <w:webHidden/>
              </w:rPr>
              <w:fldChar w:fldCharType="separate"/>
            </w:r>
            <w:r w:rsidR="00BC2E60" w:rsidRPr="001E48AC">
              <w:rPr>
                <w:noProof/>
                <w:webHidden/>
              </w:rPr>
              <w:t>21</w:t>
            </w:r>
            <w:r w:rsidR="00BC2E60" w:rsidRPr="001E48AC">
              <w:rPr>
                <w:noProof/>
                <w:webHidden/>
              </w:rPr>
              <w:fldChar w:fldCharType="end"/>
            </w:r>
          </w:hyperlink>
        </w:p>
        <w:p w14:paraId="4B0C35A4" w14:textId="6D6C7E10" w:rsidR="00BC2E60" w:rsidRPr="001E48AC" w:rsidRDefault="00DF4077">
          <w:pPr>
            <w:pStyle w:val="TOC2"/>
            <w:rPr>
              <w:rFonts w:asciiTheme="minorHAnsi" w:eastAsiaTheme="minorEastAsia" w:hAnsiTheme="minorHAnsi"/>
              <w:noProof/>
              <w:sz w:val="22"/>
              <w:lang w:eastAsia="lv-LV"/>
            </w:rPr>
          </w:pPr>
          <w:hyperlink w:anchor="_Toc482711524" w:history="1">
            <w:r w:rsidR="00BC2E60" w:rsidRPr="001E48AC">
              <w:rPr>
                <w:rStyle w:val="Hyperlink"/>
                <w:noProof/>
                <w:color w:val="auto"/>
              </w:rPr>
              <w:t>3.1. Horizontālie pasākumi</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_Toc482711524 \h </w:instrText>
            </w:r>
            <w:r w:rsidR="00BC2E60" w:rsidRPr="001E48AC">
              <w:rPr>
                <w:noProof/>
                <w:webHidden/>
              </w:rPr>
            </w:r>
            <w:r w:rsidR="00BC2E60" w:rsidRPr="001E48AC">
              <w:rPr>
                <w:noProof/>
                <w:webHidden/>
              </w:rPr>
              <w:fldChar w:fldCharType="separate"/>
            </w:r>
            <w:r w:rsidR="00BC2E60" w:rsidRPr="001E48AC">
              <w:rPr>
                <w:noProof/>
                <w:webHidden/>
              </w:rPr>
              <w:t>21</w:t>
            </w:r>
            <w:r w:rsidR="00BC2E60" w:rsidRPr="001E48AC">
              <w:rPr>
                <w:noProof/>
                <w:webHidden/>
              </w:rPr>
              <w:fldChar w:fldCharType="end"/>
            </w:r>
          </w:hyperlink>
        </w:p>
        <w:p w14:paraId="2E72B802" w14:textId="7A449ECA" w:rsidR="00BC2E60" w:rsidRPr="001E48AC" w:rsidRDefault="00DF4077">
          <w:pPr>
            <w:pStyle w:val="TOC3"/>
            <w:rPr>
              <w:rFonts w:asciiTheme="minorHAnsi" w:eastAsiaTheme="minorEastAsia" w:hAnsiTheme="minorHAnsi"/>
              <w:noProof/>
              <w:sz w:val="22"/>
              <w:lang w:eastAsia="lv-LV"/>
            </w:rPr>
          </w:pPr>
          <w:hyperlink w:anchor="_Toc482711525" w:history="1">
            <w:r w:rsidR="00BC2E60" w:rsidRPr="001E48AC">
              <w:rPr>
                <w:rStyle w:val="Hyperlink"/>
                <w:noProof/>
                <w:color w:val="auto"/>
              </w:rPr>
              <w:t>3.1.1. Enerģijas ietaupījuma apjoms pienākuma periodā</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_Toc482711525 \h </w:instrText>
            </w:r>
            <w:r w:rsidR="00BC2E60" w:rsidRPr="001E48AC">
              <w:rPr>
                <w:noProof/>
                <w:webHidden/>
              </w:rPr>
            </w:r>
            <w:r w:rsidR="00BC2E60" w:rsidRPr="001E48AC">
              <w:rPr>
                <w:noProof/>
                <w:webHidden/>
              </w:rPr>
              <w:fldChar w:fldCharType="separate"/>
            </w:r>
            <w:r w:rsidR="00BC2E60" w:rsidRPr="001E48AC">
              <w:rPr>
                <w:noProof/>
                <w:webHidden/>
              </w:rPr>
              <w:t>21</w:t>
            </w:r>
            <w:r w:rsidR="00BC2E60" w:rsidRPr="001E48AC">
              <w:rPr>
                <w:noProof/>
                <w:webHidden/>
              </w:rPr>
              <w:fldChar w:fldCharType="end"/>
            </w:r>
          </w:hyperlink>
        </w:p>
        <w:p w14:paraId="0209FFFE" w14:textId="4788643D" w:rsidR="00BC2E60" w:rsidRPr="001E48AC" w:rsidRDefault="00DF4077">
          <w:pPr>
            <w:pStyle w:val="TOC3"/>
            <w:rPr>
              <w:rFonts w:asciiTheme="minorHAnsi" w:eastAsiaTheme="minorEastAsia" w:hAnsiTheme="minorHAnsi"/>
              <w:noProof/>
              <w:sz w:val="22"/>
              <w:lang w:eastAsia="lv-LV"/>
            </w:rPr>
          </w:pPr>
          <w:hyperlink w:anchor="_Toc482711526" w:history="1">
            <w:r w:rsidR="00BC2E60" w:rsidRPr="001E48AC">
              <w:rPr>
                <w:rStyle w:val="Hyperlink"/>
                <w:noProof/>
                <w:color w:val="auto"/>
              </w:rPr>
              <w:t>3.1.2. Valsts energoefektivitātes pienākuma shēma</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_Toc482711526 \h </w:instrText>
            </w:r>
            <w:r w:rsidR="00BC2E60" w:rsidRPr="001E48AC">
              <w:rPr>
                <w:noProof/>
                <w:webHidden/>
              </w:rPr>
            </w:r>
            <w:r w:rsidR="00BC2E60" w:rsidRPr="001E48AC">
              <w:rPr>
                <w:noProof/>
                <w:webHidden/>
              </w:rPr>
              <w:fldChar w:fldCharType="separate"/>
            </w:r>
            <w:r w:rsidR="00BC2E60" w:rsidRPr="001E48AC">
              <w:rPr>
                <w:noProof/>
                <w:webHidden/>
              </w:rPr>
              <w:t>22</w:t>
            </w:r>
            <w:r w:rsidR="00BC2E60" w:rsidRPr="001E48AC">
              <w:rPr>
                <w:noProof/>
                <w:webHidden/>
              </w:rPr>
              <w:fldChar w:fldCharType="end"/>
            </w:r>
          </w:hyperlink>
        </w:p>
        <w:p w14:paraId="54AE6FE4" w14:textId="78087DC4" w:rsidR="00BC2E60" w:rsidRPr="001E48AC" w:rsidRDefault="00DF4077">
          <w:pPr>
            <w:pStyle w:val="TOC3"/>
            <w:rPr>
              <w:rFonts w:asciiTheme="minorHAnsi" w:eastAsiaTheme="minorEastAsia" w:hAnsiTheme="minorHAnsi"/>
              <w:noProof/>
              <w:sz w:val="22"/>
              <w:lang w:eastAsia="lv-LV"/>
            </w:rPr>
          </w:pPr>
          <w:hyperlink w:anchor="_Toc482711527" w:history="1">
            <w:r w:rsidR="00BC2E60" w:rsidRPr="001E48AC">
              <w:rPr>
                <w:rStyle w:val="Hyperlink"/>
                <w:noProof/>
                <w:color w:val="auto"/>
              </w:rPr>
              <w:t>3.1.3. Īstenotie alternatīvie politikas pasākumi</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_Toc482711527 \h </w:instrText>
            </w:r>
            <w:r w:rsidR="00BC2E60" w:rsidRPr="001E48AC">
              <w:rPr>
                <w:noProof/>
                <w:webHidden/>
              </w:rPr>
            </w:r>
            <w:r w:rsidR="00BC2E60" w:rsidRPr="001E48AC">
              <w:rPr>
                <w:noProof/>
                <w:webHidden/>
              </w:rPr>
              <w:fldChar w:fldCharType="separate"/>
            </w:r>
            <w:r w:rsidR="00BC2E60" w:rsidRPr="001E48AC">
              <w:rPr>
                <w:noProof/>
                <w:webHidden/>
              </w:rPr>
              <w:t>24</w:t>
            </w:r>
            <w:r w:rsidR="00BC2E60" w:rsidRPr="001E48AC">
              <w:rPr>
                <w:noProof/>
                <w:webHidden/>
              </w:rPr>
              <w:fldChar w:fldCharType="end"/>
            </w:r>
          </w:hyperlink>
        </w:p>
        <w:p w14:paraId="430755A6" w14:textId="3090BEFB" w:rsidR="00BC2E60" w:rsidRPr="001E48AC" w:rsidRDefault="00DF4077">
          <w:pPr>
            <w:pStyle w:val="TOC3"/>
            <w:rPr>
              <w:rFonts w:asciiTheme="minorHAnsi" w:eastAsiaTheme="minorEastAsia" w:hAnsiTheme="minorHAnsi"/>
              <w:noProof/>
              <w:sz w:val="22"/>
              <w:lang w:eastAsia="lv-LV"/>
            </w:rPr>
          </w:pPr>
          <w:hyperlink w:anchor="_Toc482711528" w:history="1">
            <w:r w:rsidR="00BC2E60" w:rsidRPr="001E48AC">
              <w:rPr>
                <w:rStyle w:val="Hyperlink"/>
                <w:rFonts w:eastAsia="Times New Roman"/>
                <w:noProof/>
                <w:color w:val="auto"/>
                <w:lang w:eastAsia="lv-LV"/>
              </w:rPr>
              <w:t>3.1.4. Plānotie alternatīvie politikas pasākumi</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_Toc482711528 \h </w:instrText>
            </w:r>
            <w:r w:rsidR="00BC2E60" w:rsidRPr="001E48AC">
              <w:rPr>
                <w:noProof/>
                <w:webHidden/>
              </w:rPr>
            </w:r>
            <w:r w:rsidR="00BC2E60" w:rsidRPr="001E48AC">
              <w:rPr>
                <w:noProof/>
                <w:webHidden/>
              </w:rPr>
              <w:fldChar w:fldCharType="separate"/>
            </w:r>
            <w:r w:rsidR="00BC2E60" w:rsidRPr="001E48AC">
              <w:rPr>
                <w:noProof/>
                <w:webHidden/>
              </w:rPr>
              <w:t>24</w:t>
            </w:r>
            <w:r w:rsidR="00BC2E60" w:rsidRPr="001E48AC">
              <w:rPr>
                <w:noProof/>
                <w:webHidden/>
              </w:rPr>
              <w:fldChar w:fldCharType="end"/>
            </w:r>
          </w:hyperlink>
        </w:p>
        <w:p w14:paraId="0B6D874B" w14:textId="3E480AAB" w:rsidR="00BC2E60" w:rsidRPr="001E48AC" w:rsidRDefault="00DF4077">
          <w:pPr>
            <w:pStyle w:val="TOC3"/>
            <w:rPr>
              <w:rFonts w:asciiTheme="minorHAnsi" w:eastAsiaTheme="minorEastAsia" w:hAnsiTheme="minorHAnsi"/>
              <w:noProof/>
              <w:sz w:val="22"/>
              <w:lang w:eastAsia="lv-LV"/>
            </w:rPr>
          </w:pPr>
          <w:hyperlink w:anchor="_Toc482711529" w:history="1">
            <w:r w:rsidR="00BC2E60" w:rsidRPr="001E48AC">
              <w:rPr>
                <w:rStyle w:val="Hyperlink"/>
                <w:noProof/>
                <w:color w:val="auto"/>
              </w:rPr>
              <w:t>3.1.5. Pārrēķina koeficienti enerģijas veidiem</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_Toc482711529 \h </w:instrText>
            </w:r>
            <w:r w:rsidR="00BC2E60" w:rsidRPr="001E48AC">
              <w:rPr>
                <w:noProof/>
                <w:webHidden/>
              </w:rPr>
            </w:r>
            <w:r w:rsidR="00BC2E60" w:rsidRPr="001E48AC">
              <w:rPr>
                <w:noProof/>
                <w:webHidden/>
              </w:rPr>
              <w:fldChar w:fldCharType="separate"/>
            </w:r>
            <w:r w:rsidR="00BC2E60" w:rsidRPr="001E48AC">
              <w:rPr>
                <w:noProof/>
                <w:webHidden/>
              </w:rPr>
              <w:t>26</w:t>
            </w:r>
            <w:r w:rsidR="00BC2E60" w:rsidRPr="001E48AC">
              <w:rPr>
                <w:noProof/>
                <w:webHidden/>
              </w:rPr>
              <w:fldChar w:fldCharType="end"/>
            </w:r>
          </w:hyperlink>
        </w:p>
        <w:p w14:paraId="03EBEE63" w14:textId="01FC7209" w:rsidR="00BC2E60" w:rsidRPr="001E48AC" w:rsidRDefault="00DF4077">
          <w:pPr>
            <w:pStyle w:val="TOC3"/>
            <w:rPr>
              <w:rFonts w:asciiTheme="minorHAnsi" w:eastAsiaTheme="minorEastAsia" w:hAnsiTheme="minorHAnsi"/>
              <w:noProof/>
              <w:sz w:val="22"/>
              <w:lang w:eastAsia="lv-LV"/>
            </w:rPr>
          </w:pPr>
          <w:hyperlink w:anchor="_Toc482711530" w:history="1">
            <w:r w:rsidR="00BC2E60" w:rsidRPr="001E48AC">
              <w:rPr>
                <w:rStyle w:val="Hyperlink"/>
                <w:noProof/>
                <w:color w:val="auto"/>
              </w:rPr>
              <w:t>3.1.6. Enerģijas ietaupījuma uzskaite</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_Toc482711530 \h </w:instrText>
            </w:r>
            <w:r w:rsidR="00BC2E60" w:rsidRPr="001E48AC">
              <w:rPr>
                <w:noProof/>
                <w:webHidden/>
              </w:rPr>
            </w:r>
            <w:r w:rsidR="00BC2E60" w:rsidRPr="001E48AC">
              <w:rPr>
                <w:noProof/>
                <w:webHidden/>
              </w:rPr>
              <w:fldChar w:fldCharType="separate"/>
            </w:r>
            <w:r w:rsidR="00BC2E60" w:rsidRPr="001E48AC">
              <w:rPr>
                <w:noProof/>
                <w:webHidden/>
              </w:rPr>
              <w:t>28</w:t>
            </w:r>
            <w:r w:rsidR="00BC2E60" w:rsidRPr="001E48AC">
              <w:rPr>
                <w:noProof/>
                <w:webHidden/>
              </w:rPr>
              <w:fldChar w:fldCharType="end"/>
            </w:r>
          </w:hyperlink>
        </w:p>
        <w:p w14:paraId="0D2510E7" w14:textId="41EEAB32" w:rsidR="00BC2E60" w:rsidRPr="001E48AC" w:rsidRDefault="00DF4077">
          <w:pPr>
            <w:pStyle w:val="TOC3"/>
            <w:rPr>
              <w:rFonts w:asciiTheme="minorHAnsi" w:eastAsiaTheme="minorEastAsia" w:hAnsiTheme="minorHAnsi"/>
              <w:noProof/>
              <w:sz w:val="22"/>
              <w:lang w:eastAsia="lv-LV"/>
            </w:rPr>
          </w:pPr>
          <w:hyperlink w:anchor="_Toc482711531" w:history="1">
            <w:r w:rsidR="00BC2E60" w:rsidRPr="001E48AC">
              <w:rPr>
                <w:rStyle w:val="Hyperlink"/>
                <w:noProof/>
                <w:color w:val="auto"/>
              </w:rPr>
              <w:t>3.1.7. Valsts iestāžu un pašvaldību pienākumi energoefektivitātes jomā</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_Toc482711531 \h </w:instrText>
            </w:r>
            <w:r w:rsidR="00BC2E60" w:rsidRPr="001E48AC">
              <w:rPr>
                <w:noProof/>
                <w:webHidden/>
              </w:rPr>
            </w:r>
            <w:r w:rsidR="00BC2E60" w:rsidRPr="001E48AC">
              <w:rPr>
                <w:noProof/>
                <w:webHidden/>
              </w:rPr>
              <w:fldChar w:fldCharType="separate"/>
            </w:r>
            <w:r w:rsidR="00BC2E60" w:rsidRPr="001E48AC">
              <w:rPr>
                <w:noProof/>
                <w:webHidden/>
              </w:rPr>
              <w:t>28</w:t>
            </w:r>
            <w:r w:rsidR="00BC2E60" w:rsidRPr="001E48AC">
              <w:rPr>
                <w:noProof/>
                <w:webHidden/>
              </w:rPr>
              <w:fldChar w:fldCharType="end"/>
            </w:r>
          </w:hyperlink>
        </w:p>
        <w:p w14:paraId="62062597" w14:textId="1364131A" w:rsidR="00BC2E60" w:rsidRPr="001E48AC" w:rsidRDefault="00DF4077">
          <w:pPr>
            <w:pStyle w:val="TOC3"/>
            <w:rPr>
              <w:rFonts w:asciiTheme="minorHAnsi" w:eastAsiaTheme="minorEastAsia" w:hAnsiTheme="minorHAnsi"/>
              <w:noProof/>
              <w:sz w:val="22"/>
              <w:lang w:eastAsia="lv-LV"/>
            </w:rPr>
          </w:pPr>
          <w:hyperlink w:anchor="_Toc482711532" w:history="1">
            <w:r w:rsidR="00BC2E60" w:rsidRPr="001E48AC">
              <w:rPr>
                <w:rStyle w:val="Hyperlink"/>
                <w:noProof/>
                <w:color w:val="auto"/>
              </w:rPr>
              <w:t>3.1.8. Energoauditi un energovadības sistēmas</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_Toc482711532 \h </w:instrText>
            </w:r>
            <w:r w:rsidR="00BC2E60" w:rsidRPr="001E48AC">
              <w:rPr>
                <w:noProof/>
                <w:webHidden/>
              </w:rPr>
            </w:r>
            <w:r w:rsidR="00BC2E60" w:rsidRPr="001E48AC">
              <w:rPr>
                <w:noProof/>
                <w:webHidden/>
              </w:rPr>
              <w:fldChar w:fldCharType="separate"/>
            </w:r>
            <w:r w:rsidR="00BC2E60" w:rsidRPr="001E48AC">
              <w:rPr>
                <w:noProof/>
                <w:webHidden/>
              </w:rPr>
              <w:t>29</w:t>
            </w:r>
            <w:r w:rsidR="00BC2E60" w:rsidRPr="001E48AC">
              <w:rPr>
                <w:noProof/>
                <w:webHidden/>
              </w:rPr>
              <w:fldChar w:fldCharType="end"/>
            </w:r>
          </w:hyperlink>
        </w:p>
        <w:p w14:paraId="20DCEA20" w14:textId="4A98388B" w:rsidR="00BC2E60" w:rsidRPr="001E48AC" w:rsidRDefault="00DF4077">
          <w:pPr>
            <w:pStyle w:val="TOC3"/>
            <w:rPr>
              <w:rFonts w:asciiTheme="minorHAnsi" w:eastAsiaTheme="minorEastAsia" w:hAnsiTheme="minorHAnsi"/>
              <w:noProof/>
              <w:sz w:val="22"/>
              <w:lang w:eastAsia="lv-LV"/>
            </w:rPr>
          </w:pPr>
          <w:hyperlink w:anchor="_Toc482711533" w:history="1">
            <w:r w:rsidR="00BC2E60" w:rsidRPr="001E48AC">
              <w:rPr>
                <w:rStyle w:val="Hyperlink"/>
                <w:noProof/>
                <w:color w:val="auto"/>
              </w:rPr>
              <w:t>3.1.9. Uzskaite un rēķinu izrakstīšana</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_Toc482711533 \h </w:instrText>
            </w:r>
            <w:r w:rsidR="00BC2E60" w:rsidRPr="001E48AC">
              <w:rPr>
                <w:noProof/>
                <w:webHidden/>
              </w:rPr>
            </w:r>
            <w:r w:rsidR="00BC2E60" w:rsidRPr="001E48AC">
              <w:rPr>
                <w:noProof/>
                <w:webHidden/>
              </w:rPr>
              <w:fldChar w:fldCharType="separate"/>
            </w:r>
            <w:r w:rsidR="00BC2E60" w:rsidRPr="001E48AC">
              <w:rPr>
                <w:noProof/>
                <w:webHidden/>
              </w:rPr>
              <w:t>30</w:t>
            </w:r>
            <w:r w:rsidR="00BC2E60" w:rsidRPr="001E48AC">
              <w:rPr>
                <w:noProof/>
                <w:webHidden/>
              </w:rPr>
              <w:fldChar w:fldCharType="end"/>
            </w:r>
          </w:hyperlink>
        </w:p>
        <w:p w14:paraId="560E800D" w14:textId="170D6DFB" w:rsidR="00BC2E60" w:rsidRPr="001E48AC" w:rsidRDefault="00DF4077">
          <w:pPr>
            <w:pStyle w:val="TOC3"/>
            <w:rPr>
              <w:rFonts w:asciiTheme="minorHAnsi" w:eastAsiaTheme="minorEastAsia" w:hAnsiTheme="minorHAnsi"/>
              <w:noProof/>
              <w:sz w:val="22"/>
              <w:lang w:eastAsia="lv-LV"/>
            </w:rPr>
          </w:pPr>
          <w:hyperlink w:anchor="_Toc482711534" w:history="1">
            <w:r w:rsidR="00BC2E60" w:rsidRPr="001E48AC">
              <w:rPr>
                <w:rStyle w:val="Hyperlink"/>
                <w:noProof/>
                <w:color w:val="auto"/>
              </w:rPr>
              <w:t>3.1.10. Kvalifikācijas, akreditācijas un sertifikācijas sistēmu pieejamība</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_Toc482711534 \h </w:instrText>
            </w:r>
            <w:r w:rsidR="00BC2E60" w:rsidRPr="001E48AC">
              <w:rPr>
                <w:noProof/>
                <w:webHidden/>
              </w:rPr>
            </w:r>
            <w:r w:rsidR="00BC2E60" w:rsidRPr="001E48AC">
              <w:rPr>
                <w:noProof/>
                <w:webHidden/>
              </w:rPr>
              <w:fldChar w:fldCharType="separate"/>
            </w:r>
            <w:r w:rsidR="00BC2E60" w:rsidRPr="001E48AC">
              <w:rPr>
                <w:noProof/>
                <w:webHidden/>
              </w:rPr>
              <w:t>32</w:t>
            </w:r>
            <w:r w:rsidR="00BC2E60" w:rsidRPr="001E48AC">
              <w:rPr>
                <w:noProof/>
                <w:webHidden/>
              </w:rPr>
              <w:fldChar w:fldCharType="end"/>
            </w:r>
          </w:hyperlink>
        </w:p>
        <w:p w14:paraId="055355EE" w14:textId="7019E47F" w:rsidR="00BC2E60" w:rsidRPr="001E48AC" w:rsidRDefault="00DF4077">
          <w:pPr>
            <w:pStyle w:val="TOC3"/>
            <w:rPr>
              <w:rFonts w:asciiTheme="minorHAnsi" w:eastAsiaTheme="minorEastAsia" w:hAnsiTheme="minorHAnsi"/>
              <w:noProof/>
              <w:sz w:val="22"/>
              <w:lang w:eastAsia="lv-LV"/>
            </w:rPr>
          </w:pPr>
          <w:hyperlink w:anchor="_Toc482711535" w:history="1">
            <w:r w:rsidR="00BC2E60" w:rsidRPr="001E48AC">
              <w:rPr>
                <w:rStyle w:val="Hyperlink"/>
                <w:noProof/>
                <w:color w:val="auto"/>
              </w:rPr>
              <w:t>3.1.11. Energopakalpojumi</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_Toc482711535 \h </w:instrText>
            </w:r>
            <w:r w:rsidR="00BC2E60" w:rsidRPr="001E48AC">
              <w:rPr>
                <w:noProof/>
                <w:webHidden/>
              </w:rPr>
            </w:r>
            <w:r w:rsidR="00BC2E60" w:rsidRPr="001E48AC">
              <w:rPr>
                <w:noProof/>
                <w:webHidden/>
              </w:rPr>
              <w:fldChar w:fldCharType="separate"/>
            </w:r>
            <w:r w:rsidR="00BC2E60" w:rsidRPr="001E48AC">
              <w:rPr>
                <w:noProof/>
                <w:webHidden/>
              </w:rPr>
              <w:t>33</w:t>
            </w:r>
            <w:r w:rsidR="00BC2E60" w:rsidRPr="001E48AC">
              <w:rPr>
                <w:noProof/>
                <w:webHidden/>
              </w:rPr>
              <w:fldChar w:fldCharType="end"/>
            </w:r>
          </w:hyperlink>
        </w:p>
        <w:p w14:paraId="691451D1" w14:textId="5C527F90" w:rsidR="00BC2E60" w:rsidRPr="001E48AC" w:rsidRDefault="00DF4077">
          <w:pPr>
            <w:pStyle w:val="TOC3"/>
            <w:rPr>
              <w:rFonts w:asciiTheme="minorHAnsi" w:eastAsiaTheme="minorEastAsia" w:hAnsiTheme="minorHAnsi"/>
              <w:noProof/>
              <w:sz w:val="22"/>
              <w:lang w:eastAsia="lv-LV"/>
            </w:rPr>
          </w:pPr>
          <w:hyperlink w:anchor="_Toc482711536" w:history="1">
            <w:r w:rsidR="00BC2E60" w:rsidRPr="001E48AC">
              <w:rPr>
                <w:rStyle w:val="Hyperlink"/>
                <w:noProof/>
                <w:color w:val="auto"/>
              </w:rPr>
              <w:t>3.1.12. Valsts energoefektivitātes fonds</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_Toc482711536 \h </w:instrText>
            </w:r>
            <w:r w:rsidR="00BC2E60" w:rsidRPr="001E48AC">
              <w:rPr>
                <w:noProof/>
                <w:webHidden/>
              </w:rPr>
            </w:r>
            <w:r w:rsidR="00BC2E60" w:rsidRPr="001E48AC">
              <w:rPr>
                <w:noProof/>
                <w:webHidden/>
              </w:rPr>
              <w:fldChar w:fldCharType="separate"/>
            </w:r>
            <w:r w:rsidR="00BC2E60" w:rsidRPr="001E48AC">
              <w:rPr>
                <w:noProof/>
                <w:webHidden/>
              </w:rPr>
              <w:t>34</w:t>
            </w:r>
            <w:r w:rsidR="00BC2E60" w:rsidRPr="001E48AC">
              <w:rPr>
                <w:noProof/>
                <w:webHidden/>
              </w:rPr>
              <w:fldChar w:fldCharType="end"/>
            </w:r>
          </w:hyperlink>
        </w:p>
        <w:p w14:paraId="4B93AE45" w14:textId="1E7CD706" w:rsidR="00BC2E60" w:rsidRPr="001E48AC" w:rsidRDefault="00DF4077">
          <w:pPr>
            <w:pStyle w:val="TOC2"/>
            <w:rPr>
              <w:rFonts w:asciiTheme="minorHAnsi" w:eastAsiaTheme="minorEastAsia" w:hAnsiTheme="minorHAnsi"/>
              <w:noProof/>
              <w:sz w:val="22"/>
              <w:lang w:eastAsia="lv-LV"/>
            </w:rPr>
          </w:pPr>
          <w:hyperlink w:anchor="_Toc482711537" w:history="1">
            <w:r w:rsidR="00BC2E60" w:rsidRPr="001E48AC">
              <w:rPr>
                <w:rStyle w:val="Hyperlink"/>
                <w:noProof/>
                <w:color w:val="auto"/>
              </w:rPr>
              <w:t>3.2. Ēku energoefektivitāte</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_Toc482711537 \h </w:instrText>
            </w:r>
            <w:r w:rsidR="00BC2E60" w:rsidRPr="001E48AC">
              <w:rPr>
                <w:noProof/>
                <w:webHidden/>
              </w:rPr>
            </w:r>
            <w:r w:rsidR="00BC2E60" w:rsidRPr="001E48AC">
              <w:rPr>
                <w:noProof/>
                <w:webHidden/>
              </w:rPr>
              <w:fldChar w:fldCharType="separate"/>
            </w:r>
            <w:r w:rsidR="00BC2E60" w:rsidRPr="001E48AC">
              <w:rPr>
                <w:noProof/>
                <w:webHidden/>
              </w:rPr>
              <w:t>35</w:t>
            </w:r>
            <w:r w:rsidR="00BC2E60" w:rsidRPr="001E48AC">
              <w:rPr>
                <w:noProof/>
                <w:webHidden/>
              </w:rPr>
              <w:fldChar w:fldCharType="end"/>
            </w:r>
          </w:hyperlink>
        </w:p>
        <w:p w14:paraId="7B9163C1" w14:textId="2A17F03C" w:rsidR="00BC2E60" w:rsidRPr="001E48AC" w:rsidRDefault="00DF4077">
          <w:pPr>
            <w:pStyle w:val="TOC3"/>
            <w:rPr>
              <w:rFonts w:asciiTheme="minorHAnsi" w:eastAsiaTheme="minorEastAsia" w:hAnsiTheme="minorHAnsi"/>
              <w:noProof/>
              <w:sz w:val="22"/>
              <w:lang w:eastAsia="lv-LV"/>
            </w:rPr>
          </w:pPr>
          <w:hyperlink w:anchor="_Toc482711538" w:history="1">
            <w:r w:rsidR="00BC2E60" w:rsidRPr="001E48AC">
              <w:rPr>
                <w:rStyle w:val="Hyperlink"/>
                <w:noProof/>
                <w:color w:val="auto"/>
              </w:rPr>
              <w:t>3.2.1. ES fondu finansējums ēku atjaunošanai</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_Toc482711538 \h </w:instrText>
            </w:r>
            <w:r w:rsidR="00BC2E60" w:rsidRPr="001E48AC">
              <w:rPr>
                <w:noProof/>
                <w:webHidden/>
              </w:rPr>
            </w:r>
            <w:r w:rsidR="00BC2E60" w:rsidRPr="001E48AC">
              <w:rPr>
                <w:noProof/>
                <w:webHidden/>
              </w:rPr>
              <w:fldChar w:fldCharType="separate"/>
            </w:r>
            <w:r w:rsidR="00BC2E60" w:rsidRPr="001E48AC">
              <w:rPr>
                <w:noProof/>
                <w:webHidden/>
              </w:rPr>
              <w:t>35</w:t>
            </w:r>
            <w:r w:rsidR="00BC2E60" w:rsidRPr="001E48AC">
              <w:rPr>
                <w:noProof/>
                <w:webHidden/>
              </w:rPr>
              <w:fldChar w:fldCharType="end"/>
            </w:r>
          </w:hyperlink>
        </w:p>
        <w:p w14:paraId="13ACE963" w14:textId="15EC9838" w:rsidR="00BC2E60" w:rsidRPr="001E48AC" w:rsidRDefault="00DF4077">
          <w:pPr>
            <w:pStyle w:val="TOC3"/>
            <w:rPr>
              <w:rFonts w:asciiTheme="minorHAnsi" w:eastAsiaTheme="minorEastAsia" w:hAnsiTheme="minorHAnsi"/>
              <w:noProof/>
              <w:sz w:val="22"/>
              <w:lang w:eastAsia="lv-LV"/>
            </w:rPr>
          </w:pPr>
          <w:hyperlink w:anchor="_Toc482711539" w:history="1">
            <w:r w:rsidR="00BC2E60" w:rsidRPr="001E48AC">
              <w:rPr>
                <w:rStyle w:val="Hyperlink"/>
                <w:noProof/>
                <w:color w:val="auto"/>
              </w:rPr>
              <w:t>3.2.2. Citi pasākumi energoefektivitātes veicināšanai būvniecības nozarē</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_Toc482711539 \h </w:instrText>
            </w:r>
            <w:r w:rsidR="00BC2E60" w:rsidRPr="001E48AC">
              <w:rPr>
                <w:noProof/>
                <w:webHidden/>
              </w:rPr>
            </w:r>
            <w:r w:rsidR="00BC2E60" w:rsidRPr="001E48AC">
              <w:rPr>
                <w:noProof/>
                <w:webHidden/>
              </w:rPr>
              <w:fldChar w:fldCharType="separate"/>
            </w:r>
            <w:r w:rsidR="00BC2E60" w:rsidRPr="001E48AC">
              <w:rPr>
                <w:noProof/>
                <w:webHidden/>
              </w:rPr>
              <w:t>37</w:t>
            </w:r>
            <w:r w:rsidR="00BC2E60" w:rsidRPr="001E48AC">
              <w:rPr>
                <w:noProof/>
                <w:webHidden/>
              </w:rPr>
              <w:fldChar w:fldCharType="end"/>
            </w:r>
          </w:hyperlink>
        </w:p>
        <w:p w14:paraId="6B82419F" w14:textId="4B3F2FFA" w:rsidR="00BC2E60" w:rsidRPr="001E48AC" w:rsidRDefault="00DF4077">
          <w:pPr>
            <w:pStyle w:val="TOC2"/>
            <w:rPr>
              <w:rFonts w:asciiTheme="minorHAnsi" w:eastAsiaTheme="minorEastAsia" w:hAnsiTheme="minorHAnsi"/>
              <w:noProof/>
              <w:sz w:val="22"/>
              <w:lang w:eastAsia="lv-LV"/>
            </w:rPr>
          </w:pPr>
          <w:hyperlink w:anchor="_Toc482711540" w:history="1">
            <w:r w:rsidR="00BC2E60" w:rsidRPr="001E48AC">
              <w:rPr>
                <w:rStyle w:val="Hyperlink"/>
                <w:noProof/>
                <w:color w:val="auto"/>
              </w:rPr>
              <w:t>3.3. Publisko struktūru ēku energoefektivitāte</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_Toc482711540 \h </w:instrText>
            </w:r>
            <w:r w:rsidR="00BC2E60" w:rsidRPr="001E48AC">
              <w:rPr>
                <w:noProof/>
                <w:webHidden/>
              </w:rPr>
            </w:r>
            <w:r w:rsidR="00BC2E60" w:rsidRPr="001E48AC">
              <w:rPr>
                <w:noProof/>
                <w:webHidden/>
              </w:rPr>
              <w:fldChar w:fldCharType="separate"/>
            </w:r>
            <w:r w:rsidR="00BC2E60" w:rsidRPr="001E48AC">
              <w:rPr>
                <w:noProof/>
                <w:webHidden/>
              </w:rPr>
              <w:t>38</w:t>
            </w:r>
            <w:r w:rsidR="00BC2E60" w:rsidRPr="001E48AC">
              <w:rPr>
                <w:noProof/>
                <w:webHidden/>
              </w:rPr>
              <w:fldChar w:fldCharType="end"/>
            </w:r>
          </w:hyperlink>
        </w:p>
        <w:p w14:paraId="7F1C559D" w14:textId="6F62CF8E" w:rsidR="00BC2E60" w:rsidRPr="001E48AC" w:rsidRDefault="00DF4077">
          <w:pPr>
            <w:pStyle w:val="TOC3"/>
            <w:rPr>
              <w:rFonts w:asciiTheme="minorHAnsi" w:eastAsiaTheme="minorEastAsia" w:hAnsiTheme="minorHAnsi"/>
              <w:noProof/>
              <w:sz w:val="22"/>
              <w:lang w:eastAsia="lv-LV"/>
            </w:rPr>
          </w:pPr>
          <w:hyperlink w:anchor="_Toc482711541" w:history="1">
            <w:r w:rsidR="00BC2E60" w:rsidRPr="001E48AC">
              <w:rPr>
                <w:rStyle w:val="Hyperlink"/>
                <w:noProof/>
                <w:color w:val="auto"/>
              </w:rPr>
              <w:t>3.3.1. Valsts sektora ēku energoefektivitāte</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_Toc482711541 \h </w:instrText>
            </w:r>
            <w:r w:rsidR="00BC2E60" w:rsidRPr="001E48AC">
              <w:rPr>
                <w:noProof/>
                <w:webHidden/>
              </w:rPr>
            </w:r>
            <w:r w:rsidR="00BC2E60" w:rsidRPr="001E48AC">
              <w:rPr>
                <w:noProof/>
                <w:webHidden/>
              </w:rPr>
              <w:fldChar w:fldCharType="separate"/>
            </w:r>
            <w:r w:rsidR="00BC2E60" w:rsidRPr="001E48AC">
              <w:rPr>
                <w:noProof/>
                <w:webHidden/>
              </w:rPr>
              <w:t>38</w:t>
            </w:r>
            <w:r w:rsidR="00BC2E60" w:rsidRPr="001E48AC">
              <w:rPr>
                <w:noProof/>
                <w:webHidden/>
              </w:rPr>
              <w:fldChar w:fldCharType="end"/>
            </w:r>
          </w:hyperlink>
        </w:p>
        <w:p w14:paraId="7D0D54C1" w14:textId="06F658E9" w:rsidR="00BC2E60" w:rsidRPr="001E48AC" w:rsidRDefault="00DF4077">
          <w:pPr>
            <w:pStyle w:val="TOC3"/>
            <w:rPr>
              <w:rFonts w:asciiTheme="minorHAnsi" w:eastAsiaTheme="minorEastAsia" w:hAnsiTheme="minorHAnsi"/>
              <w:noProof/>
              <w:sz w:val="22"/>
              <w:lang w:eastAsia="lv-LV"/>
            </w:rPr>
          </w:pPr>
          <w:hyperlink w:anchor="_Toc482711542" w:history="1">
            <w:r w:rsidR="00BC2E60" w:rsidRPr="001E48AC">
              <w:rPr>
                <w:rStyle w:val="Hyperlink"/>
                <w:noProof/>
                <w:color w:val="auto"/>
              </w:rPr>
              <w:t>3.3.2. Citu publisko struktūru ēku energoefektivitāte</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_Toc482711542 \h </w:instrText>
            </w:r>
            <w:r w:rsidR="00BC2E60" w:rsidRPr="001E48AC">
              <w:rPr>
                <w:noProof/>
                <w:webHidden/>
              </w:rPr>
            </w:r>
            <w:r w:rsidR="00BC2E60" w:rsidRPr="001E48AC">
              <w:rPr>
                <w:noProof/>
                <w:webHidden/>
              </w:rPr>
              <w:fldChar w:fldCharType="separate"/>
            </w:r>
            <w:r w:rsidR="00BC2E60" w:rsidRPr="001E48AC">
              <w:rPr>
                <w:noProof/>
                <w:webHidden/>
              </w:rPr>
              <w:t>39</w:t>
            </w:r>
            <w:r w:rsidR="00BC2E60" w:rsidRPr="001E48AC">
              <w:rPr>
                <w:noProof/>
                <w:webHidden/>
              </w:rPr>
              <w:fldChar w:fldCharType="end"/>
            </w:r>
          </w:hyperlink>
        </w:p>
        <w:p w14:paraId="03795F89" w14:textId="306C6F70" w:rsidR="00BC2E60" w:rsidRPr="001E48AC" w:rsidRDefault="00DF4077">
          <w:pPr>
            <w:pStyle w:val="TOC2"/>
            <w:rPr>
              <w:rFonts w:asciiTheme="minorHAnsi" w:eastAsiaTheme="minorEastAsia" w:hAnsiTheme="minorHAnsi"/>
              <w:noProof/>
              <w:sz w:val="22"/>
              <w:lang w:eastAsia="lv-LV"/>
            </w:rPr>
          </w:pPr>
          <w:hyperlink w:anchor="_Toc482711543" w:history="1">
            <w:r w:rsidR="00BC2E60" w:rsidRPr="001E48AC">
              <w:rPr>
                <w:rStyle w:val="Hyperlink"/>
                <w:noProof/>
                <w:color w:val="auto"/>
              </w:rPr>
              <w:t>3.4. Publisko struktūru iepirkumi</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_Toc482711543 \h </w:instrText>
            </w:r>
            <w:r w:rsidR="00BC2E60" w:rsidRPr="001E48AC">
              <w:rPr>
                <w:noProof/>
                <w:webHidden/>
              </w:rPr>
            </w:r>
            <w:r w:rsidR="00BC2E60" w:rsidRPr="001E48AC">
              <w:rPr>
                <w:noProof/>
                <w:webHidden/>
              </w:rPr>
              <w:fldChar w:fldCharType="separate"/>
            </w:r>
            <w:r w:rsidR="00BC2E60" w:rsidRPr="001E48AC">
              <w:rPr>
                <w:noProof/>
                <w:webHidden/>
              </w:rPr>
              <w:t>39</w:t>
            </w:r>
            <w:r w:rsidR="00BC2E60" w:rsidRPr="001E48AC">
              <w:rPr>
                <w:noProof/>
                <w:webHidden/>
              </w:rPr>
              <w:fldChar w:fldCharType="end"/>
            </w:r>
          </w:hyperlink>
        </w:p>
        <w:p w14:paraId="6252C224" w14:textId="22B59F85" w:rsidR="00BC2E60" w:rsidRPr="001E48AC" w:rsidRDefault="00DF4077">
          <w:pPr>
            <w:pStyle w:val="TOC2"/>
            <w:rPr>
              <w:rFonts w:asciiTheme="minorHAnsi" w:eastAsiaTheme="minorEastAsia" w:hAnsiTheme="minorHAnsi"/>
              <w:noProof/>
              <w:sz w:val="22"/>
              <w:lang w:eastAsia="lv-LV"/>
            </w:rPr>
          </w:pPr>
          <w:hyperlink w:anchor="_Toc482711544" w:history="1">
            <w:r w:rsidR="00BC2E60" w:rsidRPr="001E48AC">
              <w:rPr>
                <w:rStyle w:val="Hyperlink"/>
                <w:noProof/>
                <w:color w:val="auto"/>
              </w:rPr>
              <w:t>3.5. Enerģijas galapatēriņa efektivitātes pasākumi transportā</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_Toc482711544 \h </w:instrText>
            </w:r>
            <w:r w:rsidR="00BC2E60" w:rsidRPr="001E48AC">
              <w:rPr>
                <w:noProof/>
                <w:webHidden/>
              </w:rPr>
            </w:r>
            <w:r w:rsidR="00BC2E60" w:rsidRPr="001E48AC">
              <w:rPr>
                <w:noProof/>
                <w:webHidden/>
              </w:rPr>
              <w:fldChar w:fldCharType="separate"/>
            </w:r>
            <w:r w:rsidR="00BC2E60" w:rsidRPr="001E48AC">
              <w:rPr>
                <w:noProof/>
                <w:webHidden/>
              </w:rPr>
              <w:t>41</w:t>
            </w:r>
            <w:r w:rsidR="00BC2E60" w:rsidRPr="001E48AC">
              <w:rPr>
                <w:noProof/>
                <w:webHidden/>
              </w:rPr>
              <w:fldChar w:fldCharType="end"/>
            </w:r>
          </w:hyperlink>
        </w:p>
        <w:p w14:paraId="1BEEC1D6" w14:textId="4C617F40" w:rsidR="00BC2E60" w:rsidRPr="001E48AC" w:rsidRDefault="00DF4077">
          <w:pPr>
            <w:pStyle w:val="TOC2"/>
            <w:rPr>
              <w:rFonts w:asciiTheme="minorHAnsi" w:eastAsiaTheme="minorEastAsia" w:hAnsiTheme="minorHAnsi"/>
              <w:noProof/>
              <w:sz w:val="22"/>
              <w:lang w:eastAsia="lv-LV"/>
            </w:rPr>
          </w:pPr>
          <w:hyperlink w:anchor="_Toc482711545" w:history="1">
            <w:r w:rsidR="00BC2E60" w:rsidRPr="001E48AC">
              <w:rPr>
                <w:rStyle w:val="Hyperlink"/>
                <w:noProof/>
                <w:color w:val="auto"/>
              </w:rPr>
              <w:t>3.6. Efektīvas apsildes un dzesēšanas veicināšana</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_Toc482711545 \h </w:instrText>
            </w:r>
            <w:r w:rsidR="00BC2E60" w:rsidRPr="001E48AC">
              <w:rPr>
                <w:noProof/>
                <w:webHidden/>
              </w:rPr>
            </w:r>
            <w:r w:rsidR="00BC2E60" w:rsidRPr="001E48AC">
              <w:rPr>
                <w:noProof/>
                <w:webHidden/>
              </w:rPr>
              <w:fldChar w:fldCharType="separate"/>
            </w:r>
            <w:r w:rsidR="00BC2E60" w:rsidRPr="001E48AC">
              <w:rPr>
                <w:noProof/>
                <w:webHidden/>
              </w:rPr>
              <w:t>42</w:t>
            </w:r>
            <w:r w:rsidR="00BC2E60" w:rsidRPr="001E48AC">
              <w:rPr>
                <w:noProof/>
                <w:webHidden/>
              </w:rPr>
              <w:fldChar w:fldCharType="end"/>
            </w:r>
          </w:hyperlink>
        </w:p>
        <w:p w14:paraId="318EF1A8" w14:textId="2CDFECB0" w:rsidR="00BC2E60" w:rsidRPr="001E48AC" w:rsidRDefault="00DF4077">
          <w:pPr>
            <w:pStyle w:val="TOC3"/>
            <w:rPr>
              <w:rFonts w:asciiTheme="minorHAnsi" w:eastAsiaTheme="minorEastAsia" w:hAnsiTheme="minorHAnsi"/>
              <w:noProof/>
              <w:sz w:val="22"/>
              <w:lang w:eastAsia="lv-LV"/>
            </w:rPr>
          </w:pPr>
          <w:hyperlink w:anchor="_Toc482711546" w:history="1">
            <w:r w:rsidR="00BC2E60" w:rsidRPr="001E48AC">
              <w:rPr>
                <w:rStyle w:val="Hyperlink"/>
                <w:noProof/>
                <w:color w:val="auto"/>
              </w:rPr>
              <w:t>3.6.1. Visaptverošs novērtējums</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_Toc482711546 \h </w:instrText>
            </w:r>
            <w:r w:rsidR="00BC2E60" w:rsidRPr="001E48AC">
              <w:rPr>
                <w:noProof/>
                <w:webHidden/>
              </w:rPr>
            </w:r>
            <w:r w:rsidR="00BC2E60" w:rsidRPr="001E48AC">
              <w:rPr>
                <w:noProof/>
                <w:webHidden/>
              </w:rPr>
              <w:fldChar w:fldCharType="separate"/>
            </w:r>
            <w:r w:rsidR="00BC2E60" w:rsidRPr="001E48AC">
              <w:rPr>
                <w:noProof/>
                <w:webHidden/>
              </w:rPr>
              <w:t>42</w:t>
            </w:r>
            <w:r w:rsidR="00BC2E60" w:rsidRPr="001E48AC">
              <w:rPr>
                <w:noProof/>
                <w:webHidden/>
              </w:rPr>
              <w:fldChar w:fldCharType="end"/>
            </w:r>
          </w:hyperlink>
        </w:p>
        <w:p w14:paraId="53D97560" w14:textId="6729B926" w:rsidR="00BC2E60" w:rsidRPr="001E48AC" w:rsidRDefault="00DF4077">
          <w:pPr>
            <w:pStyle w:val="TOC3"/>
            <w:rPr>
              <w:rFonts w:asciiTheme="minorHAnsi" w:eastAsiaTheme="minorEastAsia" w:hAnsiTheme="minorHAnsi"/>
              <w:noProof/>
              <w:sz w:val="22"/>
              <w:lang w:eastAsia="lv-LV"/>
            </w:rPr>
          </w:pPr>
          <w:hyperlink w:anchor="_Toc482711547" w:history="1">
            <w:r w:rsidR="00BC2E60" w:rsidRPr="001E48AC">
              <w:rPr>
                <w:rStyle w:val="Hyperlink"/>
                <w:noProof/>
                <w:color w:val="auto"/>
              </w:rPr>
              <w:t>3.6.2. Citi pasākumi apsildīšanas un dzesēšanas efektivitātes veicināšanai</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_Toc482711547 \h </w:instrText>
            </w:r>
            <w:r w:rsidR="00BC2E60" w:rsidRPr="001E48AC">
              <w:rPr>
                <w:noProof/>
                <w:webHidden/>
              </w:rPr>
            </w:r>
            <w:r w:rsidR="00BC2E60" w:rsidRPr="001E48AC">
              <w:rPr>
                <w:noProof/>
                <w:webHidden/>
              </w:rPr>
              <w:fldChar w:fldCharType="separate"/>
            </w:r>
            <w:r w:rsidR="00BC2E60" w:rsidRPr="001E48AC">
              <w:rPr>
                <w:noProof/>
                <w:webHidden/>
              </w:rPr>
              <w:t>44</w:t>
            </w:r>
            <w:r w:rsidR="00BC2E60" w:rsidRPr="001E48AC">
              <w:rPr>
                <w:noProof/>
                <w:webHidden/>
              </w:rPr>
              <w:fldChar w:fldCharType="end"/>
            </w:r>
          </w:hyperlink>
        </w:p>
        <w:p w14:paraId="5878B851" w14:textId="145DF4EA" w:rsidR="00BC2E60" w:rsidRPr="001E48AC" w:rsidRDefault="00DF4077">
          <w:pPr>
            <w:pStyle w:val="TOC2"/>
            <w:rPr>
              <w:rFonts w:asciiTheme="minorHAnsi" w:eastAsiaTheme="minorEastAsia" w:hAnsiTheme="minorHAnsi"/>
              <w:noProof/>
              <w:sz w:val="22"/>
              <w:lang w:eastAsia="lv-LV"/>
            </w:rPr>
          </w:pPr>
          <w:hyperlink w:anchor="_Toc482711548" w:history="1">
            <w:r w:rsidR="00BC2E60" w:rsidRPr="001E48AC">
              <w:rPr>
                <w:rStyle w:val="Hyperlink"/>
                <w:noProof/>
                <w:color w:val="auto"/>
              </w:rPr>
              <w:t>3.7. Enerģijas pārveide, pārvade, sadale un pieprasījuma reakcija</w:t>
            </w:r>
            <w:r w:rsidR="00BC2E60" w:rsidRPr="001E48AC">
              <w:rPr>
                <w:noProof/>
                <w:webHidden/>
              </w:rPr>
              <w:tab/>
            </w:r>
            <w:r w:rsidR="00BC2E60" w:rsidRPr="001E48AC">
              <w:rPr>
                <w:noProof/>
                <w:webHidden/>
              </w:rPr>
              <w:fldChar w:fldCharType="begin"/>
            </w:r>
            <w:r w:rsidR="00BC2E60" w:rsidRPr="001E48AC">
              <w:rPr>
                <w:noProof/>
                <w:webHidden/>
              </w:rPr>
              <w:instrText xml:space="preserve"> PAGEREF _Toc482711548 \h </w:instrText>
            </w:r>
            <w:r w:rsidR="00BC2E60" w:rsidRPr="001E48AC">
              <w:rPr>
                <w:noProof/>
                <w:webHidden/>
              </w:rPr>
            </w:r>
            <w:r w:rsidR="00BC2E60" w:rsidRPr="001E48AC">
              <w:rPr>
                <w:noProof/>
                <w:webHidden/>
              </w:rPr>
              <w:fldChar w:fldCharType="separate"/>
            </w:r>
            <w:r w:rsidR="00BC2E60" w:rsidRPr="001E48AC">
              <w:rPr>
                <w:noProof/>
                <w:webHidden/>
              </w:rPr>
              <w:t>44</w:t>
            </w:r>
            <w:r w:rsidR="00BC2E60" w:rsidRPr="001E48AC">
              <w:rPr>
                <w:noProof/>
                <w:webHidden/>
              </w:rPr>
              <w:fldChar w:fldCharType="end"/>
            </w:r>
          </w:hyperlink>
        </w:p>
        <w:p w14:paraId="048EA796" w14:textId="552E1F52" w:rsidR="00994124" w:rsidRPr="001E48AC" w:rsidRDefault="00AC26F7">
          <w:pPr>
            <w:rPr>
              <w:rFonts w:cs="Times New Roman"/>
            </w:rPr>
          </w:pPr>
          <w:r w:rsidRPr="001E48AC">
            <w:rPr>
              <w:rFonts w:cs="Times New Roman"/>
              <w:b/>
              <w:bCs/>
              <w:sz w:val="24"/>
            </w:rPr>
            <w:fldChar w:fldCharType="end"/>
          </w:r>
        </w:p>
      </w:sdtContent>
    </w:sdt>
    <w:p w14:paraId="6FBFDAC3" w14:textId="091B82DB" w:rsidR="001D2C6E" w:rsidRPr="001E48AC" w:rsidRDefault="001D2C6E">
      <w:pPr>
        <w:rPr>
          <w:rFonts w:cs="Times New Roman"/>
          <w:sz w:val="24"/>
          <w:szCs w:val="24"/>
        </w:rPr>
      </w:pPr>
      <w:r w:rsidRPr="001E48AC">
        <w:rPr>
          <w:rFonts w:cs="Times New Roman"/>
          <w:sz w:val="24"/>
          <w:szCs w:val="24"/>
        </w:rPr>
        <w:br w:type="page"/>
      </w:r>
    </w:p>
    <w:p w14:paraId="0A4D489A" w14:textId="17F6AE1F" w:rsidR="00982E6A" w:rsidRPr="001E48AC" w:rsidRDefault="001D2C6E" w:rsidP="00982E6A">
      <w:pPr>
        <w:jc w:val="center"/>
        <w:rPr>
          <w:rFonts w:cs="Times New Roman"/>
          <w:b/>
          <w:sz w:val="24"/>
          <w:szCs w:val="24"/>
        </w:rPr>
      </w:pPr>
      <w:r w:rsidRPr="001E48AC">
        <w:rPr>
          <w:rFonts w:cs="Times New Roman"/>
          <w:b/>
          <w:szCs w:val="24"/>
        </w:rPr>
        <w:lastRenderedPageBreak/>
        <w:t>Abreviatūru</w:t>
      </w:r>
      <w:r w:rsidR="00982E6A" w:rsidRPr="001E48AC">
        <w:rPr>
          <w:rFonts w:cs="Times New Roman"/>
          <w:b/>
          <w:szCs w:val="24"/>
        </w:rPr>
        <w:t xml:space="preserve"> saraksts</w:t>
      </w:r>
      <w:r w:rsidR="00C535C2" w:rsidRPr="001E48AC">
        <w:rPr>
          <w:rFonts w:cs="Times New Roman"/>
          <w:b/>
          <w:szCs w:val="24"/>
        </w:rPr>
        <w:t>,</w:t>
      </w:r>
      <w:r w:rsidR="00982E6A" w:rsidRPr="001E48AC">
        <w:rPr>
          <w:rFonts w:cs="Times New Roman"/>
          <w:b/>
          <w:szCs w:val="24"/>
        </w:rPr>
        <w:t xml:space="preserve"> saīsinājumi</w:t>
      </w:r>
      <w:r w:rsidR="00C535C2" w:rsidRPr="001E48AC">
        <w:rPr>
          <w:rFonts w:cs="Times New Roman"/>
          <w:b/>
          <w:szCs w:val="24"/>
        </w:rPr>
        <w:t xml:space="preserve"> un terminu skaidrojumi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7552"/>
      </w:tblGrid>
      <w:tr w:rsidR="00683510" w:rsidRPr="001E48AC" w14:paraId="4D4774EA" w14:textId="77777777" w:rsidTr="00B329F1">
        <w:tc>
          <w:tcPr>
            <w:tcW w:w="1464" w:type="dxa"/>
          </w:tcPr>
          <w:p w14:paraId="06E63DCC" w14:textId="77777777" w:rsidR="00683510" w:rsidRPr="001E48AC" w:rsidRDefault="00483156" w:rsidP="00C138E2">
            <w:pPr>
              <w:spacing w:before="120" w:after="120" w:line="240" w:lineRule="auto"/>
              <w:rPr>
                <w:rFonts w:cs="Times New Roman"/>
                <w:sz w:val="22"/>
              </w:rPr>
            </w:pPr>
            <w:r w:rsidRPr="001E48AC">
              <w:rPr>
                <w:rFonts w:cs="Times New Roman"/>
                <w:sz w:val="22"/>
              </w:rPr>
              <w:t>AER</w:t>
            </w:r>
          </w:p>
        </w:tc>
        <w:tc>
          <w:tcPr>
            <w:tcW w:w="7552" w:type="dxa"/>
          </w:tcPr>
          <w:p w14:paraId="49DD63B8" w14:textId="77777777" w:rsidR="00683510" w:rsidRPr="001E48AC" w:rsidRDefault="00483156" w:rsidP="00483156">
            <w:pPr>
              <w:spacing w:before="120" w:after="120" w:line="240" w:lineRule="auto"/>
              <w:rPr>
                <w:rFonts w:cs="Times New Roman"/>
                <w:sz w:val="22"/>
              </w:rPr>
            </w:pPr>
            <w:r w:rsidRPr="001E48AC">
              <w:rPr>
                <w:rFonts w:cs="Times New Roman"/>
                <w:sz w:val="22"/>
              </w:rPr>
              <w:t>Atjaunojamie energoresursi</w:t>
            </w:r>
          </w:p>
        </w:tc>
      </w:tr>
      <w:tr w:rsidR="00E60A5F" w:rsidRPr="001E48AC" w14:paraId="723FF4A7" w14:textId="77777777" w:rsidTr="00B329F1">
        <w:tc>
          <w:tcPr>
            <w:tcW w:w="1464" w:type="dxa"/>
          </w:tcPr>
          <w:p w14:paraId="495D2480" w14:textId="77777777" w:rsidR="00E60A5F" w:rsidRPr="001E48AC" w:rsidRDefault="00E60A5F" w:rsidP="00C138E2">
            <w:pPr>
              <w:spacing w:before="120" w:after="120" w:line="240" w:lineRule="auto"/>
              <w:rPr>
                <w:rFonts w:cs="Times New Roman"/>
                <w:sz w:val="22"/>
              </w:rPr>
            </w:pPr>
            <w:r w:rsidRPr="001E48AC">
              <w:rPr>
                <w:rFonts w:cs="Times New Roman"/>
                <w:sz w:val="22"/>
              </w:rPr>
              <w:t>bar</w:t>
            </w:r>
          </w:p>
        </w:tc>
        <w:tc>
          <w:tcPr>
            <w:tcW w:w="7552" w:type="dxa"/>
          </w:tcPr>
          <w:p w14:paraId="154E2722" w14:textId="77777777" w:rsidR="00E60A5F" w:rsidRPr="001E48AC" w:rsidRDefault="000A6ED3" w:rsidP="000A6ED3">
            <w:pPr>
              <w:spacing w:before="120" w:after="120" w:line="240" w:lineRule="auto"/>
              <w:rPr>
                <w:rFonts w:cs="Times New Roman"/>
                <w:sz w:val="22"/>
              </w:rPr>
            </w:pPr>
            <w:r w:rsidRPr="001E48AC">
              <w:rPr>
                <w:rFonts w:cs="Times New Roman"/>
                <w:sz w:val="22"/>
              </w:rPr>
              <w:t>Bārs – spiediena mērvienība</w:t>
            </w:r>
          </w:p>
        </w:tc>
      </w:tr>
      <w:tr w:rsidR="00982E6A" w:rsidRPr="001E48AC" w14:paraId="0B5C77BC" w14:textId="77777777" w:rsidTr="00B329F1">
        <w:tc>
          <w:tcPr>
            <w:tcW w:w="1464" w:type="dxa"/>
          </w:tcPr>
          <w:p w14:paraId="1A999871" w14:textId="77777777" w:rsidR="00982E6A" w:rsidRPr="001E48AC" w:rsidRDefault="00982E6A" w:rsidP="00C138E2">
            <w:pPr>
              <w:spacing w:before="120" w:after="120" w:line="240" w:lineRule="auto"/>
              <w:rPr>
                <w:rFonts w:cs="Times New Roman"/>
                <w:sz w:val="22"/>
              </w:rPr>
            </w:pPr>
            <w:r w:rsidRPr="001E48AC">
              <w:rPr>
                <w:rFonts w:cs="Times New Roman"/>
                <w:sz w:val="22"/>
              </w:rPr>
              <w:t xml:space="preserve">CSP </w:t>
            </w:r>
          </w:p>
        </w:tc>
        <w:tc>
          <w:tcPr>
            <w:tcW w:w="7552" w:type="dxa"/>
          </w:tcPr>
          <w:p w14:paraId="1179DE93" w14:textId="77777777" w:rsidR="00982E6A" w:rsidRPr="001E48AC" w:rsidRDefault="00982E6A" w:rsidP="00C138E2">
            <w:pPr>
              <w:spacing w:before="120" w:after="120" w:line="240" w:lineRule="auto"/>
              <w:rPr>
                <w:rFonts w:cs="Times New Roman"/>
                <w:sz w:val="22"/>
              </w:rPr>
            </w:pPr>
            <w:r w:rsidRPr="001E48AC">
              <w:rPr>
                <w:rFonts w:cs="Times New Roman"/>
                <w:sz w:val="22"/>
              </w:rPr>
              <w:t>Centrālā statistikas pārvalde</w:t>
            </w:r>
          </w:p>
        </w:tc>
      </w:tr>
      <w:tr w:rsidR="00AC3F4B" w:rsidRPr="001E48AC" w14:paraId="31C6769D" w14:textId="77777777" w:rsidTr="00B329F1">
        <w:tc>
          <w:tcPr>
            <w:tcW w:w="1464" w:type="dxa"/>
          </w:tcPr>
          <w:p w14:paraId="562F02F4" w14:textId="2AC4BF2E" w:rsidR="00AC3F4B" w:rsidRPr="001E48AC" w:rsidRDefault="00AC3F4B" w:rsidP="00C138E2">
            <w:pPr>
              <w:spacing w:before="120" w:after="120" w:line="240" w:lineRule="auto"/>
              <w:rPr>
                <w:rFonts w:cs="Times New Roman"/>
                <w:sz w:val="22"/>
              </w:rPr>
            </w:pPr>
            <w:r w:rsidRPr="001E48AC">
              <w:rPr>
                <w:rFonts w:cs="Times New Roman"/>
                <w:sz w:val="22"/>
              </w:rPr>
              <w:t>CSA</w:t>
            </w:r>
          </w:p>
        </w:tc>
        <w:tc>
          <w:tcPr>
            <w:tcW w:w="7552" w:type="dxa"/>
          </w:tcPr>
          <w:p w14:paraId="649135B6" w14:textId="4735A382" w:rsidR="00AC3F4B" w:rsidRPr="001E48AC" w:rsidRDefault="00AC3F4B" w:rsidP="00C138E2">
            <w:pPr>
              <w:spacing w:before="120" w:after="120" w:line="240" w:lineRule="auto"/>
              <w:rPr>
                <w:rFonts w:cs="Times New Roman"/>
                <w:sz w:val="22"/>
              </w:rPr>
            </w:pPr>
            <w:r w:rsidRPr="001E48AC">
              <w:rPr>
                <w:rFonts w:cs="Times New Roman"/>
                <w:sz w:val="22"/>
              </w:rPr>
              <w:t>Centralizētā siltumapgāde</w:t>
            </w:r>
          </w:p>
        </w:tc>
      </w:tr>
      <w:tr w:rsidR="00683510" w:rsidRPr="001E48AC" w14:paraId="0E0975FE" w14:textId="77777777" w:rsidTr="00B329F1">
        <w:tc>
          <w:tcPr>
            <w:tcW w:w="1464" w:type="dxa"/>
          </w:tcPr>
          <w:p w14:paraId="756A21F6" w14:textId="77777777" w:rsidR="00683510" w:rsidRPr="001E48AC" w:rsidRDefault="00683510" w:rsidP="00C138E2">
            <w:pPr>
              <w:spacing w:before="120" w:after="120" w:line="240" w:lineRule="auto"/>
              <w:rPr>
                <w:rFonts w:cs="Times New Roman"/>
                <w:sz w:val="22"/>
              </w:rPr>
            </w:pPr>
            <w:r w:rsidRPr="001E48AC">
              <w:rPr>
                <w:rFonts w:cs="Times New Roman"/>
                <w:sz w:val="22"/>
              </w:rPr>
              <w:t>EK</w:t>
            </w:r>
          </w:p>
        </w:tc>
        <w:tc>
          <w:tcPr>
            <w:tcW w:w="7552" w:type="dxa"/>
          </w:tcPr>
          <w:p w14:paraId="03A5E331" w14:textId="77777777" w:rsidR="00683510" w:rsidRPr="001E48AC" w:rsidRDefault="00683510" w:rsidP="00C138E2">
            <w:pPr>
              <w:spacing w:before="120" w:after="120" w:line="240" w:lineRule="auto"/>
              <w:rPr>
                <w:rFonts w:cs="Times New Roman"/>
                <w:sz w:val="22"/>
              </w:rPr>
            </w:pPr>
            <w:r w:rsidRPr="001E48AC">
              <w:rPr>
                <w:rFonts w:cs="Times New Roman"/>
                <w:sz w:val="22"/>
              </w:rPr>
              <w:t>Eiropas Komisija</w:t>
            </w:r>
          </w:p>
        </w:tc>
      </w:tr>
      <w:tr w:rsidR="00982E6A" w:rsidRPr="001E48AC" w14:paraId="21C5DDBC" w14:textId="77777777" w:rsidTr="00B329F1">
        <w:tc>
          <w:tcPr>
            <w:tcW w:w="1464" w:type="dxa"/>
          </w:tcPr>
          <w:p w14:paraId="1C0044AD" w14:textId="77777777" w:rsidR="00982E6A" w:rsidRPr="001E48AC" w:rsidRDefault="00982E6A" w:rsidP="00C138E2">
            <w:pPr>
              <w:spacing w:before="120" w:after="120" w:line="240" w:lineRule="auto"/>
              <w:rPr>
                <w:rFonts w:cs="Times New Roman"/>
                <w:sz w:val="22"/>
              </w:rPr>
            </w:pPr>
            <w:r w:rsidRPr="001E48AC">
              <w:rPr>
                <w:rFonts w:cs="Times New Roman"/>
                <w:sz w:val="22"/>
              </w:rPr>
              <w:t xml:space="preserve">EM </w:t>
            </w:r>
          </w:p>
        </w:tc>
        <w:tc>
          <w:tcPr>
            <w:tcW w:w="7552" w:type="dxa"/>
          </w:tcPr>
          <w:p w14:paraId="51576B8D" w14:textId="77777777" w:rsidR="00982E6A" w:rsidRPr="001E48AC" w:rsidRDefault="00982E6A" w:rsidP="00C138E2">
            <w:pPr>
              <w:spacing w:before="120" w:after="120" w:line="240" w:lineRule="auto"/>
              <w:rPr>
                <w:rFonts w:cs="Times New Roman"/>
                <w:sz w:val="22"/>
              </w:rPr>
            </w:pPr>
            <w:r w:rsidRPr="001E48AC">
              <w:rPr>
                <w:rFonts w:cs="Times New Roman"/>
                <w:sz w:val="22"/>
              </w:rPr>
              <w:t>Ekonomikas ministrija</w:t>
            </w:r>
          </w:p>
        </w:tc>
      </w:tr>
      <w:tr w:rsidR="00E60A5F" w:rsidRPr="001E48AC" w14:paraId="2E3257D9" w14:textId="77777777" w:rsidTr="00B329F1">
        <w:tc>
          <w:tcPr>
            <w:tcW w:w="1464" w:type="dxa"/>
          </w:tcPr>
          <w:p w14:paraId="3ED84326" w14:textId="77777777" w:rsidR="00E60A5F" w:rsidRPr="001E48AC" w:rsidRDefault="00E60A5F" w:rsidP="00C138E2">
            <w:pPr>
              <w:spacing w:before="120" w:after="120" w:line="240" w:lineRule="auto"/>
              <w:rPr>
                <w:rFonts w:cs="Times New Roman"/>
                <w:sz w:val="22"/>
              </w:rPr>
            </w:pPr>
            <w:r w:rsidRPr="001E48AC">
              <w:rPr>
                <w:rFonts w:cs="Times New Roman"/>
                <w:sz w:val="22"/>
              </w:rPr>
              <w:t>EPS</w:t>
            </w:r>
          </w:p>
        </w:tc>
        <w:tc>
          <w:tcPr>
            <w:tcW w:w="7552" w:type="dxa"/>
          </w:tcPr>
          <w:p w14:paraId="0994D815" w14:textId="77777777" w:rsidR="00E60A5F" w:rsidRPr="001E48AC" w:rsidRDefault="000A6ED3" w:rsidP="00C138E2">
            <w:pPr>
              <w:spacing w:before="120" w:after="120" w:line="240" w:lineRule="auto"/>
              <w:rPr>
                <w:rFonts w:cs="Times New Roman"/>
                <w:sz w:val="22"/>
              </w:rPr>
            </w:pPr>
            <w:r w:rsidRPr="001E48AC">
              <w:rPr>
                <w:rFonts w:cs="Times New Roman"/>
                <w:sz w:val="22"/>
              </w:rPr>
              <w:t>Energoefektivitātes pienākuma shēma</w:t>
            </w:r>
          </w:p>
        </w:tc>
      </w:tr>
      <w:tr w:rsidR="00982E6A" w:rsidRPr="001E48AC" w14:paraId="529B1B60" w14:textId="77777777" w:rsidTr="00B329F1">
        <w:tc>
          <w:tcPr>
            <w:tcW w:w="1464" w:type="dxa"/>
          </w:tcPr>
          <w:p w14:paraId="5C60FED7" w14:textId="77777777" w:rsidR="00982E6A" w:rsidRPr="001E48AC" w:rsidRDefault="00982E6A" w:rsidP="00C138E2">
            <w:pPr>
              <w:spacing w:before="120" w:after="120" w:line="240" w:lineRule="auto"/>
              <w:rPr>
                <w:rFonts w:cs="Times New Roman"/>
                <w:sz w:val="22"/>
              </w:rPr>
            </w:pPr>
            <w:r w:rsidRPr="001E48AC">
              <w:rPr>
                <w:rFonts w:cs="Times New Roman"/>
                <w:sz w:val="22"/>
              </w:rPr>
              <w:t>ERAF</w:t>
            </w:r>
          </w:p>
        </w:tc>
        <w:tc>
          <w:tcPr>
            <w:tcW w:w="7552" w:type="dxa"/>
          </w:tcPr>
          <w:p w14:paraId="101D643C" w14:textId="77777777" w:rsidR="00982E6A" w:rsidRPr="001E48AC" w:rsidRDefault="00982E6A" w:rsidP="00C138E2">
            <w:pPr>
              <w:spacing w:before="120" w:after="120" w:line="240" w:lineRule="auto"/>
              <w:rPr>
                <w:rFonts w:cs="Times New Roman"/>
                <w:sz w:val="22"/>
              </w:rPr>
            </w:pPr>
            <w:r w:rsidRPr="001E48AC">
              <w:rPr>
                <w:rFonts w:cs="Times New Roman"/>
                <w:sz w:val="22"/>
              </w:rPr>
              <w:t>Eiropas Reģionālās attīstības fonds</w:t>
            </w:r>
          </w:p>
        </w:tc>
      </w:tr>
      <w:tr w:rsidR="00982E6A" w:rsidRPr="001E48AC" w14:paraId="7CF571C8" w14:textId="77777777" w:rsidTr="00B329F1">
        <w:tc>
          <w:tcPr>
            <w:tcW w:w="1464" w:type="dxa"/>
          </w:tcPr>
          <w:p w14:paraId="237619F4" w14:textId="77777777" w:rsidR="00982E6A" w:rsidRPr="001E48AC" w:rsidRDefault="00982E6A" w:rsidP="00C138E2">
            <w:pPr>
              <w:spacing w:before="120" w:after="120" w:line="240" w:lineRule="auto"/>
              <w:rPr>
                <w:rFonts w:cs="Times New Roman"/>
                <w:sz w:val="22"/>
              </w:rPr>
            </w:pPr>
            <w:r w:rsidRPr="001E48AC">
              <w:rPr>
                <w:rFonts w:cs="Times New Roman"/>
                <w:sz w:val="22"/>
              </w:rPr>
              <w:t xml:space="preserve">ES </w:t>
            </w:r>
          </w:p>
        </w:tc>
        <w:tc>
          <w:tcPr>
            <w:tcW w:w="7552" w:type="dxa"/>
          </w:tcPr>
          <w:p w14:paraId="04CE6496" w14:textId="77777777" w:rsidR="00982E6A" w:rsidRPr="001E48AC" w:rsidRDefault="00982E6A" w:rsidP="00C138E2">
            <w:pPr>
              <w:spacing w:before="120" w:after="120" w:line="240" w:lineRule="auto"/>
              <w:rPr>
                <w:rFonts w:cs="Times New Roman"/>
                <w:sz w:val="22"/>
              </w:rPr>
            </w:pPr>
            <w:r w:rsidRPr="001E48AC">
              <w:rPr>
                <w:rFonts w:cs="Times New Roman"/>
                <w:sz w:val="22"/>
              </w:rPr>
              <w:t>Eiropas Savienība</w:t>
            </w:r>
          </w:p>
        </w:tc>
      </w:tr>
      <w:tr w:rsidR="00E60A5F" w:rsidRPr="001E48AC" w14:paraId="0B8C9977" w14:textId="77777777" w:rsidTr="00B329F1">
        <w:tc>
          <w:tcPr>
            <w:tcW w:w="1464" w:type="dxa"/>
          </w:tcPr>
          <w:p w14:paraId="6F1AF4B3" w14:textId="77777777" w:rsidR="00E60A5F" w:rsidRPr="001E48AC" w:rsidRDefault="00E60A5F" w:rsidP="00C138E2">
            <w:pPr>
              <w:spacing w:before="120" w:after="120" w:line="240" w:lineRule="auto"/>
              <w:rPr>
                <w:rFonts w:cs="Times New Roman"/>
                <w:sz w:val="22"/>
              </w:rPr>
            </w:pPr>
            <w:r w:rsidRPr="001E48AC">
              <w:rPr>
                <w:rFonts w:cs="Times New Roman"/>
                <w:sz w:val="22"/>
              </w:rPr>
              <w:t>ESKO</w:t>
            </w:r>
          </w:p>
        </w:tc>
        <w:tc>
          <w:tcPr>
            <w:tcW w:w="7552" w:type="dxa"/>
          </w:tcPr>
          <w:p w14:paraId="782A585B" w14:textId="1A45CCF0" w:rsidR="00E60A5F" w:rsidRPr="001E48AC" w:rsidRDefault="000A6ED3" w:rsidP="00C138E2">
            <w:pPr>
              <w:spacing w:before="120" w:after="120" w:line="240" w:lineRule="auto"/>
              <w:rPr>
                <w:rFonts w:cs="Times New Roman"/>
                <w:sz w:val="22"/>
              </w:rPr>
            </w:pPr>
            <w:proofErr w:type="spellStart"/>
            <w:r w:rsidRPr="001E48AC">
              <w:rPr>
                <w:rFonts w:cs="Times New Roman"/>
                <w:sz w:val="22"/>
              </w:rPr>
              <w:t>Energoservisa</w:t>
            </w:r>
            <w:proofErr w:type="spellEnd"/>
            <w:r w:rsidRPr="001E48AC">
              <w:rPr>
                <w:rFonts w:cs="Times New Roman"/>
                <w:sz w:val="22"/>
              </w:rPr>
              <w:t xml:space="preserve"> kompānija</w:t>
            </w:r>
            <w:r w:rsidR="00CE7D02" w:rsidRPr="001E48AC">
              <w:rPr>
                <w:rFonts w:cs="Times New Roman"/>
                <w:sz w:val="22"/>
              </w:rPr>
              <w:t xml:space="preserve"> – energoefektivitātes pakalpojumu sniedzējs</w:t>
            </w:r>
          </w:p>
        </w:tc>
      </w:tr>
      <w:tr w:rsidR="00E22BC7" w:rsidRPr="001E48AC" w14:paraId="12CEA976" w14:textId="77777777" w:rsidTr="00B329F1">
        <w:tc>
          <w:tcPr>
            <w:tcW w:w="1464" w:type="dxa"/>
          </w:tcPr>
          <w:p w14:paraId="0F8708F1" w14:textId="68DD4BB9" w:rsidR="00E22BC7" w:rsidRPr="001E48AC" w:rsidRDefault="00E22BC7" w:rsidP="00C138E2">
            <w:pPr>
              <w:spacing w:before="120" w:after="120" w:line="240" w:lineRule="auto"/>
              <w:rPr>
                <w:rFonts w:cs="Times New Roman"/>
                <w:sz w:val="22"/>
              </w:rPr>
            </w:pPr>
            <w:r w:rsidRPr="001E48AC">
              <w:rPr>
                <w:rFonts w:cs="Times New Roman"/>
                <w:sz w:val="22"/>
              </w:rPr>
              <w:t>ES fondi</w:t>
            </w:r>
          </w:p>
        </w:tc>
        <w:tc>
          <w:tcPr>
            <w:tcW w:w="7552" w:type="dxa"/>
          </w:tcPr>
          <w:p w14:paraId="4A6EAC23" w14:textId="6B2FEE92" w:rsidR="00E22BC7" w:rsidRPr="001E48AC" w:rsidRDefault="00E22BC7" w:rsidP="00C138E2">
            <w:pPr>
              <w:spacing w:before="120" w:after="120" w:line="240" w:lineRule="auto"/>
              <w:rPr>
                <w:rFonts w:cs="Times New Roman"/>
                <w:sz w:val="22"/>
              </w:rPr>
            </w:pPr>
            <w:r w:rsidRPr="001E48AC">
              <w:rPr>
                <w:rFonts w:cs="Times New Roman"/>
                <w:sz w:val="22"/>
              </w:rPr>
              <w:t>Eiropas Savienības struktūrfondi un Kohēzijas fonds</w:t>
            </w:r>
          </w:p>
        </w:tc>
      </w:tr>
      <w:tr w:rsidR="00683510" w:rsidRPr="001E48AC" w14:paraId="249080EF" w14:textId="77777777" w:rsidTr="00B329F1">
        <w:tc>
          <w:tcPr>
            <w:tcW w:w="1464" w:type="dxa"/>
          </w:tcPr>
          <w:p w14:paraId="2BE82E31" w14:textId="12A2A9E7" w:rsidR="00683510" w:rsidRPr="001E48AC" w:rsidRDefault="001A5773" w:rsidP="00C138E2">
            <w:pPr>
              <w:spacing w:before="120" w:after="120" w:line="240" w:lineRule="auto"/>
              <w:rPr>
                <w:rFonts w:cs="Times New Roman"/>
                <w:sz w:val="22"/>
              </w:rPr>
            </w:pPr>
            <w:r w:rsidRPr="001E48AC">
              <w:rPr>
                <w:rFonts w:cs="Times New Roman"/>
                <w:sz w:val="22"/>
              </w:rPr>
              <w:t xml:space="preserve">ES </w:t>
            </w:r>
            <w:r w:rsidR="00683510" w:rsidRPr="001E48AC">
              <w:rPr>
                <w:rFonts w:cs="Times New Roman"/>
                <w:sz w:val="22"/>
              </w:rPr>
              <w:t>ETS</w:t>
            </w:r>
          </w:p>
        </w:tc>
        <w:tc>
          <w:tcPr>
            <w:tcW w:w="7552" w:type="dxa"/>
          </w:tcPr>
          <w:p w14:paraId="0540DDFA" w14:textId="3CA4A69D" w:rsidR="00683510" w:rsidRPr="001E48AC" w:rsidRDefault="001A5773" w:rsidP="00C138E2">
            <w:pPr>
              <w:spacing w:before="120" w:after="120" w:line="240" w:lineRule="auto"/>
              <w:rPr>
                <w:rFonts w:cs="Times New Roman"/>
                <w:sz w:val="22"/>
              </w:rPr>
            </w:pPr>
            <w:r w:rsidRPr="001E48AC">
              <w:rPr>
                <w:rFonts w:cs="Times New Roman"/>
                <w:sz w:val="22"/>
              </w:rPr>
              <w:t>Eiropas savienības e</w:t>
            </w:r>
            <w:r w:rsidR="00683510" w:rsidRPr="001E48AC">
              <w:rPr>
                <w:rFonts w:cs="Times New Roman"/>
                <w:sz w:val="22"/>
              </w:rPr>
              <w:t>misij</w:t>
            </w:r>
            <w:r w:rsidR="00AF4AF1" w:rsidRPr="001E48AC">
              <w:rPr>
                <w:rFonts w:cs="Times New Roman"/>
                <w:sz w:val="22"/>
              </w:rPr>
              <w:t>as kvotu</w:t>
            </w:r>
            <w:r w:rsidR="00683510" w:rsidRPr="001E48AC">
              <w:rPr>
                <w:rFonts w:cs="Times New Roman"/>
                <w:sz w:val="22"/>
              </w:rPr>
              <w:t xml:space="preserve"> tirdzniecības sistēma</w:t>
            </w:r>
          </w:p>
        </w:tc>
      </w:tr>
      <w:tr w:rsidR="00982E6A" w:rsidRPr="001E48AC" w14:paraId="56F7E0FD" w14:textId="77777777" w:rsidTr="00B329F1">
        <w:tc>
          <w:tcPr>
            <w:tcW w:w="1464" w:type="dxa"/>
          </w:tcPr>
          <w:p w14:paraId="56AF24BE" w14:textId="77777777" w:rsidR="00982E6A" w:rsidRPr="001E48AC" w:rsidRDefault="00982E6A" w:rsidP="00C138E2">
            <w:pPr>
              <w:spacing w:before="120" w:after="120" w:line="240" w:lineRule="auto"/>
              <w:rPr>
                <w:rFonts w:cs="Times New Roman"/>
                <w:sz w:val="22"/>
              </w:rPr>
            </w:pPr>
            <w:smartTag w:uri="schemas-tilde-lv/tildestengine" w:element="currency2">
              <w:smartTagPr>
                <w:attr w:name="currency_id" w:val="16"/>
                <w:attr w:name="currency_key" w:val="EUR"/>
                <w:attr w:name="currency_value" w:val="1"/>
                <w:attr w:name="currency_text" w:val="EUR"/>
              </w:smartTagPr>
              <w:r w:rsidRPr="001E48AC">
                <w:rPr>
                  <w:rFonts w:cs="Times New Roman"/>
                  <w:sz w:val="22"/>
                </w:rPr>
                <w:t>EUR</w:t>
              </w:r>
            </w:smartTag>
          </w:p>
        </w:tc>
        <w:tc>
          <w:tcPr>
            <w:tcW w:w="7552" w:type="dxa"/>
          </w:tcPr>
          <w:p w14:paraId="182177A6" w14:textId="77777777" w:rsidR="00982E6A" w:rsidRPr="001E48AC" w:rsidRDefault="00982E6A" w:rsidP="00BC3DB7">
            <w:pPr>
              <w:spacing w:before="120" w:after="120" w:line="240" w:lineRule="auto"/>
              <w:rPr>
                <w:rFonts w:cs="Times New Roman"/>
                <w:sz w:val="22"/>
              </w:rPr>
            </w:pPr>
            <w:r w:rsidRPr="001E48AC">
              <w:rPr>
                <w:rFonts w:cs="Times New Roman"/>
                <w:i/>
                <w:sz w:val="22"/>
              </w:rPr>
              <w:t>E</w:t>
            </w:r>
            <w:r w:rsidR="00BC3DB7" w:rsidRPr="001E48AC">
              <w:rPr>
                <w:rFonts w:cs="Times New Roman"/>
                <w:i/>
                <w:sz w:val="22"/>
              </w:rPr>
              <w:t>uro</w:t>
            </w:r>
            <w:r w:rsidRPr="001E48AC">
              <w:rPr>
                <w:rFonts w:cs="Times New Roman"/>
                <w:sz w:val="22"/>
              </w:rPr>
              <w:t xml:space="preserve"> (Eiropas Savienības vienotā valūta)</w:t>
            </w:r>
          </w:p>
        </w:tc>
      </w:tr>
      <w:tr w:rsidR="00E60A5F" w:rsidRPr="001E48AC" w14:paraId="12D8A6C8" w14:textId="77777777" w:rsidTr="00B329F1">
        <w:tc>
          <w:tcPr>
            <w:tcW w:w="1464" w:type="dxa"/>
          </w:tcPr>
          <w:p w14:paraId="7E7F20E6" w14:textId="77777777" w:rsidR="00E60A5F" w:rsidRPr="001E48AC" w:rsidRDefault="00E60A5F" w:rsidP="00C138E2">
            <w:pPr>
              <w:spacing w:before="120" w:after="120" w:line="240" w:lineRule="auto"/>
              <w:rPr>
                <w:rFonts w:cs="Times New Roman"/>
                <w:sz w:val="22"/>
              </w:rPr>
            </w:pPr>
            <w:r w:rsidRPr="001E48AC">
              <w:rPr>
                <w:rFonts w:cs="Times New Roman"/>
                <w:sz w:val="22"/>
              </w:rPr>
              <w:t>GWh</w:t>
            </w:r>
          </w:p>
        </w:tc>
        <w:tc>
          <w:tcPr>
            <w:tcW w:w="7552" w:type="dxa"/>
          </w:tcPr>
          <w:p w14:paraId="6E1E1355" w14:textId="77777777" w:rsidR="00E60A5F" w:rsidRPr="001E48AC" w:rsidRDefault="00E60A5F" w:rsidP="00C138E2">
            <w:pPr>
              <w:spacing w:before="120" w:after="120" w:line="240" w:lineRule="auto"/>
              <w:rPr>
                <w:rFonts w:cs="Times New Roman"/>
                <w:sz w:val="22"/>
              </w:rPr>
            </w:pPr>
            <w:r w:rsidRPr="001E48AC">
              <w:rPr>
                <w:rFonts w:cs="Times New Roman"/>
                <w:sz w:val="22"/>
              </w:rPr>
              <w:t>Gigavatstunda (enerģijas mērvienība)</w:t>
            </w:r>
          </w:p>
        </w:tc>
      </w:tr>
      <w:tr w:rsidR="00982E6A" w:rsidRPr="001E48AC" w14:paraId="12E98934" w14:textId="77777777" w:rsidTr="00B329F1">
        <w:tc>
          <w:tcPr>
            <w:tcW w:w="1464" w:type="dxa"/>
          </w:tcPr>
          <w:p w14:paraId="1C8306B9" w14:textId="77777777" w:rsidR="00982E6A" w:rsidRPr="001E48AC" w:rsidRDefault="00982E6A" w:rsidP="00C138E2">
            <w:pPr>
              <w:spacing w:before="120" w:after="120" w:line="240" w:lineRule="auto"/>
              <w:rPr>
                <w:rFonts w:cs="Times New Roman"/>
                <w:sz w:val="22"/>
              </w:rPr>
            </w:pPr>
            <w:r w:rsidRPr="001E48AC">
              <w:rPr>
                <w:rFonts w:cs="Times New Roman"/>
                <w:sz w:val="22"/>
              </w:rPr>
              <w:t>IKP</w:t>
            </w:r>
          </w:p>
        </w:tc>
        <w:tc>
          <w:tcPr>
            <w:tcW w:w="7552" w:type="dxa"/>
          </w:tcPr>
          <w:p w14:paraId="69A5A64B" w14:textId="77777777" w:rsidR="00982E6A" w:rsidRPr="001E48AC" w:rsidRDefault="00982E6A" w:rsidP="00C138E2">
            <w:pPr>
              <w:spacing w:before="120" w:after="120" w:line="240" w:lineRule="auto"/>
              <w:rPr>
                <w:rFonts w:cs="Times New Roman"/>
                <w:sz w:val="22"/>
              </w:rPr>
            </w:pPr>
            <w:r w:rsidRPr="001E48AC">
              <w:rPr>
                <w:rFonts w:cs="Times New Roman"/>
                <w:sz w:val="22"/>
              </w:rPr>
              <w:t>Iekšzemes kopprodukts</w:t>
            </w:r>
          </w:p>
        </w:tc>
      </w:tr>
      <w:tr w:rsidR="00575B8E" w:rsidRPr="001E48AC" w14:paraId="1A8666C4" w14:textId="77777777" w:rsidTr="00B329F1">
        <w:tc>
          <w:tcPr>
            <w:tcW w:w="1464" w:type="dxa"/>
          </w:tcPr>
          <w:p w14:paraId="24415055" w14:textId="77777777" w:rsidR="00575B8E" w:rsidRPr="001E48AC" w:rsidRDefault="00575B8E" w:rsidP="00C138E2">
            <w:pPr>
              <w:spacing w:before="120" w:after="120" w:line="240" w:lineRule="auto"/>
              <w:rPr>
                <w:rFonts w:cs="Times New Roman"/>
                <w:sz w:val="22"/>
              </w:rPr>
            </w:pPr>
            <w:r w:rsidRPr="001E48AC">
              <w:rPr>
                <w:rFonts w:cs="Times New Roman"/>
                <w:sz w:val="22"/>
              </w:rPr>
              <w:t>KF</w:t>
            </w:r>
          </w:p>
        </w:tc>
        <w:tc>
          <w:tcPr>
            <w:tcW w:w="7552" w:type="dxa"/>
          </w:tcPr>
          <w:p w14:paraId="78B38872" w14:textId="77777777" w:rsidR="00575B8E" w:rsidRPr="001E48AC" w:rsidRDefault="000A6ED3" w:rsidP="00C138E2">
            <w:pPr>
              <w:spacing w:before="120" w:after="120" w:line="240" w:lineRule="auto"/>
              <w:rPr>
                <w:rFonts w:cs="Times New Roman"/>
                <w:sz w:val="22"/>
              </w:rPr>
            </w:pPr>
            <w:r w:rsidRPr="001E48AC">
              <w:rPr>
                <w:rFonts w:cs="Times New Roman"/>
                <w:sz w:val="22"/>
              </w:rPr>
              <w:t>Kohēzijas fonds</w:t>
            </w:r>
          </w:p>
        </w:tc>
      </w:tr>
      <w:tr w:rsidR="00E60A5F" w:rsidRPr="001E48AC" w14:paraId="4CCC65A0" w14:textId="77777777" w:rsidTr="00B329F1">
        <w:tc>
          <w:tcPr>
            <w:tcW w:w="1464" w:type="dxa"/>
          </w:tcPr>
          <w:p w14:paraId="31212FAA" w14:textId="77777777" w:rsidR="00E60A5F" w:rsidRPr="001E48AC" w:rsidRDefault="00E60A5F" w:rsidP="00C138E2">
            <w:pPr>
              <w:spacing w:before="120" w:after="120" w:line="240" w:lineRule="auto"/>
              <w:rPr>
                <w:rFonts w:cs="Times New Roman"/>
                <w:sz w:val="22"/>
              </w:rPr>
            </w:pPr>
            <w:r w:rsidRPr="001E48AC">
              <w:rPr>
                <w:rFonts w:cs="Times New Roman"/>
                <w:sz w:val="22"/>
              </w:rPr>
              <w:t>KPFI</w:t>
            </w:r>
          </w:p>
        </w:tc>
        <w:tc>
          <w:tcPr>
            <w:tcW w:w="7552" w:type="dxa"/>
          </w:tcPr>
          <w:p w14:paraId="612E6B04" w14:textId="77777777" w:rsidR="00E60A5F" w:rsidRPr="001E48AC" w:rsidRDefault="000A6ED3" w:rsidP="00C138E2">
            <w:pPr>
              <w:spacing w:before="120" w:after="120" w:line="240" w:lineRule="auto"/>
              <w:rPr>
                <w:rFonts w:cs="Times New Roman"/>
                <w:sz w:val="22"/>
              </w:rPr>
            </w:pPr>
            <w:r w:rsidRPr="001E48AC">
              <w:rPr>
                <w:rFonts w:cs="Times New Roman"/>
                <w:sz w:val="22"/>
              </w:rPr>
              <w:t>Klimata pārmaiņu finanšu instruments</w:t>
            </w:r>
          </w:p>
        </w:tc>
      </w:tr>
      <w:tr w:rsidR="00E60A5F" w:rsidRPr="001E48AC" w14:paraId="212F4362" w14:textId="77777777" w:rsidTr="00B329F1">
        <w:trPr>
          <w:trHeight w:val="502"/>
        </w:trPr>
        <w:tc>
          <w:tcPr>
            <w:tcW w:w="1464" w:type="dxa"/>
          </w:tcPr>
          <w:p w14:paraId="5863778D" w14:textId="77777777" w:rsidR="00E60A5F" w:rsidRPr="001E48AC" w:rsidRDefault="00E60A5F" w:rsidP="00C138E2">
            <w:pPr>
              <w:spacing w:before="120" w:after="120" w:line="240" w:lineRule="auto"/>
              <w:rPr>
                <w:rFonts w:cs="Times New Roman"/>
                <w:sz w:val="22"/>
              </w:rPr>
            </w:pPr>
            <w:r w:rsidRPr="001E48AC">
              <w:rPr>
                <w:rFonts w:cs="Times New Roman"/>
                <w:sz w:val="22"/>
              </w:rPr>
              <w:t>MARKAL</w:t>
            </w:r>
          </w:p>
        </w:tc>
        <w:tc>
          <w:tcPr>
            <w:tcW w:w="7552" w:type="dxa"/>
          </w:tcPr>
          <w:p w14:paraId="7AEE408C" w14:textId="77777777" w:rsidR="00E60A5F" w:rsidRPr="001E48AC" w:rsidRDefault="0046224E" w:rsidP="00766C76">
            <w:pPr>
              <w:spacing w:before="120" w:after="0" w:line="240" w:lineRule="auto"/>
              <w:rPr>
                <w:rFonts w:cs="Times New Roman"/>
                <w:sz w:val="22"/>
              </w:rPr>
            </w:pPr>
            <w:r w:rsidRPr="001E48AC">
              <w:rPr>
                <w:rFonts w:cs="Times New Roman"/>
                <w:sz w:val="22"/>
              </w:rPr>
              <w:t>Modelis, ko izmanto, lai veiktu ekonomisko analīzi dažādām enerģētikas sistēmām</w:t>
            </w:r>
          </w:p>
        </w:tc>
      </w:tr>
      <w:tr w:rsidR="00E60A5F" w:rsidRPr="001E48AC" w14:paraId="1B117D34" w14:textId="77777777" w:rsidTr="00B329F1">
        <w:tc>
          <w:tcPr>
            <w:tcW w:w="1464" w:type="dxa"/>
          </w:tcPr>
          <w:p w14:paraId="2D38B848" w14:textId="77777777" w:rsidR="00E60A5F" w:rsidRPr="001E48AC" w:rsidRDefault="00E60A5F" w:rsidP="00C138E2">
            <w:pPr>
              <w:spacing w:before="120" w:after="120" w:line="240" w:lineRule="auto"/>
              <w:rPr>
                <w:rFonts w:cs="Times New Roman"/>
                <w:sz w:val="22"/>
              </w:rPr>
            </w:pPr>
            <w:r w:rsidRPr="001E48AC">
              <w:rPr>
                <w:rFonts w:cs="Times New Roman"/>
                <w:sz w:val="22"/>
              </w:rPr>
              <w:t>Mtoe</w:t>
            </w:r>
          </w:p>
        </w:tc>
        <w:tc>
          <w:tcPr>
            <w:tcW w:w="7552" w:type="dxa"/>
          </w:tcPr>
          <w:p w14:paraId="7402660A" w14:textId="77777777" w:rsidR="00E60A5F" w:rsidRPr="001E48AC" w:rsidRDefault="0046224E" w:rsidP="00C138E2">
            <w:pPr>
              <w:spacing w:before="120" w:after="120" w:line="240" w:lineRule="auto"/>
              <w:rPr>
                <w:rFonts w:cs="Times New Roman"/>
                <w:sz w:val="22"/>
              </w:rPr>
            </w:pPr>
            <w:r w:rsidRPr="001E48AC">
              <w:rPr>
                <w:rFonts w:cs="Times New Roman"/>
                <w:sz w:val="22"/>
              </w:rPr>
              <w:t>Miljons tonnu naftas ekvivalenta</w:t>
            </w:r>
          </w:p>
        </w:tc>
      </w:tr>
      <w:tr w:rsidR="00E60A5F" w:rsidRPr="001E48AC" w14:paraId="15CF0DA9" w14:textId="77777777" w:rsidTr="00B329F1">
        <w:tc>
          <w:tcPr>
            <w:tcW w:w="1464" w:type="dxa"/>
          </w:tcPr>
          <w:p w14:paraId="08FCF934" w14:textId="77777777" w:rsidR="00E60A5F" w:rsidRPr="001E48AC" w:rsidRDefault="00E60A5F" w:rsidP="00C138E2">
            <w:pPr>
              <w:spacing w:before="120" w:after="120" w:line="240" w:lineRule="auto"/>
              <w:rPr>
                <w:rFonts w:cs="Times New Roman"/>
                <w:sz w:val="22"/>
              </w:rPr>
            </w:pPr>
            <w:r w:rsidRPr="001E48AC">
              <w:rPr>
                <w:rFonts w:cs="Times New Roman"/>
                <w:sz w:val="22"/>
              </w:rPr>
              <w:t>MWh</w:t>
            </w:r>
          </w:p>
        </w:tc>
        <w:tc>
          <w:tcPr>
            <w:tcW w:w="7552" w:type="dxa"/>
          </w:tcPr>
          <w:p w14:paraId="6BF0F40A" w14:textId="77777777" w:rsidR="00E60A5F" w:rsidRPr="001E48AC" w:rsidRDefault="0046224E" w:rsidP="00C138E2">
            <w:pPr>
              <w:spacing w:before="120" w:after="120" w:line="240" w:lineRule="auto"/>
              <w:rPr>
                <w:rFonts w:cs="Times New Roman"/>
                <w:sz w:val="22"/>
              </w:rPr>
            </w:pPr>
            <w:r w:rsidRPr="001E48AC">
              <w:rPr>
                <w:rFonts w:cs="Times New Roman"/>
                <w:sz w:val="22"/>
              </w:rPr>
              <w:t>Megavatstunda (enerģijas mērvienība)</w:t>
            </w:r>
          </w:p>
        </w:tc>
      </w:tr>
      <w:tr w:rsidR="00AC3F4B" w:rsidRPr="001E48AC" w14:paraId="73A1AB3D" w14:textId="77777777" w:rsidTr="00B329F1">
        <w:tc>
          <w:tcPr>
            <w:tcW w:w="1464" w:type="dxa"/>
          </w:tcPr>
          <w:p w14:paraId="61454669" w14:textId="26986AD8" w:rsidR="00AC3F4B" w:rsidRPr="001E48AC" w:rsidRDefault="00AC3F4B" w:rsidP="00C138E2">
            <w:pPr>
              <w:spacing w:before="120" w:after="120" w:line="240" w:lineRule="auto"/>
              <w:rPr>
                <w:rFonts w:cs="Times New Roman"/>
                <w:sz w:val="22"/>
              </w:rPr>
            </w:pPr>
            <w:r w:rsidRPr="001E48AC">
              <w:rPr>
                <w:rFonts w:cs="Times New Roman"/>
                <w:sz w:val="22"/>
              </w:rPr>
              <w:t>MVU</w:t>
            </w:r>
          </w:p>
        </w:tc>
        <w:tc>
          <w:tcPr>
            <w:tcW w:w="7552" w:type="dxa"/>
          </w:tcPr>
          <w:p w14:paraId="39AB1717" w14:textId="3F1E0398" w:rsidR="00AC3F4B" w:rsidRPr="001E48AC" w:rsidRDefault="00AC3F4B" w:rsidP="00C138E2">
            <w:pPr>
              <w:spacing w:before="120" w:after="120" w:line="240" w:lineRule="auto"/>
              <w:rPr>
                <w:rFonts w:cs="Times New Roman"/>
                <w:sz w:val="22"/>
              </w:rPr>
            </w:pPr>
            <w:r w:rsidRPr="001E48AC">
              <w:rPr>
                <w:rFonts w:cs="Times New Roman"/>
                <w:sz w:val="22"/>
              </w:rPr>
              <w:t>Mazais un vidējais uzņēmums</w:t>
            </w:r>
          </w:p>
        </w:tc>
      </w:tr>
      <w:tr w:rsidR="00575B8E" w:rsidRPr="001E48AC" w14:paraId="46A3CCA7" w14:textId="77777777" w:rsidTr="00B329F1">
        <w:tc>
          <w:tcPr>
            <w:tcW w:w="1464" w:type="dxa"/>
          </w:tcPr>
          <w:p w14:paraId="434BC0C5" w14:textId="77777777" w:rsidR="00575B8E" w:rsidRPr="001E48AC" w:rsidRDefault="00575B8E" w:rsidP="00C138E2">
            <w:pPr>
              <w:spacing w:before="120" w:after="120" w:line="240" w:lineRule="auto"/>
              <w:rPr>
                <w:rFonts w:cs="Times New Roman"/>
                <w:sz w:val="22"/>
              </w:rPr>
            </w:pPr>
            <w:r w:rsidRPr="001E48AC">
              <w:rPr>
                <w:rFonts w:cs="Times New Roman"/>
                <w:sz w:val="22"/>
              </w:rPr>
              <w:t>NCV</w:t>
            </w:r>
          </w:p>
        </w:tc>
        <w:tc>
          <w:tcPr>
            <w:tcW w:w="7552" w:type="dxa"/>
          </w:tcPr>
          <w:p w14:paraId="4C2F1E22" w14:textId="77777777" w:rsidR="00575B8E" w:rsidRPr="001E48AC" w:rsidRDefault="00575B8E" w:rsidP="00575B8E">
            <w:pPr>
              <w:spacing w:before="120" w:after="120" w:line="240" w:lineRule="auto"/>
              <w:rPr>
                <w:rFonts w:cs="Times New Roman"/>
                <w:sz w:val="22"/>
              </w:rPr>
            </w:pPr>
            <w:r w:rsidRPr="001E48AC">
              <w:rPr>
                <w:rFonts w:cs="Times New Roman"/>
                <w:sz w:val="22"/>
              </w:rPr>
              <w:t>Zemākā siltumspēja</w:t>
            </w:r>
          </w:p>
        </w:tc>
      </w:tr>
      <w:tr w:rsidR="00982E6A" w:rsidRPr="001E48AC" w14:paraId="38C17D55" w14:textId="77777777" w:rsidTr="00B329F1">
        <w:tc>
          <w:tcPr>
            <w:tcW w:w="1464" w:type="dxa"/>
          </w:tcPr>
          <w:p w14:paraId="14EEF564" w14:textId="77777777" w:rsidR="00982E6A" w:rsidRPr="001E48AC" w:rsidRDefault="00982E6A" w:rsidP="00C138E2">
            <w:pPr>
              <w:spacing w:before="120" w:after="120" w:line="240" w:lineRule="auto"/>
              <w:rPr>
                <w:rFonts w:cs="Times New Roman"/>
                <w:sz w:val="22"/>
              </w:rPr>
            </w:pPr>
            <w:r w:rsidRPr="001E48AC">
              <w:rPr>
                <w:rFonts w:cs="Times New Roman"/>
                <w:sz w:val="22"/>
              </w:rPr>
              <w:t xml:space="preserve">PJ </w:t>
            </w:r>
          </w:p>
        </w:tc>
        <w:tc>
          <w:tcPr>
            <w:tcW w:w="7552" w:type="dxa"/>
          </w:tcPr>
          <w:p w14:paraId="2E48C530" w14:textId="77777777" w:rsidR="00982E6A" w:rsidRPr="001E48AC" w:rsidRDefault="00982E6A" w:rsidP="00C138E2">
            <w:pPr>
              <w:spacing w:before="120" w:after="120" w:line="240" w:lineRule="auto"/>
              <w:rPr>
                <w:rFonts w:cs="Times New Roman"/>
                <w:sz w:val="22"/>
              </w:rPr>
            </w:pPr>
            <w:r w:rsidRPr="001E48AC">
              <w:rPr>
                <w:rFonts w:cs="Times New Roman"/>
                <w:sz w:val="22"/>
              </w:rPr>
              <w:t>Petadžouls (enerģijas mērvienība)</w:t>
            </w:r>
          </w:p>
        </w:tc>
      </w:tr>
      <w:tr w:rsidR="00E60A5F" w:rsidRPr="001E48AC" w14:paraId="04745D40" w14:textId="77777777" w:rsidTr="00B329F1">
        <w:tc>
          <w:tcPr>
            <w:tcW w:w="1464" w:type="dxa"/>
          </w:tcPr>
          <w:p w14:paraId="71F1F6E0" w14:textId="77777777" w:rsidR="00E60A5F" w:rsidRPr="001E48AC" w:rsidRDefault="00E60A5F" w:rsidP="00C138E2">
            <w:pPr>
              <w:spacing w:before="120" w:after="120" w:line="240" w:lineRule="auto"/>
              <w:rPr>
                <w:rFonts w:cs="Times New Roman"/>
                <w:sz w:val="22"/>
              </w:rPr>
            </w:pPr>
            <w:r w:rsidRPr="001E48AC">
              <w:rPr>
                <w:rFonts w:cs="Times New Roman"/>
                <w:sz w:val="22"/>
              </w:rPr>
              <w:t>SEG</w:t>
            </w:r>
          </w:p>
        </w:tc>
        <w:tc>
          <w:tcPr>
            <w:tcW w:w="7552" w:type="dxa"/>
          </w:tcPr>
          <w:p w14:paraId="6A98D6C6" w14:textId="77777777" w:rsidR="00E60A5F" w:rsidRPr="001E48AC" w:rsidRDefault="00E60A5F" w:rsidP="00C138E2">
            <w:pPr>
              <w:spacing w:before="120" w:after="120" w:line="240" w:lineRule="auto"/>
              <w:rPr>
                <w:rFonts w:cs="Times New Roman"/>
                <w:sz w:val="22"/>
              </w:rPr>
            </w:pPr>
            <w:r w:rsidRPr="001E48AC">
              <w:rPr>
                <w:rFonts w:cs="Times New Roman"/>
                <w:sz w:val="22"/>
              </w:rPr>
              <w:t>Siltumnīcefekta gāzes</w:t>
            </w:r>
          </w:p>
        </w:tc>
      </w:tr>
      <w:tr w:rsidR="00AC3F4B" w:rsidRPr="001E48AC" w14:paraId="62F1B946" w14:textId="77777777" w:rsidTr="00B329F1">
        <w:tc>
          <w:tcPr>
            <w:tcW w:w="1464" w:type="dxa"/>
          </w:tcPr>
          <w:p w14:paraId="41E87327" w14:textId="0C837972" w:rsidR="00AC3F4B" w:rsidRPr="001E48AC" w:rsidRDefault="00AC3F4B" w:rsidP="00C138E2">
            <w:pPr>
              <w:spacing w:before="120" w:after="120" w:line="240" w:lineRule="auto"/>
              <w:rPr>
                <w:rFonts w:cs="Times New Roman"/>
                <w:sz w:val="22"/>
              </w:rPr>
            </w:pPr>
            <w:r w:rsidRPr="001E48AC">
              <w:rPr>
                <w:rFonts w:cs="Times New Roman"/>
                <w:sz w:val="22"/>
              </w:rPr>
              <w:t>SSO</w:t>
            </w:r>
          </w:p>
        </w:tc>
        <w:tc>
          <w:tcPr>
            <w:tcW w:w="7552" w:type="dxa"/>
          </w:tcPr>
          <w:p w14:paraId="0D968825" w14:textId="401781FE" w:rsidR="00AC3F4B" w:rsidRPr="001E48AC" w:rsidRDefault="00AC3F4B" w:rsidP="00C138E2">
            <w:pPr>
              <w:spacing w:before="120" w:after="120" w:line="240" w:lineRule="auto"/>
              <w:rPr>
                <w:rFonts w:cs="Times New Roman"/>
                <w:sz w:val="22"/>
              </w:rPr>
            </w:pPr>
            <w:r w:rsidRPr="001E48AC">
              <w:rPr>
                <w:rFonts w:cs="Times New Roman"/>
                <w:sz w:val="22"/>
              </w:rPr>
              <w:t>Sadales sistēmas operators</w:t>
            </w:r>
          </w:p>
        </w:tc>
      </w:tr>
    </w:tbl>
    <w:p w14:paraId="09A5D661" w14:textId="6D829926" w:rsidR="00AA70E3" w:rsidRPr="001E48AC" w:rsidRDefault="00982E6A">
      <w:pPr>
        <w:pStyle w:val="Heading1"/>
        <w:rPr>
          <w:color w:val="auto"/>
        </w:rPr>
      </w:pPr>
      <w:r w:rsidRPr="001E48AC">
        <w:rPr>
          <w:color w:val="auto"/>
        </w:rPr>
        <w:br w:type="page"/>
      </w:r>
      <w:bookmarkStart w:id="0" w:name="_Toc482711514"/>
      <w:r w:rsidR="00AA70E3" w:rsidRPr="001E48AC">
        <w:rPr>
          <w:color w:val="auto"/>
        </w:rPr>
        <w:lastRenderedPageBreak/>
        <w:t>1. IEVADS</w:t>
      </w:r>
      <w:bookmarkEnd w:id="0"/>
    </w:p>
    <w:p w14:paraId="1671E845" w14:textId="77777777" w:rsidR="007E0207" w:rsidRPr="001E48AC" w:rsidRDefault="008B32EA" w:rsidP="007E0207">
      <w:pPr>
        <w:pStyle w:val="NormalWeb"/>
        <w:shd w:val="clear" w:color="auto" w:fill="FFFFFF"/>
        <w:spacing w:before="0" w:beforeAutospacing="0" w:after="0" w:afterAutospacing="0"/>
        <w:jc w:val="both"/>
        <w:textAlignment w:val="baseline"/>
        <w:rPr>
          <w:sz w:val="28"/>
          <w:szCs w:val="28"/>
        </w:rPr>
      </w:pPr>
      <w:r w:rsidRPr="001E48AC">
        <w:tab/>
      </w:r>
      <w:r w:rsidR="007E0207" w:rsidRPr="001E48AC">
        <w:rPr>
          <w:sz w:val="28"/>
          <w:szCs w:val="28"/>
        </w:rPr>
        <w:t>Lai plānotu enerģētikas nozares attīstību ilgtermiņā, tostarp, lai nodrošinātu Latvijas noteikto enerģētikas mērķa rādītāju sasniegšanu, Ministru kabinets 2016.gada 9.februārī (protokols Nr.6  42.§) apstiprināja Enerģētikas attīstības pamatnostādnes 2016.–2020. gadam</w:t>
      </w:r>
      <w:r w:rsidR="007E0207" w:rsidRPr="001E48AC">
        <w:rPr>
          <w:rStyle w:val="FootnoteReference"/>
          <w:sz w:val="28"/>
          <w:szCs w:val="28"/>
        </w:rPr>
        <w:footnoteReference w:id="1"/>
      </w:r>
      <w:r w:rsidR="007E0207" w:rsidRPr="001E48AC">
        <w:rPr>
          <w:sz w:val="28"/>
          <w:szCs w:val="28"/>
        </w:rPr>
        <w:t xml:space="preserve"> (turpmāk – Enerģētikas Pamatnostādnes 2020), kas nosaka Latvijas valdības politikas pamatprincipus, mērķus un rīcības virzienus enerģētikā laika posmam no 2016. līdz 2020. gadam.</w:t>
      </w:r>
    </w:p>
    <w:p w14:paraId="2AE85DDC" w14:textId="77777777" w:rsidR="007E0207" w:rsidRPr="001E48AC" w:rsidRDefault="007E0207" w:rsidP="007E0207">
      <w:pPr>
        <w:spacing w:after="0" w:line="240" w:lineRule="auto"/>
        <w:jc w:val="both"/>
        <w:rPr>
          <w:rFonts w:cs="Times New Roman"/>
          <w:szCs w:val="28"/>
        </w:rPr>
      </w:pPr>
      <w:r w:rsidRPr="001E48AC">
        <w:rPr>
          <w:rFonts w:cs="Times New Roman"/>
          <w:szCs w:val="28"/>
        </w:rPr>
        <w:t>Enerģētikas Pamatnostādnēs 2020 uzsvērts, ka nākotnes enerģētikas politika tiks veidota, balstoties uz vairākiem pamatprincipiem: energoefektivitāte ir viens no instrumentiem, kas ļauj samazināt energoresursu patēriņu, tādējādi paaugstinot energoapgādes drošību; enerģētikas ietekmei uz klimata pārmaiņām ir jāmazinās; enerģijas lietotājiem ir jābūt pieejamai informācijai par enerģētikas politikas veidošanos, energoefektivitātes pasākumiem, enerģijas tirgus darbību, kā arī rīcību enerģijas pārtraukuma vai krīzes gadījumā.</w:t>
      </w:r>
    </w:p>
    <w:p w14:paraId="2F657CA4" w14:textId="77777777" w:rsidR="007E0207" w:rsidRPr="001E48AC" w:rsidRDefault="007E0207" w:rsidP="007E0207">
      <w:pPr>
        <w:widowControl w:val="0"/>
        <w:suppressAutoHyphens/>
        <w:spacing w:after="0" w:line="240" w:lineRule="auto"/>
        <w:ind w:firstLine="709"/>
        <w:jc w:val="both"/>
        <w:rPr>
          <w:rFonts w:eastAsia="Times New Roman" w:cs="Times New Roman"/>
          <w:szCs w:val="28"/>
        </w:rPr>
      </w:pPr>
      <w:r w:rsidRPr="001E48AC">
        <w:rPr>
          <w:rFonts w:eastAsia="Times New Roman" w:cs="Times New Roman"/>
          <w:szCs w:val="28"/>
        </w:rPr>
        <w:t>Enerģētikas Pamatnostādnēs 2020 noteikts, ka Latvijas enerģētikas politikas galvenais mērķis ir konkurētspējīga ekonomika ar diviem enerģētikas politikas apakšmērķiem:</w:t>
      </w:r>
    </w:p>
    <w:p w14:paraId="636B7080" w14:textId="77777777" w:rsidR="007E0207" w:rsidRPr="001E48AC" w:rsidRDefault="007E0207" w:rsidP="007E0207">
      <w:pPr>
        <w:spacing w:after="0" w:line="240" w:lineRule="auto"/>
        <w:jc w:val="both"/>
        <w:rPr>
          <w:rFonts w:cs="Times New Roman"/>
          <w:szCs w:val="28"/>
        </w:rPr>
      </w:pPr>
      <w:r w:rsidRPr="001E48AC">
        <w:rPr>
          <w:rFonts w:eastAsia="Times New Roman" w:cs="Times New Roman"/>
          <w:szCs w:val="28"/>
          <w:u w:val="single"/>
        </w:rPr>
        <w:t xml:space="preserve">1)ilgtspējīga enerģētika, </w:t>
      </w:r>
      <w:r w:rsidRPr="001E48AC">
        <w:rPr>
          <w:rFonts w:eastAsia="Times New Roman" w:cs="Times New Roman"/>
          <w:szCs w:val="28"/>
        </w:rPr>
        <w:t>kas nodrošina enerģētikas ilgtspēju gan ekonomiskā, gan sociālā, gan vides izpratnē. To plānots panākt, uzlabojot energoefektivitāti un veicinot augsti efektīvu ražošanas tehnoloģiju un AER izmantošanas tehnoloģijas;</w:t>
      </w:r>
    </w:p>
    <w:p w14:paraId="2BC7BEEF" w14:textId="77777777" w:rsidR="007E0207" w:rsidRPr="001E48AC" w:rsidRDefault="007E0207" w:rsidP="007E0207">
      <w:pPr>
        <w:spacing w:after="0" w:line="240" w:lineRule="auto"/>
        <w:jc w:val="both"/>
        <w:rPr>
          <w:rFonts w:eastAsia="Times New Roman" w:cs="Times New Roman"/>
          <w:szCs w:val="28"/>
        </w:rPr>
      </w:pPr>
      <w:r w:rsidRPr="001E48AC">
        <w:rPr>
          <w:rFonts w:eastAsia="Times New Roman" w:cs="Times New Roman"/>
          <w:szCs w:val="28"/>
          <w:u w:val="single"/>
        </w:rPr>
        <w:t>2)energoapgādes drošības paaugstināšana</w:t>
      </w:r>
      <w:r w:rsidRPr="001E48AC">
        <w:rPr>
          <w:rFonts w:eastAsia="Times New Roman" w:cs="Times New Roman"/>
          <w:szCs w:val="28"/>
        </w:rPr>
        <w:t xml:space="preserve">, kas paredz enerģijas lietotājiem pieejamas, stabilas enerģijas piegādes, mazinot ģeopolitiskos riskus, dažādojot enerģijas resursu piegāžu avotus un ceļus, attīstot </w:t>
      </w:r>
      <w:proofErr w:type="spellStart"/>
      <w:r w:rsidRPr="001E48AC">
        <w:rPr>
          <w:rFonts w:eastAsia="Times New Roman" w:cs="Times New Roman"/>
          <w:szCs w:val="28"/>
        </w:rPr>
        <w:t>starpsavienojumu</w:t>
      </w:r>
      <w:proofErr w:type="spellEnd"/>
      <w:r w:rsidRPr="001E48AC">
        <w:rPr>
          <w:rFonts w:eastAsia="Times New Roman" w:cs="Times New Roman"/>
          <w:szCs w:val="28"/>
        </w:rPr>
        <w:t xml:space="preserve"> infrastruktūru, veidojot rezerves un iesaistoties starptautiskā regulējuma pilnveidošanā.</w:t>
      </w:r>
    </w:p>
    <w:p w14:paraId="4CD9EA8F" w14:textId="7C47F7A1" w:rsidR="007E0207" w:rsidRPr="001E48AC" w:rsidRDefault="007E0207" w:rsidP="007E0207">
      <w:pPr>
        <w:spacing w:after="0" w:line="240" w:lineRule="auto"/>
        <w:ind w:firstLine="720"/>
        <w:jc w:val="both"/>
        <w:rPr>
          <w:rFonts w:eastAsia="Calibri" w:cs="Times New Roman"/>
          <w:szCs w:val="28"/>
        </w:rPr>
      </w:pPr>
      <w:r w:rsidRPr="001E48AC">
        <w:rPr>
          <w:rFonts w:eastAsia="Calibri" w:cs="Times New Roman"/>
          <w:szCs w:val="28"/>
        </w:rPr>
        <w:t xml:space="preserve">Lai izvērtētu progresu mērķu sasniegšanā, ir noteikti sasniedzamie kvantitatīvie rādītāji. Latvijai 2020.gadā ir jāsasniedz primārās enerģijas ietaupījums  0,670 Mtoe apmērā (kopējais enerģijas ietaupījums gan gala patēriņā, gan pārveidošanas sektorā). Papildu minētajam mērķim, Latvijai jāsasniedz obligātais gala enerģijas ietaupījuma kumulatīvais mērķis - 1,5% apjomā no galalietotājiem piegādātās enerģijas – kopā no 2014. līdz 2020. gadam- 0,850 Mtoe (9896 GWh) un ikgadējs valsts tiešās pārvaldes ēku 3% platības renovācijas mērķis (maksimālās aplēses – kopā renovēti 678 460 m2).  Minētie mērķi atspoguļo </w:t>
      </w:r>
      <w:r w:rsidRPr="001E48AC">
        <w:rPr>
          <w:rFonts w:cs="Times New Roman"/>
          <w:bCs/>
          <w:szCs w:val="28"/>
        </w:rPr>
        <w:t xml:space="preserve">Eiropas Parlamenta un Padomes 2012. gada 25. oktobra Direktīvas 2012/27/ES par energoefektivitāti, ar ko groza Direktīvas 2009/125/EK un 2010/30/ES un atceļ Direktīvas 2004/8/EK un 2006/32/EK (turpmāk – Direktīva 2012/27/ES) 3.,5. un 7.panta prasības. Savukārt, atbilstoši </w:t>
      </w:r>
      <w:r w:rsidRPr="001E48AC">
        <w:rPr>
          <w:rFonts w:cs="Times New Roman"/>
          <w:bCs/>
          <w:szCs w:val="28"/>
        </w:rPr>
        <w:lastRenderedPageBreak/>
        <w:t xml:space="preserve">Energoefektivitātes likuma 4.panta ceturtajā </w:t>
      </w:r>
      <w:r w:rsidR="00737FEE" w:rsidRPr="001E48AC">
        <w:rPr>
          <w:rFonts w:cs="Times New Roman"/>
          <w:bCs/>
          <w:szCs w:val="28"/>
        </w:rPr>
        <w:t>daļā</w:t>
      </w:r>
      <w:r w:rsidRPr="001E48AC">
        <w:rPr>
          <w:rFonts w:cs="Times New Roman"/>
          <w:bCs/>
          <w:szCs w:val="28"/>
        </w:rPr>
        <w:t xml:space="preserve"> noteiktajam, Ekonomikas ministrijai ir </w:t>
      </w:r>
      <w:r w:rsidRPr="001E48AC">
        <w:rPr>
          <w:rFonts w:eastAsia="Calibri" w:cs="Times New Roman"/>
          <w:szCs w:val="28"/>
        </w:rPr>
        <w:t>jā</w:t>
      </w:r>
      <w:r w:rsidRPr="001E48AC">
        <w:rPr>
          <w:rFonts w:cs="Times New Roman"/>
          <w:szCs w:val="28"/>
        </w:rPr>
        <w:t>analizē energoefektivitātes mērķu sasniegšanas gaita.</w:t>
      </w:r>
    </w:p>
    <w:p w14:paraId="5F085F24" w14:textId="11977B36" w:rsidR="007E0207" w:rsidRPr="001E48AC" w:rsidRDefault="007E0207" w:rsidP="007E0207">
      <w:pPr>
        <w:spacing w:after="0" w:line="240" w:lineRule="auto"/>
        <w:ind w:firstLine="709"/>
        <w:jc w:val="both"/>
        <w:rPr>
          <w:rFonts w:eastAsia="Calibri" w:cs="Times New Roman"/>
          <w:szCs w:val="28"/>
        </w:rPr>
      </w:pPr>
      <w:r w:rsidRPr="001E48AC">
        <w:rPr>
          <w:rFonts w:cs="Times New Roman"/>
          <w:szCs w:val="28"/>
        </w:rPr>
        <w:t xml:space="preserve">Informatīvais ziņojums </w:t>
      </w:r>
      <w:r w:rsidRPr="001E48AC">
        <w:rPr>
          <w:rFonts w:cs="Times New Roman"/>
          <w:b/>
          <w:szCs w:val="28"/>
        </w:rPr>
        <w:t xml:space="preserve">Par virzību uz indikatīvo valsts energoefektivitātes mērķi 2017. – 2019. gadā saskaņā ar </w:t>
      </w:r>
      <w:r w:rsidRPr="001E48AC">
        <w:rPr>
          <w:rFonts w:cs="Times New Roman"/>
          <w:b/>
          <w:bCs/>
          <w:szCs w:val="28"/>
        </w:rPr>
        <w:t>Eiropas Parlamenta un Padomes 2012. gada 25. oktobra Direktīvu 2012/27/ES par energoefektivitāti, ar ko groza Direktīvas 2009/125/EK un 2010/30/ES un atceļ Direktīvas 2004/8/EK un 2006/32/EK</w:t>
      </w:r>
      <w:r w:rsidR="00737FEE" w:rsidRPr="001E48AC">
        <w:rPr>
          <w:rFonts w:cs="Times New Roman"/>
          <w:b/>
          <w:bCs/>
          <w:szCs w:val="28"/>
        </w:rPr>
        <w:t xml:space="preserve"> </w:t>
      </w:r>
      <w:r w:rsidRPr="001E48AC">
        <w:rPr>
          <w:rFonts w:cs="Times New Roman"/>
          <w:szCs w:val="28"/>
        </w:rPr>
        <w:t xml:space="preserve">(turpmāk – Informatīvais </w:t>
      </w:r>
      <w:r w:rsidR="0049041D" w:rsidRPr="001E48AC">
        <w:rPr>
          <w:rFonts w:cs="Times New Roman"/>
          <w:szCs w:val="28"/>
        </w:rPr>
        <w:t>z</w:t>
      </w:r>
      <w:r w:rsidRPr="001E48AC">
        <w:rPr>
          <w:rFonts w:cs="Times New Roman"/>
          <w:szCs w:val="28"/>
        </w:rPr>
        <w:t xml:space="preserve">iņojums) ir izstrādāts, pamatojoties uz </w:t>
      </w:r>
      <w:r w:rsidRPr="001E48AC">
        <w:rPr>
          <w:rFonts w:cs="Times New Roman"/>
          <w:bCs/>
          <w:szCs w:val="28"/>
        </w:rPr>
        <w:t xml:space="preserve">Energoefektivitātes likuma 4.panta ceturtajā </w:t>
      </w:r>
      <w:r w:rsidR="00737FEE" w:rsidRPr="001E48AC">
        <w:rPr>
          <w:rFonts w:cs="Times New Roman"/>
          <w:bCs/>
          <w:szCs w:val="28"/>
        </w:rPr>
        <w:t>daļā</w:t>
      </w:r>
      <w:r w:rsidRPr="001E48AC">
        <w:rPr>
          <w:rFonts w:cs="Times New Roman"/>
          <w:bCs/>
          <w:szCs w:val="28"/>
        </w:rPr>
        <w:t xml:space="preserve"> noteiktajām prasībām un </w:t>
      </w:r>
      <w:r w:rsidRPr="001E48AC">
        <w:rPr>
          <w:rFonts w:cs="Times New Roman"/>
          <w:szCs w:val="28"/>
        </w:rPr>
        <w:t xml:space="preserve">Eiropas Parlamenta un Padomes </w:t>
      </w:r>
      <w:r w:rsidRPr="001E48AC">
        <w:rPr>
          <w:rFonts w:eastAsia="Times New Roman" w:cs="Times New Roman"/>
          <w:szCs w:val="28"/>
          <w:lang w:eastAsia="lv-LV"/>
        </w:rPr>
        <w:t>Direktīvas 2012/27/ES par energoefektivitāti, ar ko groza Direktīvas 2009/125/EK un 2010/30/ES un atceļ Direktīvas 2004/8/EK un 2006/32/EK (turpmāk - Direktīva 2012/27/ES) 24. panta 2. punkta prasībām</w:t>
      </w:r>
      <w:r w:rsidRPr="001E48AC">
        <w:rPr>
          <w:rFonts w:cs="Times New Roman"/>
          <w:szCs w:val="28"/>
        </w:rPr>
        <w:t>. Informatīvā ziņojuma izstrādāšanā ņemts vērā 2013. gada 22. maija Eiropas Komisijas īstenošanas lēmums 2013/242/ES</w:t>
      </w:r>
      <w:r w:rsidRPr="001E48AC">
        <w:rPr>
          <w:rStyle w:val="FootnoteReference"/>
          <w:rFonts w:cs="Times New Roman"/>
          <w:szCs w:val="28"/>
        </w:rPr>
        <w:footnoteReference w:id="2"/>
      </w:r>
      <w:r w:rsidRPr="001E48AC">
        <w:rPr>
          <w:rFonts w:cs="Times New Roman"/>
          <w:szCs w:val="28"/>
        </w:rPr>
        <w:t>.</w:t>
      </w:r>
    </w:p>
    <w:p w14:paraId="505164DC" w14:textId="39C63352" w:rsidR="003D2D6E" w:rsidRPr="001E48AC" w:rsidRDefault="003D2D6E" w:rsidP="007E0207">
      <w:pPr>
        <w:spacing w:after="0" w:line="240" w:lineRule="auto"/>
        <w:jc w:val="both"/>
      </w:pPr>
    </w:p>
    <w:p w14:paraId="32DF2CD3" w14:textId="77777777" w:rsidR="001D2C6E" w:rsidRPr="001E48AC" w:rsidRDefault="001D2C6E">
      <w:pPr>
        <w:rPr>
          <w:rFonts w:eastAsiaTheme="majorEastAsia" w:cs="Times New Roman"/>
          <w:b/>
          <w:bCs/>
          <w:szCs w:val="28"/>
        </w:rPr>
      </w:pPr>
      <w:r w:rsidRPr="001E48AC">
        <w:rPr>
          <w:rFonts w:cs="Times New Roman"/>
        </w:rPr>
        <w:br w:type="page"/>
      </w:r>
    </w:p>
    <w:p w14:paraId="5D972ED3" w14:textId="5BA06212" w:rsidR="00AA70E3" w:rsidRPr="001E48AC" w:rsidRDefault="00AA70E3" w:rsidP="00685686">
      <w:pPr>
        <w:pStyle w:val="Heading1"/>
        <w:spacing w:before="0" w:line="240" w:lineRule="auto"/>
        <w:rPr>
          <w:rFonts w:cs="Times New Roman"/>
          <w:color w:val="auto"/>
        </w:rPr>
      </w:pPr>
      <w:bookmarkStart w:id="1" w:name="_Toc482711515"/>
      <w:r w:rsidRPr="001E48AC">
        <w:rPr>
          <w:rFonts w:cs="Times New Roman"/>
          <w:color w:val="auto"/>
        </w:rPr>
        <w:lastRenderedPageBreak/>
        <w:t>2. PĀRSKATS PAR VALSTS ENERGOEFEKTIVITĀTES MĒRĶIEM UN IETAUPĪJUMIEM</w:t>
      </w:r>
      <w:bookmarkEnd w:id="1"/>
    </w:p>
    <w:p w14:paraId="0BEC4BDE" w14:textId="77777777" w:rsidR="00E878C0" w:rsidRPr="001E48AC" w:rsidRDefault="00E878C0" w:rsidP="007942A4">
      <w:pPr>
        <w:pStyle w:val="Heading2"/>
        <w:rPr>
          <w:color w:val="auto"/>
        </w:rPr>
      </w:pPr>
      <w:bookmarkStart w:id="2" w:name="_Toc482711516"/>
      <w:r w:rsidRPr="001E48AC">
        <w:rPr>
          <w:color w:val="auto"/>
        </w:rPr>
        <w:t>2.1. Indikatīvais valsts energoefektivitātes mērķi</w:t>
      </w:r>
      <w:r w:rsidR="00960CB5" w:rsidRPr="001E48AC">
        <w:rPr>
          <w:color w:val="auto"/>
        </w:rPr>
        <w:t>s</w:t>
      </w:r>
      <w:r w:rsidR="00CF55BC" w:rsidRPr="001E48AC">
        <w:rPr>
          <w:color w:val="auto"/>
        </w:rPr>
        <w:t xml:space="preserve"> 2020. </w:t>
      </w:r>
      <w:r w:rsidRPr="001E48AC">
        <w:rPr>
          <w:color w:val="auto"/>
        </w:rPr>
        <w:t>gadam</w:t>
      </w:r>
      <w:bookmarkEnd w:id="2"/>
    </w:p>
    <w:p w14:paraId="126C38F2" w14:textId="623DA9AD" w:rsidR="00601A8C" w:rsidRPr="001E48AC" w:rsidRDefault="002B185B" w:rsidP="007942A4">
      <w:pPr>
        <w:spacing w:after="0" w:line="240" w:lineRule="auto"/>
        <w:jc w:val="both"/>
        <w:rPr>
          <w:rFonts w:cs="Times New Roman"/>
          <w:szCs w:val="28"/>
        </w:rPr>
      </w:pPr>
      <w:r w:rsidRPr="001E48AC">
        <w:rPr>
          <w:rFonts w:cs="Times New Roman"/>
          <w:szCs w:val="28"/>
        </w:rPr>
        <w:tab/>
      </w:r>
      <w:r w:rsidR="00AC26F7" w:rsidRPr="001E48AC">
        <w:rPr>
          <w:rFonts w:cs="Times New Roman"/>
          <w:szCs w:val="28"/>
        </w:rPr>
        <w:t xml:space="preserve">Atbilstoši Direktīvas 2012/27/ES 3. panta prasībām noteiktais Latvijas indikatīvais valsts energoefektivitātes mērķis </w:t>
      </w:r>
      <w:r w:rsidR="00153FEE" w:rsidRPr="001E48AC">
        <w:rPr>
          <w:rFonts w:cs="Times New Roman"/>
          <w:szCs w:val="28"/>
        </w:rPr>
        <w:t xml:space="preserve">2020.gadam </w:t>
      </w:r>
      <w:r w:rsidR="00AC26F7" w:rsidRPr="001E48AC">
        <w:rPr>
          <w:rFonts w:cs="Times New Roman"/>
          <w:szCs w:val="28"/>
        </w:rPr>
        <w:t>ir primārās enerģijas patēriņš (neieskaitot enerģijas patēriņu ne-enerģētiskajām vajadzībā</w:t>
      </w:r>
      <w:r w:rsidR="00DF3137" w:rsidRPr="001E48AC">
        <w:rPr>
          <w:rFonts w:cs="Times New Roman"/>
          <w:szCs w:val="28"/>
        </w:rPr>
        <w:t>m</w:t>
      </w:r>
      <w:r w:rsidR="00AC26F7" w:rsidRPr="001E48AC">
        <w:rPr>
          <w:rFonts w:cs="Times New Roman"/>
          <w:szCs w:val="28"/>
        </w:rPr>
        <w:t>), kas izteikts absolūtās vienībās</w:t>
      </w:r>
      <w:r w:rsidR="00153FEE" w:rsidRPr="001E48AC">
        <w:rPr>
          <w:rFonts w:cs="Times New Roman"/>
          <w:szCs w:val="28"/>
        </w:rPr>
        <w:t xml:space="preserve"> -</w:t>
      </w:r>
      <w:r w:rsidR="00AC26F7" w:rsidRPr="001E48AC">
        <w:rPr>
          <w:rFonts w:cs="Times New Roman"/>
          <w:szCs w:val="28"/>
        </w:rPr>
        <w:t xml:space="preserve"> 225 PJ (5.4 Mtoe). Atbilstoš</w:t>
      </w:r>
      <w:r w:rsidR="00153FEE" w:rsidRPr="001E48AC">
        <w:rPr>
          <w:rFonts w:cs="Times New Roman"/>
          <w:szCs w:val="28"/>
        </w:rPr>
        <w:t>ais</w:t>
      </w:r>
      <w:r w:rsidR="00AC26F7" w:rsidRPr="001E48AC">
        <w:rPr>
          <w:rFonts w:cs="Times New Roman"/>
          <w:szCs w:val="28"/>
        </w:rPr>
        <w:t xml:space="preserve"> enerģijas galapatēriņa mērķis, neņemot vērā enerģijas patēriņu ne-enerģētiskajām vajadzībām,  2020.gadā ir 187 PJ (4.47 Mtoe). Šie indikatīvie mērķi paredz attiecīgi primārās enerģijas ietaupījumu 2020.gadā 28 PJ (0,670 Mtoe) un </w:t>
      </w:r>
      <w:r w:rsidR="00A22057" w:rsidRPr="001E48AC">
        <w:rPr>
          <w:rFonts w:cs="Times New Roman"/>
          <w:szCs w:val="28"/>
        </w:rPr>
        <w:t xml:space="preserve"> enerģijas galapatēriņa ietaupījumu </w:t>
      </w:r>
      <w:r w:rsidR="00AC26F7" w:rsidRPr="001E48AC">
        <w:rPr>
          <w:rFonts w:cs="Times New Roman"/>
          <w:szCs w:val="28"/>
        </w:rPr>
        <w:t>19 PJ (0.457).</w:t>
      </w:r>
    </w:p>
    <w:p w14:paraId="5CD1638C" w14:textId="087C15F9" w:rsidR="00601A8C" w:rsidRPr="001E48AC" w:rsidRDefault="00AC26F7" w:rsidP="00685686">
      <w:pPr>
        <w:pStyle w:val="Default"/>
        <w:ind w:firstLine="720"/>
        <w:jc w:val="both"/>
        <w:rPr>
          <w:rFonts w:eastAsia="Times New Roman"/>
          <w:b/>
          <w:color w:val="auto"/>
          <w:sz w:val="28"/>
          <w:szCs w:val="28"/>
        </w:rPr>
      </w:pPr>
      <w:r w:rsidRPr="001E48AC">
        <w:rPr>
          <w:color w:val="auto"/>
          <w:sz w:val="28"/>
          <w:szCs w:val="28"/>
        </w:rPr>
        <w:t xml:space="preserve">Indikatīvais primārās un galapatēriņa enerģijas mērķis tika aprēķināts, pamatojoties uz ilgtermiņa enerģijas patēriņa prognozēm </w:t>
      </w:r>
      <w:r w:rsidR="00DF3137" w:rsidRPr="001E48AC">
        <w:rPr>
          <w:color w:val="auto"/>
          <w:sz w:val="28"/>
          <w:szCs w:val="28"/>
        </w:rPr>
        <w:t xml:space="preserve">- </w:t>
      </w:r>
      <w:r w:rsidRPr="001E48AC">
        <w:rPr>
          <w:color w:val="auto"/>
          <w:sz w:val="28"/>
          <w:szCs w:val="28"/>
        </w:rPr>
        <w:t>bāzes scenārij</w:t>
      </w:r>
      <w:r w:rsidR="00DF3137" w:rsidRPr="001E48AC">
        <w:rPr>
          <w:color w:val="auto"/>
          <w:sz w:val="28"/>
          <w:szCs w:val="28"/>
        </w:rPr>
        <w:t>u</w:t>
      </w:r>
      <w:r w:rsidRPr="001E48AC">
        <w:rPr>
          <w:color w:val="auto"/>
          <w:sz w:val="28"/>
          <w:szCs w:val="28"/>
        </w:rPr>
        <w:t>, kas tika izstrādāts 2012.gadā. Bāzes scenārijs ņ</w:t>
      </w:r>
      <w:r w:rsidR="00DF3137" w:rsidRPr="001E48AC">
        <w:rPr>
          <w:color w:val="auto"/>
          <w:sz w:val="28"/>
          <w:szCs w:val="28"/>
        </w:rPr>
        <w:t>e</w:t>
      </w:r>
      <w:r w:rsidRPr="001E48AC">
        <w:rPr>
          <w:color w:val="auto"/>
          <w:sz w:val="28"/>
          <w:szCs w:val="28"/>
        </w:rPr>
        <w:t xml:space="preserve">m vērā visus uz </w:t>
      </w:r>
      <w:r w:rsidR="00DF3137" w:rsidRPr="001E48AC">
        <w:rPr>
          <w:color w:val="auto"/>
          <w:sz w:val="28"/>
          <w:szCs w:val="28"/>
        </w:rPr>
        <w:t xml:space="preserve">prognožu izstrādes </w:t>
      </w:r>
      <w:r w:rsidRPr="001E48AC">
        <w:rPr>
          <w:color w:val="auto"/>
          <w:sz w:val="28"/>
          <w:szCs w:val="28"/>
        </w:rPr>
        <w:t>laiku spēkā esošos enerģijas efektivitātes paaugstināšanas pasākumus un politikas</w:t>
      </w:r>
      <w:r w:rsidR="00153FEE" w:rsidRPr="001E48AC">
        <w:rPr>
          <w:color w:val="auto"/>
          <w:sz w:val="28"/>
          <w:szCs w:val="28"/>
        </w:rPr>
        <w:t xml:space="preserve">, kuri pēc to īstenošanas </w:t>
      </w:r>
      <w:r w:rsidRPr="001E48AC">
        <w:rPr>
          <w:color w:val="auto"/>
          <w:sz w:val="28"/>
          <w:szCs w:val="28"/>
        </w:rPr>
        <w:t>ietekm</w:t>
      </w:r>
      <w:r w:rsidR="00153FEE" w:rsidRPr="001E48AC">
        <w:rPr>
          <w:color w:val="auto"/>
          <w:sz w:val="28"/>
          <w:szCs w:val="28"/>
        </w:rPr>
        <w:t>ēs</w:t>
      </w:r>
      <w:r w:rsidRPr="001E48AC">
        <w:rPr>
          <w:color w:val="auto"/>
          <w:sz w:val="28"/>
          <w:szCs w:val="28"/>
        </w:rPr>
        <w:t xml:space="preserve"> enerģijas p</w:t>
      </w:r>
      <w:r w:rsidR="00187C27" w:rsidRPr="001E48AC">
        <w:rPr>
          <w:color w:val="auto"/>
          <w:sz w:val="28"/>
          <w:szCs w:val="28"/>
        </w:rPr>
        <w:t>atēriņu 2020.gadā. D</w:t>
      </w:r>
      <w:r w:rsidR="00BB3C4D" w:rsidRPr="001E48AC">
        <w:rPr>
          <w:color w:val="auto"/>
          <w:sz w:val="28"/>
          <w:szCs w:val="28"/>
        </w:rPr>
        <w:t>etalizēt</w:t>
      </w:r>
      <w:r w:rsidR="00187C27" w:rsidRPr="001E48AC">
        <w:rPr>
          <w:color w:val="auto"/>
          <w:sz w:val="28"/>
          <w:szCs w:val="28"/>
        </w:rPr>
        <w:t>a</w:t>
      </w:r>
      <w:r w:rsidRPr="001E48AC">
        <w:rPr>
          <w:color w:val="auto"/>
          <w:sz w:val="28"/>
          <w:szCs w:val="28"/>
        </w:rPr>
        <w:t xml:space="preserve"> enerģijas patēriņa  prognožu aprēķināšanas gaita dota </w:t>
      </w:r>
      <w:r w:rsidRPr="001E48AC">
        <w:rPr>
          <w:bCs/>
          <w:color w:val="auto"/>
          <w:sz w:val="28"/>
          <w:szCs w:val="28"/>
        </w:rPr>
        <w:t>In</w:t>
      </w:r>
      <w:r w:rsidR="00BB3C4D" w:rsidRPr="001E48AC">
        <w:rPr>
          <w:bCs/>
          <w:color w:val="auto"/>
          <w:sz w:val="28"/>
          <w:szCs w:val="28"/>
        </w:rPr>
        <w:t xml:space="preserve">formatīvajā  ziņojumā </w:t>
      </w:r>
      <w:r w:rsidR="00187C27" w:rsidRPr="001E48AC">
        <w:rPr>
          <w:bCs/>
          <w:color w:val="auto"/>
          <w:sz w:val="28"/>
          <w:szCs w:val="28"/>
        </w:rPr>
        <w:t>“</w:t>
      </w:r>
      <w:r w:rsidR="00187C27" w:rsidRPr="001E48AC">
        <w:rPr>
          <w:color w:val="auto"/>
          <w:sz w:val="28"/>
          <w:szCs w:val="28"/>
        </w:rPr>
        <w:t xml:space="preserve">Par virzību uz indikatīvo valsts energoefektivitātes mērķi 2014. – 2016. gadā saskaņā ar </w:t>
      </w:r>
      <w:r w:rsidR="00187C27" w:rsidRPr="001E48AC">
        <w:rPr>
          <w:bCs/>
          <w:color w:val="auto"/>
          <w:sz w:val="28"/>
          <w:szCs w:val="28"/>
        </w:rPr>
        <w:t>Eiropas Parlamenta un Padomes 2012. gada 25. oktobra Direktīvu 2012/27/ES par energoefektivitāti, ar ko groza Direktīvas 2009/125/EK un 2010/30/ES un atceļ Direktīvas 2004/8/EK un 2006/32/EK</w:t>
      </w:r>
      <w:r w:rsidR="00187C27" w:rsidRPr="001E48AC">
        <w:rPr>
          <w:color w:val="auto"/>
          <w:sz w:val="28"/>
          <w:szCs w:val="28"/>
        </w:rPr>
        <w:t>”</w:t>
      </w:r>
      <w:r w:rsidR="00187C27" w:rsidRPr="001E48AC">
        <w:rPr>
          <w:rStyle w:val="FootnoteReference"/>
          <w:color w:val="auto"/>
          <w:sz w:val="28"/>
          <w:szCs w:val="28"/>
        </w:rPr>
        <w:footnoteReference w:id="3"/>
      </w:r>
      <w:r w:rsidR="00187C27" w:rsidRPr="001E48AC">
        <w:rPr>
          <w:color w:val="auto"/>
          <w:sz w:val="28"/>
          <w:szCs w:val="28"/>
        </w:rPr>
        <w:t xml:space="preserve"> (turpmāk - </w:t>
      </w:r>
      <w:r w:rsidR="00D21293" w:rsidRPr="001E48AC">
        <w:rPr>
          <w:color w:val="auto"/>
          <w:sz w:val="28"/>
          <w:szCs w:val="28"/>
        </w:rPr>
        <w:t>I</w:t>
      </w:r>
      <w:r w:rsidR="00187C27" w:rsidRPr="001E48AC">
        <w:rPr>
          <w:color w:val="auto"/>
          <w:sz w:val="28"/>
          <w:szCs w:val="28"/>
        </w:rPr>
        <w:t>nformatīv</w:t>
      </w:r>
      <w:r w:rsidR="00D21293" w:rsidRPr="001E48AC">
        <w:rPr>
          <w:color w:val="auto"/>
          <w:sz w:val="28"/>
          <w:szCs w:val="28"/>
        </w:rPr>
        <w:t>ais</w:t>
      </w:r>
      <w:r w:rsidR="00187C27" w:rsidRPr="001E48AC">
        <w:rPr>
          <w:color w:val="auto"/>
          <w:sz w:val="28"/>
          <w:szCs w:val="28"/>
        </w:rPr>
        <w:t xml:space="preserve"> </w:t>
      </w:r>
      <w:r w:rsidR="00D21293" w:rsidRPr="001E48AC">
        <w:rPr>
          <w:color w:val="auto"/>
          <w:sz w:val="28"/>
          <w:szCs w:val="28"/>
        </w:rPr>
        <w:t>ziņojums</w:t>
      </w:r>
      <w:r w:rsidR="00187C27" w:rsidRPr="001E48AC">
        <w:rPr>
          <w:color w:val="auto"/>
          <w:sz w:val="28"/>
          <w:szCs w:val="28"/>
        </w:rPr>
        <w:t xml:space="preserve"> 2014.-2016.</w:t>
      </w:r>
      <w:r w:rsidR="00D21293" w:rsidRPr="001E48AC">
        <w:rPr>
          <w:color w:val="auto"/>
          <w:sz w:val="28"/>
          <w:szCs w:val="28"/>
        </w:rPr>
        <w:t>).</w:t>
      </w:r>
    </w:p>
    <w:p w14:paraId="50D47346" w14:textId="1F24D300" w:rsidR="00C31A62" w:rsidRPr="001E48AC" w:rsidRDefault="00C31A62" w:rsidP="007942A4">
      <w:pPr>
        <w:pStyle w:val="Heading2"/>
        <w:rPr>
          <w:color w:val="auto"/>
        </w:rPr>
      </w:pPr>
      <w:bookmarkStart w:id="3" w:name="_Toc482711517"/>
      <w:r w:rsidRPr="001E48AC">
        <w:rPr>
          <w:color w:val="auto"/>
        </w:rPr>
        <w:t>2.2.</w:t>
      </w:r>
      <w:r w:rsidR="00413270" w:rsidRPr="001E48AC">
        <w:rPr>
          <w:color w:val="auto"/>
        </w:rPr>
        <w:t xml:space="preserve"> </w:t>
      </w:r>
      <w:r w:rsidRPr="001E48AC">
        <w:rPr>
          <w:color w:val="auto"/>
        </w:rPr>
        <w:t>Enerģijas galapatēriņa indikatīvai</w:t>
      </w:r>
      <w:r w:rsidR="00153FEE" w:rsidRPr="001E48AC">
        <w:rPr>
          <w:color w:val="auto"/>
        </w:rPr>
        <w:t>s</w:t>
      </w:r>
      <w:r w:rsidRPr="001E48AC">
        <w:rPr>
          <w:color w:val="auto"/>
        </w:rPr>
        <w:t xml:space="preserve"> mērķis </w:t>
      </w:r>
      <w:r w:rsidR="006D72A7" w:rsidRPr="001E48AC">
        <w:rPr>
          <w:color w:val="auto"/>
        </w:rPr>
        <w:t>a</w:t>
      </w:r>
      <w:r w:rsidRPr="001E48AC">
        <w:rPr>
          <w:color w:val="auto"/>
        </w:rPr>
        <w:t xml:space="preserve">tbilstoši Direktīvas </w:t>
      </w:r>
      <w:r w:rsidR="00153FEE" w:rsidRPr="001E48AC">
        <w:rPr>
          <w:color w:val="auto"/>
        </w:rPr>
        <w:t>2006/32/</w:t>
      </w:r>
      <w:r w:rsidRPr="001E48AC">
        <w:rPr>
          <w:color w:val="auto"/>
        </w:rPr>
        <w:t>EK prasībām</w:t>
      </w:r>
      <w:bookmarkEnd w:id="3"/>
    </w:p>
    <w:p w14:paraId="082DD7DA" w14:textId="16507096" w:rsidR="001D2C6E" w:rsidRPr="001E48AC" w:rsidRDefault="00AC26F7" w:rsidP="00685686">
      <w:pPr>
        <w:pStyle w:val="doc-ti"/>
        <w:spacing w:before="0" w:beforeAutospacing="0" w:after="0" w:afterAutospacing="0"/>
        <w:ind w:firstLine="720"/>
        <w:jc w:val="both"/>
        <w:rPr>
          <w:sz w:val="28"/>
          <w:szCs w:val="28"/>
        </w:rPr>
      </w:pPr>
      <w:r w:rsidRPr="001E48AC">
        <w:rPr>
          <w:sz w:val="28"/>
          <w:szCs w:val="28"/>
        </w:rPr>
        <w:t xml:space="preserve">Saskaņā ar </w:t>
      </w:r>
      <w:r w:rsidR="00187C27" w:rsidRPr="001E48AC">
        <w:rPr>
          <w:sz w:val="28"/>
          <w:szCs w:val="28"/>
        </w:rPr>
        <w:t>Eiropas Parlamenta un P</w:t>
      </w:r>
      <w:r w:rsidRPr="001E48AC">
        <w:rPr>
          <w:sz w:val="28"/>
          <w:szCs w:val="28"/>
        </w:rPr>
        <w:t>adomes 2006.gada 5.aprīļa Direktīvas 2006/32/EK</w:t>
      </w:r>
      <w:r w:rsidR="00153FEE" w:rsidRPr="001E48AC">
        <w:rPr>
          <w:sz w:val="28"/>
          <w:szCs w:val="28"/>
        </w:rPr>
        <w:t xml:space="preserve"> </w:t>
      </w:r>
      <w:r w:rsidRPr="001E48AC">
        <w:rPr>
          <w:bCs/>
          <w:sz w:val="28"/>
          <w:szCs w:val="28"/>
        </w:rPr>
        <w:t>par enerģijas galapatēriņa efektivitāti un energoefektivitātes pakalpojumiem un ar ko atceļ Padomes Direktīvu 93/76/EEK (turpmāk – Direktīva 2006/32/EK)</w:t>
      </w:r>
      <w:r w:rsidRPr="001E48AC">
        <w:rPr>
          <w:sz w:val="28"/>
          <w:szCs w:val="28"/>
        </w:rPr>
        <w:t>1 Pielikuma metodiku aprēķinātais indikatīvais enerģijas galapatēriņa ietaupījuma mērķis uz 2016.gadu ir 3483 GWh</w:t>
      </w:r>
      <w:r w:rsidRPr="001E48AC">
        <w:rPr>
          <w:rStyle w:val="FootnoteReference"/>
          <w:sz w:val="28"/>
          <w:szCs w:val="28"/>
        </w:rPr>
        <w:footnoteReference w:id="4"/>
      </w:r>
      <w:r w:rsidRPr="001E48AC">
        <w:rPr>
          <w:sz w:val="28"/>
          <w:szCs w:val="28"/>
        </w:rPr>
        <w:t xml:space="preserve"> (12.5 PJ). </w:t>
      </w:r>
      <w:r w:rsidR="00413270" w:rsidRPr="001E48AC">
        <w:rPr>
          <w:sz w:val="28"/>
          <w:szCs w:val="28"/>
        </w:rPr>
        <w:t>Direktīva 2006/32/EK nav spēkā no 2012.gada 5.decembra, bet tajā noteiktais indikatīvais enerģijas galapatēriņa mērķis bija saistošs līdz 2016.gadam un attiecīgi tā progresa ziņošana tiks veikta līdz 2018.gadam.</w:t>
      </w:r>
    </w:p>
    <w:p w14:paraId="26FBD727" w14:textId="77777777" w:rsidR="001D2C6E" w:rsidRPr="001E48AC" w:rsidRDefault="001D2C6E">
      <w:pPr>
        <w:rPr>
          <w:rFonts w:eastAsia="Times New Roman" w:cs="Times New Roman"/>
          <w:szCs w:val="28"/>
          <w:lang w:eastAsia="lv-LV"/>
        </w:rPr>
      </w:pPr>
      <w:r w:rsidRPr="001E48AC">
        <w:rPr>
          <w:szCs w:val="28"/>
        </w:rPr>
        <w:br w:type="page"/>
      </w:r>
    </w:p>
    <w:p w14:paraId="61BE78B2" w14:textId="7F45D177" w:rsidR="00153FEE" w:rsidRPr="001E48AC" w:rsidRDefault="00C21CA5" w:rsidP="007942A4">
      <w:pPr>
        <w:autoSpaceDE w:val="0"/>
        <w:autoSpaceDN w:val="0"/>
        <w:adjustRightInd w:val="0"/>
        <w:spacing w:after="0" w:line="240" w:lineRule="auto"/>
        <w:rPr>
          <w:rFonts w:cs="Times New Roman"/>
          <w:b/>
          <w:szCs w:val="28"/>
        </w:rPr>
      </w:pPr>
      <w:r w:rsidRPr="001E48AC">
        <w:rPr>
          <w:b/>
          <w:szCs w:val="28"/>
        </w:rPr>
        <w:lastRenderedPageBreak/>
        <w:t>1.tabula. I</w:t>
      </w:r>
      <w:r w:rsidR="00AC26F7" w:rsidRPr="001E48AC">
        <w:rPr>
          <w:b/>
          <w:szCs w:val="28"/>
        </w:rPr>
        <w:t xml:space="preserve">ndikatīvā energoefektivitātes mērķa </w:t>
      </w:r>
      <w:r w:rsidR="00187C27" w:rsidRPr="001E48AC">
        <w:rPr>
          <w:rFonts w:cs="Times New Roman"/>
          <w:b/>
          <w:szCs w:val="28"/>
        </w:rPr>
        <w:t xml:space="preserve">atbilstoši Direktīvas 2006/32/EK prasībām </w:t>
      </w:r>
      <w:r w:rsidR="00AC26F7" w:rsidRPr="001E48AC">
        <w:rPr>
          <w:b/>
          <w:szCs w:val="28"/>
        </w:rPr>
        <w:t>aprēķinātā sasniegšanas trajektorija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28"/>
        <w:gridCol w:w="1704"/>
        <w:gridCol w:w="1705"/>
        <w:gridCol w:w="1967"/>
      </w:tblGrid>
      <w:tr w:rsidR="00C31A62" w:rsidRPr="001E48AC" w14:paraId="6D3871DB" w14:textId="77777777" w:rsidTr="00E45A96">
        <w:tc>
          <w:tcPr>
            <w:tcW w:w="1980" w:type="dxa"/>
            <w:shd w:val="clear" w:color="auto" w:fill="auto"/>
          </w:tcPr>
          <w:p w14:paraId="63293A56" w14:textId="77777777" w:rsidR="00C31A62" w:rsidRPr="001E48AC" w:rsidRDefault="00C31A62" w:rsidP="00C31A62">
            <w:pPr>
              <w:rPr>
                <w:rFonts w:cs="Times New Roman"/>
                <w:szCs w:val="28"/>
              </w:rPr>
            </w:pPr>
          </w:p>
        </w:tc>
        <w:tc>
          <w:tcPr>
            <w:tcW w:w="1428" w:type="dxa"/>
            <w:shd w:val="clear" w:color="auto" w:fill="auto"/>
          </w:tcPr>
          <w:p w14:paraId="3FAFEC87" w14:textId="77777777" w:rsidR="00C31A62" w:rsidRPr="001E48AC" w:rsidRDefault="00AC26F7" w:rsidP="00C31A62">
            <w:pPr>
              <w:jc w:val="center"/>
              <w:rPr>
                <w:rFonts w:cs="Times New Roman"/>
                <w:b/>
                <w:szCs w:val="28"/>
              </w:rPr>
            </w:pPr>
            <w:r w:rsidRPr="001E48AC">
              <w:rPr>
                <w:rFonts w:cs="Times New Roman"/>
                <w:b/>
                <w:szCs w:val="28"/>
              </w:rPr>
              <w:t>2010</w:t>
            </w:r>
          </w:p>
        </w:tc>
        <w:tc>
          <w:tcPr>
            <w:tcW w:w="1704" w:type="dxa"/>
            <w:shd w:val="clear" w:color="auto" w:fill="auto"/>
          </w:tcPr>
          <w:p w14:paraId="5B11D779" w14:textId="77777777" w:rsidR="00C31A62" w:rsidRPr="001E48AC" w:rsidRDefault="00AC26F7" w:rsidP="00C31A62">
            <w:pPr>
              <w:jc w:val="center"/>
              <w:rPr>
                <w:rFonts w:cs="Times New Roman"/>
                <w:b/>
                <w:szCs w:val="28"/>
              </w:rPr>
            </w:pPr>
            <w:r w:rsidRPr="001E48AC">
              <w:rPr>
                <w:rFonts w:cs="Times New Roman"/>
                <w:b/>
                <w:szCs w:val="28"/>
              </w:rPr>
              <w:t>2012</w:t>
            </w:r>
          </w:p>
        </w:tc>
        <w:tc>
          <w:tcPr>
            <w:tcW w:w="1705" w:type="dxa"/>
            <w:shd w:val="clear" w:color="auto" w:fill="auto"/>
          </w:tcPr>
          <w:p w14:paraId="56843464" w14:textId="77777777" w:rsidR="00C31A62" w:rsidRPr="001E48AC" w:rsidRDefault="00AC26F7" w:rsidP="00C31A62">
            <w:pPr>
              <w:jc w:val="center"/>
              <w:rPr>
                <w:rFonts w:cs="Times New Roman"/>
                <w:b/>
                <w:szCs w:val="28"/>
              </w:rPr>
            </w:pPr>
            <w:r w:rsidRPr="001E48AC">
              <w:rPr>
                <w:rFonts w:cs="Times New Roman"/>
                <w:b/>
                <w:szCs w:val="28"/>
              </w:rPr>
              <w:t>2014</w:t>
            </w:r>
          </w:p>
        </w:tc>
        <w:tc>
          <w:tcPr>
            <w:tcW w:w="1967" w:type="dxa"/>
            <w:shd w:val="clear" w:color="auto" w:fill="auto"/>
          </w:tcPr>
          <w:p w14:paraId="28DACEB3" w14:textId="77777777" w:rsidR="00C31A62" w:rsidRPr="001E48AC" w:rsidRDefault="00AC26F7" w:rsidP="00C31A62">
            <w:pPr>
              <w:jc w:val="center"/>
              <w:rPr>
                <w:rFonts w:cs="Times New Roman"/>
                <w:b/>
                <w:szCs w:val="28"/>
              </w:rPr>
            </w:pPr>
            <w:r w:rsidRPr="001E48AC">
              <w:rPr>
                <w:rFonts w:cs="Times New Roman"/>
                <w:b/>
                <w:szCs w:val="28"/>
              </w:rPr>
              <w:t>2016</w:t>
            </w:r>
          </w:p>
        </w:tc>
      </w:tr>
      <w:tr w:rsidR="00C31A62" w:rsidRPr="001E48AC" w14:paraId="0AFA3031" w14:textId="77777777" w:rsidTr="00E45A96">
        <w:tc>
          <w:tcPr>
            <w:tcW w:w="1980" w:type="dxa"/>
            <w:shd w:val="clear" w:color="auto" w:fill="auto"/>
          </w:tcPr>
          <w:p w14:paraId="2974CDAE" w14:textId="77777777" w:rsidR="00C31A62" w:rsidRPr="001E48AC" w:rsidRDefault="006D72A7" w:rsidP="006D72A7">
            <w:pPr>
              <w:rPr>
                <w:rFonts w:cs="Times New Roman"/>
                <w:szCs w:val="28"/>
              </w:rPr>
            </w:pPr>
            <w:r w:rsidRPr="001E48AC">
              <w:rPr>
                <w:rFonts w:cs="Times New Roman"/>
                <w:szCs w:val="28"/>
              </w:rPr>
              <w:t>Aprēķinātais mērķis, GWh</w:t>
            </w:r>
          </w:p>
        </w:tc>
        <w:tc>
          <w:tcPr>
            <w:tcW w:w="1428" w:type="dxa"/>
            <w:shd w:val="clear" w:color="auto" w:fill="auto"/>
          </w:tcPr>
          <w:p w14:paraId="01034E14" w14:textId="77777777" w:rsidR="00C31A62" w:rsidRPr="001E48AC" w:rsidRDefault="00AC26F7" w:rsidP="00C31A62">
            <w:pPr>
              <w:jc w:val="center"/>
              <w:rPr>
                <w:rFonts w:cs="Times New Roman"/>
                <w:szCs w:val="28"/>
              </w:rPr>
            </w:pPr>
            <w:r w:rsidRPr="001E48AC">
              <w:rPr>
                <w:rFonts w:cs="Times New Roman"/>
                <w:szCs w:val="28"/>
              </w:rPr>
              <w:t>67</w:t>
            </w:r>
          </w:p>
        </w:tc>
        <w:tc>
          <w:tcPr>
            <w:tcW w:w="1704" w:type="dxa"/>
            <w:shd w:val="clear" w:color="auto" w:fill="auto"/>
          </w:tcPr>
          <w:p w14:paraId="76D6FBC7" w14:textId="77777777" w:rsidR="00C31A62" w:rsidRPr="001E48AC" w:rsidRDefault="00AC26F7" w:rsidP="00C31A62">
            <w:pPr>
              <w:jc w:val="center"/>
              <w:rPr>
                <w:rFonts w:cs="Times New Roman"/>
                <w:szCs w:val="28"/>
              </w:rPr>
            </w:pPr>
            <w:r w:rsidRPr="001E48AC">
              <w:rPr>
                <w:rFonts w:cs="Times New Roman"/>
                <w:szCs w:val="28"/>
              </w:rPr>
              <w:t>1161</w:t>
            </w:r>
          </w:p>
        </w:tc>
        <w:tc>
          <w:tcPr>
            <w:tcW w:w="1705" w:type="dxa"/>
            <w:shd w:val="clear" w:color="auto" w:fill="auto"/>
          </w:tcPr>
          <w:p w14:paraId="3085E912" w14:textId="77777777" w:rsidR="00C31A62" w:rsidRPr="001E48AC" w:rsidRDefault="00AC26F7" w:rsidP="00C31A62">
            <w:pPr>
              <w:jc w:val="center"/>
              <w:rPr>
                <w:rFonts w:cs="Times New Roman"/>
                <w:szCs w:val="28"/>
              </w:rPr>
            </w:pPr>
            <w:r w:rsidRPr="001E48AC">
              <w:rPr>
                <w:rFonts w:cs="Times New Roman"/>
                <w:szCs w:val="28"/>
              </w:rPr>
              <w:t>2477</w:t>
            </w:r>
          </w:p>
        </w:tc>
        <w:tc>
          <w:tcPr>
            <w:tcW w:w="1967" w:type="dxa"/>
            <w:shd w:val="clear" w:color="auto" w:fill="auto"/>
          </w:tcPr>
          <w:p w14:paraId="1C4B2C96" w14:textId="77777777" w:rsidR="00C31A62" w:rsidRPr="001E48AC" w:rsidRDefault="00AC26F7" w:rsidP="00C31A62">
            <w:pPr>
              <w:jc w:val="center"/>
              <w:rPr>
                <w:rFonts w:cs="Times New Roman"/>
                <w:szCs w:val="28"/>
              </w:rPr>
            </w:pPr>
            <w:r w:rsidRPr="001E48AC">
              <w:rPr>
                <w:rFonts w:cs="Times New Roman"/>
                <w:szCs w:val="28"/>
              </w:rPr>
              <w:t>3483</w:t>
            </w:r>
          </w:p>
        </w:tc>
      </w:tr>
    </w:tbl>
    <w:p w14:paraId="422E8C00" w14:textId="3481C6B4" w:rsidR="00AA70E3" w:rsidRPr="001E48AC" w:rsidRDefault="00AA70E3" w:rsidP="00611B34">
      <w:pPr>
        <w:pStyle w:val="Heading2"/>
        <w:spacing w:after="120"/>
        <w:rPr>
          <w:color w:val="auto"/>
          <w:szCs w:val="28"/>
        </w:rPr>
      </w:pPr>
      <w:bookmarkStart w:id="4" w:name="_Toc482711518"/>
      <w:r w:rsidRPr="001E48AC">
        <w:rPr>
          <w:color w:val="auto"/>
          <w:szCs w:val="28"/>
        </w:rPr>
        <w:t>2.</w:t>
      </w:r>
      <w:r w:rsidR="004D5351" w:rsidRPr="001E48AC">
        <w:rPr>
          <w:color w:val="auto"/>
          <w:szCs w:val="28"/>
        </w:rPr>
        <w:t>3</w:t>
      </w:r>
      <w:r w:rsidRPr="001E48AC">
        <w:rPr>
          <w:color w:val="auto"/>
          <w:szCs w:val="28"/>
        </w:rPr>
        <w:t>. Papildu energoefektivitātes mērķi</w:t>
      </w:r>
      <w:bookmarkEnd w:id="4"/>
    </w:p>
    <w:p w14:paraId="0EBDA489" w14:textId="2D889701" w:rsidR="00110928" w:rsidRPr="001E48AC" w:rsidRDefault="0059107B" w:rsidP="0066561B">
      <w:pPr>
        <w:autoSpaceDE w:val="0"/>
        <w:autoSpaceDN w:val="0"/>
        <w:adjustRightInd w:val="0"/>
        <w:spacing w:after="0" w:line="240" w:lineRule="auto"/>
        <w:jc w:val="both"/>
        <w:rPr>
          <w:rFonts w:cs="Times New Roman"/>
          <w:szCs w:val="28"/>
        </w:rPr>
      </w:pPr>
      <w:r w:rsidRPr="001E48AC">
        <w:rPr>
          <w:rFonts w:cs="Times New Roman"/>
          <w:szCs w:val="28"/>
        </w:rPr>
        <w:t>Saskaņā ar Enerģētikas Pamatnostādnēm</w:t>
      </w:r>
      <w:r w:rsidR="002873CB" w:rsidRPr="001E48AC">
        <w:rPr>
          <w:rFonts w:cs="Times New Roman"/>
          <w:sz w:val="24"/>
          <w:szCs w:val="24"/>
        </w:rPr>
        <w:t xml:space="preserve"> </w:t>
      </w:r>
      <w:r w:rsidRPr="001E48AC">
        <w:rPr>
          <w:rFonts w:cs="Times New Roman"/>
          <w:szCs w:val="28"/>
        </w:rPr>
        <w:t>2020 u</w:t>
      </w:r>
      <w:r w:rsidR="00110928" w:rsidRPr="001E48AC">
        <w:rPr>
          <w:rFonts w:cs="Times New Roman"/>
          <w:szCs w:val="28"/>
        </w:rPr>
        <w:t xml:space="preserve">z tautsaimniecību kopumā attiecas </w:t>
      </w:r>
      <w:r w:rsidR="00611B34" w:rsidRPr="001E48AC">
        <w:rPr>
          <w:rFonts w:cs="Times New Roman"/>
          <w:szCs w:val="28"/>
        </w:rPr>
        <w:t xml:space="preserve"> </w:t>
      </w:r>
      <w:r w:rsidR="00110928" w:rsidRPr="001E48AC">
        <w:rPr>
          <w:rFonts w:cs="Times New Roman"/>
          <w:szCs w:val="28"/>
        </w:rPr>
        <w:t>šādi energoefektivitātes mērķi:</w:t>
      </w:r>
    </w:p>
    <w:p w14:paraId="3E0B6631" w14:textId="77777777" w:rsidR="0059107B" w:rsidRPr="001E48AC" w:rsidRDefault="0059107B" w:rsidP="0059107B">
      <w:pPr>
        <w:numPr>
          <w:ilvl w:val="2"/>
          <w:numId w:val="37"/>
        </w:numPr>
        <w:spacing w:after="0" w:line="240" w:lineRule="auto"/>
        <w:contextualSpacing/>
        <w:jc w:val="both"/>
        <w:rPr>
          <w:rFonts w:eastAsia="Calibri" w:cs="Times New Roman"/>
          <w:szCs w:val="28"/>
        </w:rPr>
      </w:pPr>
      <w:r w:rsidRPr="001E48AC">
        <w:rPr>
          <w:rFonts w:eastAsia="Calibri" w:cs="Times New Roman"/>
          <w:szCs w:val="28"/>
        </w:rPr>
        <w:t>primārās enerģijas ietaupījums 2020.gadā - 0,670 Mtoe (28 PJ), mērķis nesaistošs, noteikts Latvijas nacionālajā reformu programmā „ES 2020” ;</w:t>
      </w:r>
    </w:p>
    <w:p w14:paraId="565C4688" w14:textId="26C9CEE5" w:rsidR="0059107B" w:rsidRPr="001E48AC" w:rsidRDefault="0059107B" w:rsidP="0059107B">
      <w:pPr>
        <w:numPr>
          <w:ilvl w:val="2"/>
          <w:numId w:val="37"/>
        </w:numPr>
        <w:spacing w:after="0" w:line="240" w:lineRule="auto"/>
        <w:contextualSpacing/>
        <w:jc w:val="both"/>
        <w:rPr>
          <w:rFonts w:eastAsia="Calibri" w:cs="Times New Roman"/>
          <w:szCs w:val="28"/>
        </w:rPr>
      </w:pPr>
      <w:r w:rsidRPr="001E48AC">
        <w:rPr>
          <w:rFonts w:eastAsia="Calibri" w:cs="Times New Roman"/>
          <w:szCs w:val="28"/>
        </w:rPr>
        <w:t xml:space="preserve">valsts obligātais uzkrātais gala enerģijas ietaupījums līdz 2020.gadam </w:t>
      </w:r>
      <w:r w:rsidR="00147FB1" w:rsidRPr="001E48AC">
        <w:rPr>
          <w:rFonts w:eastAsia="Calibri" w:cs="Times New Roman"/>
          <w:szCs w:val="28"/>
        </w:rPr>
        <w:t>–</w:t>
      </w:r>
      <w:r w:rsidRPr="001E48AC">
        <w:rPr>
          <w:rFonts w:eastAsia="Calibri" w:cs="Times New Roman"/>
          <w:szCs w:val="28"/>
        </w:rPr>
        <w:t xml:space="preserve"> </w:t>
      </w:r>
      <w:r w:rsidR="00147FB1" w:rsidRPr="001E48AC">
        <w:rPr>
          <w:rFonts w:eastAsia="Calibri" w:cs="Times New Roman"/>
          <w:szCs w:val="28"/>
        </w:rPr>
        <w:t>9896 GWh (</w:t>
      </w:r>
      <w:r w:rsidRPr="001E48AC">
        <w:rPr>
          <w:rFonts w:eastAsia="Calibri" w:cs="Times New Roman"/>
          <w:szCs w:val="28"/>
        </w:rPr>
        <w:t>0,850 Mtoe</w:t>
      </w:r>
      <w:r w:rsidR="00147FB1" w:rsidRPr="001E48AC">
        <w:rPr>
          <w:rFonts w:eastAsia="Calibri" w:cs="Times New Roman"/>
          <w:szCs w:val="28"/>
        </w:rPr>
        <w:t>)</w:t>
      </w:r>
      <w:r w:rsidRPr="001E48AC">
        <w:rPr>
          <w:rFonts w:eastAsia="Calibri" w:cs="Times New Roman"/>
          <w:szCs w:val="28"/>
        </w:rPr>
        <w:t xml:space="preserve">;  </w:t>
      </w:r>
    </w:p>
    <w:p w14:paraId="2D0ABC5A" w14:textId="1822BC28" w:rsidR="0059107B" w:rsidRPr="001E48AC" w:rsidRDefault="0059107B" w:rsidP="0059107B">
      <w:pPr>
        <w:numPr>
          <w:ilvl w:val="2"/>
          <w:numId w:val="37"/>
        </w:numPr>
        <w:spacing w:after="0" w:line="240" w:lineRule="auto"/>
        <w:contextualSpacing/>
        <w:jc w:val="both"/>
        <w:rPr>
          <w:rFonts w:eastAsia="Calibri" w:cs="Times New Roman"/>
          <w:szCs w:val="28"/>
        </w:rPr>
      </w:pPr>
      <w:r w:rsidRPr="001E48AC">
        <w:rPr>
          <w:rFonts w:eastAsia="Calibri" w:cs="Times New Roman"/>
          <w:szCs w:val="28"/>
        </w:rPr>
        <w:t>katru gadu renovēti 3% no tiešās pārvaldes ēku platības (maksimālā prognoze – kopā renovēti 678 460 m</w:t>
      </w:r>
      <w:r w:rsidRPr="001E48AC">
        <w:rPr>
          <w:rFonts w:eastAsia="Calibri" w:cs="Times New Roman"/>
          <w:szCs w:val="28"/>
          <w:vertAlign w:val="superscript"/>
        </w:rPr>
        <w:t>2</w:t>
      </w:r>
      <w:r w:rsidRPr="001E48AC">
        <w:rPr>
          <w:rFonts w:eastAsia="Calibri" w:cs="Times New Roman"/>
          <w:szCs w:val="28"/>
        </w:rPr>
        <w:t xml:space="preserve">); </w:t>
      </w:r>
    </w:p>
    <w:p w14:paraId="0FE8A695" w14:textId="3EF36572" w:rsidR="0059107B" w:rsidRPr="001E48AC" w:rsidRDefault="0059107B" w:rsidP="0059107B">
      <w:pPr>
        <w:numPr>
          <w:ilvl w:val="2"/>
          <w:numId w:val="37"/>
        </w:numPr>
        <w:spacing w:after="0" w:line="240" w:lineRule="auto"/>
        <w:contextualSpacing/>
        <w:jc w:val="both"/>
        <w:rPr>
          <w:rFonts w:eastAsia="Calibri" w:cs="Times New Roman"/>
          <w:szCs w:val="28"/>
        </w:rPr>
      </w:pPr>
      <w:r w:rsidRPr="001E48AC">
        <w:rPr>
          <w:rFonts w:eastAsia="Calibri" w:cs="Times New Roman"/>
          <w:szCs w:val="28"/>
        </w:rPr>
        <w:t>samazināt</w:t>
      </w:r>
      <w:r w:rsidR="005A4286" w:rsidRPr="001E48AC">
        <w:rPr>
          <w:rFonts w:eastAsia="Calibri" w:cs="Times New Roman"/>
          <w:szCs w:val="28"/>
        </w:rPr>
        <w:t>s vidējais siltumenerģijas patēriņš</w:t>
      </w:r>
      <w:r w:rsidRPr="001E48AC">
        <w:rPr>
          <w:rFonts w:eastAsia="Calibri" w:cs="Times New Roman"/>
          <w:szCs w:val="28"/>
        </w:rPr>
        <w:t xml:space="preserve"> apkurei  (ar klimata korekciju) par 50% pret 2009.gada patēriņu (202 kWh/m</w:t>
      </w:r>
      <w:r w:rsidRPr="001E48AC">
        <w:rPr>
          <w:rFonts w:eastAsia="Calibri" w:cs="Times New Roman"/>
          <w:szCs w:val="28"/>
          <w:vertAlign w:val="superscript"/>
        </w:rPr>
        <w:t>2</w:t>
      </w:r>
      <w:r w:rsidRPr="001E48AC">
        <w:rPr>
          <w:rFonts w:eastAsia="Calibri" w:cs="Times New Roman"/>
          <w:szCs w:val="28"/>
        </w:rPr>
        <w:t>), līdz 2020.gadam jāsasniedz mērķis 150 kWh/m</w:t>
      </w:r>
      <w:r w:rsidRPr="001E48AC">
        <w:rPr>
          <w:rFonts w:eastAsia="Calibri" w:cs="Times New Roman"/>
          <w:szCs w:val="28"/>
          <w:vertAlign w:val="superscript"/>
        </w:rPr>
        <w:t>2</w:t>
      </w:r>
      <w:r w:rsidRPr="001E48AC">
        <w:rPr>
          <w:rFonts w:eastAsia="Calibri" w:cs="Times New Roman"/>
          <w:szCs w:val="28"/>
        </w:rPr>
        <w:t xml:space="preserve"> gadā</w:t>
      </w:r>
      <w:r w:rsidR="00413270" w:rsidRPr="001E48AC">
        <w:rPr>
          <w:rFonts w:eastAsia="Calibri" w:cs="Times New Roman"/>
          <w:szCs w:val="28"/>
        </w:rPr>
        <w:t>;</w:t>
      </w:r>
      <w:r w:rsidRPr="001E48AC">
        <w:rPr>
          <w:rFonts w:eastAsia="Calibri" w:cs="Times New Roman"/>
          <w:szCs w:val="28"/>
        </w:rPr>
        <w:t xml:space="preserve">  </w:t>
      </w:r>
      <w:r w:rsidRPr="001E48AC">
        <w:rPr>
          <w:rFonts w:eastAsia="Calibri" w:cs="Times New Roman"/>
          <w:szCs w:val="28"/>
        </w:rPr>
        <w:tab/>
        <w:t xml:space="preserve"> </w:t>
      </w:r>
    </w:p>
    <w:p w14:paraId="6B4B6C75" w14:textId="78C5430A" w:rsidR="0059107B" w:rsidRPr="001E48AC" w:rsidRDefault="005A4286" w:rsidP="0059107B">
      <w:pPr>
        <w:numPr>
          <w:ilvl w:val="2"/>
          <w:numId w:val="37"/>
        </w:numPr>
        <w:spacing w:after="0" w:line="240" w:lineRule="auto"/>
        <w:contextualSpacing/>
        <w:jc w:val="both"/>
        <w:rPr>
          <w:rFonts w:eastAsia="Calibri" w:cs="Times New Roman"/>
          <w:szCs w:val="28"/>
        </w:rPr>
      </w:pPr>
      <w:r w:rsidRPr="001E48AC">
        <w:rPr>
          <w:rFonts w:eastAsia="Calibri" w:cs="Times New Roman"/>
          <w:szCs w:val="28"/>
        </w:rPr>
        <w:t>energointensitāte</w:t>
      </w:r>
      <w:r w:rsidR="0059107B" w:rsidRPr="001E48AC">
        <w:rPr>
          <w:rFonts w:eastAsia="Calibri" w:cs="Times New Roman"/>
          <w:szCs w:val="28"/>
        </w:rPr>
        <w:t xml:space="preserve"> samazinā</w:t>
      </w:r>
      <w:r w:rsidRPr="001E48AC">
        <w:rPr>
          <w:rFonts w:eastAsia="Calibri" w:cs="Times New Roman"/>
          <w:szCs w:val="28"/>
        </w:rPr>
        <w:t>ta</w:t>
      </w:r>
      <w:r w:rsidR="0059107B" w:rsidRPr="001E48AC">
        <w:rPr>
          <w:rFonts w:eastAsia="Calibri" w:cs="Times New Roman"/>
          <w:szCs w:val="28"/>
        </w:rPr>
        <w:t xml:space="preserve"> no 372,9 kg naftas ekvivalenta uz 1000 </w:t>
      </w:r>
      <w:r w:rsidR="0059107B" w:rsidRPr="001E48AC">
        <w:rPr>
          <w:rFonts w:eastAsia="Calibri" w:cs="Times New Roman"/>
          <w:i/>
          <w:szCs w:val="28"/>
        </w:rPr>
        <w:t>euro</w:t>
      </w:r>
      <w:r w:rsidR="0059107B" w:rsidRPr="001E48AC">
        <w:rPr>
          <w:rFonts w:eastAsia="Calibri" w:cs="Times New Roman"/>
          <w:szCs w:val="28"/>
        </w:rPr>
        <w:t xml:space="preserve"> no IKP 2010.gadā līdz 280 kg naftas ekvivalenta uz 1000 </w:t>
      </w:r>
      <w:r w:rsidR="0059107B" w:rsidRPr="001E48AC">
        <w:rPr>
          <w:rFonts w:eastAsia="Calibri" w:cs="Times New Roman"/>
          <w:i/>
          <w:szCs w:val="28"/>
        </w:rPr>
        <w:t>euro</w:t>
      </w:r>
      <w:r w:rsidR="0059107B" w:rsidRPr="001E48AC">
        <w:rPr>
          <w:rFonts w:eastAsia="Calibri" w:cs="Times New Roman"/>
          <w:szCs w:val="28"/>
        </w:rPr>
        <w:t xml:space="preserve"> no IKP 2020.gadā.</w:t>
      </w:r>
    </w:p>
    <w:p w14:paraId="7A1A3DDD" w14:textId="77777777" w:rsidR="0059107B" w:rsidRPr="001E48AC" w:rsidRDefault="0059107B" w:rsidP="0066561B">
      <w:pPr>
        <w:autoSpaceDE w:val="0"/>
        <w:autoSpaceDN w:val="0"/>
        <w:adjustRightInd w:val="0"/>
        <w:spacing w:after="0" w:line="240" w:lineRule="auto"/>
        <w:jc w:val="both"/>
        <w:rPr>
          <w:rFonts w:cs="Times New Roman"/>
          <w:szCs w:val="28"/>
        </w:rPr>
      </w:pPr>
    </w:p>
    <w:p w14:paraId="1A4E4B99" w14:textId="77777777" w:rsidR="001F566F" w:rsidRPr="001E48AC" w:rsidRDefault="00413270" w:rsidP="0022524E">
      <w:pPr>
        <w:pStyle w:val="ListParagraph"/>
        <w:autoSpaceDE w:val="0"/>
        <w:autoSpaceDN w:val="0"/>
        <w:adjustRightInd w:val="0"/>
        <w:spacing w:after="0" w:line="240" w:lineRule="auto"/>
        <w:ind w:left="0"/>
        <w:jc w:val="both"/>
        <w:rPr>
          <w:rFonts w:ascii="Times New Roman" w:hAnsi="Times New Roman" w:cs="Times New Roman"/>
          <w:sz w:val="28"/>
          <w:szCs w:val="28"/>
          <w:u w:val="single"/>
        </w:rPr>
      </w:pPr>
      <w:r w:rsidRPr="001E48AC">
        <w:rPr>
          <w:rFonts w:ascii="Times New Roman" w:hAnsi="Times New Roman" w:cs="Times New Roman"/>
          <w:sz w:val="28"/>
          <w:szCs w:val="28"/>
          <w:u w:val="single"/>
        </w:rPr>
        <w:t>Papildus tam vēl ir spēkā</w:t>
      </w:r>
      <w:r w:rsidR="001F566F" w:rsidRPr="001E48AC">
        <w:rPr>
          <w:rFonts w:ascii="Times New Roman" w:hAnsi="Times New Roman" w:cs="Times New Roman"/>
          <w:sz w:val="28"/>
          <w:szCs w:val="28"/>
          <w:u w:val="single"/>
        </w:rPr>
        <w:t>:</w:t>
      </w:r>
    </w:p>
    <w:p w14:paraId="265E3409" w14:textId="2568C5BE" w:rsidR="001F566F" w:rsidRPr="001E48AC" w:rsidRDefault="00413270" w:rsidP="001F566F">
      <w:pPr>
        <w:pStyle w:val="ListParagraph"/>
        <w:numPr>
          <w:ilvl w:val="2"/>
          <w:numId w:val="37"/>
        </w:numPr>
        <w:autoSpaceDE w:val="0"/>
        <w:autoSpaceDN w:val="0"/>
        <w:adjustRightInd w:val="0"/>
        <w:spacing w:after="0" w:line="240" w:lineRule="auto"/>
        <w:jc w:val="both"/>
        <w:rPr>
          <w:rFonts w:ascii="Times New Roman" w:hAnsi="Times New Roman" w:cs="Times New Roman"/>
          <w:sz w:val="28"/>
          <w:szCs w:val="28"/>
        </w:rPr>
      </w:pPr>
      <w:r w:rsidRPr="001E48AC">
        <w:rPr>
          <w:rFonts w:ascii="Times New Roman" w:hAnsi="Times New Roman" w:cs="Times New Roman"/>
          <w:sz w:val="28"/>
          <w:szCs w:val="28"/>
          <w:u w:val="single"/>
        </w:rPr>
        <w:t xml:space="preserve">šī ziņojuma 2.1. sadaļā minētais </w:t>
      </w:r>
      <w:r w:rsidR="0022524E" w:rsidRPr="001E48AC">
        <w:rPr>
          <w:rFonts w:ascii="Times New Roman" w:hAnsi="Times New Roman" w:cs="Times New Roman"/>
          <w:sz w:val="28"/>
          <w:szCs w:val="28"/>
          <w:u w:val="single"/>
        </w:rPr>
        <w:t xml:space="preserve"> </w:t>
      </w:r>
      <w:r w:rsidR="00F905DE" w:rsidRPr="001E48AC">
        <w:rPr>
          <w:rFonts w:ascii="Times New Roman" w:hAnsi="Times New Roman" w:cs="Times New Roman"/>
          <w:sz w:val="28"/>
          <w:szCs w:val="28"/>
          <w:u w:val="single"/>
        </w:rPr>
        <w:t>valsts indikatīva</w:t>
      </w:r>
      <w:r w:rsidR="002B3FF3" w:rsidRPr="001E48AC">
        <w:rPr>
          <w:rFonts w:ascii="Times New Roman" w:hAnsi="Times New Roman" w:cs="Times New Roman"/>
          <w:sz w:val="28"/>
          <w:szCs w:val="28"/>
          <w:u w:val="single"/>
        </w:rPr>
        <w:t>i</w:t>
      </w:r>
      <w:r w:rsidR="00F905DE" w:rsidRPr="001E48AC">
        <w:rPr>
          <w:rFonts w:ascii="Times New Roman" w:hAnsi="Times New Roman" w:cs="Times New Roman"/>
          <w:sz w:val="28"/>
          <w:szCs w:val="28"/>
          <w:u w:val="single"/>
        </w:rPr>
        <w:t>s enerģijas galapatēriņa ietaupījuma mērķis 2016.</w:t>
      </w:r>
      <w:r w:rsidR="00F2302B" w:rsidRPr="001E48AC">
        <w:rPr>
          <w:rFonts w:ascii="Times New Roman" w:hAnsi="Times New Roman" w:cs="Times New Roman"/>
          <w:sz w:val="28"/>
          <w:szCs w:val="28"/>
          <w:u w:val="single"/>
        </w:rPr>
        <w:t> </w:t>
      </w:r>
      <w:r w:rsidR="00F905DE" w:rsidRPr="001E48AC">
        <w:rPr>
          <w:rFonts w:ascii="Times New Roman" w:hAnsi="Times New Roman" w:cs="Times New Roman"/>
          <w:sz w:val="28"/>
          <w:szCs w:val="28"/>
          <w:u w:val="single"/>
        </w:rPr>
        <w:t>gadam</w:t>
      </w:r>
      <w:r w:rsidRPr="001E48AC">
        <w:rPr>
          <w:rFonts w:ascii="Times New Roman" w:hAnsi="Times New Roman" w:cs="Times New Roman"/>
          <w:sz w:val="28"/>
          <w:szCs w:val="28"/>
        </w:rPr>
        <w:t xml:space="preserve"> </w:t>
      </w:r>
      <w:r w:rsidR="00F905DE" w:rsidRPr="001E48AC">
        <w:rPr>
          <w:rFonts w:ascii="Times New Roman" w:hAnsi="Times New Roman" w:cs="Times New Roman"/>
          <w:sz w:val="28"/>
          <w:szCs w:val="28"/>
        </w:rPr>
        <w:t>atbilstoši Direktīvas 2006/32/EK 4. panta 1. punkta prasībām – 3483 GWh</w:t>
      </w:r>
      <w:r w:rsidR="002873CB" w:rsidRPr="001E48AC">
        <w:rPr>
          <w:rFonts w:ascii="Times New Roman" w:hAnsi="Times New Roman" w:cs="Times New Roman"/>
          <w:sz w:val="28"/>
          <w:szCs w:val="28"/>
        </w:rPr>
        <w:t>;</w:t>
      </w:r>
    </w:p>
    <w:p w14:paraId="39E224B5" w14:textId="6934E254" w:rsidR="00B753DA" w:rsidRPr="001E48AC" w:rsidRDefault="001F566F" w:rsidP="002873CB">
      <w:pPr>
        <w:pStyle w:val="ListParagraph"/>
        <w:numPr>
          <w:ilvl w:val="2"/>
          <w:numId w:val="37"/>
        </w:numPr>
        <w:autoSpaceDE w:val="0"/>
        <w:autoSpaceDN w:val="0"/>
        <w:adjustRightInd w:val="0"/>
        <w:spacing w:after="0" w:line="240" w:lineRule="auto"/>
        <w:jc w:val="both"/>
        <w:rPr>
          <w:rFonts w:ascii="Times New Roman" w:hAnsi="Times New Roman" w:cs="Times New Roman"/>
          <w:sz w:val="28"/>
          <w:szCs w:val="28"/>
        </w:rPr>
      </w:pPr>
      <w:r w:rsidRPr="001E48AC">
        <w:rPr>
          <w:rFonts w:ascii="Times New Roman" w:hAnsi="Times New Roman" w:cs="Times New Roman"/>
          <w:sz w:val="28"/>
          <w:szCs w:val="28"/>
        </w:rPr>
        <w:t>mērķis gandrīz nulles enerģijas ēku</w:t>
      </w:r>
      <w:r w:rsidRPr="001E48AC">
        <w:rPr>
          <w:rStyle w:val="FootnoteReference"/>
          <w:rFonts w:ascii="Times New Roman" w:hAnsi="Times New Roman" w:cs="Times New Roman"/>
          <w:sz w:val="28"/>
          <w:szCs w:val="28"/>
        </w:rPr>
        <w:footnoteReference w:id="5"/>
      </w:r>
      <w:r w:rsidRPr="001E48AC">
        <w:rPr>
          <w:rFonts w:ascii="Times New Roman" w:hAnsi="Times New Roman" w:cs="Times New Roman"/>
          <w:sz w:val="28"/>
          <w:szCs w:val="28"/>
        </w:rPr>
        <w:t xml:space="preserve"> attīstībai: no 2019.gada ēkas, kuras ir valsts īpašumā un institūciju valdījumā un kurās atrodas valsts institūcijas un no 2021.gada pārējās jaunbūves sasniedz gandrīz nulles enerģijas ēkas patēriņa līmeņus.</w:t>
      </w:r>
    </w:p>
    <w:p w14:paraId="33A70E7E" w14:textId="69A837DB" w:rsidR="00AA70E3" w:rsidRPr="001E48AC" w:rsidRDefault="00AA70E3" w:rsidP="00AD08C8">
      <w:pPr>
        <w:pStyle w:val="Heading2"/>
        <w:spacing w:after="120"/>
        <w:rPr>
          <w:color w:val="auto"/>
          <w:szCs w:val="28"/>
        </w:rPr>
      </w:pPr>
      <w:bookmarkStart w:id="5" w:name="_Toc482711519"/>
      <w:r w:rsidRPr="001E48AC">
        <w:rPr>
          <w:color w:val="auto"/>
          <w:szCs w:val="28"/>
        </w:rPr>
        <w:t>2.</w:t>
      </w:r>
      <w:r w:rsidR="004D5351" w:rsidRPr="001E48AC">
        <w:rPr>
          <w:color w:val="auto"/>
          <w:szCs w:val="28"/>
        </w:rPr>
        <w:t>4</w:t>
      </w:r>
      <w:r w:rsidRPr="001E48AC">
        <w:rPr>
          <w:color w:val="auto"/>
          <w:szCs w:val="28"/>
        </w:rPr>
        <w:t>. Primārās enerģijas ietaupījums</w:t>
      </w:r>
      <w:bookmarkEnd w:id="5"/>
    </w:p>
    <w:p w14:paraId="00BC67E9" w14:textId="3CCD60BC" w:rsidR="005408CE" w:rsidRPr="001E48AC" w:rsidRDefault="005408CE" w:rsidP="00685686">
      <w:pPr>
        <w:spacing w:after="0" w:line="240" w:lineRule="auto"/>
        <w:jc w:val="both"/>
        <w:rPr>
          <w:rFonts w:cs="Times New Roman"/>
          <w:szCs w:val="28"/>
          <w:lang w:bidi="en-US"/>
        </w:rPr>
      </w:pPr>
      <w:r w:rsidRPr="001E48AC">
        <w:rPr>
          <w:rFonts w:cs="Times New Roman"/>
          <w:szCs w:val="28"/>
          <w:lang w:bidi="en-US"/>
        </w:rPr>
        <w:t xml:space="preserve">Kā </w:t>
      </w:r>
      <w:r w:rsidR="000C3D91" w:rsidRPr="001E48AC">
        <w:rPr>
          <w:rFonts w:cs="Times New Roman"/>
          <w:szCs w:val="28"/>
          <w:lang w:bidi="en-US"/>
        </w:rPr>
        <w:t xml:space="preserve">jau </w:t>
      </w:r>
      <w:r w:rsidR="002B3FF3" w:rsidRPr="001E48AC">
        <w:rPr>
          <w:rFonts w:cs="Times New Roman"/>
          <w:szCs w:val="28"/>
          <w:lang w:bidi="en-US"/>
        </w:rPr>
        <w:t xml:space="preserve">norādīts Informatīvā ziņojuma 2.1.punktā, </w:t>
      </w:r>
      <w:r w:rsidR="000C3D91" w:rsidRPr="001E48AC">
        <w:rPr>
          <w:rFonts w:cs="Times New Roman"/>
          <w:szCs w:val="28"/>
          <w:lang w:bidi="en-US"/>
        </w:rPr>
        <w:t>lai izpildītu</w:t>
      </w:r>
      <w:r w:rsidR="000C3D91" w:rsidRPr="001E48AC">
        <w:t xml:space="preserve"> </w:t>
      </w:r>
      <w:r w:rsidR="000C3D91" w:rsidRPr="001E48AC">
        <w:rPr>
          <w:rFonts w:cs="Times New Roman"/>
          <w:szCs w:val="28"/>
          <w:lang w:bidi="en-US"/>
        </w:rPr>
        <w:t xml:space="preserve">indikatīvo valsts energoefektivitātes mērķi 2020.gadam, </w:t>
      </w:r>
      <w:r w:rsidRPr="001E48AC">
        <w:rPr>
          <w:rFonts w:cs="Times New Roman"/>
          <w:szCs w:val="28"/>
          <w:lang w:bidi="en-US"/>
        </w:rPr>
        <w:t xml:space="preserve">primārās enerģijas patēriņam </w:t>
      </w:r>
      <w:r w:rsidR="002B3FF3" w:rsidRPr="001E48AC">
        <w:rPr>
          <w:rFonts w:cs="Times New Roman"/>
          <w:szCs w:val="28"/>
          <w:lang w:bidi="en-US"/>
        </w:rPr>
        <w:t xml:space="preserve">Latvijā </w:t>
      </w:r>
      <w:r w:rsidRPr="001E48AC">
        <w:rPr>
          <w:rFonts w:cs="Times New Roman"/>
          <w:szCs w:val="28"/>
          <w:lang w:bidi="en-US"/>
        </w:rPr>
        <w:t xml:space="preserve">2020.gadā nevajadzētu pārsniegt 225 PJ. </w:t>
      </w:r>
    </w:p>
    <w:p w14:paraId="56EB0200" w14:textId="1651A35C" w:rsidR="005408CE" w:rsidRPr="001E48AC" w:rsidRDefault="005408CE" w:rsidP="00685686">
      <w:pPr>
        <w:spacing w:after="0" w:line="240" w:lineRule="auto"/>
        <w:ind w:firstLine="720"/>
        <w:jc w:val="both"/>
        <w:rPr>
          <w:rFonts w:cs="Times New Roman"/>
          <w:szCs w:val="28"/>
        </w:rPr>
      </w:pPr>
      <w:r w:rsidRPr="001E48AC">
        <w:rPr>
          <w:rFonts w:cs="Times New Roman"/>
          <w:szCs w:val="28"/>
          <w:lang w:bidi="en-US"/>
        </w:rPr>
        <w:t>Primārās enerģijas ietaupījumi ir novērtēti, pamatojoties uz aprēķinātajiem enerģijas galapatēriņa ietaupījumiem</w:t>
      </w:r>
      <w:r w:rsidR="0070314E" w:rsidRPr="001E48AC">
        <w:rPr>
          <w:rFonts w:cs="Times New Roman"/>
          <w:szCs w:val="28"/>
          <w:lang w:bidi="en-US"/>
        </w:rPr>
        <w:t xml:space="preserve"> atbilstoši </w:t>
      </w:r>
      <w:r w:rsidRPr="001E48AC">
        <w:rPr>
          <w:rFonts w:cs="Times New Roman"/>
          <w:szCs w:val="28"/>
        </w:rPr>
        <w:t xml:space="preserve"> Direktīvas 2006/32/EK </w:t>
      </w:r>
      <w:r w:rsidR="0070314E" w:rsidRPr="001E48AC">
        <w:rPr>
          <w:rFonts w:cs="Times New Roman"/>
          <w:szCs w:val="28"/>
        </w:rPr>
        <w:t xml:space="preserve"> prasībām attiecībā uz </w:t>
      </w:r>
      <w:r w:rsidRPr="001E48AC">
        <w:rPr>
          <w:rFonts w:cs="Times New Roman"/>
          <w:szCs w:val="28"/>
          <w:lang w:bidi="en-US"/>
        </w:rPr>
        <w:t xml:space="preserve">enerģijas galapatēriņa un primārās enerģijas faktora koeficientu, kā </w:t>
      </w:r>
      <w:r w:rsidRPr="001E48AC">
        <w:rPr>
          <w:rFonts w:cs="Times New Roman"/>
          <w:szCs w:val="28"/>
          <w:lang w:bidi="en-US"/>
        </w:rPr>
        <w:lastRenderedPageBreak/>
        <w:t>arī ņemot vērā enerģijas efektivitātes</w:t>
      </w:r>
      <w:r w:rsidR="003D7D44" w:rsidRPr="001E48AC">
        <w:rPr>
          <w:rFonts w:cs="Times New Roman"/>
          <w:szCs w:val="28"/>
          <w:lang w:bidi="en-US"/>
        </w:rPr>
        <w:t xml:space="preserve"> uzlabošanas</w:t>
      </w:r>
      <w:r w:rsidRPr="001E48AC">
        <w:rPr>
          <w:rFonts w:cs="Times New Roman"/>
          <w:szCs w:val="28"/>
          <w:lang w:bidi="en-US"/>
        </w:rPr>
        <w:t xml:space="preserve"> pasākumus, kas netiek ziņoti </w:t>
      </w:r>
      <w:r w:rsidR="005A4286" w:rsidRPr="001E48AC">
        <w:rPr>
          <w:rFonts w:cs="Times New Roman"/>
          <w:szCs w:val="28"/>
          <w:lang w:bidi="en-US"/>
        </w:rPr>
        <w:t xml:space="preserve">Direktīvas 2006/32/EK </w:t>
      </w:r>
      <w:r w:rsidRPr="001E48AC">
        <w:rPr>
          <w:rFonts w:cs="Times New Roman"/>
          <w:szCs w:val="28"/>
          <w:lang w:bidi="en-US"/>
        </w:rPr>
        <w:t>ietvaros</w:t>
      </w:r>
      <w:r w:rsidR="0070314E" w:rsidRPr="001E48AC">
        <w:rPr>
          <w:rFonts w:cs="Times New Roman"/>
          <w:szCs w:val="28"/>
          <w:lang w:bidi="en-US"/>
        </w:rPr>
        <w:t xml:space="preserve"> (</w:t>
      </w:r>
      <w:r w:rsidR="0070314E" w:rsidRPr="001E48AC">
        <w:rPr>
          <w:rFonts w:cs="Times New Roman"/>
          <w:szCs w:val="28"/>
        </w:rPr>
        <w:t>ietaupījumi no zudumu samazināšanas elektroenerģijas pārvadē un sadalē)</w:t>
      </w:r>
      <w:r w:rsidR="00B23FFD" w:rsidRPr="001E48AC">
        <w:rPr>
          <w:rFonts w:cs="Times New Roman"/>
          <w:szCs w:val="28"/>
        </w:rPr>
        <w:t>.</w:t>
      </w:r>
    </w:p>
    <w:p w14:paraId="54F4B685" w14:textId="77777777" w:rsidR="001D2C6E" w:rsidRPr="001E48AC" w:rsidRDefault="001D2C6E" w:rsidP="00685686">
      <w:pPr>
        <w:spacing w:after="0" w:line="240" w:lineRule="auto"/>
        <w:ind w:firstLine="720"/>
        <w:jc w:val="both"/>
        <w:rPr>
          <w:rFonts w:cs="Times New Roman"/>
          <w:szCs w:val="28"/>
          <w:lang w:bidi="en-US"/>
        </w:rPr>
      </w:pPr>
    </w:p>
    <w:p w14:paraId="34A79739" w14:textId="74E50B8E" w:rsidR="005408CE" w:rsidRPr="001E48AC" w:rsidRDefault="006B0FCD" w:rsidP="007942A4">
      <w:pPr>
        <w:spacing w:after="0" w:line="240" w:lineRule="auto"/>
        <w:rPr>
          <w:rFonts w:cs="Times New Roman"/>
          <w:b/>
          <w:szCs w:val="28"/>
          <w:lang w:bidi="en-US"/>
        </w:rPr>
      </w:pPr>
      <w:r w:rsidRPr="001E48AC">
        <w:rPr>
          <w:noProof/>
          <w:lang w:eastAsia="lv-LV"/>
        </w:rPr>
        <w:drawing>
          <wp:inline distT="0" distB="0" distL="0" distR="0" wp14:anchorId="2D627C53" wp14:editId="1051405D">
            <wp:extent cx="5457825" cy="1885949"/>
            <wp:effectExtent l="0" t="0" r="9525" b="635"/>
            <wp:docPr id="1" name="Chart 1">
              <a:extLst xmlns:a="http://schemas.openxmlformats.org/drawingml/2006/main">
                <a:ext uri="{FF2B5EF4-FFF2-40B4-BE49-F238E27FC236}">
                  <a16:creationId xmlns:a16="http://schemas.microsoft.com/office/drawing/2014/main" id="{0FC61C01-DEE8-43DC-AA8F-578AEB4B71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F8F6C2" w14:textId="4A7FAEE6" w:rsidR="005408CE" w:rsidRPr="001E48AC" w:rsidRDefault="00B23FFD" w:rsidP="007942A4">
      <w:pPr>
        <w:jc w:val="center"/>
        <w:rPr>
          <w:rFonts w:cs="Times New Roman"/>
          <w:b/>
          <w:szCs w:val="28"/>
          <w:lang w:bidi="en-US"/>
        </w:rPr>
      </w:pPr>
      <w:r w:rsidRPr="001E48AC">
        <w:rPr>
          <w:rFonts w:cs="Times New Roman"/>
          <w:b/>
          <w:szCs w:val="28"/>
          <w:lang w:bidi="en-US"/>
        </w:rPr>
        <w:t>1.</w:t>
      </w:r>
      <w:r w:rsidR="006B0FCD" w:rsidRPr="001E48AC">
        <w:rPr>
          <w:rFonts w:cs="Times New Roman"/>
          <w:b/>
          <w:szCs w:val="28"/>
          <w:lang w:bidi="en-US"/>
        </w:rPr>
        <w:t>attēls</w:t>
      </w:r>
      <w:r w:rsidRPr="001E48AC">
        <w:rPr>
          <w:rFonts w:cs="Times New Roman"/>
          <w:b/>
          <w:szCs w:val="28"/>
          <w:lang w:bidi="en-US"/>
        </w:rPr>
        <w:t>.</w:t>
      </w:r>
      <w:r w:rsidR="006B0FCD" w:rsidRPr="001E48AC">
        <w:rPr>
          <w:rFonts w:cs="Times New Roman"/>
          <w:b/>
          <w:szCs w:val="28"/>
          <w:lang w:bidi="en-US"/>
        </w:rPr>
        <w:t xml:space="preserve"> Prognozētais un faktiskais primārās </w:t>
      </w:r>
      <w:r w:rsidRPr="001E48AC">
        <w:rPr>
          <w:rFonts w:cs="Times New Roman"/>
          <w:b/>
          <w:szCs w:val="28"/>
          <w:lang w:bidi="en-US"/>
        </w:rPr>
        <w:t xml:space="preserve">enerģijas </w:t>
      </w:r>
      <w:r w:rsidR="006B0FCD" w:rsidRPr="001E48AC">
        <w:rPr>
          <w:rFonts w:cs="Times New Roman"/>
          <w:b/>
          <w:szCs w:val="28"/>
          <w:lang w:bidi="en-US"/>
        </w:rPr>
        <w:t>un gala enerģijas patēriņš 2012.-2020.gadam</w:t>
      </w:r>
      <w:r w:rsidR="00252945" w:rsidRPr="001E48AC">
        <w:rPr>
          <w:rStyle w:val="FootnoteReference"/>
          <w:rFonts w:cs="Times New Roman"/>
          <w:b/>
          <w:szCs w:val="28"/>
          <w:lang w:bidi="en-US"/>
        </w:rPr>
        <w:footnoteReference w:id="6"/>
      </w:r>
    </w:p>
    <w:p w14:paraId="5F1F6956" w14:textId="51A3FB70" w:rsidR="005408CE" w:rsidRPr="001E48AC" w:rsidRDefault="005408CE" w:rsidP="00685686">
      <w:pPr>
        <w:autoSpaceDE w:val="0"/>
        <w:autoSpaceDN w:val="0"/>
        <w:adjustRightInd w:val="0"/>
        <w:spacing w:after="0" w:line="240" w:lineRule="auto"/>
        <w:jc w:val="both"/>
        <w:rPr>
          <w:rFonts w:cs="Times New Roman"/>
          <w:szCs w:val="28"/>
        </w:rPr>
      </w:pPr>
      <w:r w:rsidRPr="001E48AC">
        <w:rPr>
          <w:rFonts w:cs="Times New Roman"/>
          <w:szCs w:val="28"/>
        </w:rPr>
        <w:t>Analizējot faktisk</w:t>
      </w:r>
      <w:r w:rsidR="003D7D44" w:rsidRPr="001E48AC">
        <w:rPr>
          <w:rFonts w:cs="Times New Roman"/>
          <w:szCs w:val="28"/>
        </w:rPr>
        <w:t>ās</w:t>
      </w:r>
      <w:r w:rsidRPr="001E48AC">
        <w:rPr>
          <w:rFonts w:cs="Times New Roman"/>
          <w:szCs w:val="28"/>
        </w:rPr>
        <w:t xml:space="preserve"> primārās enerģijas patēriņa un enerģijas galapatēriņa tendences līdz 2015.gadam, var secināt, ka tās atbilst izvirzītā indikatīvā mērķa 2020</w:t>
      </w:r>
      <w:r w:rsidR="003D7D44" w:rsidRPr="001E48AC">
        <w:rPr>
          <w:rFonts w:cs="Times New Roman"/>
          <w:szCs w:val="28"/>
        </w:rPr>
        <w:t>. gadam</w:t>
      </w:r>
      <w:r w:rsidRPr="001E48AC">
        <w:rPr>
          <w:rFonts w:cs="Times New Roman"/>
          <w:szCs w:val="28"/>
        </w:rPr>
        <w:t xml:space="preserve"> sasniegšanai.  </w:t>
      </w:r>
    </w:p>
    <w:p w14:paraId="7E565F50" w14:textId="43D21CE2" w:rsidR="008A472F" w:rsidRPr="001E48AC" w:rsidRDefault="005408CE" w:rsidP="00685686">
      <w:pPr>
        <w:autoSpaceDE w:val="0"/>
        <w:autoSpaceDN w:val="0"/>
        <w:adjustRightInd w:val="0"/>
        <w:spacing w:after="0" w:line="240" w:lineRule="auto"/>
        <w:jc w:val="both"/>
        <w:rPr>
          <w:rFonts w:cs="Times New Roman"/>
          <w:szCs w:val="28"/>
        </w:rPr>
      </w:pPr>
      <w:r w:rsidRPr="001E48AC">
        <w:rPr>
          <w:rFonts w:cs="Times New Roman"/>
          <w:szCs w:val="28"/>
        </w:rPr>
        <w:t>Novērtētais primārās enerģijas ietaupījums uz 2015.gadu ir 21.49 PJ (0.514 Mtoe)</w:t>
      </w:r>
      <w:r w:rsidR="00B23FFD" w:rsidRPr="001E48AC">
        <w:rPr>
          <w:rFonts w:cs="Times New Roman"/>
          <w:szCs w:val="28"/>
        </w:rPr>
        <w:t xml:space="preserve">. Ietaupījums veidojas no </w:t>
      </w:r>
      <w:r w:rsidRPr="001E48AC">
        <w:rPr>
          <w:rFonts w:cs="Times New Roman"/>
          <w:szCs w:val="28"/>
        </w:rPr>
        <w:t>enerģijas galapatēriņa ietaupījum</w:t>
      </w:r>
      <w:r w:rsidR="00B23FFD" w:rsidRPr="001E48AC">
        <w:rPr>
          <w:rFonts w:cs="Times New Roman"/>
          <w:szCs w:val="28"/>
        </w:rPr>
        <w:t xml:space="preserve">a, kas, </w:t>
      </w:r>
      <w:r w:rsidRPr="001E48AC">
        <w:rPr>
          <w:rFonts w:cs="Times New Roman"/>
          <w:szCs w:val="28"/>
        </w:rPr>
        <w:t xml:space="preserve"> </w:t>
      </w:r>
      <w:r w:rsidR="002873CB" w:rsidRPr="001E48AC">
        <w:rPr>
          <w:rFonts w:cs="Times New Roman"/>
          <w:szCs w:val="28"/>
        </w:rPr>
        <w:t>aprēķin</w:t>
      </w:r>
      <w:r w:rsidR="00B23FFD" w:rsidRPr="001E48AC">
        <w:rPr>
          <w:rFonts w:cs="Times New Roman"/>
          <w:szCs w:val="28"/>
        </w:rPr>
        <w:t>ot</w:t>
      </w:r>
      <w:r w:rsidRPr="001E48AC">
        <w:rPr>
          <w:rFonts w:cs="Times New Roman"/>
          <w:szCs w:val="28"/>
        </w:rPr>
        <w:t xml:space="preserve"> primārā</w:t>
      </w:r>
      <w:r w:rsidR="003D7D44" w:rsidRPr="001E48AC">
        <w:rPr>
          <w:rFonts w:cs="Times New Roman"/>
          <w:szCs w:val="28"/>
        </w:rPr>
        <w:t>s</w:t>
      </w:r>
      <w:r w:rsidRPr="001E48AC">
        <w:rPr>
          <w:rFonts w:cs="Times New Roman"/>
          <w:szCs w:val="28"/>
        </w:rPr>
        <w:t xml:space="preserve"> enerģijas vienībās ir 21.16 PJ</w:t>
      </w:r>
      <w:r w:rsidR="00B23FFD" w:rsidRPr="001E48AC">
        <w:rPr>
          <w:rFonts w:cs="Times New Roman"/>
          <w:szCs w:val="28"/>
        </w:rPr>
        <w:t xml:space="preserve"> </w:t>
      </w:r>
      <w:r w:rsidRPr="001E48AC">
        <w:rPr>
          <w:rFonts w:cs="Times New Roman"/>
          <w:szCs w:val="28"/>
        </w:rPr>
        <w:t xml:space="preserve">(0.506 Mtoe) un </w:t>
      </w:r>
      <w:r w:rsidR="00B23FFD" w:rsidRPr="001E48AC">
        <w:rPr>
          <w:rFonts w:cs="Times New Roman"/>
          <w:szCs w:val="28"/>
        </w:rPr>
        <w:t xml:space="preserve">no </w:t>
      </w:r>
      <w:r w:rsidRPr="001E48AC">
        <w:rPr>
          <w:rFonts w:cs="Times New Roman"/>
          <w:szCs w:val="28"/>
        </w:rPr>
        <w:t>ietaupījum</w:t>
      </w:r>
      <w:r w:rsidR="00B23FFD" w:rsidRPr="001E48AC">
        <w:rPr>
          <w:rFonts w:cs="Times New Roman"/>
          <w:szCs w:val="28"/>
        </w:rPr>
        <w:t>a, kas radies</w:t>
      </w:r>
      <w:r w:rsidRPr="001E48AC">
        <w:rPr>
          <w:rFonts w:cs="Times New Roman"/>
          <w:szCs w:val="28"/>
        </w:rPr>
        <w:t xml:space="preserve"> no zudumu samazināšanas elektroenerģijas pārvadē un sadalē 0.33 PJ (8 ktoe). Pamatojoties uz jau sasniegtajiem ietaupījumiem</w:t>
      </w:r>
      <w:r w:rsidR="00B23FFD" w:rsidRPr="001E48AC">
        <w:rPr>
          <w:rFonts w:cs="Times New Roman"/>
          <w:szCs w:val="28"/>
        </w:rPr>
        <w:t>,</w:t>
      </w:r>
      <w:r w:rsidRPr="001E48AC">
        <w:rPr>
          <w:rFonts w:cs="Times New Roman"/>
          <w:szCs w:val="28"/>
        </w:rPr>
        <w:t xml:space="preserve"> ir novērtēts, ka  sagaidāmais primārās enerģijas ietaupījums 2020.gadā varētu sasniegt līdz 29 PJ (0.69 Mtoe)</w:t>
      </w:r>
      <w:r w:rsidR="00B23FFD" w:rsidRPr="001E48AC">
        <w:rPr>
          <w:rFonts w:cs="Times New Roman"/>
          <w:szCs w:val="28"/>
        </w:rPr>
        <w:t>, kas ir pietiekami, lai Latvija sasniegtu</w:t>
      </w:r>
      <w:r w:rsidR="00B23FFD" w:rsidRPr="001E48AC">
        <w:t xml:space="preserve"> 2.1. sadaļā minēto </w:t>
      </w:r>
      <w:r w:rsidR="00B23FFD" w:rsidRPr="001E48AC">
        <w:rPr>
          <w:rFonts w:cs="Times New Roman"/>
          <w:szCs w:val="28"/>
        </w:rPr>
        <w:t xml:space="preserve">indikatīvo valsts energoefektivitātes mērķi 2020.gadam </w:t>
      </w:r>
      <w:r w:rsidRPr="001E48AC">
        <w:rPr>
          <w:rFonts w:cs="Times New Roman"/>
          <w:szCs w:val="28"/>
        </w:rPr>
        <w:t>.</w:t>
      </w:r>
    </w:p>
    <w:p w14:paraId="00BAB64C" w14:textId="568D26F3" w:rsidR="003D7D44" w:rsidRPr="001E48AC" w:rsidRDefault="00354FB1" w:rsidP="007942A4">
      <w:pPr>
        <w:pStyle w:val="Heading2"/>
        <w:rPr>
          <w:color w:val="auto"/>
        </w:rPr>
      </w:pPr>
      <w:r w:rsidRPr="001E48AC">
        <w:rPr>
          <w:color w:val="auto"/>
        </w:rPr>
        <w:t xml:space="preserve"> </w:t>
      </w:r>
      <w:bookmarkStart w:id="6" w:name="_Toc482711520"/>
      <w:r w:rsidR="00C21CA5" w:rsidRPr="001E48AC">
        <w:rPr>
          <w:color w:val="auto"/>
        </w:rPr>
        <w:t>2.</w:t>
      </w:r>
      <w:r w:rsidR="004D5351" w:rsidRPr="001E48AC">
        <w:rPr>
          <w:color w:val="auto"/>
        </w:rPr>
        <w:t>5</w:t>
      </w:r>
      <w:r w:rsidR="00C21CA5" w:rsidRPr="001E48AC">
        <w:rPr>
          <w:color w:val="auto"/>
        </w:rPr>
        <w:t xml:space="preserve">. </w:t>
      </w:r>
      <w:r w:rsidRPr="001E48AC">
        <w:rPr>
          <w:color w:val="auto"/>
        </w:rPr>
        <w:t>Sasniegtais gala enerģijas ietaupījums un ietaupījumu prognoze</w:t>
      </w:r>
      <w:bookmarkEnd w:id="6"/>
    </w:p>
    <w:p w14:paraId="3B9BB9E1" w14:textId="075F9516" w:rsidR="003D7D44" w:rsidRPr="001E48AC" w:rsidRDefault="00C21CA5" w:rsidP="007942A4">
      <w:pPr>
        <w:pStyle w:val="Heading3"/>
        <w:rPr>
          <w:color w:val="auto"/>
        </w:rPr>
      </w:pPr>
      <w:bookmarkStart w:id="7" w:name="_Toc482711521"/>
      <w:r w:rsidRPr="001E48AC">
        <w:rPr>
          <w:color w:val="auto"/>
        </w:rPr>
        <w:t>2.</w:t>
      </w:r>
      <w:r w:rsidR="004D5351" w:rsidRPr="001E48AC">
        <w:rPr>
          <w:color w:val="auto"/>
        </w:rPr>
        <w:t>5</w:t>
      </w:r>
      <w:r w:rsidRPr="001E48AC">
        <w:rPr>
          <w:color w:val="auto"/>
        </w:rPr>
        <w:t>.</w:t>
      </w:r>
      <w:r w:rsidR="003D7D44" w:rsidRPr="001E48AC">
        <w:rPr>
          <w:color w:val="auto"/>
        </w:rPr>
        <w:t>1. Atbilstoši Direktīvas 2006/32/EK prasībām aprēķinātais enerģijas ietaupījums galapatēriņā</w:t>
      </w:r>
      <w:bookmarkEnd w:id="7"/>
    </w:p>
    <w:p w14:paraId="6036D29A" w14:textId="5A737EB7" w:rsidR="000F6DEE" w:rsidRPr="001E48AC" w:rsidRDefault="000F6DEE" w:rsidP="00685686">
      <w:pPr>
        <w:pStyle w:val="BodyText"/>
        <w:spacing w:after="0" w:line="240" w:lineRule="auto"/>
        <w:ind w:firstLine="720"/>
        <w:jc w:val="both"/>
        <w:rPr>
          <w:rFonts w:ascii="Times New Roman" w:hAnsi="Times New Roman"/>
          <w:sz w:val="28"/>
          <w:szCs w:val="28"/>
        </w:rPr>
      </w:pPr>
      <w:r w:rsidRPr="001E48AC">
        <w:rPr>
          <w:rFonts w:ascii="Times New Roman" w:hAnsi="Times New Roman"/>
          <w:sz w:val="28"/>
          <w:szCs w:val="28"/>
        </w:rPr>
        <w:t xml:space="preserve">Enerģijas ietaupījumu aprēķināšanai </w:t>
      </w:r>
      <w:r w:rsidR="00B23FFD" w:rsidRPr="001E48AC">
        <w:rPr>
          <w:rFonts w:ascii="Times New Roman" w:hAnsi="Times New Roman"/>
          <w:sz w:val="28"/>
          <w:szCs w:val="28"/>
        </w:rPr>
        <w:t xml:space="preserve">atbilstoši Direktīvas 2006/32/EK prasībām </w:t>
      </w:r>
      <w:r w:rsidRPr="001E48AC">
        <w:rPr>
          <w:rFonts w:ascii="Times New Roman" w:hAnsi="Times New Roman"/>
          <w:sz w:val="28"/>
          <w:szCs w:val="28"/>
        </w:rPr>
        <w:t>tika izmantota lejupvērstā un augšupvērstā aprēķināšanas metode. Salīdzinot ar iepriekšējo Informatīvo ziņojumu</w:t>
      </w:r>
      <w:r w:rsidR="00FC1BBB" w:rsidRPr="001E48AC">
        <w:t xml:space="preserve"> </w:t>
      </w:r>
      <w:r w:rsidR="00FC1BBB" w:rsidRPr="001E48AC">
        <w:rPr>
          <w:rFonts w:ascii="Times New Roman" w:hAnsi="Times New Roman"/>
          <w:sz w:val="28"/>
          <w:szCs w:val="28"/>
        </w:rPr>
        <w:t xml:space="preserve">Par virzību uz indikatīvo valsts energoefektivitātes mērķi 2014. – 2016. gadā saskaņā ar Eiropas Parlamenta un Padomes 2012. gada 25. oktobra Direktīvu 2012/27/ES par energoefektivitāti, ar </w:t>
      </w:r>
      <w:r w:rsidR="00FC1BBB" w:rsidRPr="001E48AC">
        <w:rPr>
          <w:rFonts w:ascii="Times New Roman" w:hAnsi="Times New Roman"/>
          <w:sz w:val="28"/>
          <w:szCs w:val="28"/>
        </w:rPr>
        <w:lastRenderedPageBreak/>
        <w:t>ko groza Direktīvas 2009/125/EK un 2010/30/ES un atceļ Direktīvas 2004/8/EK un 2006/32/EK</w:t>
      </w:r>
      <w:r w:rsidRPr="001E48AC">
        <w:rPr>
          <w:rFonts w:ascii="Times New Roman" w:hAnsi="Times New Roman"/>
          <w:sz w:val="28"/>
          <w:szCs w:val="28"/>
        </w:rPr>
        <w:t xml:space="preserve"> 2014.-2016.</w:t>
      </w:r>
      <w:r w:rsidR="00B23FFD" w:rsidRPr="001E48AC">
        <w:rPr>
          <w:rFonts w:ascii="Times New Roman" w:hAnsi="Times New Roman"/>
          <w:sz w:val="28"/>
          <w:szCs w:val="28"/>
        </w:rPr>
        <w:t>gadam</w:t>
      </w:r>
      <w:r w:rsidR="00B23FFD" w:rsidRPr="001E48AC">
        <w:rPr>
          <w:rStyle w:val="FootnoteReference"/>
          <w:rFonts w:ascii="Times New Roman" w:hAnsi="Times New Roman"/>
          <w:sz w:val="28"/>
          <w:szCs w:val="28"/>
        </w:rPr>
        <w:footnoteReference w:id="7"/>
      </w:r>
      <w:r w:rsidRPr="001E48AC">
        <w:rPr>
          <w:rFonts w:ascii="Times New Roman" w:hAnsi="Times New Roman"/>
          <w:sz w:val="28"/>
          <w:szCs w:val="28"/>
        </w:rPr>
        <w:t xml:space="preserve"> </w:t>
      </w:r>
      <w:r w:rsidR="00FC1BBB" w:rsidRPr="001E48AC">
        <w:rPr>
          <w:rFonts w:ascii="Times New Roman" w:hAnsi="Times New Roman"/>
          <w:sz w:val="28"/>
          <w:szCs w:val="28"/>
        </w:rPr>
        <w:t>(turpmāk - Informatīvais ziņojums 2014.-2016.gadam)</w:t>
      </w:r>
      <w:r w:rsidR="00EF16A5" w:rsidRPr="001E48AC">
        <w:rPr>
          <w:rFonts w:ascii="Times New Roman" w:hAnsi="Times New Roman"/>
          <w:sz w:val="28"/>
          <w:szCs w:val="28"/>
        </w:rPr>
        <w:t xml:space="preserve"> </w:t>
      </w:r>
      <w:r w:rsidRPr="001E48AC">
        <w:rPr>
          <w:rFonts w:ascii="Times New Roman" w:hAnsi="Times New Roman"/>
          <w:sz w:val="28"/>
          <w:szCs w:val="28"/>
        </w:rPr>
        <w:t>nav mainītas aprēķināšanas metodes, tas ir, enerģijas ietaupījums ar lejupvērsto metodi tiek veikts pamatojoties uz Eiropas Komisijas vadlīnijām</w:t>
      </w:r>
      <w:r w:rsidR="001F2075" w:rsidRPr="001E48AC">
        <w:rPr>
          <w:rStyle w:val="FootnoteReference"/>
          <w:rFonts w:ascii="Times New Roman" w:hAnsi="Times New Roman"/>
          <w:sz w:val="28"/>
          <w:szCs w:val="28"/>
        </w:rPr>
        <w:footnoteReference w:id="8"/>
      </w:r>
      <w:r w:rsidR="00940214" w:rsidRPr="001E48AC">
        <w:rPr>
          <w:rFonts w:ascii="Times New Roman" w:hAnsi="Times New Roman"/>
          <w:sz w:val="28"/>
          <w:szCs w:val="28"/>
        </w:rPr>
        <w:t>.</w:t>
      </w:r>
      <w:r w:rsidRPr="001E48AC">
        <w:rPr>
          <w:rFonts w:ascii="Times New Roman" w:hAnsi="Times New Roman"/>
          <w:sz w:val="28"/>
          <w:szCs w:val="28"/>
        </w:rPr>
        <w:t xml:space="preserve"> Informatīvajam ziņojumam 2014.-2016. atbilstoši EK vadlīnijām</w:t>
      </w:r>
      <w:r w:rsidRPr="001E48AC">
        <w:rPr>
          <w:rStyle w:val="FootnoteReference"/>
          <w:rFonts w:ascii="Times New Roman" w:hAnsi="Times New Roman"/>
          <w:sz w:val="28"/>
          <w:szCs w:val="28"/>
        </w:rPr>
        <w:footnoteReference w:id="9"/>
      </w:r>
      <w:r w:rsidRPr="001E48AC">
        <w:rPr>
          <w:rFonts w:ascii="Times New Roman" w:hAnsi="Times New Roman"/>
          <w:sz w:val="28"/>
          <w:szCs w:val="28"/>
        </w:rPr>
        <w:t xml:space="preserve"> tika pievienots pielikums Nr.1 „Metodikas apraksts enerģijas ietaupījumu aprēķināšanai atbilstoši Eiropas Parlamenta un Padomes 2006. gada 5. aprīļa Direktīvas 2006/32/EK par enerģijas gala patēriņa efektivitāti un pakalpojumiem prasībām”. Atbilstoši minētajām vadlīnijām un metodikai, enerģijas ietaupījuma aprēķināšanai tiek izmantoti ieteicamie vai </w:t>
      </w:r>
      <w:r w:rsidR="005A4286" w:rsidRPr="001E48AC">
        <w:rPr>
          <w:rFonts w:ascii="Times New Roman" w:hAnsi="Times New Roman"/>
          <w:sz w:val="28"/>
          <w:szCs w:val="28"/>
        </w:rPr>
        <w:t>min</w:t>
      </w:r>
      <w:r w:rsidRPr="001E48AC">
        <w:rPr>
          <w:rFonts w:ascii="Times New Roman" w:hAnsi="Times New Roman"/>
          <w:sz w:val="28"/>
          <w:szCs w:val="28"/>
        </w:rPr>
        <w:t>imuma indikatori</w:t>
      </w:r>
      <w:r w:rsidR="00F5213E" w:rsidRPr="001E48AC">
        <w:rPr>
          <w:rFonts w:ascii="Times New Roman" w:hAnsi="Times New Roman"/>
          <w:sz w:val="28"/>
          <w:szCs w:val="28"/>
        </w:rPr>
        <w:t>, un ietaupījums tiek rēķināts 2015.gadam (n-2 no ziņošanas gada)</w:t>
      </w:r>
      <w:r w:rsidRPr="001E48AC">
        <w:rPr>
          <w:rFonts w:ascii="Times New Roman" w:hAnsi="Times New Roman"/>
          <w:sz w:val="28"/>
          <w:szCs w:val="28"/>
        </w:rPr>
        <w:t>.</w:t>
      </w:r>
    </w:p>
    <w:p w14:paraId="323A48A5" w14:textId="58CF2AFE" w:rsidR="000F6DEE" w:rsidRPr="001E48AC" w:rsidRDefault="000F6DEE" w:rsidP="00685686">
      <w:pPr>
        <w:pStyle w:val="BodyText"/>
        <w:spacing w:after="0" w:line="240" w:lineRule="auto"/>
        <w:ind w:firstLine="720"/>
        <w:jc w:val="both"/>
        <w:rPr>
          <w:rFonts w:ascii="Times New Roman" w:hAnsi="Times New Roman"/>
          <w:sz w:val="28"/>
          <w:szCs w:val="28"/>
        </w:rPr>
      </w:pPr>
      <w:r w:rsidRPr="001E48AC">
        <w:rPr>
          <w:rFonts w:ascii="Times New Roman" w:hAnsi="Times New Roman"/>
          <w:sz w:val="28"/>
          <w:szCs w:val="28"/>
        </w:rPr>
        <w:t xml:space="preserve">Enerģijas ietaupījumi galapatēriņā ar lejupvērsto metodi ir aprēķināti laika periodam </w:t>
      </w:r>
      <w:r w:rsidR="00F5213E" w:rsidRPr="001E48AC">
        <w:rPr>
          <w:rFonts w:ascii="Times New Roman" w:hAnsi="Times New Roman"/>
          <w:sz w:val="28"/>
          <w:szCs w:val="28"/>
        </w:rPr>
        <w:t xml:space="preserve">no </w:t>
      </w:r>
      <w:r w:rsidRPr="001E48AC">
        <w:rPr>
          <w:rFonts w:ascii="Times New Roman" w:hAnsi="Times New Roman"/>
          <w:sz w:val="28"/>
          <w:szCs w:val="28"/>
        </w:rPr>
        <w:t>2008. – 2015. gad</w:t>
      </w:r>
      <w:r w:rsidR="00F5213E" w:rsidRPr="001E48AC">
        <w:rPr>
          <w:rFonts w:ascii="Times New Roman" w:hAnsi="Times New Roman"/>
          <w:sz w:val="28"/>
          <w:szCs w:val="28"/>
        </w:rPr>
        <w:t>am</w:t>
      </w:r>
      <w:r w:rsidRPr="001E48AC">
        <w:rPr>
          <w:rFonts w:ascii="Times New Roman" w:hAnsi="Times New Roman"/>
          <w:sz w:val="28"/>
          <w:szCs w:val="28"/>
        </w:rPr>
        <w:t xml:space="preserve"> (8 gadi) un tie apkopoti </w:t>
      </w:r>
      <w:r w:rsidR="002873CB" w:rsidRPr="001E48AC">
        <w:rPr>
          <w:rFonts w:ascii="Times New Roman" w:hAnsi="Times New Roman"/>
          <w:sz w:val="28"/>
          <w:szCs w:val="28"/>
        </w:rPr>
        <w:t>2</w:t>
      </w:r>
      <w:r w:rsidR="00F5213E" w:rsidRPr="001E48AC">
        <w:rPr>
          <w:rFonts w:ascii="Times New Roman" w:hAnsi="Times New Roman"/>
          <w:sz w:val="28"/>
          <w:szCs w:val="28"/>
        </w:rPr>
        <w:t xml:space="preserve">. </w:t>
      </w:r>
      <w:r w:rsidRPr="001E48AC">
        <w:rPr>
          <w:rFonts w:ascii="Times New Roman" w:hAnsi="Times New Roman"/>
          <w:sz w:val="28"/>
          <w:szCs w:val="28"/>
        </w:rPr>
        <w:t>tabulā</w:t>
      </w:r>
      <w:r w:rsidR="00B9367D" w:rsidRPr="001E48AC">
        <w:rPr>
          <w:rFonts w:ascii="Times New Roman" w:hAnsi="Times New Roman"/>
          <w:sz w:val="28"/>
          <w:szCs w:val="28"/>
        </w:rPr>
        <w:t xml:space="preserve"> (šeit un turpmākajās tabulās aprēķinātie enerģijas ietaupījumi ir indikatīvi).</w:t>
      </w:r>
      <w:r w:rsidR="00F5213E" w:rsidRPr="001E48AC">
        <w:rPr>
          <w:rFonts w:ascii="Times New Roman" w:hAnsi="Times New Roman"/>
          <w:sz w:val="28"/>
          <w:szCs w:val="28"/>
        </w:rPr>
        <w:t xml:space="preserve"> </w:t>
      </w:r>
    </w:p>
    <w:p w14:paraId="0101AE99" w14:textId="77777777" w:rsidR="000F6DEE" w:rsidRPr="001E48AC" w:rsidRDefault="000F6DEE" w:rsidP="000F6DEE">
      <w:pPr>
        <w:pStyle w:val="BodyText"/>
        <w:spacing w:after="0" w:line="276" w:lineRule="auto"/>
        <w:jc w:val="both"/>
        <w:rPr>
          <w:rFonts w:ascii="Times New Roman" w:hAnsi="Times New Roman"/>
          <w:sz w:val="28"/>
          <w:szCs w:val="28"/>
        </w:rPr>
      </w:pPr>
    </w:p>
    <w:p w14:paraId="3893D017" w14:textId="57581750" w:rsidR="000F6DEE" w:rsidRPr="001E48AC" w:rsidRDefault="002873CB" w:rsidP="00BC2E60">
      <w:pPr>
        <w:pStyle w:val="BodyText"/>
        <w:spacing w:after="0" w:line="240" w:lineRule="auto"/>
        <w:rPr>
          <w:rFonts w:ascii="Times New Roman" w:hAnsi="Times New Roman"/>
          <w:b/>
          <w:sz w:val="28"/>
          <w:szCs w:val="28"/>
        </w:rPr>
      </w:pPr>
      <w:r w:rsidRPr="001E48AC">
        <w:rPr>
          <w:rFonts w:ascii="Times New Roman" w:hAnsi="Times New Roman"/>
          <w:b/>
          <w:sz w:val="28"/>
          <w:szCs w:val="28"/>
        </w:rPr>
        <w:t>2</w:t>
      </w:r>
      <w:r w:rsidR="00F5213E" w:rsidRPr="001E48AC">
        <w:rPr>
          <w:rFonts w:ascii="Times New Roman" w:hAnsi="Times New Roman"/>
          <w:b/>
          <w:sz w:val="28"/>
          <w:szCs w:val="28"/>
        </w:rPr>
        <w:t>.tabula</w:t>
      </w:r>
      <w:r w:rsidR="00DF5BCD" w:rsidRPr="001E48AC">
        <w:rPr>
          <w:rFonts w:ascii="Times New Roman" w:hAnsi="Times New Roman"/>
          <w:b/>
          <w:sz w:val="28"/>
          <w:szCs w:val="28"/>
        </w:rPr>
        <w:t xml:space="preserve">. </w:t>
      </w:r>
      <w:r w:rsidR="000F6DEE" w:rsidRPr="001E48AC">
        <w:rPr>
          <w:rFonts w:ascii="Times New Roman" w:hAnsi="Times New Roman"/>
          <w:b/>
          <w:sz w:val="28"/>
          <w:szCs w:val="28"/>
        </w:rPr>
        <w:t>Atbilstoši Direktīvas 2006/32/EK prasībām</w:t>
      </w:r>
      <w:r w:rsidR="000F6DEE" w:rsidRPr="001E48AC">
        <w:rPr>
          <w:rFonts w:ascii="Times New Roman" w:hAnsi="Times New Roman"/>
          <w:b/>
          <w:szCs w:val="28"/>
        </w:rPr>
        <w:t xml:space="preserve"> </w:t>
      </w:r>
      <w:r w:rsidR="000F6DEE" w:rsidRPr="001E48AC">
        <w:rPr>
          <w:rFonts w:ascii="Times New Roman" w:hAnsi="Times New Roman"/>
          <w:b/>
          <w:sz w:val="28"/>
          <w:szCs w:val="28"/>
        </w:rPr>
        <w:t>aprēķinātais enerģijas ietaupījums galapatēriņā ar lejup</w:t>
      </w:r>
      <w:r w:rsidR="008E583D" w:rsidRPr="001E48AC">
        <w:rPr>
          <w:rFonts w:ascii="Times New Roman" w:hAnsi="Times New Roman"/>
          <w:b/>
          <w:sz w:val="28"/>
          <w:szCs w:val="28"/>
        </w:rPr>
        <w:t>vērsto</w:t>
      </w:r>
      <w:r w:rsidR="000F6DEE" w:rsidRPr="001E48AC">
        <w:rPr>
          <w:rFonts w:ascii="Times New Roman" w:hAnsi="Times New Roman"/>
          <w:b/>
          <w:sz w:val="28"/>
          <w:szCs w:val="28"/>
        </w:rPr>
        <w:t xml:space="preserve"> metodi uz 2015.gadu</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410"/>
        <w:gridCol w:w="1985"/>
        <w:gridCol w:w="2268"/>
      </w:tblGrid>
      <w:tr w:rsidR="00F5213E" w:rsidRPr="001E48AC" w14:paraId="0C5A9D8D" w14:textId="77777777" w:rsidTr="002873CB">
        <w:tc>
          <w:tcPr>
            <w:tcW w:w="2263" w:type="dxa"/>
            <w:shd w:val="clear" w:color="auto" w:fill="auto"/>
          </w:tcPr>
          <w:p w14:paraId="356FD040" w14:textId="77777777" w:rsidR="000F6DEE" w:rsidRPr="001E48AC" w:rsidRDefault="000F6DEE" w:rsidP="008E583D">
            <w:pPr>
              <w:spacing w:after="0" w:line="240" w:lineRule="auto"/>
              <w:jc w:val="center"/>
              <w:rPr>
                <w:rFonts w:cs="Times New Roman"/>
                <w:b/>
                <w:sz w:val="24"/>
                <w:szCs w:val="24"/>
              </w:rPr>
            </w:pPr>
            <w:r w:rsidRPr="001E48AC">
              <w:rPr>
                <w:rFonts w:cs="Times New Roman"/>
                <w:b/>
                <w:sz w:val="24"/>
                <w:szCs w:val="24"/>
              </w:rPr>
              <w:t>Enerģijas ietaupījuma sektors</w:t>
            </w:r>
          </w:p>
        </w:tc>
        <w:tc>
          <w:tcPr>
            <w:tcW w:w="2410" w:type="dxa"/>
            <w:shd w:val="clear" w:color="auto" w:fill="auto"/>
          </w:tcPr>
          <w:p w14:paraId="1D94F6E7" w14:textId="77777777" w:rsidR="000F6DEE" w:rsidRPr="001E48AC" w:rsidRDefault="000F6DEE" w:rsidP="008E583D">
            <w:pPr>
              <w:spacing w:after="0" w:line="240" w:lineRule="auto"/>
              <w:jc w:val="center"/>
              <w:rPr>
                <w:rFonts w:cs="Times New Roman"/>
                <w:b/>
                <w:sz w:val="24"/>
                <w:szCs w:val="24"/>
              </w:rPr>
            </w:pPr>
            <w:r w:rsidRPr="001E48AC">
              <w:rPr>
                <w:rFonts w:cs="Times New Roman"/>
                <w:b/>
                <w:sz w:val="24"/>
                <w:szCs w:val="24"/>
              </w:rPr>
              <w:t>Enerģijas ietaupījums uz 2015.gadu, ktoe</w:t>
            </w:r>
          </w:p>
        </w:tc>
        <w:tc>
          <w:tcPr>
            <w:tcW w:w="1985" w:type="dxa"/>
            <w:shd w:val="clear" w:color="auto" w:fill="auto"/>
          </w:tcPr>
          <w:p w14:paraId="76D0B29D" w14:textId="77777777" w:rsidR="000F6DEE" w:rsidRPr="001E48AC" w:rsidRDefault="000F6DEE" w:rsidP="008E583D">
            <w:pPr>
              <w:spacing w:after="0" w:line="240" w:lineRule="auto"/>
              <w:jc w:val="center"/>
              <w:rPr>
                <w:rFonts w:cs="Times New Roman"/>
                <w:b/>
                <w:sz w:val="24"/>
                <w:szCs w:val="24"/>
              </w:rPr>
            </w:pPr>
            <w:r w:rsidRPr="001E48AC">
              <w:rPr>
                <w:rFonts w:cs="Times New Roman"/>
                <w:b/>
                <w:sz w:val="24"/>
                <w:szCs w:val="24"/>
              </w:rPr>
              <w:t>Enerģijas ietaupījums uz 2020.gadu, GWh</w:t>
            </w:r>
          </w:p>
        </w:tc>
        <w:tc>
          <w:tcPr>
            <w:tcW w:w="2268" w:type="dxa"/>
            <w:shd w:val="clear" w:color="auto" w:fill="auto"/>
          </w:tcPr>
          <w:p w14:paraId="3F6121CD" w14:textId="77777777" w:rsidR="000F6DEE" w:rsidRPr="001E48AC" w:rsidRDefault="000F6DEE" w:rsidP="008E583D">
            <w:pPr>
              <w:spacing w:after="0" w:line="240" w:lineRule="auto"/>
              <w:jc w:val="center"/>
              <w:rPr>
                <w:rFonts w:cs="Times New Roman"/>
                <w:b/>
                <w:sz w:val="24"/>
                <w:szCs w:val="24"/>
              </w:rPr>
            </w:pPr>
            <w:r w:rsidRPr="001E48AC">
              <w:rPr>
                <w:rFonts w:cs="Times New Roman"/>
                <w:b/>
                <w:sz w:val="24"/>
                <w:szCs w:val="24"/>
              </w:rPr>
              <w:t>Piezīmes</w:t>
            </w:r>
          </w:p>
        </w:tc>
      </w:tr>
      <w:tr w:rsidR="00F5213E" w:rsidRPr="001E48AC" w14:paraId="42B70A4B" w14:textId="77777777" w:rsidTr="002873CB">
        <w:tc>
          <w:tcPr>
            <w:tcW w:w="2263" w:type="dxa"/>
            <w:shd w:val="clear" w:color="auto" w:fill="auto"/>
          </w:tcPr>
          <w:p w14:paraId="0B5AE92A" w14:textId="77777777" w:rsidR="000F6DEE" w:rsidRPr="001E48AC" w:rsidRDefault="000F6DEE" w:rsidP="008E583D">
            <w:pPr>
              <w:spacing w:after="0" w:line="240" w:lineRule="auto"/>
              <w:rPr>
                <w:rFonts w:cs="Times New Roman"/>
                <w:sz w:val="24"/>
                <w:szCs w:val="24"/>
              </w:rPr>
            </w:pPr>
            <w:r w:rsidRPr="001E48AC">
              <w:rPr>
                <w:rFonts w:cs="Times New Roman"/>
                <w:sz w:val="24"/>
                <w:szCs w:val="24"/>
              </w:rPr>
              <w:t>Mājsaimniecības</w:t>
            </w:r>
          </w:p>
        </w:tc>
        <w:tc>
          <w:tcPr>
            <w:tcW w:w="2410" w:type="dxa"/>
            <w:shd w:val="clear" w:color="auto" w:fill="auto"/>
          </w:tcPr>
          <w:p w14:paraId="39AFB9EA" w14:textId="77777777" w:rsidR="000F6DEE" w:rsidRPr="001E48AC" w:rsidRDefault="000F6DEE" w:rsidP="008E583D">
            <w:pPr>
              <w:spacing w:after="0" w:line="240" w:lineRule="auto"/>
              <w:jc w:val="right"/>
              <w:rPr>
                <w:rFonts w:cs="Times New Roman"/>
                <w:sz w:val="24"/>
                <w:szCs w:val="24"/>
              </w:rPr>
            </w:pPr>
            <w:r w:rsidRPr="001E48AC">
              <w:rPr>
                <w:rFonts w:cs="Times New Roman"/>
                <w:sz w:val="24"/>
                <w:szCs w:val="24"/>
              </w:rPr>
              <w:t>289</w:t>
            </w:r>
          </w:p>
        </w:tc>
        <w:tc>
          <w:tcPr>
            <w:tcW w:w="1985" w:type="dxa"/>
            <w:shd w:val="clear" w:color="auto" w:fill="auto"/>
          </w:tcPr>
          <w:p w14:paraId="257C0EB1" w14:textId="77777777" w:rsidR="000F6DEE" w:rsidRPr="001E48AC" w:rsidRDefault="000F6DEE" w:rsidP="008E583D">
            <w:pPr>
              <w:spacing w:after="0" w:line="240" w:lineRule="auto"/>
              <w:jc w:val="right"/>
              <w:rPr>
                <w:rFonts w:cs="Times New Roman"/>
                <w:sz w:val="24"/>
                <w:szCs w:val="24"/>
              </w:rPr>
            </w:pPr>
            <w:r w:rsidRPr="001E48AC">
              <w:rPr>
                <w:rFonts w:cs="Times New Roman"/>
                <w:sz w:val="24"/>
                <w:szCs w:val="24"/>
              </w:rPr>
              <w:t>3361</w:t>
            </w:r>
          </w:p>
        </w:tc>
        <w:tc>
          <w:tcPr>
            <w:tcW w:w="2268" w:type="dxa"/>
            <w:shd w:val="clear" w:color="auto" w:fill="auto"/>
          </w:tcPr>
          <w:p w14:paraId="234C571F" w14:textId="77777777" w:rsidR="000F6DEE" w:rsidRPr="001E48AC" w:rsidRDefault="000F6DEE" w:rsidP="008E583D">
            <w:pPr>
              <w:spacing w:after="0" w:line="240" w:lineRule="auto"/>
              <w:rPr>
                <w:rFonts w:cs="Times New Roman"/>
                <w:sz w:val="24"/>
                <w:szCs w:val="24"/>
              </w:rPr>
            </w:pPr>
            <w:r w:rsidRPr="001E48AC">
              <w:rPr>
                <w:rFonts w:cs="Times New Roman"/>
                <w:sz w:val="24"/>
                <w:szCs w:val="24"/>
              </w:rPr>
              <w:t>Izmantoti ieteicamie indikatori</w:t>
            </w:r>
          </w:p>
        </w:tc>
      </w:tr>
      <w:tr w:rsidR="00F5213E" w:rsidRPr="001E48AC" w14:paraId="46DF8A1D" w14:textId="77777777" w:rsidTr="002873CB">
        <w:tc>
          <w:tcPr>
            <w:tcW w:w="2263" w:type="dxa"/>
            <w:shd w:val="clear" w:color="auto" w:fill="auto"/>
          </w:tcPr>
          <w:p w14:paraId="0312A469" w14:textId="77777777" w:rsidR="000F6DEE" w:rsidRPr="001E48AC" w:rsidRDefault="000F6DEE" w:rsidP="008E583D">
            <w:pPr>
              <w:spacing w:after="0" w:line="240" w:lineRule="auto"/>
              <w:rPr>
                <w:rFonts w:cs="Times New Roman"/>
                <w:sz w:val="24"/>
                <w:szCs w:val="24"/>
              </w:rPr>
            </w:pPr>
            <w:r w:rsidRPr="001E48AC">
              <w:rPr>
                <w:rFonts w:cs="Times New Roman"/>
                <w:sz w:val="24"/>
                <w:szCs w:val="24"/>
              </w:rPr>
              <w:t>Pakalpojumu sektors</w:t>
            </w:r>
          </w:p>
        </w:tc>
        <w:tc>
          <w:tcPr>
            <w:tcW w:w="2410" w:type="dxa"/>
            <w:shd w:val="clear" w:color="auto" w:fill="auto"/>
          </w:tcPr>
          <w:p w14:paraId="7D39F65B" w14:textId="77777777" w:rsidR="000F6DEE" w:rsidRPr="001E48AC" w:rsidRDefault="000F6DEE" w:rsidP="008E583D">
            <w:pPr>
              <w:spacing w:after="0" w:line="240" w:lineRule="auto"/>
              <w:jc w:val="right"/>
              <w:rPr>
                <w:rFonts w:cs="Times New Roman"/>
                <w:sz w:val="24"/>
                <w:szCs w:val="24"/>
              </w:rPr>
            </w:pPr>
            <w:r w:rsidRPr="001E48AC">
              <w:rPr>
                <w:rFonts w:cs="Times New Roman"/>
                <w:sz w:val="24"/>
                <w:szCs w:val="24"/>
              </w:rPr>
              <w:t>48</w:t>
            </w:r>
          </w:p>
        </w:tc>
        <w:tc>
          <w:tcPr>
            <w:tcW w:w="1985" w:type="dxa"/>
            <w:shd w:val="clear" w:color="auto" w:fill="auto"/>
          </w:tcPr>
          <w:p w14:paraId="33ACF354" w14:textId="77777777" w:rsidR="000F6DEE" w:rsidRPr="001E48AC" w:rsidRDefault="000F6DEE" w:rsidP="008E583D">
            <w:pPr>
              <w:spacing w:after="0" w:line="240" w:lineRule="auto"/>
              <w:jc w:val="right"/>
              <w:rPr>
                <w:rFonts w:cs="Times New Roman"/>
                <w:sz w:val="24"/>
                <w:szCs w:val="24"/>
              </w:rPr>
            </w:pPr>
            <w:r w:rsidRPr="001E48AC">
              <w:rPr>
                <w:rFonts w:cs="Times New Roman"/>
                <w:sz w:val="24"/>
                <w:szCs w:val="24"/>
              </w:rPr>
              <w:t>563</w:t>
            </w:r>
          </w:p>
        </w:tc>
        <w:tc>
          <w:tcPr>
            <w:tcW w:w="2268" w:type="dxa"/>
            <w:shd w:val="clear" w:color="auto" w:fill="auto"/>
          </w:tcPr>
          <w:p w14:paraId="0CFFA813" w14:textId="77777777" w:rsidR="000F6DEE" w:rsidRPr="001E48AC" w:rsidRDefault="000F6DEE" w:rsidP="008E583D">
            <w:pPr>
              <w:spacing w:after="0" w:line="240" w:lineRule="auto"/>
              <w:rPr>
                <w:rFonts w:cs="Times New Roman"/>
                <w:sz w:val="24"/>
                <w:szCs w:val="24"/>
              </w:rPr>
            </w:pPr>
            <w:r w:rsidRPr="001E48AC">
              <w:rPr>
                <w:rFonts w:cs="Times New Roman"/>
                <w:sz w:val="24"/>
                <w:szCs w:val="24"/>
              </w:rPr>
              <w:t>Izmantoti minimuma indikatori</w:t>
            </w:r>
          </w:p>
        </w:tc>
      </w:tr>
      <w:tr w:rsidR="00F5213E" w:rsidRPr="001E48AC" w14:paraId="6783C0C5" w14:textId="77777777" w:rsidTr="002873CB">
        <w:tc>
          <w:tcPr>
            <w:tcW w:w="2263" w:type="dxa"/>
            <w:shd w:val="clear" w:color="auto" w:fill="auto"/>
          </w:tcPr>
          <w:p w14:paraId="08C250A2" w14:textId="77777777" w:rsidR="000F6DEE" w:rsidRPr="001E48AC" w:rsidRDefault="000F6DEE" w:rsidP="008E583D">
            <w:pPr>
              <w:spacing w:after="0" w:line="240" w:lineRule="auto"/>
              <w:rPr>
                <w:rFonts w:cs="Times New Roman"/>
                <w:sz w:val="24"/>
                <w:szCs w:val="24"/>
              </w:rPr>
            </w:pPr>
            <w:r w:rsidRPr="001E48AC">
              <w:rPr>
                <w:rFonts w:cs="Times New Roman"/>
                <w:sz w:val="24"/>
                <w:szCs w:val="24"/>
              </w:rPr>
              <w:t>Transporta sektors</w:t>
            </w:r>
          </w:p>
        </w:tc>
        <w:tc>
          <w:tcPr>
            <w:tcW w:w="2410" w:type="dxa"/>
            <w:shd w:val="clear" w:color="auto" w:fill="auto"/>
          </w:tcPr>
          <w:p w14:paraId="219BFF04" w14:textId="77777777" w:rsidR="000F6DEE" w:rsidRPr="001E48AC" w:rsidRDefault="000F6DEE" w:rsidP="008E583D">
            <w:pPr>
              <w:spacing w:after="0" w:line="240" w:lineRule="auto"/>
              <w:jc w:val="right"/>
              <w:rPr>
                <w:rFonts w:cs="Times New Roman"/>
                <w:sz w:val="24"/>
                <w:szCs w:val="24"/>
              </w:rPr>
            </w:pPr>
            <w:r w:rsidRPr="001E48AC">
              <w:rPr>
                <w:rFonts w:cs="Times New Roman"/>
                <w:sz w:val="24"/>
                <w:szCs w:val="24"/>
              </w:rPr>
              <w:t>98</w:t>
            </w:r>
          </w:p>
        </w:tc>
        <w:tc>
          <w:tcPr>
            <w:tcW w:w="1985" w:type="dxa"/>
            <w:shd w:val="clear" w:color="auto" w:fill="auto"/>
          </w:tcPr>
          <w:p w14:paraId="7892FDB6" w14:textId="77777777" w:rsidR="000F6DEE" w:rsidRPr="001E48AC" w:rsidRDefault="000F6DEE" w:rsidP="008E583D">
            <w:pPr>
              <w:spacing w:after="0" w:line="240" w:lineRule="auto"/>
              <w:jc w:val="right"/>
              <w:rPr>
                <w:rFonts w:cs="Times New Roman"/>
                <w:sz w:val="24"/>
                <w:szCs w:val="24"/>
              </w:rPr>
            </w:pPr>
            <w:r w:rsidRPr="001E48AC">
              <w:rPr>
                <w:rFonts w:cs="Times New Roman"/>
                <w:sz w:val="24"/>
                <w:szCs w:val="24"/>
              </w:rPr>
              <w:t>1137</w:t>
            </w:r>
          </w:p>
        </w:tc>
        <w:tc>
          <w:tcPr>
            <w:tcW w:w="2268" w:type="dxa"/>
            <w:shd w:val="clear" w:color="auto" w:fill="auto"/>
          </w:tcPr>
          <w:p w14:paraId="3A1C3756" w14:textId="77777777" w:rsidR="000F6DEE" w:rsidRPr="001E48AC" w:rsidRDefault="000F6DEE" w:rsidP="008E583D">
            <w:pPr>
              <w:spacing w:after="0" w:line="240" w:lineRule="auto"/>
              <w:rPr>
                <w:rFonts w:cs="Times New Roman"/>
                <w:sz w:val="24"/>
                <w:szCs w:val="24"/>
              </w:rPr>
            </w:pPr>
            <w:r w:rsidRPr="001E48AC">
              <w:rPr>
                <w:rFonts w:cs="Times New Roman"/>
                <w:sz w:val="24"/>
                <w:szCs w:val="24"/>
              </w:rPr>
              <w:t>Izmantoti ieteicamie indikatori</w:t>
            </w:r>
          </w:p>
        </w:tc>
      </w:tr>
      <w:tr w:rsidR="00F5213E" w:rsidRPr="001E48AC" w14:paraId="2F191DAB" w14:textId="77777777" w:rsidTr="002873CB">
        <w:tc>
          <w:tcPr>
            <w:tcW w:w="2263" w:type="dxa"/>
            <w:shd w:val="clear" w:color="auto" w:fill="auto"/>
          </w:tcPr>
          <w:p w14:paraId="4487404D" w14:textId="77777777" w:rsidR="000F6DEE" w:rsidRPr="001E48AC" w:rsidRDefault="000F6DEE" w:rsidP="008E583D">
            <w:pPr>
              <w:spacing w:after="0" w:line="240" w:lineRule="auto"/>
              <w:rPr>
                <w:rFonts w:cs="Times New Roman"/>
                <w:sz w:val="24"/>
                <w:szCs w:val="24"/>
              </w:rPr>
            </w:pPr>
            <w:r w:rsidRPr="001E48AC">
              <w:rPr>
                <w:rFonts w:cs="Times New Roman"/>
                <w:sz w:val="24"/>
                <w:szCs w:val="24"/>
              </w:rPr>
              <w:t>Rūpniecība</w:t>
            </w:r>
          </w:p>
        </w:tc>
        <w:tc>
          <w:tcPr>
            <w:tcW w:w="2410" w:type="dxa"/>
            <w:shd w:val="clear" w:color="auto" w:fill="auto"/>
          </w:tcPr>
          <w:p w14:paraId="13BA91AF" w14:textId="77777777" w:rsidR="000F6DEE" w:rsidRPr="001E48AC" w:rsidRDefault="000F6DEE" w:rsidP="008E583D">
            <w:pPr>
              <w:spacing w:after="0" w:line="240" w:lineRule="auto"/>
              <w:jc w:val="right"/>
              <w:rPr>
                <w:rFonts w:cs="Times New Roman"/>
                <w:sz w:val="24"/>
                <w:szCs w:val="24"/>
              </w:rPr>
            </w:pPr>
            <w:r w:rsidRPr="001E48AC">
              <w:rPr>
                <w:rFonts w:cs="Times New Roman"/>
                <w:sz w:val="24"/>
                <w:szCs w:val="24"/>
              </w:rPr>
              <w:t>-89</w:t>
            </w:r>
          </w:p>
        </w:tc>
        <w:tc>
          <w:tcPr>
            <w:tcW w:w="1985" w:type="dxa"/>
            <w:shd w:val="clear" w:color="auto" w:fill="auto"/>
          </w:tcPr>
          <w:p w14:paraId="77739387" w14:textId="77777777" w:rsidR="000F6DEE" w:rsidRPr="001E48AC" w:rsidRDefault="000F6DEE" w:rsidP="008E583D">
            <w:pPr>
              <w:spacing w:after="0" w:line="240" w:lineRule="auto"/>
              <w:jc w:val="right"/>
              <w:rPr>
                <w:rFonts w:cs="Times New Roman"/>
                <w:sz w:val="24"/>
                <w:szCs w:val="24"/>
              </w:rPr>
            </w:pPr>
            <w:r w:rsidRPr="001E48AC">
              <w:rPr>
                <w:rFonts w:cs="Times New Roman"/>
                <w:sz w:val="24"/>
                <w:szCs w:val="24"/>
              </w:rPr>
              <w:t>-1035</w:t>
            </w:r>
          </w:p>
        </w:tc>
        <w:tc>
          <w:tcPr>
            <w:tcW w:w="2268" w:type="dxa"/>
            <w:shd w:val="clear" w:color="auto" w:fill="auto"/>
          </w:tcPr>
          <w:p w14:paraId="27EFA1A6" w14:textId="77777777" w:rsidR="000F6DEE" w:rsidRPr="001E48AC" w:rsidRDefault="000F6DEE" w:rsidP="008E583D">
            <w:pPr>
              <w:spacing w:after="0" w:line="240" w:lineRule="auto"/>
              <w:rPr>
                <w:rFonts w:cs="Times New Roman"/>
                <w:sz w:val="24"/>
                <w:szCs w:val="24"/>
              </w:rPr>
            </w:pPr>
            <w:r w:rsidRPr="001E48AC">
              <w:rPr>
                <w:rFonts w:cs="Times New Roman"/>
                <w:sz w:val="24"/>
                <w:szCs w:val="24"/>
              </w:rPr>
              <w:t>Izmantoti ieteicamie indikatori</w:t>
            </w:r>
          </w:p>
        </w:tc>
      </w:tr>
      <w:tr w:rsidR="00F5213E" w:rsidRPr="001E48AC" w14:paraId="22CEBBF6" w14:textId="77777777" w:rsidTr="002873CB">
        <w:trPr>
          <w:trHeight w:val="646"/>
        </w:trPr>
        <w:tc>
          <w:tcPr>
            <w:tcW w:w="2263" w:type="dxa"/>
            <w:shd w:val="clear" w:color="auto" w:fill="auto"/>
            <w:vAlign w:val="bottom"/>
          </w:tcPr>
          <w:p w14:paraId="71940415" w14:textId="77777777" w:rsidR="000F6DEE" w:rsidRPr="001E48AC" w:rsidRDefault="000F6DEE" w:rsidP="008E583D">
            <w:pPr>
              <w:spacing w:after="0" w:line="240" w:lineRule="auto"/>
              <w:jc w:val="center"/>
              <w:rPr>
                <w:rFonts w:cs="Times New Roman"/>
                <w:b/>
                <w:sz w:val="24"/>
                <w:szCs w:val="24"/>
              </w:rPr>
            </w:pPr>
            <w:r w:rsidRPr="001E48AC">
              <w:rPr>
                <w:rFonts w:cs="Times New Roman"/>
                <w:b/>
                <w:sz w:val="24"/>
                <w:szCs w:val="24"/>
              </w:rPr>
              <w:t>Kopā ietaupījums</w:t>
            </w:r>
          </w:p>
        </w:tc>
        <w:tc>
          <w:tcPr>
            <w:tcW w:w="2410" w:type="dxa"/>
            <w:shd w:val="clear" w:color="auto" w:fill="auto"/>
            <w:vAlign w:val="bottom"/>
          </w:tcPr>
          <w:p w14:paraId="566D8719" w14:textId="77777777" w:rsidR="000F6DEE" w:rsidRPr="001E48AC" w:rsidRDefault="000F6DEE" w:rsidP="008E583D">
            <w:pPr>
              <w:spacing w:after="0" w:line="240" w:lineRule="auto"/>
              <w:jc w:val="center"/>
              <w:rPr>
                <w:rFonts w:cs="Times New Roman"/>
                <w:b/>
                <w:sz w:val="24"/>
                <w:szCs w:val="24"/>
              </w:rPr>
            </w:pPr>
            <w:r w:rsidRPr="001E48AC">
              <w:rPr>
                <w:rFonts w:cs="Times New Roman"/>
                <w:b/>
                <w:sz w:val="24"/>
                <w:szCs w:val="24"/>
              </w:rPr>
              <w:t>346</w:t>
            </w:r>
          </w:p>
        </w:tc>
        <w:tc>
          <w:tcPr>
            <w:tcW w:w="1985" w:type="dxa"/>
            <w:shd w:val="clear" w:color="auto" w:fill="auto"/>
            <w:vAlign w:val="bottom"/>
          </w:tcPr>
          <w:p w14:paraId="42E4B275" w14:textId="77777777" w:rsidR="000F6DEE" w:rsidRPr="001E48AC" w:rsidRDefault="000F6DEE" w:rsidP="008E583D">
            <w:pPr>
              <w:spacing w:after="0" w:line="240" w:lineRule="auto"/>
              <w:jc w:val="center"/>
              <w:rPr>
                <w:rFonts w:cs="Times New Roman"/>
                <w:b/>
                <w:sz w:val="24"/>
                <w:szCs w:val="24"/>
              </w:rPr>
            </w:pPr>
            <w:r w:rsidRPr="001E48AC">
              <w:rPr>
                <w:rFonts w:cs="Times New Roman"/>
                <w:b/>
                <w:sz w:val="24"/>
                <w:szCs w:val="24"/>
              </w:rPr>
              <w:t>4026</w:t>
            </w:r>
          </w:p>
        </w:tc>
        <w:tc>
          <w:tcPr>
            <w:tcW w:w="2268" w:type="dxa"/>
            <w:shd w:val="clear" w:color="auto" w:fill="auto"/>
          </w:tcPr>
          <w:p w14:paraId="5A9F0D51" w14:textId="56B11679" w:rsidR="000F6DEE" w:rsidRPr="001E48AC" w:rsidRDefault="000F6DEE" w:rsidP="008E583D">
            <w:pPr>
              <w:spacing w:after="0" w:line="240" w:lineRule="auto"/>
              <w:rPr>
                <w:rFonts w:cs="Times New Roman"/>
                <w:sz w:val="24"/>
                <w:szCs w:val="24"/>
              </w:rPr>
            </w:pPr>
            <w:r w:rsidRPr="001E48AC">
              <w:rPr>
                <w:rFonts w:cs="Times New Roman"/>
                <w:sz w:val="24"/>
                <w:szCs w:val="24"/>
              </w:rPr>
              <w:t>Ņemot vērā arī negatīvo ietaupījumu</w:t>
            </w:r>
            <w:r w:rsidR="00F5213E" w:rsidRPr="001E48AC">
              <w:rPr>
                <w:rFonts w:cs="Times New Roman"/>
                <w:sz w:val="24"/>
                <w:szCs w:val="24"/>
              </w:rPr>
              <w:t xml:space="preserve"> (patēriņa pieaugumu)</w:t>
            </w:r>
          </w:p>
        </w:tc>
      </w:tr>
    </w:tbl>
    <w:p w14:paraId="0A5721BF" w14:textId="77777777" w:rsidR="008E583D" w:rsidRPr="001E48AC" w:rsidRDefault="008E583D" w:rsidP="008E583D">
      <w:pPr>
        <w:shd w:val="clear" w:color="auto" w:fill="FFFFFF"/>
        <w:spacing w:after="0" w:line="240" w:lineRule="auto"/>
        <w:jc w:val="both"/>
        <w:rPr>
          <w:rFonts w:cs="Times New Roman"/>
          <w:szCs w:val="28"/>
        </w:rPr>
      </w:pPr>
    </w:p>
    <w:p w14:paraId="54554BF4" w14:textId="64532BF6" w:rsidR="000F6DEE" w:rsidRPr="001E48AC" w:rsidRDefault="000F6DEE" w:rsidP="008E583D">
      <w:pPr>
        <w:shd w:val="clear" w:color="auto" w:fill="FFFFFF"/>
        <w:spacing w:after="0" w:line="240" w:lineRule="auto"/>
        <w:ind w:firstLine="720"/>
        <w:jc w:val="both"/>
        <w:rPr>
          <w:rFonts w:cs="Times New Roman"/>
          <w:bCs/>
          <w:szCs w:val="28"/>
        </w:rPr>
      </w:pPr>
      <w:r w:rsidRPr="001E48AC">
        <w:rPr>
          <w:rFonts w:cs="Times New Roman"/>
          <w:szCs w:val="28"/>
        </w:rPr>
        <w:t>Enerģija</w:t>
      </w:r>
      <w:r w:rsidR="002873CB" w:rsidRPr="001E48AC">
        <w:rPr>
          <w:rFonts w:cs="Times New Roman"/>
          <w:szCs w:val="28"/>
        </w:rPr>
        <w:t>s</w:t>
      </w:r>
      <w:r w:rsidRPr="001E48AC">
        <w:rPr>
          <w:rFonts w:cs="Times New Roman"/>
          <w:szCs w:val="28"/>
        </w:rPr>
        <w:t xml:space="preserve"> galapatēriņa ietaupījumu aprēķināšanai ar augšupvērsto metodi tika izmantota informācija, kas iegūta energoefektivitātes monitoringa sistēm</w:t>
      </w:r>
      <w:r w:rsidR="00511AC6" w:rsidRPr="001E48AC">
        <w:rPr>
          <w:rFonts w:cs="Times New Roman"/>
          <w:szCs w:val="28"/>
        </w:rPr>
        <w:t>ā</w:t>
      </w:r>
      <w:r w:rsidRPr="001E48AC">
        <w:rPr>
          <w:rFonts w:cs="Times New Roman"/>
          <w:szCs w:val="28"/>
        </w:rPr>
        <w:t xml:space="preserve"> atbilstoši Ministru kabineta </w:t>
      </w:r>
      <w:r w:rsidRPr="001E48AC">
        <w:rPr>
          <w:rFonts w:cs="Times New Roman"/>
          <w:bCs/>
          <w:szCs w:val="28"/>
        </w:rPr>
        <w:t>2016.gada 11.oktobra noteikumiem Nr.668</w:t>
      </w:r>
      <w:r w:rsidRPr="001E48AC">
        <w:rPr>
          <w:rFonts w:cs="Times New Roman"/>
          <w:szCs w:val="28"/>
        </w:rPr>
        <w:t xml:space="preserve">  “</w:t>
      </w:r>
      <w:r w:rsidRPr="001E48AC">
        <w:rPr>
          <w:rFonts w:cs="Times New Roman"/>
          <w:bCs/>
          <w:szCs w:val="28"/>
        </w:rPr>
        <w:t xml:space="preserve">Energoefektivitātes monitoringa un piemērojamā energopārvaldības sistēmas </w:t>
      </w:r>
      <w:r w:rsidRPr="001E48AC">
        <w:rPr>
          <w:rFonts w:cs="Times New Roman"/>
          <w:bCs/>
          <w:szCs w:val="28"/>
        </w:rPr>
        <w:lastRenderedPageBreak/>
        <w:t>standarta noteikumi” (turpmāk – M</w:t>
      </w:r>
      <w:r w:rsidR="00F473C8" w:rsidRPr="001E48AC">
        <w:rPr>
          <w:rFonts w:cs="Times New Roman"/>
          <w:bCs/>
          <w:szCs w:val="28"/>
        </w:rPr>
        <w:t>onitoringa note</w:t>
      </w:r>
      <w:r w:rsidRPr="001E48AC">
        <w:rPr>
          <w:rFonts w:cs="Times New Roman"/>
          <w:bCs/>
          <w:szCs w:val="28"/>
        </w:rPr>
        <w:t>ikumi Nr.668)</w:t>
      </w:r>
      <w:r w:rsidRPr="001E48AC">
        <w:rPr>
          <w:rStyle w:val="FootnoteReference"/>
          <w:rFonts w:cs="Times New Roman"/>
          <w:bCs/>
          <w:szCs w:val="28"/>
        </w:rPr>
        <w:footnoteReference w:id="10"/>
      </w:r>
      <w:r w:rsidRPr="001E48AC">
        <w:rPr>
          <w:rFonts w:cs="Times New Roman"/>
          <w:bCs/>
          <w:szCs w:val="28"/>
        </w:rPr>
        <w:t xml:space="preserve"> (iepriekš monitoringa sistēmas darbību noteica Ministru kabineta 2010.gada 30.septembra noteikumi Nr.923</w:t>
      </w:r>
      <w:r w:rsidRPr="001E48AC">
        <w:rPr>
          <w:rFonts w:cs="Times New Roman"/>
          <w:szCs w:val="28"/>
        </w:rPr>
        <w:t xml:space="preserve"> „Kārtība, kādā uzskaita valsts enerģijas galapatēriņa ietaupījumu un nodrošina energoefektivitātes monitoringa sistēmas darbību”).</w:t>
      </w:r>
    </w:p>
    <w:p w14:paraId="674FBA69" w14:textId="424285B4" w:rsidR="000F6DEE" w:rsidRPr="001E48AC" w:rsidRDefault="000F6DEE" w:rsidP="00DF5BCD">
      <w:pPr>
        <w:spacing w:after="0" w:line="240" w:lineRule="auto"/>
        <w:ind w:firstLine="720"/>
        <w:rPr>
          <w:rFonts w:cs="Times New Roman"/>
          <w:szCs w:val="28"/>
        </w:rPr>
      </w:pPr>
      <w:r w:rsidRPr="001E48AC">
        <w:rPr>
          <w:rFonts w:cs="Times New Roman"/>
          <w:szCs w:val="28"/>
        </w:rPr>
        <w:t>Ar augšupvērsto metodi tika apkopota informācija par enerģijas ietaupījumiem</w:t>
      </w:r>
      <w:r w:rsidR="00511AC6" w:rsidRPr="001E48AC">
        <w:rPr>
          <w:rFonts w:cs="Times New Roman"/>
          <w:szCs w:val="28"/>
        </w:rPr>
        <w:t>,</w:t>
      </w:r>
      <w:r w:rsidRPr="001E48AC">
        <w:rPr>
          <w:rFonts w:cs="Times New Roman"/>
          <w:szCs w:val="28"/>
        </w:rPr>
        <w:t xml:space="preserve"> pamatojoties uz ziņojumiem par atsevišķu projektu īstenošanas rezultātiem</w:t>
      </w:r>
      <w:r w:rsidR="00511AC6" w:rsidRPr="001E48AC">
        <w:rPr>
          <w:rFonts w:cs="Times New Roman"/>
          <w:szCs w:val="28"/>
        </w:rPr>
        <w:t xml:space="preserve"> šādās programmās</w:t>
      </w:r>
      <w:r w:rsidRPr="001E48AC">
        <w:rPr>
          <w:rFonts w:cs="Times New Roman"/>
          <w:szCs w:val="28"/>
        </w:rPr>
        <w:t>:</w:t>
      </w:r>
      <w:r w:rsidRPr="001E48AC">
        <w:rPr>
          <w:rFonts w:cs="Times New Roman"/>
          <w:szCs w:val="28"/>
        </w:rPr>
        <w:br/>
        <w:t>1) Eiropas Struktūrfondu programmā “</w:t>
      </w:r>
      <w:r w:rsidRPr="001E48AC">
        <w:rPr>
          <w:rFonts w:cs="Times New Roman"/>
          <w:b/>
          <w:bCs/>
          <w:i/>
          <w:szCs w:val="28"/>
        </w:rPr>
        <w:t xml:space="preserve">Daudzdzīvokļu māju siltumnoturības uzlabošanas pasākumi” </w:t>
      </w:r>
      <w:r w:rsidRPr="001E48AC">
        <w:rPr>
          <w:rFonts w:cs="Times New Roman"/>
          <w:szCs w:val="28"/>
        </w:rPr>
        <w:t>darbības programma „Infrastruktūra un pakalpojumi” (apakšaktivitāte 3.4.4.1);</w:t>
      </w:r>
    </w:p>
    <w:p w14:paraId="4972C880" w14:textId="77777777" w:rsidR="008E583D" w:rsidRPr="001E48AC" w:rsidRDefault="000F6DEE" w:rsidP="008E583D">
      <w:pPr>
        <w:spacing w:after="0" w:line="240" w:lineRule="auto"/>
        <w:jc w:val="both"/>
        <w:rPr>
          <w:rFonts w:cs="Times New Roman"/>
          <w:szCs w:val="28"/>
        </w:rPr>
      </w:pPr>
      <w:r w:rsidRPr="001E48AC">
        <w:rPr>
          <w:rFonts w:cs="Times New Roman"/>
          <w:szCs w:val="28"/>
        </w:rPr>
        <w:t>2)Eiropas Struktūrfondu programmā “</w:t>
      </w:r>
      <w:r w:rsidRPr="001E48AC">
        <w:rPr>
          <w:rFonts w:cs="Times New Roman"/>
          <w:b/>
          <w:bCs/>
          <w:i/>
          <w:szCs w:val="28"/>
        </w:rPr>
        <w:t>Sociālo  dzīvojamo māju siltumnoturības uzlabošanas pasākumi”</w:t>
      </w:r>
      <w:r w:rsidRPr="001E48AC">
        <w:rPr>
          <w:rFonts w:cs="Times New Roman"/>
          <w:szCs w:val="28"/>
        </w:rPr>
        <w:t xml:space="preserve"> , darbības programma „Infrastruktūra un pakalpojumi” (apakšaktivitāte 3.4.4.2);</w:t>
      </w:r>
    </w:p>
    <w:p w14:paraId="776EE8BC" w14:textId="1516E051" w:rsidR="000F6DEE" w:rsidRPr="001E48AC" w:rsidRDefault="000F6DEE" w:rsidP="008E583D">
      <w:pPr>
        <w:spacing w:after="0" w:line="240" w:lineRule="auto"/>
        <w:jc w:val="both"/>
        <w:rPr>
          <w:rFonts w:cs="Times New Roman"/>
          <w:szCs w:val="28"/>
        </w:rPr>
      </w:pPr>
      <w:r w:rsidRPr="001E48AC">
        <w:rPr>
          <w:rFonts w:cs="Times New Roman"/>
          <w:szCs w:val="28"/>
        </w:rPr>
        <w:t xml:space="preserve">3)Vides aizsardzības un reģionālās attīstības ministrijas par </w:t>
      </w:r>
      <w:r w:rsidRPr="001E48AC">
        <w:rPr>
          <w:rFonts w:cs="Times New Roman"/>
          <w:b/>
          <w:i/>
          <w:szCs w:val="28"/>
        </w:rPr>
        <w:t>Klimata pārmaiņu finanšu instrumenta ietvaros īstenotajiem projektiem</w:t>
      </w:r>
      <w:r w:rsidRPr="001E48AC">
        <w:rPr>
          <w:rStyle w:val="FootnoteReference"/>
          <w:rFonts w:cs="Times New Roman"/>
          <w:szCs w:val="28"/>
        </w:rPr>
        <w:footnoteReference w:id="11"/>
      </w:r>
      <w:r w:rsidR="004C11BC" w:rsidRPr="001E48AC">
        <w:rPr>
          <w:rFonts w:cs="Times New Roman"/>
          <w:szCs w:val="28"/>
        </w:rPr>
        <w:t>. Aprēķina rezultāti</w:t>
      </w:r>
      <w:r w:rsidRPr="001E48AC">
        <w:rPr>
          <w:rFonts w:cs="Times New Roman"/>
          <w:szCs w:val="28"/>
        </w:rPr>
        <w:t xml:space="preserve"> atbilstoši ziņotajiem </w:t>
      </w:r>
      <w:r w:rsidR="004C11BC" w:rsidRPr="001E48AC">
        <w:rPr>
          <w:rFonts w:cs="Times New Roman"/>
          <w:szCs w:val="28"/>
        </w:rPr>
        <w:t>enerģijas ietaupījumiem apkopoti</w:t>
      </w:r>
      <w:r w:rsidRPr="001E48AC">
        <w:rPr>
          <w:rFonts w:cs="Times New Roman"/>
          <w:szCs w:val="28"/>
        </w:rPr>
        <w:t xml:space="preserve"> </w:t>
      </w:r>
      <w:r w:rsidR="002873CB" w:rsidRPr="001E48AC">
        <w:rPr>
          <w:rFonts w:cs="Times New Roman"/>
          <w:szCs w:val="28"/>
        </w:rPr>
        <w:t>3</w:t>
      </w:r>
      <w:r w:rsidR="00841BF8" w:rsidRPr="001E48AC">
        <w:rPr>
          <w:rFonts w:cs="Times New Roman"/>
          <w:szCs w:val="28"/>
        </w:rPr>
        <w:t xml:space="preserve">. </w:t>
      </w:r>
      <w:r w:rsidRPr="001E48AC">
        <w:rPr>
          <w:rFonts w:cs="Times New Roman"/>
          <w:szCs w:val="28"/>
        </w:rPr>
        <w:t>tabulā</w:t>
      </w:r>
      <w:r w:rsidR="002873CB" w:rsidRPr="001E48AC">
        <w:rPr>
          <w:rFonts w:cs="Times New Roman"/>
          <w:szCs w:val="28"/>
        </w:rPr>
        <w:t>.</w:t>
      </w:r>
      <w:r w:rsidRPr="001E48AC">
        <w:rPr>
          <w:rFonts w:cs="Times New Roman"/>
          <w:szCs w:val="28"/>
        </w:rPr>
        <w:t xml:space="preserve"> </w:t>
      </w:r>
    </w:p>
    <w:p w14:paraId="7A1A7285" w14:textId="53FD925A" w:rsidR="008E583D" w:rsidRPr="001E48AC" w:rsidRDefault="008E583D" w:rsidP="008E583D">
      <w:pPr>
        <w:spacing w:after="0" w:line="240" w:lineRule="auto"/>
        <w:jc w:val="both"/>
        <w:rPr>
          <w:rFonts w:cs="Times New Roman"/>
          <w:b/>
          <w:szCs w:val="28"/>
        </w:rPr>
      </w:pPr>
    </w:p>
    <w:p w14:paraId="74E370E6" w14:textId="7AB68274" w:rsidR="000F6DEE" w:rsidRPr="001E48AC" w:rsidRDefault="00C21CA5" w:rsidP="008E583D">
      <w:pPr>
        <w:spacing w:after="0" w:line="240" w:lineRule="auto"/>
        <w:jc w:val="both"/>
        <w:rPr>
          <w:rFonts w:eastAsia="Times New Roman" w:cs="Times New Roman"/>
          <w:b/>
          <w:spacing w:val="10"/>
          <w:szCs w:val="28"/>
          <w:lang w:bidi="en-US"/>
        </w:rPr>
      </w:pPr>
      <w:r w:rsidRPr="001E48AC">
        <w:rPr>
          <w:rFonts w:cs="Times New Roman"/>
          <w:b/>
          <w:szCs w:val="28"/>
        </w:rPr>
        <w:t>3</w:t>
      </w:r>
      <w:r w:rsidR="00DF5BCD" w:rsidRPr="001E48AC">
        <w:rPr>
          <w:rFonts w:cs="Times New Roman"/>
          <w:b/>
          <w:szCs w:val="28"/>
        </w:rPr>
        <w:t xml:space="preserve">.tabula. </w:t>
      </w:r>
      <w:r w:rsidR="000F6DEE" w:rsidRPr="001E48AC">
        <w:rPr>
          <w:rFonts w:cs="Times New Roman"/>
          <w:b/>
          <w:szCs w:val="28"/>
        </w:rPr>
        <w:t>Atbilstoši Direktīvas 2006/32/EK prasībām aprēķinātais enerģijas ietaupījums galapatēriņā ar augšupvērsto metodi uz 2015.gadu</w:t>
      </w:r>
      <w:r w:rsidR="000F6DEE" w:rsidRPr="001E48AC">
        <w:rPr>
          <w:rFonts w:eastAsia="Times New Roman" w:cs="Times New Roman"/>
          <w:b/>
          <w:spacing w:val="10"/>
          <w:szCs w:val="28"/>
          <w:lang w:bidi="en-US"/>
        </w:rPr>
        <w:t>, pamatojoties uz īstenoto projektu iesniegt</w:t>
      </w:r>
      <w:r w:rsidR="00024E5F" w:rsidRPr="001E48AC">
        <w:rPr>
          <w:rFonts w:eastAsia="Times New Roman" w:cs="Times New Roman"/>
          <w:b/>
          <w:spacing w:val="10"/>
          <w:szCs w:val="28"/>
          <w:lang w:bidi="en-US"/>
        </w:rPr>
        <w:t>aj</w:t>
      </w:r>
      <w:r w:rsidR="000F6DEE" w:rsidRPr="001E48AC">
        <w:rPr>
          <w:rFonts w:eastAsia="Times New Roman" w:cs="Times New Roman"/>
          <w:b/>
          <w:spacing w:val="10"/>
          <w:szCs w:val="28"/>
          <w:lang w:bidi="en-US"/>
        </w:rPr>
        <w:t>ām atskaitēm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268"/>
        <w:gridCol w:w="2693"/>
      </w:tblGrid>
      <w:tr w:rsidR="00841BF8" w:rsidRPr="001E48AC" w14:paraId="37BB0725" w14:textId="77777777" w:rsidTr="00FC1BBB">
        <w:tc>
          <w:tcPr>
            <w:tcW w:w="4106" w:type="dxa"/>
            <w:shd w:val="clear" w:color="auto" w:fill="auto"/>
            <w:vAlign w:val="center"/>
          </w:tcPr>
          <w:p w14:paraId="6F6B53E7" w14:textId="1EB14032" w:rsidR="00841BF8" w:rsidRPr="001E48AC" w:rsidRDefault="009B505D" w:rsidP="00841BF8">
            <w:pPr>
              <w:autoSpaceDE w:val="0"/>
              <w:autoSpaceDN w:val="0"/>
              <w:adjustRightInd w:val="0"/>
              <w:spacing w:after="0" w:line="240" w:lineRule="auto"/>
              <w:jc w:val="center"/>
              <w:rPr>
                <w:rFonts w:eastAsia="Calibri" w:cs="Times New Roman"/>
                <w:b/>
                <w:sz w:val="24"/>
                <w:szCs w:val="24"/>
              </w:rPr>
            </w:pPr>
            <w:r w:rsidRPr="001E48AC">
              <w:rPr>
                <w:rFonts w:eastAsia="Calibri" w:cs="Times New Roman"/>
                <w:b/>
                <w:sz w:val="24"/>
                <w:szCs w:val="24"/>
              </w:rPr>
              <w:t>Pasākums</w:t>
            </w:r>
          </w:p>
        </w:tc>
        <w:tc>
          <w:tcPr>
            <w:tcW w:w="2268" w:type="dxa"/>
            <w:shd w:val="clear" w:color="auto" w:fill="auto"/>
            <w:vAlign w:val="center"/>
          </w:tcPr>
          <w:p w14:paraId="037EBE3B" w14:textId="77777777" w:rsidR="00841BF8" w:rsidRPr="001E48AC" w:rsidRDefault="00841BF8" w:rsidP="00841BF8">
            <w:pPr>
              <w:autoSpaceDE w:val="0"/>
              <w:autoSpaceDN w:val="0"/>
              <w:adjustRightInd w:val="0"/>
              <w:spacing w:after="0" w:line="240" w:lineRule="auto"/>
              <w:jc w:val="center"/>
              <w:rPr>
                <w:rFonts w:eastAsia="Calibri" w:cs="Times New Roman"/>
                <w:b/>
                <w:sz w:val="24"/>
                <w:szCs w:val="24"/>
              </w:rPr>
            </w:pPr>
            <w:r w:rsidRPr="001E48AC">
              <w:rPr>
                <w:rFonts w:eastAsia="Calibri" w:cs="Times New Roman"/>
                <w:b/>
                <w:sz w:val="24"/>
                <w:szCs w:val="24"/>
              </w:rPr>
              <w:t>Sektors, kurā ietaupīta enerģija</w:t>
            </w:r>
          </w:p>
        </w:tc>
        <w:tc>
          <w:tcPr>
            <w:tcW w:w="2693" w:type="dxa"/>
            <w:shd w:val="clear" w:color="auto" w:fill="auto"/>
            <w:vAlign w:val="center"/>
          </w:tcPr>
          <w:p w14:paraId="305493E8" w14:textId="3538BC22" w:rsidR="00841BF8" w:rsidRPr="001E48AC" w:rsidRDefault="00841BF8" w:rsidP="00841BF8">
            <w:pPr>
              <w:autoSpaceDE w:val="0"/>
              <w:autoSpaceDN w:val="0"/>
              <w:adjustRightInd w:val="0"/>
              <w:spacing w:after="0" w:line="240" w:lineRule="auto"/>
              <w:jc w:val="center"/>
              <w:rPr>
                <w:rFonts w:eastAsia="Calibri" w:cs="Times New Roman"/>
                <w:b/>
                <w:sz w:val="24"/>
                <w:szCs w:val="24"/>
              </w:rPr>
            </w:pPr>
            <w:r w:rsidRPr="001E48AC">
              <w:rPr>
                <w:rFonts w:eastAsia="Calibri" w:cs="Times New Roman"/>
                <w:b/>
                <w:sz w:val="24"/>
                <w:szCs w:val="24"/>
              </w:rPr>
              <w:t>Kopējā ietaupītā galapatēriņa</w:t>
            </w:r>
            <w:r w:rsidR="001E48AC">
              <w:rPr>
                <w:rFonts w:eastAsia="Calibri" w:cs="Times New Roman"/>
                <w:b/>
                <w:sz w:val="24"/>
                <w:szCs w:val="24"/>
              </w:rPr>
              <w:t xml:space="preserve"> </w:t>
            </w:r>
            <w:r w:rsidRPr="001E48AC">
              <w:rPr>
                <w:rFonts w:eastAsia="Calibri" w:cs="Times New Roman"/>
                <w:b/>
                <w:sz w:val="24"/>
                <w:szCs w:val="24"/>
              </w:rPr>
              <w:t>enerģija, GWh</w:t>
            </w:r>
          </w:p>
        </w:tc>
      </w:tr>
      <w:tr w:rsidR="00841BF8" w:rsidRPr="001E48AC" w14:paraId="2D69ACF9" w14:textId="77777777" w:rsidTr="00FC1BBB">
        <w:tc>
          <w:tcPr>
            <w:tcW w:w="4106" w:type="dxa"/>
            <w:shd w:val="clear" w:color="auto" w:fill="auto"/>
          </w:tcPr>
          <w:p w14:paraId="1D0DE472" w14:textId="77777777" w:rsidR="00841BF8" w:rsidRPr="001E48AC" w:rsidRDefault="00841BF8" w:rsidP="00841BF8">
            <w:pPr>
              <w:autoSpaceDE w:val="0"/>
              <w:autoSpaceDN w:val="0"/>
              <w:adjustRightInd w:val="0"/>
              <w:spacing w:after="0" w:line="240" w:lineRule="auto"/>
              <w:rPr>
                <w:rFonts w:eastAsia="Calibri" w:cs="Times New Roman"/>
                <w:sz w:val="24"/>
                <w:szCs w:val="24"/>
              </w:rPr>
            </w:pPr>
            <w:r w:rsidRPr="001E48AC">
              <w:rPr>
                <w:rFonts w:eastAsia="Calibri" w:cs="Times New Roman"/>
                <w:sz w:val="24"/>
                <w:szCs w:val="24"/>
              </w:rPr>
              <w:t>Energoefektivitātes paaugstināšana sociālās mājās (aktivitāte 3.4.4.2.0)</w:t>
            </w:r>
          </w:p>
        </w:tc>
        <w:tc>
          <w:tcPr>
            <w:tcW w:w="2268" w:type="dxa"/>
            <w:shd w:val="clear" w:color="auto" w:fill="auto"/>
          </w:tcPr>
          <w:p w14:paraId="3901A043" w14:textId="77777777" w:rsidR="00841BF8" w:rsidRPr="001E48AC" w:rsidRDefault="00841BF8" w:rsidP="00841BF8">
            <w:pPr>
              <w:autoSpaceDE w:val="0"/>
              <w:autoSpaceDN w:val="0"/>
              <w:adjustRightInd w:val="0"/>
              <w:spacing w:after="0" w:line="240" w:lineRule="auto"/>
              <w:rPr>
                <w:rFonts w:eastAsia="Calibri" w:cs="Times New Roman"/>
                <w:sz w:val="24"/>
                <w:szCs w:val="24"/>
              </w:rPr>
            </w:pPr>
            <w:r w:rsidRPr="001E48AC">
              <w:rPr>
                <w:rFonts w:eastAsia="Calibri" w:cs="Times New Roman"/>
                <w:sz w:val="24"/>
                <w:szCs w:val="24"/>
              </w:rPr>
              <w:t>mājsaimniecības</w:t>
            </w:r>
          </w:p>
        </w:tc>
        <w:tc>
          <w:tcPr>
            <w:tcW w:w="2693" w:type="dxa"/>
            <w:shd w:val="clear" w:color="auto" w:fill="auto"/>
          </w:tcPr>
          <w:p w14:paraId="0E6E02AF" w14:textId="77777777" w:rsidR="00841BF8" w:rsidRPr="001E48AC" w:rsidRDefault="00841BF8" w:rsidP="00841BF8">
            <w:pPr>
              <w:autoSpaceDE w:val="0"/>
              <w:autoSpaceDN w:val="0"/>
              <w:adjustRightInd w:val="0"/>
              <w:spacing w:after="0" w:line="240" w:lineRule="auto"/>
              <w:jc w:val="center"/>
              <w:rPr>
                <w:rFonts w:eastAsia="Calibri" w:cs="Times New Roman"/>
                <w:sz w:val="24"/>
                <w:szCs w:val="24"/>
              </w:rPr>
            </w:pPr>
            <w:r w:rsidRPr="001E48AC">
              <w:rPr>
                <w:rFonts w:eastAsia="Calibri" w:cs="Times New Roman"/>
                <w:sz w:val="24"/>
                <w:szCs w:val="24"/>
              </w:rPr>
              <w:t>4.2</w:t>
            </w:r>
          </w:p>
        </w:tc>
      </w:tr>
      <w:tr w:rsidR="00841BF8" w:rsidRPr="001E48AC" w14:paraId="618E6176" w14:textId="77777777" w:rsidTr="00FC1BBB">
        <w:tc>
          <w:tcPr>
            <w:tcW w:w="4106" w:type="dxa"/>
            <w:shd w:val="clear" w:color="auto" w:fill="auto"/>
          </w:tcPr>
          <w:p w14:paraId="4A1D852D" w14:textId="77777777" w:rsidR="00841BF8" w:rsidRPr="001E48AC" w:rsidRDefault="00841BF8" w:rsidP="00841BF8">
            <w:pPr>
              <w:autoSpaceDE w:val="0"/>
              <w:autoSpaceDN w:val="0"/>
              <w:adjustRightInd w:val="0"/>
              <w:spacing w:after="0" w:line="240" w:lineRule="auto"/>
              <w:rPr>
                <w:rFonts w:eastAsia="Calibri" w:cs="Times New Roman"/>
                <w:sz w:val="24"/>
                <w:szCs w:val="24"/>
              </w:rPr>
            </w:pPr>
            <w:r w:rsidRPr="001E48AC">
              <w:rPr>
                <w:rFonts w:eastAsia="Calibri" w:cs="Times New Roman"/>
                <w:sz w:val="24"/>
                <w:szCs w:val="24"/>
              </w:rPr>
              <w:t>Energoefektivitātes paaugstināšana dzīvojamās mājās (aktivitāte 3.4.4.1.0)</w:t>
            </w:r>
          </w:p>
        </w:tc>
        <w:tc>
          <w:tcPr>
            <w:tcW w:w="2268" w:type="dxa"/>
            <w:shd w:val="clear" w:color="auto" w:fill="auto"/>
          </w:tcPr>
          <w:p w14:paraId="698AFC71" w14:textId="77777777" w:rsidR="00841BF8" w:rsidRPr="001E48AC" w:rsidRDefault="00841BF8" w:rsidP="00841BF8">
            <w:pPr>
              <w:autoSpaceDE w:val="0"/>
              <w:autoSpaceDN w:val="0"/>
              <w:adjustRightInd w:val="0"/>
              <w:spacing w:after="0" w:line="240" w:lineRule="auto"/>
              <w:rPr>
                <w:rFonts w:eastAsia="Calibri" w:cs="Times New Roman"/>
                <w:sz w:val="24"/>
                <w:szCs w:val="24"/>
              </w:rPr>
            </w:pPr>
            <w:r w:rsidRPr="001E48AC">
              <w:rPr>
                <w:rFonts w:eastAsia="Calibri" w:cs="Times New Roman"/>
                <w:sz w:val="24"/>
                <w:szCs w:val="24"/>
              </w:rPr>
              <w:t>mājsaimniecības</w:t>
            </w:r>
          </w:p>
        </w:tc>
        <w:tc>
          <w:tcPr>
            <w:tcW w:w="2693" w:type="dxa"/>
            <w:shd w:val="clear" w:color="auto" w:fill="auto"/>
          </w:tcPr>
          <w:p w14:paraId="140366E0" w14:textId="77777777" w:rsidR="00841BF8" w:rsidRPr="001E48AC" w:rsidRDefault="00841BF8" w:rsidP="00841BF8">
            <w:pPr>
              <w:autoSpaceDE w:val="0"/>
              <w:autoSpaceDN w:val="0"/>
              <w:adjustRightInd w:val="0"/>
              <w:spacing w:after="0" w:line="240" w:lineRule="auto"/>
              <w:jc w:val="center"/>
              <w:rPr>
                <w:rFonts w:eastAsia="Calibri" w:cs="Times New Roman"/>
                <w:sz w:val="24"/>
                <w:szCs w:val="24"/>
              </w:rPr>
            </w:pPr>
            <w:r w:rsidRPr="001E48AC">
              <w:rPr>
                <w:rFonts w:eastAsia="Calibri" w:cs="Times New Roman"/>
                <w:sz w:val="24"/>
                <w:szCs w:val="24"/>
              </w:rPr>
              <w:t>104</w:t>
            </w:r>
          </w:p>
        </w:tc>
      </w:tr>
      <w:tr w:rsidR="00841BF8" w:rsidRPr="001E48AC" w14:paraId="4D9FB5A1" w14:textId="77777777" w:rsidTr="00FC1BBB">
        <w:tc>
          <w:tcPr>
            <w:tcW w:w="4106" w:type="dxa"/>
            <w:shd w:val="clear" w:color="auto" w:fill="auto"/>
          </w:tcPr>
          <w:p w14:paraId="2E3DCDA6" w14:textId="10F8838D" w:rsidR="00841BF8" w:rsidRPr="001E48AC" w:rsidRDefault="009B505D" w:rsidP="00841BF8">
            <w:pPr>
              <w:autoSpaceDE w:val="0"/>
              <w:autoSpaceDN w:val="0"/>
              <w:adjustRightInd w:val="0"/>
              <w:spacing w:after="0" w:line="240" w:lineRule="auto"/>
              <w:rPr>
                <w:rFonts w:eastAsia="Calibri" w:cs="Times New Roman"/>
                <w:sz w:val="24"/>
                <w:szCs w:val="24"/>
              </w:rPr>
            </w:pPr>
            <w:r w:rsidRPr="001E48AC">
              <w:rPr>
                <w:rFonts w:cs="Times New Roman"/>
                <w:sz w:val="24"/>
                <w:szCs w:val="24"/>
              </w:rPr>
              <w:t xml:space="preserve">KPFI-1  Projektu konkurss “Energoefektivitātes paaugstināšana pašvaldību ēkās” </w:t>
            </w:r>
          </w:p>
        </w:tc>
        <w:tc>
          <w:tcPr>
            <w:tcW w:w="2268" w:type="dxa"/>
            <w:shd w:val="clear" w:color="auto" w:fill="auto"/>
          </w:tcPr>
          <w:p w14:paraId="140734B8" w14:textId="77777777" w:rsidR="00841BF8" w:rsidRPr="001E48AC" w:rsidRDefault="00841BF8" w:rsidP="00841BF8">
            <w:pPr>
              <w:autoSpaceDE w:val="0"/>
              <w:autoSpaceDN w:val="0"/>
              <w:adjustRightInd w:val="0"/>
              <w:spacing w:after="0" w:line="240" w:lineRule="auto"/>
              <w:rPr>
                <w:rFonts w:eastAsia="Calibri" w:cs="Times New Roman"/>
                <w:sz w:val="24"/>
                <w:szCs w:val="24"/>
              </w:rPr>
            </w:pPr>
            <w:r w:rsidRPr="001E48AC">
              <w:rPr>
                <w:rFonts w:eastAsia="Calibri" w:cs="Times New Roman"/>
                <w:sz w:val="24"/>
                <w:szCs w:val="24"/>
              </w:rPr>
              <w:t>pakalpojumu sektors</w:t>
            </w:r>
          </w:p>
        </w:tc>
        <w:tc>
          <w:tcPr>
            <w:tcW w:w="2693" w:type="dxa"/>
            <w:shd w:val="clear" w:color="auto" w:fill="auto"/>
          </w:tcPr>
          <w:p w14:paraId="737E4165" w14:textId="77777777" w:rsidR="00841BF8" w:rsidRPr="001E48AC" w:rsidRDefault="00841BF8" w:rsidP="00841BF8">
            <w:pPr>
              <w:autoSpaceDE w:val="0"/>
              <w:autoSpaceDN w:val="0"/>
              <w:adjustRightInd w:val="0"/>
              <w:spacing w:after="0" w:line="240" w:lineRule="auto"/>
              <w:jc w:val="center"/>
              <w:rPr>
                <w:rFonts w:eastAsia="Calibri" w:cs="Times New Roman"/>
                <w:sz w:val="24"/>
                <w:szCs w:val="24"/>
              </w:rPr>
            </w:pPr>
            <w:r w:rsidRPr="001E48AC">
              <w:rPr>
                <w:rFonts w:eastAsia="Calibri" w:cs="Times New Roman"/>
                <w:sz w:val="24"/>
                <w:szCs w:val="24"/>
              </w:rPr>
              <w:t>79.5</w:t>
            </w:r>
          </w:p>
        </w:tc>
      </w:tr>
      <w:tr w:rsidR="009B505D" w:rsidRPr="001E48AC" w14:paraId="279A9183" w14:textId="77777777" w:rsidTr="00FC1BBB">
        <w:tc>
          <w:tcPr>
            <w:tcW w:w="4106" w:type="dxa"/>
            <w:shd w:val="clear" w:color="auto" w:fill="auto"/>
          </w:tcPr>
          <w:p w14:paraId="0307B7BC" w14:textId="28DB7358" w:rsidR="009B505D" w:rsidRPr="001E48AC" w:rsidRDefault="009B505D" w:rsidP="009B505D">
            <w:pPr>
              <w:autoSpaceDE w:val="0"/>
              <w:autoSpaceDN w:val="0"/>
              <w:adjustRightInd w:val="0"/>
              <w:spacing w:after="0" w:line="240" w:lineRule="auto"/>
              <w:rPr>
                <w:rFonts w:eastAsia="Calibri" w:cs="Times New Roman"/>
                <w:sz w:val="24"/>
                <w:szCs w:val="24"/>
              </w:rPr>
            </w:pPr>
            <w:r w:rsidRPr="001E48AC">
              <w:rPr>
                <w:rFonts w:cs="Times New Roman"/>
                <w:sz w:val="24"/>
                <w:szCs w:val="24"/>
              </w:rPr>
              <w:t xml:space="preserve">KPFI-3  Projektu konkurss “Energoefektivitātes paaugstināšana augstākās izglītības iestāžu ēkās” </w:t>
            </w:r>
          </w:p>
        </w:tc>
        <w:tc>
          <w:tcPr>
            <w:tcW w:w="2268" w:type="dxa"/>
            <w:shd w:val="clear" w:color="auto" w:fill="auto"/>
          </w:tcPr>
          <w:p w14:paraId="5A205D65" w14:textId="77777777" w:rsidR="009B505D" w:rsidRPr="001E48AC" w:rsidRDefault="009B505D" w:rsidP="009B505D">
            <w:pPr>
              <w:autoSpaceDE w:val="0"/>
              <w:autoSpaceDN w:val="0"/>
              <w:adjustRightInd w:val="0"/>
              <w:spacing w:after="0" w:line="240" w:lineRule="auto"/>
              <w:rPr>
                <w:rFonts w:eastAsia="Calibri" w:cs="Times New Roman"/>
                <w:sz w:val="24"/>
                <w:szCs w:val="24"/>
              </w:rPr>
            </w:pPr>
            <w:r w:rsidRPr="001E48AC">
              <w:rPr>
                <w:rFonts w:eastAsia="Calibri" w:cs="Times New Roman"/>
                <w:sz w:val="24"/>
                <w:szCs w:val="24"/>
              </w:rPr>
              <w:t>pakalpojumu sektors</w:t>
            </w:r>
          </w:p>
        </w:tc>
        <w:tc>
          <w:tcPr>
            <w:tcW w:w="2693" w:type="dxa"/>
            <w:shd w:val="clear" w:color="auto" w:fill="auto"/>
          </w:tcPr>
          <w:p w14:paraId="26ABCB14" w14:textId="77777777" w:rsidR="009B505D" w:rsidRPr="001E48AC" w:rsidRDefault="009B505D" w:rsidP="009B505D">
            <w:pPr>
              <w:autoSpaceDE w:val="0"/>
              <w:autoSpaceDN w:val="0"/>
              <w:adjustRightInd w:val="0"/>
              <w:spacing w:after="0" w:line="240" w:lineRule="auto"/>
              <w:jc w:val="center"/>
              <w:rPr>
                <w:rFonts w:eastAsia="Calibri" w:cs="Times New Roman"/>
                <w:sz w:val="24"/>
                <w:szCs w:val="24"/>
              </w:rPr>
            </w:pPr>
            <w:r w:rsidRPr="001E48AC">
              <w:rPr>
                <w:rFonts w:eastAsia="Calibri" w:cs="Times New Roman"/>
                <w:sz w:val="24"/>
                <w:szCs w:val="24"/>
              </w:rPr>
              <w:t>9.6</w:t>
            </w:r>
          </w:p>
        </w:tc>
      </w:tr>
      <w:tr w:rsidR="009B505D" w:rsidRPr="001E48AC" w14:paraId="7A563123" w14:textId="77777777" w:rsidTr="00FC1BBB">
        <w:trPr>
          <w:trHeight w:val="1072"/>
        </w:trPr>
        <w:tc>
          <w:tcPr>
            <w:tcW w:w="4106" w:type="dxa"/>
            <w:shd w:val="clear" w:color="auto" w:fill="auto"/>
          </w:tcPr>
          <w:p w14:paraId="6FCD20DC" w14:textId="05E4B683" w:rsidR="009B505D" w:rsidRPr="001E48AC" w:rsidRDefault="009B505D" w:rsidP="009B505D">
            <w:pPr>
              <w:autoSpaceDE w:val="0"/>
              <w:autoSpaceDN w:val="0"/>
              <w:adjustRightInd w:val="0"/>
              <w:spacing w:after="0" w:line="240" w:lineRule="auto"/>
              <w:rPr>
                <w:rFonts w:eastAsia="Calibri" w:cs="Times New Roman"/>
                <w:sz w:val="24"/>
                <w:szCs w:val="24"/>
              </w:rPr>
            </w:pPr>
            <w:r w:rsidRPr="001E48AC">
              <w:rPr>
                <w:rFonts w:cs="Times New Roman"/>
                <w:sz w:val="24"/>
                <w:szCs w:val="24"/>
              </w:rPr>
              <w:t xml:space="preserve">KPFI – 13  Projektu konkurss “Siltumnīcefekta gāzu emisiju samazināšana pašvaldību publisko teritoriju apgaismojuma infrastruktūrā” </w:t>
            </w:r>
            <w:r w:rsidRPr="001E48AC">
              <w:rPr>
                <w:rFonts w:eastAsia="Calibri" w:cs="Times New Roman"/>
                <w:sz w:val="24"/>
                <w:szCs w:val="24"/>
              </w:rPr>
              <w:t xml:space="preserve">Energoefektivitātes paaugstināšana </w:t>
            </w:r>
          </w:p>
        </w:tc>
        <w:tc>
          <w:tcPr>
            <w:tcW w:w="2268" w:type="dxa"/>
            <w:shd w:val="clear" w:color="auto" w:fill="auto"/>
          </w:tcPr>
          <w:p w14:paraId="2B7282B2" w14:textId="77777777" w:rsidR="009B505D" w:rsidRPr="001E48AC" w:rsidRDefault="009B505D" w:rsidP="009B505D">
            <w:pPr>
              <w:autoSpaceDE w:val="0"/>
              <w:autoSpaceDN w:val="0"/>
              <w:adjustRightInd w:val="0"/>
              <w:spacing w:after="0" w:line="240" w:lineRule="auto"/>
              <w:rPr>
                <w:rFonts w:eastAsia="Calibri" w:cs="Times New Roman"/>
                <w:sz w:val="24"/>
                <w:szCs w:val="24"/>
              </w:rPr>
            </w:pPr>
            <w:r w:rsidRPr="001E48AC">
              <w:rPr>
                <w:rFonts w:eastAsia="Calibri" w:cs="Times New Roman"/>
                <w:sz w:val="24"/>
                <w:szCs w:val="24"/>
              </w:rPr>
              <w:t>pakalpojumu sektors</w:t>
            </w:r>
          </w:p>
        </w:tc>
        <w:tc>
          <w:tcPr>
            <w:tcW w:w="2693" w:type="dxa"/>
            <w:shd w:val="clear" w:color="auto" w:fill="auto"/>
          </w:tcPr>
          <w:p w14:paraId="630CBA5B" w14:textId="77777777" w:rsidR="009B505D" w:rsidRPr="001E48AC" w:rsidRDefault="009B505D" w:rsidP="009B505D">
            <w:pPr>
              <w:autoSpaceDE w:val="0"/>
              <w:autoSpaceDN w:val="0"/>
              <w:adjustRightInd w:val="0"/>
              <w:spacing w:after="0" w:line="240" w:lineRule="auto"/>
              <w:jc w:val="center"/>
              <w:rPr>
                <w:rFonts w:eastAsia="Calibri" w:cs="Times New Roman"/>
                <w:sz w:val="24"/>
                <w:szCs w:val="24"/>
              </w:rPr>
            </w:pPr>
            <w:r w:rsidRPr="001E48AC">
              <w:rPr>
                <w:rFonts w:eastAsia="Calibri" w:cs="Times New Roman"/>
                <w:sz w:val="24"/>
                <w:szCs w:val="24"/>
              </w:rPr>
              <w:t>9.5</w:t>
            </w:r>
          </w:p>
        </w:tc>
      </w:tr>
      <w:tr w:rsidR="009B505D" w:rsidRPr="001E48AC" w14:paraId="43BBE3FE" w14:textId="77777777" w:rsidTr="00FC1BBB">
        <w:tc>
          <w:tcPr>
            <w:tcW w:w="4106" w:type="dxa"/>
            <w:shd w:val="clear" w:color="auto" w:fill="auto"/>
          </w:tcPr>
          <w:p w14:paraId="57A80420" w14:textId="323A7444" w:rsidR="009B505D" w:rsidRPr="001E48AC" w:rsidRDefault="006F71CD" w:rsidP="009B505D">
            <w:pPr>
              <w:autoSpaceDE w:val="0"/>
              <w:autoSpaceDN w:val="0"/>
              <w:adjustRightInd w:val="0"/>
              <w:spacing w:after="0" w:line="240" w:lineRule="auto"/>
              <w:rPr>
                <w:rFonts w:eastAsia="Calibri" w:cs="Times New Roman"/>
                <w:sz w:val="24"/>
                <w:szCs w:val="24"/>
              </w:rPr>
            </w:pPr>
            <w:r w:rsidRPr="001E48AC">
              <w:rPr>
                <w:rFonts w:eastAsia="Times New Roman"/>
                <w:sz w:val="24"/>
                <w:szCs w:val="24"/>
                <w:lang w:eastAsia="lv-LV"/>
              </w:rPr>
              <w:t xml:space="preserve">KPFI- 14 Projektu konkursa “Siltumnīcefekta gāzu emisijas samazinošu tehnoloģiju attīstīšana un </w:t>
            </w:r>
            <w:r w:rsidRPr="001E48AC">
              <w:rPr>
                <w:rFonts w:eastAsia="Times New Roman"/>
                <w:sz w:val="24"/>
                <w:szCs w:val="24"/>
                <w:lang w:eastAsia="lv-LV"/>
              </w:rPr>
              <w:lastRenderedPageBreak/>
              <w:t xml:space="preserve">pilotprojektu īstenošana” ietvaros īstenotais projekts viedo elektroenerģijas skaitītāju uzstādīšana </w:t>
            </w:r>
          </w:p>
        </w:tc>
        <w:tc>
          <w:tcPr>
            <w:tcW w:w="2268" w:type="dxa"/>
            <w:shd w:val="clear" w:color="auto" w:fill="auto"/>
          </w:tcPr>
          <w:p w14:paraId="63B31591" w14:textId="77777777" w:rsidR="009B505D" w:rsidRPr="001E48AC" w:rsidRDefault="009B505D" w:rsidP="009B505D">
            <w:pPr>
              <w:autoSpaceDE w:val="0"/>
              <w:autoSpaceDN w:val="0"/>
              <w:adjustRightInd w:val="0"/>
              <w:spacing w:after="0" w:line="240" w:lineRule="auto"/>
              <w:rPr>
                <w:rFonts w:eastAsia="Calibri" w:cs="Times New Roman"/>
                <w:sz w:val="24"/>
                <w:szCs w:val="24"/>
              </w:rPr>
            </w:pPr>
            <w:r w:rsidRPr="001E48AC">
              <w:rPr>
                <w:rFonts w:eastAsia="Calibri" w:cs="Times New Roman"/>
                <w:sz w:val="24"/>
                <w:szCs w:val="24"/>
              </w:rPr>
              <w:lastRenderedPageBreak/>
              <w:t>pakalpojumu sektors</w:t>
            </w:r>
          </w:p>
        </w:tc>
        <w:tc>
          <w:tcPr>
            <w:tcW w:w="2693" w:type="dxa"/>
            <w:shd w:val="clear" w:color="auto" w:fill="auto"/>
          </w:tcPr>
          <w:p w14:paraId="684F42A0" w14:textId="77777777" w:rsidR="009B505D" w:rsidRPr="001E48AC" w:rsidRDefault="009B505D" w:rsidP="009B505D">
            <w:pPr>
              <w:autoSpaceDE w:val="0"/>
              <w:autoSpaceDN w:val="0"/>
              <w:adjustRightInd w:val="0"/>
              <w:spacing w:after="0" w:line="240" w:lineRule="auto"/>
              <w:jc w:val="center"/>
              <w:rPr>
                <w:rFonts w:eastAsia="Calibri" w:cs="Times New Roman"/>
                <w:sz w:val="24"/>
                <w:szCs w:val="24"/>
              </w:rPr>
            </w:pPr>
            <w:r w:rsidRPr="001E48AC">
              <w:rPr>
                <w:rFonts w:eastAsia="Calibri" w:cs="Times New Roman"/>
                <w:sz w:val="24"/>
                <w:szCs w:val="24"/>
              </w:rPr>
              <w:t>0.4</w:t>
            </w:r>
          </w:p>
        </w:tc>
      </w:tr>
      <w:tr w:rsidR="006F71CD" w:rsidRPr="001E48AC" w14:paraId="7B9D2CD5" w14:textId="77777777" w:rsidTr="00FC1BBB">
        <w:tc>
          <w:tcPr>
            <w:tcW w:w="4106" w:type="dxa"/>
            <w:shd w:val="clear" w:color="auto" w:fill="auto"/>
          </w:tcPr>
          <w:p w14:paraId="1A266862" w14:textId="7FC21078" w:rsidR="006F71CD" w:rsidRPr="001E48AC" w:rsidRDefault="006F71CD" w:rsidP="006F71CD">
            <w:pPr>
              <w:autoSpaceDE w:val="0"/>
              <w:autoSpaceDN w:val="0"/>
              <w:adjustRightInd w:val="0"/>
              <w:spacing w:after="0" w:line="240" w:lineRule="auto"/>
              <w:rPr>
                <w:rFonts w:eastAsia="Calibri" w:cs="Times New Roman"/>
                <w:sz w:val="24"/>
                <w:szCs w:val="24"/>
              </w:rPr>
            </w:pPr>
            <w:r w:rsidRPr="001E48AC">
              <w:rPr>
                <w:rFonts w:cs="Times New Roman"/>
                <w:sz w:val="24"/>
                <w:szCs w:val="24"/>
              </w:rPr>
              <w:t xml:space="preserve">KPFI-15 Projektu konkurss “Kompleksi risinājumi siltumnīcefekta gāzu emisiju samazināšanai” un KPFI-6  Projektu konkurss “Kompleksi risinājumi siltumnīcefekta gāzu emisijas samazināšanai ražošanas ēkās”   </w:t>
            </w:r>
          </w:p>
        </w:tc>
        <w:tc>
          <w:tcPr>
            <w:tcW w:w="2268" w:type="dxa"/>
            <w:shd w:val="clear" w:color="auto" w:fill="auto"/>
          </w:tcPr>
          <w:p w14:paraId="4E7F3AA9" w14:textId="77777777" w:rsidR="006F71CD" w:rsidRPr="001E48AC" w:rsidRDefault="006F71CD" w:rsidP="006F71CD">
            <w:pPr>
              <w:autoSpaceDE w:val="0"/>
              <w:autoSpaceDN w:val="0"/>
              <w:adjustRightInd w:val="0"/>
              <w:spacing w:after="0" w:line="240" w:lineRule="auto"/>
              <w:rPr>
                <w:rFonts w:eastAsia="Calibri" w:cs="Times New Roman"/>
                <w:sz w:val="24"/>
                <w:szCs w:val="24"/>
              </w:rPr>
            </w:pPr>
            <w:r w:rsidRPr="001E48AC">
              <w:rPr>
                <w:rFonts w:eastAsia="Calibri" w:cs="Times New Roman"/>
                <w:sz w:val="24"/>
                <w:szCs w:val="24"/>
              </w:rPr>
              <w:t>rūpniecība</w:t>
            </w:r>
          </w:p>
        </w:tc>
        <w:tc>
          <w:tcPr>
            <w:tcW w:w="2693" w:type="dxa"/>
            <w:shd w:val="clear" w:color="auto" w:fill="auto"/>
          </w:tcPr>
          <w:p w14:paraId="01FA550B" w14:textId="77777777" w:rsidR="006F71CD" w:rsidRPr="001E48AC" w:rsidRDefault="006F71CD" w:rsidP="006F71CD">
            <w:pPr>
              <w:autoSpaceDE w:val="0"/>
              <w:autoSpaceDN w:val="0"/>
              <w:adjustRightInd w:val="0"/>
              <w:spacing w:after="0" w:line="240" w:lineRule="auto"/>
              <w:jc w:val="center"/>
              <w:rPr>
                <w:rFonts w:eastAsia="Calibri" w:cs="Times New Roman"/>
                <w:sz w:val="24"/>
                <w:szCs w:val="24"/>
              </w:rPr>
            </w:pPr>
            <w:r w:rsidRPr="001E48AC">
              <w:rPr>
                <w:rFonts w:eastAsia="Calibri" w:cs="Times New Roman"/>
                <w:sz w:val="24"/>
                <w:szCs w:val="24"/>
              </w:rPr>
              <w:t>100.7</w:t>
            </w:r>
          </w:p>
        </w:tc>
      </w:tr>
      <w:tr w:rsidR="006F71CD" w:rsidRPr="001E48AC" w14:paraId="283603A7" w14:textId="77777777" w:rsidTr="00FC1BBB">
        <w:tc>
          <w:tcPr>
            <w:tcW w:w="4106" w:type="dxa"/>
            <w:shd w:val="clear" w:color="auto" w:fill="auto"/>
          </w:tcPr>
          <w:p w14:paraId="57CDDD2B" w14:textId="13058C7C" w:rsidR="006F71CD" w:rsidRPr="001E48AC" w:rsidRDefault="006F71CD" w:rsidP="006F71CD">
            <w:pPr>
              <w:autoSpaceDE w:val="0"/>
              <w:autoSpaceDN w:val="0"/>
              <w:adjustRightInd w:val="0"/>
              <w:spacing w:after="0" w:line="240" w:lineRule="auto"/>
              <w:rPr>
                <w:rFonts w:eastAsia="Calibri" w:cs="Times New Roman"/>
                <w:sz w:val="24"/>
                <w:szCs w:val="24"/>
              </w:rPr>
            </w:pPr>
            <w:r w:rsidRPr="001E48AC">
              <w:rPr>
                <w:rFonts w:cs="Times New Roman"/>
                <w:sz w:val="24"/>
                <w:szCs w:val="24"/>
              </w:rPr>
              <w:t xml:space="preserve">KPFI-5 Projektu konkurss “Kompleksi risinājumi siltumnīcefekta gāzu emisijas samazināšanai valsts un pašvaldību profesionālās izglītības iestāžu ēkās”  </w:t>
            </w:r>
          </w:p>
        </w:tc>
        <w:tc>
          <w:tcPr>
            <w:tcW w:w="2268" w:type="dxa"/>
            <w:shd w:val="clear" w:color="auto" w:fill="auto"/>
          </w:tcPr>
          <w:p w14:paraId="0FAA99DC" w14:textId="77777777" w:rsidR="006F71CD" w:rsidRPr="001E48AC" w:rsidRDefault="006F71CD" w:rsidP="006F71CD">
            <w:pPr>
              <w:autoSpaceDE w:val="0"/>
              <w:autoSpaceDN w:val="0"/>
              <w:adjustRightInd w:val="0"/>
              <w:spacing w:after="0" w:line="240" w:lineRule="auto"/>
              <w:rPr>
                <w:rFonts w:eastAsia="Calibri" w:cs="Times New Roman"/>
                <w:sz w:val="24"/>
                <w:szCs w:val="24"/>
              </w:rPr>
            </w:pPr>
            <w:r w:rsidRPr="001E48AC">
              <w:rPr>
                <w:rFonts w:eastAsia="Calibri" w:cs="Times New Roman"/>
                <w:sz w:val="24"/>
                <w:szCs w:val="24"/>
              </w:rPr>
              <w:t>pakalpojumu sektors</w:t>
            </w:r>
          </w:p>
        </w:tc>
        <w:tc>
          <w:tcPr>
            <w:tcW w:w="2693" w:type="dxa"/>
            <w:shd w:val="clear" w:color="auto" w:fill="auto"/>
          </w:tcPr>
          <w:p w14:paraId="1EDD3B3B" w14:textId="77777777" w:rsidR="006F71CD" w:rsidRPr="001E48AC" w:rsidRDefault="006F71CD" w:rsidP="006F71CD">
            <w:pPr>
              <w:autoSpaceDE w:val="0"/>
              <w:autoSpaceDN w:val="0"/>
              <w:adjustRightInd w:val="0"/>
              <w:spacing w:after="0" w:line="240" w:lineRule="auto"/>
              <w:jc w:val="center"/>
              <w:rPr>
                <w:rFonts w:eastAsia="Calibri" w:cs="Times New Roman"/>
                <w:sz w:val="24"/>
                <w:szCs w:val="24"/>
              </w:rPr>
            </w:pPr>
            <w:r w:rsidRPr="001E48AC">
              <w:rPr>
                <w:rFonts w:eastAsia="Calibri" w:cs="Times New Roman"/>
                <w:sz w:val="24"/>
                <w:szCs w:val="24"/>
              </w:rPr>
              <w:t>17.0</w:t>
            </w:r>
          </w:p>
        </w:tc>
      </w:tr>
      <w:tr w:rsidR="006F71CD" w:rsidRPr="001E48AC" w14:paraId="133F72E5" w14:textId="77777777" w:rsidTr="00FC1BBB">
        <w:tc>
          <w:tcPr>
            <w:tcW w:w="4106" w:type="dxa"/>
            <w:shd w:val="clear" w:color="auto" w:fill="auto"/>
          </w:tcPr>
          <w:p w14:paraId="3B36E081" w14:textId="60BA0872" w:rsidR="006F71CD" w:rsidRPr="001E48AC" w:rsidRDefault="006F71CD" w:rsidP="006F71CD">
            <w:pPr>
              <w:autoSpaceDE w:val="0"/>
              <w:autoSpaceDN w:val="0"/>
              <w:adjustRightInd w:val="0"/>
              <w:spacing w:after="0" w:line="240" w:lineRule="auto"/>
              <w:jc w:val="right"/>
              <w:rPr>
                <w:rFonts w:eastAsia="Calibri" w:cs="Times New Roman"/>
                <w:b/>
                <w:sz w:val="24"/>
                <w:szCs w:val="24"/>
              </w:rPr>
            </w:pPr>
            <w:r w:rsidRPr="001E48AC">
              <w:rPr>
                <w:rFonts w:eastAsia="Calibri" w:cs="Times New Roman"/>
                <w:b/>
                <w:sz w:val="24"/>
                <w:szCs w:val="24"/>
              </w:rPr>
              <w:t>Kopā ietaupījums</w:t>
            </w:r>
          </w:p>
        </w:tc>
        <w:tc>
          <w:tcPr>
            <w:tcW w:w="2268" w:type="dxa"/>
            <w:shd w:val="clear" w:color="auto" w:fill="auto"/>
          </w:tcPr>
          <w:p w14:paraId="434F8F9A" w14:textId="77777777" w:rsidR="006F71CD" w:rsidRPr="001E48AC" w:rsidRDefault="006F71CD" w:rsidP="006F71CD">
            <w:pPr>
              <w:autoSpaceDE w:val="0"/>
              <w:autoSpaceDN w:val="0"/>
              <w:adjustRightInd w:val="0"/>
              <w:spacing w:after="0" w:line="240" w:lineRule="auto"/>
              <w:rPr>
                <w:rFonts w:eastAsia="Calibri" w:cs="Times New Roman"/>
                <w:sz w:val="24"/>
                <w:szCs w:val="24"/>
              </w:rPr>
            </w:pPr>
          </w:p>
        </w:tc>
        <w:tc>
          <w:tcPr>
            <w:tcW w:w="2693" w:type="dxa"/>
            <w:shd w:val="clear" w:color="auto" w:fill="auto"/>
          </w:tcPr>
          <w:p w14:paraId="5E44DF82" w14:textId="77777777" w:rsidR="006F71CD" w:rsidRPr="001E48AC" w:rsidRDefault="006F71CD" w:rsidP="006F71CD">
            <w:pPr>
              <w:autoSpaceDE w:val="0"/>
              <w:autoSpaceDN w:val="0"/>
              <w:adjustRightInd w:val="0"/>
              <w:spacing w:after="0" w:line="240" w:lineRule="auto"/>
              <w:jc w:val="center"/>
              <w:rPr>
                <w:rFonts w:eastAsia="Calibri" w:cs="Times New Roman"/>
                <w:b/>
                <w:sz w:val="24"/>
                <w:szCs w:val="24"/>
              </w:rPr>
            </w:pPr>
            <w:r w:rsidRPr="001E48AC">
              <w:rPr>
                <w:rFonts w:eastAsia="Calibri" w:cs="Times New Roman"/>
                <w:b/>
                <w:sz w:val="24"/>
                <w:szCs w:val="24"/>
              </w:rPr>
              <w:t>324.9</w:t>
            </w:r>
          </w:p>
        </w:tc>
      </w:tr>
    </w:tbl>
    <w:p w14:paraId="7092146D" w14:textId="77777777" w:rsidR="001D2C6E" w:rsidRPr="001E48AC" w:rsidRDefault="001D2C6E" w:rsidP="00685686">
      <w:pPr>
        <w:spacing w:after="0" w:line="240" w:lineRule="auto"/>
        <w:jc w:val="both"/>
        <w:rPr>
          <w:rFonts w:eastAsia="Times New Roman" w:cs="Times New Roman"/>
          <w:b/>
          <w:spacing w:val="10"/>
          <w:szCs w:val="28"/>
          <w:lang w:bidi="en-US"/>
        </w:rPr>
      </w:pPr>
    </w:p>
    <w:p w14:paraId="12BE4ADC" w14:textId="77777777" w:rsidR="000F6DEE" w:rsidRPr="001E48AC" w:rsidRDefault="000F6DEE" w:rsidP="00685686">
      <w:pPr>
        <w:autoSpaceDE w:val="0"/>
        <w:autoSpaceDN w:val="0"/>
        <w:adjustRightInd w:val="0"/>
        <w:spacing w:after="0" w:line="240" w:lineRule="auto"/>
        <w:ind w:firstLine="720"/>
        <w:jc w:val="both"/>
        <w:rPr>
          <w:rFonts w:cs="Times New Roman"/>
          <w:szCs w:val="28"/>
        </w:rPr>
      </w:pPr>
      <w:r w:rsidRPr="001E48AC">
        <w:rPr>
          <w:rFonts w:cs="Times New Roman"/>
          <w:szCs w:val="28"/>
        </w:rPr>
        <w:t>Mājsaimniecībās un pakalpojumu sektorā ar augšupvērsto metodi ir novērtēts attiecīgi 3.2% un 20%  no kopējā enerģijas ietaupījuma sektorā, bet rūpniecībā tikai augšupvērstā metode uzrāda enerģijas ietaupījumu sektorā.</w:t>
      </w:r>
    </w:p>
    <w:p w14:paraId="4B6F285F" w14:textId="3AE64037" w:rsidR="00DF5BCD" w:rsidRPr="001E48AC" w:rsidRDefault="000F6DEE" w:rsidP="00685686">
      <w:pPr>
        <w:pStyle w:val="Caption"/>
        <w:spacing w:after="0" w:line="240" w:lineRule="auto"/>
        <w:ind w:firstLine="720"/>
        <w:jc w:val="both"/>
        <w:rPr>
          <w:rFonts w:ascii="Times New Roman" w:hAnsi="Times New Roman"/>
          <w:caps w:val="0"/>
          <w:spacing w:val="0"/>
          <w:sz w:val="28"/>
          <w:szCs w:val="28"/>
          <w:lang w:val="lv-LV" w:bidi="ar-SA"/>
        </w:rPr>
      </w:pPr>
      <w:r w:rsidRPr="001E48AC">
        <w:rPr>
          <w:rFonts w:ascii="Times New Roman" w:hAnsi="Times New Roman"/>
          <w:caps w:val="0"/>
          <w:spacing w:val="0"/>
          <w:sz w:val="28"/>
          <w:szCs w:val="28"/>
          <w:lang w:val="lv-LV" w:bidi="ar-SA"/>
        </w:rPr>
        <w:t>Kopējā enerģijas galapatēriņa ietaupījuma aprēķināšanai uz 2015.gadu</w:t>
      </w:r>
      <w:r w:rsidR="00C21CA5" w:rsidRPr="001E48AC">
        <w:rPr>
          <w:rFonts w:ascii="Times New Roman" w:hAnsi="Times New Roman"/>
          <w:caps w:val="0"/>
          <w:spacing w:val="0"/>
          <w:sz w:val="28"/>
          <w:szCs w:val="28"/>
          <w:lang w:val="lv-LV" w:bidi="ar-SA"/>
        </w:rPr>
        <w:t xml:space="preserve"> 3.tabulā</w:t>
      </w:r>
      <w:r w:rsidRPr="001E48AC">
        <w:rPr>
          <w:rFonts w:ascii="Times New Roman" w:hAnsi="Times New Roman"/>
          <w:caps w:val="0"/>
          <w:spacing w:val="0"/>
          <w:sz w:val="28"/>
          <w:szCs w:val="28"/>
          <w:lang w:val="lv-LV" w:bidi="ar-SA"/>
        </w:rPr>
        <w:t xml:space="preserve"> tiek summēti ar lejupvērsto un augšupvērsto metodi iegūtie rezultāti. Dubultās uzskaites novēršana notiek atbilstoši M</w:t>
      </w:r>
      <w:r w:rsidR="00F473C8" w:rsidRPr="001E48AC">
        <w:rPr>
          <w:rFonts w:ascii="Times New Roman" w:hAnsi="Times New Roman"/>
          <w:caps w:val="0"/>
          <w:spacing w:val="0"/>
          <w:sz w:val="28"/>
          <w:szCs w:val="28"/>
          <w:lang w:val="lv-LV" w:bidi="ar-SA"/>
        </w:rPr>
        <w:t>onitoringa</w:t>
      </w:r>
      <w:r w:rsidRPr="001E48AC">
        <w:rPr>
          <w:rFonts w:ascii="Times New Roman" w:hAnsi="Times New Roman"/>
          <w:caps w:val="0"/>
          <w:spacing w:val="0"/>
          <w:sz w:val="28"/>
          <w:szCs w:val="28"/>
          <w:lang w:val="lv-LV" w:bidi="ar-SA"/>
        </w:rPr>
        <w:t xml:space="preserve"> noteikumu Nr.668 prasībām.</w:t>
      </w:r>
    </w:p>
    <w:p w14:paraId="2E3A5A98" w14:textId="77777777" w:rsidR="00CC494E" w:rsidRPr="001E48AC" w:rsidRDefault="00CC494E" w:rsidP="007942A4">
      <w:pPr>
        <w:spacing w:after="0" w:line="240" w:lineRule="auto"/>
      </w:pPr>
    </w:p>
    <w:p w14:paraId="2EDCB42C" w14:textId="4AA74EDC" w:rsidR="000F6DEE" w:rsidRPr="001E48AC" w:rsidRDefault="00C21CA5" w:rsidP="00685686">
      <w:pPr>
        <w:pStyle w:val="Caption"/>
        <w:spacing w:after="0" w:line="240" w:lineRule="auto"/>
        <w:jc w:val="both"/>
        <w:rPr>
          <w:rFonts w:ascii="Times New Roman" w:hAnsi="Times New Roman"/>
          <w:b/>
          <w:sz w:val="28"/>
          <w:szCs w:val="28"/>
          <w:lang w:val="lv-LV"/>
        </w:rPr>
      </w:pPr>
      <w:r w:rsidRPr="001E48AC">
        <w:rPr>
          <w:rFonts w:ascii="Times New Roman" w:hAnsi="Times New Roman"/>
          <w:b/>
          <w:caps w:val="0"/>
          <w:sz w:val="28"/>
          <w:szCs w:val="28"/>
          <w:lang w:val="lv-LV"/>
        </w:rPr>
        <w:t>4</w:t>
      </w:r>
      <w:r w:rsidR="00DF5BCD" w:rsidRPr="001E48AC">
        <w:rPr>
          <w:rFonts w:ascii="Times New Roman" w:hAnsi="Times New Roman"/>
          <w:b/>
          <w:caps w:val="0"/>
          <w:sz w:val="28"/>
          <w:szCs w:val="28"/>
          <w:lang w:val="lv-LV"/>
        </w:rPr>
        <w:t>.</w:t>
      </w:r>
      <w:r w:rsidR="00263FE2" w:rsidRPr="001E48AC">
        <w:rPr>
          <w:rFonts w:ascii="Times New Roman" w:hAnsi="Times New Roman"/>
          <w:b/>
          <w:caps w:val="0"/>
          <w:sz w:val="28"/>
          <w:szCs w:val="28"/>
          <w:lang w:val="lv-LV"/>
        </w:rPr>
        <w:t>tabula. K</w:t>
      </w:r>
      <w:r w:rsidR="000F6DEE" w:rsidRPr="001E48AC">
        <w:rPr>
          <w:rFonts w:ascii="Times New Roman" w:hAnsi="Times New Roman"/>
          <w:b/>
          <w:caps w:val="0"/>
          <w:sz w:val="28"/>
          <w:szCs w:val="28"/>
          <w:lang w:val="lv-LV"/>
        </w:rPr>
        <w:t>opsavilkums par aprēķināto enerģijas ietaupījumu gala patēriņā 2015.gadā Latvijā</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965"/>
        <w:gridCol w:w="2697"/>
      </w:tblGrid>
      <w:tr w:rsidR="002A0E13" w:rsidRPr="001E48AC" w14:paraId="7E63D689" w14:textId="77777777" w:rsidTr="002A0E13">
        <w:trPr>
          <w:jc w:val="center"/>
        </w:trPr>
        <w:tc>
          <w:tcPr>
            <w:tcW w:w="2689" w:type="dxa"/>
            <w:vAlign w:val="center"/>
          </w:tcPr>
          <w:p w14:paraId="0C8A8E54" w14:textId="77777777" w:rsidR="002A0E13" w:rsidRPr="001E48AC" w:rsidRDefault="002A0E13" w:rsidP="00FC1BBB">
            <w:pPr>
              <w:keepNext/>
              <w:keepLines/>
              <w:spacing w:after="0" w:line="240" w:lineRule="auto"/>
              <w:jc w:val="center"/>
              <w:rPr>
                <w:rFonts w:eastAsia="Calibri" w:cs="Times New Roman"/>
                <w:b/>
                <w:sz w:val="24"/>
                <w:szCs w:val="24"/>
                <w:lang w:eastAsia="de-DE"/>
              </w:rPr>
            </w:pPr>
            <w:r w:rsidRPr="001E48AC">
              <w:rPr>
                <w:rFonts w:eastAsia="Calibri" w:cs="Times New Roman"/>
                <w:b/>
                <w:sz w:val="24"/>
                <w:szCs w:val="24"/>
                <w:lang w:eastAsia="de-DE"/>
              </w:rPr>
              <w:t>Sektors</w:t>
            </w:r>
          </w:p>
        </w:tc>
        <w:tc>
          <w:tcPr>
            <w:tcW w:w="3965" w:type="dxa"/>
            <w:vAlign w:val="center"/>
          </w:tcPr>
          <w:p w14:paraId="3A82E084" w14:textId="77777777" w:rsidR="002A0E13" w:rsidRPr="001E48AC" w:rsidRDefault="002A0E13" w:rsidP="00FC1BBB">
            <w:pPr>
              <w:keepNext/>
              <w:keepLines/>
              <w:spacing w:after="0" w:line="240" w:lineRule="auto"/>
              <w:jc w:val="center"/>
              <w:rPr>
                <w:rFonts w:eastAsia="Calibri" w:cs="Times New Roman"/>
                <w:b/>
                <w:sz w:val="24"/>
                <w:szCs w:val="24"/>
                <w:lang w:eastAsia="de-DE"/>
              </w:rPr>
            </w:pPr>
            <w:r w:rsidRPr="001E48AC">
              <w:rPr>
                <w:rFonts w:eastAsia="Calibri" w:cs="Times New Roman"/>
                <w:b/>
                <w:sz w:val="24"/>
                <w:szCs w:val="24"/>
                <w:lang w:eastAsia="de-DE"/>
              </w:rPr>
              <w:t>Aprēķina metode</w:t>
            </w:r>
          </w:p>
        </w:tc>
        <w:tc>
          <w:tcPr>
            <w:tcW w:w="2697" w:type="dxa"/>
            <w:vAlign w:val="center"/>
          </w:tcPr>
          <w:p w14:paraId="49EC040A" w14:textId="2AA0EDEA" w:rsidR="002A0E13" w:rsidRPr="001E48AC" w:rsidRDefault="002A0E13" w:rsidP="00FC1BBB">
            <w:pPr>
              <w:keepNext/>
              <w:keepLines/>
              <w:spacing w:after="0" w:line="240" w:lineRule="auto"/>
              <w:jc w:val="center"/>
              <w:rPr>
                <w:rFonts w:eastAsia="Calibri" w:cs="Times New Roman"/>
                <w:b/>
                <w:sz w:val="24"/>
                <w:szCs w:val="24"/>
                <w:lang w:eastAsia="de-DE"/>
              </w:rPr>
            </w:pPr>
            <w:r w:rsidRPr="001E48AC">
              <w:rPr>
                <w:rFonts w:eastAsia="Calibri" w:cs="Times New Roman"/>
                <w:b/>
                <w:sz w:val="24"/>
                <w:szCs w:val="24"/>
                <w:lang w:eastAsia="de-DE"/>
              </w:rPr>
              <w:t>Sasniegtie enerģijas galapatēriņa</w:t>
            </w:r>
            <w:r w:rsidR="001E48AC">
              <w:rPr>
                <w:rFonts w:eastAsia="Calibri" w:cs="Times New Roman"/>
                <w:b/>
                <w:sz w:val="24"/>
                <w:szCs w:val="24"/>
                <w:lang w:eastAsia="de-DE"/>
              </w:rPr>
              <w:t xml:space="preserve"> </w:t>
            </w:r>
            <w:r w:rsidRPr="001E48AC">
              <w:rPr>
                <w:rFonts w:eastAsia="Calibri" w:cs="Times New Roman"/>
                <w:b/>
                <w:sz w:val="24"/>
                <w:szCs w:val="24"/>
                <w:lang w:eastAsia="de-DE"/>
              </w:rPr>
              <w:t>ietaupījumi GWh (ktoe)</w:t>
            </w:r>
          </w:p>
        </w:tc>
      </w:tr>
      <w:tr w:rsidR="002A0E13" w:rsidRPr="001E48AC" w14:paraId="4B66F306" w14:textId="77777777" w:rsidTr="002A0E13">
        <w:trPr>
          <w:jc w:val="center"/>
        </w:trPr>
        <w:tc>
          <w:tcPr>
            <w:tcW w:w="2689" w:type="dxa"/>
            <w:vMerge w:val="restart"/>
            <w:vAlign w:val="center"/>
          </w:tcPr>
          <w:p w14:paraId="572A3CFB" w14:textId="77777777" w:rsidR="002A0E13" w:rsidRPr="001E48AC" w:rsidRDefault="002A0E13" w:rsidP="00FC1BBB">
            <w:pPr>
              <w:shd w:val="clear" w:color="auto" w:fill="FFFFFF"/>
              <w:spacing w:after="0" w:line="240" w:lineRule="auto"/>
              <w:jc w:val="center"/>
              <w:rPr>
                <w:rFonts w:eastAsia="Calibri" w:cs="Times New Roman"/>
                <w:sz w:val="24"/>
                <w:szCs w:val="24"/>
              </w:rPr>
            </w:pPr>
            <w:r w:rsidRPr="001E48AC">
              <w:rPr>
                <w:rFonts w:eastAsia="Calibri" w:cs="Times New Roman"/>
                <w:sz w:val="24"/>
                <w:szCs w:val="24"/>
              </w:rPr>
              <w:t>Mājsaimniecības</w:t>
            </w:r>
          </w:p>
        </w:tc>
        <w:tc>
          <w:tcPr>
            <w:tcW w:w="3965" w:type="dxa"/>
          </w:tcPr>
          <w:p w14:paraId="0A7242BA" w14:textId="77777777" w:rsidR="002A0E13" w:rsidRPr="001E48AC" w:rsidRDefault="002A0E13" w:rsidP="00FC1BBB">
            <w:pPr>
              <w:keepNext/>
              <w:keepLines/>
              <w:spacing w:after="0" w:line="240" w:lineRule="auto"/>
              <w:rPr>
                <w:rFonts w:eastAsia="Calibri" w:cs="Times New Roman"/>
                <w:sz w:val="24"/>
                <w:szCs w:val="24"/>
                <w:lang w:eastAsia="de-DE"/>
              </w:rPr>
            </w:pPr>
            <w:r w:rsidRPr="001E48AC">
              <w:rPr>
                <w:rFonts w:eastAsia="Calibri" w:cs="Times New Roman"/>
                <w:b/>
                <w:sz w:val="24"/>
                <w:szCs w:val="24"/>
                <w:lang w:eastAsia="de-DE"/>
              </w:rPr>
              <w:t>lejupvērstā un augšupvērstā</w:t>
            </w:r>
            <w:r w:rsidRPr="001E48AC">
              <w:rPr>
                <w:rFonts w:eastAsia="Calibri" w:cs="Times New Roman"/>
                <w:sz w:val="24"/>
                <w:szCs w:val="24"/>
                <w:lang w:eastAsia="de-DE"/>
              </w:rPr>
              <w:t xml:space="preserve"> </w:t>
            </w:r>
            <w:r w:rsidRPr="001E48AC">
              <w:rPr>
                <w:rFonts w:eastAsia="Calibri" w:cs="Times New Roman"/>
                <w:b/>
                <w:sz w:val="24"/>
                <w:szCs w:val="24"/>
                <w:lang w:eastAsia="de-DE"/>
              </w:rPr>
              <w:t>kopā</w:t>
            </w:r>
          </w:p>
        </w:tc>
        <w:tc>
          <w:tcPr>
            <w:tcW w:w="2697" w:type="dxa"/>
          </w:tcPr>
          <w:p w14:paraId="5C768F5E" w14:textId="77777777" w:rsidR="002A0E13" w:rsidRPr="001E48AC" w:rsidRDefault="002A0E13" w:rsidP="00FC1BBB">
            <w:pPr>
              <w:keepNext/>
              <w:keepLines/>
              <w:spacing w:after="0" w:line="240" w:lineRule="auto"/>
              <w:rPr>
                <w:rFonts w:eastAsia="Calibri" w:cs="Times New Roman"/>
                <w:sz w:val="24"/>
                <w:szCs w:val="24"/>
                <w:lang w:eastAsia="de-DE"/>
              </w:rPr>
            </w:pPr>
            <w:r w:rsidRPr="001E48AC">
              <w:rPr>
                <w:rFonts w:eastAsia="Calibri" w:cs="Times New Roman"/>
                <w:b/>
                <w:sz w:val="24"/>
                <w:szCs w:val="24"/>
                <w:lang w:eastAsia="de-DE"/>
              </w:rPr>
              <w:t>3361 (289)</w:t>
            </w:r>
          </w:p>
        </w:tc>
      </w:tr>
      <w:tr w:rsidR="002A0E13" w:rsidRPr="001E48AC" w14:paraId="353B735D" w14:textId="77777777" w:rsidTr="002A0E13">
        <w:trPr>
          <w:jc w:val="center"/>
        </w:trPr>
        <w:tc>
          <w:tcPr>
            <w:tcW w:w="2689" w:type="dxa"/>
            <w:vMerge/>
            <w:vAlign w:val="center"/>
          </w:tcPr>
          <w:p w14:paraId="4785F9E8" w14:textId="77777777" w:rsidR="002A0E13" w:rsidRPr="001E48AC" w:rsidRDefault="002A0E13" w:rsidP="00FC1BBB">
            <w:pPr>
              <w:shd w:val="clear" w:color="auto" w:fill="FFFFFF"/>
              <w:spacing w:after="0" w:line="240" w:lineRule="auto"/>
              <w:jc w:val="center"/>
              <w:rPr>
                <w:rFonts w:eastAsia="Calibri" w:cs="Times New Roman"/>
                <w:sz w:val="24"/>
                <w:szCs w:val="24"/>
              </w:rPr>
            </w:pPr>
          </w:p>
        </w:tc>
        <w:tc>
          <w:tcPr>
            <w:tcW w:w="3965" w:type="dxa"/>
          </w:tcPr>
          <w:p w14:paraId="79D1131E" w14:textId="77777777" w:rsidR="002A0E13" w:rsidRPr="001E48AC" w:rsidRDefault="002A0E13" w:rsidP="00FC1BBB">
            <w:pPr>
              <w:keepNext/>
              <w:keepLines/>
              <w:spacing w:after="0" w:line="240" w:lineRule="auto"/>
              <w:rPr>
                <w:rFonts w:eastAsia="Calibri" w:cs="Times New Roman"/>
                <w:i/>
                <w:sz w:val="20"/>
                <w:szCs w:val="20"/>
                <w:lang w:eastAsia="de-DE"/>
              </w:rPr>
            </w:pPr>
            <w:r w:rsidRPr="001E48AC">
              <w:rPr>
                <w:rFonts w:eastAsia="Calibri" w:cs="Times New Roman"/>
                <w:i/>
                <w:sz w:val="20"/>
                <w:szCs w:val="20"/>
                <w:lang w:eastAsia="de-DE"/>
              </w:rPr>
              <w:t>tajā skaitā ar augšupvērsto</w:t>
            </w:r>
          </w:p>
        </w:tc>
        <w:tc>
          <w:tcPr>
            <w:tcW w:w="2697" w:type="dxa"/>
          </w:tcPr>
          <w:p w14:paraId="64D75DEF" w14:textId="77777777" w:rsidR="002A0E13" w:rsidRPr="001E48AC" w:rsidRDefault="002A0E13" w:rsidP="00FC1BBB">
            <w:pPr>
              <w:keepNext/>
              <w:keepLines/>
              <w:spacing w:after="0" w:line="240" w:lineRule="auto"/>
              <w:rPr>
                <w:rFonts w:eastAsia="Calibri" w:cs="Times New Roman"/>
                <w:i/>
                <w:sz w:val="20"/>
                <w:szCs w:val="20"/>
                <w:lang w:eastAsia="de-DE"/>
              </w:rPr>
            </w:pPr>
            <w:r w:rsidRPr="001E48AC">
              <w:rPr>
                <w:rFonts w:eastAsia="Calibri" w:cs="Times New Roman"/>
                <w:i/>
                <w:sz w:val="20"/>
                <w:szCs w:val="20"/>
                <w:lang w:eastAsia="de-DE"/>
              </w:rPr>
              <w:t>108.2 (9.3)</w:t>
            </w:r>
          </w:p>
        </w:tc>
      </w:tr>
      <w:tr w:rsidR="002A0E13" w:rsidRPr="001E48AC" w14:paraId="2123C503" w14:textId="77777777" w:rsidTr="002A0E13">
        <w:trPr>
          <w:jc w:val="center"/>
        </w:trPr>
        <w:tc>
          <w:tcPr>
            <w:tcW w:w="2689" w:type="dxa"/>
            <w:vMerge w:val="restart"/>
            <w:vAlign w:val="center"/>
          </w:tcPr>
          <w:p w14:paraId="44C592F2" w14:textId="77777777" w:rsidR="002A0E13" w:rsidRPr="001E48AC" w:rsidRDefault="002A0E13" w:rsidP="00FC1BBB">
            <w:pPr>
              <w:shd w:val="clear" w:color="auto" w:fill="FFFFFF"/>
              <w:spacing w:after="0" w:line="240" w:lineRule="auto"/>
              <w:jc w:val="center"/>
              <w:rPr>
                <w:rFonts w:eastAsia="Calibri" w:cs="Times New Roman"/>
                <w:sz w:val="24"/>
                <w:szCs w:val="24"/>
              </w:rPr>
            </w:pPr>
            <w:r w:rsidRPr="001E48AC">
              <w:rPr>
                <w:rFonts w:eastAsia="Calibri" w:cs="Times New Roman"/>
                <w:sz w:val="24"/>
                <w:szCs w:val="24"/>
              </w:rPr>
              <w:t>Pakalpojumu sektors</w:t>
            </w:r>
          </w:p>
        </w:tc>
        <w:tc>
          <w:tcPr>
            <w:tcW w:w="3965" w:type="dxa"/>
          </w:tcPr>
          <w:p w14:paraId="6AA337C9" w14:textId="77777777" w:rsidR="002A0E13" w:rsidRPr="001E48AC" w:rsidRDefault="002A0E13" w:rsidP="00FC1BBB">
            <w:pPr>
              <w:keepNext/>
              <w:keepLines/>
              <w:spacing w:after="0" w:line="240" w:lineRule="auto"/>
              <w:rPr>
                <w:rFonts w:eastAsia="Calibri" w:cs="Times New Roman"/>
                <w:sz w:val="24"/>
                <w:szCs w:val="24"/>
                <w:lang w:eastAsia="de-DE"/>
              </w:rPr>
            </w:pPr>
            <w:r w:rsidRPr="001E48AC">
              <w:rPr>
                <w:rFonts w:eastAsia="Calibri" w:cs="Times New Roman"/>
                <w:b/>
                <w:sz w:val="24"/>
                <w:szCs w:val="24"/>
                <w:lang w:eastAsia="de-DE"/>
              </w:rPr>
              <w:t>lejupvērstā un augšupvērstā</w:t>
            </w:r>
            <w:r w:rsidRPr="001E48AC">
              <w:rPr>
                <w:rFonts w:eastAsia="Calibri" w:cs="Times New Roman"/>
                <w:sz w:val="24"/>
                <w:szCs w:val="24"/>
                <w:lang w:eastAsia="de-DE"/>
              </w:rPr>
              <w:t xml:space="preserve"> </w:t>
            </w:r>
            <w:r w:rsidRPr="001E48AC">
              <w:rPr>
                <w:rFonts w:eastAsia="Calibri" w:cs="Times New Roman"/>
                <w:b/>
                <w:sz w:val="24"/>
                <w:szCs w:val="24"/>
                <w:lang w:eastAsia="de-DE"/>
              </w:rPr>
              <w:t>kopā</w:t>
            </w:r>
          </w:p>
        </w:tc>
        <w:tc>
          <w:tcPr>
            <w:tcW w:w="2697" w:type="dxa"/>
          </w:tcPr>
          <w:p w14:paraId="12A00D1D" w14:textId="77777777" w:rsidR="002A0E13" w:rsidRPr="001E48AC" w:rsidRDefault="002A0E13" w:rsidP="00FC1BBB">
            <w:pPr>
              <w:keepNext/>
              <w:keepLines/>
              <w:spacing w:after="0" w:line="240" w:lineRule="auto"/>
              <w:rPr>
                <w:rFonts w:eastAsia="Calibri" w:cs="Times New Roman"/>
                <w:sz w:val="24"/>
                <w:szCs w:val="24"/>
                <w:lang w:eastAsia="de-DE"/>
              </w:rPr>
            </w:pPr>
            <w:r w:rsidRPr="001E48AC">
              <w:rPr>
                <w:rFonts w:eastAsia="Calibri" w:cs="Times New Roman"/>
                <w:b/>
                <w:sz w:val="24"/>
                <w:szCs w:val="24"/>
                <w:lang w:eastAsia="de-DE"/>
              </w:rPr>
              <w:t>563 (48)</w:t>
            </w:r>
          </w:p>
        </w:tc>
      </w:tr>
      <w:tr w:rsidR="002A0E13" w:rsidRPr="001E48AC" w14:paraId="7CAF3B04" w14:textId="77777777" w:rsidTr="002A0E13">
        <w:trPr>
          <w:jc w:val="center"/>
        </w:trPr>
        <w:tc>
          <w:tcPr>
            <w:tcW w:w="2689" w:type="dxa"/>
            <w:vMerge/>
            <w:vAlign w:val="center"/>
          </w:tcPr>
          <w:p w14:paraId="7449D5C2" w14:textId="77777777" w:rsidR="002A0E13" w:rsidRPr="001E48AC" w:rsidRDefault="002A0E13" w:rsidP="00FC1BBB">
            <w:pPr>
              <w:shd w:val="clear" w:color="auto" w:fill="FFFFFF"/>
              <w:spacing w:after="0" w:line="240" w:lineRule="auto"/>
              <w:jc w:val="center"/>
              <w:rPr>
                <w:rFonts w:eastAsia="Calibri" w:cs="Times New Roman"/>
                <w:sz w:val="24"/>
                <w:szCs w:val="24"/>
              </w:rPr>
            </w:pPr>
          </w:p>
        </w:tc>
        <w:tc>
          <w:tcPr>
            <w:tcW w:w="3965" w:type="dxa"/>
          </w:tcPr>
          <w:p w14:paraId="4F9A733B" w14:textId="77777777" w:rsidR="002A0E13" w:rsidRPr="001E48AC" w:rsidRDefault="002A0E13" w:rsidP="00FC1BBB">
            <w:pPr>
              <w:keepNext/>
              <w:keepLines/>
              <w:spacing w:after="0" w:line="240" w:lineRule="auto"/>
              <w:rPr>
                <w:rFonts w:eastAsia="Calibri" w:cs="Times New Roman"/>
                <w:i/>
                <w:sz w:val="20"/>
                <w:szCs w:val="20"/>
                <w:lang w:eastAsia="de-DE"/>
              </w:rPr>
            </w:pPr>
            <w:r w:rsidRPr="001E48AC">
              <w:rPr>
                <w:rFonts w:eastAsia="Calibri" w:cs="Times New Roman"/>
                <w:i/>
                <w:sz w:val="20"/>
                <w:szCs w:val="20"/>
                <w:lang w:eastAsia="de-DE"/>
              </w:rPr>
              <w:t>tajā skaitā ar augšupvērsto</w:t>
            </w:r>
          </w:p>
        </w:tc>
        <w:tc>
          <w:tcPr>
            <w:tcW w:w="2697" w:type="dxa"/>
          </w:tcPr>
          <w:p w14:paraId="73436CBB" w14:textId="77777777" w:rsidR="002A0E13" w:rsidRPr="001E48AC" w:rsidRDefault="002A0E13" w:rsidP="00FC1BBB">
            <w:pPr>
              <w:keepNext/>
              <w:keepLines/>
              <w:spacing w:after="0" w:line="240" w:lineRule="auto"/>
              <w:rPr>
                <w:rFonts w:eastAsia="Calibri" w:cs="Times New Roman"/>
                <w:i/>
                <w:sz w:val="20"/>
                <w:szCs w:val="20"/>
                <w:lang w:eastAsia="de-DE"/>
              </w:rPr>
            </w:pPr>
            <w:r w:rsidRPr="001E48AC">
              <w:rPr>
                <w:rFonts w:eastAsia="Calibri" w:cs="Times New Roman"/>
                <w:i/>
                <w:sz w:val="20"/>
                <w:szCs w:val="20"/>
                <w:lang w:eastAsia="de-DE"/>
              </w:rPr>
              <w:t>116 (10)</w:t>
            </w:r>
          </w:p>
        </w:tc>
      </w:tr>
      <w:tr w:rsidR="002A0E13" w:rsidRPr="001E48AC" w14:paraId="057BE01D" w14:textId="77777777" w:rsidTr="002A0E13">
        <w:trPr>
          <w:jc w:val="center"/>
        </w:trPr>
        <w:tc>
          <w:tcPr>
            <w:tcW w:w="2689" w:type="dxa"/>
            <w:vMerge w:val="restart"/>
            <w:vAlign w:val="center"/>
          </w:tcPr>
          <w:p w14:paraId="6977F6AC" w14:textId="77777777" w:rsidR="002A0E13" w:rsidRPr="001E48AC" w:rsidRDefault="002A0E13" w:rsidP="00FC1BBB">
            <w:pPr>
              <w:shd w:val="clear" w:color="auto" w:fill="FFFFFF"/>
              <w:spacing w:after="0" w:line="240" w:lineRule="auto"/>
              <w:jc w:val="center"/>
              <w:rPr>
                <w:rFonts w:eastAsia="Calibri" w:cs="Times New Roman"/>
                <w:sz w:val="24"/>
                <w:szCs w:val="24"/>
              </w:rPr>
            </w:pPr>
            <w:r w:rsidRPr="001E48AC">
              <w:rPr>
                <w:rFonts w:eastAsia="Calibri" w:cs="Times New Roman"/>
                <w:sz w:val="24"/>
                <w:szCs w:val="24"/>
              </w:rPr>
              <w:t>Rūpniecība</w:t>
            </w:r>
          </w:p>
        </w:tc>
        <w:tc>
          <w:tcPr>
            <w:tcW w:w="3965" w:type="dxa"/>
          </w:tcPr>
          <w:p w14:paraId="3A3F05D1" w14:textId="77777777" w:rsidR="002A0E13" w:rsidRPr="001E48AC" w:rsidRDefault="002A0E13" w:rsidP="00FC1BBB">
            <w:pPr>
              <w:keepNext/>
              <w:keepLines/>
              <w:spacing w:after="0" w:line="240" w:lineRule="auto"/>
              <w:rPr>
                <w:rFonts w:eastAsia="Calibri" w:cs="Times New Roman"/>
                <w:sz w:val="24"/>
                <w:szCs w:val="24"/>
                <w:lang w:eastAsia="de-DE"/>
              </w:rPr>
            </w:pPr>
            <w:r w:rsidRPr="001E48AC">
              <w:rPr>
                <w:rFonts w:eastAsia="Calibri" w:cs="Times New Roman"/>
                <w:b/>
                <w:sz w:val="24"/>
                <w:szCs w:val="24"/>
                <w:lang w:eastAsia="de-DE"/>
              </w:rPr>
              <w:t>lejupvērstā un augšupvērstā</w:t>
            </w:r>
            <w:r w:rsidRPr="001E48AC">
              <w:rPr>
                <w:rFonts w:eastAsia="Calibri" w:cs="Times New Roman"/>
                <w:sz w:val="24"/>
                <w:szCs w:val="24"/>
                <w:lang w:eastAsia="de-DE"/>
              </w:rPr>
              <w:t xml:space="preserve"> </w:t>
            </w:r>
            <w:r w:rsidRPr="001E48AC">
              <w:rPr>
                <w:rFonts w:eastAsia="Calibri" w:cs="Times New Roman"/>
                <w:b/>
                <w:sz w:val="24"/>
                <w:szCs w:val="24"/>
                <w:lang w:eastAsia="de-DE"/>
              </w:rPr>
              <w:t>kopā</w:t>
            </w:r>
          </w:p>
        </w:tc>
        <w:tc>
          <w:tcPr>
            <w:tcW w:w="2697" w:type="dxa"/>
          </w:tcPr>
          <w:p w14:paraId="1ECEFAE5" w14:textId="77777777" w:rsidR="002A0E13" w:rsidRPr="001E48AC" w:rsidRDefault="002A0E13" w:rsidP="00FC1BBB">
            <w:pPr>
              <w:keepNext/>
              <w:keepLines/>
              <w:spacing w:after="0" w:line="240" w:lineRule="auto"/>
              <w:rPr>
                <w:rFonts w:eastAsia="Calibri" w:cs="Times New Roman"/>
                <w:b/>
                <w:sz w:val="24"/>
                <w:szCs w:val="24"/>
                <w:lang w:eastAsia="de-DE"/>
              </w:rPr>
            </w:pPr>
            <w:r w:rsidRPr="001E48AC">
              <w:rPr>
                <w:rFonts w:eastAsia="Calibri" w:cs="Times New Roman"/>
                <w:b/>
                <w:sz w:val="24"/>
                <w:szCs w:val="24"/>
                <w:lang w:eastAsia="de-DE"/>
              </w:rPr>
              <w:t>-934 (-80)</w:t>
            </w:r>
          </w:p>
        </w:tc>
      </w:tr>
      <w:tr w:rsidR="002A0E13" w:rsidRPr="001E48AC" w14:paraId="63DA3DAA" w14:textId="77777777" w:rsidTr="002A0E13">
        <w:trPr>
          <w:jc w:val="center"/>
        </w:trPr>
        <w:tc>
          <w:tcPr>
            <w:tcW w:w="2689" w:type="dxa"/>
            <w:vMerge/>
            <w:tcBorders>
              <w:bottom w:val="single" w:sz="4" w:space="0" w:color="000000"/>
            </w:tcBorders>
            <w:vAlign w:val="center"/>
          </w:tcPr>
          <w:p w14:paraId="7C515F7F" w14:textId="77777777" w:rsidR="002A0E13" w:rsidRPr="001E48AC" w:rsidRDefault="002A0E13" w:rsidP="00FC1BBB">
            <w:pPr>
              <w:shd w:val="clear" w:color="auto" w:fill="FFFFFF"/>
              <w:spacing w:after="0" w:line="240" w:lineRule="auto"/>
              <w:jc w:val="center"/>
              <w:rPr>
                <w:rFonts w:eastAsia="Calibri" w:cs="Times New Roman"/>
                <w:sz w:val="24"/>
                <w:szCs w:val="24"/>
              </w:rPr>
            </w:pPr>
          </w:p>
        </w:tc>
        <w:tc>
          <w:tcPr>
            <w:tcW w:w="3965" w:type="dxa"/>
            <w:tcBorders>
              <w:bottom w:val="single" w:sz="4" w:space="0" w:color="000000"/>
            </w:tcBorders>
          </w:tcPr>
          <w:p w14:paraId="58C9765C" w14:textId="77777777" w:rsidR="002A0E13" w:rsidRPr="001E48AC" w:rsidRDefault="002A0E13" w:rsidP="00FC1BBB">
            <w:pPr>
              <w:keepNext/>
              <w:keepLines/>
              <w:spacing w:after="0" w:line="240" w:lineRule="auto"/>
              <w:rPr>
                <w:rFonts w:eastAsia="Calibri" w:cs="Times New Roman"/>
                <w:i/>
                <w:sz w:val="20"/>
                <w:szCs w:val="20"/>
                <w:lang w:eastAsia="de-DE"/>
              </w:rPr>
            </w:pPr>
            <w:r w:rsidRPr="001E48AC">
              <w:rPr>
                <w:rFonts w:eastAsia="Calibri" w:cs="Times New Roman"/>
                <w:i/>
                <w:sz w:val="20"/>
                <w:szCs w:val="20"/>
                <w:lang w:eastAsia="de-DE"/>
              </w:rPr>
              <w:t>tajā skaitā ar augšupvērsto</w:t>
            </w:r>
          </w:p>
        </w:tc>
        <w:tc>
          <w:tcPr>
            <w:tcW w:w="2697" w:type="dxa"/>
            <w:tcBorders>
              <w:bottom w:val="single" w:sz="4" w:space="0" w:color="000000"/>
            </w:tcBorders>
          </w:tcPr>
          <w:p w14:paraId="43CE7E90" w14:textId="77777777" w:rsidR="002A0E13" w:rsidRPr="001E48AC" w:rsidRDefault="002A0E13" w:rsidP="00FC1BBB">
            <w:pPr>
              <w:keepNext/>
              <w:keepLines/>
              <w:spacing w:after="0" w:line="240" w:lineRule="auto"/>
              <w:rPr>
                <w:rFonts w:eastAsia="Calibri" w:cs="Times New Roman"/>
                <w:i/>
                <w:sz w:val="20"/>
                <w:szCs w:val="20"/>
                <w:lang w:eastAsia="de-DE"/>
              </w:rPr>
            </w:pPr>
            <w:r w:rsidRPr="001E48AC">
              <w:rPr>
                <w:rFonts w:eastAsia="Calibri" w:cs="Times New Roman"/>
                <w:i/>
                <w:sz w:val="20"/>
                <w:szCs w:val="20"/>
                <w:lang w:eastAsia="de-DE"/>
              </w:rPr>
              <w:t>100.7 (8.7)</w:t>
            </w:r>
          </w:p>
        </w:tc>
      </w:tr>
      <w:tr w:rsidR="002A0E13" w:rsidRPr="001E48AC" w14:paraId="7A9F6B66" w14:textId="77777777" w:rsidTr="002A0E13">
        <w:trPr>
          <w:jc w:val="center"/>
        </w:trPr>
        <w:tc>
          <w:tcPr>
            <w:tcW w:w="2689" w:type="dxa"/>
            <w:tcBorders>
              <w:top w:val="single" w:sz="4" w:space="0" w:color="000000"/>
              <w:left w:val="single" w:sz="4" w:space="0" w:color="000000"/>
              <w:bottom w:val="single" w:sz="4" w:space="0" w:color="000000"/>
              <w:right w:val="single" w:sz="4" w:space="0" w:color="000000"/>
            </w:tcBorders>
            <w:vAlign w:val="center"/>
          </w:tcPr>
          <w:p w14:paraId="467C9D6A" w14:textId="77777777" w:rsidR="002A0E13" w:rsidRPr="001E48AC" w:rsidRDefault="002A0E13" w:rsidP="00FC1BBB">
            <w:pPr>
              <w:shd w:val="clear" w:color="auto" w:fill="FFFFFF"/>
              <w:spacing w:after="0" w:line="240" w:lineRule="auto"/>
              <w:jc w:val="center"/>
              <w:rPr>
                <w:rFonts w:eastAsia="Calibri" w:cs="Times New Roman"/>
                <w:sz w:val="24"/>
                <w:szCs w:val="24"/>
              </w:rPr>
            </w:pPr>
            <w:r w:rsidRPr="001E48AC">
              <w:rPr>
                <w:rFonts w:eastAsia="Calibri" w:cs="Times New Roman"/>
                <w:sz w:val="24"/>
                <w:szCs w:val="24"/>
              </w:rPr>
              <w:t>Transports</w:t>
            </w:r>
          </w:p>
        </w:tc>
        <w:tc>
          <w:tcPr>
            <w:tcW w:w="3965" w:type="dxa"/>
            <w:tcBorders>
              <w:top w:val="single" w:sz="4" w:space="0" w:color="000000"/>
              <w:left w:val="single" w:sz="4" w:space="0" w:color="000000"/>
              <w:bottom w:val="single" w:sz="4" w:space="0" w:color="000000"/>
              <w:right w:val="single" w:sz="4" w:space="0" w:color="000000"/>
            </w:tcBorders>
          </w:tcPr>
          <w:p w14:paraId="35AFD29C" w14:textId="1EE1202F" w:rsidR="002A0E13" w:rsidRPr="001E48AC" w:rsidRDefault="00945DEE" w:rsidP="00FC1BBB">
            <w:pPr>
              <w:keepNext/>
              <w:keepLines/>
              <w:spacing w:after="0" w:line="240" w:lineRule="auto"/>
              <w:rPr>
                <w:rFonts w:eastAsia="Calibri" w:cs="Times New Roman"/>
                <w:b/>
                <w:sz w:val="24"/>
                <w:szCs w:val="24"/>
                <w:lang w:eastAsia="de-DE"/>
              </w:rPr>
            </w:pPr>
            <w:r w:rsidRPr="001E48AC">
              <w:rPr>
                <w:rFonts w:eastAsia="Calibri" w:cs="Times New Roman"/>
                <w:b/>
                <w:sz w:val="24"/>
                <w:szCs w:val="24"/>
                <w:lang w:eastAsia="de-DE"/>
              </w:rPr>
              <w:t>L</w:t>
            </w:r>
            <w:r w:rsidR="002A0E13" w:rsidRPr="001E48AC">
              <w:rPr>
                <w:rFonts w:eastAsia="Calibri" w:cs="Times New Roman"/>
                <w:b/>
                <w:sz w:val="24"/>
                <w:szCs w:val="24"/>
                <w:lang w:eastAsia="de-DE"/>
              </w:rPr>
              <w:t>ejupvērstā</w:t>
            </w:r>
          </w:p>
        </w:tc>
        <w:tc>
          <w:tcPr>
            <w:tcW w:w="2697" w:type="dxa"/>
            <w:tcBorders>
              <w:top w:val="single" w:sz="4" w:space="0" w:color="000000"/>
              <w:left w:val="single" w:sz="4" w:space="0" w:color="000000"/>
              <w:bottom w:val="single" w:sz="4" w:space="0" w:color="000000"/>
              <w:right w:val="single" w:sz="4" w:space="0" w:color="000000"/>
            </w:tcBorders>
          </w:tcPr>
          <w:p w14:paraId="352F821D" w14:textId="77777777" w:rsidR="002A0E13" w:rsidRPr="001E48AC" w:rsidRDefault="002A0E13" w:rsidP="00FC1BBB">
            <w:pPr>
              <w:keepNext/>
              <w:keepLines/>
              <w:spacing w:after="0" w:line="240" w:lineRule="auto"/>
              <w:rPr>
                <w:rFonts w:eastAsia="Calibri" w:cs="Times New Roman"/>
                <w:b/>
                <w:sz w:val="24"/>
                <w:szCs w:val="24"/>
                <w:lang w:eastAsia="de-DE"/>
              </w:rPr>
            </w:pPr>
            <w:r w:rsidRPr="001E48AC">
              <w:rPr>
                <w:rFonts w:eastAsia="Calibri" w:cs="Times New Roman"/>
                <w:b/>
                <w:sz w:val="24"/>
                <w:szCs w:val="24"/>
                <w:lang w:eastAsia="de-DE"/>
              </w:rPr>
              <w:t>1137 (98)</w:t>
            </w:r>
          </w:p>
        </w:tc>
      </w:tr>
      <w:tr w:rsidR="002A0E13" w:rsidRPr="001E48AC" w14:paraId="3531E32B" w14:textId="77777777" w:rsidTr="002A0E13">
        <w:trPr>
          <w:jc w:val="center"/>
        </w:trPr>
        <w:tc>
          <w:tcPr>
            <w:tcW w:w="2689" w:type="dxa"/>
            <w:tcBorders>
              <w:top w:val="single" w:sz="4" w:space="0" w:color="000000"/>
              <w:left w:val="single" w:sz="4" w:space="0" w:color="000000"/>
              <w:bottom w:val="single" w:sz="4" w:space="0" w:color="000000"/>
              <w:right w:val="single" w:sz="4" w:space="0" w:color="000000"/>
            </w:tcBorders>
          </w:tcPr>
          <w:p w14:paraId="50E8123A" w14:textId="77777777" w:rsidR="002A0E13" w:rsidRPr="001E48AC" w:rsidRDefault="002A0E13" w:rsidP="00FC1BBB">
            <w:pPr>
              <w:shd w:val="clear" w:color="auto" w:fill="FFFFFF"/>
              <w:spacing w:after="0" w:line="240" w:lineRule="auto"/>
              <w:jc w:val="right"/>
              <w:rPr>
                <w:rFonts w:eastAsia="Calibri" w:cs="Times New Roman"/>
                <w:b/>
                <w:sz w:val="24"/>
                <w:szCs w:val="24"/>
              </w:rPr>
            </w:pPr>
            <w:r w:rsidRPr="001E48AC">
              <w:rPr>
                <w:rFonts w:eastAsia="Calibri" w:cs="Times New Roman"/>
                <w:b/>
                <w:sz w:val="24"/>
                <w:szCs w:val="24"/>
              </w:rPr>
              <w:t>Kopā</w:t>
            </w:r>
          </w:p>
        </w:tc>
        <w:tc>
          <w:tcPr>
            <w:tcW w:w="3965" w:type="dxa"/>
            <w:tcBorders>
              <w:top w:val="single" w:sz="4" w:space="0" w:color="000000"/>
              <w:left w:val="single" w:sz="4" w:space="0" w:color="000000"/>
              <w:bottom w:val="single" w:sz="4" w:space="0" w:color="000000"/>
              <w:right w:val="single" w:sz="4" w:space="0" w:color="000000"/>
            </w:tcBorders>
          </w:tcPr>
          <w:p w14:paraId="721023BE" w14:textId="77777777" w:rsidR="002A0E13" w:rsidRPr="001E48AC" w:rsidRDefault="002A0E13" w:rsidP="00FC1BBB">
            <w:pPr>
              <w:keepNext/>
              <w:keepLines/>
              <w:spacing w:after="0" w:line="240" w:lineRule="auto"/>
              <w:jc w:val="right"/>
              <w:rPr>
                <w:rFonts w:eastAsia="Calibri" w:cs="Times New Roman"/>
                <w:sz w:val="24"/>
                <w:szCs w:val="24"/>
                <w:lang w:eastAsia="de-DE"/>
              </w:rPr>
            </w:pPr>
          </w:p>
        </w:tc>
        <w:tc>
          <w:tcPr>
            <w:tcW w:w="2697" w:type="dxa"/>
            <w:tcBorders>
              <w:top w:val="single" w:sz="4" w:space="0" w:color="000000"/>
              <w:left w:val="single" w:sz="4" w:space="0" w:color="000000"/>
              <w:bottom w:val="single" w:sz="4" w:space="0" w:color="000000"/>
              <w:right w:val="single" w:sz="4" w:space="0" w:color="000000"/>
            </w:tcBorders>
          </w:tcPr>
          <w:p w14:paraId="703826B5" w14:textId="77777777" w:rsidR="002A0E13" w:rsidRPr="001E48AC" w:rsidRDefault="002A0E13" w:rsidP="00FC1BBB">
            <w:pPr>
              <w:keepNext/>
              <w:keepLines/>
              <w:spacing w:after="0" w:line="240" w:lineRule="auto"/>
              <w:jc w:val="right"/>
              <w:rPr>
                <w:rFonts w:eastAsia="Calibri" w:cs="Times New Roman"/>
                <w:b/>
                <w:sz w:val="24"/>
                <w:szCs w:val="24"/>
                <w:lang w:eastAsia="de-DE"/>
              </w:rPr>
            </w:pPr>
            <w:r w:rsidRPr="001E48AC">
              <w:rPr>
                <w:rFonts w:eastAsia="Calibri" w:cs="Times New Roman"/>
                <w:b/>
                <w:sz w:val="24"/>
                <w:szCs w:val="24"/>
                <w:lang w:eastAsia="de-DE"/>
              </w:rPr>
              <w:t xml:space="preserve">4127 (355) </w:t>
            </w:r>
          </w:p>
        </w:tc>
      </w:tr>
    </w:tbl>
    <w:p w14:paraId="1965FC91" w14:textId="77777777" w:rsidR="001D2C6E" w:rsidRPr="001E48AC" w:rsidRDefault="001D2C6E" w:rsidP="00685686">
      <w:pPr>
        <w:autoSpaceDE w:val="0"/>
        <w:autoSpaceDN w:val="0"/>
        <w:adjustRightInd w:val="0"/>
        <w:spacing w:after="0" w:line="240" w:lineRule="auto"/>
        <w:jc w:val="both"/>
        <w:rPr>
          <w:rFonts w:cs="Times New Roman"/>
          <w:szCs w:val="28"/>
        </w:rPr>
      </w:pPr>
    </w:p>
    <w:p w14:paraId="3D305FD7" w14:textId="2C9CE0BA" w:rsidR="008A472F" w:rsidRPr="001E48AC" w:rsidRDefault="000F6DEE" w:rsidP="007942A4">
      <w:pPr>
        <w:autoSpaceDE w:val="0"/>
        <w:autoSpaceDN w:val="0"/>
        <w:adjustRightInd w:val="0"/>
        <w:spacing w:after="0" w:line="240" w:lineRule="auto"/>
        <w:ind w:firstLine="720"/>
        <w:jc w:val="both"/>
        <w:rPr>
          <w:rFonts w:cs="Times New Roman"/>
          <w:szCs w:val="28"/>
        </w:rPr>
      </w:pPr>
      <w:r w:rsidRPr="001E48AC">
        <w:rPr>
          <w:rFonts w:cs="Times New Roman"/>
          <w:szCs w:val="28"/>
        </w:rPr>
        <w:t xml:space="preserve">Apkopotie rezultāti uzrāda, ka iegūtais enerģijas galapatēriņa ietaupījums 2015.gadā pārsniedz </w:t>
      </w:r>
      <w:r w:rsidRPr="001E48AC">
        <w:rPr>
          <w:rFonts w:eastAsia="Times New Roman" w:cs="Times New Roman"/>
          <w:szCs w:val="28"/>
        </w:rPr>
        <w:t>aprēķināto indikatīvo enerģijas galapatēriņa ietaupījuma mērķi 2016.gadam</w:t>
      </w:r>
      <w:r w:rsidRPr="001E48AC">
        <w:rPr>
          <w:rFonts w:cs="Times New Roman"/>
          <w:szCs w:val="28"/>
        </w:rPr>
        <w:t xml:space="preserve"> par aptuveni 18%. </w:t>
      </w:r>
    </w:p>
    <w:p w14:paraId="03D980DE" w14:textId="6E27C426" w:rsidR="002A237E" w:rsidRPr="001E48AC" w:rsidRDefault="00791DBA" w:rsidP="007942A4">
      <w:pPr>
        <w:pStyle w:val="Heading3"/>
        <w:rPr>
          <w:color w:val="auto"/>
        </w:rPr>
      </w:pPr>
      <w:r w:rsidRPr="001E48AC">
        <w:rPr>
          <w:color w:val="auto"/>
        </w:rPr>
        <w:tab/>
      </w:r>
      <w:bookmarkStart w:id="8" w:name="_Toc482711522"/>
      <w:bookmarkStart w:id="9" w:name="_Toc448479789"/>
      <w:bookmarkStart w:id="10" w:name="_Toc478571642"/>
      <w:r w:rsidR="00C21CA5" w:rsidRPr="001E48AC">
        <w:rPr>
          <w:color w:val="auto"/>
        </w:rPr>
        <w:t>2.</w:t>
      </w:r>
      <w:r w:rsidR="004D5351" w:rsidRPr="001E48AC">
        <w:rPr>
          <w:color w:val="auto"/>
        </w:rPr>
        <w:t>5</w:t>
      </w:r>
      <w:r w:rsidR="00C21CA5" w:rsidRPr="001E48AC">
        <w:rPr>
          <w:color w:val="auto"/>
        </w:rPr>
        <w:t>.</w:t>
      </w:r>
      <w:r w:rsidR="00A54403" w:rsidRPr="001E48AC">
        <w:rPr>
          <w:color w:val="auto"/>
        </w:rPr>
        <w:t xml:space="preserve">2. </w:t>
      </w:r>
      <w:r w:rsidR="00C461E5" w:rsidRPr="001E48AC">
        <w:rPr>
          <w:color w:val="auto"/>
        </w:rPr>
        <w:t xml:space="preserve">Atbilstoši Direktīvas 2012/27/ES 7.pantam aprēķinātais </w:t>
      </w:r>
      <w:r w:rsidR="00354FB1" w:rsidRPr="001E48AC">
        <w:rPr>
          <w:color w:val="auto"/>
        </w:rPr>
        <w:t>uzkrātais gala enerģijas ietaupījums</w:t>
      </w:r>
      <w:bookmarkEnd w:id="8"/>
      <w:r w:rsidR="00354FB1" w:rsidRPr="001E48AC">
        <w:rPr>
          <w:color w:val="auto"/>
        </w:rPr>
        <w:t xml:space="preserve"> </w:t>
      </w:r>
      <w:bookmarkEnd w:id="9"/>
      <w:bookmarkEnd w:id="10"/>
    </w:p>
    <w:p w14:paraId="67784E2F" w14:textId="6BC4BF97" w:rsidR="002A237E" w:rsidRPr="001E48AC" w:rsidRDefault="00147FB1" w:rsidP="00685686">
      <w:pPr>
        <w:pStyle w:val="Default"/>
        <w:ind w:firstLine="720"/>
        <w:jc w:val="both"/>
        <w:rPr>
          <w:color w:val="auto"/>
          <w:sz w:val="28"/>
          <w:szCs w:val="28"/>
        </w:rPr>
      </w:pPr>
      <w:r w:rsidRPr="001E48AC">
        <w:rPr>
          <w:color w:val="auto"/>
          <w:sz w:val="28"/>
          <w:szCs w:val="28"/>
        </w:rPr>
        <w:t xml:space="preserve">Šī ziņojuma 2.2. punktā minētais valsts obligātais uzkrātais gala enerģijas ietaupījuma mērķis 2014.-2020.gadam ir 9896 GWh. Latvija </w:t>
      </w:r>
      <w:r w:rsidR="00354FB1" w:rsidRPr="001E48AC">
        <w:rPr>
          <w:color w:val="auto"/>
          <w:sz w:val="28"/>
          <w:szCs w:val="28"/>
        </w:rPr>
        <w:t xml:space="preserve">ir paziņojusi </w:t>
      </w:r>
      <w:r w:rsidR="00512696" w:rsidRPr="001E48AC">
        <w:rPr>
          <w:color w:val="auto"/>
          <w:sz w:val="28"/>
          <w:szCs w:val="28"/>
        </w:rPr>
        <w:lastRenderedPageBreak/>
        <w:t xml:space="preserve">Eiropas Komisijai </w:t>
      </w:r>
      <w:r w:rsidRPr="001E48AC">
        <w:rPr>
          <w:color w:val="auto"/>
          <w:sz w:val="28"/>
          <w:szCs w:val="28"/>
        </w:rPr>
        <w:t xml:space="preserve">pēc Direktīvas 2012/27/ES 7.panta prasībām aprēķināto mērķa apjomu un tā sasniegšanas risinājumu ar </w:t>
      </w:r>
      <w:r w:rsidR="00512696" w:rsidRPr="001E48AC">
        <w:rPr>
          <w:color w:val="auto"/>
          <w:sz w:val="28"/>
          <w:szCs w:val="28"/>
        </w:rPr>
        <w:t xml:space="preserve">dokumentu </w:t>
      </w:r>
      <w:r w:rsidR="002A237E" w:rsidRPr="001E48AC">
        <w:rPr>
          <w:color w:val="auto"/>
          <w:sz w:val="28"/>
          <w:szCs w:val="28"/>
        </w:rPr>
        <w:t>“</w:t>
      </w:r>
      <w:r w:rsidR="002A237E" w:rsidRPr="001E48AC">
        <w:rPr>
          <w:bCs/>
          <w:color w:val="auto"/>
          <w:sz w:val="28"/>
          <w:szCs w:val="28"/>
        </w:rPr>
        <w:t xml:space="preserve">Ziņojums par Eiropas Parlamenta un padomes Direktīvas 2012/27/ES (2012. gada 25. oktobris) par energoefektivitāti, ar ko groza Direktīvas 2009/125/EK un 2010/30/ES un atceļ Direktīvas 2004/8/EK un 2006/32/EK  </w:t>
      </w:r>
      <w:r w:rsidR="002A237E" w:rsidRPr="001E48AC">
        <w:rPr>
          <w:color w:val="auto"/>
          <w:sz w:val="28"/>
          <w:szCs w:val="28"/>
        </w:rPr>
        <w:t>7.panta prasību izpildi”</w:t>
      </w:r>
      <w:r w:rsidR="00354FB1" w:rsidRPr="001E48AC">
        <w:rPr>
          <w:rStyle w:val="FootnoteReference"/>
          <w:color w:val="auto"/>
          <w:sz w:val="28"/>
          <w:szCs w:val="28"/>
        </w:rPr>
        <w:footnoteReference w:id="12"/>
      </w:r>
      <w:r w:rsidR="002A237E" w:rsidRPr="001E48AC">
        <w:rPr>
          <w:color w:val="auto"/>
          <w:sz w:val="28"/>
          <w:szCs w:val="28"/>
        </w:rPr>
        <w:t xml:space="preserve"> </w:t>
      </w:r>
      <w:r w:rsidRPr="001E48AC">
        <w:rPr>
          <w:color w:val="auto"/>
          <w:sz w:val="28"/>
          <w:szCs w:val="28"/>
        </w:rPr>
        <w:t>. Latvija plāno sasniegt valsts obligāto uzkrāto gala enerģijas ietaupījuma mērķi, izveidojot</w:t>
      </w:r>
      <w:r w:rsidRPr="001E48AC">
        <w:rPr>
          <w:color w:val="auto"/>
        </w:rPr>
        <w:t xml:space="preserve"> </w:t>
      </w:r>
      <w:r w:rsidRPr="001E48AC">
        <w:rPr>
          <w:color w:val="auto"/>
          <w:sz w:val="28"/>
          <w:szCs w:val="28"/>
        </w:rPr>
        <w:t xml:space="preserve">energoefektivitātes pienākuma shēmu kombinācijā ar </w:t>
      </w:r>
      <w:r w:rsidR="006C175E" w:rsidRPr="001E48AC">
        <w:rPr>
          <w:color w:val="auto"/>
          <w:sz w:val="28"/>
          <w:szCs w:val="28"/>
        </w:rPr>
        <w:t>valsts un pašvaldību virzītiem energoefektivitātes politikas pasākumiem (</w:t>
      </w:r>
      <w:r w:rsidRPr="001E48AC">
        <w:rPr>
          <w:color w:val="auto"/>
          <w:sz w:val="28"/>
          <w:szCs w:val="28"/>
        </w:rPr>
        <w:t>alternatīvajiem pasākumiem</w:t>
      </w:r>
      <w:r w:rsidR="006C175E" w:rsidRPr="001E48AC">
        <w:rPr>
          <w:color w:val="auto"/>
          <w:sz w:val="28"/>
          <w:szCs w:val="28"/>
        </w:rPr>
        <w:t>)</w:t>
      </w:r>
      <w:r w:rsidRPr="001E48AC">
        <w:rPr>
          <w:color w:val="auto"/>
          <w:sz w:val="28"/>
          <w:szCs w:val="28"/>
        </w:rPr>
        <w:t xml:space="preserve">. </w:t>
      </w:r>
      <w:r w:rsidR="00A004C0" w:rsidRPr="001E48AC">
        <w:rPr>
          <w:color w:val="auto"/>
          <w:sz w:val="28"/>
          <w:szCs w:val="28"/>
        </w:rPr>
        <w:t xml:space="preserve">Minētais risinājums noteikts </w:t>
      </w:r>
      <w:r w:rsidR="002A237E" w:rsidRPr="001E48AC">
        <w:rPr>
          <w:color w:val="auto"/>
          <w:sz w:val="28"/>
          <w:szCs w:val="28"/>
        </w:rPr>
        <w:t xml:space="preserve"> Ministru kabineta 2013.gada  26.novembrī apstiprinātaj</w:t>
      </w:r>
      <w:r w:rsidR="00A004C0" w:rsidRPr="001E48AC">
        <w:rPr>
          <w:color w:val="auto"/>
          <w:sz w:val="28"/>
          <w:szCs w:val="28"/>
        </w:rPr>
        <w:t>ā</w:t>
      </w:r>
      <w:r w:rsidR="002A237E" w:rsidRPr="001E48AC">
        <w:rPr>
          <w:color w:val="auto"/>
          <w:sz w:val="28"/>
          <w:szCs w:val="28"/>
        </w:rPr>
        <w:t xml:space="preserve"> Koncepcij</w:t>
      </w:r>
      <w:r w:rsidR="00A004C0" w:rsidRPr="001E48AC">
        <w:rPr>
          <w:color w:val="auto"/>
          <w:sz w:val="28"/>
          <w:szCs w:val="28"/>
        </w:rPr>
        <w:t>ā</w:t>
      </w:r>
      <w:r w:rsidR="00A004C0" w:rsidRPr="001E48AC">
        <w:rPr>
          <w:rStyle w:val="FootnoteReference"/>
          <w:color w:val="auto"/>
          <w:sz w:val="28"/>
          <w:szCs w:val="28"/>
        </w:rPr>
        <w:footnoteReference w:id="13"/>
      </w:r>
      <w:r w:rsidR="002A237E" w:rsidRPr="001E48AC">
        <w:rPr>
          <w:color w:val="auto"/>
          <w:sz w:val="28"/>
          <w:szCs w:val="28"/>
        </w:rPr>
        <w:t xml:space="preserve"> par Direktīvas 2012/27/ES pārņemšanu, lai nodrošinātu atbilstoši Direktīvas 2012/27/ES 7.panta 1.punktā noteiktajām prasībām aprēķinātā kumulatīvā enerģijas ietaupījuma obligātā mērķa sasniegšanu</w:t>
      </w:r>
      <w:r w:rsidR="00A004C0" w:rsidRPr="001E48AC">
        <w:rPr>
          <w:color w:val="auto"/>
          <w:sz w:val="28"/>
          <w:szCs w:val="28"/>
        </w:rPr>
        <w:t xml:space="preserve">. </w:t>
      </w:r>
    </w:p>
    <w:p w14:paraId="0D5C3DFD" w14:textId="16AD1D6A" w:rsidR="002A237E" w:rsidRPr="001E48AC" w:rsidRDefault="007942A4" w:rsidP="00685686">
      <w:pPr>
        <w:pStyle w:val="Default"/>
        <w:ind w:firstLine="720"/>
        <w:jc w:val="both"/>
        <w:rPr>
          <w:color w:val="auto"/>
          <w:sz w:val="28"/>
          <w:szCs w:val="28"/>
        </w:rPr>
      </w:pPr>
      <w:r w:rsidRPr="001E48AC">
        <w:rPr>
          <w:rFonts w:eastAsia="Times New Roman"/>
          <w:bCs/>
          <w:color w:val="auto"/>
          <w:sz w:val="28"/>
          <w:szCs w:val="28"/>
          <w:lang w:eastAsia="lv-LV"/>
        </w:rPr>
        <w:t>Ministru kabineta 2017.gada 25.aprīļa noteikumu Nr. 226</w:t>
      </w:r>
      <w:r w:rsidRPr="001E48AC">
        <w:rPr>
          <w:rFonts w:eastAsia="Times New Roman"/>
          <w:color w:val="auto"/>
          <w:sz w:val="28"/>
          <w:szCs w:val="28"/>
          <w:lang w:eastAsia="lv-LV"/>
        </w:rPr>
        <w:t xml:space="preserve"> </w:t>
      </w:r>
      <w:r w:rsidRPr="001E48AC">
        <w:rPr>
          <w:rFonts w:eastAsia="Times New Roman"/>
          <w:bCs/>
          <w:color w:val="auto"/>
          <w:sz w:val="28"/>
          <w:szCs w:val="28"/>
          <w:lang w:eastAsia="lv-LV"/>
        </w:rPr>
        <w:t>“Energoefektivitātes pienākuma shēmas noteikumi” 6.punkts nosaka, ka e</w:t>
      </w:r>
      <w:r w:rsidRPr="001E48AC">
        <w:rPr>
          <w:color w:val="auto"/>
          <w:sz w:val="28"/>
          <w:szCs w:val="28"/>
        </w:rPr>
        <w:t>nergoefektivitātes pienākuma shēma valsts obligātā galapatēriņa ietaupījuma sasniegšanai tiek uzsākta 2017. gada 29. maijā un īstenota līdz 2030. gada 31. decembrim.</w:t>
      </w:r>
    </w:p>
    <w:p w14:paraId="26C2CF61" w14:textId="62BF5106" w:rsidR="00C96CF5" w:rsidRPr="001E48AC" w:rsidRDefault="00A54403" w:rsidP="00685686">
      <w:pPr>
        <w:spacing w:after="0" w:line="240" w:lineRule="auto"/>
        <w:jc w:val="both"/>
        <w:rPr>
          <w:rFonts w:cs="Times New Roman"/>
          <w:szCs w:val="28"/>
        </w:rPr>
      </w:pPr>
      <w:r w:rsidRPr="001E48AC">
        <w:rPr>
          <w:rFonts w:cs="Times New Roman"/>
          <w:szCs w:val="28"/>
        </w:rPr>
        <w:t>Ziņojuma izstrādāšanas laikā o</w:t>
      </w:r>
      <w:r w:rsidR="00C96CF5" w:rsidRPr="001E48AC">
        <w:rPr>
          <w:rFonts w:cs="Times New Roman"/>
          <w:szCs w:val="28"/>
        </w:rPr>
        <w:t>bligātā enerģi</w:t>
      </w:r>
      <w:r w:rsidR="004C11BC" w:rsidRPr="001E48AC">
        <w:rPr>
          <w:rFonts w:cs="Times New Roman"/>
          <w:szCs w:val="28"/>
        </w:rPr>
        <w:t>jas ietaupījumu mērķa izpild</w:t>
      </w:r>
      <w:r w:rsidR="006C175E" w:rsidRPr="001E48AC">
        <w:rPr>
          <w:rFonts w:cs="Times New Roman"/>
          <w:szCs w:val="28"/>
        </w:rPr>
        <w:t xml:space="preserve">ei ir veikti alternatīvie pasākumi, kuros sasniegtie </w:t>
      </w:r>
      <w:r w:rsidR="00C96CF5" w:rsidRPr="001E48AC">
        <w:rPr>
          <w:rFonts w:cs="Times New Roman"/>
          <w:szCs w:val="28"/>
        </w:rPr>
        <w:t xml:space="preserve"> enerģijas galapatēriņa ietaupījumi</w:t>
      </w:r>
      <w:r w:rsidR="00E22BC7" w:rsidRPr="001E48AC">
        <w:rPr>
          <w:rFonts w:cs="Times New Roman"/>
          <w:szCs w:val="28"/>
        </w:rPr>
        <w:t xml:space="preserve"> uzskaitīti energoefektivitātes monitoringa sistēmas ietvaros.</w:t>
      </w:r>
      <w:r w:rsidR="002A237E" w:rsidRPr="001E48AC">
        <w:rPr>
          <w:rFonts w:cs="Times New Roman"/>
          <w:szCs w:val="28"/>
        </w:rPr>
        <w:t xml:space="preserve"> </w:t>
      </w:r>
    </w:p>
    <w:p w14:paraId="1A9A861F" w14:textId="6094370F" w:rsidR="00C96CF5" w:rsidRPr="001E48AC" w:rsidRDefault="00C96CF5" w:rsidP="00685686">
      <w:pPr>
        <w:spacing w:after="0" w:line="240" w:lineRule="auto"/>
        <w:ind w:firstLine="709"/>
        <w:jc w:val="both"/>
        <w:rPr>
          <w:rFonts w:cs="Times New Roman"/>
          <w:szCs w:val="28"/>
        </w:rPr>
      </w:pPr>
      <w:r w:rsidRPr="001E48AC">
        <w:rPr>
          <w:rFonts w:cs="Times New Roman"/>
          <w:szCs w:val="28"/>
        </w:rPr>
        <w:t xml:space="preserve">Ar augšupvērsto metodi ir novērtēti enerģijas ietaupījumi, kuri ir iegūti, īstenojot energoefektivitātes </w:t>
      </w:r>
      <w:r w:rsidR="00E22BC7" w:rsidRPr="001E48AC">
        <w:rPr>
          <w:rFonts w:cs="Times New Roman"/>
          <w:szCs w:val="28"/>
        </w:rPr>
        <w:t xml:space="preserve">uzlabošanas </w:t>
      </w:r>
      <w:r w:rsidRPr="001E48AC">
        <w:rPr>
          <w:rFonts w:cs="Times New Roman"/>
          <w:szCs w:val="28"/>
        </w:rPr>
        <w:t xml:space="preserve"> projektus 2015.gadā šādu atbalsta programmu ietvaros:</w:t>
      </w:r>
    </w:p>
    <w:p w14:paraId="35180A7C" w14:textId="77FF0425" w:rsidR="00C96CF5" w:rsidRPr="001E48AC" w:rsidRDefault="00C96CF5" w:rsidP="00685686">
      <w:pPr>
        <w:spacing w:after="0" w:line="240" w:lineRule="auto"/>
        <w:ind w:firstLine="709"/>
        <w:jc w:val="both"/>
        <w:rPr>
          <w:rFonts w:cs="Times New Roman"/>
          <w:szCs w:val="28"/>
        </w:rPr>
      </w:pPr>
      <w:r w:rsidRPr="001E48AC">
        <w:rPr>
          <w:rFonts w:cs="Times New Roman"/>
          <w:szCs w:val="28"/>
        </w:rPr>
        <w:t xml:space="preserve">1. </w:t>
      </w:r>
      <w:r w:rsidR="00E22BC7" w:rsidRPr="001E48AC">
        <w:rPr>
          <w:rFonts w:cs="Times New Roman"/>
          <w:szCs w:val="28"/>
        </w:rPr>
        <w:t xml:space="preserve">ES fondu </w:t>
      </w:r>
      <w:r w:rsidRPr="001E48AC">
        <w:rPr>
          <w:rFonts w:cs="Times New Roman"/>
          <w:szCs w:val="28"/>
        </w:rPr>
        <w:t>3. darbības programmas „Infrastruktūra un pakalpojumi” papildinājuma 3.4.4.1. aktivitātes „Daudzdzīvokļu māju siltumnoturības uzlabošanas pasākumi” (turpmāk – aktivitāte 3.4.4.1.).</w:t>
      </w:r>
    </w:p>
    <w:p w14:paraId="76570BDD" w14:textId="2ABACE60" w:rsidR="00C96CF5" w:rsidRPr="001E48AC" w:rsidRDefault="00C96CF5" w:rsidP="00685686">
      <w:pPr>
        <w:spacing w:after="0" w:line="240" w:lineRule="auto"/>
        <w:ind w:firstLine="709"/>
        <w:jc w:val="both"/>
        <w:rPr>
          <w:rFonts w:cs="Times New Roman"/>
          <w:szCs w:val="28"/>
        </w:rPr>
      </w:pPr>
      <w:r w:rsidRPr="001E48AC">
        <w:rPr>
          <w:rFonts w:cs="Times New Roman"/>
          <w:szCs w:val="28"/>
        </w:rPr>
        <w:t>2. ES fond</w:t>
      </w:r>
      <w:r w:rsidR="00E22BC7" w:rsidRPr="001E48AC">
        <w:rPr>
          <w:rFonts w:cs="Times New Roman"/>
          <w:szCs w:val="28"/>
        </w:rPr>
        <w:t>u</w:t>
      </w:r>
      <w:r w:rsidRPr="001E48AC">
        <w:rPr>
          <w:rFonts w:cs="Times New Roman"/>
          <w:szCs w:val="28"/>
        </w:rPr>
        <w:t xml:space="preserve"> 3. darbības programmas „Infrastruktūra un pakalpojumi” papildinājuma 3.4.4.2. aktivitātes „Sociālo dzīvojamo māju siltumnoturības uzlabošanas pasākumi” (turpmāk - aktivitāte 3.4.4.2.).”</w:t>
      </w:r>
    </w:p>
    <w:p w14:paraId="3397AF82" w14:textId="20498DEB" w:rsidR="00C96CF5" w:rsidRPr="001E48AC" w:rsidRDefault="00C96CF5" w:rsidP="00685686">
      <w:pPr>
        <w:spacing w:after="0" w:line="240" w:lineRule="auto"/>
        <w:ind w:firstLine="709"/>
        <w:jc w:val="both"/>
        <w:rPr>
          <w:rFonts w:cs="Times New Roman"/>
          <w:szCs w:val="28"/>
        </w:rPr>
      </w:pPr>
      <w:r w:rsidRPr="001E48AC">
        <w:rPr>
          <w:rFonts w:cs="Times New Roman"/>
          <w:szCs w:val="28"/>
        </w:rPr>
        <w:t xml:space="preserve">3. Vides aizsardzības un reģionālās attīstības ministrijas </w:t>
      </w:r>
      <w:r w:rsidR="00E22BC7" w:rsidRPr="001E48AC">
        <w:rPr>
          <w:rFonts w:cs="Times New Roman"/>
          <w:szCs w:val="28"/>
        </w:rPr>
        <w:t>KPFI</w:t>
      </w:r>
      <w:r w:rsidRPr="001E48AC">
        <w:rPr>
          <w:rFonts w:cs="Times New Roman"/>
          <w:szCs w:val="28"/>
        </w:rPr>
        <w:t xml:space="preserve"> finansētajos projektu konkursos</w:t>
      </w:r>
      <w:r w:rsidRPr="001E48AC">
        <w:rPr>
          <w:rFonts w:cs="Times New Roman"/>
          <w:b/>
          <w:bCs/>
          <w:szCs w:val="28"/>
        </w:rPr>
        <w:t xml:space="preserve"> </w:t>
      </w:r>
      <w:r w:rsidRPr="001E48AC">
        <w:rPr>
          <w:rFonts w:cs="Times New Roman"/>
          <w:bCs/>
          <w:szCs w:val="28"/>
        </w:rPr>
        <w:t xml:space="preserve">(aktivitātes </w:t>
      </w:r>
      <w:r w:rsidR="00E22BC7" w:rsidRPr="001E48AC">
        <w:rPr>
          <w:rFonts w:cs="Times New Roman"/>
          <w:bCs/>
          <w:szCs w:val="28"/>
        </w:rPr>
        <w:t>KPFI-</w:t>
      </w:r>
      <w:r w:rsidRPr="001E48AC">
        <w:rPr>
          <w:rFonts w:cs="Times New Roman"/>
          <w:bCs/>
          <w:szCs w:val="28"/>
        </w:rPr>
        <w:t>1;3;5;6;7;10;13;15)</w:t>
      </w:r>
      <w:r w:rsidRPr="001E48AC">
        <w:rPr>
          <w:rFonts w:cs="Times New Roman"/>
          <w:szCs w:val="28"/>
        </w:rPr>
        <w:t xml:space="preserve">. </w:t>
      </w:r>
    </w:p>
    <w:p w14:paraId="4D427931" w14:textId="15736B82" w:rsidR="002A237E" w:rsidRPr="001E48AC" w:rsidRDefault="002A237E" w:rsidP="00685686">
      <w:pPr>
        <w:spacing w:after="0" w:line="240" w:lineRule="auto"/>
        <w:ind w:firstLine="709"/>
        <w:jc w:val="both"/>
        <w:rPr>
          <w:rFonts w:cs="Times New Roman"/>
          <w:szCs w:val="28"/>
        </w:rPr>
      </w:pPr>
      <w:r w:rsidRPr="001E48AC">
        <w:rPr>
          <w:rFonts w:cs="Times New Roman"/>
          <w:szCs w:val="28"/>
        </w:rPr>
        <w:t xml:space="preserve">Enerģijas ietaupījums ir aprēķināts ar “ex-post” metodi un tas pamatojas uz enerģijas patēriņa fiksēšanu objektam pirms un pēc enerģijas efektivitātes paaugstināšanas pasākuma īstenošanas. </w:t>
      </w:r>
      <w:r w:rsidR="00263FE2" w:rsidRPr="001E48AC">
        <w:rPr>
          <w:rFonts w:cs="Times New Roman"/>
          <w:szCs w:val="28"/>
        </w:rPr>
        <w:t xml:space="preserve">Atbildīgo iestāžu </w:t>
      </w:r>
      <w:r w:rsidR="00E22BC7" w:rsidRPr="001E48AC">
        <w:rPr>
          <w:rFonts w:cs="Times New Roman"/>
          <w:szCs w:val="28"/>
        </w:rPr>
        <w:t>ES</w:t>
      </w:r>
      <w:r w:rsidR="00DF5BCD" w:rsidRPr="001E48AC">
        <w:rPr>
          <w:rFonts w:cs="Times New Roman"/>
          <w:szCs w:val="28"/>
        </w:rPr>
        <w:t xml:space="preserve"> </w:t>
      </w:r>
      <w:r w:rsidR="00E22BC7" w:rsidRPr="001E48AC">
        <w:rPr>
          <w:rFonts w:cs="Times New Roman"/>
          <w:szCs w:val="28"/>
        </w:rPr>
        <w:t xml:space="preserve">fondu un KPFI vajadzībām izveidotās projektu </w:t>
      </w:r>
      <w:r w:rsidR="00263FE2" w:rsidRPr="001E48AC">
        <w:rPr>
          <w:rFonts w:cs="Times New Roman"/>
          <w:szCs w:val="28"/>
        </w:rPr>
        <w:t xml:space="preserve">uzskaites, monitoringa  un rezultatīvo </w:t>
      </w:r>
      <w:r w:rsidR="00E22BC7" w:rsidRPr="001E48AC">
        <w:rPr>
          <w:rFonts w:cs="Times New Roman"/>
          <w:szCs w:val="28"/>
        </w:rPr>
        <w:t>rādītāju kontroles procedūras</w:t>
      </w:r>
      <w:r w:rsidRPr="001E48AC">
        <w:rPr>
          <w:rFonts w:cs="Times New Roman"/>
          <w:szCs w:val="28"/>
        </w:rPr>
        <w:t xml:space="preserve"> nodrošina arī projekta enerģijas ietaupījuma pārbaud</w:t>
      </w:r>
      <w:r w:rsidR="00263FE2" w:rsidRPr="001E48AC">
        <w:rPr>
          <w:rFonts w:cs="Times New Roman"/>
          <w:szCs w:val="28"/>
        </w:rPr>
        <w:t>i</w:t>
      </w:r>
      <w:r w:rsidRPr="001E48AC">
        <w:rPr>
          <w:rFonts w:cs="Times New Roman"/>
          <w:szCs w:val="28"/>
        </w:rPr>
        <w:t xml:space="preserve">, ja tas </w:t>
      </w:r>
      <w:r w:rsidRPr="001E48AC">
        <w:rPr>
          <w:rFonts w:cs="Times New Roman"/>
          <w:szCs w:val="28"/>
        </w:rPr>
        <w:lastRenderedPageBreak/>
        <w:t xml:space="preserve">ir nepieciešams. </w:t>
      </w:r>
      <w:r w:rsidR="00263FE2" w:rsidRPr="001E48AC">
        <w:rPr>
          <w:rFonts w:cs="Times New Roman"/>
          <w:szCs w:val="28"/>
        </w:rPr>
        <w:t xml:space="preserve">Atbildīgās iestādes ziņojušas enerģijas ietaupījumus un citu nepieciešamo informāciju energoefektivitātes monitoringa sistēmas ietvaros. </w:t>
      </w:r>
    </w:p>
    <w:p w14:paraId="0A3018A2" w14:textId="3855D91C" w:rsidR="002A237E" w:rsidRPr="001E48AC" w:rsidRDefault="002A237E" w:rsidP="00685686">
      <w:pPr>
        <w:spacing w:after="0" w:line="240" w:lineRule="auto"/>
        <w:ind w:firstLine="709"/>
        <w:jc w:val="both"/>
        <w:rPr>
          <w:rFonts w:cs="Times New Roman"/>
          <w:szCs w:val="28"/>
        </w:rPr>
      </w:pPr>
      <w:r w:rsidRPr="001E48AC">
        <w:rPr>
          <w:rFonts w:cs="Times New Roman"/>
          <w:szCs w:val="28"/>
        </w:rPr>
        <w:t>Jāatzīmē, ka enerģijas ietaupījuma aprēķināšanai tika ņemti vērā tikai tie projekti, kas pirmo enerģijas ietaupījumu uzrāda 2014.gadā</w:t>
      </w:r>
      <w:r w:rsidR="007849CE" w:rsidRPr="001E48AC">
        <w:rPr>
          <w:rFonts w:cs="Times New Roman"/>
          <w:szCs w:val="28"/>
        </w:rPr>
        <w:t xml:space="preserve"> (atbilstoši Monitoringa noteikumu</w:t>
      </w:r>
      <w:r w:rsidR="00594C11" w:rsidRPr="001E48AC">
        <w:rPr>
          <w:rFonts w:cs="Times New Roman"/>
          <w:szCs w:val="28"/>
        </w:rPr>
        <w:t xml:space="preserve"> </w:t>
      </w:r>
      <w:r w:rsidR="00594C11" w:rsidRPr="001E48AC">
        <w:rPr>
          <w:rFonts w:cs="Times New Roman"/>
          <w:bCs/>
          <w:szCs w:val="28"/>
        </w:rPr>
        <w:t xml:space="preserve">Nr.668 </w:t>
      </w:r>
      <w:r w:rsidR="007849CE" w:rsidRPr="001E48AC">
        <w:rPr>
          <w:rFonts w:cs="Times New Roman"/>
          <w:szCs w:val="28"/>
        </w:rPr>
        <w:t xml:space="preserve"> </w:t>
      </w:r>
      <w:r w:rsidR="00594C11" w:rsidRPr="001E48AC">
        <w:rPr>
          <w:rFonts w:cs="Times New Roman"/>
          <w:szCs w:val="28"/>
        </w:rPr>
        <w:t>6.5.apakšpunktam)</w:t>
      </w:r>
      <w:r w:rsidRPr="001E48AC">
        <w:rPr>
          <w:rFonts w:cs="Times New Roman"/>
          <w:szCs w:val="28"/>
        </w:rPr>
        <w:t xml:space="preserve">. Enerģijas ietaupījums pa atsevišķām aktivitātēm tiek apkopots pamatojoties uz </w:t>
      </w:r>
      <w:r w:rsidR="00263FE2" w:rsidRPr="001E48AC">
        <w:rPr>
          <w:rFonts w:cs="Times New Roman"/>
          <w:szCs w:val="28"/>
        </w:rPr>
        <w:t>atbildīgo iestāžu</w:t>
      </w:r>
      <w:r w:rsidRPr="001E48AC">
        <w:rPr>
          <w:rFonts w:cs="Times New Roman"/>
          <w:szCs w:val="28"/>
        </w:rPr>
        <w:t xml:space="preserve"> iesniegtajiem pārskatiem par </w:t>
      </w:r>
      <w:r w:rsidR="00263FE2" w:rsidRPr="001E48AC">
        <w:rPr>
          <w:rFonts w:cs="Times New Roman"/>
          <w:szCs w:val="28"/>
        </w:rPr>
        <w:t xml:space="preserve">visiem </w:t>
      </w:r>
      <w:r w:rsidRPr="001E48AC">
        <w:rPr>
          <w:rFonts w:cs="Times New Roman"/>
          <w:szCs w:val="28"/>
        </w:rPr>
        <w:t>īstenotajiem projektiem un sasni</w:t>
      </w:r>
      <w:r w:rsidR="00C96CF5" w:rsidRPr="001E48AC">
        <w:rPr>
          <w:rFonts w:cs="Times New Roman"/>
          <w:szCs w:val="28"/>
        </w:rPr>
        <w:t xml:space="preserve">egtajiem rezultātiem. </w:t>
      </w:r>
      <w:r w:rsidR="00BE2832" w:rsidRPr="001E48AC">
        <w:rPr>
          <w:rFonts w:cs="Times New Roman"/>
          <w:szCs w:val="28"/>
        </w:rPr>
        <w:t>5.tabulā</w:t>
      </w:r>
      <w:r w:rsidR="00C96CF5" w:rsidRPr="001E48AC">
        <w:rPr>
          <w:rFonts w:cs="Times New Roman"/>
          <w:szCs w:val="28"/>
        </w:rPr>
        <w:t xml:space="preserve"> </w:t>
      </w:r>
      <w:r w:rsidRPr="001E48AC">
        <w:rPr>
          <w:rFonts w:cs="Times New Roman"/>
          <w:szCs w:val="28"/>
        </w:rPr>
        <w:t xml:space="preserve">ir </w:t>
      </w:r>
      <w:r w:rsidR="00C96CF5" w:rsidRPr="001E48AC">
        <w:rPr>
          <w:rFonts w:cs="Times New Roman"/>
          <w:szCs w:val="28"/>
        </w:rPr>
        <w:t>apkopt</w:t>
      </w:r>
      <w:r w:rsidR="002257EC" w:rsidRPr="001E48AC">
        <w:rPr>
          <w:rFonts w:cs="Times New Roman"/>
          <w:szCs w:val="28"/>
        </w:rPr>
        <w:t>i aprēķinātie enerģijas ietaupījumi</w:t>
      </w:r>
      <w:r w:rsidRPr="001E48AC">
        <w:rPr>
          <w:rFonts w:cs="Times New Roman"/>
          <w:szCs w:val="28"/>
        </w:rPr>
        <w:t xml:space="preserve"> 2014. un 2015. gadā un kumulatīvais</w:t>
      </w:r>
      <w:r w:rsidR="002257EC" w:rsidRPr="001E48AC">
        <w:rPr>
          <w:rFonts w:cs="Times New Roman"/>
          <w:szCs w:val="28"/>
        </w:rPr>
        <w:t xml:space="preserve"> ietaupījums</w:t>
      </w:r>
      <w:r w:rsidRPr="001E48AC">
        <w:rPr>
          <w:rFonts w:cs="Times New Roman"/>
          <w:szCs w:val="28"/>
        </w:rPr>
        <w:t xml:space="preserve"> uz 2020.gadu.</w:t>
      </w:r>
    </w:p>
    <w:p w14:paraId="29000A9D" w14:textId="120CD96B" w:rsidR="00C21CA5" w:rsidRPr="001E48AC" w:rsidRDefault="00C21CA5" w:rsidP="00685686">
      <w:pPr>
        <w:pStyle w:val="Caption"/>
        <w:spacing w:after="0" w:line="240" w:lineRule="auto"/>
        <w:jc w:val="both"/>
        <w:rPr>
          <w:rFonts w:ascii="Times New Roman" w:hAnsi="Times New Roman"/>
          <w:b/>
          <w:sz w:val="28"/>
          <w:szCs w:val="28"/>
          <w:lang w:val="lv-LV"/>
        </w:rPr>
      </w:pPr>
    </w:p>
    <w:p w14:paraId="0A4548AB" w14:textId="0F4D714B" w:rsidR="00C21CA5" w:rsidRPr="001E48AC" w:rsidRDefault="00C21CA5" w:rsidP="00685686">
      <w:pPr>
        <w:pStyle w:val="Caption"/>
        <w:spacing w:after="0" w:line="240" w:lineRule="auto"/>
        <w:jc w:val="both"/>
        <w:rPr>
          <w:rFonts w:ascii="Times New Roman" w:hAnsi="Times New Roman"/>
          <w:b/>
          <w:sz w:val="28"/>
          <w:szCs w:val="28"/>
          <w:lang w:val="lv-LV"/>
        </w:rPr>
      </w:pPr>
      <w:r w:rsidRPr="001E48AC">
        <w:rPr>
          <w:rFonts w:ascii="Times New Roman" w:hAnsi="Times New Roman"/>
          <w:b/>
          <w:caps w:val="0"/>
          <w:sz w:val="28"/>
          <w:szCs w:val="28"/>
          <w:lang w:val="lv-LV"/>
        </w:rPr>
        <w:t>5.tabula. Aprēķinātie enerģijas ietaupījumi valsts obligātā uzkrātais gala enerģijas ietaupījuma mērķa 2014.-2020.gadam izpildei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581"/>
        <w:gridCol w:w="1430"/>
        <w:gridCol w:w="1672"/>
        <w:gridCol w:w="1570"/>
      </w:tblGrid>
      <w:tr w:rsidR="002A237E" w:rsidRPr="001E48AC" w14:paraId="5A9E615A" w14:textId="77777777" w:rsidTr="007942A4">
        <w:tc>
          <w:tcPr>
            <w:tcW w:w="2478" w:type="dxa"/>
            <w:shd w:val="clear" w:color="auto" w:fill="auto"/>
          </w:tcPr>
          <w:p w14:paraId="5D169E16" w14:textId="77777777" w:rsidR="002A237E" w:rsidRPr="001E48AC" w:rsidRDefault="002A237E" w:rsidP="002257EC">
            <w:pPr>
              <w:autoSpaceDE w:val="0"/>
              <w:autoSpaceDN w:val="0"/>
              <w:adjustRightInd w:val="0"/>
              <w:spacing w:after="120"/>
              <w:jc w:val="both"/>
              <w:rPr>
                <w:rFonts w:cs="Times New Roman"/>
                <w:b/>
                <w:sz w:val="24"/>
                <w:szCs w:val="24"/>
              </w:rPr>
            </w:pPr>
            <w:r w:rsidRPr="001E48AC">
              <w:rPr>
                <w:rFonts w:cs="Times New Roman"/>
                <w:b/>
                <w:sz w:val="24"/>
                <w:szCs w:val="24"/>
              </w:rPr>
              <w:t>Pasākums</w:t>
            </w:r>
          </w:p>
        </w:tc>
        <w:tc>
          <w:tcPr>
            <w:tcW w:w="1581" w:type="dxa"/>
            <w:shd w:val="clear" w:color="auto" w:fill="auto"/>
          </w:tcPr>
          <w:p w14:paraId="47BB8709" w14:textId="77777777" w:rsidR="002A237E" w:rsidRPr="001E48AC" w:rsidRDefault="002A237E" w:rsidP="002257EC">
            <w:pPr>
              <w:autoSpaceDE w:val="0"/>
              <w:autoSpaceDN w:val="0"/>
              <w:adjustRightInd w:val="0"/>
              <w:spacing w:after="120"/>
              <w:jc w:val="both"/>
              <w:rPr>
                <w:rFonts w:cs="Times New Roman"/>
                <w:b/>
                <w:sz w:val="24"/>
                <w:szCs w:val="24"/>
              </w:rPr>
            </w:pPr>
            <w:r w:rsidRPr="001E48AC">
              <w:rPr>
                <w:rFonts w:cs="Times New Roman"/>
                <w:b/>
                <w:sz w:val="24"/>
                <w:szCs w:val="24"/>
              </w:rPr>
              <w:t>Jauns ietaupījums 2014.gadā, GWh</w:t>
            </w:r>
          </w:p>
        </w:tc>
        <w:tc>
          <w:tcPr>
            <w:tcW w:w="1430" w:type="dxa"/>
          </w:tcPr>
          <w:p w14:paraId="00384455" w14:textId="77777777" w:rsidR="002A237E" w:rsidRPr="001E48AC" w:rsidRDefault="002A237E" w:rsidP="002257EC">
            <w:pPr>
              <w:autoSpaceDE w:val="0"/>
              <w:autoSpaceDN w:val="0"/>
              <w:adjustRightInd w:val="0"/>
              <w:spacing w:after="120"/>
              <w:jc w:val="both"/>
              <w:rPr>
                <w:rFonts w:cs="Times New Roman"/>
                <w:b/>
                <w:sz w:val="24"/>
                <w:szCs w:val="24"/>
              </w:rPr>
            </w:pPr>
            <w:r w:rsidRPr="001E48AC">
              <w:rPr>
                <w:rFonts w:cs="Times New Roman"/>
                <w:b/>
                <w:sz w:val="24"/>
                <w:szCs w:val="24"/>
              </w:rPr>
              <w:t>Jauns ietaupījums 2015.gadā, GWh</w:t>
            </w:r>
          </w:p>
        </w:tc>
        <w:tc>
          <w:tcPr>
            <w:tcW w:w="1672" w:type="dxa"/>
            <w:shd w:val="clear" w:color="auto" w:fill="auto"/>
          </w:tcPr>
          <w:p w14:paraId="09A21F1D" w14:textId="77777777" w:rsidR="002A237E" w:rsidRPr="001E48AC" w:rsidRDefault="002A237E" w:rsidP="002257EC">
            <w:pPr>
              <w:autoSpaceDE w:val="0"/>
              <w:autoSpaceDN w:val="0"/>
              <w:adjustRightInd w:val="0"/>
              <w:spacing w:after="120"/>
              <w:jc w:val="both"/>
              <w:rPr>
                <w:rFonts w:cs="Times New Roman"/>
                <w:b/>
                <w:sz w:val="24"/>
                <w:szCs w:val="24"/>
              </w:rPr>
            </w:pPr>
            <w:r w:rsidRPr="001E48AC">
              <w:rPr>
                <w:rFonts w:cs="Times New Roman"/>
                <w:b/>
                <w:sz w:val="24"/>
                <w:szCs w:val="24"/>
              </w:rPr>
              <w:t>Kumulatīvais ietaupījums uz 2020.gadu, GWh</w:t>
            </w:r>
          </w:p>
        </w:tc>
        <w:tc>
          <w:tcPr>
            <w:tcW w:w="1570" w:type="dxa"/>
            <w:shd w:val="clear" w:color="auto" w:fill="auto"/>
          </w:tcPr>
          <w:p w14:paraId="2B9051C9" w14:textId="77777777" w:rsidR="002A237E" w:rsidRPr="001E48AC" w:rsidRDefault="002A237E" w:rsidP="002257EC">
            <w:pPr>
              <w:autoSpaceDE w:val="0"/>
              <w:autoSpaceDN w:val="0"/>
              <w:adjustRightInd w:val="0"/>
              <w:spacing w:after="120"/>
              <w:jc w:val="both"/>
              <w:rPr>
                <w:rFonts w:cs="Times New Roman"/>
                <w:b/>
                <w:sz w:val="24"/>
                <w:szCs w:val="24"/>
              </w:rPr>
            </w:pPr>
            <w:r w:rsidRPr="001E48AC">
              <w:rPr>
                <w:rFonts w:cs="Times New Roman"/>
                <w:b/>
                <w:sz w:val="24"/>
                <w:szCs w:val="24"/>
              </w:rPr>
              <w:t>Piezīmes</w:t>
            </w:r>
          </w:p>
        </w:tc>
      </w:tr>
      <w:tr w:rsidR="002A237E" w:rsidRPr="001E48AC" w14:paraId="77774D7D" w14:textId="77777777" w:rsidTr="007942A4">
        <w:tc>
          <w:tcPr>
            <w:tcW w:w="2478" w:type="dxa"/>
            <w:shd w:val="clear" w:color="auto" w:fill="auto"/>
          </w:tcPr>
          <w:p w14:paraId="0909A662" w14:textId="0A4E3B3C" w:rsidR="002A237E" w:rsidRPr="001E48AC" w:rsidRDefault="004F38F1" w:rsidP="002257EC">
            <w:pPr>
              <w:autoSpaceDE w:val="0"/>
              <w:autoSpaceDN w:val="0"/>
              <w:adjustRightInd w:val="0"/>
              <w:spacing w:after="120"/>
              <w:jc w:val="both"/>
              <w:rPr>
                <w:rFonts w:cs="Times New Roman"/>
                <w:sz w:val="24"/>
                <w:szCs w:val="24"/>
              </w:rPr>
            </w:pPr>
            <w:r w:rsidRPr="001E48AC">
              <w:rPr>
                <w:rFonts w:cs="Times New Roman"/>
                <w:sz w:val="24"/>
                <w:szCs w:val="24"/>
              </w:rPr>
              <w:t xml:space="preserve">KPFI – 13 </w:t>
            </w:r>
            <w:r w:rsidR="002A237E" w:rsidRPr="001E48AC">
              <w:rPr>
                <w:rFonts w:cs="Times New Roman"/>
                <w:sz w:val="24"/>
                <w:szCs w:val="24"/>
              </w:rPr>
              <w:t xml:space="preserve"> Projektu konkurss “Siltumnīcefekta gāzu emisiju samazināšana pašvaldību publisko teritoriju apgaismojuma infrastruktūrā” </w:t>
            </w:r>
          </w:p>
        </w:tc>
        <w:tc>
          <w:tcPr>
            <w:tcW w:w="1581" w:type="dxa"/>
            <w:shd w:val="clear" w:color="auto" w:fill="auto"/>
          </w:tcPr>
          <w:p w14:paraId="5240AFF4"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4.3</w:t>
            </w:r>
          </w:p>
        </w:tc>
        <w:tc>
          <w:tcPr>
            <w:tcW w:w="1430" w:type="dxa"/>
          </w:tcPr>
          <w:p w14:paraId="16AAFFE1"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5.2</w:t>
            </w:r>
          </w:p>
        </w:tc>
        <w:tc>
          <w:tcPr>
            <w:tcW w:w="1672" w:type="dxa"/>
            <w:shd w:val="clear" w:color="auto" w:fill="auto"/>
          </w:tcPr>
          <w:p w14:paraId="39272538"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61</w:t>
            </w:r>
          </w:p>
        </w:tc>
        <w:tc>
          <w:tcPr>
            <w:tcW w:w="1570" w:type="dxa"/>
            <w:shd w:val="clear" w:color="auto" w:fill="auto"/>
          </w:tcPr>
          <w:p w14:paraId="2DCB9DF3"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Pasākuma dzīves laiks pie spuldžu darbības laika vismaz 25000 h.</w:t>
            </w:r>
          </w:p>
        </w:tc>
      </w:tr>
      <w:tr w:rsidR="002A237E" w:rsidRPr="001E48AC" w14:paraId="084D5C1A" w14:textId="77777777" w:rsidTr="007942A4">
        <w:tc>
          <w:tcPr>
            <w:tcW w:w="2478" w:type="dxa"/>
            <w:shd w:val="clear" w:color="auto" w:fill="auto"/>
          </w:tcPr>
          <w:p w14:paraId="36E4A8ED" w14:textId="0D537606"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KPFI</w:t>
            </w:r>
            <w:r w:rsidR="004F38F1" w:rsidRPr="001E48AC">
              <w:rPr>
                <w:rFonts w:cs="Times New Roman"/>
                <w:sz w:val="24"/>
                <w:szCs w:val="24"/>
              </w:rPr>
              <w:t>-7</w:t>
            </w:r>
            <w:r w:rsidRPr="001E48AC">
              <w:rPr>
                <w:rFonts w:cs="Times New Roman"/>
                <w:sz w:val="24"/>
                <w:szCs w:val="24"/>
              </w:rPr>
              <w:t xml:space="preserve">  Projektu konkurss “Kompleksi risinājumi siltumnīcefekta gāzu emisijas samazināšanai pašvaldību ēkās” </w:t>
            </w:r>
          </w:p>
        </w:tc>
        <w:tc>
          <w:tcPr>
            <w:tcW w:w="1581" w:type="dxa"/>
            <w:shd w:val="clear" w:color="auto" w:fill="auto"/>
          </w:tcPr>
          <w:p w14:paraId="7D3150F4"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15</w:t>
            </w:r>
          </w:p>
        </w:tc>
        <w:tc>
          <w:tcPr>
            <w:tcW w:w="1430" w:type="dxa"/>
          </w:tcPr>
          <w:p w14:paraId="67FB9E12" w14:textId="77777777" w:rsidR="002A237E" w:rsidRPr="001E48AC" w:rsidRDefault="002A237E" w:rsidP="002257EC">
            <w:pPr>
              <w:autoSpaceDE w:val="0"/>
              <w:autoSpaceDN w:val="0"/>
              <w:adjustRightInd w:val="0"/>
              <w:spacing w:after="120"/>
              <w:jc w:val="both"/>
              <w:rPr>
                <w:rFonts w:cs="Times New Roman"/>
                <w:sz w:val="24"/>
                <w:szCs w:val="24"/>
              </w:rPr>
            </w:pPr>
          </w:p>
        </w:tc>
        <w:tc>
          <w:tcPr>
            <w:tcW w:w="1672" w:type="dxa"/>
            <w:shd w:val="clear" w:color="auto" w:fill="auto"/>
          </w:tcPr>
          <w:p w14:paraId="3AEBF513"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105</w:t>
            </w:r>
          </w:p>
        </w:tc>
        <w:tc>
          <w:tcPr>
            <w:tcW w:w="1570" w:type="dxa"/>
            <w:shd w:val="clear" w:color="auto" w:fill="auto"/>
          </w:tcPr>
          <w:p w14:paraId="0925C042"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 xml:space="preserve">Pasākuma dzīves laiks vismaz 7 gadi. </w:t>
            </w:r>
          </w:p>
        </w:tc>
      </w:tr>
      <w:tr w:rsidR="002A237E" w:rsidRPr="001E48AC" w14:paraId="00B95C27" w14:textId="77777777" w:rsidTr="007942A4">
        <w:tc>
          <w:tcPr>
            <w:tcW w:w="2478" w:type="dxa"/>
            <w:shd w:val="clear" w:color="auto" w:fill="auto"/>
          </w:tcPr>
          <w:p w14:paraId="1AD306CC" w14:textId="1121E8D6"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KPFI</w:t>
            </w:r>
            <w:r w:rsidR="004F38F1" w:rsidRPr="001E48AC">
              <w:rPr>
                <w:rFonts w:cs="Times New Roman"/>
                <w:sz w:val="24"/>
                <w:szCs w:val="24"/>
              </w:rPr>
              <w:t>-5</w:t>
            </w:r>
            <w:r w:rsidRPr="001E48AC">
              <w:rPr>
                <w:rFonts w:cs="Times New Roman"/>
                <w:sz w:val="24"/>
                <w:szCs w:val="24"/>
              </w:rPr>
              <w:t xml:space="preserve"> Projektu konkurss “Kompleksi risinājumi siltumnīcefekta gāzu emisijas samazināšanai valsts un pašvaldību profesionālās izglītības iestāžu ēkās”  </w:t>
            </w:r>
          </w:p>
        </w:tc>
        <w:tc>
          <w:tcPr>
            <w:tcW w:w="1581" w:type="dxa"/>
            <w:shd w:val="clear" w:color="auto" w:fill="auto"/>
          </w:tcPr>
          <w:p w14:paraId="2CB8802D"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9</w:t>
            </w:r>
          </w:p>
        </w:tc>
        <w:tc>
          <w:tcPr>
            <w:tcW w:w="1430" w:type="dxa"/>
          </w:tcPr>
          <w:p w14:paraId="3D19FD70" w14:textId="77777777" w:rsidR="002A237E" w:rsidRPr="001E48AC" w:rsidRDefault="002A237E" w:rsidP="002257EC">
            <w:pPr>
              <w:autoSpaceDE w:val="0"/>
              <w:autoSpaceDN w:val="0"/>
              <w:adjustRightInd w:val="0"/>
              <w:spacing w:after="120"/>
              <w:jc w:val="both"/>
              <w:rPr>
                <w:rFonts w:cs="Times New Roman"/>
                <w:sz w:val="24"/>
                <w:szCs w:val="24"/>
              </w:rPr>
            </w:pPr>
          </w:p>
        </w:tc>
        <w:tc>
          <w:tcPr>
            <w:tcW w:w="1672" w:type="dxa"/>
            <w:shd w:val="clear" w:color="auto" w:fill="auto"/>
          </w:tcPr>
          <w:p w14:paraId="291C8948"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63</w:t>
            </w:r>
          </w:p>
        </w:tc>
        <w:tc>
          <w:tcPr>
            <w:tcW w:w="1570" w:type="dxa"/>
            <w:shd w:val="clear" w:color="auto" w:fill="auto"/>
          </w:tcPr>
          <w:p w14:paraId="46CB4F98"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Pasākuma dzīves laiks vismaz 7 gadi.</w:t>
            </w:r>
          </w:p>
        </w:tc>
      </w:tr>
      <w:tr w:rsidR="002A237E" w:rsidRPr="001E48AC" w14:paraId="57606D6A" w14:textId="77777777" w:rsidTr="007942A4">
        <w:tc>
          <w:tcPr>
            <w:tcW w:w="2478" w:type="dxa"/>
            <w:shd w:val="clear" w:color="auto" w:fill="auto"/>
          </w:tcPr>
          <w:p w14:paraId="62110727" w14:textId="45AB28AE"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KPFI</w:t>
            </w:r>
            <w:r w:rsidR="004F38F1" w:rsidRPr="001E48AC">
              <w:rPr>
                <w:rFonts w:cs="Times New Roman"/>
                <w:sz w:val="24"/>
                <w:szCs w:val="24"/>
              </w:rPr>
              <w:t>-3</w:t>
            </w:r>
            <w:r w:rsidRPr="001E48AC">
              <w:rPr>
                <w:rFonts w:cs="Times New Roman"/>
                <w:sz w:val="24"/>
                <w:szCs w:val="24"/>
              </w:rPr>
              <w:t xml:space="preserve">  Projektu konkurss </w:t>
            </w:r>
            <w:r w:rsidRPr="001E48AC">
              <w:rPr>
                <w:rFonts w:cs="Times New Roman"/>
                <w:sz w:val="24"/>
                <w:szCs w:val="24"/>
              </w:rPr>
              <w:lastRenderedPageBreak/>
              <w:t xml:space="preserve">“Energoefektivitātes paaugstināšana augstākās izglītības iestāžu ēkās” </w:t>
            </w:r>
          </w:p>
        </w:tc>
        <w:tc>
          <w:tcPr>
            <w:tcW w:w="1581" w:type="dxa"/>
            <w:shd w:val="clear" w:color="auto" w:fill="auto"/>
          </w:tcPr>
          <w:p w14:paraId="424C4BD8"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lastRenderedPageBreak/>
              <w:t>6</w:t>
            </w:r>
          </w:p>
        </w:tc>
        <w:tc>
          <w:tcPr>
            <w:tcW w:w="1430" w:type="dxa"/>
          </w:tcPr>
          <w:p w14:paraId="04067943" w14:textId="77777777" w:rsidR="002A237E" w:rsidRPr="001E48AC" w:rsidRDefault="002A237E" w:rsidP="002257EC">
            <w:pPr>
              <w:autoSpaceDE w:val="0"/>
              <w:autoSpaceDN w:val="0"/>
              <w:adjustRightInd w:val="0"/>
              <w:spacing w:after="120"/>
              <w:jc w:val="both"/>
              <w:rPr>
                <w:rFonts w:cs="Times New Roman"/>
                <w:sz w:val="24"/>
                <w:szCs w:val="24"/>
              </w:rPr>
            </w:pPr>
          </w:p>
        </w:tc>
        <w:tc>
          <w:tcPr>
            <w:tcW w:w="1672" w:type="dxa"/>
            <w:shd w:val="clear" w:color="auto" w:fill="auto"/>
          </w:tcPr>
          <w:p w14:paraId="0766A003"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42</w:t>
            </w:r>
          </w:p>
        </w:tc>
        <w:tc>
          <w:tcPr>
            <w:tcW w:w="1570" w:type="dxa"/>
            <w:shd w:val="clear" w:color="auto" w:fill="auto"/>
          </w:tcPr>
          <w:p w14:paraId="07154E10"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 xml:space="preserve">Pasākuma dzīves laiks </w:t>
            </w:r>
            <w:r w:rsidRPr="001E48AC">
              <w:rPr>
                <w:rFonts w:cs="Times New Roman"/>
                <w:sz w:val="24"/>
                <w:szCs w:val="24"/>
              </w:rPr>
              <w:lastRenderedPageBreak/>
              <w:t>vismaz 7 gadi.</w:t>
            </w:r>
          </w:p>
        </w:tc>
      </w:tr>
      <w:tr w:rsidR="002A237E" w:rsidRPr="001E48AC" w14:paraId="5315429C" w14:textId="77777777" w:rsidTr="007942A4">
        <w:tc>
          <w:tcPr>
            <w:tcW w:w="2478" w:type="dxa"/>
            <w:shd w:val="clear" w:color="auto" w:fill="auto"/>
          </w:tcPr>
          <w:p w14:paraId="29525ECA" w14:textId="2A0E6595"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lastRenderedPageBreak/>
              <w:t>KPFI</w:t>
            </w:r>
            <w:r w:rsidR="004F38F1" w:rsidRPr="001E48AC">
              <w:rPr>
                <w:rFonts w:cs="Times New Roman"/>
                <w:sz w:val="24"/>
                <w:szCs w:val="24"/>
              </w:rPr>
              <w:t>-10</w:t>
            </w:r>
            <w:r w:rsidRPr="001E48AC">
              <w:rPr>
                <w:rFonts w:cs="Times New Roman"/>
                <w:sz w:val="24"/>
                <w:szCs w:val="24"/>
              </w:rPr>
              <w:t xml:space="preserve"> Projektu konkurss “Zema enerģijas patēriņa ēkas” </w:t>
            </w:r>
          </w:p>
        </w:tc>
        <w:tc>
          <w:tcPr>
            <w:tcW w:w="1581" w:type="dxa"/>
            <w:shd w:val="clear" w:color="auto" w:fill="auto"/>
          </w:tcPr>
          <w:p w14:paraId="580B38B5"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9.1</w:t>
            </w:r>
          </w:p>
        </w:tc>
        <w:tc>
          <w:tcPr>
            <w:tcW w:w="1430" w:type="dxa"/>
          </w:tcPr>
          <w:p w14:paraId="418B62FA" w14:textId="77777777" w:rsidR="002A237E" w:rsidRPr="001E48AC" w:rsidRDefault="002A237E" w:rsidP="002257EC">
            <w:pPr>
              <w:autoSpaceDE w:val="0"/>
              <w:autoSpaceDN w:val="0"/>
              <w:adjustRightInd w:val="0"/>
              <w:spacing w:after="120"/>
              <w:jc w:val="both"/>
              <w:rPr>
                <w:rFonts w:cs="Times New Roman"/>
                <w:sz w:val="24"/>
                <w:szCs w:val="24"/>
              </w:rPr>
            </w:pPr>
          </w:p>
        </w:tc>
        <w:tc>
          <w:tcPr>
            <w:tcW w:w="1672" w:type="dxa"/>
            <w:shd w:val="clear" w:color="auto" w:fill="auto"/>
          </w:tcPr>
          <w:p w14:paraId="1B60E7E4"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64</w:t>
            </w:r>
          </w:p>
        </w:tc>
        <w:tc>
          <w:tcPr>
            <w:tcW w:w="1570" w:type="dxa"/>
            <w:shd w:val="clear" w:color="auto" w:fill="auto"/>
          </w:tcPr>
          <w:p w14:paraId="6FACCBD9"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 xml:space="preserve">Pasākuma dzīves laiks vismaz 7 gadi. </w:t>
            </w:r>
          </w:p>
        </w:tc>
      </w:tr>
      <w:tr w:rsidR="002A237E" w:rsidRPr="001E48AC" w14:paraId="78E95A98" w14:textId="77777777" w:rsidTr="007942A4">
        <w:tc>
          <w:tcPr>
            <w:tcW w:w="2478" w:type="dxa"/>
            <w:shd w:val="clear" w:color="auto" w:fill="auto"/>
          </w:tcPr>
          <w:p w14:paraId="71A94165" w14:textId="0B56B544" w:rsidR="002A237E" w:rsidRPr="001E48AC" w:rsidRDefault="00B9367D" w:rsidP="002257EC">
            <w:pPr>
              <w:autoSpaceDE w:val="0"/>
              <w:autoSpaceDN w:val="0"/>
              <w:adjustRightInd w:val="0"/>
              <w:spacing w:after="120"/>
              <w:jc w:val="both"/>
              <w:rPr>
                <w:rFonts w:cs="Times New Roman"/>
                <w:b/>
                <w:sz w:val="24"/>
                <w:szCs w:val="24"/>
              </w:rPr>
            </w:pPr>
            <w:r w:rsidRPr="001E48AC">
              <w:rPr>
                <w:rFonts w:eastAsia="Times New Roman"/>
                <w:sz w:val="24"/>
                <w:szCs w:val="24"/>
                <w:lang w:eastAsia="lv-LV"/>
              </w:rPr>
              <w:t>KPFI- 14 Projektu konkursa “Siltumnīcefekta gāzu emisijas samazinošu tehnoloģiju attīstīšana un pilotprojektu īstenošana” ietvaros īstenotais projekts viedo elektroenerģijas skaitītāju uzstādīšana</w:t>
            </w:r>
            <w:r w:rsidRPr="001E48AC">
              <w:rPr>
                <w:rFonts w:cs="Times New Roman"/>
                <w:sz w:val="24"/>
                <w:szCs w:val="24"/>
              </w:rPr>
              <w:t xml:space="preserve"> </w:t>
            </w:r>
          </w:p>
        </w:tc>
        <w:tc>
          <w:tcPr>
            <w:tcW w:w="1581" w:type="dxa"/>
            <w:shd w:val="clear" w:color="auto" w:fill="auto"/>
          </w:tcPr>
          <w:p w14:paraId="053EC106"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0.34</w:t>
            </w:r>
          </w:p>
        </w:tc>
        <w:tc>
          <w:tcPr>
            <w:tcW w:w="1430" w:type="dxa"/>
          </w:tcPr>
          <w:p w14:paraId="537FA413" w14:textId="77777777" w:rsidR="002A237E" w:rsidRPr="001E48AC" w:rsidRDefault="002A237E" w:rsidP="002257EC">
            <w:pPr>
              <w:autoSpaceDE w:val="0"/>
              <w:autoSpaceDN w:val="0"/>
              <w:adjustRightInd w:val="0"/>
              <w:spacing w:after="120"/>
              <w:jc w:val="both"/>
              <w:rPr>
                <w:rFonts w:cs="Times New Roman"/>
                <w:sz w:val="24"/>
                <w:szCs w:val="24"/>
              </w:rPr>
            </w:pPr>
          </w:p>
        </w:tc>
        <w:tc>
          <w:tcPr>
            <w:tcW w:w="1672" w:type="dxa"/>
            <w:shd w:val="clear" w:color="auto" w:fill="auto"/>
          </w:tcPr>
          <w:p w14:paraId="62C63CC6"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0.7</w:t>
            </w:r>
          </w:p>
        </w:tc>
        <w:tc>
          <w:tcPr>
            <w:tcW w:w="1570" w:type="dxa"/>
            <w:shd w:val="clear" w:color="auto" w:fill="auto"/>
          </w:tcPr>
          <w:p w14:paraId="6A1669E5"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Pasākuma dzīves laiks 2 gadi.</w:t>
            </w:r>
          </w:p>
        </w:tc>
      </w:tr>
      <w:tr w:rsidR="002A237E" w:rsidRPr="001E48AC" w14:paraId="50D9062C" w14:textId="77777777" w:rsidTr="007942A4">
        <w:tc>
          <w:tcPr>
            <w:tcW w:w="2478" w:type="dxa"/>
            <w:shd w:val="clear" w:color="auto" w:fill="auto"/>
          </w:tcPr>
          <w:p w14:paraId="2B456258" w14:textId="2E01BEBC" w:rsidR="002A237E" w:rsidRPr="001E48AC" w:rsidRDefault="002A237E" w:rsidP="002257EC">
            <w:pPr>
              <w:autoSpaceDE w:val="0"/>
              <w:autoSpaceDN w:val="0"/>
              <w:adjustRightInd w:val="0"/>
              <w:spacing w:after="120"/>
              <w:jc w:val="both"/>
              <w:rPr>
                <w:rFonts w:cs="Times New Roman"/>
                <w:b/>
                <w:sz w:val="24"/>
                <w:szCs w:val="24"/>
              </w:rPr>
            </w:pPr>
            <w:r w:rsidRPr="001E48AC">
              <w:rPr>
                <w:rFonts w:cs="Times New Roman"/>
                <w:sz w:val="24"/>
                <w:szCs w:val="24"/>
              </w:rPr>
              <w:t>KPFI</w:t>
            </w:r>
            <w:r w:rsidR="004F38F1" w:rsidRPr="001E48AC">
              <w:rPr>
                <w:rFonts w:cs="Times New Roman"/>
                <w:sz w:val="24"/>
                <w:szCs w:val="24"/>
              </w:rPr>
              <w:t>-15</w:t>
            </w:r>
            <w:r w:rsidRPr="001E48AC">
              <w:rPr>
                <w:rFonts w:cs="Times New Roman"/>
                <w:sz w:val="24"/>
                <w:szCs w:val="24"/>
              </w:rPr>
              <w:t xml:space="preserve"> Projektu konkurss “Kompleksi risinājumi siltumnīcefekta gāzu emisiju samazināšanai”  </w:t>
            </w:r>
          </w:p>
        </w:tc>
        <w:tc>
          <w:tcPr>
            <w:tcW w:w="1581" w:type="dxa"/>
            <w:shd w:val="clear" w:color="auto" w:fill="auto"/>
          </w:tcPr>
          <w:p w14:paraId="1FDA9DD1"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47.2</w:t>
            </w:r>
          </w:p>
        </w:tc>
        <w:tc>
          <w:tcPr>
            <w:tcW w:w="1430" w:type="dxa"/>
          </w:tcPr>
          <w:p w14:paraId="20E51838"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58.2</w:t>
            </w:r>
          </w:p>
        </w:tc>
        <w:tc>
          <w:tcPr>
            <w:tcW w:w="1672" w:type="dxa"/>
            <w:shd w:val="clear" w:color="auto" w:fill="auto"/>
          </w:tcPr>
          <w:p w14:paraId="0FDEE627"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 xml:space="preserve">680      </w:t>
            </w:r>
          </w:p>
        </w:tc>
        <w:tc>
          <w:tcPr>
            <w:tcW w:w="1570" w:type="dxa"/>
            <w:shd w:val="clear" w:color="auto" w:fill="auto"/>
          </w:tcPr>
          <w:p w14:paraId="7530166B"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Pasākuma dzīves laiks ir vismaz 7 gadi.</w:t>
            </w:r>
          </w:p>
        </w:tc>
      </w:tr>
      <w:tr w:rsidR="002A237E" w:rsidRPr="001E48AC" w14:paraId="3B106A28" w14:textId="77777777" w:rsidTr="007942A4">
        <w:tc>
          <w:tcPr>
            <w:tcW w:w="2478" w:type="dxa"/>
            <w:shd w:val="clear" w:color="auto" w:fill="auto"/>
          </w:tcPr>
          <w:p w14:paraId="30CEB734" w14:textId="3ACC2906"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KPFI</w:t>
            </w:r>
            <w:r w:rsidR="004F38F1" w:rsidRPr="001E48AC">
              <w:rPr>
                <w:rFonts w:cs="Times New Roman"/>
                <w:sz w:val="24"/>
                <w:szCs w:val="24"/>
              </w:rPr>
              <w:t xml:space="preserve">-6 </w:t>
            </w:r>
            <w:r w:rsidRPr="001E48AC">
              <w:rPr>
                <w:rFonts w:cs="Times New Roman"/>
                <w:sz w:val="24"/>
                <w:szCs w:val="24"/>
              </w:rPr>
              <w:t xml:space="preserve"> Projektu konkurss “Kompleksi risinājumi siltumnīcefekta gāzu emisijas samazināšanai ražošanas ēkās” </w:t>
            </w:r>
          </w:p>
        </w:tc>
        <w:tc>
          <w:tcPr>
            <w:tcW w:w="1581" w:type="dxa"/>
            <w:shd w:val="clear" w:color="auto" w:fill="auto"/>
          </w:tcPr>
          <w:p w14:paraId="05570AFA"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13.3</w:t>
            </w:r>
          </w:p>
        </w:tc>
        <w:tc>
          <w:tcPr>
            <w:tcW w:w="1430" w:type="dxa"/>
          </w:tcPr>
          <w:p w14:paraId="774CDE6D" w14:textId="77777777" w:rsidR="002A237E" w:rsidRPr="001E48AC" w:rsidRDefault="002A237E" w:rsidP="002257EC">
            <w:pPr>
              <w:autoSpaceDE w:val="0"/>
              <w:autoSpaceDN w:val="0"/>
              <w:adjustRightInd w:val="0"/>
              <w:spacing w:after="120"/>
              <w:jc w:val="both"/>
              <w:rPr>
                <w:rFonts w:cs="Times New Roman"/>
                <w:sz w:val="24"/>
                <w:szCs w:val="24"/>
              </w:rPr>
            </w:pPr>
          </w:p>
        </w:tc>
        <w:tc>
          <w:tcPr>
            <w:tcW w:w="1672" w:type="dxa"/>
            <w:shd w:val="clear" w:color="auto" w:fill="auto"/>
          </w:tcPr>
          <w:p w14:paraId="5AFDF1FC"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93</w:t>
            </w:r>
          </w:p>
        </w:tc>
        <w:tc>
          <w:tcPr>
            <w:tcW w:w="1570" w:type="dxa"/>
            <w:shd w:val="clear" w:color="auto" w:fill="auto"/>
          </w:tcPr>
          <w:p w14:paraId="5B392A16"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Pasākuma dzīves laiks ir vismaz 7 gadi.</w:t>
            </w:r>
          </w:p>
        </w:tc>
      </w:tr>
      <w:tr w:rsidR="002A237E" w:rsidRPr="001E48AC" w14:paraId="59F680D5" w14:textId="77777777" w:rsidTr="007942A4">
        <w:tc>
          <w:tcPr>
            <w:tcW w:w="2478" w:type="dxa"/>
            <w:shd w:val="clear" w:color="auto" w:fill="auto"/>
          </w:tcPr>
          <w:p w14:paraId="7FC5440A" w14:textId="763CF58D"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KPFI</w:t>
            </w:r>
            <w:r w:rsidR="004F38F1" w:rsidRPr="001E48AC">
              <w:rPr>
                <w:rFonts w:cs="Times New Roman"/>
                <w:sz w:val="24"/>
                <w:szCs w:val="24"/>
              </w:rPr>
              <w:t>-1</w:t>
            </w:r>
            <w:r w:rsidRPr="001E48AC">
              <w:rPr>
                <w:rFonts w:cs="Times New Roman"/>
                <w:sz w:val="24"/>
                <w:szCs w:val="24"/>
              </w:rPr>
              <w:t xml:space="preserve">  Projektu konkurss “Energoefektivitātes paaugstināšana pašvaldību ēkās” </w:t>
            </w:r>
          </w:p>
        </w:tc>
        <w:tc>
          <w:tcPr>
            <w:tcW w:w="1581" w:type="dxa"/>
            <w:shd w:val="clear" w:color="auto" w:fill="auto"/>
          </w:tcPr>
          <w:p w14:paraId="4DD026B9"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2.1</w:t>
            </w:r>
          </w:p>
        </w:tc>
        <w:tc>
          <w:tcPr>
            <w:tcW w:w="1430" w:type="dxa"/>
          </w:tcPr>
          <w:p w14:paraId="456A610C" w14:textId="77777777" w:rsidR="002A237E" w:rsidRPr="001E48AC" w:rsidRDefault="002A237E" w:rsidP="002257EC">
            <w:pPr>
              <w:autoSpaceDE w:val="0"/>
              <w:autoSpaceDN w:val="0"/>
              <w:adjustRightInd w:val="0"/>
              <w:spacing w:after="120"/>
              <w:jc w:val="both"/>
              <w:rPr>
                <w:rFonts w:cs="Times New Roman"/>
                <w:sz w:val="24"/>
                <w:szCs w:val="24"/>
              </w:rPr>
            </w:pPr>
          </w:p>
        </w:tc>
        <w:tc>
          <w:tcPr>
            <w:tcW w:w="1672" w:type="dxa"/>
            <w:shd w:val="clear" w:color="auto" w:fill="auto"/>
          </w:tcPr>
          <w:p w14:paraId="1D19DB09"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15</w:t>
            </w:r>
          </w:p>
        </w:tc>
        <w:tc>
          <w:tcPr>
            <w:tcW w:w="1570" w:type="dxa"/>
            <w:shd w:val="clear" w:color="auto" w:fill="auto"/>
          </w:tcPr>
          <w:p w14:paraId="03F49B4D"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Pasākuma dzīves laiks ir vismaz 7 gadi.</w:t>
            </w:r>
          </w:p>
        </w:tc>
      </w:tr>
      <w:tr w:rsidR="002A237E" w:rsidRPr="001E48AC" w14:paraId="5D32D789" w14:textId="77777777" w:rsidTr="007942A4">
        <w:tc>
          <w:tcPr>
            <w:tcW w:w="2478" w:type="dxa"/>
            <w:shd w:val="clear" w:color="auto" w:fill="auto"/>
          </w:tcPr>
          <w:p w14:paraId="60B95D7E" w14:textId="4793079E"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 xml:space="preserve">Valsts institūciju īpašumā esošo ēku renovācija no valsts </w:t>
            </w:r>
            <w:r w:rsidR="004F38F1" w:rsidRPr="001E48AC">
              <w:rPr>
                <w:rFonts w:cs="Times New Roman"/>
                <w:sz w:val="24"/>
                <w:szCs w:val="24"/>
              </w:rPr>
              <w:t xml:space="preserve">budžeta </w:t>
            </w:r>
            <w:r w:rsidRPr="001E48AC">
              <w:rPr>
                <w:rFonts w:cs="Times New Roman"/>
                <w:sz w:val="24"/>
                <w:szCs w:val="24"/>
              </w:rPr>
              <w:t>atbalsta programmām</w:t>
            </w:r>
          </w:p>
        </w:tc>
        <w:tc>
          <w:tcPr>
            <w:tcW w:w="1581" w:type="dxa"/>
            <w:shd w:val="clear" w:color="auto" w:fill="auto"/>
          </w:tcPr>
          <w:p w14:paraId="42449D1D"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2.7</w:t>
            </w:r>
          </w:p>
        </w:tc>
        <w:tc>
          <w:tcPr>
            <w:tcW w:w="1430" w:type="dxa"/>
          </w:tcPr>
          <w:p w14:paraId="5D4C426A" w14:textId="77777777" w:rsidR="002A237E" w:rsidRPr="001E48AC" w:rsidRDefault="002A237E" w:rsidP="002257EC">
            <w:pPr>
              <w:autoSpaceDE w:val="0"/>
              <w:autoSpaceDN w:val="0"/>
              <w:adjustRightInd w:val="0"/>
              <w:spacing w:after="120"/>
              <w:jc w:val="both"/>
              <w:rPr>
                <w:rFonts w:cs="Times New Roman"/>
                <w:sz w:val="24"/>
                <w:szCs w:val="24"/>
              </w:rPr>
            </w:pPr>
          </w:p>
        </w:tc>
        <w:tc>
          <w:tcPr>
            <w:tcW w:w="1672" w:type="dxa"/>
            <w:shd w:val="clear" w:color="auto" w:fill="auto"/>
          </w:tcPr>
          <w:p w14:paraId="519CD764"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19</w:t>
            </w:r>
          </w:p>
        </w:tc>
        <w:tc>
          <w:tcPr>
            <w:tcW w:w="1570" w:type="dxa"/>
            <w:shd w:val="clear" w:color="auto" w:fill="auto"/>
          </w:tcPr>
          <w:p w14:paraId="08FFECFA"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Pasākuma dzīves laiks ir vismaz 7 gadi.</w:t>
            </w:r>
          </w:p>
        </w:tc>
      </w:tr>
      <w:tr w:rsidR="002A237E" w:rsidRPr="001E48AC" w14:paraId="231E7156" w14:textId="77777777" w:rsidTr="007942A4">
        <w:tc>
          <w:tcPr>
            <w:tcW w:w="2478" w:type="dxa"/>
            <w:shd w:val="clear" w:color="auto" w:fill="auto"/>
            <w:vAlign w:val="center"/>
          </w:tcPr>
          <w:p w14:paraId="02837CC3" w14:textId="1BA52BDE" w:rsidR="002A237E" w:rsidRPr="001E48AC" w:rsidRDefault="002A237E" w:rsidP="002257EC">
            <w:pPr>
              <w:autoSpaceDE w:val="0"/>
              <w:autoSpaceDN w:val="0"/>
              <w:adjustRightInd w:val="0"/>
              <w:rPr>
                <w:rFonts w:eastAsia="Calibri" w:cs="Times New Roman"/>
                <w:sz w:val="24"/>
                <w:szCs w:val="24"/>
              </w:rPr>
            </w:pPr>
            <w:r w:rsidRPr="001E48AC">
              <w:rPr>
                <w:rFonts w:eastAsia="Calibri" w:cs="Times New Roman"/>
                <w:sz w:val="24"/>
                <w:szCs w:val="24"/>
              </w:rPr>
              <w:lastRenderedPageBreak/>
              <w:t>Darbības programmas "Infrastruktūra un pakalpojumi" papildinājuma 3.4. prioritātes "Kvalitatīvas vides dzīvei un ekonomiskai aktivitātei nodrošināšana" 3.4.4. pasākuma "Mājokļa energoefektivitāte" 3.4.4.1. aktivitāte "Daudzdzīvokļu māju siltumnoturības uzlabošanas pasākumi"</w:t>
            </w:r>
          </w:p>
          <w:p w14:paraId="0955FE17" w14:textId="77777777" w:rsidR="002A237E" w:rsidRPr="001E48AC" w:rsidRDefault="002A237E" w:rsidP="002257EC">
            <w:pPr>
              <w:autoSpaceDE w:val="0"/>
              <w:autoSpaceDN w:val="0"/>
              <w:adjustRightInd w:val="0"/>
              <w:rPr>
                <w:rFonts w:eastAsia="Calibri" w:cs="Times New Roman"/>
                <w:sz w:val="24"/>
                <w:szCs w:val="24"/>
              </w:rPr>
            </w:pPr>
            <w:r w:rsidRPr="001E48AC">
              <w:rPr>
                <w:rFonts w:eastAsia="Calibri" w:cs="Times New Roman"/>
                <w:sz w:val="24"/>
                <w:szCs w:val="24"/>
              </w:rPr>
              <w:t>un</w:t>
            </w:r>
          </w:p>
          <w:p w14:paraId="43016324" w14:textId="0BE50B8E" w:rsidR="002A237E" w:rsidRPr="001E48AC" w:rsidRDefault="002A237E" w:rsidP="002257EC">
            <w:pPr>
              <w:autoSpaceDE w:val="0"/>
              <w:autoSpaceDN w:val="0"/>
              <w:adjustRightInd w:val="0"/>
              <w:rPr>
                <w:rFonts w:eastAsia="Calibri" w:cs="Times New Roman"/>
                <w:sz w:val="24"/>
                <w:szCs w:val="24"/>
              </w:rPr>
            </w:pPr>
            <w:r w:rsidRPr="001E48AC">
              <w:rPr>
                <w:rFonts w:eastAsia="Calibri" w:cs="Times New Roman"/>
                <w:sz w:val="24"/>
                <w:szCs w:val="24"/>
              </w:rPr>
              <w:t>3.4.4.2. aktivitāte "Sociālo dzīvojamo māju siltumnoturības uzlabošanas pasākumi"</w:t>
            </w:r>
          </w:p>
        </w:tc>
        <w:tc>
          <w:tcPr>
            <w:tcW w:w="1581" w:type="dxa"/>
            <w:shd w:val="clear" w:color="auto" w:fill="auto"/>
          </w:tcPr>
          <w:p w14:paraId="2745420C"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23</w:t>
            </w:r>
          </w:p>
        </w:tc>
        <w:tc>
          <w:tcPr>
            <w:tcW w:w="1430" w:type="dxa"/>
          </w:tcPr>
          <w:p w14:paraId="27039915"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23.3</w:t>
            </w:r>
          </w:p>
        </w:tc>
        <w:tc>
          <w:tcPr>
            <w:tcW w:w="1672" w:type="dxa"/>
            <w:shd w:val="clear" w:color="auto" w:fill="auto"/>
          </w:tcPr>
          <w:p w14:paraId="5014827C"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301</w:t>
            </w:r>
          </w:p>
        </w:tc>
        <w:tc>
          <w:tcPr>
            <w:tcW w:w="1570" w:type="dxa"/>
            <w:shd w:val="clear" w:color="auto" w:fill="auto"/>
          </w:tcPr>
          <w:p w14:paraId="3DDEB04E" w14:textId="77777777" w:rsidR="002A237E" w:rsidRPr="001E48AC" w:rsidRDefault="002A237E" w:rsidP="002257EC">
            <w:pPr>
              <w:autoSpaceDE w:val="0"/>
              <w:autoSpaceDN w:val="0"/>
              <w:adjustRightInd w:val="0"/>
              <w:spacing w:after="120"/>
              <w:jc w:val="both"/>
              <w:rPr>
                <w:rFonts w:cs="Times New Roman"/>
                <w:sz w:val="24"/>
                <w:szCs w:val="24"/>
              </w:rPr>
            </w:pPr>
            <w:r w:rsidRPr="001E48AC">
              <w:rPr>
                <w:rFonts w:cs="Times New Roman"/>
                <w:sz w:val="24"/>
                <w:szCs w:val="24"/>
              </w:rPr>
              <w:t>Pasākuma dzīves laiks ir vismaz 7 gadi.</w:t>
            </w:r>
          </w:p>
        </w:tc>
      </w:tr>
      <w:tr w:rsidR="002A237E" w:rsidRPr="001E48AC" w14:paraId="76E1F469" w14:textId="77777777" w:rsidTr="007942A4">
        <w:tc>
          <w:tcPr>
            <w:tcW w:w="2478" w:type="dxa"/>
            <w:shd w:val="clear" w:color="auto" w:fill="auto"/>
          </w:tcPr>
          <w:p w14:paraId="61EEB147" w14:textId="77777777" w:rsidR="002A237E" w:rsidRPr="001E48AC" w:rsidRDefault="002A237E" w:rsidP="002257EC">
            <w:pPr>
              <w:autoSpaceDE w:val="0"/>
              <w:autoSpaceDN w:val="0"/>
              <w:adjustRightInd w:val="0"/>
              <w:spacing w:after="120"/>
              <w:jc w:val="both"/>
              <w:rPr>
                <w:rFonts w:cs="Times New Roman"/>
                <w:b/>
                <w:sz w:val="24"/>
                <w:szCs w:val="24"/>
              </w:rPr>
            </w:pPr>
            <w:r w:rsidRPr="001E48AC">
              <w:rPr>
                <w:rFonts w:cs="Times New Roman"/>
                <w:b/>
                <w:sz w:val="24"/>
                <w:szCs w:val="24"/>
              </w:rPr>
              <w:t>Kopā</w:t>
            </w:r>
          </w:p>
        </w:tc>
        <w:tc>
          <w:tcPr>
            <w:tcW w:w="1581" w:type="dxa"/>
            <w:shd w:val="clear" w:color="auto" w:fill="auto"/>
          </w:tcPr>
          <w:p w14:paraId="1D13E41C" w14:textId="77777777" w:rsidR="002A237E" w:rsidRPr="001E48AC" w:rsidRDefault="002A237E" w:rsidP="002257EC">
            <w:pPr>
              <w:autoSpaceDE w:val="0"/>
              <w:autoSpaceDN w:val="0"/>
              <w:adjustRightInd w:val="0"/>
              <w:spacing w:after="120"/>
              <w:jc w:val="both"/>
              <w:rPr>
                <w:rFonts w:cs="Times New Roman"/>
                <w:b/>
                <w:sz w:val="24"/>
                <w:szCs w:val="24"/>
              </w:rPr>
            </w:pPr>
            <w:r w:rsidRPr="001E48AC">
              <w:rPr>
                <w:rFonts w:cs="Times New Roman"/>
                <w:b/>
                <w:sz w:val="24"/>
                <w:szCs w:val="24"/>
              </w:rPr>
              <w:t>132</w:t>
            </w:r>
          </w:p>
        </w:tc>
        <w:tc>
          <w:tcPr>
            <w:tcW w:w="1430" w:type="dxa"/>
          </w:tcPr>
          <w:p w14:paraId="1F22CE8E" w14:textId="77777777" w:rsidR="002A237E" w:rsidRPr="001E48AC" w:rsidRDefault="002A237E" w:rsidP="002257EC">
            <w:pPr>
              <w:autoSpaceDE w:val="0"/>
              <w:autoSpaceDN w:val="0"/>
              <w:adjustRightInd w:val="0"/>
              <w:spacing w:after="120"/>
              <w:jc w:val="both"/>
              <w:rPr>
                <w:rFonts w:cs="Times New Roman"/>
                <w:b/>
                <w:sz w:val="24"/>
                <w:szCs w:val="24"/>
              </w:rPr>
            </w:pPr>
            <w:r w:rsidRPr="001E48AC">
              <w:rPr>
                <w:rFonts w:cs="Times New Roman"/>
                <w:b/>
                <w:sz w:val="24"/>
                <w:szCs w:val="24"/>
              </w:rPr>
              <w:t>86.7</w:t>
            </w:r>
          </w:p>
        </w:tc>
        <w:tc>
          <w:tcPr>
            <w:tcW w:w="1672" w:type="dxa"/>
            <w:shd w:val="clear" w:color="auto" w:fill="auto"/>
          </w:tcPr>
          <w:p w14:paraId="155AE2E6" w14:textId="77777777" w:rsidR="002A237E" w:rsidRPr="001E48AC" w:rsidRDefault="002A237E" w:rsidP="002257EC">
            <w:pPr>
              <w:autoSpaceDE w:val="0"/>
              <w:autoSpaceDN w:val="0"/>
              <w:adjustRightInd w:val="0"/>
              <w:spacing w:after="120"/>
              <w:jc w:val="both"/>
              <w:rPr>
                <w:rFonts w:cs="Times New Roman"/>
                <w:b/>
                <w:sz w:val="24"/>
                <w:szCs w:val="24"/>
              </w:rPr>
            </w:pPr>
            <w:r w:rsidRPr="001E48AC">
              <w:rPr>
                <w:rFonts w:cs="Times New Roman"/>
                <w:b/>
                <w:sz w:val="24"/>
                <w:szCs w:val="24"/>
              </w:rPr>
              <w:t>1444</w:t>
            </w:r>
          </w:p>
        </w:tc>
        <w:tc>
          <w:tcPr>
            <w:tcW w:w="1570" w:type="dxa"/>
            <w:shd w:val="clear" w:color="auto" w:fill="auto"/>
          </w:tcPr>
          <w:p w14:paraId="5ABF45B4" w14:textId="77777777" w:rsidR="002A237E" w:rsidRPr="001E48AC" w:rsidRDefault="002A237E" w:rsidP="002257EC">
            <w:pPr>
              <w:autoSpaceDE w:val="0"/>
              <w:autoSpaceDN w:val="0"/>
              <w:adjustRightInd w:val="0"/>
              <w:spacing w:after="120"/>
              <w:jc w:val="both"/>
              <w:rPr>
                <w:rFonts w:cs="Times New Roman"/>
                <w:sz w:val="24"/>
                <w:szCs w:val="24"/>
              </w:rPr>
            </w:pPr>
          </w:p>
        </w:tc>
      </w:tr>
    </w:tbl>
    <w:p w14:paraId="22F39EE3" w14:textId="77777777" w:rsidR="001D2C6E" w:rsidRPr="001E48AC" w:rsidRDefault="001D2C6E" w:rsidP="00B9367D">
      <w:pPr>
        <w:autoSpaceDE w:val="0"/>
        <w:autoSpaceDN w:val="0"/>
        <w:adjustRightInd w:val="0"/>
        <w:spacing w:after="0" w:line="240" w:lineRule="auto"/>
        <w:ind w:firstLine="720"/>
        <w:jc w:val="both"/>
        <w:rPr>
          <w:rFonts w:cs="Times New Roman"/>
          <w:szCs w:val="28"/>
        </w:rPr>
      </w:pPr>
    </w:p>
    <w:p w14:paraId="6D1EA6BB" w14:textId="54BAF270" w:rsidR="002A237E" w:rsidRPr="001E48AC" w:rsidRDefault="002257EC" w:rsidP="00B9367D">
      <w:pPr>
        <w:autoSpaceDE w:val="0"/>
        <w:autoSpaceDN w:val="0"/>
        <w:adjustRightInd w:val="0"/>
        <w:spacing w:after="0" w:line="240" w:lineRule="auto"/>
        <w:ind w:firstLine="720"/>
        <w:jc w:val="both"/>
        <w:rPr>
          <w:rFonts w:cs="Times New Roman"/>
          <w:szCs w:val="28"/>
        </w:rPr>
      </w:pPr>
      <w:r w:rsidRPr="001E48AC">
        <w:rPr>
          <w:rFonts w:cs="Times New Roman"/>
          <w:szCs w:val="28"/>
        </w:rPr>
        <w:t xml:space="preserve">Iegūtais rezultāts liecina, ka </w:t>
      </w:r>
      <w:r w:rsidR="004F38F1" w:rsidRPr="001E48AC">
        <w:rPr>
          <w:rFonts w:cs="Times New Roman"/>
          <w:szCs w:val="28"/>
        </w:rPr>
        <w:t xml:space="preserve">obligātā mērķa sasniegšanai  līdz 2015.gadam </w:t>
      </w:r>
      <w:r w:rsidRPr="001E48AC">
        <w:rPr>
          <w:rFonts w:cs="Times New Roman"/>
          <w:szCs w:val="28"/>
        </w:rPr>
        <w:t>ieviestie</w:t>
      </w:r>
      <w:r w:rsidR="002A237E" w:rsidRPr="001E48AC">
        <w:rPr>
          <w:rFonts w:cs="Times New Roman"/>
          <w:szCs w:val="28"/>
        </w:rPr>
        <w:t xml:space="preserve"> ener</w:t>
      </w:r>
      <w:r w:rsidRPr="001E48AC">
        <w:rPr>
          <w:rFonts w:cs="Times New Roman"/>
          <w:szCs w:val="28"/>
        </w:rPr>
        <w:t>goefektivitātes</w:t>
      </w:r>
      <w:r w:rsidR="002A237E" w:rsidRPr="001E48AC">
        <w:rPr>
          <w:rFonts w:cs="Times New Roman"/>
          <w:szCs w:val="28"/>
        </w:rPr>
        <w:t xml:space="preserve"> pasākum</w:t>
      </w:r>
      <w:r w:rsidRPr="001E48AC">
        <w:rPr>
          <w:rFonts w:cs="Times New Roman"/>
          <w:szCs w:val="28"/>
        </w:rPr>
        <w:t xml:space="preserve">i </w:t>
      </w:r>
      <w:r w:rsidR="004F38F1" w:rsidRPr="001E48AC">
        <w:rPr>
          <w:rFonts w:cs="Times New Roman"/>
          <w:szCs w:val="28"/>
        </w:rPr>
        <w:t xml:space="preserve">līdz 2020.gadam </w:t>
      </w:r>
      <w:r w:rsidRPr="001E48AC">
        <w:rPr>
          <w:rFonts w:cs="Times New Roman"/>
          <w:szCs w:val="28"/>
        </w:rPr>
        <w:t xml:space="preserve">veido </w:t>
      </w:r>
      <w:r w:rsidR="002A237E" w:rsidRPr="001E48AC">
        <w:rPr>
          <w:rFonts w:cs="Times New Roman"/>
          <w:szCs w:val="28"/>
        </w:rPr>
        <w:t>kumu</w:t>
      </w:r>
      <w:r w:rsidRPr="001E48AC">
        <w:rPr>
          <w:rFonts w:cs="Times New Roman"/>
          <w:szCs w:val="28"/>
        </w:rPr>
        <w:t>latīv</w:t>
      </w:r>
      <w:r w:rsidR="004F38F1" w:rsidRPr="001E48AC">
        <w:rPr>
          <w:rFonts w:cs="Times New Roman"/>
          <w:szCs w:val="28"/>
        </w:rPr>
        <w:t>o (uzkrāto)</w:t>
      </w:r>
      <w:r w:rsidRPr="001E48AC">
        <w:rPr>
          <w:rFonts w:cs="Times New Roman"/>
          <w:szCs w:val="28"/>
        </w:rPr>
        <w:t xml:space="preserve"> ietaupījumu  </w:t>
      </w:r>
      <w:r w:rsidR="002A237E" w:rsidRPr="001E48AC">
        <w:rPr>
          <w:rFonts w:cs="Times New Roman"/>
          <w:b/>
          <w:szCs w:val="28"/>
        </w:rPr>
        <w:t>1444</w:t>
      </w:r>
      <w:r w:rsidRPr="001E48AC">
        <w:rPr>
          <w:rFonts w:cs="Times New Roman"/>
          <w:b/>
          <w:szCs w:val="28"/>
        </w:rPr>
        <w:t xml:space="preserve"> GWh </w:t>
      </w:r>
      <w:r w:rsidR="00A54403" w:rsidRPr="001E48AC">
        <w:rPr>
          <w:rFonts w:cs="Times New Roman"/>
          <w:b/>
          <w:szCs w:val="28"/>
        </w:rPr>
        <w:t xml:space="preserve">vai 14,6% </w:t>
      </w:r>
      <w:r w:rsidRPr="001E48AC">
        <w:rPr>
          <w:rFonts w:cs="Times New Roman"/>
          <w:b/>
          <w:szCs w:val="28"/>
        </w:rPr>
        <w:t>apjomā</w:t>
      </w:r>
      <w:r w:rsidR="00A54403" w:rsidRPr="001E48AC">
        <w:rPr>
          <w:rFonts w:cs="Times New Roman"/>
          <w:szCs w:val="28"/>
        </w:rPr>
        <w:t>.</w:t>
      </w:r>
    </w:p>
    <w:p w14:paraId="6DE4A1F1" w14:textId="601D0788" w:rsidR="004C11BC" w:rsidRPr="001E48AC" w:rsidRDefault="004C11BC" w:rsidP="00685686">
      <w:pPr>
        <w:spacing w:after="0" w:line="240" w:lineRule="auto"/>
        <w:ind w:firstLine="720"/>
        <w:jc w:val="both"/>
        <w:rPr>
          <w:rStyle w:val="Emphasis"/>
          <w:rFonts w:eastAsia="Calibri" w:cs="Times New Roman"/>
          <w:i w:val="0"/>
          <w:szCs w:val="28"/>
        </w:rPr>
      </w:pPr>
      <w:r w:rsidRPr="001E48AC">
        <w:rPr>
          <w:rStyle w:val="Emphasis"/>
          <w:rFonts w:eastAsia="Calibri" w:cs="Times New Roman"/>
          <w:i w:val="0"/>
          <w:szCs w:val="28"/>
        </w:rPr>
        <w:t>Lielākie enerģijas galapatēriņa ietaupījumi ir iegūti</w:t>
      </w:r>
      <w:r w:rsidR="00C32191" w:rsidRPr="001E48AC">
        <w:rPr>
          <w:rStyle w:val="Emphasis"/>
          <w:rFonts w:eastAsia="Calibri" w:cs="Times New Roman"/>
          <w:i w:val="0"/>
          <w:szCs w:val="28"/>
        </w:rPr>
        <w:t xml:space="preserve">, veicot pasākumus </w:t>
      </w:r>
      <w:r w:rsidRPr="001E48AC">
        <w:rPr>
          <w:rStyle w:val="Emphasis"/>
          <w:rFonts w:eastAsia="Calibri" w:cs="Times New Roman"/>
          <w:i w:val="0"/>
          <w:szCs w:val="28"/>
        </w:rPr>
        <w:t xml:space="preserve">dažādu enerģijas galapatēriņa sektoru ēkās, veicot to pilnīgu vai daļēju renovāciju. </w:t>
      </w:r>
      <w:r w:rsidR="004F38F1" w:rsidRPr="001E48AC">
        <w:rPr>
          <w:rStyle w:val="Emphasis"/>
          <w:rFonts w:eastAsia="Calibri" w:cs="Times New Roman"/>
          <w:i w:val="0"/>
          <w:szCs w:val="28"/>
        </w:rPr>
        <w:t xml:space="preserve">Kumulatīvā (uzkrātā) </w:t>
      </w:r>
      <w:r w:rsidR="00C32191" w:rsidRPr="001E48AC">
        <w:rPr>
          <w:rStyle w:val="Emphasis"/>
          <w:rFonts w:eastAsia="Calibri" w:cs="Times New Roman"/>
          <w:i w:val="0"/>
          <w:szCs w:val="28"/>
        </w:rPr>
        <w:t xml:space="preserve">ietaupījuma sadalījums pa enerģijas galapatēriņa sektoriem </w:t>
      </w:r>
    </w:p>
    <w:p w14:paraId="54B6D4B5" w14:textId="77777777" w:rsidR="00685686" w:rsidRPr="001E48AC" w:rsidRDefault="00685686" w:rsidP="00685686">
      <w:pPr>
        <w:spacing w:after="0" w:line="240" w:lineRule="auto"/>
        <w:ind w:firstLine="720"/>
        <w:jc w:val="both"/>
        <w:rPr>
          <w:rStyle w:val="Emphasis"/>
          <w:rFonts w:eastAsia="Calibri" w:cs="Times New Roman"/>
          <w:i w:val="0"/>
          <w:szCs w:val="28"/>
        </w:rPr>
      </w:pPr>
    </w:p>
    <w:p w14:paraId="4BEF344A" w14:textId="77777777" w:rsidR="002A237E" w:rsidRPr="001E48AC" w:rsidRDefault="002257EC" w:rsidP="007942A4">
      <w:pPr>
        <w:autoSpaceDE w:val="0"/>
        <w:autoSpaceDN w:val="0"/>
        <w:adjustRightInd w:val="0"/>
        <w:spacing w:after="0" w:line="240" w:lineRule="auto"/>
        <w:jc w:val="center"/>
        <w:rPr>
          <w:rFonts w:cs="Times New Roman"/>
          <w:szCs w:val="28"/>
        </w:rPr>
      </w:pPr>
      <w:r w:rsidRPr="001E48AC">
        <w:rPr>
          <w:rFonts w:cs="Times New Roman"/>
          <w:noProof/>
          <w:szCs w:val="28"/>
          <w:lang w:eastAsia="lv-LV"/>
        </w:rPr>
        <w:lastRenderedPageBreak/>
        <w:drawing>
          <wp:inline distT="0" distB="0" distL="0" distR="0" wp14:anchorId="273084A7" wp14:editId="0B5DBF75">
            <wp:extent cx="5021676" cy="3011759"/>
            <wp:effectExtent l="19050" t="0" r="7524"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5019713" cy="3010582"/>
                    </a:xfrm>
                    <a:prstGeom prst="rect">
                      <a:avLst/>
                    </a:prstGeom>
                    <a:noFill/>
                    <a:ln w="9525">
                      <a:noFill/>
                      <a:miter lim="800000"/>
                      <a:headEnd/>
                      <a:tailEnd/>
                    </a:ln>
                  </pic:spPr>
                </pic:pic>
              </a:graphicData>
            </a:graphic>
          </wp:inline>
        </w:drawing>
      </w:r>
    </w:p>
    <w:p w14:paraId="23BCC8A7" w14:textId="078249AF" w:rsidR="00C32191" w:rsidRPr="001E48AC" w:rsidRDefault="00C32191" w:rsidP="007942A4">
      <w:pPr>
        <w:spacing w:after="0" w:line="240" w:lineRule="auto"/>
        <w:jc w:val="center"/>
        <w:rPr>
          <w:rFonts w:cs="Times New Roman"/>
          <w:b/>
          <w:szCs w:val="28"/>
          <w:lang w:bidi="en-US"/>
        </w:rPr>
      </w:pPr>
      <w:bookmarkStart w:id="11" w:name="_Toc478630340"/>
      <w:r w:rsidRPr="001E48AC">
        <w:rPr>
          <w:rFonts w:cs="Times New Roman"/>
          <w:b/>
          <w:szCs w:val="28"/>
          <w:lang w:bidi="en-US"/>
        </w:rPr>
        <w:t>2.attēls. Aprēķinātā kumulatīvā (uzkrātā) ietaupījuma sadalījums pa enerģijas galapatēriņa sektoriem</w:t>
      </w:r>
    </w:p>
    <w:p w14:paraId="2C51859C" w14:textId="77777777" w:rsidR="001D2C6E" w:rsidRPr="001E48AC" w:rsidRDefault="001D2C6E" w:rsidP="007942A4">
      <w:pPr>
        <w:spacing w:after="0" w:line="240" w:lineRule="auto"/>
        <w:jc w:val="center"/>
        <w:rPr>
          <w:rFonts w:cs="Times New Roman"/>
          <w:b/>
          <w:szCs w:val="28"/>
          <w:lang w:bidi="en-US"/>
        </w:rPr>
      </w:pPr>
    </w:p>
    <w:bookmarkEnd w:id="11"/>
    <w:p w14:paraId="70DFFE2D" w14:textId="3FF5EDCA" w:rsidR="001D2C6E" w:rsidRPr="001E48AC" w:rsidRDefault="000F54C5" w:rsidP="000F54C5">
      <w:pPr>
        <w:spacing w:after="0" w:line="240" w:lineRule="auto"/>
        <w:jc w:val="both"/>
        <w:rPr>
          <w:rFonts w:eastAsiaTheme="majorEastAsia" w:cstheme="majorBidi"/>
          <w:b/>
          <w:bCs/>
          <w:szCs w:val="28"/>
        </w:rPr>
      </w:pPr>
      <w:r w:rsidRPr="001E48AC">
        <w:t>Tā kā enerģētika ir viena no tautsaimniecības nozarēm, kurā notiek  SEG emisiju inventarizācija, tad energoefektivitātes pasākumu, tai skaitā šajā ziņojumā minēto pasākumu  ieviešanai ir būtiska nozīme SEG emisiju samazināšanā. Energoefektivitātes ietekme uz SEG emisiju samazinājumu atspoguļojas ikgadējā Latvijas SEG inventarizācijā, savukārt energoefektivitātes, kā pasākuma novērtējums  ir iekļauts ziņojumā par politikām, pasākumiem un SEG prognozēm, kurš tiek sagatavots un iesniegts katru otro gadu. Iepriekš minētos ziņojumus  sadarbībā ar citām institūcijām sagatavo un ANO Vispārējās konvencijas par klimata pārmaiņām sekretariātam iesniedz Vides aizsardzības un reģionālās attīstības ministrija</w:t>
      </w:r>
      <w:r w:rsidRPr="001E48AC">
        <w:rPr>
          <w:rStyle w:val="FootnoteReference"/>
        </w:rPr>
        <w:footnoteReference w:id="14"/>
      </w:r>
      <w:r w:rsidRPr="001E48AC">
        <w:t>. Energoefektivitātes pasākumu īstenošana sekmē ne tikai Latvijas mērķu sasniegšanu energoefektivitātes jomā, bet arī Latvijas klimata mērķu, t.i. siltumnīcefekta gāzu (SEG) emisiju samazināšanas mērķu izpildi. Līdz ar to informatīvajā ziņojumā iekļautā informācija ir būtisks jautājums arī klimata pārmaiņu politikas kontekstā.</w:t>
      </w:r>
      <w:r w:rsidR="001D2C6E" w:rsidRPr="001E48AC">
        <w:rPr>
          <w:rFonts w:eastAsiaTheme="majorEastAsia" w:cstheme="majorBidi"/>
          <w:b/>
          <w:bCs/>
          <w:szCs w:val="28"/>
        </w:rPr>
        <w:br w:type="page"/>
      </w:r>
    </w:p>
    <w:p w14:paraId="4D0528DB" w14:textId="503B0507" w:rsidR="00AA70E3" w:rsidRPr="001E48AC" w:rsidRDefault="00AA70E3" w:rsidP="007942A4">
      <w:pPr>
        <w:pStyle w:val="Heading1"/>
        <w:rPr>
          <w:color w:val="auto"/>
        </w:rPr>
      </w:pPr>
      <w:bookmarkStart w:id="12" w:name="_Toc482711523"/>
      <w:r w:rsidRPr="001E48AC">
        <w:rPr>
          <w:color w:val="auto"/>
        </w:rPr>
        <w:lastRenderedPageBreak/>
        <w:t>3. E</w:t>
      </w:r>
      <w:r w:rsidR="001A3FA9" w:rsidRPr="001E48AC">
        <w:rPr>
          <w:color w:val="auto"/>
        </w:rPr>
        <w:t>NERGOEFEKTIVITĀTES</w:t>
      </w:r>
      <w:r w:rsidRPr="001E48AC">
        <w:rPr>
          <w:color w:val="auto"/>
        </w:rPr>
        <w:t xml:space="preserve"> POLITIKAS PASĀKUMU ĪSTENOŠANA</w:t>
      </w:r>
      <w:bookmarkEnd w:id="12"/>
    </w:p>
    <w:p w14:paraId="59FD28E8" w14:textId="6288FA9C" w:rsidR="00AA70E3" w:rsidRPr="001E48AC" w:rsidRDefault="00AA70E3" w:rsidP="000963DC">
      <w:pPr>
        <w:pStyle w:val="Heading2"/>
        <w:rPr>
          <w:color w:val="auto"/>
        </w:rPr>
      </w:pPr>
      <w:bookmarkStart w:id="13" w:name="_Toc482711524"/>
      <w:r w:rsidRPr="001E48AC">
        <w:rPr>
          <w:color w:val="auto"/>
        </w:rPr>
        <w:t>3.1. Horizontālie pasākumi</w:t>
      </w:r>
      <w:bookmarkEnd w:id="13"/>
    </w:p>
    <w:p w14:paraId="601733D5" w14:textId="2411CEA9" w:rsidR="00611B34" w:rsidRPr="001E48AC" w:rsidRDefault="00AA70E3" w:rsidP="007942A4">
      <w:pPr>
        <w:pStyle w:val="Heading3"/>
        <w:rPr>
          <w:rStyle w:val="Heading3Char"/>
          <w:b/>
          <w:bCs/>
          <w:color w:val="auto"/>
        </w:rPr>
      </w:pPr>
      <w:bookmarkStart w:id="14" w:name="_Toc482711525"/>
      <w:r w:rsidRPr="001E48AC">
        <w:rPr>
          <w:rStyle w:val="Heading3Char"/>
          <w:b/>
          <w:bCs/>
          <w:color w:val="auto"/>
        </w:rPr>
        <w:t xml:space="preserve">3.1.1. </w:t>
      </w:r>
      <w:r w:rsidR="00611B34" w:rsidRPr="001E48AC">
        <w:rPr>
          <w:rStyle w:val="Heading3Char"/>
          <w:b/>
          <w:bCs/>
          <w:color w:val="auto"/>
        </w:rPr>
        <w:t xml:space="preserve">Enerģijas ietaupījuma </w:t>
      </w:r>
      <w:r w:rsidR="00611B34" w:rsidRPr="001E48AC">
        <w:rPr>
          <w:color w:val="auto"/>
        </w:rPr>
        <w:t>apjoms pienākuma</w:t>
      </w:r>
      <w:r w:rsidR="00611B34" w:rsidRPr="001E48AC">
        <w:rPr>
          <w:rStyle w:val="Heading3Char"/>
          <w:b/>
          <w:bCs/>
          <w:color w:val="auto"/>
        </w:rPr>
        <w:t xml:space="preserve"> periodā</w:t>
      </w:r>
      <w:bookmarkEnd w:id="14"/>
    </w:p>
    <w:p w14:paraId="752C4D44" w14:textId="5E2E92D9" w:rsidR="001A3FA9" w:rsidRPr="001E48AC" w:rsidRDefault="00791DBA" w:rsidP="001D3038">
      <w:pPr>
        <w:spacing w:after="0" w:line="240" w:lineRule="auto"/>
        <w:jc w:val="both"/>
        <w:rPr>
          <w:rFonts w:cs="Times New Roman"/>
          <w:szCs w:val="28"/>
        </w:rPr>
      </w:pPr>
      <w:r w:rsidRPr="001E48AC">
        <w:rPr>
          <w:rFonts w:eastAsia="Times New Roman" w:cs="Times New Roman"/>
          <w:szCs w:val="28"/>
          <w:lang w:eastAsia="lv-LV"/>
        </w:rPr>
        <w:tab/>
      </w:r>
      <w:r w:rsidR="00A47F0E" w:rsidRPr="001E48AC">
        <w:rPr>
          <w:rFonts w:eastAsia="Times New Roman" w:cs="Times New Roman"/>
          <w:szCs w:val="28"/>
          <w:lang w:eastAsia="lv-LV"/>
        </w:rPr>
        <w:t>Direktīva</w:t>
      </w:r>
      <w:r w:rsidR="00572326" w:rsidRPr="001E48AC">
        <w:rPr>
          <w:rFonts w:eastAsia="Times New Roman" w:cs="Times New Roman"/>
          <w:szCs w:val="28"/>
          <w:lang w:eastAsia="lv-LV"/>
        </w:rPr>
        <w:t>s</w:t>
      </w:r>
      <w:r w:rsidR="00A47F0E" w:rsidRPr="001E48AC">
        <w:rPr>
          <w:rFonts w:eastAsia="Times New Roman" w:cs="Times New Roman"/>
          <w:szCs w:val="28"/>
          <w:lang w:eastAsia="lv-LV"/>
        </w:rPr>
        <w:t xml:space="preserve"> 2012/27/ES</w:t>
      </w:r>
      <w:r w:rsidR="00572326" w:rsidRPr="001E48AC">
        <w:rPr>
          <w:rFonts w:eastAsia="Times New Roman" w:cs="Times New Roman"/>
          <w:szCs w:val="28"/>
          <w:lang w:eastAsia="lv-LV"/>
        </w:rPr>
        <w:t xml:space="preserve"> 7.</w:t>
      </w:r>
      <w:r w:rsidR="007F7ECF" w:rsidRPr="001E48AC">
        <w:rPr>
          <w:rFonts w:eastAsia="Times New Roman" w:cs="Times New Roman"/>
          <w:szCs w:val="28"/>
          <w:lang w:eastAsia="lv-LV"/>
        </w:rPr>
        <w:t> </w:t>
      </w:r>
      <w:r w:rsidR="00C32191" w:rsidRPr="001E48AC">
        <w:rPr>
          <w:rFonts w:eastAsia="Times New Roman" w:cs="Times New Roman"/>
          <w:szCs w:val="28"/>
          <w:lang w:eastAsia="lv-LV"/>
        </w:rPr>
        <w:t>p</w:t>
      </w:r>
      <w:r w:rsidR="00572326" w:rsidRPr="001E48AC">
        <w:rPr>
          <w:rFonts w:eastAsia="Times New Roman" w:cs="Times New Roman"/>
          <w:szCs w:val="28"/>
          <w:lang w:eastAsia="lv-LV"/>
        </w:rPr>
        <w:t>ants</w:t>
      </w:r>
      <w:r w:rsidR="003834C3" w:rsidRPr="001E48AC">
        <w:rPr>
          <w:rFonts w:eastAsia="Times New Roman" w:cs="Times New Roman"/>
          <w:szCs w:val="28"/>
          <w:lang w:eastAsia="lv-LV"/>
        </w:rPr>
        <w:t xml:space="preserve"> </w:t>
      </w:r>
      <w:r w:rsidR="005E22EF" w:rsidRPr="001E48AC">
        <w:rPr>
          <w:rFonts w:eastAsia="Times New Roman" w:cs="Times New Roman"/>
          <w:szCs w:val="28"/>
          <w:lang w:eastAsia="lv-LV"/>
        </w:rPr>
        <w:t>paredz</w:t>
      </w:r>
      <w:r w:rsidR="00A47F0E" w:rsidRPr="001E48AC">
        <w:rPr>
          <w:rFonts w:eastAsia="Times New Roman" w:cs="Times New Roman"/>
          <w:szCs w:val="28"/>
          <w:lang w:eastAsia="lv-LV"/>
        </w:rPr>
        <w:t xml:space="preserve"> valst</w:t>
      </w:r>
      <w:r w:rsidR="005E22EF" w:rsidRPr="001E48AC">
        <w:rPr>
          <w:rFonts w:eastAsia="Times New Roman" w:cs="Times New Roman"/>
          <w:szCs w:val="28"/>
          <w:lang w:eastAsia="lv-LV"/>
        </w:rPr>
        <w:t>s</w:t>
      </w:r>
      <w:r w:rsidR="00A47F0E" w:rsidRPr="001E48AC">
        <w:rPr>
          <w:rFonts w:eastAsia="Times New Roman" w:cs="Times New Roman"/>
          <w:szCs w:val="28"/>
          <w:lang w:eastAsia="lv-LV"/>
        </w:rPr>
        <w:t xml:space="preserve"> pienākumu </w:t>
      </w:r>
      <w:r w:rsidR="00C32191" w:rsidRPr="001E48AC">
        <w:rPr>
          <w:rFonts w:eastAsia="Times New Roman" w:cs="Times New Roman"/>
          <w:szCs w:val="28"/>
          <w:lang w:eastAsia="lv-LV"/>
        </w:rPr>
        <w:t xml:space="preserve">sasniegt kumulatīvu (uzkrātu) enerģijas </w:t>
      </w:r>
      <w:r w:rsidR="00845D2C" w:rsidRPr="001E48AC">
        <w:rPr>
          <w:rFonts w:eastAsia="Times New Roman" w:cs="Times New Roman"/>
          <w:szCs w:val="28"/>
          <w:lang w:eastAsia="lv-LV"/>
        </w:rPr>
        <w:t xml:space="preserve">galapatēriņa </w:t>
      </w:r>
      <w:r w:rsidR="00C32191" w:rsidRPr="001E48AC">
        <w:rPr>
          <w:rFonts w:eastAsia="Times New Roman" w:cs="Times New Roman"/>
          <w:szCs w:val="28"/>
          <w:lang w:eastAsia="lv-LV"/>
        </w:rPr>
        <w:t>ietaupījum</w:t>
      </w:r>
      <w:r w:rsidR="00845D2C" w:rsidRPr="001E48AC">
        <w:rPr>
          <w:rFonts w:eastAsia="Times New Roman" w:cs="Times New Roman"/>
          <w:szCs w:val="28"/>
          <w:lang w:eastAsia="lv-LV"/>
        </w:rPr>
        <w:t xml:space="preserve">a mērķi (turpmāk - obligātais mērķis). Obligātais mērķis tiek aprēķināts kā ikgadēji </w:t>
      </w:r>
      <w:r w:rsidR="00A47F0E" w:rsidRPr="001E48AC">
        <w:rPr>
          <w:rFonts w:eastAsia="Times New Roman" w:cs="Times New Roman"/>
          <w:szCs w:val="28"/>
          <w:lang w:eastAsia="lv-LV"/>
        </w:rPr>
        <w:t xml:space="preserve">jauni enerģijas ietaupījumi 1,5 % no bāzes vērtības, kuru </w:t>
      </w:r>
      <w:r w:rsidR="00845D2C" w:rsidRPr="001E48AC">
        <w:rPr>
          <w:rFonts w:eastAsia="Times New Roman" w:cs="Times New Roman"/>
          <w:szCs w:val="28"/>
          <w:lang w:eastAsia="lv-LV"/>
        </w:rPr>
        <w:t>nosaka</w:t>
      </w:r>
      <w:r w:rsidR="00A47F0E" w:rsidRPr="001E48AC">
        <w:rPr>
          <w:rFonts w:eastAsia="Times New Roman" w:cs="Times New Roman"/>
          <w:szCs w:val="28"/>
          <w:lang w:eastAsia="lv-LV"/>
        </w:rPr>
        <w:t xml:space="preserve"> kā vidējo no 2010., 2011. un 2012.</w:t>
      </w:r>
      <w:r w:rsidR="00CF55BC" w:rsidRPr="001E48AC">
        <w:rPr>
          <w:rFonts w:eastAsia="Times New Roman" w:cs="Times New Roman"/>
          <w:szCs w:val="28"/>
          <w:lang w:eastAsia="lv-LV"/>
        </w:rPr>
        <w:t> </w:t>
      </w:r>
      <w:r w:rsidR="00A47F0E" w:rsidRPr="001E48AC">
        <w:rPr>
          <w:rFonts w:eastAsia="Times New Roman" w:cs="Times New Roman"/>
          <w:szCs w:val="28"/>
          <w:lang w:eastAsia="lv-LV"/>
        </w:rPr>
        <w:t>gadā galalietotājiem pārdotā enerģijas apjoma. Šī bāzes vērt</w:t>
      </w:r>
      <w:r w:rsidR="00CF55BC" w:rsidRPr="001E48AC">
        <w:rPr>
          <w:rFonts w:eastAsia="Times New Roman" w:cs="Times New Roman"/>
          <w:szCs w:val="28"/>
          <w:lang w:eastAsia="lv-LV"/>
        </w:rPr>
        <w:t>ība paliek nemainīga līdz 2020. </w:t>
      </w:r>
      <w:r w:rsidR="00A47F0E" w:rsidRPr="001E48AC">
        <w:rPr>
          <w:rFonts w:eastAsia="Times New Roman" w:cs="Times New Roman"/>
          <w:szCs w:val="28"/>
          <w:lang w:eastAsia="lv-LV"/>
        </w:rPr>
        <w:t>gada 31.</w:t>
      </w:r>
      <w:r w:rsidR="00CF55BC" w:rsidRPr="001E48AC">
        <w:rPr>
          <w:rFonts w:eastAsia="Times New Roman" w:cs="Times New Roman"/>
          <w:szCs w:val="28"/>
          <w:lang w:eastAsia="lv-LV"/>
        </w:rPr>
        <w:t> </w:t>
      </w:r>
      <w:r w:rsidR="00A47F0E" w:rsidRPr="001E48AC">
        <w:rPr>
          <w:rFonts w:eastAsia="Times New Roman" w:cs="Times New Roman"/>
          <w:szCs w:val="28"/>
          <w:lang w:eastAsia="lv-LV"/>
        </w:rPr>
        <w:t>decembrim.</w:t>
      </w:r>
      <w:r w:rsidR="00DB27AA" w:rsidRPr="001E48AC">
        <w:rPr>
          <w:rFonts w:eastAsia="Times New Roman" w:cs="Times New Roman"/>
          <w:szCs w:val="28"/>
          <w:lang w:eastAsia="lv-LV"/>
        </w:rPr>
        <w:t xml:space="preserve"> </w:t>
      </w:r>
      <w:r w:rsidR="001A5773" w:rsidRPr="001E48AC">
        <w:rPr>
          <w:rFonts w:eastAsia="Times New Roman" w:cs="Times New Roman"/>
          <w:szCs w:val="28"/>
          <w:lang w:eastAsia="lv-LV"/>
        </w:rPr>
        <w:t xml:space="preserve">Latvijas </w:t>
      </w:r>
      <w:r w:rsidR="001A5773" w:rsidRPr="001E48AC">
        <w:rPr>
          <w:rFonts w:cs="Times New Roman"/>
          <w:szCs w:val="28"/>
        </w:rPr>
        <w:t>obligātā</w:t>
      </w:r>
      <w:r w:rsidR="001A3FA9" w:rsidRPr="001E48AC">
        <w:rPr>
          <w:rFonts w:cs="Times New Roman"/>
          <w:szCs w:val="28"/>
        </w:rPr>
        <w:t xml:space="preserve"> mērķa aprēķināšanai ir izmatoti šādi datu avoti:</w:t>
      </w:r>
    </w:p>
    <w:p w14:paraId="3F9D1035" w14:textId="5C0C53EA" w:rsidR="00740530" w:rsidRPr="001E48AC" w:rsidRDefault="0022524E" w:rsidP="001D3038">
      <w:pPr>
        <w:pStyle w:val="ListParagraph"/>
        <w:spacing w:after="0" w:line="240" w:lineRule="auto"/>
        <w:ind w:left="426"/>
        <w:jc w:val="both"/>
        <w:rPr>
          <w:rFonts w:ascii="Times New Roman" w:eastAsia="Times New Roman" w:hAnsi="Times New Roman" w:cs="Times New Roman"/>
          <w:sz w:val="28"/>
          <w:szCs w:val="28"/>
          <w:lang w:eastAsia="lv-LV"/>
        </w:rPr>
      </w:pPr>
      <w:r w:rsidRPr="001E48AC">
        <w:rPr>
          <w:rFonts w:ascii="Times New Roman" w:eastAsia="Times New Roman" w:hAnsi="Times New Roman" w:cs="Times New Roman"/>
          <w:sz w:val="28"/>
          <w:szCs w:val="28"/>
          <w:lang w:eastAsia="lv-LV"/>
        </w:rPr>
        <w:t xml:space="preserve">1) </w:t>
      </w:r>
      <w:r w:rsidR="001A3FA9" w:rsidRPr="001E48AC">
        <w:rPr>
          <w:rFonts w:ascii="Times New Roman" w:eastAsia="Times New Roman" w:hAnsi="Times New Roman" w:cs="Times New Roman"/>
          <w:sz w:val="28"/>
          <w:szCs w:val="28"/>
          <w:lang w:eastAsia="lv-LV"/>
        </w:rPr>
        <w:t>enerģētikas bilances dati no</w:t>
      </w:r>
      <w:r w:rsidR="004C11BC" w:rsidRPr="001E48AC">
        <w:rPr>
          <w:rFonts w:ascii="Times New Roman" w:eastAsia="Times New Roman" w:hAnsi="Times New Roman" w:cs="Times New Roman"/>
          <w:sz w:val="28"/>
          <w:szCs w:val="28"/>
          <w:lang w:eastAsia="lv-LV"/>
        </w:rPr>
        <w:t xml:space="preserve"> </w:t>
      </w:r>
      <w:r w:rsidR="00740530" w:rsidRPr="001E48AC">
        <w:rPr>
          <w:rFonts w:ascii="Times New Roman" w:eastAsia="Times New Roman" w:hAnsi="Times New Roman" w:cs="Times New Roman"/>
          <w:sz w:val="28"/>
          <w:szCs w:val="28"/>
          <w:lang w:eastAsia="lv-LV"/>
        </w:rPr>
        <w:t>CSP</w:t>
      </w:r>
      <w:r w:rsidR="00740530" w:rsidRPr="001E48AC">
        <w:rPr>
          <w:rStyle w:val="FootnoteReference"/>
          <w:rFonts w:ascii="Times New Roman" w:eastAsia="Times New Roman" w:hAnsi="Times New Roman" w:cs="Times New Roman"/>
          <w:sz w:val="28"/>
          <w:szCs w:val="28"/>
          <w:lang w:eastAsia="lv-LV"/>
        </w:rPr>
        <w:footnoteReference w:id="15"/>
      </w:r>
      <w:r w:rsidR="00740530" w:rsidRPr="001E48AC">
        <w:rPr>
          <w:rFonts w:ascii="Times New Roman" w:eastAsia="Times New Roman" w:hAnsi="Times New Roman" w:cs="Times New Roman"/>
          <w:sz w:val="28"/>
          <w:szCs w:val="28"/>
          <w:lang w:eastAsia="lv-LV"/>
        </w:rPr>
        <w:t>;</w:t>
      </w:r>
    </w:p>
    <w:p w14:paraId="07838751" w14:textId="77777777" w:rsidR="00740530" w:rsidRPr="001E48AC" w:rsidRDefault="0022524E" w:rsidP="001D3038">
      <w:pPr>
        <w:pStyle w:val="ListParagraph"/>
        <w:spacing w:after="0" w:line="240" w:lineRule="auto"/>
        <w:ind w:left="426"/>
        <w:jc w:val="both"/>
        <w:rPr>
          <w:rFonts w:ascii="Times New Roman" w:eastAsia="Times New Roman" w:hAnsi="Times New Roman" w:cs="Times New Roman"/>
          <w:sz w:val="28"/>
          <w:szCs w:val="28"/>
          <w:lang w:eastAsia="lv-LV"/>
        </w:rPr>
      </w:pPr>
      <w:r w:rsidRPr="001E48AC">
        <w:rPr>
          <w:rFonts w:ascii="Times New Roman" w:eastAsia="Times New Roman" w:hAnsi="Times New Roman" w:cs="Times New Roman"/>
          <w:sz w:val="28"/>
          <w:szCs w:val="28"/>
          <w:lang w:eastAsia="lv-LV"/>
        </w:rPr>
        <w:t xml:space="preserve">2) </w:t>
      </w:r>
      <w:r w:rsidR="001A3FA9" w:rsidRPr="001E48AC">
        <w:rPr>
          <w:rFonts w:ascii="Times New Roman" w:eastAsia="Times New Roman" w:hAnsi="Times New Roman" w:cs="Times New Roman"/>
          <w:sz w:val="28"/>
          <w:szCs w:val="28"/>
          <w:lang w:eastAsia="lv-LV"/>
        </w:rPr>
        <w:t>dati par pašsagatavotās koksnes izmantošanu mājsaimniecībās no CSP datu bāzes par mājsaimniecību aptaujām (1996, 2001, 2006, 2010)</w:t>
      </w:r>
      <w:r w:rsidR="00740530" w:rsidRPr="001E48AC">
        <w:rPr>
          <w:rStyle w:val="FootnoteReference"/>
          <w:rFonts w:ascii="Times New Roman" w:eastAsia="Times New Roman" w:hAnsi="Times New Roman" w:cs="Times New Roman"/>
          <w:sz w:val="28"/>
          <w:szCs w:val="28"/>
          <w:lang w:eastAsia="lv-LV"/>
        </w:rPr>
        <w:footnoteReference w:id="16"/>
      </w:r>
      <w:r w:rsidR="00740530" w:rsidRPr="001E48AC">
        <w:rPr>
          <w:rFonts w:ascii="Times New Roman" w:eastAsia="Times New Roman" w:hAnsi="Times New Roman" w:cs="Times New Roman"/>
          <w:sz w:val="28"/>
          <w:szCs w:val="28"/>
          <w:lang w:eastAsia="lv-LV"/>
        </w:rPr>
        <w:t>;</w:t>
      </w:r>
    </w:p>
    <w:p w14:paraId="5BEADB88" w14:textId="3BC46EAA" w:rsidR="00740530" w:rsidRPr="001E48AC" w:rsidRDefault="0022524E" w:rsidP="001D3038">
      <w:pPr>
        <w:pStyle w:val="ListParagraph"/>
        <w:spacing w:after="0" w:line="240" w:lineRule="auto"/>
        <w:ind w:left="426"/>
        <w:jc w:val="both"/>
        <w:rPr>
          <w:rFonts w:ascii="Times New Roman" w:eastAsia="Times New Roman" w:hAnsi="Times New Roman" w:cs="Times New Roman"/>
          <w:sz w:val="28"/>
          <w:szCs w:val="28"/>
          <w:lang w:eastAsia="lv-LV"/>
        </w:rPr>
      </w:pPr>
      <w:r w:rsidRPr="001E48AC">
        <w:rPr>
          <w:rFonts w:ascii="Times New Roman" w:eastAsia="Times New Roman" w:hAnsi="Times New Roman"/>
          <w:sz w:val="28"/>
          <w:lang w:eastAsia="lv-LV"/>
        </w:rPr>
        <w:t xml:space="preserve">3) </w:t>
      </w:r>
      <w:r w:rsidR="001A3FA9" w:rsidRPr="001E48AC">
        <w:rPr>
          <w:rFonts w:ascii="Times New Roman" w:eastAsia="Times New Roman" w:hAnsi="Times New Roman"/>
          <w:sz w:val="28"/>
          <w:lang w:eastAsia="lv-LV"/>
        </w:rPr>
        <w:t xml:space="preserve">dati par enerģijas izmantošanu </w:t>
      </w:r>
      <w:r w:rsidR="00FC1BBB" w:rsidRPr="001E48AC">
        <w:rPr>
          <w:rFonts w:ascii="Times New Roman" w:eastAsia="Times New Roman" w:hAnsi="Times New Roman"/>
          <w:sz w:val="28"/>
          <w:lang w:eastAsia="lv-LV"/>
        </w:rPr>
        <w:t xml:space="preserve">ES </w:t>
      </w:r>
      <w:r w:rsidR="001A5773" w:rsidRPr="001E48AC">
        <w:rPr>
          <w:rFonts w:ascii="Times New Roman" w:eastAsia="Times New Roman" w:hAnsi="Times New Roman"/>
          <w:sz w:val="28"/>
          <w:lang w:eastAsia="lv-LV"/>
        </w:rPr>
        <w:t xml:space="preserve">ETS </w:t>
      </w:r>
      <w:r w:rsidR="001A3FA9" w:rsidRPr="001E48AC">
        <w:rPr>
          <w:rFonts w:ascii="Times New Roman" w:eastAsia="Times New Roman" w:hAnsi="Times New Roman"/>
          <w:sz w:val="28"/>
          <w:lang w:eastAsia="lv-LV"/>
        </w:rPr>
        <w:t>rūpnieciskajās aktivitātēs</w:t>
      </w:r>
      <w:r w:rsidR="001A3FA9" w:rsidRPr="001E48AC">
        <w:rPr>
          <w:rFonts w:ascii="Times New Roman" w:eastAsia="Times New Roman" w:hAnsi="Times New Roman"/>
          <w:sz w:val="28"/>
          <w:szCs w:val="28"/>
          <w:lang w:eastAsia="lv-LV"/>
        </w:rPr>
        <w:t>,</w:t>
      </w:r>
      <w:r w:rsidR="001A3FA9" w:rsidRPr="001E48AC">
        <w:rPr>
          <w:rFonts w:ascii="Times New Roman" w:eastAsia="Times New Roman" w:hAnsi="Times New Roman"/>
          <w:sz w:val="28"/>
          <w:lang w:eastAsia="lv-LV"/>
        </w:rPr>
        <w:t xml:space="preserve"> kas uzskaitītas Direktīvas 2003/87/EK I</w:t>
      </w:r>
      <w:r w:rsidR="00AC1487" w:rsidRPr="001E48AC">
        <w:rPr>
          <w:rFonts w:ascii="Times New Roman" w:eastAsia="Times New Roman" w:hAnsi="Times New Roman"/>
          <w:sz w:val="28"/>
          <w:lang w:eastAsia="lv-LV"/>
        </w:rPr>
        <w:t xml:space="preserve"> </w:t>
      </w:r>
      <w:r w:rsidR="001A3FA9" w:rsidRPr="001E48AC">
        <w:rPr>
          <w:rFonts w:ascii="Times New Roman" w:eastAsia="Times New Roman" w:hAnsi="Times New Roman"/>
          <w:sz w:val="28"/>
          <w:lang w:eastAsia="lv-LV"/>
        </w:rPr>
        <w:t>pielikumā</w:t>
      </w:r>
      <w:r w:rsidR="001A3FA9" w:rsidRPr="001E48AC">
        <w:rPr>
          <w:rFonts w:ascii="Times New Roman" w:eastAsia="Times New Roman" w:hAnsi="Times New Roman"/>
          <w:sz w:val="28"/>
          <w:szCs w:val="28"/>
          <w:lang w:eastAsia="lv-LV"/>
        </w:rPr>
        <w:t>,</w:t>
      </w:r>
      <w:r w:rsidR="001A3FA9" w:rsidRPr="001E48AC">
        <w:rPr>
          <w:rFonts w:ascii="Times New Roman" w:eastAsia="Times New Roman" w:hAnsi="Times New Roman"/>
          <w:sz w:val="28"/>
          <w:lang w:eastAsia="lv-LV"/>
        </w:rPr>
        <w:t xml:space="preserve"> no </w:t>
      </w:r>
      <w:r w:rsidR="001A5773" w:rsidRPr="001E48AC">
        <w:rPr>
          <w:rFonts w:ascii="Times New Roman" w:eastAsia="Times New Roman" w:hAnsi="Times New Roman"/>
          <w:sz w:val="28"/>
          <w:lang w:eastAsia="lv-LV"/>
        </w:rPr>
        <w:t xml:space="preserve">Valsts SIA "Latvijas Vides, ģeoloģijas un meteoroloģijas centrs" </w:t>
      </w:r>
      <w:r w:rsidR="001A3FA9" w:rsidRPr="001E48AC">
        <w:rPr>
          <w:rFonts w:ascii="Times New Roman" w:eastAsia="Times New Roman" w:hAnsi="Times New Roman"/>
          <w:sz w:val="28"/>
          <w:lang w:eastAsia="lv-LV"/>
        </w:rPr>
        <w:t>datu bāzes</w:t>
      </w:r>
      <w:r w:rsidR="00740530" w:rsidRPr="001E48AC">
        <w:rPr>
          <w:rStyle w:val="FootnoteReference"/>
          <w:rFonts w:ascii="Times New Roman" w:eastAsia="Times New Roman" w:hAnsi="Times New Roman" w:cs="Times New Roman"/>
          <w:sz w:val="28"/>
          <w:szCs w:val="28"/>
          <w:lang w:eastAsia="lv-LV"/>
        </w:rPr>
        <w:footnoteReference w:id="17"/>
      </w:r>
      <w:r w:rsidR="00740530" w:rsidRPr="001E48AC">
        <w:rPr>
          <w:rFonts w:ascii="Times New Roman" w:eastAsia="Times New Roman" w:hAnsi="Times New Roman" w:cs="Times New Roman"/>
          <w:sz w:val="28"/>
          <w:szCs w:val="28"/>
          <w:lang w:eastAsia="lv-LV"/>
        </w:rPr>
        <w:t xml:space="preserve">. </w:t>
      </w:r>
    </w:p>
    <w:p w14:paraId="5BF4D795" w14:textId="32EACE13" w:rsidR="000A0E2C" w:rsidRPr="001E48AC" w:rsidRDefault="000A0E2C" w:rsidP="001D3038">
      <w:pPr>
        <w:spacing w:after="0" w:line="240" w:lineRule="auto"/>
        <w:ind w:firstLine="426"/>
        <w:jc w:val="both"/>
        <w:rPr>
          <w:rFonts w:cs="Times New Roman"/>
          <w:bCs/>
          <w:szCs w:val="28"/>
        </w:rPr>
      </w:pPr>
      <w:r w:rsidRPr="001E48AC">
        <w:rPr>
          <w:rFonts w:eastAsia="Times New Roman" w:cs="Times New Roman"/>
          <w:szCs w:val="28"/>
          <w:lang w:eastAsia="lv-LV"/>
        </w:rPr>
        <w:t>Kumulatīvā</w:t>
      </w:r>
      <w:r w:rsidR="00EF16A5" w:rsidRPr="001E48AC">
        <w:rPr>
          <w:rFonts w:eastAsia="Times New Roman" w:cs="Times New Roman"/>
          <w:szCs w:val="28"/>
          <w:lang w:eastAsia="lv-LV"/>
        </w:rPr>
        <w:t xml:space="preserve"> (uzkrātā)</w:t>
      </w:r>
      <w:r w:rsidRPr="001E48AC">
        <w:rPr>
          <w:rFonts w:eastAsia="Times New Roman" w:cs="Times New Roman"/>
          <w:szCs w:val="28"/>
          <w:lang w:eastAsia="lv-LV"/>
        </w:rPr>
        <w:t xml:space="preserve"> enerģijas ietaupījumu mērķa aprēķina gaita ir aprakstīta </w:t>
      </w:r>
      <w:r w:rsidRPr="001E48AC">
        <w:rPr>
          <w:rFonts w:cs="Times New Roman"/>
          <w:bCs/>
          <w:szCs w:val="28"/>
        </w:rPr>
        <w:t>Informatīvajā  ziņojumā 2014.-2016.</w:t>
      </w:r>
      <w:r w:rsidR="00EF16A5" w:rsidRPr="001E48AC">
        <w:rPr>
          <w:rFonts w:cs="Times New Roman"/>
          <w:bCs/>
          <w:szCs w:val="28"/>
        </w:rPr>
        <w:t xml:space="preserve"> gadam. </w:t>
      </w:r>
    </w:p>
    <w:p w14:paraId="0F4E7BE1" w14:textId="7756BF31" w:rsidR="00A47F0E" w:rsidRPr="001E48AC" w:rsidRDefault="00EF16A5" w:rsidP="001D3038">
      <w:pPr>
        <w:spacing w:after="0" w:line="240" w:lineRule="auto"/>
        <w:ind w:firstLine="426"/>
        <w:jc w:val="both"/>
        <w:rPr>
          <w:rFonts w:eastAsia="Times New Roman" w:cs="Times New Roman"/>
          <w:szCs w:val="28"/>
          <w:lang w:eastAsia="lv-LV"/>
        </w:rPr>
      </w:pPr>
      <w:r w:rsidRPr="001E48AC">
        <w:rPr>
          <w:rFonts w:eastAsia="Times New Roman"/>
          <w:szCs w:val="28"/>
          <w:lang w:eastAsia="lv-LV"/>
        </w:rPr>
        <w:t xml:space="preserve">Pēc Direktīvas 2012/27/ES 7. panta metodikas veiktie aprēķini </w:t>
      </w:r>
      <w:r w:rsidR="000A0E2C" w:rsidRPr="001E48AC">
        <w:rPr>
          <w:rFonts w:eastAsia="Times New Roman"/>
          <w:szCs w:val="28"/>
          <w:lang w:eastAsia="lv-LV"/>
        </w:rPr>
        <w:t xml:space="preserve"> atbilst </w:t>
      </w:r>
      <w:r w:rsidRPr="001E48AC">
        <w:rPr>
          <w:rFonts w:eastAsia="Times New Roman"/>
          <w:szCs w:val="28"/>
          <w:lang w:eastAsia="lv-LV"/>
        </w:rPr>
        <w:t xml:space="preserve">kumulatīvam (uzkrātam) </w:t>
      </w:r>
      <w:r w:rsidR="000A0E2C" w:rsidRPr="001E48AC">
        <w:rPr>
          <w:rFonts w:eastAsia="Times New Roman"/>
          <w:szCs w:val="28"/>
          <w:lang w:eastAsia="lv-LV"/>
        </w:rPr>
        <w:t xml:space="preserve">enerģijas ietaupījumam 9897 GWh </w:t>
      </w:r>
      <w:r w:rsidR="004D14C2" w:rsidRPr="001E48AC">
        <w:rPr>
          <w:rFonts w:eastAsia="Times New Roman"/>
          <w:szCs w:val="28"/>
          <w:lang w:eastAsia="lv-LV"/>
        </w:rPr>
        <w:t>periodā</w:t>
      </w:r>
      <w:r w:rsidRPr="001E48AC">
        <w:rPr>
          <w:rFonts w:eastAsia="Times New Roman"/>
          <w:szCs w:val="28"/>
          <w:lang w:eastAsia="lv-LV"/>
        </w:rPr>
        <w:t xml:space="preserve"> no 2014.-2020.gadam, kam 2020.gadā atbilst attiecīgi </w:t>
      </w:r>
      <w:r w:rsidR="000A0E2C" w:rsidRPr="001E48AC">
        <w:rPr>
          <w:rFonts w:eastAsia="Times New Roman"/>
          <w:szCs w:val="28"/>
          <w:lang w:eastAsia="lv-LV"/>
        </w:rPr>
        <w:t xml:space="preserve"> 2474 GWh</w:t>
      </w:r>
      <w:r w:rsidRPr="001E48AC">
        <w:rPr>
          <w:rFonts w:eastAsia="Times New Roman"/>
          <w:szCs w:val="28"/>
          <w:lang w:eastAsia="lv-LV"/>
        </w:rPr>
        <w:t xml:space="preserve"> gala enerģijas ietaupījums.</w:t>
      </w:r>
    </w:p>
    <w:p w14:paraId="5618EA8A" w14:textId="7B8910BE" w:rsidR="00EF16A5" w:rsidRPr="001E48AC" w:rsidRDefault="00EF16A5" w:rsidP="001D3038">
      <w:pPr>
        <w:spacing w:after="0" w:line="240" w:lineRule="auto"/>
        <w:ind w:firstLine="426"/>
        <w:jc w:val="both"/>
        <w:rPr>
          <w:rFonts w:eastAsia="Times New Roman"/>
          <w:szCs w:val="28"/>
          <w:lang w:eastAsia="lv-LV"/>
        </w:rPr>
      </w:pPr>
      <w:r w:rsidRPr="001E48AC">
        <w:rPr>
          <w:rFonts w:eastAsia="Times New Roman"/>
          <w:szCs w:val="28"/>
          <w:lang w:eastAsia="lv-LV"/>
        </w:rPr>
        <w:t xml:space="preserve">Atbilstoši Direktīvas 2012/27/ES 7. pantam aprēķinātais obligātais mērķis ir </w:t>
      </w:r>
      <w:r w:rsidR="004D14C2" w:rsidRPr="001E48AC">
        <w:rPr>
          <w:rFonts w:eastAsia="Times New Roman"/>
          <w:szCs w:val="28"/>
          <w:lang w:eastAsia="lv-LV"/>
        </w:rPr>
        <w:t xml:space="preserve">2014.-2020.gada periodam </w:t>
      </w:r>
      <w:r w:rsidRPr="001E48AC">
        <w:rPr>
          <w:rFonts w:eastAsia="Times New Roman"/>
          <w:szCs w:val="28"/>
          <w:lang w:eastAsia="lv-LV"/>
        </w:rPr>
        <w:t xml:space="preserve">apstiprināts kā </w:t>
      </w:r>
      <w:r w:rsidR="004D14C2" w:rsidRPr="001E48AC">
        <w:rPr>
          <w:rFonts w:eastAsia="Times New Roman"/>
          <w:szCs w:val="28"/>
          <w:lang w:eastAsia="lv-LV"/>
        </w:rPr>
        <w:t xml:space="preserve">viens </w:t>
      </w:r>
      <w:r w:rsidRPr="001E48AC">
        <w:rPr>
          <w:rFonts w:eastAsia="Times New Roman"/>
          <w:szCs w:val="28"/>
          <w:lang w:eastAsia="lv-LV"/>
        </w:rPr>
        <w:t>no Latvijas politikā nospraustajiem energoefektivitātes mērķiem un minēts šī ziņojuma 2.2. sadaļā - valsts obligātais uzkrātais gala enerģijas ietaupījums līdz 2020.gadam – 9896 GWh.</w:t>
      </w:r>
    </w:p>
    <w:p w14:paraId="1BC284D1" w14:textId="6BF4CC8A" w:rsidR="00611B34" w:rsidRPr="001E48AC" w:rsidRDefault="00611B34" w:rsidP="0022103B">
      <w:pPr>
        <w:pStyle w:val="Heading3"/>
        <w:spacing w:before="0"/>
        <w:rPr>
          <w:color w:val="auto"/>
        </w:rPr>
      </w:pPr>
      <w:bookmarkStart w:id="15" w:name="_Toc482711526"/>
      <w:r w:rsidRPr="001E48AC">
        <w:rPr>
          <w:color w:val="auto"/>
        </w:rPr>
        <w:t>3.1.2. Valsts energoefektivitātes pienākuma shēma</w:t>
      </w:r>
      <w:bookmarkEnd w:id="15"/>
    </w:p>
    <w:p w14:paraId="106DFAAE" w14:textId="5A1BCB54" w:rsidR="00292922" w:rsidRPr="001E48AC" w:rsidRDefault="00AD08C8" w:rsidP="001D3038">
      <w:pPr>
        <w:spacing w:after="0" w:line="240" w:lineRule="auto"/>
        <w:jc w:val="both"/>
        <w:rPr>
          <w:rFonts w:cs="Times New Roman"/>
          <w:szCs w:val="28"/>
        </w:rPr>
      </w:pPr>
      <w:r w:rsidRPr="001E48AC">
        <w:rPr>
          <w:rFonts w:eastAsia="Times New Roman" w:cs="Times New Roman"/>
          <w:szCs w:val="28"/>
          <w:lang w:eastAsia="lv-LV"/>
        </w:rPr>
        <w:tab/>
      </w:r>
      <w:r w:rsidR="00292922" w:rsidRPr="001E48AC">
        <w:rPr>
          <w:rFonts w:eastAsia="Times New Roman" w:cs="Times New Roman"/>
          <w:szCs w:val="28"/>
          <w:lang w:eastAsia="lv-LV"/>
        </w:rPr>
        <w:t xml:space="preserve">Latvijai  nav </w:t>
      </w:r>
      <w:r w:rsidR="004D14C2" w:rsidRPr="001E48AC">
        <w:rPr>
          <w:rFonts w:eastAsia="Times New Roman" w:cs="Times New Roman"/>
          <w:szCs w:val="28"/>
          <w:lang w:eastAsia="lv-LV"/>
        </w:rPr>
        <w:t xml:space="preserve">iepriekšējas </w:t>
      </w:r>
      <w:r w:rsidR="00292922" w:rsidRPr="001E48AC">
        <w:rPr>
          <w:rFonts w:eastAsia="Times New Roman" w:cs="Times New Roman"/>
          <w:szCs w:val="28"/>
          <w:lang w:eastAsia="lv-LV"/>
        </w:rPr>
        <w:t>pieredzes EPS vai tās elementu ieviešanā.</w:t>
      </w:r>
      <w:r w:rsidR="00292922" w:rsidRPr="001E48AC">
        <w:rPr>
          <w:rFonts w:cs="Times New Roman"/>
          <w:szCs w:val="28"/>
        </w:rPr>
        <w:t xml:space="preserve"> Citu valstu pieredze rāda, ka sekmīgai obligātā mērķa izpildei nepieciešamie priekšnoteikumi ir enerģijas sektora komersantu sadarbība ar enerģijas galapatērētājiem, galapatērētāju enerģijas patēriņa analīze,</w:t>
      </w:r>
      <w:r w:rsidR="000A0E2C" w:rsidRPr="001E48AC">
        <w:rPr>
          <w:rFonts w:cs="Times New Roman"/>
          <w:szCs w:val="28"/>
        </w:rPr>
        <w:t xml:space="preserve"> </w:t>
      </w:r>
      <w:r w:rsidR="00292922" w:rsidRPr="001E48AC">
        <w:rPr>
          <w:rFonts w:cs="Times New Roman"/>
          <w:szCs w:val="28"/>
        </w:rPr>
        <w:t xml:space="preserve">izmaksu efektīvu un inovatīvu energoefektivitātes pasākumu </w:t>
      </w:r>
      <w:r w:rsidR="001E3335" w:rsidRPr="001E48AC">
        <w:rPr>
          <w:rFonts w:cs="Times New Roman"/>
          <w:szCs w:val="28"/>
        </w:rPr>
        <w:t>īstenošana</w:t>
      </w:r>
      <w:r w:rsidR="00292922" w:rsidRPr="001E48AC">
        <w:rPr>
          <w:rFonts w:cs="Times New Roman"/>
          <w:szCs w:val="28"/>
        </w:rPr>
        <w:t xml:space="preserve"> un atbilstoša enerģijas ietaupījumu mērījumu, kontroles un verifikācijas sistēma.</w:t>
      </w:r>
      <w:r w:rsidR="00355A90" w:rsidRPr="001E48AC">
        <w:rPr>
          <w:rFonts w:cs="Times New Roman"/>
          <w:szCs w:val="28"/>
        </w:rPr>
        <w:t xml:space="preserve"> Latvijā šie </w:t>
      </w:r>
      <w:r w:rsidR="00355A90" w:rsidRPr="001E48AC">
        <w:rPr>
          <w:rFonts w:cs="Times New Roman"/>
          <w:szCs w:val="28"/>
        </w:rPr>
        <w:lastRenderedPageBreak/>
        <w:t xml:space="preserve">priekšnoteikumi šobrīd </w:t>
      </w:r>
      <w:r w:rsidR="0000768C" w:rsidRPr="001E48AC">
        <w:rPr>
          <w:rFonts w:cs="Times New Roman"/>
          <w:szCs w:val="28"/>
        </w:rPr>
        <w:t xml:space="preserve">tiek veidoti. </w:t>
      </w:r>
      <w:r w:rsidR="00292922" w:rsidRPr="001E48AC">
        <w:rPr>
          <w:rFonts w:cs="Times New Roman"/>
          <w:szCs w:val="28"/>
        </w:rPr>
        <w:t>Direktīva</w:t>
      </w:r>
      <w:r w:rsidR="00572326" w:rsidRPr="001E48AC">
        <w:rPr>
          <w:rFonts w:cs="Times New Roman"/>
          <w:szCs w:val="28"/>
        </w:rPr>
        <w:t>s</w:t>
      </w:r>
      <w:r w:rsidR="00292922" w:rsidRPr="001E48AC">
        <w:rPr>
          <w:rFonts w:cs="Times New Roman"/>
          <w:szCs w:val="28"/>
        </w:rPr>
        <w:t xml:space="preserve"> 2012/27/ES</w:t>
      </w:r>
      <w:r w:rsidR="00572326" w:rsidRPr="001E48AC">
        <w:rPr>
          <w:rFonts w:cs="Times New Roman"/>
          <w:szCs w:val="28"/>
        </w:rPr>
        <w:t xml:space="preserve"> 7.</w:t>
      </w:r>
      <w:r w:rsidR="007F7ECF" w:rsidRPr="001E48AC">
        <w:rPr>
          <w:rFonts w:cs="Times New Roman"/>
          <w:szCs w:val="28"/>
        </w:rPr>
        <w:t> </w:t>
      </w:r>
      <w:r w:rsidR="00572326" w:rsidRPr="001E48AC">
        <w:rPr>
          <w:rFonts w:cs="Times New Roman"/>
          <w:szCs w:val="28"/>
        </w:rPr>
        <w:t>panta devītais punkts</w:t>
      </w:r>
      <w:r w:rsidR="00292922" w:rsidRPr="001E48AC">
        <w:rPr>
          <w:rFonts w:cs="Times New Roman"/>
          <w:szCs w:val="28"/>
        </w:rPr>
        <w:t xml:space="preserve"> pieļauj, ka valsts var izvēlēties alternatīvu ceļu 1,5% mērķa sasniegšanai – kombinēt EPS ar alternatīviem pasākumiem (šajā gadījumā uzņēmumiem uzliktais pienākumu apjoms samazinās) vai arī EPS vispār neieviest, sasniedzot visu nepieciešamo enerģijas ietaupījumu tikai</w:t>
      </w:r>
      <w:r w:rsidR="000A0E2C" w:rsidRPr="001E48AC">
        <w:rPr>
          <w:rFonts w:cs="Times New Roman"/>
          <w:szCs w:val="28"/>
        </w:rPr>
        <w:t xml:space="preserve"> </w:t>
      </w:r>
      <w:r w:rsidR="00355A90" w:rsidRPr="001E48AC">
        <w:rPr>
          <w:rFonts w:cs="Times New Roman"/>
          <w:szCs w:val="28"/>
        </w:rPr>
        <w:t>ar alternatīvajiem pasākumiem. Direktīva</w:t>
      </w:r>
      <w:r w:rsidR="005E4A07" w:rsidRPr="001E48AC">
        <w:rPr>
          <w:rFonts w:cs="Times New Roman"/>
          <w:szCs w:val="28"/>
        </w:rPr>
        <w:t>s</w:t>
      </w:r>
      <w:r w:rsidR="00355A90" w:rsidRPr="001E48AC">
        <w:rPr>
          <w:rFonts w:cs="Times New Roman"/>
          <w:szCs w:val="28"/>
        </w:rPr>
        <w:t xml:space="preserve"> 2012/27/ES 7.</w:t>
      </w:r>
      <w:r w:rsidR="00CF55BC" w:rsidRPr="001E48AC">
        <w:rPr>
          <w:rFonts w:cs="Times New Roman"/>
          <w:szCs w:val="28"/>
        </w:rPr>
        <w:t> </w:t>
      </w:r>
      <w:r w:rsidR="00355A90" w:rsidRPr="001E48AC">
        <w:rPr>
          <w:rFonts w:cs="Times New Roman"/>
          <w:szCs w:val="28"/>
        </w:rPr>
        <w:t>panta ceturtais punkts nosaka, ka EPS atbildīgās puses izraugās</w:t>
      </w:r>
      <w:r w:rsidR="00110069" w:rsidRPr="001E48AC">
        <w:rPr>
          <w:rFonts w:cs="Times New Roman"/>
          <w:szCs w:val="28"/>
        </w:rPr>
        <w:t>,</w:t>
      </w:r>
      <w:r w:rsidR="00355A90" w:rsidRPr="001E48AC">
        <w:rPr>
          <w:rFonts w:cs="Times New Roman"/>
          <w:szCs w:val="28"/>
        </w:rPr>
        <w:t xml:space="preserve"> pamatojoties uz objektīviem un nediskriminējošiem kritērijiem</w:t>
      </w:r>
      <w:r w:rsidR="00110069" w:rsidRPr="001E48AC">
        <w:rPr>
          <w:rFonts w:cs="Times New Roman"/>
          <w:szCs w:val="28"/>
        </w:rPr>
        <w:t>,</w:t>
      </w:r>
      <w:r w:rsidR="00355A90" w:rsidRPr="001E48AC">
        <w:rPr>
          <w:rFonts w:cs="Times New Roman"/>
          <w:szCs w:val="28"/>
        </w:rPr>
        <w:t xml:space="preserve"> un tās var būt enerģijas sadales uzņēmumi un/vai enerģijas mazumtirdzniecības uzņēmumi un to vidū var būt transportlīdzekļu degvielas sadales uzņēmumi vai transportlīdzekļu degvielas mazumtirdzniecības uzņēmumi, kas darbojas valsts teritorijā. Atbildīgās puses varēs veikt energoefektivitātes pasākumus pašas vai ieskaitīt sertificētus enerģijas ietaupījumus, kurus veikuši energopakalpojumu sniedzēji vai citas trešās personas. Reizi gadā atbildīgā valsts struktūra publicēs katras atbildīgās puses panākto enerģijas ietaupījumu. </w:t>
      </w:r>
    </w:p>
    <w:p w14:paraId="663693E4" w14:textId="477A5C76" w:rsidR="000A0E2C" w:rsidRPr="001E48AC" w:rsidRDefault="00292922" w:rsidP="001D3038">
      <w:pPr>
        <w:spacing w:after="0" w:line="240" w:lineRule="auto"/>
        <w:jc w:val="both"/>
        <w:rPr>
          <w:rFonts w:cs="Times New Roman"/>
          <w:szCs w:val="28"/>
        </w:rPr>
      </w:pPr>
      <w:r w:rsidRPr="001E48AC">
        <w:rPr>
          <w:rFonts w:cs="Times New Roman"/>
          <w:szCs w:val="28"/>
        </w:rPr>
        <w:tab/>
        <w:t>Latvija ir izvēlējusies ieviest EPS kombinācijā ar alternatīvajiem pasākumiem</w:t>
      </w:r>
      <w:r w:rsidR="000A0E2C" w:rsidRPr="001E48AC">
        <w:rPr>
          <w:rFonts w:cs="Times New Roman"/>
          <w:szCs w:val="28"/>
        </w:rPr>
        <w:t xml:space="preserve">. </w:t>
      </w:r>
      <w:r w:rsidR="00EB1F7E" w:rsidRPr="001E48AC">
        <w:rPr>
          <w:rFonts w:cs="Times New Roman"/>
          <w:szCs w:val="28"/>
        </w:rPr>
        <w:t xml:space="preserve">Ekonomikas ministrija ir izstrādājusi </w:t>
      </w:r>
      <w:r w:rsidR="000A0E2C" w:rsidRPr="001E48AC">
        <w:rPr>
          <w:rFonts w:cs="Times New Roman"/>
          <w:szCs w:val="28"/>
        </w:rPr>
        <w:t xml:space="preserve"> Energoefektivitātes alternatīvo pasākumu plān</w:t>
      </w:r>
      <w:r w:rsidR="00EA25E3" w:rsidRPr="001E48AC">
        <w:rPr>
          <w:rFonts w:cs="Times New Roman"/>
          <w:szCs w:val="28"/>
        </w:rPr>
        <w:t>u</w:t>
      </w:r>
      <w:r w:rsidR="000A0E2C" w:rsidRPr="001E48AC">
        <w:rPr>
          <w:rFonts w:cs="Times New Roman"/>
          <w:szCs w:val="28"/>
        </w:rPr>
        <w:t>, kurā apkopoti visu nozaru plānotie energoefektivitātes pasākumi, kas nodrošinās atbilstošus kumulatīvus enerģijas ietaupījumus 2020.gadā.</w:t>
      </w:r>
      <w:r w:rsidR="00EA25E3" w:rsidRPr="001E48AC">
        <w:rPr>
          <w:rFonts w:cs="Times New Roman"/>
          <w:szCs w:val="28"/>
        </w:rPr>
        <w:t xml:space="preserve"> Minētais plāns ir iesniegts apstiprināšanai Ministru kabinetā.</w:t>
      </w:r>
    </w:p>
    <w:p w14:paraId="56D471E3" w14:textId="11E70A74" w:rsidR="00A54403" w:rsidRPr="001E48AC" w:rsidRDefault="00A54403" w:rsidP="001D3038">
      <w:pPr>
        <w:spacing w:after="0" w:line="240" w:lineRule="auto"/>
        <w:ind w:firstLine="720"/>
        <w:jc w:val="both"/>
        <w:rPr>
          <w:rFonts w:cs="Times New Roman"/>
          <w:szCs w:val="28"/>
        </w:rPr>
      </w:pPr>
      <w:r w:rsidRPr="001E48AC">
        <w:rPr>
          <w:rFonts w:cs="Times New Roman"/>
          <w:szCs w:val="28"/>
        </w:rPr>
        <w:t>Noteikumu projekts “Energoefektivitātes pienākumu shēma” iesniegts apstiprināša</w:t>
      </w:r>
      <w:r w:rsidR="005B12CD" w:rsidRPr="001E48AC">
        <w:rPr>
          <w:rFonts w:cs="Times New Roman"/>
          <w:szCs w:val="28"/>
        </w:rPr>
        <w:t>na</w:t>
      </w:r>
      <w:r w:rsidRPr="001E48AC">
        <w:rPr>
          <w:rFonts w:cs="Times New Roman"/>
          <w:szCs w:val="28"/>
        </w:rPr>
        <w:t>i Ministru kabinetā.</w:t>
      </w:r>
    </w:p>
    <w:p w14:paraId="2BDC7874" w14:textId="0FB1046F" w:rsidR="0000768C" w:rsidRPr="001E48AC" w:rsidRDefault="009D0E8E" w:rsidP="001D3038">
      <w:pPr>
        <w:spacing w:after="0" w:line="240" w:lineRule="auto"/>
        <w:jc w:val="both"/>
        <w:rPr>
          <w:szCs w:val="28"/>
        </w:rPr>
      </w:pPr>
      <w:r w:rsidRPr="001E48AC">
        <w:rPr>
          <w:rFonts w:eastAsia="Times New Roman"/>
          <w:bCs/>
          <w:szCs w:val="28"/>
          <w:lang w:eastAsia="lv-LV"/>
        </w:rPr>
        <w:t xml:space="preserve"> </w:t>
      </w:r>
      <w:r w:rsidR="001D3038" w:rsidRPr="001E48AC">
        <w:rPr>
          <w:rFonts w:eastAsia="Times New Roman"/>
          <w:bCs/>
          <w:szCs w:val="28"/>
          <w:lang w:eastAsia="lv-LV"/>
        </w:rPr>
        <w:tab/>
      </w:r>
      <w:r w:rsidRPr="001E48AC">
        <w:rPr>
          <w:rFonts w:eastAsia="Times New Roman"/>
          <w:bCs/>
          <w:szCs w:val="28"/>
          <w:lang w:eastAsia="lv-LV"/>
        </w:rPr>
        <w:t xml:space="preserve">Ministru kabineta noteikumu </w:t>
      </w:r>
      <w:r w:rsidRPr="001E48AC">
        <w:rPr>
          <w:szCs w:val="28"/>
        </w:rPr>
        <w:t xml:space="preserve">mērķis ir ieviest </w:t>
      </w:r>
      <w:r w:rsidR="00B62B4A" w:rsidRPr="001E48AC">
        <w:rPr>
          <w:szCs w:val="28"/>
        </w:rPr>
        <w:t xml:space="preserve">Latvijā </w:t>
      </w:r>
      <w:r w:rsidRPr="001E48AC">
        <w:rPr>
          <w:szCs w:val="28"/>
        </w:rPr>
        <w:t xml:space="preserve"> EPS. Noteikumu projekts nosaka, ka EPS </w:t>
      </w:r>
      <w:r w:rsidR="0000768C" w:rsidRPr="001E48AC">
        <w:rPr>
          <w:szCs w:val="28"/>
        </w:rPr>
        <w:t xml:space="preserve">darbība sadalāma šādos saistību periodos: </w:t>
      </w:r>
    </w:p>
    <w:p w14:paraId="52D67512" w14:textId="73AA2DCB" w:rsidR="0000768C" w:rsidRPr="001E48AC" w:rsidRDefault="0000768C" w:rsidP="001D3038">
      <w:pPr>
        <w:pStyle w:val="ListParagraph"/>
        <w:numPr>
          <w:ilvl w:val="0"/>
          <w:numId w:val="39"/>
        </w:numPr>
        <w:spacing w:after="0" w:line="240" w:lineRule="auto"/>
        <w:jc w:val="both"/>
        <w:rPr>
          <w:rFonts w:ascii="Times New Roman" w:hAnsi="Times New Roman" w:cs="Times New Roman"/>
          <w:sz w:val="28"/>
          <w:szCs w:val="28"/>
        </w:rPr>
      </w:pPr>
      <w:r w:rsidRPr="001E48AC">
        <w:rPr>
          <w:rFonts w:ascii="Times New Roman" w:hAnsi="Times New Roman" w:cs="Times New Roman"/>
          <w:sz w:val="28"/>
          <w:szCs w:val="28"/>
        </w:rPr>
        <w:t>starta periods no 2017.gada 1.maija līdz 31.decembrim;</w:t>
      </w:r>
    </w:p>
    <w:p w14:paraId="0856122D" w14:textId="025F4F41" w:rsidR="0000768C" w:rsidRPr="001E48AC" w:rsidRDefault="0000768C" w:rsidP="001D3038">
      <w:pPr>
        <w:pStyle w:val="ListParagraph"/>
        <w:numPr>
          <w:ilvl w:val="0"/>
          <w:numId w:val="39"/>
        </w:numPr>
        <w:spacing w:after="0" w:line="240" w:lineRule="auto"/>
        <w:jc w:val="both"/>
        <w:rPr>
          <w:rFonts w:ascii="Times New Roman" w:hAnsi="Times New Roman" w:cs="Times New Roman"/>
          <w:sz w:val="28"/>
          <w:szCs w:val="28"/>
        </w:rPr>
      </w:pPr>
      <w:r w:rsidRPr="001E48AC">
        <w:rPr>
          <w:rFonts w:ascii="Times New Roman" w:hAnsi="Times New Roman" w:cs="Times New Roman"/>
          <w:sz w:val="28"/>
          <w:szCs w:val="28"/>
        </w:rPr>
        <w:t>pirmais saistību periods no 2018.gada 1.janvāra līdz 2020.gada 31.decembrim;</w:t>
      </w:r>
    </w:p>
    <w:p w14:paraId="69040BA2" w14:textId="25C05B87" w:rsidR="0000768C" w:rsidRPr="001E48AC" w:rsidRDefault="0000768C" w:rsidP="001D3038">
      <w:pPr>
        <w:pStyle w:val="ListParagraph"/>
        <w:numPr>
          <w:ilvl w:val="0"/>
          <w:numId w:val="39"/>
        </w:numPr>
        <w:spacing w:after="0" w:line="240" w:lineRule="auto"/>
        <w:jc w:val="both"/>
        <w:rPr>
          <w:rFonts w:ascii="Times New Roman" w:hAnsi="Times New Roman" w:cs="Times New Roman"/>
          <w:sz w:val="28"/>
          <w:szCs w:val="28"/>
        </w:rPr>
      </w:pPr>
      <w:r w:rsidRPr="001E48AC">
        <w:rPr>
          <w:rFonts w:ascii="Times New Roman" w:hAnsi="Times New Roman" w:cs="Times New Roman"/>
          <w:sz w:val="28"/>
          <w:szCs w:val="28"/>
        </w:rPr>
        <w:t>otrais saistību periods no 2021.gada 1.janvāra līdz 2025.gada 31.decembrim;</w:t>
      </w:r>
    </w:p>
    <w:p w14:paraId="0BB441D9" w14:textId="77777777" w:rsidR="0000768C" w:rsidRPr="001E48AC" w:rsidRDefault="0000768C" w:rsidP="001D3038">
      <w:pPr>
        <w:pStyle w:val="ListParagraph"/>
        <w:numPr>
          <w:ilvl w:val="0"/>
          <w:numId w:val="39"/>
        </w:numPr>
        <w:spacing w:after="0" w:line="240" w:lineRule="auto"/>
        <w:jc w:val="both"/>
        <w:rPr>
          <w:rFonts w:ascii="Times New Roman" w:hAnsi="Times New Roman" w:cs="Times New Roman"/>
          <w:sz w:val="28"/>
          <w:szCs w:val="28"/>
        </w:rPr>
      </w:pPr>
      <w:r w:rsidRPr="001E48AC">
        <w:rPr>
          <w:rFonts w:ascii="Times New Roman" w:hAnsi="Times New Roman" w:cs="Times New Roman"/>
          <w:sz w:val="28"/>
          <w:szCs w:val="28"/>
        </w:rPr>
        <w:t>trešais saistību periods no 2026.gada 1.janvāra līdz 2030.gada  31.decembrim.</w:t>
      </w:r>
    </w:p>
    <w:p w14:paraId="1C5F2923" w14:textId="783B7317" w:rsidR="009D0E8E" w:rsidRPr="001E48AC" w:rsidRDefault="0000768C" w:rsidP="001D3038">
      <w:pPr>
        <w:spacing w:after="0" w:line="240" w:lineRule="auto"/>
        <w:jc w:val="both"/>
        <w:rPr>
          <w:szCs w:val="28"/>
        </w:rPr>
      </w:pPr>
      <w:r w:rsidRPr="001E48AC">
        <w:rPr>
          <w:rFonts w:cs="Times New Roman"/>
          <w:szCs w:val="28"/>
        </w:rPr>
        <w:t xml:space="preserve">Starta un pirmajā saistību periodā līdz 2020.gadam </w:t>
      </w:r>
      <w:r w:rsidR="009D0E8E" w:rsidRPr="001E48AC">
        <w:rPr>
          <w:szCs w:val="28"/>
        </w:rPr>
        <w:t xml:space="preserve">atbildīgās puses ir elektroenerģijas tirgotāji, kuriem tiek noteikts pienākums, informējot patērētājus par energoefektivitātes pasākumiem vai palīdzot tiem ieviest energoefektivitāti veicinošus pasākumus (piemēram, aizstāt esošās iekārtas ar energoefektīvākām, vai uzstādīt papildus energoefektivitāti veicinošus produktus) pie gala patērētājiem, panākt enerģijas ietaupījumus noteiktā apjomā (pienākuma apjoms).  </w:t>
      </w:r>
      <w:r w:rsidR="00B62B4A" w:rsidRPr="001E48AC">
        <w:rPr>
          <w:szCs w:val="28"/>
        </w:rPr>
        <w:t>EPS pirmajā saistību periodā līdz 2020.gadam</w:t>
      </w:r>
      <w:r w:rsidR="009D0E8E" w:rsidRPr="001E48AC">
        <w:rPr>
          <w:szCs w:val="28"/>
        </w:rPr>
        <w:t>:</w:t>
      </w:r>
    </w:p>
    <w:p w14:paraId="09B9D612" w14:textId="77777777" w:rsidR="009D0E8E" w:rsidRPr="001E48AC" w:rsidRDefault="009D0E8E" w:rsidP="001D3038">
      <w:pPr>
        <w:pStyle w:val="ListParagraph"/>
        <w:numPr>
          <w:ilvl w:val="0"/>
          <w:numId w:val="35"/>
        </w:numPr>
        <w:shd w:val="clear" w:color="auto" w:fill="FEFEFE"/>
        <w:spacing w:after="0" w:line="240" w:lineRule="auto"/>
        <w:contextualSpacing w:val="0"/>
        <w:jc w:val="both"/>
        <w:rPr>
          <w:rFonts w:ascii="Times New Roman" w:hAnsi="Times New Roman"/>
          <w:sz w:val="28"/>
          <w:szCs w:val="28"/>
        </w:rPr>
      </w:pPr>
      <w:r w:rsidRPr="001E48AC">
        <w:rPr>
          <w:rFonts w:ascii="Times New Roman" w:hAnsi="Times New Roman"/>
          <w:sz w:val="28"/>
          <w:szCs w:val="28"/>
        </w:rPr>
        <w:t xml:space="preserve">EPS iekļaujamā nozare ir elektroenerģijas tirdzniecība, </w:t>
      </w:r>
    </w:p>
    <w:p w14:paraId="3956266A" w14:textId="77777777" w:rsidR="009D0E8E" w:rsidRPr="001E48AC" w:rsidRDefault="009D0E8E" w:rsidP="001D3038">
      <w:pPr>
        <w:pStyle w:val="ListParagraph"/>
        <w:numPr>
          <w:ilvl w:val="0"/>
          <w:numId w:val="35"/>
        </w:numPr>
        <w:shd w:val="clear" w:color="auto" w:fill="FEFEFE"/>
        <w:spacing w:after="0" w:line="240" w:lineRule="auto"/>
        <w:contextualSpacing w:val="0"/>
        <w:jc w:val="both"/>
        <w:rPr>
          <w:rFonts w:ascii="Times New Roman" w:hAnsi="Times New Roman"/>
          <w:sz w:val="28"/>
          <w:szCs w:val="28"/>
        </w:rPr>
      </w:pPr>
      <w:r w:rsidRPr="001E48AC">
        <w:rPr>
          <w:rFonts w:ascii="Times New Roman" w:hAnsi="Times New Roman"/>
          <w:sz w:val="28"/>
          <w:szCs w:val="28"/>
        </w:rPr>
        <w:t>atbildīgās puses ir elektroenerģijas mazumtirgotāji,</w:t>
      </w:r>
    </w:p>
    <w:p w14:paraId="390C7AFD" w14:textId="77777777" w:rsidR="009D0E8E" w:rsidRPr="001E48AC" w:rsidRDefault="009D0E8E" w:rsidP="001D3038">
      <w:pPr>
        <w:pStyle w:val="ListParagraph"/>
        <w:numPr>
          <w:ilvl w:val="0"/>
          <w:numId w:val="35"/>
        </w:numPr>
        <w:shd w:val="clear" w:color="auto" w:fill="FEFEFE"/>
        <w:spacing w:after="0" w:line="240" w:lineRule="auto"/>
        <w:contextualSpacing w:val="0"/>
        <w:jc w:val="both"/>
        <w:rPr>
          <w:rFonts w:ascii="Times New Roman" w:hAnsi="Times New Roman"/>
          <w:sz w:val="28"/>
          <w:szCs w:val="28"/>
        </w:rPr>
      </w:pPr>
      <w:r w:rsidRPr="001E48AC">
        <w:rPr>
          <w:rFonts w:ascii="Times New Roman" w:hAnsi="Times New Roman"/>
          <w:sz w:val="28"/>
          <w:szCs w:val="28"/>
        </w:rPr>
        <w:t>atbildīgo pušu izvēles kritērijs ir gadā pārdotais elektroenerģijas apjoms  10GWh un vairāk (šobrīd kritērijam atbilst 9 elektroenerģijas mazumtirdzniecības komersanti),</w:t>
      </w:r>
    </w:p>
    <w:p w14:paraId="2ED70484" w14:textId="442756F5" w:rsidR="009D0E8E" w:rsidRPr="001E48AC" w:rsidRDefault="009D0E8E" w:rsidP="001D3038">
      <w:pPr>
        <w:pStyle w:val="ListParagraph"/>
        <w:numPr>
          <w:ilvl w:val="0"/>
          <w:numId w:val="35"/>
        </w:numPr>
        <w:shd w:val="clear" w:color="auto" w:fill="FEFEFE"/>
        <w:spacing w:after="0" w:line="240" w:lineRule="auto"/>
        <w:contextualSpacing w:val="0"/>
        <w:jc w:val="both"/>
        <w:rPr>
          <w:rFonts w:ascii="Times New Roman" w:hAnsi="Times New Roman"/>
          <w:sz w:val="28"/>
          <w:szCs w:val="28"/>
        </w:rPr>
      </w:pPr>
      <w:r w:rsidRPr="001E48AC">
        <w:rPr>
          <w:rFonts w:ascii="Times New Roman" w:hAnsi="Times New Roman"/>
          <w:sz w:val="28"/>
          <w:szCs w:val="28"/>
        </w:rPr>
        <w:lastRenderedPageBreak/>
        <w:t>atbildīgo pušu pienākuma apjomu sadalījumā pa gadiem un tā noteikšanas metodiku atbilstoši Direktīvā 2012/27/ES noteiktajam enerģijas ietaupījumu uzkrāšanās (kumulācijas) principam</w:t>
      </w:r>
      <w:r w:rsidR="00B62B4A" w:rsidRPr="001E48AC">
        <w:rPr>
          <w:rFonts w:ascii="Times New Roman" w:hAnsi="Times New Roman"/>
          <w:sz w:val="28"/>
          <w:szCs w:val="28"/>
        </w:rPr>
        <w:t xml:space="preserve"> nosaka, pamatojoties uz komersantu ikgadējo pārdoto enerģijas apjomu tādiem lietotājiem, kuri nav lielie uzņēmumi un lielie elektroenerģijas patērētāji atbilstoši Energoefektivitātes likumā noteiktajiem kritērijiem</w:t>
      </w:r>
      <w:r w:rsidRPr="001E48AC">
        <w:rPr>
          <w:rFonts w:ascii="Times New Roman" w:hAnsi="Times New Roman"/>
          <w:sz w:val="28"/>
          <w:szCs w:val="28"/>
        </w:rPr>
        <w:t>,</w:t>
      </w:r>
    </w:p>
    <w:p w14:paraId="09D5162C" w14:textId="1BBB43E7" w:rsidR="009D0E8E" w:rsidRPr="001E48AC" w:rsidRDefault="009D0E8E" w:rsidP="001D3038">
      <w:pPr>
        <w:pStyle w:val="ListParagraph"/>
        <w:numPr>
          <w:ilvl w:val="0"/>
          <w:numId w:val="35"/>
        </w:numPr>
        <w:shd w:val="clear" w:color="auto" w:fill="FEFEFE"/>
        <w:spacing w:after="0" w:line="240" w:lineRule="auto"/>
        <w:contextualSpacing w:val="0"/>
        <w:jc w:val="both"/>
        <w:rPr>
          <w:rFonts w:ascii="Times New Roman" w:hAnsi="Times New Roman"/>
          <w:sz w:val="28"/>
          <w:szCs w:val="28"/>
        </w:rPr>
      </w:pPr>
      <w:r w:rsidRPr="001E48AC">
        <w:rPr>
          <w:rFonts w:ascii="Times New Roman" w:hAnsi="Times New Roman"/>
          <w:sz w:val="28"/>
          <w:szCs w:val="28"/>
        </w:rPr>
        <w:t>energoefektivitātes pasākumu veid</w:t>
      </w:r>
      <w:r w:rsidR="00B62B4A" w:rsidRPr="001E48AC">
        <w:rPr>
          <w:rFonts w:ascii="Times New Roman" w:hAnsi="Times New Roman"/>
          <w:sz w:val="28"/>
          <w:szCs w:val="28"/>
        </w:rPr>
        <w:t>i</w:t>
      </w:r>
      <w:r w:rsidRPr="001E48AC">
        <w:rPr>
          <w:rFonts w:ascii="Times New Roman" w:hAnsi="Times New Roman"/>
          <w:sz w:val="28"/>
          <w:szCs w:val="28"/>
        </w:rPr>
        <w:t xml:space="preserve">, kurus var veikt atbildīgās puses, </w:t>
      </w:r>
      <w:r w:rsidR="00BE2B44" w:rsidRPr="001E48AC">
        <w:rPr>
          <w:rFonts w:ascii="Times New Roman" w:hAnsi="Times New Roman"/>
          <w:sz w:val="28"/>
          <w:szCs w:val="28"/>
        </w:rPr>
        <w:t xml:space="preserve">ir pasākumi pie gala patērētāja, patērētāju informēšana un iemaksas energoefektivitātes fondā, </w:t>
      </w:r>
    </w:p>
    <w:p w14:paraId="4EC03DC5" w14:textId="0013B945" w:rsidR="009D0E8E" w:rsidRPr="001E48AC" w:rsidRDefault="009D0E8E" w:rsidP="001D3038">
      <w:pPr>
        <w:pStyle w:val="ListParagraph"/>
        <w:numPr>
          <w:ilvl w:val="0"/>
          <w:numId w:val="35"/>
        </w:numPr>
        <w:shd w:val="clear" w:color="auto" w:fill="FEFEFE"/>
        <w:spacing w:after="0" w:line="240" w:lineRule="auto"/>
        <w:contextualSpacing w:val="0"/>
        <w:jc w:val="both"/>
        <w:rPr>
          <w:rFonts w:ascii="Times New Roman" w:hAnsi="Times New Roman" w:cs="Times New Roman"/>
          <w:sz w:val="28"/>
          <w:szCs w:val="28"/>
        </w:rPr>
      </w:pPr>
      <w:r w:rsidRPr="001E48AC">
        <w:rPr>
          <w:rFonts w:ascii="Times New Roman" w:hAnsi="Times New Roman" w:cs="Times New Roman"/>
          <w:sz w:val="28"/>
          <w:szCs w:val="28"/>
        </w:rPr>
        <w:t>izmaksas</w:t>
      </w:r>
      <w:r w:rsidRPr="001E48AC">
        <w:rPr>
          <w:rFonts w:ascii="Times New Roman" w:eastAsia="Times New Roman" w:hAnsi="Times New Roman" w:cs="Times New Roman"/>
          <w:sz w:val="28"/>
          <w:szCs w:val="28"/>
        </w:rPr>
        <w:t>, kas atbildīgajai pusei radušās par energoefektivitātes uzlabošanas pasākumiem pie galalietotāja</w:t>
      </w:r>
      <w:r w:rsidR="00BE2B44" w:rsidRPr="001E48AC">
        <w:rPr>
          <w:rFonts w:ascii="Times New Roman" w:hAnsi="Times New Roman" w:cs="Times New Roman"/>
          <w:sz w:val="28"/>
          <w:szCs w:val="28"/>
        </w:rPr>
        <w:t xml:space="preserve"> un </w:t>
      </w:r>
      <w:r w:rsidR="00BE2B44" w:rsidRPr="001E48AC">
        <w:rPr>
          <w:rFonts w:ascii="Times New Roman" w:eastAsia="Times New Roman" w:hAnsi="Times New Roman" w:cs="Times New Roman"/>
          <w:sz w:val="28"/>
          <w:szCs w:val="28"/>
        </w:rPr>
        <w:t>iemaksas valsts  energoefektivitātes fondā</w:t>
      </w:r>
      <w:r w:rsidRPr="001E48AC">
        <w:rPr>
          <w:rFonts w:ascii="Times New Roman" w:eastAsia="Times New Roman" w:hAnsi="Times New Roman" w:cs="Times New Roman"/>
          <w:sz w:val="28"/>
          <w:szCs w:val="28"/>
        </w:rPr>
        <w:t xml:space="preserve">  var atgūt, iekļaujot maksā par enerģiju</w:t>
      </w:r>
      <w:r w:rsidR="00BE2B44" w:rsidRPr="001E48AC">
        <w:rPr>
          <w:rFonts w:ascii="Times New Roman" w:eastAsia="Times New Roman" w:hAnsi="Times New Roman" w:cs="Times New Roman"/>
          <w:sz w:val="28"/>
          <w:szCs w:val="28"/>
        </w:rPr>
        <w:t>.</w:t>
      </w:r>
    </w:p>
    <w:p w14:paraId="400E99B7" w14:textId="03E82ADB" w:rsidR="009D0E8E" w:rsidRPr="001E48AC" w:rsidRDefault="009D0E8E" w:rsidP="00B329F1">
      <w:pPr>
        <w:pStyle w:val="ListParagraph"/>
        <w:shd w:val="clear" w:color="auto" w:fill="FEFEFE"/>
        <w:spacing w:after="0" w:line="240" w:lineRule="auto"/>
        <w:contextualSpacing w:val="0"/>
        <w:jc w:val="both"/>
        <w:rPr>
          <w:rFonts w:ascii="Times New Roman" w:hAnsi="Times New Roman"/>
          <w:sz w:val="28"/>
          <w:szCs w:val="28"/>
        </w:rPr>
      </w:pPr>
    </w:p>
    <w:p w14:paraId="2695BD85" w14:textId="77777777" w:rsidR="00BE2B44" w:rsidRPr="001E48AC" w:rsidRDefault="00B62B4A" w:rsidP="001D3038">
      <w:pPr>
        <w:shd w:val="clear" w:color="auto" w:fill="FEFEFE"/>
        <w:spacing w:after="0" w:line="240" w:lineRule="auto"/>
        <w:ind w:firstLine="360"/>
        <w:jc w:val="both"/>
        <w:rPr>
          <w:szCs w:val="28"/>
        </w:rPr>
      </w:pPr>
      <w:r w:rsidRPr="001E48AC">
        <w:rPr>
          <w:szCs w:val="28"/>
        </w:rPr>
        <w:t xml:space="preserve">EPS iekļaujamās nozares un atbildīgo pušu izvēles kritēriji tiks pārskatīti un noteikti vismaz 6 mēnešus pirms katra saistību perioda beigām. Tādējādi līdz 2020.gada 1.jūlijam Ministru kabinetam būs jāpieņem lēmums attiecībā uz  papildus nozaru iekļaušanu EPS. </w:t>
      </w:r>
    </w:p>
    <w:p w14:paraId="4CB2E0CA" w14:textId="77777777" w:rsidR="00BE2B44" w:rsidRPr="001E48AC" w:rsidRDefault="00B62B4A" w:rsidP="001D3038">
      <w:pPr>
        <w:shd w:val="clear" w:color="auto" w:fill="FEFEFE"/>
        <w:spacing w:after="0" w:line="240" w:lineRule="auto"/>
        <w:ind w:firstLine="720"/>
        <w:jc w:val="both"/>
        <w:rPr>
          <w:szCs w:val="28"/>
        </w:rPr>
      </w:pPr>
      <w:r w:rsidRPr="001E48AC">
        <w:rPr>
          <w:szCs w:val="28"/>
        </w:rPr>
        <w:t xml:space="preserve">Nozares kurās darbojas enerģijas sadales un enerģijas mazumtirdzniecības komersanti, ir elektroenerģija, gāzes apgāde, siltumenerģijas apgāde, kā arī transporta degvielu un citu kurināmo apgāde. Līdz 2020.gadam tiks aprobēti divi mehānismi (EPS un brīvprātīgās vienošanās slēgšana), kas ES valstīs jau tiek lietoti plaša mēroga galapatērētāju energoefektivitātes veicināšanai. Gadījumā, ja vienošanās neuzrāda pietiekamu efektivitāti, otrajā saistību periodā </w:t>
      </w:r>
      <w:r w:rsidR="00BE2B44" w:rsidRPr="001E48AC">
        <w:rPr>
          <w:szCs w:val="28"/>
        </w:rPr>
        <w:t xml:space="preserve">tiks izskatīta </w:t>
      </w:r>
      <w:r w:rsidRPr="001E48AC">
        <w:rPr>
          <w:szCs w:val="28"/>
        </w:rPr>
        <w:t xml:space="preserve">citu nozaru, piemēram, centralizēto siltumapgādes un  gāzes apgādes iekļaušana EPS. </w:t>
      </w:r>
    </w:p>
    <w:p w14:paraId="501FEEC5" w14:textId="7CC0BD16" w:rsidR="000A0E2C" w:rsidRPr="001E48AC" w:rsidRDefault="00B62B4A" w:rsidP="007942A4">
      <w:pPr>
        <w:spacing w:after="0" w:line="240" w:lineRule="auto"/>
        <w:ind w:firstLine="720"/>
        <w:jc w:val="both"/>
      </w:pPr>
      <w:r w:rsidRPr="001E48AC">
        <w:t xml:space="preserve">Lēmuma pieņemšanā otrajam un turpmākajiem EPS saistību periodiem tiks vērtēta  uzkrātā pieredze EPS ieviešanā, tostarp kopējā EPS sistēmas darbība, ietekme uz energoefektivitātes pasākumu veicināšanu un EPS radītās izmaksas un ieguvumi atbildīgajām pusēm un gala patērētājiem. </w:t>
      </w:r>
      <w:r w:rsidR="001A46E8" w:rsidRPr="001E48AC">
        <w:t>3.1.3. Ar EPS sasniedzamie ietaupījumi</w:t>
      </w:r>
    </w:p>
    <w:p w14:paraId="53CBFF0E" w14:textId="1DDBDD1C" w:rsidR="001A46E8" w:rsidRPr="001E48AC" w:rsidRDefault="001A46E8" w:rsidP="007942A4">
      <w:pPr>
        <w:spacing w:after="0" w:line="240" w:lineRule="auto"/>
        <w:ind w:firstLine="720"/>
        <w:jc w:val="both"/>
      </w:pPr>
      <w:r w:rsidRPr="001E48AC">
        <w:t>Starta un pirmajā saistību periodā līdz 2020.gadam atbildīgās puses ir elektroenerģijas tirgotāji, un to pienākuma apjomu nosaka, pamatojoties uz komersantu ikgadējo pārdoto enerģijas apjomu tādiem lietotājiem, kuri nav lielie uzņēmumi un lielie elektroenerģijas patērētāji atbilstoši Energoefektivitātes likumā noteiktajiem kritērijiem. Līdz ar to EPS pirmajā periodā enerģijas plānotie sasniedzamie ietaupījumi no elektroenerģijas mazumtirdzniecības komersantu aktivitātēm pie gala lietotājiem veidos vien nelielu daļu no obligātā ietaupījumu mērķa. Tā kā EPS atbildīgo pušu pienākuma apjoms ir dinamisks – tas tiek piesaistīts ikgadējam pārdotajam elektroenerģijas apjomam - EPS ieviešanas rezultātā iegūtais kopējais enerģijas ietaupījums nav precīzi aprēķināms. Novērtējums rāda, ka pirmajā EPS saistību periodā tas varētu būt ap 234 GWh.</w:t>
      </w:r>
    </w:p>
    <w:p w14:paraId="2C4467DE" w14:textId="02A04A4A" w:rsidR="00611B34" w:rsidRPr="001E48AC" w:rsidRDefault="00260956" w:rsidP="0022103B">
      <w:pPr>
        <w:pStyle w:val="Heading3"/>
        <w:rPr>
          <w:color w:val="auto"/>
        </w:rPr>
      </w:pPr>
      <w:bookmarkStart w:id="16" w:name="_Toc482711527"/>
      <w:r w:rsidRPr="001E48AC">
        <w:rPr>
          <w:color w:val="auto"/>
        </w:rPr>
        <w:lastRenderedPageBreak/>
        <w:t>3.1.</w:t>
      </w:r>
      <w:r w:rsidR="004D5351" w:rsidRPr="001E48AC">
        <w:rPr>
          <w:color w:val="auto"/>
        </w:rPr>
        <w:t>3</w:t>
      </w:r>
      <w:r w:rsidR="00611B34" w:rsidRPr="001E48AC">
        <w:rPr>
          <w:color w:val="auto"/>
        </w:rPr>
        <w:t xml:space="preserve">. </w:t>
      </w:r>
      <w:r w:rsidR="001B6D88" w:rsidRPr="001E48AC">
        <w:rPr>
          <w:color w:val="auto"/>
        </w:rPr>
        <w:t>Īstenotie a</w:t>
      </w:r>
      <w:r w:rsidR="00611B34" w:rsidRPr="001E48AC">
        <w:rPr>
          <w:color w:val="auto"/>
        </w:rPr>
        <w:t>lternatīvie politikas pasākumi</w:t>
      </w:r>
      <w:bookmarkEnd w:id="16"/>
    </w:p>
    <w:p w14:paraId="5348ADC1" w14:textId="3C39F0F6" w:rsidR="00C461E5" w:rsidRPr="001E48AC" w:rsidRDefault="00C461E5" w:rsidP="001D3038">
      <w:pPr>
        <w:spacing w:after="0" w:line="240" w:lineRule="auto"/>
        <w:ind w:firstLine="720"/>
        <w:jc w:val="both"/>
        <w:rPr>
          <w:rFonts w:eastAsia="Times New Roman" w:cs="Times New Roman"/>
          <w:szCs w:val="28"/>
          <w:lang w:eastAsia="lv-LV"/>
        </w:rPr>
      </w:pPr>
      <w:r w:rsidRPr="001E48AC">
        <w:rPr>
          <w:rFonts w:eastAsia="Times New Roman" w:cs="Times New Roman"/>
          <w:szCs w:val="28"/>
          <w:lang w:eastAsia="lv-LV"/>
        </w:rPr>
        <w:t>Īstenotie politikas pasākumi valsts obligātā uzkrātā (kumulatīvā) gala enerģijas ietaupījuma mērķa sasniegšanai ir uzskaitīti šī ziņojuma 2.4.2. sadaļā.</w:t>
      </w:r>
      <w:r w:rsidRPr="001E48AC">
        <w:t xml:space="preserve"> Savukārt </w:t>
      </w:r>
      <w:r w:rsidRPr="001E48AC">
        <w:rPr>
          <w:rFonts w:eastAsia="Times New Roman" w:cs="Times New Roman"/>
          <w:szCs w:val="28"/>
          <w:lang w:eastAsia="lv-LV"/>
        </w:rPr>
        <w:t>5.tabulā parādīts līdz 2015.gadam (ieskaitot) sasniegtais enerģijas ietaupījums, kas ieskaitāms valsts obligātā kumulatīvā (uzkrātā) gala enerģijas ietaupījuma mērķa 2014.-2020.gadam izpildei.</w:t>
      </w:r>
      <w:r w:rsidRPr="001E48AC">
        <w:t xml:space="preserve"> I</w:t>
      </w:r>
      <w:r w:rsidRPr="001E48AC">
        <w:rPr>
          <w:rFonts w:eastAsia="Times New Roman" w:cs="Times New Roman"/>
          <w:szCs w:val="28"/>
          <w:lang w:eastAsia="lv-LV"/>
        </w:rPr>
        <w:t>eviestie energoefektivitātes pasākumi kumulatīvo (uzkrāto) ietaupījumu   1444 GWh apjomā, kas ir 14,6% no mērķa kopējā apjoma.</w:t>
      </w:r>
    </w:p>
    <w:p w14:paraId="7CB935A5" w14:textId="074F0E83" w:rsidR="00C461E5" w:rsidRPr="001E48AC" w:rsidRDefault="00C461E5" w:rsidP="007942A4">
      <w:pPr>
        <w:pStyle w:val="Heading3"/>
        <w:rPr>
          <w:rFonts w:eastAsia="Times New Roman"/>
          <w:color w:val="auto"/>
          <w:lang w:eastAsia="lv-LV"/>
        </w:rPr>
      </w:pPr>
      <w:bookmarkStart w:id="17" w:name="_Toc482711528"/>
      <w:r w:rsidRPr="001E48AC">
        <w:rPr>
          <w:rFonts w:eastAsia="Times New Roman"/>
          <w:color w:val="auto"/>
          <w:lang w:eastAsia="lv-LV"/>
        </w:rPr>
        <w:t>3.1.</w:t>
      </w:r>
      <w:r w:rsidR="004D5351" w:rsidRPr="001E48AC">
        <w:rPr>
          <w:rFonts w:eastAsia="Times New Roman"/>
          <w:color w:val="auto"/>
          <w:lang w:eastAsia="lv-LV"/>
        </w:rPr>
        <w:t>4</w:t>
      </w:r>
      <w:r w:rsidRPr="001E48AC">
        <w:rPr>
          <w:rFonts w:eastAsia="Times New Roman"/>
          <w:color w:val="auto"/>
          <w:lang w:eastAsia="lv-LV"/>
        </w:rPr>
        <w:t>. Plānotie alternatīvie politikas pasākumi</w:t>
      </w:r>
      <w:bookmarkEnd w:id="17"/>
    </w:p>
    <w:p w14:paraId="3E371CF8" w14:textId="1921BD77" w:rsidR="00C23847" w:rsidRPr="001E48AC" w:rsidRDefault="008029A7" w:rsidP="001D3038">
      <w:pPr>
        <w:spacing w:after="0" w:line="240" w:lineRule="auto"/>
        <w:ind w:firstLine="720"/>
        <w:jc w:val="both"/>
        <w:rPr>
          <w:rFonts w:eastAsia="Times New Roman" w:cs="Times New Roman"/>
          <w:szCs w:val="28"/>
          <w:lang w:eastAsia="lv-LV"/>
        </w:rPr>
      </w:pPr>
      <w:r w:rsidRPr="001E48AC">
        <w:rPr>
          <w:rFonts w:eastAsia="Times New Roman" w:cs="Times New Roman"/>
          <w:szCs w:val="28"/>
          <w:lang w:eastAsia="lv-LV"/>
        </w:rPr>
        <w:t xml:space="preserve">Tā kā ar EPS </w:t>
      </w:r>
      <w:r w:rsidR="00BE2B44" w:rsidRPr="001E48AC">
        <w:rPr>
          <w:rFonts w:eastAsia="Times New Roman" w:cs="Times New Roman"/>
          <w:szCs w:val="28"/>
          <w:lang w:eastAsia="lv-LV"/>
        </w:rPr>
        <w:t xml:space="preserve">pirmajā periodā enerģijas </w:t>
      </w:r>
      <w:r w:rsidRPr="001E48AC">
        <w:rPr>
          <w:rFonts w:eastAsia="Times New Roman" w:cs="Times New Roman"/>
          <w:szCs w:val="28"/>
          <w:lang w:eastAsia="lv-LV"/>
        </w:rPr>
        <w:t xml:space="preserve"> ietaupījumi </w:t>
      </w:r>
      <w:r w:rsidR="00BE2B44" w:rsidRPr="001E48AC">
        <w:rPr>
          <w:rFonts w:eastAsia="Times New Roman" w:cs="Times New Roman"/>
          <w:szCs w:val="28"/>
          <w:lang w:eastAsia="lv-LV"/>
        </w:rPr>
        <w:t xml:space="preserve">no elektroenerģijas mazumtirdzniecības komersantu aktivitātēm pie gala lietotājiem </w:t>
      </w:r>
      <w:r w:rsidRPr="001E48AC">
        <w:rPr>
          <w:rFonts w:eastAsia="Times New Roman" w:cs="Times New Roman"/>
          <w:szCs w:val="28"/>
          <w:lang w:eastAsia="lv-LV"/>
        </w:rPr>
        <w:t xml:space="preserve">veidos vien nelielu daļu no obligātā ietaupījumu mērķa 2020.gadā, tad  būtiskāko daļu no </w:t>
      </w:r>
      <w:r w:rsidR="00E4571E" w:rsidRPr="001E48AC">
        <w:rPr>
          <w:rFonts w:eastAsia="Times New Roman" w:cs="Times New Roman"/>
          <w:szCs w:val="28"/>
          <w:lang w:eastAsia="lv-LV"/>
        </w:rPr>
        <w:t>aprēķinātā obligātā ietaupījumu mērķa plānots sasniegt ar alternatīviem pasākumiem. Alternatīvie pasākumi galvenokārt ir</w:t>
      </w:r>
      <w:r w:rsidRPr="001E48AC">
        <w:rPr>
          <w:rFonts w:eastAsia="Times New Roman" w:cs="Times New Roman"/>
          <w:szCs w:val="28"/>
          <w:lang w:eastAsia="lv-LV"/>
        </w:rPr>
        <w:t xml:space="preserve"> </w:t>
      </w:r>
      <w:r w:rsidR="00BF2B06" w:rsidRPr="001E48AC">
        <w:rPr>
          <w:rFonts w:eastAsia="Times New Roman" w:cs="Times New Roman"/>
          <w:szCs w:val="28"/>
          <w:lang w:eastAsia="lv-LV"/>
        </w:rPr>
        <w:t xml:space="preserve">Latvijas </w:t>
      </w:r>
      <w:r w:rsidR="00E4571E" w:rsidRPr="001E48AC">
        <w:rPr>
          <w:rFonts w:eastAsia="Times New Roman" w:cs="Times New Roman"/>
          <w:szCs w:val="28"/>
          <w:lang w:eastAsia="lv-LV"/>
        </w:rPr>
        <w:t>N</w:t>
      </w:r>
      <w:r w:rsidR="00BF2B06" w:rsidRPr="001E48AC">
        <w:rPr>
          <w:rFonts w:eastAsia="Times New Roman" w:cs="Times New Roman"/>
          <w:szCs w:val="28"/>
          <w:lang w:eastAsia="lv-LV"/>
        </w:rPr>
        <w:t>acionāl</w:t>
      </w:r>
      <w:r w:rsidR="004E1E6E" w:rsidRPr="001E48AC">
        <w:rPr>
          <w:rFonts w:eastAsia="Times New Roman" w:cs="Times New Roman"/>
          <w:szCs w:val="28"/>
          <w:lang w:eastAsia="lv-LV"/>
        </w:rPr>
        <w:t>aj</w:t>
      </w:r>
      <w:r w:rsidR="00BF2B06" w:rsidRPr="001E48AC">
        <w:rPr>
          <w:rFonts w:eastAsia="Times New Roman" w:cs="Times New Roman"/>
          <w:szCs w:val="28"/>
          <w:lang w:eastAsia="lv-LV"/>
        </w:rPr>
        <w:t>ā  attīstības plān</w:t>
      </w:r>
      <w:r w:rsidR="004E1E6E" w:rsidRPr="001E48AC">
        <w:rPr>
          <w:rFonts w:eastAsia="Times New Roman" w:cs="Times New Roman"/>
          <w:szCs w:val="28"/>
          <w:lang w:eastAsia="lv-LV"/>
        </w:rPr>
        <w:t>ā</w:t>
      </w:r>
      <w:r w:rsidR="00BF2B06" w:rsidRPr="001E48AC">
        <w:rPr>
          <w:rFonts w:eastAsia="Times New Roman" w:cs="Times New Roman"/>
          <w:szCs w:val="28"/>
          <w:lang w:eastAsia="lv-LV"/>
        </w:rPr>
        <w:t xml:space="preserve"> 2014. – 2020.gadam</w:t>
      </w:r>
      <w:r w:rsidR="004E1E6E" w:rsidRPr="001E48AC">
        <w:rPr>
          <w:rStyle w:val="FootnoteReference"/>
          <w:rFonts w:eastAsia="Times New Roman" w:cs="Times New Roman"/>
          <w:szCs w:val="28"/>
          <w:lang w:eastAsia="lv-LV"/>
        </w:rPr>
        <w:footnoteReference w:id="18"/>
      </w:r>
      <w:r w:rsidR="00BF2B06" w:rsidRPr="001E48AC">
        <w:rPr>
          <w:rFonts w:eastAsia="Times New Roman" w:cs="Times New Roman"/>
          <w:szCs w:val="28"/>
          <w:lang w:eastAsia="lv-LV"/>
        </w:rPr>
        <w:t xml:space="preserve"> </w:t>
      </w:r>
      <w:r w:rsidR="00E4571E" w:rsidRPr="001E48AC">
        <w:rPr>
          <w:rFonts w:eastAsia="Times New Roman" w:cs="Times New Roman"/>
          <w:szCs w:val="28"/>
          <w:lang w:eastAsia="lv-LV"/>
        </w:rPr>
        <w:t xml:space="preserve"> iekļautās rīcības un to ieviešanai plānotās </w:t>
      </w:r>
      <w:r w:rsidR="00CF2707" w:rsidRPr="001E48AC">
        <w:rPr>
          <w:rFonts w:cs="Times New Roman"/>
          <w:b/>
          <w:bCs/>
          <w:szCs w:val="28"/>
          <w:bdr w:val="none" w:sz="0" w:space="0" w:color="auto" w:frame="1"/>
          <w:shd w:val="clear" w:color="auto" w:fill="FFFFFF"/>
        </w:rPr>
        <w:t xml:space="preserve"> </w:t>
      </w:r>
      <w:r w:rsidR="00DF5BCD" w:rsidRPr="001E48AC">
        <w:rPr>
          <w:rFonts w:cs="Times New Roman"/>
          <w:bCs/>
          <w:szCs w:val="28"/>
          <w:bdr w:val="none" w:sz="0" w:space="0" w:color="auto" w:frame="1"/>
          <w:shd w:val="clear" w:color="auto" w:fill="FFFFFF"/>
        </w:rPr>
        <w:t>Eir</w:t>
      </w:r>
      <w:r w:rsidR="00CF2707" w:rsidRPr="001E48AC">
        <w:rPr>
          <w:rFonts w:cs="Times New Roman"/>
          <w:bCs/>
          <w:szCs w:val="28"/>
          <w:bdr w:val="none" w:sz="0" w:space="0" w:color="auto" w:frame="1"/>
          <w:shd w:val="clear" w:color="auto" w:fill="FFFFFF"/>
        </w:rPr>
        <w:t>opas Reģionālās attīstības fonda</w:t>
      </w:r>
      <w:r w:rsidR="00DF5BCD" w:rsidRPr="001E48AC">
        <w:rPr>
          <w:rFonts w:cs="Times New Roman"/>
          <w:szCs w:val="28"/>
          <w:shd w:val="clear" w:color="auto" w:fill="FFFFFF"/>
        </w:rPr>
        <w:t> (ERAF)</w:t>
      </w:r>
      <w:r w:rsidR="00CF2707" w:rsidRPr="001E48AC">
        <w:rPr>
          <w:rFonts w:cs="Times New Roman"/>
          <w:szCs w:val="28"/>
          <w:shd w:val="clear" w:color="auto" w:fill="FFFFFF"/>
        </w:rPr>
        <w:t xml:space="preserve"> un</w:t>
      </w:r>
      <w:r w:rsidR="00DF5BCD" w:rsidRPr="001E48AC">
        <w:rPr>
          <w:rFonts w:cs="Times New Roman"/>
          <w:szCs w:val="28"/>
          <w:shd w:val="clear" w:color="auto" w:fill="FFFFFF"/>
        </w:rPr>
        <w:t> </w:t>
      </w:r>
      <w:r w:rsidR="00CF2707" w:rsidRPr="001E48AC">
        <w:rPr>
          <w:rFonts w:cs="Times New Roman"/>
          <w:bCs/>
          <w:szCs w:val="28"/>
          <w:bdr w:val="none" w:sz="0" w:space="0" w:color="auto" w:frame="1"/>
          <w:shd w:val="clear" w:color="auto" w:fill="FFFFFF"/>
        </w:rPr>
        <w:t>Kohēzijas fonda</w:t>
      </w:r>
      <w:r w:rsidR="00DF5BCD" w:rsidRPr="001E48AC">
        <w:rPr>
          <w:rFonts w:cs="Times New Roman"/>
          <w:szCs w:val="28"/>
          <w:shd w:val="clear" w:color="auto" w:fill="FFFFFF"/>
        </w:rPr>
        <w:t> (KF)</w:t>
      </w:r>
      <w:r w:rsidR="00CF2707" w:rsidRPr="001E48AC">
        <w:rPr>
          <w:rFonts w:cs="Times New Roman"/>
          <w:szCs w:val="28"/>
          <w:shd w:val="clear" w:color="auto" w:fill="FFFFFF"/>
        </w:rPr>
        <w:t xml:space="preserve"> (turpmāk – ES fondu)</w:t>
      </w:r>
      <w:r w:rsidR="00E4571E" w:rsidRPr="001E48AC">
        <w:rPr>
          <w:rFonts w:eastAsia="Times New Roman" w:cs="Times New Roman"/>
          <w:szCs w:val="28"/>
          <w:lang w:eastAsia="lv-LV"/>
        </w:rPr>
        <w:t xml:space="preserve"> programmas</w:t>
      </w:r>
      <w:r w:rsidR="004E1E6E" w:rsidRPr="001E48AC">
        <w:rPr>
          <w:rFonts w:eastAsia="Times New Roman" w:cs="Times New Roman"/>
          <w:szCs w:val="28"/>
          <w:lang w:eastAsia="lv-LV"/>
        </w:rPr>
        <w:t xml:space="preserve">, </w:t>
      </w:r>
      <w:r w:rsidR="00CF2707" w:rsidRPr="001E48AC">
        <w:rPr>
          <w:rFonts w:eastAsia="Times New Roman" w:cs="Times New Roman"/>
          <w:szCs w:val="28"/>
          <w:lang w:eastAsia="lv-LV"/>
        </w:rPr>
        <w:t xml:space="preserve">Klimata pārmaiņu finanšu instrumenta (turpmāk – KPFI) projektu konkursi, </w:t>
      </w:r>
      <w:r w:rsidR="004E1E6E" w:rsidRPr="001E48AC">
        <w:rPr>
          <w:rFonts w:eastAsia="Times New Roman" w:cs="Times New Roman"/>
          <w:szCs w:val="28"/>
          <w:lang w:eastAsia="lv-LV"/>
        </w:rPr>
        <w:t>Energoefektivitātes likumā noteiktās īpašās prasības uzņēmumu, valsts iestāžu un  pašvaldību energoefektivitātei</w:t>
      </w:r>
      <w:r w:rsidR="00CB2CD7" w:rsidRPr="001E48AC">
        <w:rPr>
          <w:rFonts w:eastAsia="Times New Roman" w:cs="Times New Roman"/>
          <w:szCs w:val="28"/>
          <w:lang w:eastAsia="lv-LV"/>
        </w:rPr>
        <w:t>, kā arī brīvprātīgas vienošanās par energoefektivitātes uzlabošanu saskaņā ar Ministru kabineta 2016. gada 11. oktobra noteikumiem Nr. 669 “Kārtība, kādā noslēdz un pārrauga brīvprātīgu vienošanos par energoefektivitātes uzlabošanu”</w:t>
      </w:r>
      <w:r w:rsidR="00CB2CD7" w:rsidRPr="001E48AC">
        <w:rPr>
          <w:rStyle w:val="FootnoteReference"/>
          <w:rFonts w:eastAsia="Times New Roman" w:cs="Times New Roman"/>
          <w:szCs w:val="28"/>
          <w:lang w:eastAsia="lv-LV"/>
        </w:rPr>
        <w:footnoteReference w:id="19"/>
      </w:r>
      <w:r w:rsidR="004E1E6E" w:rsidRPr="001E48AC">
        <w:rPr>
          <w:rFonts w:eastAsia="Times New Roman" w:cs="Times New Roman"/>
          <w:szCs w:val="28"/>
          <w:lang w:eastAsia="lv-LV"/>
        </w:rPr>
        <w:t>.</w:t>
      </w:r>
    </w:p>
    <w:p w14:paraId="1EDBB0F3" w14:textId="3ACFD92B" w:rsidR="00C54852" w:rsidRPr="001E48AC" w:rsidRDefault="00EA25E3" w:rsidP="00EA25E3">
      <w:pPr>
        <w:spacing w:after="0" w:line="240" w:lineRule="auto"/>
        <w:ind w:firstLine="720"/>
        <w:jc w:val="both"/>
        <w:rPr>
          <w:rFonts w:eastAsia="Times New Roman" w:cs="Times New Roman"/>
          <w:szCs w:val="28"/>
          <w:lang w:eastAsia="lv-LV"/>
        </w:rPr>
      </w:pPr>
      <w:r w:rsidRPr="001E48AC">
        <w:rPr>
          <w:rFonts w:eastAsia="Times New Roman" w:cs="Times New Roman"/>
          <w:szCs w:val="28"/>
          <w:lang w:eastAsia="lv-LV"/>
        </w:rPr>
        <w:t xml:space="preserve">Atbilstoši Energoefektivitātes likuma 4.panta otrajam punktam, Ekonomikas ministrija ir izstrādājusi </w:t>
      </w:r>
      <w:r w:rsidR="00F34BE7" w:rsidRPr="001E48AC">
        <w:rPr>
          <w:rFonts w:eastAsia="Times New Roman" w:cs="Times New Roman"/>
          <w:szCs w:val="28"/>
          <w:lang w:eastAsia="lv-LV"/>
        </w:rPr>
        <w:t>Energoefektivitātes politikas alternatīvo pasākumu plān</w:t>
      </w:r>
      <w:r w:rsidRPr="001E48AC">
        <w:rPr>
          <w:rFonts w:eastAsia="Times New Roman" w:cs="Times New Roman"/>
          <w:szCs w:val="28"/>
          <w:lang w:eastAsia="lv-LV"/>
        </w:rPr>
        <w:t>u</w:t>
      </w:r>
      <w:r w:rsidR="00F34BE7" w:rsidRPr="001E48AC">
        <w:rPr>
          <w:rFonts w:eastAsia="Times New Roman" w:cs="Times New Roman"/>
          <w:szCs w:val="28"/>
          <w:lang w:eastAsia="lv-LV"/>
        </w:rPr>
        <w:t xml:space="preserve"> enerģijas galapatēriņa ietaupījuma mērķa 2014.–2020. gadam sasniegšanai”</w:t>
      </w:r>
      <w:r w:rsidR="00C54852" w:rsidRPr="001E48AC">
        <w:rPr>
          <w:rFonts w:eastAsia="Times New Roman" w:cs="Times New Roman"/>
          <w:szCs w:val="28"/>
          <w:lang w:eastAsia="lv-LV"/>
        </w:rPr>
        <w:t xml:space="preserve"> (turpmāk – Plāns).</w:t>
      </w:r>
      <w:r w:rsidR="00C54852" w:rsidRPr="001E48AC">
        <w:rPr>
          <w:rFonts w:cs="Times New Roman"/>
          <w:szCs w:val="28"/>
        </w:rPr>
        <w:t xml:space="preserve">Plāna mērķis ir </w:t>
      </w:r>
      <w:r w:rsidR="00C54852" w:rsidRPr="001E48AC">
        <w:rPr>
          <w:rFonts w:cs="Times New Roman"/>
          <w:bCs/>
          <w:szCs w:val="28"/>
        </w:rPr>
        <w:t>nodrošināt valsts un pašvaldību īstenotus energoefektivitātes politikas pasākumus enerģijas galapatēriņā, kas saskaņā ar Energoefektivitātes likumu ir kombinējami ar EPS, lai sasniegtu Ziņojuma 2.2.apakšpunktā minēto valsts obligāto uzkrāto</w:t>
      </w:r>
      <w:r w:rsidR="00C54852" w:rsidRPr="001E48AC">
        <w:rPr>
          <w:rStyle w:val="FootnoteReference"/>
          <w:rFonts w:eastAsia="Times New Roman"/>
          <w:szCs w:val="28"/>
          <w:lang w:eastAsia="lv-LV"/>
        </w:rPr>
        <w:footnoteReference w:id="20"/>
      </w:r>
      <w:r w:rsidR="00C54852" w:rsidRPr="001E48AC">
        <w:rPr>
          <w:rFonts w:cs="Times New Roman"/>
          <w:bCs/>
          <w:szCs w:val="28"/>
        </w:rPr>
        <w:t xml:space="preserve"> enerģijas galapatēriņa ietaupījuma mērķi 2014.–2020. gadam 9896 GWh.</w:t>
      </w:r>
    </w:p>
    <w:p w14:paraId="6D202919" w14:textId="506903BF" w:rsidR="00C54852" w:rsidRPr="001E48AC" w:rsidRDefault="00C54852" w:rsidP="00C54852">
      <w:pPr>
        <w:spacing w:after="0" w:line="240" w:lineRule="auto"/>
        <w:ind w:firstLine="567"/>
        <w:jc w:val="both"/>
        <w:rPr>
          <w:rFonts w:eastAsiaTheme="majorEastAsia" w:cs="Times New Roman"/>
          <w:bCs/>
          <w:szCs w:val="28"/>
        </w:rPr>
      </w:pPr>
      <w:r w:rsidRPr="001E48AC">
        <w:rPr>
          <w:rFonts w:eastAsiaTheme="majorEastAsia" w:cs="Times New Roman"/>
          <w:bCs/>
          <w:szCs w:val="28"/>
        </w:rPr>
        <w:t xml:space="preserve">Ar šobrīd identificētajiem alternatīvajiem pasākumiem kopējais uzkrātais enerģijas ietaupījums 2020. gadā tiek prognozēts 4503,2 GWh apmērā. Papildus ietaupījumi 5392,8 GWh apmērā tiks nodrošināti, veidojot EPS, slēdzot brīvprātīgās vienošanās par energoefektivitātes paaugstināšanu ar tiem </w:t>
      </w:r>
      <w:r w:rsidRPr="001E48AC">
        <w:rPr>
          <w:rFonts w:eastAsiaTheme="majorEastAsia" w:cs="Times New Roman"/>
          <w:bCs/>
          <w:szCs w:val="28"/>
        </w:rPr>
        <w:lastRenderedPageBreak/>
        <w:t>energoapgādes komersantiem, kam netiek uzlikts pienākums Šobrīd Plānā nav iekļauti visi pasākumi, kuros atbilstoši Energoefektivitātes likuma 15. panta trešajai daļai noteikts enerģijas patēriņa rādītāju ziņošanas pienākums, tomēr ņemot vērā, ka šajos pasākumos var tiks iegūts arī enerģijas ietaupījums, tas tiks uzskaitīts monitoringa sistēmas ietvaros un ieskaitīts obligātā mērķa izpildē.</w:t>
      </w:r>
    </w:p>
    <w:p w14:paraId="67C187D5" w14:textId="73D3D5B1" w:rsidR="00C54852" w:rsidRPr="001E48AC" w:rsidRDefault="00C54852" w:rsidP="00C54852">
      <w:pPr>
        <w:spacing w:after="0" w:line="240" w:lineRule="auto"/>
        <w:ind w:firstLine="567"/>
        <w:jc w:val="both"/>
        <w:rPr>
          <w:rFonts w:eastAsiaTheme="majorEastAsia" w:cs="Times New Roman"/>
          <w:bCs/>
          <w:szCs w:val="28"/>
        </w:rPr>
      </w:pPr>
    </w:p>
    <w:p w14:paraId="105D4B63" w14:textId="2621C412" w:rsidR="00C54852" w:rsidRPr="001E48AC" w:rsidRDefault="00C54852" w:rsidP="00C54852">
      <w:pPr>
        <w:pStyle w:val="Caption"/>
        <w:spacing w:after="0" w:line="240" w:lineRule="auto"/>
        <w:jc w:val="both"/>
        <w:rPr>
          <w:rFonts w:ascii="Times New Roman" w:hAnsi="Times New Roman"/>
          <w:b/>
          <w:caps w:val="0"/>
          <w:sz w:val="28"/>
          <w:szCs w:val="28"/>
          <w:lang w:val="lv-LV"/>
        </w:rPr>
      </w:pPr>
      <w:r w:rsidRPr="001E48AC">
        <w:rPr>
          <w:rFonts w:ascii="Times New Roman" w:hAnsi="Times New Roman"/>
          <w:b/>
          <w:caps w:val="0"/>
          <w:sz w:val="28"/>
          <w:szCs w:val="28"/>
          <w:lang w:val="lv-LV"/>
        </w:rPr>
        <w:t>6.tabula. Plānotais un iegūtais kumulatīvais enerģijas galapatēriņa ietaupījums uz 2020.gadu.</w:t>
      </w:r>
    </w:p>
    <w:tbl>
      <w:tblPr>
        <w:tblStyle w:val="TableGrid"/>
        <w:tblW w:w="5000" w:type="pct"/>
        <w:tblLook w:val="04A0" w:firstRow="1" w:lastRow="0" w:firstColumn="1" w:lastColumn="0" w:noHBand="0" w:noVBand="1"/>
      </w:tblPr>
      <w:tblGrid>
        <w:gridCol w:w="3005"/>
        <w:gridCol w:w="3005"/>
        <w:gridCol w:w="3006"/>
      </w:tblGrid>
      <w:tr w:rsidR="00C54852" w:rsidRPr="001E48AC" w14:paraId="06326F53" w14:textId="77777777" w:rsidTr="007942A4">
        <w:tc>
          <w:tcPr>
            <w:tcW w:w="1666" w:type="pct"/>
          </w:tcPr>
          <w:p w14:paraId="360CB9D9" w14:textId="77777777" w:rsidR="00C54852" w:rsidRPr="001E48AC" w:rsidRDefault="00C54852" w:rsidP="00B259AA"/>
        </w:tc>
        <w:tc>
          <w:tcPr>
            <w:tcW w:w="1666" w:type="pct"/>
          </w:tcPr>
          <w:p w14:paraId="2142886F" w14:textId="77777777" w:rsidR="00C54852" w:rsidRPr="001E48AC" w:rsidRDefault="00C54852" w:rsidP="00B259AA">
            <w:r w:rsidRPr="001E48AC">
              <w:t>Plānotais enerģijas galapatēriņa kumulatīvais ietaupījums uz 2020.gadu, GWh</w:t>
            </w:r>
          </w:p>
        </w:tc>
        <w:tc>
          <w:tcPr>
            <w:tcW w:w="1667" w:type="pct"/>
          </w:tcPr>
          <w:p w14:paraId="1078D28F" w14:textId="77777777" w:rsidR="00C54852" w:rsidRPr="001E48AC" w:rsidRDefault="00C54852" w:rsidP="00B259AA">
            <w:r w:rsidRPr="001E48AC">
              <w:t>Līdz 2015.gadam īstenotajos pasākumos iegūtais kumulatīvais enerģijas galapatēriņa kumulatīvais ietaupījums uz 2020.gadu, GWh</w:t>
            </w:r>
          </w:p>
        </w:tc>
      </w:tr>
      <w:tr w:rsidR="00C54852" w:rsidRPr="001E48AC" w14:paraId="2D829CE0" w14:textId="77777777" w:rsidTr="007942A4">
        <w:tc>
          <w:tcPr>
            <w:tcW w:w="1666" w:type="pct"/>
          </w:tcPr>
          <w:p w14:paraId="57E57F8B" w14:textId="77777777" w:rsidR="00C54852" w:rsidRPr="001E48AC" w:rsidRDefault="00C54852" w:rsidP="00B259AA">
            <w:r w:rsidRPr="001E48AC">
              <w:t xml:space="preserve">Identificētie energoefektivitātes pasākumi enerģijas galapatēriņā </w:t>
            </w:r>
          </w:p>
        </w:tc>
        <w:tc>
          <w:tcPr>
            <w:tcW w:w="1666" w:type="pct"/>
          </w:tcPr>
          <w:p w14:paraId="1A5AE0C6" w14:textId="77777777" w:rsidR="00C54852" w:rsidRPr="001E48AC" w:rsidRDefault="00C54852" w:rsidP="00B259AA">
            <w:r w:rsidRPr="001E48AC">
              <w:t>4503,2</w:t>
            </w:r>
          </w:p>
        </w:tc>
        <w:tc>
          <w:tcPr>
            <w:tcW w:w="1667" w:type="pct"/>
          </w:tcPr>
          <w:p w14:paraId="2B6DC746" w14:textId="4F78157A" w:rsidR="00C54852" w:rsidRPr="001E48AC" w:rsidRDefault="00C54852" w:rsidP="00B259AA">
            <w:r w:rsidRPr="001E48AC">
              <w:t>144</w:t>
            </w:r>
            <w:r w:rsidR="00DF03CE" w:rsidRPr="001E48AC">
              <w:t>4.0</w:t>
            </w:r>
          </w:p>
        </w:tc>
      </w:tr>
      <w:tr w:rsidR="00C54852" w:rsidRPr="001E48AC" w14:paraId="5D27F976" w14:textId="77777777" w:rsidTr="007942A4">
        <w:tc>
          <w:tcPr>
            <w:tcW w:w="1666" w:type="pct"/>
          </w:tcPr>
          <w:p w14:paraId="06C90C0E" w14:textId="77777777" w:rsidR="00C54852" w:rsidRPr="001E48AC" w:rsidRDefault="00C54852" w:rsidP="00B259AA">
            <w:r w:rsidRPr="001E48AC">
              <w:t>Papildu pasākumi: energoefektivitātes pienākuma shēma, brīvprātīgas vienošanās, pašvaldību finansētie pasākumi</w:t>
            </w:r>
          </w:p>
        </w:tc>
        <w:tc>
          <w:tcPr>
            <w:tcW w:w="1666" w:type="pct"/>
          </w:tcPr>
          <w:p w14:paraId="69E01DEB" w14:textId="77777777" w:rsidR="00C54852" w:rsidRPr="001E48AC" w:rsidRDefault="00C54852" w:rsidP="00B259AA">
            <w:r w:rsidRPr="001E48AC">
              <w:t>5392,8</w:t>
            </w:r>
          </w:p>
        </w:tc>
        <w:tc>
          <w:tcPr>
            <w:tcW w:w="1667" w:type="pct"/>
          </w:tcPr>
          <w:p w14:paraId="55E8C059" w14:textId="77777777" w:rsidR="00C54852" w:rsidRPr="001E48AC" w:rsidRDefault="00C54852" w:rsidP="00B259AA"/>
        </w:tc>
      </w:tr>
      <w:tr w:rsidR="00C54852" w:rsidRPr="001E48AC" w14:paraId="30F96860" w14:textId="77777777" w:rsidTr="007942A4">
        <w:tc>
          <w:tcPr>
            <w:tcW w:w="1666" w:type="pct"/>
          </w:tcPr>
          <w:p w14:paraId="619A099E" w14:textId="77777777" w:rsidR="00C54852" w:rsidRPr="001E48AC" w:rsidRDefault="00C54852" w:rsidP="00B259AA">
            <w:pPr>
              <w:rPr>
                <w:b/>
              </w:rPr>
            </w:pPr>
            <w:r w:rsidRPr="001E48AC">
              <w:rPr>
                <w:b/>
              </w:rPr>
              <w:t>KOPĀ:</w:t>
            </w:r>
          </w:p>
        </w:tc>
        <w:tc>
          <w:tcPr>
            <w:tcW w:w="1666" w:type="pct"/>
          </w:tcPr>
          <w:p w14:paraId="6D6FE5DC" w14:textId="77777777" w:rsidR="00C54852" w:rsidRPr="001E48AC" w:rsidRDefault="00C54852" w:rsidP="00B259AA">
            <w:pPr>
              <w:rPr>
                <w:b/>
              </w:rPr>
            </w:pPr>
            <w:r w:rsidRPr="001E48AC">
              <w:rPr>
                <w:b/>
              </w:rPr>
              <w:t>9896</w:t>
            </w:r>
          </w:p>
        </w:tc>
        <w:tc>
          <w:tcPr>
            <w:tcW w:w="1667" w:type="pct"/>
          </w:tcPr>
          <w:p w14:paraId="78D22599" w14:textId="4B74565C" w:rsidR="00C54852" w:rsidRPr="001E48AC" w:rsidRDefault="00C54852" w:rsidP="00B259AA">
            <w:pPr>
              <w:rPr>
                <w:b/>
              </w:rPr>
            </w:pPr>
            <w:r w:rsidRPr="001E48AC">
              <w:rPr>
                <w:b/>
              </w:rPr>
              <w:t>144</w:t>
            </w:r>
            <w:r w:rsidR="00DF03CE" w:rsidRPr="001E48AC">
              <w:rPr>
                <w:b/>
              </w:rPr>
              <w:t>4,0</w:t>
            </w:r>
            <w:r w:rsidRPr="001E48AC">
              <w:rPr>
                <w:b/>
              </w:rPr>
              <w:t xml:space="preserve"> (14,</w:t>
            </w:r>
            <w:r w:rsidR="00DF03CE" w:rsidRPr="001E48AC">
              <w:rPr>
                <w:b/>
              </w:rPr>
              <w:t>0</w:t>
            </w:r>
            <w:r w:rsidRPr="001E48AC">
              <w:rPr>
                <w:b/>
              </w:rPr>
              <w:t>%)</w:t>
            </w:r>
          </w:p>
        </w:tc>
      </w:tr>
    </w:tbl>
    <w:p w14:paraId="411422D6" w14:textId="4FCC6BC7" w:rsidR="00FA69C4" w:rsidRPr="001E48AC" w:rsidRDefault="00FA69C4" w:rsidP="007942A4">
      <w:pPr>
        <w:pStyle w:val="Heading3"/>
        <w:rPr>
          <w:color w:val="auto"/>
        </w:rPr>
      </w:pPr>
      <w:bookmarkStart w:id="18" w:name="_Toc482711529"/>
      <w:r w:rsidRPr="001E48AC">
        <w:rPr>
          <w:color w:val="auto"/>
        </w:rPr>
        <w:t>3.1.</w:t>
      </w:r>
      <w:r w:rsidR="004D5351" w:rsidRPr="001E48AC">
        <w:rPr>
          <w:color w:val="auto"/>
        </w:rPr>
        <w:t>5</w:t>
      </w:r>
      <w:r w:rsidRPr="001E48AC">
        <w:rPr>
          <w:color w:val="auto"/>
        </w:rPr>
        <w:t>. Pārrēķina koeficienti enerģijas veidiem</w:t>
      </w:r>
      <w:bookmarkEnd w:id="18"/>
    </w:p>
    <w:p w14:paraId="3C89467B" w14:textId="77777777" w:rsidR="006C5056" w:rsidRPr="001E48AC" w:rsidRDefault="0079618A" w:rsidP="00AE6C6B">
      <w:pPr>
        <w:autoSpaceDE w:val="0"/>
        <w:autoSpaceDN w:val="0"/>
        <w:adjustRightInd w:val="0"/>
        <w:spacing w:after="0" w:line="240" w:lineRule="auto"/>
        <w:jc w:val="both"/>
      </w:pPr>
      <w:r w:rsidRPr="001E48AC">
        <w:tab/>
        <w:t>Lai salīdzinātu enerģijas ietaupījumu un veiktu pārrēķinu uz salīdzināmu vienību, tiek piemēroti gan Direktīvas 2012/27/ES IV pielikumā noteiktie pārrēķina koeficienti, gan atšķirīgi pārrēķina koeficienti, kas noteikti pamatojoties uz dalībvalst</w:t>
      </w:r>
      <w:r w:rsidR="00DD2F52" w:rsidRPr="001E48AC">
        <w:t>u atšķirīgo situāciju enerģētikas nozarē</w:t>
      </w:r>
      <w:r w:rsidRPr="001E48AC">
        <w:t xml:space="preserve">. </w:t>
      </w:r>
    </w:p>
    <w:p w14:paraId="7961B53F" w14:textId="0A4ED7CE" w:rsidR="006C5056" w:rsidRPr="001E48AC" w:rsidRDefault="006C5056" w:rsidP="00AE6C6B">
      <w:pPr>
        <w:spacing w:after="0" w:line="240" w:lineRule="auto"/>
        <w:jc w:val="both"/>
      </w:pPr>
      <w:r w:rsidRPr="001E48AC">
        <w:tab/>
        <w:t xml:space="preserve">Latvijas energoresursu patēriņa pārrēķināšanai izmantotie pārveidošanas koeficienti </w:t>
      </w:r>
      <w:r w:rsidR="00D322B9" w:rsidRPr="001E48AC">
        <w:t xml:space="preserve">parādīti </w:t>
      </w:r>
      <w:r w:rsidR="0069566B" w:rsidRPr="001E48AC">
        <w:t>7</w:t>
      </w:r>
      <w:r w:rsidR="00A44DD6" w:rsidRPr="001E48AC">
        <w:t>. tabulā</w:t>
      </w:r>
      <w:r w:rsidRPr="001E48AC">
        <w:t>, ņemot vērā Direktīvas 2012/27/ES IV Pielikuma un Latvijas Republikas Centrālās statistikas pārvaldes izmantotās zemākās siltumspējas (Net calorific</w:t>
      </w:r>
      <w:r w:rsidR="00582677" w:rsidRPr="001E48AC">
        <w:t xml:space="preserve"> </w:t>
      </w:r>
      <w:r w:rsidRPr="001E48AC">
        <w:t>value).</w:t>
      </w:r>
    </w:p>
    <w:p w14:paraId="5F4D3C4F" w14:textId="77777777" w:rsidR="001D2C6E" w:rsidRPr="001E48AC" w:rsidRDefault="001D2C6E">
      <w:pPr>
        <w:rPr>
          <w:b/>
          <w:szCs w:val="28"/>
        </w:rPr>
      </w:pPr>
      <w:r w:rsidRPr="001E48AC">
        <w:rPr>
          <w:b/>
          <w:szCs w:val="28"/>
        </w:rPr>
        <w:br w:type="page"/>
      </w:r>
    </w:p>
    <w:p w14:paraId="409AC205" w14:textId="7309F01B" w:rsidR="006C5056" w:rsidRPr="001E48AC" w:rsidRDefault="0069566B" w:rsidP="0069566B">
      <w:pPr>
        <w:spacing w:before="240" w:after="0" w:line="240" w:lineRule="auto"/>
        <w:rPr>
          <w:b/>
          <w:szCs w:val="28"/>
        </w:rPr>
      </w:pPr>
      <w:r w:rsidRPr="001E48AC">
        <w:rPr>
          <w:b/>
          <w:szCs w:val="28"/>
        </w:rPr>
        <w:lastRenderedPageBreak/>
        <w:t xml:space="preserve">7.tabula.  </w:t>
      </w:r>
      <w:r w:rsidR="00F473C8" w:rsidRPr="001E48AC">
        <w:rPr>
          <w:b/>
          <w:szCs w:val="28"/>
        </w:rPr>
        <w:t>Aprēķinos i</w:t>
      </w:r>
      <w:r w:rsidR="006C5056" w:rsidRPr="001E48AC">
        <w:rPr>
          <w:b/>
          <w:szCs w:val="28"/>
        </w:rPr>
        <w:t>zmantotās zemākās siltumspējas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840"/>
        <w:gridCol w:w="1718"/>
        <w:gridCol w:w="2128"/>
      </w:tblGrid>
      <w:tr w:rsidR="006C5056" w:rsidRPr="001E48AC" w14:paraId="6088D013" w14:textId="77777777" w:rsidTr="00FF7FCA">
        <w:tc>
          <w:tcPr>
            <w:tcW w:w="3767" w:type="dxa"/>
            <w:vMerge w:val="restart"/>
            <w:shd w:val="clear" w:color="auto" w:fill="auto"/>
            <w:vAlign w:val="center"/>
          </w:tcPr>
          <w:p w14:paraId="0C1208A5" w14:textId="77777777" w:rsidR="006C5056" w:rsidRPr="001E48AC" w:rsidRDefault="006C5056" w:rsidP="00FF7FCA">
            <w:pPr>
              <w:spacing w:after="0"/>
              <w:jc w:val="center"/>
              <w:rPr>
                <w:rFonts w:cs="Times New Roman"/>
                <w:b/>
                <w:sz w:val="22"/>
              </w:rPr>
            </w:pPr>
            <w:r w:rsidRPr="001E48AC">
              <w:rPr>
                <w:rFonts w:cs="Times New Roman"/>
                <w:b/>
                <w:sz w:val="22"/>
              </w:rPr>
              <w:t>Energoresurss</w:t>
            </w:r>
          </w:p>
        </w:tc>
        <w:tc>
          <w:tcPr>
            <w:tcW w:w="1870" w:type="dxa"/>
            <w:vMerge w:val="restart"/>
            <w:shd w:val="clear" w:color="auto" w:fill="auto"/>
            <w:vAlign w:val="center"/>
          </w:tcPr>
          <w:p w14:paraId="2AE258B7" w14:textId="77777777" w:rsidR="006C5056" w:rsidRPr="001E48AC" w:rsidRDefault="006C5056" w:rsidP="00FF7FCA">
            <w:pPr>
              <w:spacing w:after="0"/>
              <w:jc w:val="center"/>
              <w:rPr>
                <w:rFonts w:cs="Times New Roman"/>
                <w:b/>
                <w:sz w:val="22"/>
              </w:rPr>
            </w:pPr>
            <w:r w:rsidRPr="001E48AC">
              <w:rPr>
                <w:rFonts w:cs="Times New Roman"/>
                <w:b/>
                <w:sz w:val="22"/>
              </w:rPr>
              <w:t>Mērvienība</w:t>
            </w:r>
          </w:p>
        </w:tc>
        <w:tc>
          <w:tcPr>
            <w:tcW w:w="4218" w:type="dxa"/>
            <w:gridSpan w:val="2"/>
            <w:shd w:val="clear" w:color="auto" w:fill="auto"/>
            <w:vAlign w:val="center"/>
          </w:tcPr>
          <w:p w14:paraId="487235DA" w14:textId="77777777" w:rsidR="006C5056" w:rsidRPr="001E48AC" w:rsidRDefault="006C5056" w:rsidP="00FF7FCA">
            <w:pPr>
              <w:spacing w:after="0"/>
              <w:jc w:val="center"/>
              <w:rPr>
                <w:rFonts w:cs="Times New Roman"/>
                <w:b/>
                <w:sz w:val="22"/>
              </w:rPr>
            </w:pPr>
            <w:r w:rsidRPr="001E48AC">
              <w:rPr>
                <w:rFonts w:cs="Times New Roman"/>
                <w:b/>
                <w:sz w:val="22"/>
              </w:rPr>
              <w:t>Zemākā siltumspēja (NCV)</w:t>
            </w:r>
          </w:p>
        </w:tc>
      </w:tr>
      <w:tr w:rsidR="006C5056" w:rsidRPr="001E48AC" w14:paraId="38F153C4" w14:textId="77777777" w:rsidTr="00FF7FCA">
        <w:tc>
          <w:tcPr>
            <w:tcW w:w="3767" w:type="dxa"/>
            <w:vMerge/>
            <w:shd w:val="clear" w:color="auto" w:fill="auto"/>
            <w:vAlign w:val="center"/>
          </w:tcPr>
          <w:p w14:paraId="7BA3479C" w14:textId="77777777" w:rsidR="006C5056" w:rsidRPr="001E48AC" w:rsidRDefault="006C5056" w:rsidP="00FF7FCA">
            <w:pPr>
              <w:spacing w:after="0"/>
              <w:jc w:val="center"/>
              <w:rPr>
                <w:rFonts w:cs="Times New Roman"/>
                <w:sz w:val="22"/>
              </w:rPr>
            </w:pPr>
          </w:p>
        </w:tc>
        <w:tc>
          <w:tcPr>
            <w:tcW w:w="1870" w:type="dxa"/>
            <w:vMerge/>
            <w:shd w:val="clear" w:color="auto" w:fill="auto"/>
            <w:vAlign w:val="center"/>
          </w:tcPr>
          <w:p w14:paraId="41FF1C4A" w14:textId="77777777" w:rsidR="006C5056" w:rsidRPr="001E48AC" w:rsidRDefault="006C5056" w:rsidP="00FF7FCA">
            <w:pPr>
              <w:spacing w:after="0"/>
              <w:jc w:val="center"/>
              <w:rPr>
                <w:rFonts w:cs="Times New Roman"/>
                <w:sz w:val="22"/>
              </w:rPr>
            </w:pPr>
          </w:p>
        </w:tc>
        <w:tc>
          <w:tcPr>
            <w:tcW w:w="1842" w:type="dxa"/>
            <w:shd w:val="clear" w:color="auto" w:fill="auto"/>
            <w:vAlign w:val="center"/>
          </w:tcPr>
          <w:p w14:paraId="72ED1D05" w14:textId="77777777" w:rsidR="006C5056" w:rsidRPr="001E48AC" w:rsidRDefault="006C5056" w:rsidP="00FF7FCA">
            <w:pPr>
              <w:spacing w:after="0"/>
              <w:jc w:val="center"/>
              <w:rPr>
                <w:rFonts w:cs="Times New Roman"/>
                <w:sz w:val="22"/>
              </w:rPr>
            </w:pPr>
            <w:r w:rsidRPr="001E48AC">
              <w:rPr>
                <w:rFonts w:cs="Times New Roman"/>
                <w:sz w:val="22"/>
              </w:rPr>
              <w:t xml:space="preserve">pēc Direktīvas 2012/27/ES </w:t>
            </w:r>
          </w:p>
          <w:p w14:paraId="0D7F365D" w14:textId="77777777" w:rsidR="006C5056" w:rsidRPr="001E48AC" w:rsidRDefault="006C5056" w:rsidP="00FF7FCA">
            <w:pPr>
              <w:spacing w:after="0"/>
              <w:jc w:val="center"/>
              <w:rPr>
                <w:rFonts w:cs="Times New Roman"/>
                <w:sz w:val="22"/>
              </w:rPr>
            </w:pPr>
            <w:r w:rsidRPr="001E48AC">
              <w:rPr>
                <w:rFonts w:cs="Times New Roman"/>
                <w:sz w:val="22"/>
              </w:rPr>
              <w:t>IV Pielikuma</w:t>
            </w:r>
          </w:p>
        </w:tc>
        <w:tc>
          <w:tcPr>
            <w:tcW w:w="2376" w:type="dxa"/>
            <w:shd w:val="clear" w:color="auto" w:fill="auto"/>
            <w:vAlign w:val="center"/>
          </w:tcPr>
          <w:p w14:paraId="645556D7" w14:textId="77777777" w:rsidR="006C5056" w:rsidRPr="001E48AC" w:rsidRDefault="006C5056" w:rsidP="00FF7FCA">
            <w:pPr>
              <w:spacing w:after="0"/>
              <w:jc w:val="center"/>
              <w:rPr>
                <w:rFonts w:cs="Times New Roman"/>
                <w:sz w:val="22"/>
              </w:rPr>
            </w:pPr>
            <w:r w:rsidRPr="001E48AC">
              <w:rPr>
                <w:rFonts w:cs="Times New Roman"/>
                <w:sz w:val="22"/>
              </w:rPr>
              <w:t>pēc Latvijas Republikas Centrālās statistikas pārvaldes</w:t>
            </w:r>
          </w:p>
        </w:tc>
      </w:tr>
      <w:tr w:rsidR="006C5056" w:rsidRPr="001E48AC" w14:paraId="00540447" w14:textId="77777777" w:rsidTr="00EA25E3">
        <w:tc>
          <w:tcPr>
            <w:tcW w:w="3767" w:type="dxa"/>
            <w:shd w:val="clear" w:color="auto" w:fill="auto"/>
          </w:tcPr>
          <w:p w14:paraId="1D2761FE" w14:textId="77777777" w:rsidR="006C5056" w:rsidRPr="001E48AC" w:rsidRDefault="006C5056" w:rsidP="00FF7FCA">
            <w:pPr>
              <w:spacing w:after="0"/>
              <w:rPr>
                <w:rFonts w:cs="Times New Roman"/>
                <w:bCs/>
                <w:sz w:val="22"/>
              </w:rPr>
            </w:pPr>
            <w:r w:rsidRPr="001E48AC">
              <w:rPr>
                <w:rFonts w:cs="Times New Roman"/>
                <w:bCs/>
                <w:sz w:val="22"/>
              </w:rPr>
              <w:t>Ogles</w:t>
            </w:r>
          </w:p>
        </w:tc>
        <w:tc>
          <w:tcPr>
            <w:tcW w:w="1870" w:type="dxa"/>
            <w:shd w:val="clear" w:color="auto" w:fill="auto"/>
            <w:vAlign w:val="center"/>
          </w:tcPr>
          <w:p w14:paraId="0AE7144F"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auto"/>
            <w:vAlign w:val="center"/>
          </w:tcPr>
          <w:p w14:paraId="5E02D5AB" w14:textId="77777777" w:rsidR="006C5056" w:rsidRPr="001E48AC" w:rsidRDefault="006C5056" w:rsidP="00FF7FCA">
            <w:pPr>
              <w:spacing w:after="0"/>
              <w:jc w:val="center"/>
              <w:rPr>
                <w:rFonts w:cs="Times New Roman"/>
                <w:sz w:val="22"/>
              </w:rPr>
            </w:pPr>
            <w:r w:rsidRPr="001E48AC">
              <w:rPr>
                <w:rFonts w:cs="Times New Roman"/>
                <w:sz w:val="22"/>
              </w:rPr>
              <w:t>17,2 - 30,7</w:t>
            </w:r>
          </w:p>
        </w:tc>
        <w:tc>
          <w:tcPr>
            <w:tcW w:w="2376" w:type="dxa"/>
            <w:shd w:val="clear" w:color="auto" w:fill="auto"/>
            <w:vAlign w:val="center"/>
          </w:tcPr>
          <w:p w14:paraId="2DCBD917" w14:textId="64A8B174" w:rsidR="006C5056" w:rsidRPr="001E48AC" w:rsidRDefault="006C5056" w:rsidP="00FF7FCA">
            <w:pPr>
              <w:spacing w:after="0"/>
              <w:jc w:val="center"/>
              <w:rPr>
                <w:rFonts w:cs="Times New Roman"/>
                <w:sz w:val="22"/>
              </w:rPr>
            </w:pPr>
            <w:r w:rsidRPr="001E48AC">
              <w:rPr>
                <w:rFonts w:cs="Times New Roman"/>
                <w:sz w:val="22"/>
              </w:rPr>
              <w:t>26,22</w:t>
            </w:r>
          </w:p>
        </w:tc>
      </w:tr>
      <w:tr w:rsidR="006C5056" w:rsidRPr="001E48AC" w14:paraId="4039F16A" w14:textId="77777777" w:rsidTr="00EA25E3">
        <w:tc>
          <w:tcPr>
            <w:tcW w:w="3767" w:type="dxa"/>
            <w:shd w:val="clear" w:color="auto" w:fill="auto"/>
          </w:tcPr>
          <w:p w14:paraId="3234BEC2" w14:textId="77777777" w:rsidR="006C5056" w:rsidRPr="001E48AC" w:rsidRDefault="006C5056" w:rsidP="00FF7FCA">
            <w:pPr>
              <w:spacing w:after="0"/>
              <w:rPr>
                <w:rFonts w:cs="Times New Roman"/>
                <w:bCs/>
                <w:sz w:val="22"/>
              </w:rPr>
            </w:pPr>
            <w:r w:rsidRPr="001E48AC">
              <w:rPr>
                <w:rFonts w:cs="Times New Roman"/>
                <w:bCs/>
                <w:sz w:val="22"/>
              </w:rPr>
              <w:t>Kūdra</w:t>
            </w:r>
          </w:p>
        </w:tc>
        <w:tc>
          <w:tcPr>
            <w:tcW w:w="1870" w:type="dxa"/>
            <w:shd w:val="clear" w:color="auto" w:fill="auto"/>
            <w:vAlign w:val="center"/>
          </w:tcPr>
          <w:p w14:paraId="2C86DD57"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auto"/>
            <w:vAlign w:val="center"/>
          </w:tcPr>
          <w:p w14:paraId="4CE611B2" w14:textId="77777777" w:rsidR="006C5056" w:rsidRPr="001E48AC" w:rsidRDefault="006C5056" w:rsidP="00FF7FCA">
            <w:pPr>
              <w:spacing w:after="0"/>
              <w:jc w:val="center"/>
              <w:rPr>
                <w:rFonts w:cs="Times New Roman"/>
                <w:sz w:val="22"/>
              </w:rPr>
            </w:pPr>
            <w:r w:rsidRPr="001E48AC">
              <w:rPr>
                <w:rFonts w:cs="Times New Roman"/>
                <w:sz w:val="22"/>
              </w:rPr>
              <w:t>7,8 - 13,8</w:t>
            </w:r>
          </w:p>
        </w:tc>
        <w:tc>
          <w:tcPr>
            <w:tcW w:w="2376" w:type="dxa"/>
            <w:shd w:val="clear" w:color="auto" w:fill="auto"/>
            <w:vAlign w:val="center"/>
          </w:tcPr>
          <w:p w14:paraId="3141B142" w14:textId="36ACA587" w:rsidR="006C5056" w:rsidRPr="001E48AC" w:rsidRDefault="006C5056" w:rsidP="00FF7FCA">
            <w:pPr>
              <w:spacing w:after="0"/>
              <w:jc w:val="center"/>
              <w:rPr>
                <w:rFonts w:cs="Times New Roman"/>
                <w:sz w:val="22"/>
              </w:rPr>
            </w:pPr>
            <w:r w:rsidRPr="001E48AC">
              <w:rPr>
                <w:rFonts w:cs="Times New Roman"/>
                <w:sz w:val="22"/>
              </w:rPr>
              <w:t>10,05</w:t>
            </w:r>
          </w:p>
        </w:tc>
      </w:tr>
      <w:tr w:rsidR="006C5056" w:rsidRPr="001E48AC" w14:paraId="7EACDB35" w14:textId="77777777" w:rsidTr="00EA25E3">
        <w:tc>
          <w:tcPr>
            <w:tcW w:w="3767" w:type="dxa"/>
            <w:shd w:val="clear" w:color="auto" w:fill="auto"/>
          </w:tcPr>
          <w:p w14:paraId="09EF5171" w14:textId="77777777" w:rsidR="006C5056" w:rsidRPr="001E48AC" w:rsidRDefault="006C5056" w:rsidP="00FF7FCA">
            <w:pPr>
              <w:spacing w:after="0"/>
              <w:rPr>
                <w:rFonts w:cs="Times New Roman"/>
                <w:bCs/>
                <w:sz w:val="22"/>
              </w:rPr>
            </w:pPr>
            <w:r w:rsidRPr="001E48AC">
              <w:rPr>
                <w:rFonts w:cs="Times New Roman"/>
                <w:bCs/>
                <w:sz w:val="22"/>
              </w:rPr>
              <w:t>Kūdras briketes</w:t>
            </w:r>
          </w:p>
        </w:tc>
        <w:tc>
          <w:tcPr>
            <w:tcW w:w="1870" w:type="dxa"/>
            <w:shd w:val="clear" w:color="auto" w:fill="auto"/>
            <w:vAlign w:val="center"/>
          </w:tcPr>
          <w:p w14:paraId="3D141F0A"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FFFFFF"/>
            <w:vAlign w:val="center"/>
          </w:tcPr>
          <w:p w14:paraId="47F784F2" w14:textId="77777777" w:rsidR="006C5056" w:rsidRPr="001E48AC" w:rsidRDefault="006C5056" w:rsidP="00FF7FCA">
            <w:pPr>
              <w:spacing w:after="0"/>
              <w:jc w:val="center"/>
              <w:rPr>
                <w:rFonts w:cs="Times New Roman"/>
                <w:sz w:val="22"/>
              </w:rPr>
            </w:pPr>
            <w:r w:rsidRPr="001E48AC">
              <w:rPr>
                <w:rFonts w:cs="Times New Roman"/>
                <w:sz w:val="22"/>
              </w:rPr>
              <w:t>16-16,8</w:t>
            </w:r>
          </w:p>
        </w:tc>
        <w:tc>
          <w:tcPr>
            <w:tcW w:w="2376" w:type="dxa"/>
            <w:shd w:val="clear" w:color="auto" w:fill="auto"/>
            <w:vAlign w:val="center"/>
          </w:tcPr>
          <w:p w14:paraId="7DB4083C" w14:textId="18570596" w:rsidR="006C5056" w:rsidRPr="001E48AC" w:rsidRDefault="006C5056" w:rsidP="00FF7FCA">
            <w:pPr>
              <w:spacing w:after="0"/>
              <w:jc w:val="center"/>
              <w:rPr>
                <w:rFonts w:cs="Times New Roman"/>
                <w:sz w:val="22"/>
              </w:rPr>
            </w:pPr>
            <w:r w:rsidRPr="001E48AC">
              <w:rPr>
                <w:rFonts w:cs="Times New Roman"/>
                <w:sz w:val="22"/>
              </w:rPr>
              <w:t>15,49</w:t>
            </w:r>
          </w:p>
        </w:tc>
      </w:tr>
      <w:tr w:rsidR="006C5056" w:rsidRPr="001E48AC" w14:paraId="40BC680D" w14:textId="77777777" w:rsidTr="00EA25E3">
        <w:tc>
          <w:tcPr>
            <w:tcW w:w="3767" w:type="dxa"/>
            <w:shd w:val="clear" w:color="auto" w:fill="auto"/>
          </w:tcPr>
          <w:p w14:paraId="4862725F" w14:textId="77777777" w:rsidR="006C5056" w:rsidRPr="001E48AC" w:rsidRDefault="006C5056" w:rsidP="00FF7FCA">
            <w:pPr>
              <w:spacing w:after="0"/>
              <w:rPr>
                <w:rFonts w:cs="Times New Roman"/>
                <w:bCs/>
                <w:sz w:val="22"/>
              </w:rPr>
            </w:pPr>
            <w:r w:rsidRPr="001E48AC">
              <w:rPr>
                <w:rFonts w:cs="Times New Roman"/>
                <w:bCs/>
                <w:sz w:val="22"/>
              </w:rPr>
              <w:t>Kokss</w:t>
            </w:r>
          </w:p>
        </w:tc>
        <w:tc>
          <w:tcPr>
            <w:tcW w:w="1870" w:type="dxa"/>
            <w:shd w:val="clear" w:color="auto" w:fill="auto"/>
            <w:vAlign w:val="center"/>
          </w:tcPr>
          <w:p w14:paraId="03CA7291"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auto"/>
            <w:vAlign w:val="center"/>
          </w:tcPr>
          <w:p w14:paraId="0899E62B" w14:textId="77777777" w:rsidR="006C5056" w:rsidRPr="001E48AC" w:rsidRDefault="006C5056" w:rsidP="00FF7FCA">
            <w:pPr>
              <w:spacing w:after="0"/>
              <w:jc w:val="center"/>
              <w:rPr>
                <w:rFonts w:cs="Times New Roman"/>
                <w:sz w:val="22"/>
              </w:rPr>
            </w:pPr>
            <w:r w:rsidRPr="001E48AC">
              <w:rPr>
                <w:rFonts w:cs="Times New Roman"/>
                <w:sz w:val="22"/>
              </w:rPr>
              <w:t>28,5</w:t>
            </w:r>
          </w:p>
        </w:tc>
        <w:tc>
          <w:tcPr>
            <w:tcW w:w="2376" w:type="dxa"/>
            <w:shd w:val="clear" w:color="auto" w:fill="auto"/>
            <w:vAlign w:val="center"/>
          </w:tcPr>
          <w:p w14:paraId="131FA9A9" w14:textId="77777777" w:rsidR="006C5056" w:rsidRPr="001E48AC" w:rsidRDefault="006C5056" w:rsidP="00FF7FCA">
            <w:pPr>
              <w:spacing w:after="0"/>
              <w:jc w:val="center"/>
              <w:rPr>
                <w:rFonts w:cs="Times New Roman"/>
                <w:sz w:val="22"/>
              </w:rPr>
            </w:pPr>
            <w:r w:rsidRPr="001E48AC">
              <w:rPr>
                <w:rFonts w:cs="Times New Roman"/>
                <w:sz w:val="22"/>
              </w:rPr>
              <w:t>26,79</w:t>
            </w:r>
          </w:p>
        </w:tc>
      </w:tr>
      <w:tr w:rsidR="006C5056" w:rsidRPr="001E48AC" w14:paraId="0481DCEC" w14:textId="77777777" w:rsidTr="00EA25E3">
        <w:tc>
          <w:tcPr>
            <w:tcW w:w="3767" w:type="dxa"/>
            <w:shd w:val="clear" w:color="auto" w:fill="auto"/>
            <w:vAlign w:val="center"/>
          </w:tcPr>
          <w:p w14:paraId="16F08248" w14:textId="77777777" w:rsidR="006C5056" w:rsidRPr="001E48AC" w:rsidRDefault="006C5056" w:rsidP="00FF7FCA">
            <w:pPr>
              <w:spacing w:after="0"/>
              <w:rPr>
                <w:rFonts w:cs="Times New Roman"/>
                <w:sz w:val="22"/>
              </w:rPr>
            </w:pPr>
            <w:r w:rsidRPr="001E48AC">
              <w:rPr>
                <w:rFonts w:cs="Times New Roman"/>
                <w:sz w:val="22"/>
              </w:rPr>
              <w:t>Dabasgāze</w:t>
            </w:r>
          </w:p>
        </w:tc>
        <w:tc>
          <w:tcPr>
            <w:tcW w:w="1870" w:type="dxa"/>
            <w:shd w:val="clear" w:color="auto" w:fill="auto"/>
            <w:vAlign w:val="center"/>
          </w:tcPr>
          <w:p w14:paraId="23C2C98B"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auto"/>
            <w:vAlign w:val="center"/>
          </w:tcPr>
          <w:p w14:paraId="02BA949E" w14:textId="77777777" w:rsidR="006C5056" w:rsidRPr="001E48AC" w:rsidRDefault="006C5056" w:rsidP="00FF7FCA">
            <w:pPr>
              <w:spacing w:after="0"/>
              <w:jc w:val="center"/>
              <w:rPr>
                <w:rFonts w:cs="Times New Roman"/>
                <w:sz w:val="22"/>
              </w:rPr>
            </w:pPr>
            <w:r w:rsidRPr="001E48AC">
              <w:rPr>
                <w:rFonts w:cs="Times New Roman"/>
                <w:sz w:val="22"/>
              </w:rPr>
              <w:t>47,2</w:t>
            </w:r>
          </w:p>
        </w:tc>
        <w:tc>
          <w:tcPr>
            <w:tcW w:w="2376" w:type="dxa"/>
            <w:shd w:val="clear" w:color="auto" w:fill="auto"/>
            <w:vAlign w:val="center"/>
          </w:tcPr>
          <w:p w14:paraId="4AE430F0" w14:textId="77777777" w:rsidR="006C5056" w:rsidRPr="001E48AC" w:rsidRDefault="006C5056" w:rsidP="00FF7FCA">
            <w:pPr>
              <w:spacing w:after="0"/>
              <w:jc w:val="center"/>
              <w:rPr>
                <w:rFonts w:cs="Times New Roman"/>
                <w:sz w:val="22"/>
              </w:rPr>
            </w:pPr>
            <w:r w:rsidRPr="001E48AC">
              <w:rPr>
                <w:rFonts w:cs="Times New Roman"/>
                <w:sz w:val="22"/>
              </w:rPr>
              <w:t>2010.</w:t>
            </w:r>
            <w:r w:rsidR="00DB1ED4" w:rsidRPr="001E48AC">
              <w:rPr>
                <w:rFonts w:cs="Times New Roman"/>
                <w:sz w:val="22"/>
              </w:rPr>
              <w:t> </w:t>
            </w:r>
            <w:r w:rsidRPr="001E48AC">
              <w:rPr>
                <w:rFonts w:cs="Times New Roman"/>
                <w:sz w:val="22"/>
              </w:rPr>
              <w:t>gadā – 49,12</w:t>
            </w:r>
          </w:p>
          <w:p w14:paraId="2F36423B" w14:textId="77777777" w:rsidR="006C5056" w:rsidRPr="001E48AC" w:rsidRDefault="006C5056" w:rsidP="00FF7FCA">
            <w:pPr>
              <w:spacing w:after="0"/>
              <w:jc w:val="center"/>
              <w:rPr>
                <w:rFonts w:cs="Times New Roman"/>
                <w:sz w:val="22"/>
              </w:rPr>
            </w:pPr>
            <w:r w:rsidRPr="001E48AC">
              <w:rPr>
                <w:rFonts w:cs="Times New Roman"/>
                <w:sz w:val="22"/>
              </w:rPr>
              <w:t>2011.</w:t>
            </w:r>
            <w:r w:rsidR="00DB1ED4" w:rsidRPr="001E48AC">
              <w:rPr>
                <w:rFonts w:cs="Times New Roman"/>
                <w:sz w:val="22"/>
              </w:rPr>
              <w:t> </w:t>
            </w:r>
            <w:r w:rsidRPr="001E48AC">
              <w:rPr>
                <w:rFonts w:cs="Times New Roman"/>
                <w:sz w:val="22"/>
              </w:rPr>
              <w:t>gadā – 49,14</w:t>
            </w:r>
          </w:p>
          <w:p w14:paraId="4F979026" w14:textId="77777777" w:rsidR="006C5056" w:rsidRPr="001E48AC" w:rsidRDefault="006C5056" w:rsidP="00FF7FCA">
            <w:pPr>
              <w:spacing w:after="0"/>
              <w:jc w:val="center"/>
              <w:rPr>
                <w:rFonts w:cs="Times New Roman"/>
                <w:sz w:val="22"/>
              </w:rPr>
            </w:pPr>
            <w:r w:rsidRPr="001E48AC">
              <w:rPr>
                <w:rFonts w:cs="Times New Roman"/>
                <w:sz w:val="22"/>
              </w:rPr>
              <w:t>2012.</w:t>
            </w:r>
            <w:r w:rsidR="00DB1ED4" w:rsidRPr="001E48AC">
              <w:rPr>
                <w:rFonts w:cs="Times New Roman"/>
                <w:sz w:val="22"/>
              </w:rPr>
              <w:t> </w:t>
            </w:r>
            <w:r w:rsidRPr="001E48AC">
              <w:rPr>
                <w:rFonts w:cs="Times New Roman"/>
                <w:sz w:val="22"/>
              </w:rPr>
              <w:t xml:space="preserve">gadā – 49,14 </w:t>
            </w:r>
          </w:p>
        </w:tc>
      </w:tr>
      <w:tr w:rsidR="006C5056" w:rsidRPr="001E48AC" w14:paraId="64D1EA2B" w14:textId="77777777" w:rsidTr="00EA25E3">
        <w:tc>
          <w:tcPr>
            <w:tcW w:w="3767" w:type="dxa"/>
            <w:shd w:val="clear" w:color="auto" w:fill="auto"/>
          </w:tcPr>
          <w:p w14:paraId="0504F86B" w14:textId="77777777" w:rsidR="006C5056" w:rsidRPr="001E48AC" w:rsidRDefault="006C5056" w:rsidP="00FF7FCA">
            <w:pPr>
              <w:spacing w:after="0"/>
              <w:rPr>
                <w:rFonts w:cs="Times New Roman"/>
                <w:bCs/>
                <w:sz w:val="22"/>
              </w:rPr>
            </w:pPr>
            <w:r w:rsidRPr="001E48AC">
              <w:rPr>
                <w:rFonts w:cs="Times New Roman"/>
                <w:bCs/>
                <w:sz w:val="22"/>
              </w:rPr>
              <w:t>Degakmens eļļa</w:t>
            </w:r>
          </w:p>
        </w:tc>
        <w:tc>
          <w:tcPr>
            <w:tcW w:w="1870" w:type="dxa"/>
            <w:shd w:val="clear" w:color="auto" w:fill="auto"/>
            <w:vAlign w:val="center"/>
          </w:tcPr>
          <w:p w14:paraId="2ABADA91"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auto"/>
            <w:vAlign w:val="center"/>
          </w:tcPr>
          <w:p w14:paraId="5D5FC145" w14:textId="77777777" w:rsidR="006C5056" w:rsidRPr="001E48AC" w:rsidRDefault="006C5056" w:rsidP="00FF7FCA">
            <w:pPr>
              <w:spacing w:after="0"/>
              <w:jc w:val="center"/>
              <w:rPr>
                <w:rFonts w:cs="Times New Roman"/>
                <w:sz w:val="22"/>
              </w:rPr>
            </w:pPr>
          </w:p>
        </w:tc>
        <w:tc>
          <w:tcPr>
            <w:tcW w:w="2376" w:type="dxa"/>
            <w:shd w:val="clear" w:color="auto" w:fill="auto"/>
            <w:vAlign w:val="center"/>
          </w:tcPr>
          <w:p w14:paraId="3D8650AE" w14:textId="77777777" w:rsidR="006C5056" w:rsidRPr="001E48AC" w:rsidRDefault="006C5056" w:rsidP="00FF7FCA">
            <w:pPr>
              <w:spacing w:after="0"/>
              <w:jc w:val="center"/>
              <w:rPr>
                <w:rFonts w:cs="Times New Roman"/>
                <w:sz w:val="22"/>
              </w:rPr>
            </w:pPr>
            <w:r w:rsidRPr="001E48AC">
              <w:rPr>
                <w:rFonts w:cs="Times New Roman"/>
                <w:sz w:val="22"/>
              </w:rPr>
              <w:t>39,35</w:t>
            </w:r>
          </w:p>
        </w:tc>
      </w:tr>
      <w:tr w:rsidR="006C5056" w:rsidRPr="001E48AC" w14:paraId="70C4E99D" w14:textId="77777777" w:rsidTr="00EA25E3">
        <w:tc>
          <w:tcPr>
            <w:tcW w:w="3767" w:type="dxa"/>
            <w:shd w:val="clear" w:color="auto" w:fill="auto"/>
          </w:tcPr>
          <w:p w14:paraId="64114DFC" w14:textId="77777777" w:rsidR="006C5056" w:rsidRPr="001E48AC" w:rsidRDefault="006C5056" w:rsidP="00FF7FCA">
            <w:pPr>
              <w:spacing w:after="0"/>
              <w:rPr>
                <w:rFonts w:cs="Times New Roman"/>
                <w:bCs/>
                <w:sz w:val="22"/>
              </w:rPr>
            </w:pPr>
            <w:r w:rsidRPr="001E48AC">
              <w:rPr>
                <w:rFonts w:cs="Times New Roman"/>
                <w:bCs/>
                <w:sz w:val="22"/>
              </w:rPr>
              <w:t>Sašķidrinātā naftas gāze</w:t>
            </w:r>
          </w:p>
        </w:tc>
        <w:tc>
          <w:tcPr>
            <w:tcW w:w="1870" w:type="dxa"/>
            <w:shd w:val="clear" w:color="auto" w:fill="auto"/>
            <w:vAlign w:val="center"/>
          </w:tcPr>
          <w:p w14:paraId="06E998A3"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auto"/>
            <w:vAlign w:val="center"/>
          </w:tcPr>
          <w:p w14:paraId="4A9161C2" w14:textId="77777777" w:rsidR="006C5056" w:rsidRPr="001E48AC" w:rsidRDefault="006C5056" w:rsidP="00FF7FCA">
            <w:pPr>
              <w:spacing w:after="0"/>
              <w:jc w:val="center"/>
              <w:rPr>
                <w:rFonts w:cs="Times New Roman"/>
                <w:sz w:val="22"/>
              </w:rPr>
            </w:pPr>
            <w:r w:rsidRPr="001E48AC">
              <w:rPr>
                <w:rFonts w:cs="Times New Roman"/>
                <w:sz w:val="22"/>
              </w:rPr>
              <w:t>46</w:t>
            </w:r>
          </w:p>
        </w:tc>
        <w:tc>
          <w:tcPr>
            <w:tcW w:w="2376" w:type="dxa"/>
            <w:shd w:val="clear" w:color="auto" w:fill="auto"/>
            <w:vAlign w:val="center"/>
          </w:tcPr>
          <w:p w14:paraId="46602053" w14:textId="77777777" w:rsidR="006C5056" w:rsidRPr="001E48AC" w:rsidRDefault="006C5056" w:rsidP="00FF7FCA">
            <w:pPr>
              <w:spacing w:after="0"/>
              <w:jc w:val="center"/>
              <w:rPr>
                <w:rFonts w:cs="Times New Roman"/>
                <w:sz w:val="22"/>
              </w:rPr>
            </w:pPr>
            <w:r w:rsidRPr="001E48AC">
              <w:rPr>
                <w:rFonts w:cs="Times New Roman"/>
                <w:sz w:val="22"/>
              </w:rPr>
              <w:t>45,54</w:t>
            </w:r>
          </w:p>
        </w:tc>
      </w:tr>
      <w:tr w:rsidR="006C5056" w:rsidRPr="001E48AC" w14:paraId="01701ED4" w14:textId="77777777" w:rsidTr="00EA25E3">
        <w:tc>
          <w:tcPr>
            <w:tcW w:w="3767" w:type="dxa"/>
            <w:shd w:val="clear" w:color="auto" w:fill="auto"/>
          </w:tcPr>
          <w:p w14:paraId="4D432797" w14:textId="77777777" w:rsidR="006C5056" w:rsidRPr="001E48AC" w:rsidRDefault="006C5056" w:rsidP="00FF7FCA">
            <w:pPr>
              <w:spacing w:after="0"/>
              <w:rPr>
                <w:rFonts w:cs="Times New Roman"/>
                <w:bCs/>
                <w:sz w:val="22"/>
              </w:rPr>
            </w:pPr>
            <w:r w:rsidRPr="001E48AC">
              <w:rPr>
                <w:rFonts w:cs="Times New Roman"/>
                <w:bCs/>
                <w:sz w:val="22"/>
              </w:rPr>
              <w:t>Auto un aviācijas benzīns</w:t>
            </w:r>
          </w:p>
        </w:tc>
        <w:tc>
          <w:tcPr>
            <w:tcW w:w="1870" w:type="dxa"/>
            <w:shd w:val="clear" w:color="auto" w:fill="auto"/>
            <w:vAlign w:val="center"/>
          </w:tcPr>
          <w:p w14:paraId="2452B9ED"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auto"/>
            <w:vAlign w:val="center"/>
          </w:tcPr>
          <w:p w14:paraId="14B38C6C" w14:textId="77777777" w:rsidR="006C5056" w:rsidRPr="001E48AC" w:rsidRDefault="006C5056" w:rsidP="00FF7FCA">
            <w:pPr>
              <w:spacing w:after="0"/>
              <w:jc w:val="center"/>
              <w:rPr>
                <w:rFonts w:cs="Times New Roman"/>
                <w:sz w:val="22"/>
              </w:rPr>
            </w:pPr>
            <w:r w:rsidRPr="001E48AC">
              <w:rPr>
                <w:rFonts w:cs="Times New Roman"/>
                <w:sz w:val="22"/>
              </w:rPr>
              <w:t>44</w:t>
            </w:r>
          </w:p>
        </w:tc>
        <w:tc>
          <w:tcPr>
            <w:tcW w:w="2376" w:type="dxa"/>
            <w:shd w:val="clear" w:color="auto" w:fill="auto"/>
            <w:vAlign w:val="center"/>
          </w:tcPr>
          <w:p w14:paraId="471EBE1C" w14:textId="77777777" w:rsidR="006C5056" w:rsidRPr="001E48AC" w:rsidRDefault="006C5056" w:rsidP="00FF7FCA">
            <w:pPr>
              <w:spacing w:after="0"/>
              <w:jc w:val="center"/>
              <w:rPr>
                <w:rFonts w:cs="Times New Roman"/>
                <w:sz w:val="22"/>
              </w:rPr>
            </w:pPr>
            <w:r w:rsidRPr="001E48AC">
              <w:rPr>
                <w:rFonts w:cs="Times New Roman"/>
                <w:sz w:val="22"/>
              </w:rPr>
              <w:t>43,97</w:t>
            </w:r>
          </w:p>
        </w:tc>
      </w:tr>
      <w:tr w:rsidR="006C5056" w:rsidRPr="001E48AC" w14:paraId="44C4D00E" w14:textId="77777777" w:rsidTr="00EA25E3">
        <w:tc>
          <w:tcPr>
            <w:tcW w:w="3767" w:type="dxa"/>
            <w:shd w:val="clear" w:color="auto" w:fill="auto"/>
          </w:tcPr>
          <w:p w14:paraId="455B58A6" w14:textId="77777777" w:rsidR="006C5056" w:rsidRPr="001E48AC" w:rsidRDefault="006C5056" w:rsidP="00FF7FCA">
            <w:pPr>
              <w:spacing w:after="0"/>
              <w:rPr>
                <w:rFonts w:cs="Times New Roman"/>
                <w:bCs/>
                <w:sz w:val="22"/>
              </w:rPr>
            </w:pPr>
            <w:r w:rsidRPr="001E48AC">
              <w:rPr>
                <w:rFonts w:cs="Times New Roman"/>
                <w:bCs/>
                <w:sz w:val="22"/>
              </w:rPr>
              <w:t>Benzīna veida reaktīvā degviela</w:t>
            </w:r>
          </w:p>
        </w:tc>
        <w:tc>
          <w:tcPr>
            <w:tcW w:w="1870" w:type="dxa"/>
            <w:shd w:val="clear" w:color="auto" w:fill="auto"/>
            <w:vAlign w:val="center"/>
          </w:tcPr>
          <w:p w14:paraId="5C64A388"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auto"/>
            <w:vAlign w:val="center"/>
          </w:tcPr>
          <w:p w14:paraId="1BE28BCC" w14:textId="77777777" w:rsidR="006C5056" w:rsidRPr="001E48AC" w:rsidRDefault="006C5056" w:rsidP="00FF7FCA">
            <w:pPr>
              <w:spacing w:after="0"/>
              <w:jc w:val="center"/>
              <w:rPr>
                <w:rFonts w:cs="Times New Roman"/>
                <w:sz w:val="22"/>
              </w:rPr>
            </w:pPr>
            <w:r w:rsidRPr="001E48AC">
              <w:rPr>
                <w:rFonts w:cs="Times New Roman"/>
                <w:sz w:val="22"/>
              </w:rPr>
              <w:t>44</w:t>
            </w:r>
          </w:p>
        </w:tc>
        <w:tc>
          <w:tcPr>
            <w:tcW w:w="2376" w:type="dxa"/>
            <w:shd w:val="clear" w:color="auto" w:fill="auto"/>
            <w:vAlign w:val="center"/>
          </w:tcPr>
          <w:p w14:paraId="5D19E075" w14:textId="77777777" w:rsidR="006C5056" w:rsidRPr="001E48AC" w:rsidRDefault="006C5056" w:rsidP="00FF7FCA">
            <w:pPr>
              <w:spacing w:after="0"/>
              <w:jc w:val="center"/>
              <w:rPr>
                <w:rFonts w:cs="Times New Roman"/>
                <w:sz w:val="22"/>
              </w:rPr>
            </w:pPr>
            <w:r w:rsidRPr="001E48AC">
              <w:rPr>
                <w:rFonts w:cs="Times New Roman"/>
                <w:sz w:val="22"/>
              </w:rPr>
              <w:t>43,21</w:t>
            </w:r>
          </w:p>
        </w:tc>
      </w:tr>
      <w:tr w:rsidR="006C5056" w:rsidRPr="001E48AC" w14:paraId="3726545A" w14:textId="77777777" w:rsidTr="00EA25E3">
        <w:tc>
          <w:tcPr>
            <w:tcW w:w="3767" w:type="dxa"/>
            <w:shd w:val="clear" w:color="auto" w:fill="auto"/>
          </w:tcPr>
          <w:p w14:paraId="4D6E83F9" w14:textId="77777777" w:rsidR="006C5056" w:rsidRPr="001E48AC" w:rsidRDefault="006C5056" w:rsidP="00FF7FCA">
            <w:pPr>
              <w:spacing w:after="0"/>
              <w:rPr>
                <w:rFonts w:cs="Times New Roman"/>
                <w:bCs/>
                <w:sz w:val="22"/>
              </w:rPr>
            </w:pPr>
            <w:r w:rsidRPr="001E48AC">
              <w:rPr>
                <w:rFonts w:cs="Times New Roman"/>
                <w:bCs/>
                <w:sz w:val="22"/>
              </w:rPr>
              <w:t>Petrolejas veida reaktīvā degviela</w:t>
            </w:r>
          </w:p>
        </w:tc>
        <w:tc>
          <w:tcPr>
            <w:tcW w:w="1870" w:type="dxa"/>
            <w:shd w:val="clear" w:color="auto" w:fill="auto"/>
            <w:vAlign w:val="center"/>
          </w:tcPr>
          <w:p w14:paraId="23C9CDF6"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auto"/>
            <w:vAlign w:val="center"/>
          </w:tcPr>
          <w:p w14:paraId="0FEF1C6E" w14:textId="77777777" w:rsidR="006C5056" w:rsidRPr="001E48AC" w:rsidRDefault="006C5056" w:rsidP="00FF7FCA">
            <w:pPr>
              <w:spacing w:after="0"/>
              <w:jc w:val="center"/>
              <w:rPr>
                <w:rFonts w:cs="Times New Roman"/>
                <w:sz w:val="22"/>
              </w:rPr>
            </w:pPr>
            <w:r w:rsidRPr="001E48AC">
              <w:rPr>
                <w:rFonts w:cs="Times New Roman"/>
                <w:sz w:val="22"/>
              </w:rPr>
              <w:t>44</w:t>
            </w:r>
          </w:p>
        </w:tc>
        <w:tc>
          <w:tcPr>
            <w:tcW w:w="2376" w:type="dxa"/>
            <w:shd w:val="clear" w:color="auto" w:fill="auto"/>
            <w:vAlign w:val="center"/>
          </w:tcPr>
          <w:p w14:paraId="63225511" w14:textId="77777777" w:rsidR="006C5056" w:rsidRPr="001E48AC" w:rsidRDefault="006C5056" w:rsidP="00FF7FCA">
            <w:pPr>
              <w:spacing w:after="0"/>
              <w:jc w:val="center"/>
              <w:rPr>
                <w:rFonts w:cs="Times New Roman"/>
                <w:sz w:val="22"/>
              </w:rPr>
            </w:pPr>
            <w:r w:rsidRPr="001E48AC">
              <w:rPr>
                <w:rFonts w:cs="Times New Roman"/>
                <w:sz w:val="22"/>
              </w:rPr>
              <w:t>43,21</w:t>
            </w:r>
          </w:p>
        </w:tc>
      </w:tr>
      <w:tr w:rsidR="006C5056" w:rsidRPr="001E48AC" w14:paraId="27C5290E" w14:textId="77777777" w:rsidTr="00EA25E3">
        <w:tc>
          <w:tcPr>
            <w:tcW w:w="3767" w:type="dxa"/>
            <w:shd w:val="clear" w:color="auto" w:fill="FFFFFF"/>
          </w:tcPr>
          <w:p w14:paraId="547EDF1B" w14:textId="77777777" w:rsidR="006C5056" w:rsidRPr="001E48AC" w:rsidRDefault="006C5056" w:rsidP="00FF7FCA">
            <w:pPr>
              <w:spacing w:after="0"/>
              <w:rPr>
                <w:rFonts w:cs="Times New Roman"/>
                <w:bCs/>
                <w:sz w:val="22"/>
              </w:rPr>
            </w:pPr>
            <w:r w:rsidRPr="001E48AC">
              <w:rPr>
                <w:rFonts w:cs="Times New Roman"/>
                <w:bCs/>
                <w:sz w:val="22"/>
              </w:rPr>
              <w:t>Petroleja</w:t>
            </w:r>
          </w:p>
        </w:tc>
        <w:tc>
          <w:tcPr>
            <w:tcW w:w="1870" w:type="dxa"/>
            <w:shd w:val="clear" w:color="auto" w:fill="FFFFFF"/>
            <w:vAlign w:val="center"/>
          </w:tcPr>
          <w:p w14:paraId="2241E38E"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auto"/>
            <w:vAlign w:val="center"/>
          </w:tcPr>
          <w:p w14:paraId="54C382C5" w14:textId="77777777" w:rsidR="006C5056" w:rsidRPr="001E48AC" w:rsidRDefault="006C5056" w:rsidP="00FF7FCA">
            <w:pPr>
              <w:spacing w:after="0"/>
              <w:jc w:val="center"/>
              <w:rPr>
                <w:rFonts w:cs="Times New Roman"/>
                <w:sz w:val="22"/>
              </w:rPr>
            </w:pPr>
            <w:r w:rsidRPr="001E48AC">
              <w:rPr>
                <w:rFonts w:cs="Times New Roman"/>
                <w:sz w:val="22"/>
              </w:rPr>
              <w:t>44</w:t>
            </w:r>
          </w:p>
        </w:tc>
        <w:tc>
          <w:tcPr>
            <w:tcW w:w="2376" w:type="dxa"/>
            <w:shd w:val="clear" w:color="auto" w:fill="FFFFFF"/>
            <w:vAlign w:val="center"/>
          </w:tcPr>
          <w:p w14:paraId="6B7CA4A4" w14:textId="77777777" w:rsidR="006C5056" w:rsidRPr="001E48AC" w:rsidRDefault="006C5056" w:rsidP="00FF7FCA">
            <w:pPr>
              <w:spacing w:after="0"/>
              <w:jc w:val="center"/>
              <w:rPr>
                <w:rFonts w:cs="Times New Roman"/>
                <w:sz w:val="22"/>
              </w:rPr>
            </w:pPr>
            <w:r w:rsidRPr="001E48AC">
              <w:rPr>
                <w:rFonts w:cs="Times New Roman"/>
                <w:sz w:val="22"/>
              </w:rPr>
              <w:t>43,20</w:t>
            </w:r>
          </w:p>
        </w:tc>
      </w:tr>
      <w:tr w:rsidR="006C5056" w:rsidRPr="001E48AC" w14:paraId="18D31A93" w14:textId="77777777" w:rsidTr="00EA25E3">
        <w:tc>
          <w:tcPr>
            <w:tcW w:w="3767" w:type="dxa"/>
            <w:shd w:val="clear" w:color="auto" w:fill="auto"/>
          </w:tcPr>
          <w:p w14:paraId="51C4D321" w14:textId="77777777" w:rsidR="006C5056" w:rsidRPr="001E48AC" w:rsidRDefault="006C5056" w:rsidP="00FF7FCA">
            <w:pPr>
              <w:spacing w:after="0"/>
              <w:rPr>
                <w:rFonts w:cs="Times New Roman"/>
                <w:bCs/>
                <w:sz w:val="22"/>
              </w:rPr>
            </w:pPr>
            <w:r w:rsidRPr="001E48AC">
              <w:rPr>
                <w:rFonts w:cs="Times New Roman"/>
                <w:bCs/>
                <w:sz w:val="22"/>
              </w:rPr>
              <w:t>Dīzeļdegviela un sadzīves krāšņu kurināmais</w:t>
            </w:r>
          </w:p>
        </w:tc>
        <w:tc>
          <w:tcPr>
            <w:tcW w:w="1870" w:type="dxa"/>
            <w:shd w:val="clear" w:color="auto" w:fill="auto"/>
            <w:vAlign w:val="center"/>
          </w:tcPr>
          <w:p w14:paraId="06E4790D"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auto"/>
            <w:vAlign w:val="center"/>
          </w:tcPr>
          <w:p w14:paraId="060495F5" w14:textId="77777777" w:rsidR="006C5056" w:rsidRPr="001E48AC" w:rsidRDefault="006C5056" w:rsidP="00FF7FCA">
            <w:pPr>
              <w:spacing w:after="0"/>
              <w:jc w:val="center"/>
              <w:rPr>
                <w:rFonts w:cs="Times New Roman"/>
                <w:sz w:val="22"/>
              </w:rPr>
            </w:pPr>
            <w:r w:rsidRPr="001E48AC">
              <w:rPr>
                <w:rFonts w:cs="Times New Roman"/>
                <w:sz w:val="22"/>
              </w:rPr>
              <w:t>42,3</w:t>
            </w:r>
          </w:p>
        </w:tc>
        <w:tc>
          <w:tcPr>
            <w:tcW w:w="2376" w:type="dxa"/>
            <w:shd w:val="clear" w:color="auto" w:fill="auto"/>
            <w:vAlign w:val="center"/>
          </w:tcPr>
          <w:p w14:paraId="78F98E40" w14:textId="77777777" w:rsidR="006C5056" w:rsidRPr="001E48AC" w:rsidRDefault="006C5056" w:rsidP="00FF7FCA">
            <w:pPr>
              <w:spacing w:after="0"/>
              <w:jc w:val="center"/>
              <w:rPr>
                <w:rFonts w:cs="Times New Roman"/>
                <w:sz w:val="22"/>
              </w:rPr>
            </w:pPr>
            <w:r w:rsidRPr="001E48AC">
              <w:rPr>
                <w:rFonts w:cs="Times New Roman"/>
                <w:sz w:val="22"/>
              </w:rPr>
              <w:t>42,49</w:t>
            </w:r>
          </w:p>
        </w:tc>
      </w:tr>
      <w:tr w:rsidR="006C5056" w:rsidRPr="001E48AC" w14:paraId="659A081F" w14:textId="77777777" w:rsidTr="00EA25E3">
        <w:tc>
          <w:tcPr>
            <w:tcW w:w="3767" w:type="dxa"/>
            <w:shd w:val="clear" w:color="auto" w:fill="auto"/>
          </w:tcPr>
          <w:p w14:paraId="75AF2D79" w14:textId="77777777" w:rsidR="006C5056" w:rsidRPr="001E48AC" w:rsidRDefault="006C5056" w:rsidP="00FF7FCA">
            <w:pPr>
              <w:spacing w:after="0"/>
              <w:rPr>
                <w:rFonts w:cs="Times New Roman"/>
                <w:bCs/>
                <w:sz w:val="22"/>
              </w:rPr>
            </w:pPr>
            <w:r w:rsidRPr="001E48AC">
              <w:rPr>
                <w:rFonts w:cs="Times New Roman"/>
                <w:bCs/>
                <w:sz w:val="22"/>
              </w:rPr>
              <w:t>Mazuts (degvieleļļa)</w:t>
            </w:r>
          </w:p>
        </w:tc>
        <w:tc>
          <w:tcPr>
            <w:tcW w:w="1870" w:type="dxa"/>
            <w:shd w:val="clear" w:color="auto" w:fill="auto"/>
            <w:vAlign w:val="center"/>
          </w:tcPr>
          <w:p w14:paraId="5C708460"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auto"/>
            <w:vAlign w:val="center"/>
          </w:tcPr>
          <w:p w14:paraId="639335CF" w14:textId="77777777" w:rsidR="006C5056" w:rsidRPr="001E48AC" w:rsidRDefault="006C5056" w:rsidP="00FF7FCA">
            <w:pPr>
              <w:spacing w:after="0"/>
              <w:jc w:val="center"/>
              <w:rPr>
                <w:rFonts w:cs="Times New Roman"/>
                <w:sz w:val="22"/>
              </w:rPr>
            </w:pPr>
            <w:r w:rsidRPr="001E48AC">
              <w:rPr>
                <w:rFonts w:cs="Times New Roman"/>
                <w:sz w:val="22"/>
              </w:rPr>
              <w:t>40</w:t>
            </w:r>
          </w:p>
        </w:tc>
        <w:tc>
          <w:tcPr>
            <w:tcW w:w="2376" w:type="dxa"/>
            <w:shd w:val="clear" w:color="auto" w:fill="auto"/>
            <w:vAlign w:val="center"/>
          </w:tcPr>
          <w:p w14:paraId="2184255C" w14:textId="77777777" w:rsidR="006C5056" w:rsidRPr="001E48AC" w:rsidRDefault="006C5056" w:rsidP="00FF7FCA">
            <w:pPr>
              <w:spacing w:after="0"/>
              <w:jc w:val="center"/>
              <w:rPr>
                <w:rFonts w:cs="Times New Roman"/>
                <w:sz w:val="22"/>
              </w:rPr>
            </w:pPr>
            <w:r w:rsidRPr="001E48AC">
              <w:rPr>
                <w:rFonts w:cs="Times New Roman"/>
                <w:sz w:val="22"/>
              </w:rPr>
              <w:t>40,60</w:t>
            </w:r>
          </w:p>
        </w:tc>
      </w:tr>
      <w:tr w:rsidR="006C5056" w:rsidRPr="001E48AC" w14:paraId="0BB59FCE" w14:textId="77777777" w:rsidTr="00EA25E3">
        <w:tc>
          <w:tcPr>
            <w:tcW w:w="3767" w:type="dxa"/>
            <w:shd w:val="clear" w:color="auto" w:fill="auto"/>
          </w:tcPr>
          <w:p w14:paraId="613674F6" w14:textId="77777777" w:rsidR="006C5056" w:rsidRPr="001E48AC" w:rsidRDefault="006C5056" w:rsidP="00FF7FCA">
            <w:pPr>
              <w:spacing w:after="0"/>
              <w:rPr>
                <w:rFonts w:cs="Times New Roman"/>
                <w:bCs/>
                <w:sz w:val="22"/>
              </w:rPr>
            </w:pPr>
            <w:r w:rsidRPr="001E48AC">
              <w:rPr>
                <w:rFonts w:cs="Times New Roman"/>
                <w:bCs/>
                <w:sz w:val="22"/>
              </w:rPr>
              <w:t>Lakbenzīns</w:t>
            </w:r>
          </w:p>
        </w:tc>
        <w:tc>
          <w:tcPr>
            <w:tcW w:w="1870" w:type="dxa"/>
            <w:shd w:val="clear" w:color="auto" w:fill="auto"/>
            <w:vAlign w:val="center"/>
          </w:tcPr>
          <w:p w14:paraId="0131EA32"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auto"/>
            <w:vAlign w:val="center"/>
          </w:tcPr>
          <w:p w14:paraId="72F2380F" w14:textId="77777777" w:rsidR="006C5056" w:rsidRPr="001E48AC" w:rsidRDefault="006C5056" w:rsidP="00FF7FCA">
            <w:pPr>
              <w:spacing w:after="0"/>
              <w:jc w:val="center"/>
              <w:rPr>
                <w:rFonts w:cs="Times New Roman"/>
                <w:sz w:val="22"/>
              </w:rPr>
            </w:pPr>
          </w:p>
        </w:tc>
        <w:tc>
          <w:tcPr>
            <w:tcW w:w="2376" w:type="dxa"/>
            <w:shd w:val="clear" w:color="auto" w:fill="auto"/>
            <w:vAlign w:val="center"/>
          </w:tcPr>
          <w:p w14:paraId="515D849F" w14:textId="77777777" w:rsidR="006C5056" w:rsidRPr="001E48AC" w:rsidRDefault="006C5056" w:rsidP="00FF7FCA">
            <w:pPr>
              <w:spacing w:after="0"/>
              <w:jc w:val="center"/>
              <w:rPr>
                <w:rFonts w:cs="Times New Roman"/>
                <w:sz w:val="22"/>
              </w:rPr>
            </w:pPr>
            <w:r w:rsidRPr="001E48AC">
              <w:rPr>
                <w:rFonts w:cs="Times New Roman"/>
                <w:sz w:val="22"/>
              </w:rPr>
              <w:t>41,86</w:t>
            </w:r>
          </w:p>
        </w:tc>
      </w:tr>
      <w:tr w:rsidR="006C5056" w:rsidRPr="001E48AC" w14:paraId="3E4562D2" w14:textId="77777777" w:rsidTr="00EA25E3">
        <w:tc>
          <w:tcPr>
            <w:tcW w:w="3767" w:type="dxa"/>
            <w:shd w:val="clear" w:color="auto" w:fill="auto"/>
          </w:tcPr>
          <w:p w14:paraId="51C065B8" w14:textId="77777777" w:rsidR="006C5056" w:rsidRPr="001E48AC" w:rsidRDefault="006C5056" w:rsidP="00FF7FCA">
            <w:pPr>
              <w:spacing w:after="0"/>
              <w:rPr>
                <w:rFonts w:cs="Times New Roman"/>
                <w:bCs/>
                <w:sz w:val="22"/>
              </w:rPr>
            </w:pPr>
            <w:r w:rsidRPr="001E48AC">
              <w:rPr>
                <w:rFonts w:cs="Times New Roman"/>
                <w:bCs/>
                <w:sz w:val="22"/>
              </w:rPr>
              <w:t>Smērvielas</w:t>
            </w:r>
          </w:p>
        </w:tc>
        <w:tc>
          <w:tcPr>
            <w:tcW w:w="1870" w:type="dxa"/>
            <w:shd w:val="clear" w:color="auto" w:fill="auto"/>
            <w:vAlign w:val="center"/>
          </w:tcPr>
          <w:p w14:paraId="5D0B3369"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auto"/>
            <w:vAlign w:val="center"/>
          </w:tcPr>
          <w:p w14:paraId="11C02EBF" w14:textId="77777777" w:rsidR="006C5056" w:rsidRPr="001E48AC" w:rsidRDefault="006C5056" w:rsidP="00FF7FCA">
            <w:pPr>
              <w:spacing w:after="0"/>
              <w:jc w:val="center"/>
              <w:rPr>
                <w:rFonts w:cs="Times New Roman"/>
                <w:sz w:val="22"/>
              </w:rPr>
            </w:pPr>
          </w:p>
        </w:tc>
        <w:tc>
          <w:tcPr>
            <w:tcW w:w="2376" w:type="dxa"/>
            <w:shd w:val="clear" w:color="auto" w:fill="auto"/>
            <w:vAlign w:val="center"/>
          </w:tcPr>
          <w:p w14:paraId="14CE0292" w14:textId="77777777" w:rsidR="006C5056" w:rsidRPr="001E48AC" w:rsidRDefault="006C5056" w:rsidP="00FF7FCA">
            <w:pPr>
              <w:spacing w:after="0"/>
              <w:jc w:val="center"/>
              <w:rPr>
                <w:rFonts w:cs="Times New Roman"/>
                <w:sz w:val="22"/>
              </w:rPr>
            </w:pPr>
            <w:r w:rsidRPr="001E48AC">
              <w:rPr>
                <w:rFonts w:cs="Times New Roman"/>
                <w:sz w:val="22"/>
              </w:rPr>
              <w:t>41,86</w:t>
            </w:r>
          </w:p>
        </w:tc>
      </w:tr>
      <w:tr w:rsidR="006C5056" w:rsidRPr="001E48AC" w14:paraId="6F2768DA" w14:textId="77777777" w:rsidTr="00EA25E3">
        <w:tc>
          <w:tcPr>
            <w:tcW w:w="3767" w:type="dxa"/>
            <w:shd w:val="clear" w:color="auto" w:fill="auto"/>
          </w:tcPr>
          <w:p w14:paraId="06ECEC95" w14:textId="77777777" w:rsidR="006C5056" w:rsidRPr="001E48AC" w:rsidRDefault="006C5056" w:rsidP="00FF7FCA">
            <w:pPr>
              <w:spacing w:after="0"/>
              <w:rPr>
                <w:rFonts w:cs="Times New Roman"/>
                <w:bCs/>
                <w:sz w:val="22"/>
              </w:rPr>
            </w:pPr>
            <w:r w:rsidRPr="001E48AC">
              <w:rPr>
                <w:rFonts w:cs="Times New Roman"/>
                <w:bCs/>
                <w:sz w:val="22"/>
              </w:rPr>
              <w:t>Naftas bitumens</w:t>
            </w:r>
          </w:p>
        </w:tc>
        <w:tc>
          <w:tcPr>
            <w:tcW w:w="1870" w:type="dxa"/>
            <w:shd w:val="clear" w:color="auto" w:fill="auto"/>
            <w:vAlign w:val="center"/>
          </w:tcPr>
          <w:p w14:paraId="4A3CBEE2"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auto"/>
            <w:vAlign w:val="center"/>
          </w:tcPr>
          <w:p w14:paraId="1773CB21" w14:textId="77777777" w:rsidR="006C5056" w:rsidRPr="001E48AC" w:rsidRDefault="006C5056" w:rsidP="00FF7FCA">
            <w:pPr>
              <w:spacing w:after="0"/>
              <w:jc w:val="center"/>
              <w:rPr>
                <w:rFonts w:cs="Times New Roman"/>
                <w:sz w:val="22"/>
              </w:rPr>
            </w:pPr>
          </w:p>
        </w:tc>
        <w:tc>
          <w:tcPr>
            <w:tcW w:w="2376" w:type="dxa"/>
            <w:shd w:val="clear" w:color="auto" w:fill="auto"/>
            <w:vAlign w:val="center"/>
          </w:tcPr>
          <w:p w14:paraId="50448176" w14:textId="77777777" w:rsidR="006C5056" w:rsidRPr="001E48AC" w:rsidRDefault="006C5056" w:rsidP="00FF7FCA">
            <w:pPr>
              <w:spacing w:after="0"/>
              <w:jc w:val="center"/>
              <w:rPr>
                <w:rFonts w:cs="Times New Roman"/>
                <w:sz w:val="22"/>
              </w:rPr>
            </w:pPr>
            <w:r w:rsidRPr="001E48AC">
              <w:rPr>
                <w:rFonts w:cs="Times New Roman"/>
                <w:sz w:val="22"/>
              </w:rPr>
              <w:t>41,86</w:t>
            </w:r>
          </w:p>
        </w:tc>
      </w:tr>
      <w:tr w:rsidR="006C5056" w:rsidRPr="001E48AC" w14:paraId="2A5303A5" w14:textId="77777777" w:rsidTr="00EA25E3">
        <w:tc>
          <w:tcPr>
            <w:tcW w:w="3767" w:type="dxa"/>
            <w:shd w:val="clear" w:color="auto" w:fill="auto"/>
          </w:tcPr>
          <w:p w14:paraId="55EE5CFE" w14:textId="77777777" w:rsidR="006C5056" w:rsidRPr="001E48AC" w:rsidRDefault="006C5056" w:rsidP="00FF7FCA">
            <w:pPr>
              <w:spacing w:after="0"/>
              <w:rPr>
                <w:rFonts w:cs="Times New Roman"/>
                <w:bCs/>
                <w:sz w:val="22"/>
              </w:rPr>
            </w:pPr>
            <w:r w:rsidRPr="001E48AC">
              <w:rPr>
                <w:rFonts w:cs="Times New Roman"/>
                <w:bCs/>
                <w:sz w:val="22"/>
              </w:rPr>
              <w:t>Parafīna sveķi</w:t>
            </w:r>
          </w:p>
        </w:tc>
        <w:tc>
          <w:tcPr>
            <w:tcW w:w="1870" w:type="dxa"/>
            <w:shd w:val="clear" w:color="auto" w:fill="auto"/>
            <w:vAlign w:val="center"/>
          </w:tcPr>
          <w:p w14:paraId="34726865"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auto"/>
            <w:vAlign w:val="center"/>
          </w:tcPr>
          <w:p w14:paraId="241BC8A7" w14:textId="77777777" w:rsidR="006C5056" w:rsidRPr="001E48AC" w:rsidRDefault="006C5056" w:rsidP="00FF7FCA">
            <w:pPr>
              <w:spacing w:after="0"/>
              <w:jc w:val="center"/>
              <w:rPr>
                <w:rFonts w:cs="Times New Roman"/>
                <w:sz w:val="22"/>
              </w:rPr>
            </w:pPr>
            <w:r w:rsidRPr="001E48AC">
              <w:rPr>
                <w:rFonts w:cs="Times New Roman"/>
                <w:sz w:val="22"/>
              </w:rPr>
              <w:t>40</w:t>
            </w:r>
          </w:p>
        </w:tc>
        <w:tc>
          <w:tcPr>
            <w:tcW w:w="2376" w:type="dxa"/>
            <w:shd w:val="clear" w:color="auto" w:fill="auto"/>
            <w:vAlign w:val="center"/>
          </w:tcPr>
          <w:p w14:paraId="58ED7FF7" w14:textId="77777777" w:rsidR="006C5056" w:rsidRPr="001E48AC" w:rsidRDefault="006C5056" w:rsidP="00FF7FCA">
            <w:pPr>
              <w:spacing w:after="0"/>
              <w:jc w:val="center"/>
              <w:rPr>
                <w:rFonts w:cs="Times New Roman"/>
                <w:sz w:val="22"/>
              </w:rPr>
            </w:pPr>
            <w:r w:rsidRPr="001E48AC">
              <w:rPr>
                <w:rFonts w:cs="Times New Roman"/>
                <w:sz w:val="22"/>
              </w:rPr>
              <w:t>41,86</w:t>
            </w:r>
          </w:p>
        </w:tc>
      </w:tr>
      <w:tr w:rsidR="006C5056" w:rsidRPr="001E48AC" w14:paraId="0E3B6B56" w14:textId="77777777" w:rsidTr="00EA25E3">
        <w:tc>
          <w:tcPr>
            <w:tcW w:w="3767" w:type="dxa"/>
            <w:shd w:val="clear" w:color="auto" w:fill="auto"/>
          </w:tcPr>
          <w:p w14:paraId="4DBF8D68" w14:textId="77777777" w:rsidR="006C5056" w:rsidRPr="001E48AC" w:rsidRDefault="006C5056" w:rsidP="00FF7FCA">
            <w:pPr>
              <w:spacing w:after="0"/>
              <w:rPr>
                <w:rFonts w:cs="Times New Roman"/>
                <w:bCs/>
                <w:sz w:val="22"/>
              </w:rPr>
            </w:pPr>
            <w:r w:rsidRPr="001E48AC">
              <w:rPr>
                <w:rFonts w:cs="Times New Roman"/>
                <w:bCs/>
                <w:sz w:val="22"/>
              </w:rPr>
              <w:t>Naftas kokss</w:t>
            </w:r>
          </w:p>
        </w:tc>
        <w:tc>
          <w:tcPr>
            <w:tcW w:w="1870" w:type="dxa"/>
            <w:shd w:val="clear" w:color="auto" w:fill="auto"/>
            <w:vAlign w:val="center"/>
          </w:tcPr>
          <w:p w14:paraId="48A0BF06"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auto"/>
            <w:vAlign w:val="center"/>
          </w:tcPr>
          <w:p w14:paraId="59CD26C4" w14:textId="77777777" w:rsidR="006C5056" w:rsidRPr="001E48AC" w:rsidRDefault="006C5056" w:rsidP="00FF7FCA">
            <w:pPr>
              <w:spacing w:after="0"/>
              <w:jc w:val="center"/>
              <w:rPr>
                <w:rFonts w:cs="Times New Roman"/>
                <w:sz w:val="22"/>
              </w:rPr>
            </w:pPr>
          </w:p>
        </w:tc>
        <w:tc>
          <w:tcPr>
            <w:tcW w:w="2376" w:type="dxa"/>
            <w:shd w:val="clear" w:color="auto" w:fill="auto"/>
            <w:vAlign w:val="center"/>
          </w:tcPr>
          <w:p w14:paraId="2E550206" w14:textId="77777777" w:rsidR="006C5056" w:rsidRPr="001E48AC" w:rsidRDefault="006C5056" w:rsidP="00FF7FCA">
            <w:pPr>
              <w:spacing w:after="0"/>
              <w:jc w:val="center"/>
              <w:rPr>
                <w:rFonts w:cs="Times New Roman"/>
                <w:sz w:val="22"/>
              </w:rPr>
            </w:pPr>
            <w:r w:rsidRPr="001E48AC">
              <w:rPr>
                <w:rFonts w:cs="Times New Roman"/>
                <w:sz w:val="22"/>
              </w:rPr>
              <w:t>32,98</w:t>
            </w:r>
          </w:p>
        </w:tc>
      </w:tr>
      <w:tr w:rsidR="006C5056" w:rsidRPr="001E48AC" w14:paraId="7E225DF8" w14:textId="77777777" w:rsidTr="00EA25E3">
        <w:tc>
          <w:tcPr>
            <w:tcW w:w="3767" w:type="dxa"/>
            <w:shd w:val="clear" w:color="auto" w:fill="auto"/>
          </w:tcPr>
          <w:p w14:paraId="18917CD7" w14:textId="77777777" w:rsidR="006C5056" w:rsidRPr="001E48AC" w:rsidRDefault="006C5056" w:rsidP="00FF7FCA">
            <w:pPr>
              <w:spacing w:after="0"/>
              <w:rPr>
                <w:rFonts w:cs="Times New Roman"/>
                <w:bCs/>
                <w:sz w:val="22"/>
              </w:rPr>
            </w:pPr>
            <w:r w:rsidRPr="001E48AC">
              <w:rPr>
                <w:rFonts w:cs="Times New Roman"/>
                <w:bCs/>
                <w:sz w:val="22"/>
              </w:rPr>
              <w:t>Atstrādātās eļļas</w:t>
            </w:r>
          </w:p>
        </w:tc>
        <w:tc>
          <w:tcPr>
            <w:tcW w:w="1870" w:type="dxa"/>
            <w:shd w:val="clear" w:color="auto" w:fill="auto"/>
            <w:vAlign w:val="center"/>
          </w:tcPr>
          <w:p w14:paraId="206EF93B"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auto"/>
            <w:vAlign w:val="center"/>
          </w:tcPr>
          <w:p w14:paraId="5C5C1DF4" w14:textId="77777777" w:rsidR="006C5056" w:rsidRPr="001E48AC" w:rsidRDefault="006C5056" w:rsidP="00FF7FCA">
            <w:pPr>
              <w:spacing w:after="0"/>
              <w:jc w:val="center"/>
              <w:rPr>
                <w:rFonts w:cs="Times New Roman"/>
                <w:sz w:val="22"/>
              </w:rPr>
            </w:pPr>
          </w:p>
        </w:tc>
        <w:tc>
          <w:tcPr>
            <w:tcW w:w="2376" w:type="dxa"/>
            <w:shd w:val="clear" w:color="auto" w:fill="auto"/>
            <w:vAlign w:val="center"/>
          </w:tcPr>
          <w:p w14:paraId="54F60B75" w14:textId="77777777" w:rsidR="006C5056" w:rsidRPr="001E48AC" w:rsidRDefault="006C5056" w:rsidP="00FF7FCA">
            <w:pPr>
              <w:spacing w:after="0"/>
              <w:jc w:val="center"/>
              <w:rPr>
                <w:rFonts w:cs="Times New Roman"/>
                <w:sz w:val="22"/>
              </w:rPr>
            </w:pPr>
            <w:r w:rsidRPr="001E48AC">
              <w:rPr>
                <w:rFonts w:cs="Times New Roman"/>
                <w:sz w:val="22"/>
              </w:rPr>
              <w:t>29,23</w:t>
            </w:r>
          </w:p>
        </w:tc>
      </w:tr>
      <w:tr w:rsidR="006C5056" w:rsidRPr="001E48AC" w14:paraId="2DCF40F6" w14:textId="77777777" w:rsidTr="00EA25E3">
        <w:tc>
          <w:tcPr>
            <w:tcW w:w="3767" w:type="dxa"/>
            <w:shd w:val="clear" w:color="auto" w:fill="auto"/>
          </w:tcPr>
          <w:p w14:paraId="077BE477" w14:textId="77777777" w:rsidR="006C5056" w:rsidRPr="001E48AC" w:rsidRDefault="006C5056" w:rsidP="00FF7FCA">
            <w:pPr>
              <w:spacing w:after="0"/>
              <w:rPr>
                <w:rFonts w:cs="Times New Roman"/>
                <w:bCs/>
                <w:sz w:val="22"/>
              </w:rPr>
            </w:pPr>
            <w:r w:rsidRPr="001E48AC">
              <w:rPr>
                <w:rFonts w:cs="Times New Roman"/>
                <w:bCs/>
                <w:sz w:val="22"/>
              </w:rPr>
              <w:t>Pārējie naftas produkti</w:t>
            </w:r>
          </w:p>
        </w:tc>
        <w:tc>
          <w:tcPr>
            <w:tcW w:w="1870" w:type="dxa"/>
            <w:shd w:val="clear" w:color="auto" w:fill="auto"/>
            <w:vAlign w:val="center"/>
          </w:tcPr>
          <w:p w14:paraId="36F855F7"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auto"/>
            <w:vAlign w:val="center"/>
          </w:tcPr>
          <w:p w14:paraId="7006A910" w14:textId="77777777" w:rsidR="006C5056" w:rsidRPr="001E48AC" w:rsidRDefault="006C5056" w:rsidP="00FF7FCA">
            <w:pPr>
              <w:spacing w:after="0"/>
              <w:jc w:val="center"/>
              <w:rPr>
                <w:rFonts w:cs="Times New Roman"/>
                <w:sz w:val="22"/>
              </w:rPr>
            </w:pPr>
          </w:p>
        </w:tc>
        <w:tc>
          <w:tcPr>
            <w:tcW w:w="2376" w:type="dxa"/>
            <w:shd w:val="clear" w:color="auto" w:fill="auto"/>
            <w:vAlign w:val="center"/>
          </w:tcPr>
          <w:p w14:paraId="4A90BDD4" w14:textId="77777777" w:rsidR="006C5056" w:rsidRPr="001E48AC" w:rsidRDefault="006C5056" w:rsidP="00FF7FCA">
            <w:pPr>
              <w:spacing w:after="0"/>
              <w:jc w:val="center"/>
              <w:rPr>
                <w:rFonts w:cs="Times New Roman"/>
                <w:sz w:val="22"/>
              </w:rPr>
            </w:pPr>
            <w:r w:rsidRPr="001E48AC">
              <w:rPr>
                <w:rFonts w:cs="Times New Roman"/>
                <w:sz w:val="22"/>
              </w:rPr>
              <w:t>41,86</w:t>
            </w:r>
          </w:p>
        </w:tc>
      </w:tr>
      <w:tr w:rsidR="006C5056" w:rsidRPr="001E48AC" w14:paraId="6F92BBCD" w14:textId="77777777" w:rsidTr="00EA25E3">
        <w:tc>
          <w:tcPr>
            <w:tcW w:w="3767" w:type="dxa"/>
            <w:shd w:val="clear" w:color="auto" w:fill="auto"/>
          </w:tcPr>
          <w:p w14:paraId="02FBFA22" w14:textId="77777777" w:rsidR="006C5056" w:rsidRPr="001E48AC" w:rsidRDefault="006C5056" w:rsidP="00FF7FCA">
            <w:pPr>
              <w:spacing w:after="0"/>
              <w:rPr>
                <w:rFonts w:cs="Times New Roman"/>
                <w:bCs/>
                <w:sz w:val="22"/>
              </w:rPr>
            </w:pPr>
            <w:r w:rsidRPr="001E48AC">
              <w:rPr>
                <w:rFonts w:cs="Times New Roman"/>
                <w:bCs/>
                <w:sz w:val="22"/>
              </w:rPr>
              <w:t>Elektroenerģija</w:t>
            </w:r>
          </w:p>
        </w:tc>
        <w:tc>
          <w:tcPr>
            <w:tcW w:w="1870" w:type="dxa"/>
            <w:shd w:val="clear" w:color="auto" w:fill="auto"/>
            <w:vAlign w:val="center"/>
          </w:tcPr>
          <w:p w14:paraId="17B798E3" w14:textId="77777777" w:rsidR="006C5056" w:rsidRPr="001E48AC" w:rsidRDefault="006C5056" w:rsidP="00FF7FCA">
            <w:pPr>
              <w:spacing w:after="0"/>
              <w:jc w:val="right"/>
              <w:rPr>
                <w:rFonts w:cs="Times New Roman"/>
                <w:sz w:val="22"/>
              </w:rPr>
            </w:pPr>
            <w:r w:rsidRPr="001E48AC">
              <w:rPr>
                <w:rFonts w:cs="Times New Roman"/>
                <w:sz w:val="22"/>
              </w:rPr>
              <w:t>TJ/GWh</w:t>
            </w:r>
          </w:p>
        </w:tc>
        <w:tc>
          <w:tcPr>
            <w:tcW w:w="1842" w:type="dxa"/>
            <w:shd w:val="clear" w:color="auto" w:fill="auto"/>
            <w:vAlign w:val="center"/>
          </w:tcPr>
          <w:p w14:paraId="7970E839" w14:textId="77777777" w:rsidR="006C5056" w:rsidRPr="001E48AC" w:rsidRDefault="006C5056" w:rsidP="00FF7FCA">
            <w:pPr>
              <w:spacing w:after="0"/>
              <w:jc w:val="center"/>
              <w:rPr>
                <w:rFonts w:cs="Times New Roman"/>
                <w:sz w:val="22"/>
              </w:rPr>
            </w:pPr>
            <w:r w:rsidRPr="001E48AC">
              <w:rPr>
                <w:rFonts w:cs="Times New Roman"/>
                <w:sz w:val="22"/>
              </w:rPr>
              <w:t>3,6</w:t>
            </w:r>
          </w:p>
        </w:tc>
        <w:tc>
          <w:tcPr>
            <w:tcW w:w="2376" w:type="dxa"/>
            <w:shd w:val="clear" w:color="auto" w:fill="auto"/>
            <w:vAlign w:val="center"/>
          </w:tcPr>
          <w:p w14:paraId="7B89C68B" w14:textId="77777777" w:rsidR="006C5056" w:rsidRPr="001E48AC" w:rsidRDefault="006C5056" w:rsidP="00FF7FCA">
            <w:pPr>
              <w:spacing w:after="0"/>
              <w:jc w:val="center"/>
              <w:rPr>
                <w:rFonts w:cs="Times New Roman"/>
                <w:sz w:val="22"/>
              </w:rPr>
            </w:pPr>
            <w:r w:rsidRPr="001E48AC">
              <w:rPr>
                <w:rFonts w:cs="Times New Roman"/>
                <w:sz w:val="22"/>
              </w:rPr>
              <w:t>3,60</w:t>
            </w:r>
          </w:p>
        </w:tc>
      </w:tr>
      <w:tr w:rsidR="006C5056" w:rsidRPr="001E48AC" w14:paraId="2B560EA9" w14:textId="77777777" w:rsidTr="00EA25E3">
        <w:tc>
          <w:tcPr>
            <w:tcW w:w="3767" w:type="dxa"/>
            <w:shd w:val="clear" w:color="auto" w:fill="auto"/>
          </w:tcPr>
          <w:p w14:paraId="6B3BAAAB" w14:textId="77777777" w:rsidR="006C5056" w:rsidRPr="001E48AC" w:rsidRDefault="006C5056" w:rsidP="00FF7FCA">
            <w:pPr>
              <w:spacing w:after="0"/>
              <w:rPr>
                <w:rFonts w:cs="Times New Roman"/>
                <w:bCs/>
                <w:sz w:val="22"/>
              </w:rPr>
            </w:pPr>
            <w:r w:rsidRPr="001E48AC">
              <w:rPr>
                <w:rFonts w:cs="Times New Roman"/>
                <w:bCs/>
                <w:sz w:val="22"/>
              </w:rPr>
              <w:t xml:space="preserve">Siltumenerģija </w:t>
            </w:r>
          </w:p>
        </w:tc>
        <w:tc>
          <w:tcPr>
            <w:tcW w:w="1870" w:type="dxa"/>
            <w:shd w:val="clear" w:color="auto" w:fill="auto"/>
            <w:vAlign w:val="center"/>
          </w:tcPr>
          <w:p w14:paraId="6B0F646B" w14:textId="77777777" w:rsidR="006C5056" w:rsidRPr="001E48AC" w:rsidRDefault="006C5056" w:rsidP="00FF7FCA">
            <w:pPr>
              <w:spacing w:after="0"/>
              <w:jc w:val="right"/>
              <w:rPr>
                <w:rFonts w:cs="Times New Roman"/>
                <w:sz w:val="22"/>
              </w:rPr>
            </w:pPr>
            <w:r w:rsidRPr="001E48AC">
              <w:rPr>
                <w:rFonts w:cs="Times New Roman"/>
                <w:sz w:val="22"/>
              </w:rPr>
              <w:t>TJ/TJ</w:t>
            </w:r>
          </w:p>
        </w:tc>
        <w:tc>
          <w:tcPr>
            <w:tcW w:w="1842" w:type="dxa"/>
            <w:shd w:val="clear" w:color="auto" w:fill="auto"/>
            <w:vAlign w:val="center"/>
          </w:tcPr>
          <w:p w14:paraId="488C5847" w14:textId="77777777" w:rsidR="006C5056" w:rsidRPr="001E48AC" w:rsidRDefault="006C5056" w:rsidP="00FF7FCA">
            <w:pPr>
              <w:spacing w:after="0"/>
              <w:jc w:val="center"/>
              <w:rPr>
                <w:rFonts w:cs="Times New Roman"/>
                <w:sz w:val="22"/>
              </w:rPr>
            </w:pPr>
            <w:r w:rsidRPr="001E48AC">
              <w:rPr>
                <w:rFonts w:cs="Times New Roman"/>
                <w:sz w:val="22"/>
              </w:rPr>
              <w:t>1</w:t>
            </w:r>
          </w:p>
        </w:tc>
        <w:tc>
          <w:tcPr>
            <w:tcW w:w="2376" w:type="dxa"/>
            <w:shd w:val="clear" w:color="auto" w:fill="auto"/>
            <w:vAlign w:val="center"/>
          </w:tcPr>
          <w:p w14:paraId="4B237BED" w14:textId="77777777" w:rsidR="006C5056" w:rsidRPr="001E48AC" w:rsidRDefault="006C5056" w:rsidP="00FF7FCA">
            <w:pPr>
              <w:spacing w:after="0"/>
              <w:jc w:val="center"/>
              <w:rPr>
                <w:rFonts w:cs="Times New Roman"/>
                <w:sz w:val="22"/>
              </w:rPr>
            </w:pPr>
            <w:r w:rsidRPr="001E48AC">
              <w:rPr>
                <w:rFonts w:cs="Times New Roman"/>
                <w:sz w:val="22"/>
              </w:rPr>
              <w:t>1,00</w:t>
            </w:r>
          </w:p>
        </w:tc>
      </w:tr>
      <w:tr w:rsidR="006C5056" w:rsidRPr="001E48AC" w14:paraId="1C65D654" w14:textId="77777777" w:rsidTr="00EA25E3">
        <w:tc>
          <w:tcPr>
            <w:tcW w:w="3767" w:type="dxa"/>
            <w:shd w:val="clear" w:color="auto" w:fill="auto"/>
            <w:vAlign w:val="center"/>
          </w:tcPr>
          <w:p w14:paraId="1F7D41E3" w14:textId="77777777" w:rsidR="006C5056" w:rsidRPr="001E48AC" w:rsidRDefault="006C5056" w:rsidP="00FF7FCA">
            <w:pPr>
              <w:spacing w:after="0"/>
              <w:rPr>
                <w:rFonts w:cs="Times New Roman"/>
                <w:bCs/>
                <w:sz w:val="22"/>
              </w:rPr>
            </w:pPr>
            <w:r w:rsidRPr="001E48AC">
              <w:rPr>
                <w:rFonts w:cs="Times New Roman"/>
                <w:bCs/>
                <w:sz w:val="22"/>
              </w:rPr>
              <w:t>Sadzīves atkritumi kurināšanai</w:t>
            </w:r>
          </w:p>
        </w:tc>
        <w:tc>
          <w:tcPr>
            <w:tcW w:w="1870" w:type="dxa"/>
            <w:shd w:val="clear" w:color="auto" w:fill="auto"/>
            <w:vAlign w:val="center"/>
          </w:tcPr>
          <w:p w14:paraId="235568CC"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auto"/>
            <w:vAlign w:val="center"/>
          </w:tcPr>
          <w:p w14:paraId="1EA230F4" w14:textId="77777777" w:rsidR="006C5056" w:rsidRPr="001E48AC" w:rsidRDefault="006C5056" w:rsidP="00FF7FCA">
            <w:pPr>
              <w:spacing w:after="0"/>
              <w:jc w:val="center"/>
              <w:rPr>
                <w:rFonts w:cs="Times New Roman"/>
                <w:sz w:val="22"/>
              </w:rPr>
            </w:pPr>
            <w:r w:rsidRPr="001E48AC">
              <w:rPr>
                <w:rFonts w:cs="Times New Roman"/>
                <w:sz w:val="22"/>
              </w:rPr>
              <w:t>7,4-10,7</w:t>
            </w:r>
          </w:p>
        </w:tc>
        <w:tc>
          <w:tcPr>
            <w:tcW w:w="2376" w:type="dxa"/>
            <w:shd w:val="clear" w:color="auto" w:fill="auto"/>
            <w:vAlign w:val="center"/>
          </w:tcPr>
          <w:p w14:paraId="4F3CC81F" w14:textId="77777777" w:rsidR="006C5056" w:rsidRPr="001E48AC" w:rsidRDefault="006C5056" w:rsidP="00FF7FCA">
            <w:pPr>
              <w:spacing w:after="0"/>
              <w:jc w:val="center"/>
              <w:rPr>
                <w:rFonts w:cs="Times New Roman"/>
                <w:sz w:val="22"/>
              </w:rPr>
            </w:pPr>
            <w:r w:rsidRPr="001E48AC">
              <w:rPr>
                <w:rFonts w:cs="Times New Roman"/>
                <w:sz w:val="22"/>
              </w:rPr>
              <w:t>2010.</w:t>
            </w:r>
            <w:r w:rsidR="00DB1ED4" w:rsidRPr="001E48AC">
              <w:rPr>
                <w:rFonts w:cs="Times New Roman"/>
                <w:sz w:val="22"/>
              </w:rPr>
              <w:t> </w:t>
            </w:r>
            <w:r w:rsidRPr="001E48AC">
              <w:rPr>
                <w:rFonts w:cs="Times New Roman"/>
                <w:sz w:val="22"/>
              </w:rPr>
              <w:t xml:space="preserve">gadā – 18,56 </w:t>
            </w:r>
          </w:p>
          <w:p w14:paraId="69D6320A" w14:textId="77777777" w:rsidR="006C5056" w:rsidRPr="001E48AC" w:rsidRDefault="006C5056" w:rsidP="00FF7FCA">
            <w:pPr>
              <w:spacing w:after="0"/>
              <w:jc w:val="center"/>
              <w:rPr>
                <w:rFonts w:cs="Times New Roman"/>
                <w:sz w:val="22"/>
              </w:rPr>
            </w:pPr>
            <w:r w:rsidRPr="001E48AC">
              <w:rPr>
                <w:rFonts w:cs="Times New Roman"/>
                <w:sz w:val="22"/>
              </w:rPr>
              <w:t>2011.</w:t>
            </w:r>
            <w:r w:rsidR="00DB1ED4" w:rsidRPr="001E48AC">
              <w:rPr>
                <w:rFonts w:cs="Times New Roman"/>
                <w:sz w:val="22"/>
              </w:rPr>
              <w:t> </w:t>
            </w:r>
            <w:r w:rsidRPr="001E48AC">
              <w:rPr>
                <w:rFonts w:cs="Times New Roman"/>
                <w:sz w:val="22"/>
              </w:rPr>
              <w:t>gadā – 17,18</w:t>
            </w:r>
          </w:p>
          <w:p w14:paraId="594A8F3C" w14:textId="77777777" w:rsidR="006C5056" w:rsidRPr="001E48AC" w:rsidRDefault="006C5056" w:rsidP="00FF7FCA">
            <w:pPr>
              <w:spacing w:after="0"/>
              <w:jc w:val="center"/>
              <w:rPr>
                <w:rFonts w:cs="Times New Roman"/>
                <w:sz w:val="22"/>
              </w:rPr>
            </w:pPr>
            <w:r w:rsidRPr="001E48AC">
              <w:rPr>
                <w:rFonts w:cs="Times New Roman"/>
                <w:sz w:val="22"/>
              </w:rPr>
              <w:t>2012.</w:t>
            </w:r>
            <w:r w:rsidR="00DB1ED4" w:rsidRPr="001E48AC">
              <w:rPr>
                <w:rFonts w:cs="Times New Roman"/>
                <w:sz w:val="22"/>
              </w:rPr>
              <w:t> </w:t>
            </w:r>
            <w:r w:rsidRPr="001E48AC">
              <w:rPr>
                <w:rFonts w:cs="Times New Roman"/>
                <w:sz w:val="22"/>
              </w:rPr>
              <w:t>gadā – 17,05</w:t>
            </w:r>
          </w:p>
        </w:tc>
      </w:tr>
      <w:tr w:rsidR="006C5056" w:rsidRPr="001E48AC" w14:paraId="41DF79C8" w14:textId="77777777" w:rsidTr="00EA25E3">
        <w:tc>
          <w:tcPr>
            <w:tcW w:w="3767" w:type="dxa"/>
            <w:shd w:val="clear" w:color="auto" w:fill="auto"/>
            <w:vAlign w:val="center"/>
          </w:tcPr>
          <w:p w14:paraId="09DC0CB7" w14:textId="77777777" w:rsidR="006C5056" w:rsidRPr="001E48AC" w:rsidRDefault="006C5056" w:rsidP="00FF7FCA">
            <w:pPr>
              <w:spacing w:after="0"/>
              <w:rPr>
                <w:rFonts w:cs="Times New Roman"/>
                <w:bCs/>
                <w:sz w:val="22"/>
              </w:rPr>
            </w:pPr>
            <w:r w:rsidRPr="001E48AC">
              <w:rPr>
                <w:rFonts w:cs="Times New Roman"/>
                <w:bCs/>
                <w:sz w:val="22"/>
              </w:rPr>
              <w:t>Nolietotās riepas</w:t>
            </w:r>
          </w:p>
        </w:tc>
        <w:tc>
          <w:tcPr>
            <w:tcW w:w="1870" w:type="dxa"/>
            <w:shd w:val="clear" w:color="auto" w:fill="auto"/>
            <w:vAlign w:val="center"/>
          </w:tcPr>
          <w:p w14:paraId="59E084CC"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auto"/>
            <w:vAlign w:val="center"/>
          </w:tcPr>
          <w:p w14:paraId="1553686B" w14:textId="77777777" w:rsidR="006C5056" w:rsidRPr="001E48AC" w:rsidRDefault="006C5056" w:rsidP="00FF7FCA">
            <w:pPr>
              <w:spacing w:after="0"/>
              <w:jc w:val="center"/>
              <w:rPr>
                <w:rFonts w:cs="Times New Roman"/>
                <w:sz w:val="22"/>
              </w:rPr>
            </w:pPr>
            <w:r w:rsidRPr="001E48AC">
              <w:rPr>
                <w:rFonts w:cs="Times New Roman"/>
                <w:sz w:val="22"/>
              </w:rPr>
              <w:t>7,4-10,7</w:t>
            </w:r>
          </w:p>
        </w:tc>
        <w:tc>
          <w:tcPr>
            <w:tcW w:w="2376" w:type="dxa"/>
            <w:shd w:val="clear" w:color="auto" w:fill="auto"/>
            <w:vAlign w:val="center"/>
          </w:tcPr>
          <w:p w14:paraId="3BD99056" w14:textId="77777777" w:rsidR="006C5056" w:rsidRPr="001E48AC" w:rsidRDefault="006C5056" w:rsidP="00FF7FCA">
            <w:pPr>
              <w:spacing w:after="0"/>
              <w:jc w:val="center"/>
              <w:rPr>
                <w:rFonts w:cs="Times New Roman"/>
                <w:sz w:val="22"/>
              </w:rPr>
            </w:pPr>
            <w:r w:rsidRPr="001E48AC">
              <w:rPr>
                <w:rFonts w:cs="Times New Roman"/>
                <w:sz w:val="22"/>
              </w:rPr>
              <w:t>2010.</w:t>
            </w:r>
            <w:r w:rsidR="00DB1ED4" w:rsidRPr="001E48AC">
              <w:rPr>
                <w:rFonts w:cs="Times New Roman"/>
                <w:sz w:val="22"/>
              </w:rPr>
              <w:t> </w:t>
            </w:r>
            <w:r w:rsidRPr="001E48AC">
              <w:rPr>
                <w:rFonts w:cs="Times New Roman"/>
                <w:sz w:val="22"/>
              </w:rPr>
              <w:t>gadā – 26,20</w:t>
            </w:r>
          </w:p>
          <w:p w14:paraId="24830750" w14:textId="77777777" w:rsidR="006C5056" w:rsidRPr="001E48AC" w:rsidRDefault="006C5056" w:rsidP="00FF7FCA">
            <w:pPr>
              <w:spacing w:after="0"/>
              <w:jc w:val="center"/>
              <w:rPr>
                <w:rFonts w:cs="Times New Roman"/>
                <w:sz w:val="22"/>
              </w:rPr>
            </w:pPr>
            <w:r w:rsidRPr="001E48AC">
              <w:rPr>
                <w:rFonts w:cs="Times New Roman"/>
                <w:sz w:val="22"/>
              </w:rPr>
              <w:t>2011.</w:t>
            </w:r>
            <w:r w:rsidR="00DB1ED4" w:rsidRPr="001E48AC">
              <w:rPr>
                <w:rFonts w:cs="Times New Roman"/>
                <w:sz w:val="22"/>
              </w:rPr>
              <w:t> </w:t>
            </w:r>
            <w:r w:rsidRPr="001E48AC">
              <w:rPr>
                <w:rFonts w:cs="Times New Roman"/>
                <w:sz w:val="22"/>
              </w:rPr>
              <w:t>gadā – 27,98</w:t>
            </w:r>
          </w:p>
          <w:p w14:paraId="51BC5A42" w14:textId="77777777" w:rsidR="006C5056" w:rsidRPr="001E48AC" w:rsidRDefault="006C5056" w:rsidP="00FF7FCA">
            <w:pPr>
              <w:spacing w:after="0"/>
              <w:jc w:val="center"/>
              <w:rPr>
                <w:rFonts w:cs="Times New Roman"/>
                <w:sz w:val="22"/>
              </w:rPr>
            </w:pPr>
            <w:r w:rsidRPr="001E48AC">
              <w:rPr>
                <w:rFonts w:cs="Times New Roman"/>
                <w:sz w:val="22"/>
              </w:rPr>
              <w:t>2012.</w:t>
            </w:r>
            <w:r w:rsidR="00DB1ED4" w:rsidRPr="001E48AC">
              <w:rPr>
                <w:rFonts w:cs="Times New Roman"/>
                <w:sz w:val="22"/>
              </w:rPr>
              <w:t> </w:t>
            </w:r>
            <w:r w:rsidRPr="001E48AC">
              <w:rPr>
                <w:rFonts w:cs="Times New Roman"/>
                <w:sz w:val="22"/>
              </w:rPr>
              <w:t>gadā – 27,98</w:t>
            </w:r>
          </w:p>
        </w:tc>
      </w:tr>
      <w:tr w:rsidR="006C5056" w:rsidRPr="001E48AC" w14:paraId="1D82B80D" w14:textId="77777777" w:rsidTr="00EA25E3">
        <w:tc>
          <w:tcPr>
            <w:tcW w:w="3767" w:type="dxa"/>
            <w:shd w:val="clear" w:color="auto" w:fill="auto"/>
          </w:tcPr>
          <w:p w14:paraId="354FC566" w14:textId="77777777" w:rsidR="006C5056" w:rsidRPr="001E48AC" w:rsidRDefault="006C5056" w:rsidP="00FF7FCA">
            <w:pPr>
              <w:spacing w:after="0"/>
              <w:rPr>
                <w:rFonts w:cs="Times New Roman"/>
                <w:bCs/>
                <w:sz w:val="22"/>
              </w:rPr>
            </w:pPr>
            <w:r w:rsidRPr="001E48AC">
              <w:rPr>
                <w:rFonts w:cs="Times New Roman"/>
                <w:bCs/>
                <w:sz w:val="22"/>
              </w:rPr>
              <w:t>Kokogles</w:t>
            </w:r>
          </w:p>
        </w:tc>
        <w:tc>
          <w:tcPr>
            <w:tcW w:w="1870" w:type="dxa"/>
            <w:shd w:val="clear" w:color="auto" w:fill="auto"/>
            <w:vAlign w:val="center"/>
          </w:tcPr>
          <w:p w14:paraId="5054A86E"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auto"/>
            <w:vAlign w:val="center"/>
          </w:tcPr>
          <w:p w14:paraId="5ACE5DA6" w14:textId="77777777" w:rsidR="006C5056" w:rsidRPr="001E48AC" w:rsidRDefault="006C5056" w:rsidP="00FF7FCA">
            <w:pPr>
              <w:spacing w:after="0"/>
              <w:jc w:val="center"/>
              <w:rPr>
                <w:rFonts w:cs="Times New Roman"/>
                <w:sz w:val="22"/>
              </w:rPr>
            </w:pPr>
          </w:p>
        </w:tc>
        <w:tc>
          <w:tcPr>
            <w:tcW w:w="2376" w:type="dxa"/>
            <w:shd w:val="clear" w:color="auto" w:fill="auto"/>
            <w:vAlign w:val="center"/>
          </w:tcPr>
          <w:p w14:paraId="39EB9367" w14:textId="77777777" w:rsidR="006C5056" w:rsidRPr="001E48AC" w:rsidRDefault="006C5056" w:rsidP="00FF7FCA">
            <w:pPr>
              <w:spacing w:after="0"/>
              <w:jc w:val="center"/>
              <w:rPr>
                <w:rFonts w:cs="Times New Roman"/>
                <w:sz w:val="22"/>
              </w:rPr>
            </w:pPr>
            <w:r w:rsidRPr="001E48AC">
              <w:rPr>
                <w:rFonts w:cs="Times New Roman"/>
                <w:sz w:val="22"/>
              </w:rPr>
              <w:t>30,00</w:t>
            </w:r>
          </w:p>
        </w:tc>
      </w:tr>
      <w:tr w:rsidR="006C5056" w:rsidRPr="001E48AC" w14:paraId="2130C861" w14:textId="77777777" w:rsidTr="00EA25E3">
        <w:tc>
          <w:tcPr>
            <w:tcW w:w="3767" w:type="dxa"/>
            <w:shd w:val="clear" w:color="auto" w:fill="auto"/>
          </w:tcPr>
          <w:p w14:paraId="3ADB9833" w14:textId="77777777" w:rsidR="006C5056" w:rsidRPr="001E48AC" w:rsidRDefault="006C5056" w:rsidP="00FF7FCA">
            <w:pPr>
              <w:spacing w:after="0"/>
              <w:rPr>
                <w:rFonts w:cs="Times New Roman"/>
                <w:bCs/>
                <w:sz w:val="22"/>
              </w:rPr>
            </w:pPr>
            <w:r w:rsidRPr="001E48AC">
              <w:rPr>
                <w:rFonts w:cs="Times New Roman"/>
                <w:bCs/>
                <w:sz w:val="22"/>
              </w:rPr>
              <w:t>Bioetanols</w:t>
            </w:r>
          </w:p>
        </w:tc>
        <w:tc>
          <w:tcPr>
            <w:tcW w:w="1870" w:type="dxa"/>
            <w:shd w:val="clear" w:color="auto" w:fill="auto"/>
            <w:vAlign w:val="center"/>
          </w:tcPr>
          <w:p w14:paraId="156AAF53" w14:textId="77777777" w:rsidR="006C5056" w:rsidRPr="001E48AC" w:rsidRDefault="006C5056" w:rsidP="00FF7FCA">
            <w:pPr>
              <w:spacing w:after="0"/>
              <w:jc w:val="right"/>
              <w:rPr>
                <w:rFonts w:cs="Times New Roman"/>
                <w:sz w:val="22"/>
              </w:rPr>
            </w:pPr>
            <w:r w:rsidRPr="001E48AC">
              <w:rPr>
                <w:rFonts w:cs="Times New Roman"/>
                <w:sz w:val="22"/>
              </w:rPr>
              <w:t>TJ/t</w:t>
            </w:r>
          </w:p>
        </w:tc>
        <w:tc>
          <w:tcPr>
            <w:tcW w:w="1842" w:type="dxa"/>
            <w:shd w:val="clear" w:color="auto" w:fill="auto"/>
            <w:vAlign w:val="center"/>
          </w:tcPr>
          <w:p w14:paraId="38D4D1FA" w14:textId="77777777" w:rsidR="006C5056" w:rsidRPr="001E48AC" w:rsidRDefault="006C5056" w:rsidP="00FF7FCA">
            <w:pPr>
              <w:spacing w:after="0"/>
              <w:jc w:val="center"/>
              <w:rPr>
                <w:rFonts w:cs="Times New Roman"/>
                <w:sz w:val="22"/>
              </w:rPr>
            </w:pPr>
          </w:p>
        </w:tc>
        <w:tc>
          <w:tcPr>
            <w:tcW w:w="2376" w:type="dxa"/>
            <w:shd w:val="clear" w:color="auto" w:fill="auto"/>
            <w:vAlign w:val="center"/>
          </w:tcPr>
          <w:p w14:paraId="578840F4" w14:textId="77777777" w:rsidR="006C5056" w:rsidRPr="001E48AC" w:rsidRDefault="006C5056" w:rsidP="00FF7FCA">
            <w:pPr>
              <w:spacing w:after="0"/>
              <w:jc w:val="center"/>
              <w:rPr>
                <w:rFonts w:cs="Times New Roman"/>
                <w:sz w:val="22"/>
              </w:rPr>
            </w:pPr>
            <w:r w:rsidRPr="001E48AC">
              <w:rPr>
                <w:rFonts w:cs="Times New Roman"/>
                <w:sz w:val="22"/>
              </w:rPr>
              <w:t>0,0268</w:t>
            </w:r>
          </w:p>
        </w:tc>
      </w:tr>
      <w:tr w:rsidR="006C5056" w:rsidRPr="001E48AC" w14:paraId="469864B2" w14:textId="77777777" w:rsidTr="00EA25E3">
        <w:tc>
          <w:tcPr>
            <w:tcW w:w="3767" w:type="dxa"/>
            <w:shd w:val="clear" w:color="auto" w:fill="auto"/>
          </w:tcPr>
          <w:p w14:paraId="6783EEC1" w14:textId="77777777" w:rsidR="006C5056" w:rsidRPr="001E48AC" w:rsidRDefault="006C5056" w:rsidP="00FF7FCA">
            <w:pPr>
              <w:spacing w:after="0"/>
              <w:rPr>
                <w:rFonts w:cs="Times New Roman"/>
                <w:bCs/>
                <w:sz w:val="22"/>
              </w:rPr>
            </w:pPr>
            <w:r w:rsidRPr="001E48AC">
              <w:rPr>
                <w:rFonts w:cs="Times New Roman"/>
                <w:bCs/>
                <w:sz w:val="22"/>
              </w:rPr>
              <w:t>Biodīzeļdegviela</w:t>
            </w:r>
          </w:p>
        </w:tc>
        <w:tc>
          <w:tcPr>
            <w:tcW w:w="1870" w:type="dxa"/>
            <w:shd w:val="clear" w:color="auto" w:fill="auto"/>
            <w:vAlign w:val="center"/>
          </w:tcPr>
          <w:p w14:paraId="4B6B40D3" w14:textId="77777777" w:rsidR="006C5056" w:rsidRPr="001E48AC" w:rsidRDefault="006C5056" w:rsidP="00FF7FCA">
            <w:pPr>
              <w:spacing w:after="0"/>
              <w:jc w:val="right"/>
              <w:rPr>
                <w:rFonts w:cs="Times New Roman"/>
                <w:sz w:val="22"/>
              </w:rPr>
            </w:pPr>
            <w:r w:rsidRPr="001E48AC">
              <w:rPr>
                <w:rFonts w:cs="Times New Roman"/>
                <w:sz w:val="22"/>
              </w:rPr>
              <w:t>TJ/t</w:t>
            </w:r>
          </w:p>
        </w:tc>
        <w:tc>
          <w:tcPr>
            <w:tcW w:w="1842" w:type="dxa"/>
            <w:shd w:val="clear" w:color="auto" w:fill="auto"/>
            <w:vAlign w:val="center"/>
          </w:tcPr>
          <w:p w14:paraId="6CA2A8E7" w14:textId="77777777" w:rsidR="006C5056" w:rsidRPr="001E48AC" w:rsidRDefault="006C5056" w:rsidP="00FF7FCA">
            <w:pPr>
              <w:spacing w:after="0"/>
              <w:jc w:val="center"/>
              <w:rPr>
                <w:rFonts w:cs="Times New Roman"/>
                <w:sz w:val="22"/>
              </w:rPr>
            </w:pPr>
          </w:p>
        </w:tc>
        <w:tc>
          <w:tcPr>
            <w:tcW w:w="2376" w:type="dxa"/>
            <w:shd w:val="clear" w:color="auto" w:fill="auto"/>
            <w:vAlign w:val="center"/>
          </w:tcPr>
          <w:p w14:paraId="3736A659" w14:textId="77777777" w:rsidR="006C5056" w:rsidRPr="001E48AC" w:rsidRDefault="006C5056" w:rsidP="00FF7FCA">
            <w:pPr>
              <w:spacing w:after="0"/>
              <w:jc w:val="center"/>
              <w:rPr>
                <w:rFonts w:cs="Times New Roman"/>
                <w:sz w:val="22"/>
              </w:rPr>
            </w:pPr>
            <w:r w:rsidRPr="001E48AC">
              <w:rPr>
                <w:rFonts w:cs="Times New Roman"/>
                <w:sz w:val="22"/>
              </w:rPr>
              <w:t>0,0372</w:t>
            </w:r>
          </w:p>
        </w:tc>
      </w:tr>
      <w:tr w:rsidR="006C5056" w:rsidRPr="001E48AC" w14:paraId="2490713D" w14:textId="77777777" w:rsidTr="00EA25E3">
        <w:tc>
          <w:tcPr>
            <w:tcW w:w="3767" w:type="dxa"/>
            <w:shd w:val="clear" w:color="auto" w:fill="auto"/>
            <w:vAlign w:val="center"/>
          </w:tcPr>
          <w:p w14:paraId="5F5BDBA0" w14:textId="77777777" w:rsidR="006C5056" w:rsidRPr="001E48AC" w:rsidRDefault="006C5056" w:rsidP="00FF7FCA">
            <w:pPr>
              <w:spacing w:after="0"/>
              <w:rPr>
                <w:rFonts w:cs="Times New Roman"/>
                <w:bCs/>
                <w:sz w:val="22"/>
              </w:rPr>
            </w:pPr>
            <w:r w:rsidRPr="001E48AC">
              <w:rPr>
                <w:rFonts w:cs="Times New Roman"/>
                <w:bCs/>
                <w:sz w:val="22"/>
              </w:rPr>
              <w:t>Atkritumu poligonu gāze</w:t>
            </w:r>
          </w:p>
        </w:tc>
        <w:tc>
          <w:tcPr>
            <w:tcW w:w="1870" w:type="dxa"/>
            <w:shd w:val="clear" w:color="auto" w:fill="auto"/>
            <w:vAlign w:val="center"/>
          </w:tcPr>
          <w:p w14:paraId="62057698" w14:textId="77777777" w:rsidR="006C5056" w:rsidRPr="001E48AC" w:rsidRDefault="006C5056" w:rsidP="00FF7FCA">
            <w:pPr>
              <w:spacing w:after="0"/>
              <w:jc w:val="right"/>
              <w:rPr>
                <w:rFonts w:cs="Times New Roman"/>
                <w:sz w:val="22"/>
              </w:rPr>
            </w:pPr>
            <w:r w:rsidRPr="001E48AC">
              <w:rPr>
                <w:rFonts w:cs="Times New Roman"/>
                <w:sz w:val="22"/>
              </w:rPr>
              <w:t>TJ/milj. m</w:t>
            </w:r>
            <w:r w:rsidRPr="001E48AC">
              <w:rPr>
                <w:rFonts w:cs="Times New Roman"/>
                <w:sz w:val="22"/>
                <w:vertAlign w:val="superscript"/>
              </w:rPr>
              <w:t>3</w:t>
            </w:r>
          </w:p>
        </w:tc>
        <w:tc>
          <w:tcPr>
            <w:tcW w:w="1842" w:type="dxa"/>
            <w:shd w:val="clear" w:color="auto" w:fill="auto"/>
            <w:vAlign w:val="center"/>
          </w:tcPr>
          <w:p w14:paraId="06A38D86" w14:textId="77777777" w:rsidR="006C5056" w:rsidRPr="001E48AC" w:rsidRDefault="006C5056" w:rsidP="00FF7FCA">
            <w:pPr>
              <w:spacing w:after="0"/>
              <w:jc w:val="center"/>
              <w:rPr>
                <w:rFonts w:cs="Times New Roman"/>
                <w:sz w:val="22"/>
              </w:rPr>
            </w:pPr>
          </w:p>
        </w:tc>
        <w:tc>
          <w:tcPr>
            <w:tcW w:w="2376" w:type="dxa"/>
            <w:shd w:val="clear" w:color="auto" w:fill="auto"/>
            <w:vAlign w:val="center"/>
          </w:tcPr>
          <w:p w14:paraId="4B78FB29" w14:textId="77777777" w:rsidR="006C5056" w:rsidRPr="001E48AC" w:rsidRDefault="006C5056" w:rsidP="00FF7FCA">
            <w:pPr>
              <w:spacing w:after="0"/>
              <w:jc w:val="center"/>
              <w:rPr>
                <w:rFonts w:cs="Times New Roman"/>
                <w:sz w:val="22"/>
              </w:rPr>
            </w:pPr>
            <w:r w:rsidRPr="001E48AC">
              <w:rPr>
                <w:rFonts w:cs="Times New Roman"/>
                <w:sz w:val="22"/>
              </w:rPr>
              <w:t>2010.</w:t>
            </w:r>
            <w:r w:rsidR="00DB1ED4" w:rsidRPr="001E48AC">
              <w:rPr>
                <w:rFonts w:cs="Times New Roman"/>
                <w:sz w:val="22"/>
              </w:rPr>
              <w:t> </w:t>
            </w:r>
            <w:r w:rsidRPr="001E48AC">
              <w:rPr>
                <w:rFonts w:cs="Times New Roman"/>
                <w:sz w:val="22"/>
              </w:rPr>
              <w:t>gadā – 19,82</w:t>
            </w:r>
          </w:p>
          <w:p w14:paraId="7B48378C" w14:textId="77777777" w:rsidR="006C5056" w:rsidRPr="001E48AC" w:rsidRDefault="006C5056" w:rsidP="00FF7FCA">
            <w:pPr>
              <w:spacing w:after="0"/>
              <w:jc w:val="center"/>
              <w:rPr>
                <w:rFonts w:cs="Times New Roman"/>
                <w:sz w:val="22"/>
              </w:rPr>
            </w:pPr>
            <w:r w:rsidRPr="001E48AC">
              <w:rPr>
                <w:rFonts w:cs="Times New Roman"/>
                <w:sz w:val="22"/>
              </w:rPr>
              <w:t>2011.</w:t>
            </w:r>
            <w:r w:rsidR="00DB1ED4" w:rsidRPr="001E48AC">
              <w:rPr>
                <w:rFonts w:cs="Times New Roman"/>
                <w:sz w:val="22"/>
              </w:rPr>
              <w:t> </w:t>
            </w:r>
            <w:r w:rsidRPr="001E48AC">
              <w:rPr>
                <w:rFonts w:cs="Times New Roman"/>
                <w:sz w:val="22"/>
              </w:rPr>
              <w:t>gadā – 19,03</w:t>
            </w:r>
          </w:p>
          <w:p w14:paraId="1C87E608" w14:textId="77777777" w:rsidR="006C5056" w:rsidRPr="001E48AC" w:rsidRDefault="006C5056" w:rsidP="00FF7FCA">
            <w:pPr>
              <w:spacing w:after="0"/>
              <w:jc w:val="center"/>
              <w:rPr>
                <w:rFonts w:cs="Times New Roman"/>
                <w:sz w:val="22"/>
              </w:rPr>
            </w:pPr>
            <w:r w:rsidRPr="001E48AC">
              <w:rPr>
                <w:rFonts w:cs="Times New Roman"/>
                <w:sz w:val="22"/>
              </w:rPr>
              <w:t>2012.</w:t>
            </w:r>
            <w:r w:rsidR="00DB1ED4" w:rsidRPr="001E48AC">
              <w:rPr>
                <w:rFonts w:cs="Times New Roman"/>
                <w:sz w:val="22"/>
              </w:rPr>
              <w:t> </w:t>
            </w:r>
            <w:r w:rsidRPr="001E48AC">
              <w:rPr>
                <w:rFonts w:cs="Times New Roman"/>
                <w:sz w:val="22"/>
              </w:rPr>
              <w:t>gadā – 19,02</w:t>
            </w:r>
          </w:p>
        </w:tc>
      </w:tr>
      <w:tr w:rsidR="006C5056" w:rsidRPr="001E48AC" w14:paraId="002198AE" w14:textId="77777777" w:rsidTr="00EA25E3">
        <w:tc>
          <w:tcPr>
            <w:tcW w:w="3767" w:type="dxa"/>
            <w:shd w:val="clear" w:color="auto" w:fill="auto"/>
            <w:vAlign w:val="center"/>
          </w:tcPr>
          <w:p w14:paraId="5454EAB4" w14:textId="77777777" w:rsidR="006C5056" w:rsidRPr="001E48AC" w:rsidRDefault="006C5056" w:rsidP="00FF7FCA">
            <w:pPr>
              <w:spacing w:after="0"/>
              <w:rPr>
                <w:rFonts w:cs="Times New Roman"/>
                <w:bCs/>
                <w:sz w:val="22"/>
              </w:rPr>
            </w:pPr>
            <w:r w:rsidRPr="001E48AC">
              <w:rPr>
                <w:rFonts w:cs="Times New Roman"/>
                <w:bCs/>
                <w:sz w:val="22"/>
              </w:rPr>
              <w:t>Notekūdeņu dūņu gāze</w:t>
            </w:r>
          </w:p>
        </w:tc>
        <w:tc>
          <w:tcPr>
            <w:tcW w:w="1870" w:type="dxa"/>
            <w:shd w:val="clear" w:color="auto" w:fill="auto"/>
            <w:vAlign w:val="center"/>
          </w:tcPr>
          <w:p w14:paraId="58BCE869" w14:textId="77777777" w:rsidR="006C5056" w:rsidRPr="001E48AC" w:rsidRDefault="006C5056" w:rsidP="00FF7FCA">
            <w:pPr>
              <w:spacing w:after="0"/>
              <w:jc w:val="right"/>
              <w:rPr>
                <w:rFonts w:cs="Times New Roman"/>
                <w:sz w:val="22"/>
              </w:rPr>
            </w:pPr>
            <w:r w:rsidRPr="001E48AC">
              <w:rPr>
                <w:rFonts w:cs="Times New Roman"/>
                <w:sz w:val="22"/>
              </w:rPr>
              <w:t>TJ/milj. m</w:t>
            </w:r>
            <w:r w:rsidRPr="001E48AC">
              <w:rPr>
                <w:rFonts w:cs="Times New Roman"/>
                <w:sz w:val="22"/>
                <w:vertAlign w:val="superscript"/>
              </w:rPr>
              <w:t>3</w:t>
            </w:r>
          </w:p>
        </w:tc>
        <w:tc>
          <w:tcPr>
            <w:tcW w:w="1842" w:type="dxa"/>
            <w:shd w:val="clear" w:color="auto" w:fill="auto"/>
            <w:vAlign w:val="center"/>
          </w:tcPr>
          <w:p w14:paraId="622CE8FF" w14:textId="77777777" w:rsidR="006C5056" w:rsidRPr="001E48AC" w:rsidRDefault="006C5056" w:rsidP="00FF7FCA">
            <w:pPr>
              <w:spacing w:after="0"/>
              <w:jc w:val="center"/>
              <w:rPr>
                <w:rFonts w:cs="Times New Roman"/>
                <w:sz w:val="22"/>
              </w:rPr>
            </w:pPr>
          </w:p>
        </w:tc>
        <w:tc>
          <w:tcPr>
            <w:tcW w:w="2376" w:type="dxa"/>
            <w:shd w:val="clear" w:color="auto" w:fill="auto"/>
            <w:vAlign w:val="center"/>
          </w:tcPr>
          <w:p w14:paraId="6FF36B35" w14:textId="77777777" w:rsidR="006C5056" w:rsidRPr="001E48AC" w:rsidRDefault="006C5056" w:rsidP="00FF7FCA">
            <w:pPr>
              <w:spacing w:after="0"/>
              <w:jc w:val="center"/>
              <w:rPr>
                <w:rFonts w:cs="Times New Roman"/>
                <w:sz w:val="22"/>
              </w:rPr>
            </w:pPr>
            <w:r w:rsidRPr="001E48AC">
              <w:rPr>
                <w:rFonts w:cs="Times New Roman"/>
                <w:sz w:val="22"/>
              </w:rPr>
              <w:t>2010.</w:t>
            </w:r>
            <w:r w:rsidR="00DB1ED4" w:rsidRPr="001E48AC">
              <w:rPr>
                <w:rFonts w:cs="Times New Roman"/>
                <w:sz w:val="22"/>
              </w:rPr>
              <w:t> </w:t>
            </w:r>
            <w:r w:rsidRPr="001E48AC">
              <w:rPr>
                <w:rFonts w:cs="Times New Roman"/>
                <w:sz w:val="22"/>
              </w:rPr>
              <w:t>gadā – 22,80</w:t>
            </w:r>
          </w:p>
          <w:p w14:paraId="6864B1A9" w14:textId="77777777" w:rsidR="006C5056" w:rsidRPr="001E48AC" w:rsidRDefault="006C5056" w:rsidP="00FF7FCA">
            <w:pPr>
              <w:spacing w:after="0"/>
              <w:jc w:val="center"/>
              <w:rPr>
                <w:rFonts w:cs="Times New Roman"/>
                <w:sz w:val="22"/>
              </w:rPr>
            </w:pPr>
            <w:r w:rsidRPr="001E48AC">
              <w:rPr>
                <w:rFonts w:cs="Times New Roman"/>
                <w:sz w:val="22"/>
              </w:rPr>
              <w:t>2011.</w:t>
            </w:r>
            <w:r w:rsidR="00DB1ED4" w:rsidRPr="001E48AC">
              <w:rPr>
                <w:rFonts w:cs="Times New Roman"/>
                <w:sz w:val="22"/>
              </w:rPr>
              <w:t> </w:t>
            </w:r>
            <w:r w:rsidRPr="001E48AC">
              <w:rPr>
                <w:rFonts w:cs="Times New Roman"/>
                <w:sz w:val="22"/>
              </w:rPr>
              <w:t>gadā – 20,49</w:t>
            </w:r>
          </w:p>
          <w:p w14:paraId="7A007F53" w14:textId="77777777" w:rsidR="006C5056" w:rsidRPr="001E48AC" w:rsidRDefault="006C5056" w:rsidP="00FF7FCA">
            <w:pPr>
              <w:spacing w:after="0"/>
              <w:jc w:val="center"/>
              <w:rPr>
                <w:rFonts w:cs="Times New Roman"/>
                <w:sz w:val="22"/>
              </w:rPr>
            </w:pPr>
            <w:r w:rsidRPr="001E48AC">
              <w:rPr>
                <w:rFonts w:cs="Times New Roman"/>
                <w:sz w:val="22"/>
              </w:rPr>
              <w:lastRenderedPageBreak/>
              <w:t>2012.</w:t>
            </w:r>
            <w:r w:rsidR="00DB1ED4" w:rsidRPr="001E48AC">
              <w:rPr>
                <w:rFonts w:cs="Times New Roman"/>
                <w:sz w:val="22"/>
              </w:rPr>
              <w:t> </w:t>
            </w:r>
            <w:r w:rsidRPr="001E48AC">
              <w:rPr>
                <w:rFonts w:cs="Times New Roman"/>
                <w:sz w:val="22"/>
              </w:rPr>
              <w:t>gadā – 20,49</w:t>
            </w:r>
          </w:p>
        </w:tc>
      </w:tr>
      <w:tr w:rsidR="006C5056" w:rsidRPr="001E48AC" w14:paraId="3DEFDC5B" w14:textId="77777777" w:rsidTr="00EA25E3">
        <w:tc>
          <w:tcPr>
            <w:tcW w:w="3767" w:type="dxa"/>
            <w:shd w:val="clear" w:color="auto" w:fill="auto"/>
          </w:tcPr>
          <w:p w14:paraId="23EAF2B3" w14:textId="77777777" w:rsidR="006C5056" w:rsidRPr="001E48AC" w:rsidRDefault="006C5056" w:rsidP="00FF7FCA">
            <w:pPr>
              <w:spacing w:after="0"/>
              <w:rPr>
                <w:rFonts w:cs="Times New Roman"/>
                <w:bCs/>
                <w:sz w:val="22"/>
              </w:rPr>
            </w:pPr>
            <w:r w:rsidRPr="001E48AC">
              <w:rPr>
                <w:rFonts w:cs="Times New Roman"/>
                <w:bCs/>
                <w:sz w:val="22"/>
              </w:rPr>
              <w:lastRenderedPageBreak/>
              <w:t>Salmi</w:t>
            </w:r>
          </w:p>
        </w:tc>
        <w:tc>
          <w:tcPr>
            <w:tcW w:w="1870" w:type="dxa"/>
            <w:shd w:val="clear" w:color="auto" w:fill="auto"/>
            <w:vAlign w:val="center"/>
          </w:tcPr>
          <w:p w14:paraId="076D8C4F"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auto"/>
            <w:vAlign w:val="center"/>
          </w:tcPr>
          <w:p w14:paraId="10AC54F2" w14:textId="77777777" w:rsidR="006C5056" w:rsidRPr="001E48AC" w:rsidRDefault="006C5056" w:rsidP="00FF7FCA">
            <w:pPr>
              <w:spacing w:after="0"/>
              <w:jc w:val="center"/>
              <w:rPr>
                <w:rFonts w:cs="Times New Roman"/>
                <w:sz w:val="22"/>
              </w:rPr>
            </w:pPr>
          </w:p>
        </w:tc>
        <w:tc>
          <w:tcPr>
            <w:tcW w:w="2376" w:type="dxa"/>
            <w:shd w:val="clear" w:color="auto" w:fill="auto"/>
            <w:vAlign w:val="center"/>
          </w:tcPr>
          <w:p w14:paraId="3E437BC4" w14:textId="77777777" w:rsidR="006C5056" w:rsidRPr="001E48AC" w:rsidRDefault="006C5056" w:rsidP="00FF7FCA">
            <w:pPr>
              <w:spacing w:after="0"/>
              <w:jc w:val="center"/>
              <w:rPr>
                <w:rFonts w:cs="Times New Roman"/>
                <w:sz w:val="22"/>
              </w:rPr>
            </w:pPr>
            <w:r w:rsidRPr="001E48AC">
              <w:rPr>
                <w:rFonts w:cs="Times New Roman"/>
                <w:sz w:val="22"/>
              </w:rPr>
              <w:t>14,40</w:t>
            </w:r>
          </w:p>
        </w:tc>
      </w:tr>
      <w:tr w:rsidR="006C5056" w:rsidRPr="001E48AC" w14:paraId="470715C9" w14:textId="77777777" w:rsidTr="00EA25E3">
        <w:tc>
          <w:tcPr>
            <w:tcW w:w="3767" w:type="dxa"/>
            <w:shd w:val="clear" w:color="auto" w:fill="auto"/>
          </w:tcPr>
          <w:p w14:paraId="35E553D8" w14:textId="77777777" w:rsidR="006C5056" w:rsidRPr="001E48AC" w:rsidRDefault="006C5056" w:rsidP="00FF7FCA">
            <w:pPr>
              <w:spacing w:after="0"/>
              <w:rPr>
                <w:rFonts w:cs="Times New Roman"/>
                <w:bCs/>
                <w:sz w:val="22"/>
              </w:rPr>
            </w:pPr>
            <w:r w:rsidRPr="001E48AC">
              <w:rPr>
                <w:rFonts w:cs="Times New Roman"/>
                <w:bCs/>
                <w:sz w:val="22"/>
              </w:rPr>
              <w:t>Malka</w:t>
            </w:r>
          </w:p>
        </w:tc>
        <w:tc>
          <w:tcPr>
            <w:tcW w:w="1870" w:type="dxa"/>
            <w:shd w:val="clear" w:color="auto" w:fill="auto"/>
            <w:vAlign w:val="center"/>
          </w:tcPr>
          <w:p w14:paraId="39CE5591" w14:textId="77777777" w:rsidR="006C5056" w:rsidRPr="001E48AC" w:rsidRDefault="006C5056" w:rsidP="00FF7FCA">
            <w:pPr>
              <w:spacing w:after="0"/>
              <w:jc w:val="right"/>
              <w:rPr>
                <w:rFonts w:cs="Times New Roman"/>
                <w:sz w:val="22"/>
              </w:rPr>
            </w:pPr>
            <w:r w:rsidRPr="001E48AC">
              <w:rPr>
                <w:rFonts w:cs="Times New Roman"/>
                <w:sz w:val="22"/>
              </w:rPr>
              <w:t>TJ/tūkst. cieš. m</w:t>
            </w:r>
            <w:r w:rsidRPr="001E48AC">
              <w:rPr>
                <w:rFonts w:cs="Times New Roman"/>
                <w:sz w:val="22"/>
                <w:vertAlign w:val="superscript"/>
              </w:rPr>
              <w:t>3</w:t>
            </w:r>
          </w:p>
        </w:tc>
        <w:tc>
          <w:tcPr>
            <w:tcW w:w="1842" w:type="dxa"/>
            <w:shd w:val="clear" w:color="auto" w:fill="auto"/>
            <w:vAlign w:val="center"/>
          </w:tcPr>
          <w:p w14:paraId="3BB57C2F" w14:textId="77777777" w:rsidR="006C5056" w:rsidRPr="001E48AC" w:rsidRDefault="006C5056" w:rsidP="00FF7FCA">
            <w:pPr>
              <w:spacing w:after="0"/>
              <w:jc w:val="center"/>
              <w:rPr>
                <w:rFonts w:cs="Times New Roman"/>
                <w:sz w:val="22"/>
              </w:rPr>
            </w:pPr>
          </w:p>
        </w:tc>
        <w:tc>
          <w:tcPr>
            <w:tcW w:w="2376" w:type="dxa"/>
            <w:shd w:val="clear" w:color="auto" w:fill="auto"/>
            <w:vAlign w:val="center"/>
          </w:tcPr>
          <w:p w14:paraId="3C69EF1E" w14:textId="77777777" w:rsidR="006C5056" w:rsidRPr="001E48AC" w:rsidRDefault="006C5056" w:rsidP="00FF7FCA">
            <w:pPr>
              <w:spacing w:after="0"/>
              <w:jc w:val="center"/>
              <w:rPr>
                <w:rFonts w:cs="Times New Roman"/>
                <w:sz w:val="22"/>
              </w:rPr>
            </w:pPr>
            <w:r w:rsidRPr="001E48AC">
              <w:rPr>
                <w:rFonts w:cs="Times New Roman"/>
                <w:sz w:val="22"/>
              </w:rPr>
              <w:t>6,70</w:t>
            </w:r>
          </w:p>
        </w:tc>
      </w:tr>
      <w:tr w:rsidR="006C5056" w:rsidRPr="001E48AC" w14:paraId="3D89C278" w14:textId="77777777" w:rsidTr="00EA25E3">
        <w:tc>
          <w:tcPr>
            <w:tcW w:w="3767" w:type="dxa"/>
            <w:shd w:val="clear" w:color="auto" w:fill="auto"/>
          </w:tcPr>
          <w:p w14:paraId="75DB8939" w14:textId="77777777" w:rsidR="006C5056" w:rsidRPr="001E48AC" w:rsidRDefault="006C5056" w:rsidP="00FF7FCA">
            <w:pPr>
              <w:spacing w:after="0"/>
              <w:rPr>
                <w:rFonts w:cs="Times New Roman"/>
                <w:bCs/>
                <w:sz w:val="22"/>
              </w:rPr>
            </w:pPr>
            <w:r w:rsidRPr="001E48AC">
              <w:rPr>
                <w:rFonts w:cs="Times New Roman"/>
                <w:bCs/>
                <w:sz w:val="22"/>
              </w:rPr>
              <w:t>Koksnes atlikumi</w:t>
            </w:r>
          </w:p>
        </w:tc>
        <w:tc>
          <w:tcPr>
            <w:tcW w:w="1870" w:type="dxa"/>
            <w:shd w:val="clear" w:color="auto" w:fill="auto"/>
            <w:vAlign w:val="center"/>
          </w:tcPr>
          <w:p w14:paraId="022C3B4F" w14:textId="77777777" w:rsidR="006C5056" w:rsidRPr="001E48AC" w:rsidRDefault="006C5056" w:rsidP="00FF7FCA">
            <w:pPr>
              <w:spacing w:after="0"/>
              <w:jc w:val="right"/>
              <w:rPr>
                <w:rFonts w:cs="Times New Roman"/>
                <w:sz w:val="22"/>
              </w:rPr>
            </w:pPr>
            <w:r w:rsidRPr="001E48AC">
              <w:rPr>
                <w:rFonts w:cs="Times New Roman"/>
                <w:sz w:val="22"/>
              </w:rPr>
              <w:t>TJ/tūkst. ber. m</w:t>
            </w:r>
            <w:r w:rsidRPr="001E48AC">
              <w:rPr>
                <w:rFonts w:cs="Times New Roman"/>
                <w:sz w:val="22"/>
                <w:vertAlign w:val="superscript"/>
              </w:rPr>
              <w:t>3</w:t>
            </w:r>
          </w:p>
        </w:tc>
        <w:tc>
          <w:tcPr>
            <w:tcW w:w="1842" w:type="dxa"/>
            <w:shd w:val="clear" w:color="auto" w:fill="auto"/>
            <w:vAlign w:val="center"/>
          </w:tcPr>
          <w:p w14:paraId="75EBF2E1" w14:textId="77777777" w:rsidR="006C5056" w:rsidRPr="001E48AC" w:rsidRDefault="006C5056" w:rsidP="00FF7FCA">
            <w:pPr>
              <w:spacing w:after="0"/>
              <w:jc w:val="center"/>
              <w:rPr>
                <w:rFonts w:cs="Times New Roman"/>
                <w:sz w:val="22"/>
              </w:rPr>
            </w:pPr>
          </w:p>
        </w:tc>
        <w:tc>
          <w:tcPr>
            <w:tcW w:w="2376" w:type="dxa"/>
            <w:shd w:val="clear" w:color="auto" w:fill="auto"/>
            <w:vAlign w:val="center"/>
          </w:tcPr>
          <w:p w14:paraId="77D18FE2" w14:textId="77777777" w:rsidR="006C5056" w:rsidRPr="001E48AC" w:rsidRDefault="006C5056" w:rsidP="00FF7FCA">
            <w:pPr>
              <w:spacing w:after="0"/>
              <w:jc w:val="center"/>
              <w:rPr>
                <w:rFonts w:cs="Times New Roman"/>
                <w:sz w:val="22"/>
              </w:rPr>
            </w:pPr>
            <w:r w:rsidRPr="001E48AC">
              <w:rPr>
                <w:rFonts w:cs="Times New Roman"/>
                <w:sz w:val="22"/>
              </w:rPr>
              <w:t>2,68</w:t>
            </w:r>
          </w:p>
        </w:tc>
      </w:tr>
      <w:tr w:rsidR="006C5056" w:rsidRPr="001E48AC" w14:paraId="24351A1C" w14:textId="77777777" w:rsidTr="00EA25E3">
        <w:tc>
          <w:tcPr>
            <w:tcW w:w="3767" w:type="dxa"/>
            <w:shd w:val="clear" w:color="auto" w:fill="auto"/>
          </w:tcPr>
          <w:p w14:paraId="68F648B0" w14:textId="77777777" w:rsidR="006C5056" w:rsidRPr="001E48AC" w:rsidRDefault="006C5056" w:rsidP="00FF7FCA">
            <w:pPr>
              <w:spacing w:after="0"/>
              <w:rPr>
                <w:rFonts w:cs="Times New Roman"/>
                <w:bCs/>
                <w:sz w:val="22"/>
              </w:rPr>
            </w:pPr>
            <w:r w:rsidRPr="001E48AC">
              <w:rPr>
                <w:rFonts w:cs="Times New Roman"/>
                <w:bCs/>
                <w:sz w:val="22"/>
              </w:rPr>
              <w:t>Kurināmās šķeldas</w:t>
            </w:r>
          </w:p>
        </w:tc>
        <w:tc>
          <w:tcPr>
            <w:tcW w:w="1870" w:type="dxa"/>
            <w:shd w:val="clear" w:color="auto" w:fill="auto"/>
            <w:vAlign w:val="center"/>
          </w:tcPr>
          <w:p w14:paraId="4B4F72A3" w14:textId="77777777" w:rsidR="006C5056" w:rsidRPr="001E48AC" w:rsidRDefault="006C5056" w:rsidP="00FF7FCA">
            <w:pPr>
              <w:spacing w:after="0"/>
              <w:jc w:val="right"/>
              <w:rPr>
                <w:rFonts w:cs="Times New Roman"/>
                <w:sz w:val="22"/>
              </w:rPr>
            </w:pPr>
            <w:r w:rsidRPr="001E48AC">
              <w:rPr>
                <w:rFonts w:cs="Times New Roman"/>
                <w:sz w:val="22"/>
              </w:rPr>
              <w:t>TJ/tūkst. ber. m</w:t>
            </w:r>
            <w:r w:rsidRPr="001E48AC">
              <w:rPr>
                <w:rFonts w:cs="Times New Roman"/>
                <w:sz w:val="22"/>
                <w:vertAlign w:val="superscript"/>
              </w:rPr>
              <w:t>3</w:t>
            </w:r>
          </w:p>
        </w:tc>
        <w:tc>
          <w:tcPr>
            <w:tcW w:w="1842" w:type="dxa"/>
            <w:shd w:val="clear" w:color="auto" w:fill="auto"/>
            <w:vAlign w:val="center"/>
          </w:tcPr>
          <w:p w14:paraId="41EDA3DE" w14:textId="77777777" w:rsidR="006C5056" w:rsidRPr="001E48AC" w:rsidRDefault="006C5056" w:rsidP="00FF7FCA">
            <w:pPr>
              <w:spacing w:after="0"/>
              <w:jc w:val="center"/>
              <w:rPr>
                <w:rFonts w:cs="Times New Roman"/>
                <w:sz w:val="22"/>
              </w:rPr>
            </w:pPr>
          </w:p>
        </w:tc>
        <w:tc>
          <w:tcPr>
            <w:tcW w:w="2376" w:type="dxa"/>
            <w:shd w:val="clear" w:color="auto" w:fill="auto"/>
            <w:vAlign w:val="center"/>
          </w:tcPr>
          <w:p w14:paraId="54B44E85" w14:textId="77777777" w:rsidR="006C5056" w:rsidRPr="001E48AC" w:rsidRDefault="006C5056" w:rsidP="00FF7FCA">
            <w:pPr>
              <w:spacing w:after="0"/>
              <w:jc w:val="center"/>
              <w:rPr>
                <w:rFonts w:cs="Times New Roman"/>
                <w:sz w:val="22"/>
              </w:rPr>
            </w:pPr>
            <w:r w:rsidRPr="001E48AC">
              <w:rPr>
                <w:rFonts w:cs="Times New Roman"/>
                <w:sz w:val="22"/>
              </w:rPr>
              <w:t>3,40</w:t>
            </w:r>
          </w:p>
        </w:tc>
      </w:tr>
      <w:tr w:rsidR="006C5056" w:rsidRPr="001E48AC" w14:paraId="4651E2D4" w14:textId="77777777" w:rsidTr="00EA25E3">
        <w:tc>
          <w:tcPr>
            <w:tcW w:w="3767" w:type="dxa"/>
            <w:shd w:val="clear" w:color="auto" w:fill="auto"/>
          </w:tcPr>
          <w:p w14:paraId="24377D30" w14:textId="77777777" w:rsidR="006C5056" w:rsidRPr="001E48AC" w:rsidRDefault="006C5056" w:rsidP="00FF7FCA">
            <w:pPr>
              <w:spacing w:after="0"/>
              <w:rPr>
                <w:rFonts w:cs="Times New Roman"/>
                <w:bCs/>
                <w:sz w:val="22"/>
              </w:rPr>
            </w:pPr>
            <w:r w:rsidRPr="001E48AC">
              <w:rPr>
                <w:rFonts w:cs="Times New Roman"/>
                <w:bCs/>
                <w:sz w:val="22"/>
              </w:rPr>
              <w:t>Koksnes briketes</w:t>
            </w:r>
          </w:p>
        </w:tc>
        <w:tc>
          <w:tcPr>
            <w:tcW w:w="1870" w:type="dxa"/>
            <w:shd w:val="clear" w:color="auto" w:fill="auto"/>
            <w:vAlign w:val="center"/>
          </w:tcPr>
          <w:p w14:paraId="7FCA6C2E"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auto"/>
            <w:vAlign w:val="center"/>
          </w:tcPr>
          <w:p w14:paraId="13A5276F" w14:textId="77777777" w:rsidR="006C5056" w:rsidRPr="001E48AC" w:rsidRDefault="006C5056" w:rsidP="00FF7FCA">
            <w:pPr>
              <w:spacing w:after="0"/>
              <w:jc w:val="center"/>
              <w:rPr>
                <w:rFonts w:cs="Times New Roman"/>
                <w:sz w:val="22"/>
              </w:rPr>
            </w:pPr>
            <w:r w:rsidRPr="001E48AC">
              <w:rPr>
                <w:rFonts w:cs="Times New Roman"/>
                <w:sz w:val="22"/>
              </w:rPr>
              <w:t>16,8</w:t>
            </w:r>
          </w:p>
        </w:tc>
        <w:tc>
          <w:tcPr>
            <w:tcW w:w="2376" w:type="dxa"/>
            <w:shd w:val="clear" w:color="auto" w:fill="auto"/>
            <w:vAlign w:val="center"/>
          </w:tcPr>
          <w:p w14:paraId="41E69794" w14:textId="77777777" w:rsidR="006C5056" w:rsidRPr="001E48AC" w:rsidRDefault="006C5056" w:rsidP="00FF7FCA">
            <w:pPr>
              <w:spacing w:after="0"/>
              <w:jc w:val="center"/>
              <w:rPr>
                <w:rFonts w:cs="Times New Roman"/>
                <w:sz w:val="22"/>
              </w:rPr>
            </w:pPr>
            <w:r w:rsidRPr="001E48AC">
              <w:rPr>
                <w:rFonts w:cs="Times New Roman"/>
                <w:sz w:val="22"/>
              </w:rPr>
              <w:t>17,00</w:t>
            </w:r>
          </w:p>
        </w:tc>
      </w:tr>
      <w:tr w:rsidR="006C5056" w:rsidRPr="001E48AC" w14:paraId="53215B38" w14:textId="77777777" w:rsidTr="00EA25E3">
        <w:tc>
          <w:tcPr>
            <w:tcW w:w="3767" w:type="dxa"/>
            <w:shd w:val="clear" w:color="auto" w:fill="auto"/>
          </w:tcPr>
          <w:p w14:paraId="4E77C598" w14:textId="77777777" w:rsidR="006C5056" w:rsidRPr="001E48AC" w:rsidRDefault="006C5056" w:rsidP="00FF7FCA">
            <w:pPr>
              <w:spacing w:after="0"/>
              <w:rPr>
                <w:rFonts w:cs="Times New Roman"/>
                <w:bCs/>
                <w:sz w:val="22"/>
              </w:rPr>
            </w:pPr>
            <w:r w:rsidRPr="001E48AC">
              <w:rPr>
                <w:rFonts w:cs="Times New Roman"/>
                <w:bCs/>
                <w:sz w:val="22"/>
              </w:rPr>
              <w:t>Koksnes granulas</w:t>
            </w:r>
          </w:p>
        </w:tc>
        <w:tc>
          <w:tcPr>
            <w:tcW w:w="1870" w:type="dxa"/>
            <w:shd w:val="clear" w:color="auto" w:fill="auto"/>
            <w:vAlign w:val="center"/>
          </w:tcPr>
          <w:p w14:paraId="63E4253E" w14:textId="77777777" w:rsidR="006C5056" w:rsidRPr="001E48AC" w:rsidRDefault="006C5056" w:rsidP="00FF7FCA">
            <w:pPr>
              <w:spacing w:after="0"/>
              <w:jc w:val="right"/>
              <w:rPr>
                <w:rFonts w:cs="Times New Roman"/>
                <w:sz w:val="22"/>
              </w:rPr>
            </w:pPr>
            <w:r w:rsidRPr="001E48AC">
              <w:rPr>
                <w:rFonts w:cs="Times New Roman"/>
                <w:sz w:val="22"/>
              </w:rPr>
              <w:t>TJ/tūkst. t</w:t>
            </w:r>
          </w:p>
        </w:tc>
        <w:tc>
          <w:tcPr>
            <w:tcW w:w="1842" w:type="dxa"/>
            <w:shd w:val="clear" w:color="auto" w:fill="auto"/>
            <w:vAlign w:val="center"/>
          </w:tcPr>
          <w:p w14:paraId="4275B13C" w14:textId="77777777" w:rsidR="006C5056" w:rsidRPr="001E48AC" w:rsidRDefault="006C5056" w:rsidP="00FF7FCA">
            <w:pPr>
              <w:spacing w:after="0"/>
              <w:jc w:val="center"/>
              <w:rPr>
                <w:rFonts w:cs="Times New Roman"/>
                <w:sz w:val="22"/>
              </w:rPr>
            </w:pPr>
            <w:r w:rsidRPr="001E48AC">
              <w:rPr>
                <w:rFonts w:cs="Times New Roman"/>
                <w:sz w:val="22"/>
              </w:rPr>
              <w:t>16,8</w:t>
            </w:r>
          </w:p>
        </w:tc>
        <w:tc>
          <w:tcPr>
            <w:tcW w:w="2376" w:type="dxa"/>
            <w:shd w:val="clear" w:color="auto" w:fill="auto"/>
            <w:vAlign w:val="center"/>
          </w:tcPr>
          <w:p w14:paraId="381D3259" w14:textId="77777777" w:rsidR="006C5056" w:rsidRPr="001E48AC" w:rsidRDefault="006C5056" w:rsidP="00FF7FCA">
            <w:pPr>
              <w:spacing w:after="0"/>
              <w:jc w:val="center"/>
              <w:rPr>
                <w:rFonts w:cs="Times New Roman"/>
                <w:sz w:val="22"/>
              </w:rPr>
            </w:pPr>
            <w:r w:rsidRPr="001E48AC">
              <w:rPr>
                <w:rFonts w:cs="Times New Roman"/>
                <w:sz w:val="22"/>
              </w:rPr>
              <w:t>18,00</w:t>
            </w:r>
          </w:p>
        </w:tc>
      </w:tr>
    </w:tbl>
    <w:p w14:paraId="41B559D9" w14:textId="704F7EB1" w:rsidR="00FA69C4" w:rsidRPr="001E48AC" w:rsidRDefault="00FA69C4" w:rsidP="007942A4">
      <w:pPr>
        <w:pStyle w:val="Heading3"/>
        <w:rPr>
          <w:color w:val="auto"/>
        </w:rPr>
      </w:pPr>
      <w:bookmarkStart w:id="19" w:name="_Toc482711530"/>
      <w:r w:rsidRPr="001E48AC">
        <w:rPr>
          <w:color w:val="auto"/>
        </w:rPr>
        <w:t>3.1.</w:t>
      </w:r>
      <w:r w:rsidR="004D5351" w:rsidRPr="001E48AC">
        <w:rPr>
          <w:color w:val="auto"/>
        </w:rPr>
        <w:t>6</w:t>
      </w:r>
      <w:r w:rsidRPr="001E48AC">
        <w:rPr>
          <w:color w:val="auto"/>
        </w:rPr>
        <w:t>. Enerģijas ietaupījuma uzskaite</w:t>
      </w:r>
      <w:bookmarkEnd w:id="19"/>
    </w:p>
    <w:p w14:paraId="65449FE3" w14:textId="34BC3E7E" w:rsidR="00A23DC4" w:rsidRPr="001E48AC" w:rsidRDefault="00004C3B" w:rsidP="00B329F1">
      <w:pPr>
        <w:pStyle w:val="NoSpacing"/>
        <w:jc w:val="both"/>
        <w:rPr>
          <w:rFonts w:ascii="Times New Roman" w:eastAsia="Times New Roman" w:hAnsi="Times New Roman"/>
          <w:sz w:val="28"/>
          <w:szCs w:val="28"/>
          <w:lang w:eastAsia="lv-LV"/>
        </w:rPr>
      </w:pPr>
      <w:bookmarkStart w:id="20" w:name="_Toc326047067"/>
      <w:bookmarkStart w:id="21" w:name="_Toc373843775"/>
      <w:r w:rsidRPr="001E48AC">
        <w:tab/>
      </w:r>
      <w:r w:rsidR="00AF5B58" w:rsidRPr="001E48AC">
        <w:rPr>
          <w:rFonts w:ascii="Times New Roman" w:hAnsi="Times New Roman"/>
          <w:sz w:val="28"/>
          <w:szCs w:val="28"/>
        </w:rPr>
        <w:t xml:space="preserve">Energoefektivitātes </w:t>
      </w:r>
      <w:r w:rsidR="0069566B" w:rsidRPr="001E48AC">
        <w:rPr>
          <w:rFonts w:ascii="Times New Roman" w:hAnsi="Times New Roman"/>
          <w:sz w:val="28"/>
          <w:szCs w:val="28"/>
        </w:rPr>
        <w:t xml:space="preserve">monitoringa </w:t>
      </w:r>
      <w:r w:rsidR="00AF5B58" w:rsidRPr="001E48AC">
        <w:rPr>
          <w:rFonts w:ascii="Times New Roman" w:hAnsi="Times New Roman"/>
          <w:sz w:val="28"/>
          <w:szCs w:val="28"/>
        </w:rPr>
        <w:t xml:space="preserve">sistēma Latvijā izveidota atbilstoši </w:t>
      </w:r>
      <w:r w:rsidR="0069566B" w:rsidRPr="001E48AC">
        <w:rPr>
          <w:rFonts w:ascii="Times New Roman" w:hAnsi="Times New Roman"/>
          <w:sz w:val="28"/>
          <w:szCs w:val="28"/>
        </w:rPr>
        <w:t xml:space="preserve">Energoefektivitātes likumam un </w:t>
      </w:r>
      <w:r w:rsidR="00AF5B58" w:rsidRPr="001E48AC">
        <w:rPr>
          <w:rFonts w:ascii="Times New Roman" w:hAnsi="Times New Roman"/>
          <w:sz w:val="28"/>
          <w:szCs w:val="28"/>
        </w:rPr>
        <w:t>M</w:t>
      </w:r>
      <w:r w:rsidR="00F473C8" w:rsidRPr="001E48AC">
        <w:rPr>
          <w:rFonts w:ascii="Times New Roman" w:hAnsi="Times New Roman"/>
          <w:sz w:val="28"/>
          <w:szCs w:val="28"/>
        </w:rPr>
        <w:t>onitoringa</w:t>
      </w:r>
      <w:r w:rsidR="00AF5B58" w:rsidRPr="001E48AC">
        <w:rPr>
          <w:rFonts w:ascii="Times New Roman" w:hAnsi="Times New Roman"/>
          <w:sz w:val="28"/>
          <w:szCs w:val="28"/>
        </w:rPr>
        <w:t xml:space="preserve"> noteikumu Nr.668 prasībām</w:t>
      </w:r>
      <w:r w:rsidR="0069566B" w:rsidRPr="001E48AC">
        <w:rPr>
          <w:rStyle w:val="FootnoteReference"/>
          <w:rFonts w:ascii="Times New Roman" w:hAnsi="Times New Roman"/>
          <w:sz w:val="28"/>
          <w:szCs w:val="28"/>
        </w:rPr>
        <w:footnoteReference w:id="21"/>
      </w:r>
      <w:r w:rsidR="00AF5B58" w:rsidRPr="001E48AC">
        <w:rPr>
          <w:rFonts w:ascii="Times New Roman" w:hAnsi="Times New Roman"/>
          <w:sz w:val="28"/>
          <w:szCs w:val="28"/>
        </w:rPr>
        <w:t>.</w:t>
      </w:r>
      <w:r w:rsidR="00717AD9" w:rsidRPr="001E48AC">
        <w:rPr>
          <w:rFonts w:ascii="Times New Roman" w:hAnsi="Times New Roman"/>
          <w:sz w:val="28"/>
          <w:szCs w:val="28"/>
        </w:rPr>
        <w:t xml:space="preserve"> </w:t>
      </w:r>
      <w:r w:rsidR="00A951DF" w:rsidRPr="001E48AC">
        <w:rPr>
          <w:rFonts w:ascii="Times New Roman" w:hAnsi="Times New Roman"/>
          <w:sz w:val="28"/>
          <w:szCs w:val="28"/>
        </w:rPr>
        <w:t>Atbilstoši Energoefektivitātes likuma 15.panta pirmās daļas prasībām, e</w:t>
      </w:r>
      <w:r w:rsidR="00A3005D" w:rsidRPr="001E48AC">
        <w:rPr>
          <w:rFonts w:ascii="Times New Roman" w:hAnsi="Times New Roman"/>
          <w:sz w:val="28"/>
          <w:szCs w:val="28"/>
        </w:rPr>
        <w:t>nergoefektivitātes monitoringu veic Latvijas Republikas Ekonomikas ministrija.</w:t>
      </w:r>
    </w:p>
    <w:p w14:paraId="5C7E333D" w14:textId="2B33EC34" w:rsidR="001F6437" w:rsidRPr="001E48AC" w:rsidRDefault="00A23DC4" w:rsidP="00B329F1">
      <w:pPr>
        <w:spacing w:after="0" w:line="240" w:lineRule="auto"/>
        <w:jc w:val="both"/>
        <w:rPr>
          <w:rFonts w:cs="Times New Roman"/>
          <w:szCs w:val="28"/>
        </w:rPr>
      </w:pPr>
      <w:r w:rsidRPr="001E48AC">
        <w:rPr>
          <w:rFonts w:eastAsia="Times New Roman"/>
          <w:szCs w:val="28"/>
          <w:lang w:eastAsia="lv-LV"/>
        </w:rPr>
        <w:tab/>
        <w:t>Enerģijas ietaupījumu aprēķināšanai ti</w:t>
      </w:r>
      <w:r w:rsidR="000454CC" w:rsidRPr="001E48AC">
        <w:rPr>
          <w:rFonts w:eastAsia="Times New Roman"/>
          <w:szCs w:val="28"/>
          <w:lang w:eastAsia="lv-LV"/>
        </w:rPr>
        <w:t>ek</w:t>
      </w:r>
      <w:r w:rsidRPr="001E48AC">
        <w:rPr>
          <w:rFonts w:eastAsia="Times New Roman"/>
          <w:szCs w:val="28"/>
          <w:lang w:eastAsia="lv-LV"/>
        </w:rPr>
        <w:t xml:space="preserve"> ievēroti kopējie principi un metodes, kas noteikti Direktīvas 2012/27/ES V pielikumā</w:t>
      </w:r>
      <w:r w:rsidR="0090493C" w:rsidRPr="001E48AC">
        <w:rPr>
          <w:rFonts w:eastAsia="Times New Roman"/>
          <w:szCs w:val="28"/>
          <w:lang w:eastAsia="lv-LV"/>
        </w:rPr>
        <w:t>,</w:t>
      </w:r>
      <w:r w:rsidR="000454CC" w:rsidRPr="001E48AC">
        <w:rPr>
          <w:rFonts w:eastAsia="Times New Roman"/>
          <w:szCs w:val="28"/>
          <w:lang w:eastAsia="lv-LV"/>
        </w:rPr>
        <w:t xml:space="preserve"> </w:t>
      </w:r>
      <w:r w:rsidR="0090493C" w:rsidRPr="001E48AC">
        <w:rPr>
          <w:rFonts w:eastAsia="Times New Roman"/>
          <w:szCs w:val="28"/>
          <w:lang w:eastAsia="lv-LV"/>
        </w:rPr>
        <w:t xml:space="preserve">tostarp </w:t>
      </w:r>
      <w:r w:rsidR="00BF309C" w:rsidRPr="001E48AC">
        <w:rPr>
          <w:rFonts w:eastAsia="Times New Roman"/>
          <w:szCs w:val="28"/>
          <w:lang w:eastAsia="lv-LV"/>
        </w:rPr>
        <w:t xml:space="preserve">energoefektivitātes pasākumu </w:t>
      </w:r>
      <w:r w:rsidR="0090493C" w:rsidRPr="001E48AC">
        <w:rPr>
          <w:rFonts w:eastAsia="Times New Roman"/>
          <w:szCs w:val="28"/>
          <w:lang w:eastAsia="lv-LV"/>
        </w:rPr>
        <w:t xml:space="preserve"> dzīves </w:t>
      </w:r>
      <w:r w:rsidR="00A951DF" w:rsidRPr="001E48AC">
        <w:rPr>
          <w:rFonts w:eastAsia="Times New Roman"/>
          <w:szCs w:val="28"/>
          <w:lang w:eastAsia="lv-LV"/>
        </w:rPr>
        <w:t>cikls</w:t>
      </w:r>
      <w:r w:rsidR="0090493C" w:rsidRPr="001E48AC">
        <w:rPr>
          <w:rFonts w:eastAsia="Times New Roman"/>
          <w:szCs w:val="28"/>
          <w:lang w:eastAsia="lv-LV"/>
        </w:rPr>
        <w:t xml:space="preserve"> un papildināmība. </w:t>
      </w:r>
      <w:r w:rsidR="001F6437" w:rsidRPr="001E48AC">
        <w:rPr>
          <w:rFonts w:eastAsia="Times New Roman"/>
          <w:szCs w:val="28"/>
          <w:lang w:eastAsia="lv-LV"/>
        </w:rPr>
        <w:t xml:space="preserve">Energoefektivitātes pasākumu dzīves </w:t>
      </w:r>
      <w:r w:rsidR="00B1666F" w:rsidRPr="001E48AC">
        <w:rPr>
          <w:rFonts w:eastAsia="Times New Roman"/>
          <w:szCs w:val="28"/>
          <w:lang w:eastAsia="lv-LV"/>
        </w:rPr>
        <w:t>cikls</w:t>
      </w:r>
      <w:r w:rsidR="001F6437" w:rsidRPr="001E48AC">
        <w:rPr>
          <w:rFonts w:eastAsia="Times New Roman"/>
          <w:szCs w:val="28"/>
          <w:lang w:eastAsia="lv-LV"/>
        </w:rPr>
        <w:t xml:space="preserve"> enerģijas ietaupījumu aprēķināšanai ņemts vērā </w:t>
      </w:r>
      <w:r w:rsidR="001F6437" w:rsidRPr="001E48AC">
        <w:rPr>
          <w:rFonts w:cs="Times New Roman"/>
          <w:szCs w:val="28"/>
        </w:rPr>
        <w:t>atbilstoši Komisijas dienestu darba dokumentā “Norādījumi par Direktīvu 2012/27/ES par energoefektivitāti, ar ko groza Direktīvas 2009/125/EK un 2010/30/ES un atceļ Direktīvas 2004/8/EK un 2006/32/EK 7. pants: Energoefektivitātes pienākuma shēmas”</w:t>
      </w:r>
      <w:r w:rsidR="001F6437" w:rsidRPr="001E48AC">
        <w:rPr>
          <w:rStyle w:val="FootnoteReference"/>
          <w:rFonts w:cs="Times New Roman"/>
          <w:szCs w:val="28"/>
        </w:rPr>
        <w:footnoteReference w:id="22"/>
      </w:r>
      <w:r w:rsidR="001F6437" w:rsidRPr="001E48AC">
        <w:rPr>
          <w:rFonts w:cs="Times New Roman"/>
          <w:szCs w:val="28"/>
        </w:rPr>
        <w:t xml:space="preserve"> E2.nodaļā noteiktajām prasībām.</w:t>
      </w:r>
    </w:p>
    <w:p w14:paraId="075718B5" w14:textId="733BF3F6" w:rsidR="003F2EFA" w:rsidRPr="001E48AC" w:rsidRDefault="0090493C" w:rsidP="00BC2E60">
      <w:pPr>
        <w:pStyle w:val="Heading3"/>
        <w:rPr>
          <w:color w:val="auto"/>
        </w:rPr>
      </w:pPr>
      <w:r w:rsidRPr="001E48AC">
        <w:rPr>
          <w:rFonts w:eastAsia="Times New Roman"/>
          <w:color w:val="auto"/>
          <w:lang w:eastAsia="lv-LV"/>
        </w:rPr>
        <w:tab/>
      </w:r>
      <w:bookmarkStart w:id="22" w:name="_Toc482711531"/>
      <w:r w:rsidR="007A660E" w:rsidRPr="001E48AC">
        <w:rPr>
          <w:color w:val="auto"/>
        </w:rPr>
        <w:t>3.1.</w:t>
      </w:r>
      <w:r w:rsidR="004D5351" w:rsidRPr="001E48AC">
        <w:rPr>
          <w:color w:val="auto"/>
        </w:rPr>
        <w:t>7</w:t>
      </w:r>
      <w:r w:rsidR="00EA25E3" w:rsidRPr="001E48AC">
        <w:rPr>
          <w:color w:val="auto"/>
        </w:rPr>
        <w:t>.</w:t>
      </w:r>
      <w:r w:rsidR="003F2EFA" w:rsidRPr="001E48AC">
        <w:rPr>
          <w:color w:val="auto"/>
        </w:rPr>
        <w:t xml:space="preserve"> Valsts iestāžu un pašvaldību pienākumi energoefektivitātes jomā</w:t>
      </w:r>
      <w:bookmarkEnd w:id="22"/>
    </w:p>
    <w:p w14:paraId="5C7A2B44" w14:textId="77777777" w:rsidR="008D2ED5" w:rsidRPr="001E48AC" w:rsidRDefault="003F2EFA" w:rsidP="00E45A96">
      <w:pPr>
        <w:shd w:val="clear" w:color="auto" w:fill="FEFEFE"/>
        <w:spacing w:after="0" w:line="240" w:lineRule="auto"/>
        <w:jc w:val="both"/>
        <w:rPr>
          <w:rFonts w:eastAsia="Times New Roman" w:cs="Times New Roman"/>
          <w:szCs w:val="28"/>
          <w:lang w:eastAsia="lv-LV"/>
        </w:rPr>
      </w:pPr>
      <w:r w:rsidRPr="001E48AC">
        <w:rPr>
          <w:rFonts w:eastAsia="Times New Roman"/>
          <w:szCs w:val="28"/>
          <w:lang w:eastAsia="lv-LV"/>
        </w:rPr>
        <w:t xml:space="preserve">Energoefektivitātes likuma 5.pantā ir noteiktas valsts un pašvaldību tiesības un pienākumi energoefektivitātes jomā. Valsts iestādēm un pašvaldībām </w:t>
      </w:r>
      <w:r w:rsidR="008D2ED5" w:rsidRPr="001E48AC">
        <w:rPr>
          <w:rFonts w:eastAsia="Times New Roman"/>
          <w:szCs w:val="28"/>
          <w:lang w:eastAsia="lv-LV"/>
        </w:rPr>
        <w:t>ir tiesības:</w:t>
      </w:r>
      <w:r w:rsidR="008D2ED5" w:rsidRPr="001E48AC">
        <w:rPr>
          <w:rFonts w:eastAsia="Times New Roman" w:cs="Times New Roman"/>
          <w:szCs w:val="28"/>
          <w:lang w:eastAsia="lv-LV"/>
        </w:rPr>
        <w:t xml:space="preserve"> 1) izstrādāt un pieņemt energoefektivitātes plānu kā atsevišķu dokumentu vai kā pašvaldības teritorijas attīstības programmas sastāvdaļu, kurā iekļauti noteikti energoefektivitātes mērķi un pasākumi;</w:t>
      </w:r>
    </w:p>
    <w:p w14:paraId="55DAAAD1" w14:textId="77777777" w:rsidR="008D2ED5" w:rsidRPr="001E48AC" w:rsidRDefault="008D2ED5" w:rsidP="00E45A96">
      <w:pPr>
        <w:shd w:val="clear" w:color="auto" w:fill="FEFEFE"/>
        <w:spacing w:after="0" w:line="240" w:lineRule="auto"/>
        <w:jc w:val="both"/>
        <w:rPr>
          <w:rFonts w:eastAsia="Times New Roman" w:cs="Times New Roman"/>
          <w:szCs w:val="28"/>
          <w:lang w:eastAsia="lv-LV"/>
        </w:rPr>
      </w:pPr>
      <w:r w:rsidRPr="001E48AC">
        <w:rPr>
          <w:rFonts w:eastAsia="Times New Roman" w:cs="Times New Roman"/>
          <w:szCs w:val="28"/>
          <w:lang w:eastAsia="lv-LV"/>
        </w:rPr>
        <w:t>2) atsevišķi vai kā sava energoefektivitātes plāna īstenošanas sastāvdaļu ieviest energopārvaldības sistēmu;</w:t>
      </w:r>
    </w:p>
    <w:p w14:paraId="40D7E8F8" w14:textId="77777777" w:rsidR="008D2ED5" w:rsidRPr="001E48AC" w:rsidRDefault="008D2ED5" w:rsidP="00E45A96">
      <w:pPr>
        <w:shd w:val="clear" w:color="auto" w:fill="FEFEFE"/>
        <w:spacing w:after="0" w:line="240" w:lineRule="auto"/>
        <w:jc w:val="both"/>
        <w:rPr>
          <w:rFonts w:eastAsia="Times New Roman" w:cs="Times New Roman"/>
          <w:szCs w:val="28"/>
          <w:lang w:eastAsia="lv-LV"/>
        </w:rPr>
      </w:pPr>
      <w:r w:rsidRPr="001E48AC">
        <w:rPr>
          <w:rFonts w:eastAsia="Times New Roman" w:cs="Times New Roman"/>
          <w:szCs w:val="28"/>
          <w:lang w:eastAsia="lv-LV"/>
        </w:rPr>
        <w:t>3) izmantot energoefektivitātes pakalpojumus un slēgt energoefektivitātes pakalpojuma līgumus, lai īstenotu energoefektivitātes uzlabošanas pasākumus.</w:t>
      </w:r>
    </w:p>
    <w:p w14:paraId="36115227" w14:textId="6A81FFD0" w:rsidR="006323E3" w:rsidRPr="001E48AC" w:rsidRDefault="008D2ED5" w:rsidP="001D3038">
      <w:pPr>
        <w:shd w:val="clear" w:color="auto" w:fill="FEFEFE"/>
        <w:spacing w:after="0" w:line="240" w:lineRule="auto"/>
        <w:ind w:firstLine="720"/>
        <w:jc w:val="both"/>
        <w:rPr>
          <w:rFonts w:eastAsia="Times New Roman" w:cs="Times New Roman"/>
          <w:szCs w:val="28"/>
          <w:lang w:eastAsia="lv-LV"/>
        </w:rPr>
      </w:pPr>
      <w:r w:rsidRPr="001E48AC">
        <w:rPr>
          <w:rFonts w:eastAsia="Times New Roman" w:cs="Times New Roman"/>
          <w:szCs w:val="28"/>
          <w:lang w:eastAsia="lv-LV"/>
        </w:rPr>
        <w:t>Republikas pilsētu pašvaldībām ir</w:t>
      </w:r>
      <w:r w:rsidR="00F87E95" w:rsidRPr="001E48AC">
        <w:rPr>
          <w:rFonts w:eastAsia="Times New Roman" w:cs="Times New Roman"/>
          <w:szCs w:val="28"/>
          <w:lang w:eastAsia="lv-LV"/>
        </w:rPr>
        <w:t xml:space="preserve"> pienākums ieviest</w:t>
      </w:r>
      <w:r w:rsidRPr="001E48AC">
        <w:rPr>
          <w:rFonts w:eastAsia="Times New Roman" w:cs="Times New Roman"/>
          <w:szCs w:val="28"/>
          <w:lang w:eastAsia="lv-LV"/>
        </w:rPr>
        <w:t xml:space="preserve"> sertificētu energopārvaldības sistēmu</w:t>
      </w:r>
      <w:r w:rsidR="00F87E95" w:rsidRPr="001E48AC">
        <w:rPr>
          <w:rFonts w:eastAsia="Times New Roman" w:cs="Times New Roman"/>
          <w:szCs w:val="28"/>
          <w:lang w:eastAsia="lv-LV"/>
        </w:rPr>
        <w:t xml:space="preserve">. Arī </w:t>
      </w:r>
      <w:r w:rsidRPr="001E48AC">
        <w:rPr>
          <w:rFonts w:eastAsia="Times New Roman" w:cs="Times New Roman"/>
          <w:szCs w:val="28"/>
          <w:lang w:eastAsia="lv-LV"/>
        </w:rPr>
        <w:t>t novadu pašvaldīb</w:t>
      </w:r>
      <w:r w:rsidR="00F87E95" w:rsidRPr="001E48AC">
        <w:rPr>
          <w:rFonts w:eastAsia="Times New Roman" w:cs="Times New Roman"/>
          <w:szCs w:val="28"/>
          <w:lang w:eastAsia="lv-LV"/>
        </w:rPr>
        <w:t>ām</w:t>
      </w:r>
      <w:r w:rsidRPr="001E48AC">
        <w:rPr>
          <w:rFonts w:eastAsia="Times New Roman" w:cs="Times New Roman"/>
          <w:szCs w:val="28"/>
          <w:lang w:eastAsia="lv-LV"/>
        </w:rPr>
        <w:t>, kuru teritorijas attīstības līmeņa indekss ir 0,5 vai lielāks un iedzīvotāju skaits ir 10 000 vai lielāks, un valsts tiešās pārvaldes iestād</w:t>
      </w:r>
      <w:r w:rsidR="00F87E95" w:rsidRPr="001E48AC">
        <w:rPr>
          <w:rFonts w:eastAsia="Times New Roman" w:cs="Times New Roman"/>
          <w:szCs w:val="28"/>
          <w:lang w:eastAsia="lv-LV"/>
        </w:rPr>
        <w:t>ēm</w:t>
      </w:r>
      <w:r w:rsidRPr="001E48AC">
        <w:rPr>
          <w:rFonts w:eastAsia="Times New Roman" w:cs="Times New Roman"/>
          <w:szCs w:val="28"/>
          <w:lang w:eastAsia="lv-LV"/>
        </w:rPr>
        <w:t xml:space="preserve">, kuru īpašumā vai valdījumā ir ēkas ar 10 000 </w:t>
      </w:r>
      <w:r w:rsidRPr="001E48AC">
        <w:rPr>
          <w:rFonts w:eastAsia="Times New Roman" w:cs="Times New Roman"/>
          <w:szCs w:val="28"/>
          <w:lang w:eastAsia="lv-LV"/>
        </w:rPr>
        <w:lastRenderedPageBreak/>
        <w:t xml:space="preserve">kvadrātmetru vai lielāku kopējo apkurināmo platību, </w:t>
      </w:r>
      <w:r w:rsidR="00F87E95" w:rsidRPr="001E48AC">
        <w:rPr>
          <w:rFonts w:eastAsia="Times New Roman" w:cs="Times New Roman"/>
          <w:szCs w:val="28"/>
          <w:lang w:eastAsia="lv-LV"/>
        </w:rPr>
        <w:t xml:space="preserve">ir pienākums </w:t>
      </w:r>
      <w:r w:rsidRPr="001E48AC">
        <w:rPr>
          <w:rFonts w:eastAsia="Times New Roman" w:cs="Times New Roman"/>
          <w:szCs w:val="28"/>
          <w:lang w:eastAsia="lv-LV"/>
        </w:rPr>
        <w:t>ievie</w:t>
      </w:r>
      <w:r w:rsidR="00F87E95" w:rsidRPr="001E48AC">
        <w:rPr>
          <w:rFonts w:eastAsia="Times New Roman" w:cs="Times New Roman"/>
          <w:szCs w:val="28"/>
          <w:lang w:eastAsia="lv-LV"/>
        </w:rPr>
        <w:t>st</w:t>
      </w:r>
      <w:r w:rsidRPr="001E48AC">
        <w:rPr>
          <w:rFonts w:eastAsia="Times New Roman" w:cs="Times New Roman"/>
          <w:szCs w:val="28"/>
          <w:lang w:eastAsia="lv-LV"/>
        </w:rPr>
        <w:t xml:space="preserve"> energopārvaldības sistēmu.</w:t>
      </w:r>
    </w:p>
    <w:p w14:paraId="518976C3" w14:textId="082C5F62" w:rsidR="008D2ED5" w:rsidRPr="001E48AC" w:rsidRDefault="006323E3" w:rsidP="001D3038">
      <w:pPr>
        <w:shd w:val="clear" w:color="auto" w:fill="FEFEFE"/>
        <w:spacing w:after="0" w:line="240" w:lineRule="auto"/>
        <w:ind w:firstLine="720"/>
        <w:jc w:val="both"/>
        <w:rPr>
          <w:rFonts w:eastAsia="Times New Roman" w:cs="Times New Roman"/>
          <w:szCs w:val="28"/>
          <w:lang w:eastAsia="lv-LV"/>
        </w:rPr>
      </w:pPr>
      <w:r w:rsidRPr="001E48AC">
        <w:rPr>
          <w:rFonts w:eastAsia="Times New Roman" w:cs="Times New Roman"/>
          <w:szCs w:val="28"/>
          <w:lang w:eastAsia="lv-LV"/>
        </w:rPr>
        <w:t xml:space="preserve">Valsts iestādēm un pašvaldībām katru gadu jāziņo par iegūtajiem enerģijas ietaupījumiem atbilstoši </w:t>
      </w:r>
      <w:r w:rsidR="00BE2832" w:rsidRPr="001E48AC">
        <w:rPr>
          <w:rFonts w:eastAsia="Times New Roman" w:cs="Times New Roman"/>
          <w:szCs w:val="28"/>
          <w:lang w:eastAsia="lv-LV"/>
        </w:rPr>
        <w:t>Monitoringa</w:t>
      </w:r>
      <w:r w:rsidRPr="001E48AC">
        <w:rPr>
          <w:rFonts w:eastAsia="Times New Roman" w:cs="Times New Roman"/>
          <w:szCs w:val="28"/>
          <w:lang w:eastAsia="lv-LV"/>
        </w:rPr>
        <w:t xml:space="preserve"> noteikumu Nr.668 prasībām. Atbilstoši </w:t>
      </w:r>
      <w:r w:rsidRPr="001E48AC">
        <w:rPr>
          <w:rFonts w:eastAsia="Times New Roman"/>
          <w:szCs w:val="28"/>
          <w:lang w:eastAsia="lv-LV"/>
        </w:rPr>
        <w:t>Energoefektivitātes likuma 5.panta sestās daļas prasībām, v</w:t>
      </w:r>
      <w:r w:rsidR="008D2ED5" w:rsidRPr="001E48AC">
        <w:rPr>
          <w:rFonts w:eastAsia="Times New Roman" w:cs="Times New Roman"/>
          <w:szCs w:val="28"/>
          <w:lang w:eastAsia="lv-LV"/>
        </w:rPr>
        <w:t>ērtējot projektus, kuri tiks pilnībā vai daļēji īstenoti, izmantojot maksājumus no valsts budžeta, valsts galvojumus, kredītu procentu likmju subsīdijas vai citu finanšu palīdzību, kas tiek piešķirta vai sniegta no valsts vai Eiropas Savienības budžeta līdzekļiem un ārvalstu finanšu palīdzības līdzekļiem, valsts iestādēm un pašvaldībām, kuru pienākums atbilstoši šā likuma noteikumiem ir ieviest energopārvaldības sistēmu un kuras šo pienākumu ir izpildījušas, palielina atbilstoši kvalitātes vērtēšanas kritērijiem maksimāli iegūstamo punktu skaitu, ievērojot kārtību, kādu nosaka normatīvais akts par attiecīgā finansējuma piešķiršanu.</w:t>
      </w:r>
    </w:p>
    <w:p w14:paraId="43917019" w14:textId="13BE73A3" w:rsidR="00FA69C4" w:rsidRPr="001E48AC" w:rsidRDefault="00AA70E3" w:rsidP="007942A4">
      <w:pPr>
        <w:pStyle w:val="Heading3"/>
        <w:rPr>
          <w:rStyle w:val="Heading3Char"/>
          <w:b/>
          <w:bCs/>
          <w:color w:val="auto"/>
        </w:rPr>
      </w:pPr>
      <w:bookmarkStart w:id="23" w:name="_Toc482711532"/>
      <w:bookmarkEnd w:id="20"/>
      <w:bookmarkEnd w:id="21"/>
      <w:r w:rsidRPr="001E48AC">
        <w:rPr>
          <w:rStyle w:val="Heading3Char"/>
          <w:b/>
          <w:bCs/>
          <w:color w:val="auto"/>
        </w:rPr>
        <w:t>3.1.</w:t>
      </w:r>
      <w:r w:rsidR="004D5351" w:rsidRPr="001E48AC">
        <w:rPr>
          <w:rStyle w:val="Heading3Char"/>
          <w:b/>
          <w:bCs/>
          <w:color w:val="auto"/>
        </w:rPr>
        <w:t>8</w:t>
      </w:r>
      <w:r w:rsidRPr="001E48AC">
        <w:rPr>
          <w:rStyle w:val="Heading3Char"/>
          <w:b/>
          <w:bCs/>
          <w:color w:val="auto"/>
        </w:rPr>
        <w:t>. Energoauditi un energovadības sistēmas</w:t>
      </w:r>
      <w:bookmarkEnd w:id="23"/>
    </w:p>
    <w:p w14:paraId="3D864972" w14:textId="578AC966" w:rsidR="00311DB6" w:rsidRPr="001E48AC" w:rsidRDefault="00FA69C4" w:rsidP="00FA69C4">
      <w:pPr>
        <w:autoSpaceDE w:val="0"/>
        <w:autoSpaceDN w:val="0"/>
        <w:adjustRightInd w:val="0"/>
        <w:spacing w:after="0" w:line="240" w:lineRule="auto"/>
        <w:jc w:val="both"/>
        <w:rPr>
          <w:rFonts w:eastAsia="Times New Roman"/>
          <w:szCs w:val="28"/>
          <w:lang w:eastAsia="lv-LV"/>
        </w:rPr>
      </w:pPr>
      <w:r w:rsidRPr="001E48AC">
        <w:rPr>
          <w:rFonts w:cs="Times New Roman"/>
          <w:i/>
          <w:iCs/>
          <w:sz w:val="24"/>
          <w:szCs w:val="24"/>
        </w:rPr>
        <w:tab/>
      </w:r>
      <w:r w:rsidR="004C1CE0" w:rsidRPr="001E48AC">
        <w:rPr>
          <w:rFonts w:cs="Times New Roman"/>
          <w:iCs/>
          <w:szCs w:val="28"/>
        </w:rPr>
        <w:t xml:space="preserve">Enerģētikas </w:t>
      </w:r>
      <w:r w:rsidR="002C30C0" w:rsidRPr="001E48AC">
        <w:rPr>
          <w:rFonts w:cs="Times New Roman"/>
          <w:iCs/>
          <w:szCs w:val="28"/>
        </w:rPr>
        <w:t>P</w:t>
      </w:r>
      <w:r w:rsidR="004C1CE0" w:rsidRPr="001E48AC">
        <w:rPr>
          <w:rFonts w:cs="Times New Roman"/>
          <w:iCs/>
          <w:szCs w:val="28"/>
        </w:rPr>
        <w:t xml:space="preserve">amatnostādnēs </w:t>
      </w:r>
      <w:r w:rsidR="002C30C0" w:rsidRPr="001E48AC">
        <w:rPr>
          <w:rFonts w:cs="Times New Roman"/>
          <w:iCs/>
          <w:szCs w:val="28"/>
        </w:rPr>
        <w:t xml:space="preserve">2020 </w:t>
      </w:r>
      <w:r w:rsidR="004C1CE0" w:rsidRPr="001E48AC">
        <w:rPr>
          <w:rFonts w:cs="Times New Roman"/>
          <w:iCs/>
          <w:szCs w:val="28"/>
        </w:rPr>
        <w:t xml:space="preserve">noteikts, ka  </w:t>
      </w:r>
      <w:r w:rsidR="004C1CE0" w:rsidRPr="001E48AC">
        <w:rPr>
          <w:rFonts w:cs="Times New Roman"/>
          <w:szCs w:val="28"/>
        </w:rPr>
        <w:t>energoefektivitātes paaugstināšana</w:t>
      </w:r>
      <w:r w:rsidR="002C30C0" w:rsidRPr="001E48AC">
        <w:rPr>
          <w:rFonts w:cs="Times New Roman"/>
          <w:szCs w:val="28"/>
        </w:rPr>
        <w:t>i</w:t>
      </w:r>
      <w:r w:rsidR="004C1CE0" w:rsidRPr="001E48AC">
        <w:rPr>
          <w:rFonts w:cs="Times New Roman"/>
          <w:szCs w:val="28"/>
        </w:rPr>
        <w:t xml:space="preserve"> rūpniecības sektorā</w:t>
      </w:r>
      <w:r w:rsidR="002C30C0" w:rsidRPr="001E48AC">
        <w:rPr>
          <w:rFonts w:cs="Times New Roman"/>
          <w:szCs w:val="28"/>
        </w:rPr>
        <w:t xml:space="preserve"> ir</w:t>
      </w:r>
      <w:r w:rsidR="004C1CE0" w:rsidRPr="001E48AC">
        <w:rPr>
          <w:rFonts w:cs="Times New Roman"/>
          <w:szCs w:val="28"/>
        </w:rPr>
        <w:t xml:space="preserve"> </w:t>
      </w:r>
      <w:r w:rsidR="002C30C0" w:rsidRPr="001E48AC">
        <w:rPr>
          <w:rFonts w:cs="Times New Roman"/>
          <w:szCs w:val="28"/>
        </w:rPr>
        <w:t>jā</w:t>
      </w:r>
      <w:r w:rsidR="00F473C8" w:rsidRPr="001E48AC">
        <w:rPr>
          <w:rFonts w:cs="Times New Roman"/>
          <w:szCs w:val="28"/>
        </w:rPr>
        <w:t>ievieš</w:t>
      </w:r>
      <w:r w:rsidR="004C1CE0" w:rsidRPr="001E48AC">
        <w:rPr>
          <w:rFonts w:cs="Times New Roman"/>
          <w:szCs w:val="28"/>
        </w:rPr>
        <w:t xml:space="preserve"> energoaudit</w:t>
      </w:r>
      <w:r w:rsidR="002C30C0" w:rsidRPr="001E48AC">
        <w:rPr>
          <w:rFonts w:cs="Times New Roman"/>
          <w:szCs w:val="28"/>
        </w:rPr>
        <w:t>i</w:t>
      </w:r>
      <w:r w:rsidR="004C1CE0" w:rsidRPr="001E48AC">
        <w:rPr>
          <w:rFonts w:cs="Times New Roman"/>
          <w:szCs w:val="28"/>
        </w:rPr>
        <w:t xml:space="preserve"> vai energo</w:t>
      </w:r>
      <w:r w:rsidR="002C30C0" w:rsidRPr="001E48AC">
        <w:rPr>
          <w:rFonts w:cs="Times New Roman"/>
          <w:szCs w:val="28"/>
        </w:rPr>
        <w:t xml:space="preserve">pārvaldības </w:t>
      </w:r>
      <w:r w:rsidR="004C1CE0" w:rsidRPr="001E48AC">
        <w:rPr>
          <w:rFonts w:cs="Times New Roman"/>
          <w:szCs w:val="28"/>
        </w:rPr>
        <w:t>sistēm</w:t>
      </w:r>
      <w:r w:rsidR="002C30C0" w:rsidRPr="001E48AC">
        <w:rPr>
          <w:rFonts w:cs="Times New Roman"/>
          <w:szCs w:val="28"/>
        </w:rPr>
        <w:t>as</w:t>
      </w:r>
      <w:r w:rsidR="004C1CE0" w:rsidRPr="001E48AC">
        <w:rPr>
          <w:rFonts w:cs="Times New Roman"/>
          <w:szCs w:val="28"/>
        </w:rPr>
        <w:t xml:space="preserve">, aktivizējot nozaru asociācijas lomu energoefektivitātes veicināšanai, </w:t>
      </w:r>
      <w:r w:rsidR="002C30C0" w:rsidRPr="001E48AC">
        <w:rPr>
          <w:rFonts w:cs="Times New Roman"/>
          <w:szCs w:val="28"/>
        </w:rPr>
        <w:t xml:space="preserve">kā arī </w:t>
      </w:r>
      <w:r w:rsidR="004C1CE0" w:rsidRPr="001E48AC">
        <w:rPr>
          <w:rFonts w:cs="Times New Roman"/>
          <w:szCs w:val="28"/>
        </w:rPr>
        <w:t xml:space="preserve">rosinot diskusiju par enerģijas patēriņa </w:t>
      </w:r>
      <w:r w:rsidR="002C30C0" w:rsidRPr="001E48AC">
        <w:rPr>
          <w:rFonts w:cs="Times New Roman"/>
          <w:szCs w:val="28"/>
        </w:rPr>
        <w:t xml:space="preserve">nozaru </w:t>
      </w:r>
      <w:r w:rsidR="004C1CE0" w:rsidRPr="001E48AC">
        <w:rPr>
          <w:rFonts w:cs="Times New Roman"/>
          <w:szCs w:val="28"/>
        </w:rPr>
        <w:t>līmeņatzīmju noteikšanu</w:t>
      </w:r>
      <w:r w:rsidR="002C30C0" w:rsidRPr="001E48AC">
        <w:rPr>
          <w:rFonts w:cs="Times New Roman"/>
          <w:szCs w:val="28"/>
        </w:rPr>
        <w:t>.</w:t>
      </w:r>
      <w:r w:rsidR="004C1CE0" w:rsidRPr="001E48AC">
        <w:rPr>
          <w:rFonts w:cs="Times New Roman"/>
          <w:iCs/>
          <w:szCs w:val="28"/>
        </w:rPr>
        <w:t xml:space="preserve"> </w:t>
      </w:r>
      <w:r w:rsidR="002C30C0" w:rsidRPr="001E48AC">
        <w:rPr>
          <w:rFonts w:cs="Times New Roman"/>
          <w:iCs/>
          <w:szCs w:val="28"/>
        </w:rPr>
        <w:t xml:space="preserve">Attiecīgi </w:t>
      </w:r>
      <w:r w:rsidR="004C1CE0" w:rsidRPr="001E48AC">
        <w:rPr>
          <w:rFonts w:eastAsia="Times New Roman"/>
          <w:szCs w:val="28"/>
          <w:lang w:eastAsia="lv-LV"/>
        </w:rPr>
        <w:t>Energoefektivitātes likuma 9.pants nosaka energoaudita veikšanas nosacījumus, 10.pants – prasības energoauditam lielajos uzņēmumos, 11.pants -</w:t>
      </w:r>
      <w:r w:rsidR="00F473C8" w:rsidRPr="001E48AC">
        <w:rPr>
          <w:rFonts w:eastAsia="Times New Roman"/>
          <w:szCs w:val="28"/>
          <w:lang w:eastAsia="lv-LV"/>
        </w:rPr>
        <w:t xml:space="preserve"> </w:t>
      </w:r>
      <w:r w:rsidR="004C1CE0" w:rsidRPr="001E48AC">
        <w:rPr>
          <w:rFonts w:eastAsia="Times New Roman"/>
          <w:szCs w:val="28"/>
          <w:lang w:eastAsia="lv-LV"/>
        </w:rPr>
        <w:t>prasības energoauditam mazajos un vidējos uzņ</w:t>
      </w:r>
      <w:r w:rsidR="000A7F52" w:rsidRPr="001E48AC">
        <w:rPr>
          <w:rFonts w:eastAsia="Times New Roman"/>
          <w:szCs w:val="28"/>
          <w:lang w:eastAsia="lv-LV"/>
        </w:rPr>
        <w:t>ēmumos, bet 12.</w:t>
      </w:r>
      <w:r w:rsidR="004C1CE0" w:rsidRPr="001E48AC">
        <w:rPr>
          <w:rFonts w:eastAsia="Times New Roman"/>
          <w:szCs w:val="28"/>
          <w:lang w:eastAsia="lv-LV"/>
        </w:rPr>
        <w:t>pants prasības energopārvaldības sistēmas ieviešanai lielajiem elektroenerģijas patērēt</w:t>
      </w:r>
      <w:r w:rsidR="000A7F52" w:rsidRPr="001E48AC">
        <w:rPr>
          <w:rFonts w:eastAsia="Times New Roman"/>
          <w:szCs w:val="28"/>
          <w:lang w:eastAsia="lv-LV"/>
        </w:rPr>
        <w:t>ājiem (</w:t>
      </w:r>
      <w:r w:rsidR="002C30C0" w:rsidRPr="001E48AC">
        <w:rPr>
          <w:rFonts w:eastAsia="Times New Roman"/>
          <w:szCs w:val="28"/>
          <w:lang w:eastAsia="lv-LV"/>
        </w:rPr>
        <w:t xml:space="preserve">tie ir definēti kā komersanti, kuru </w:t>
      </w:r>
      <w:r w:rsidR="000A7F52" w:rsidRPr="001E48AC">
        <w:rPr>
          <w:rFonts w:eastAsia="Times New Roman"/>
          <w:szCs w:val="28"/>
          <w:lang w:eastAsia="lv-LV"/>
        </w:rPr>
        <w:t>ikgadējais elektroenerģijas patēriņš pārsniedz 500 MWh).  Energoefektivitātes likum</w:t>
      </w:r>
      <w:r w:rsidR="001C4B86" w:rsidRPr="001E48AC">
        <w:rPr>
          <w:rFonts w:eastAsia="Times New Roman"/>
          <w:szCs w:val="28"/>
          <w:lang w:eastAsia="lv-LV"/>
        </w:rPr>
        <w:t xml:space="preserve">s </w:t>
      </w:r>
      <w:r w:rsidR="000A7F52" w:rsidRPr="001E48AC">
        <w:rPr>
          <w:rFonts w:eastAsia="Times New Roman"/>
          <w:szCs w:val="28"/>
          <w:lang w:eastAsia="lv-LV"/>
        </w:rPr>
        <w:t xml:space="preserve"> nosaka  liela</w:t>
      </w:r>
      <w:r w:rsidR="002C30C0" w:rsidRPr="001E48AC">
        <w:rPr>
          <w:rFonts w:eastAsia="Times New Roman"/>
          <w:szCs w:val="28"/>
          <w:lang w:eastAsia="lv-LV"/>
        </w:rPr>
        <w:t xml:space="preserve">jam </w:t>
      </w:r>
      <w:r w:rsidR="000A7F52" w:rsidRPr="001E48AC">
        <w:rPr>
          <w:rFonts w:eastAsia="Times New Roman"/>
          <w:szCs w:val="28"/>
          <w:lang w:eastAsia="lv-LV"/>
        </w:rPr>
        <w:t xml:space="preserve"> uzņēmum</w:t>
      </w:r>
      <w:r w:rsidR="002C30C0" w:rsidRPr="001E48AC">
        <w:rPr>
          <w:rFonts w:eastAsia="Times New Roman"/>
          <w:szCs w:val="28"/>
          <w:lang w:eastAsia="lv-LV"/>
        </w:rPr>
        <w:t xml:space="preserve">am un </w:t>
      </w:r>
      <w:r w:rsidR="000A7F52" w:rsidRPr="001E48AC">
        <w:rPr>
          <w:rFonts w:eastAsia="Times New Roman"/>
          <w:szCs w:val="28"/>
          <w:lang w:eastAsia="lv-LV"/>
        </w:rPr>
        <w:t>liela</w:t>
      </w:r>
      <w:r w:rsidR="002C30C0" w:rsidRPr="001E48AC">
        <w:rPr>
          <w:rFonts w:eastAsia="Times New Roman"/>
          <w:szCs w:val="28"/>
          <w:lang w:eastAsia="lv-LV"/>
        </w:rPr>
        <w:t>jam</w:t>
      </w:r>
      <w:r w:rsidR="000A7F52" w:rsidRPr="001E48AC">
        <w:rPr>
          <w:rFonts w:eastAsia="Times New Roman"/>
          <w:szCs w:val="28"/>
          <w:lang w:eastAsia="lv-LV"/>
        </w:rPr>
        <w:t xml:space="preserve"> elektroenerģijas patērētāj</w:t>
      </w:r>
      <w:r w:rsidR="002C30C0" w:rsidRPr="001E48AC">
        <w:rPr>
          <w:rFonts w:eastAsia="Times New Roman"/>
          <w:szCs w:val="28"/>
          <w:lang w:eastAsia="lv-LV"/>
        </w:rPr>
        <w:t>am</w:t>
      </w:r>
      <w:r w:rsidR="000A7F52" w:rsidRPr="001E48AC">
        <w:rPr>
          <w:rFonts w:eastAsia="Times New Roman"/>
          <w:szCs w:val="28"/>
          <w:lang w:eastAsia="lv-LV"/>
        </w:rPr>
        <w:t xml:space="preserve"> </w:t>
      </w:r>
      <w:r w:rsidR="001C4B86" w:rsidRPr="001E48AC">
        <w:rPr>
          <w:rFonts w:eastAsia="Times New Roman"/>
          <w:szCs w:val="28"/>
          <w:lang w:eastAsia="lv-LV"/>
        </w:rPr>
        <w:t xml:space="preserve">pienākumu noteiktos termiņos ieviest energoauditā vai energopārvaldības sistēmā identificētos energoefektivitātes pasākumus, kā arī </w:t>
      </w:r>
      <w:r w:rsidR="000A7F52" w:rsidRPr="001E48AC">
        <w:rPr>
          <w:rFonts w:eastAsia="Times New Roman"/>
          <w:szCs w:val="28"/>
          <w:lang w:eastAsia="lv-LV"/>
        </w:rPr>
        <w:t>ziņo</w:t>
      </w:r>
      <w:r w:rsidR="001C4B86" w:rsidRPr="001E48AC">
        <w:rPr>
          <w:rFonts w:eastAsia="Times New Roman"/>
          <w:szCs w:val="28"/>
          <w:lang w:eastAsia="lv-LV"/>
        </w:rPr>
        <w:t>t</w:t>
      </w:r>
      <w:r w:rsidR="000A7F52" w:rsidRPr="001E48AC">
        <w:rPr>
          <w:rFonts w:eastAsia="Times New Roman"/>
          <w:szCs w:val="28"/>
          <w:lang w:eastAsia="lv-LV"/>
        </w:rPr>
        <w:t xml:space="preserve"> atbildīgajai ministrijai par </w:t>
      </w:r>
      <w:r w:rsidR="001C4B86" w:rsidRPr="001E48AC">
        <w:rPr>
          <w:rFonts w:eastAsia="Times New Roman"/>
          <w:szCs w:val="28"/>
          <w:lang w:eastAsia="lv-LV"/>
        </w:rPr>
        <w:t xml:space="preserve">identificētajiem un ieviestajiem </w:t>
      </w:r>
      <w:r w:rsidR="000A7F52" w:rsidRPr="001E48AC">
        <w:rPr>
          <w:rFonts w:eastAsia="Times New Roman"/>
          <w:szCs w:val="28"/>
          <w:lang w:eastAsia="lv-LV"/>
        </w:rPr>
        <w:t>energoefektivitātes pasākumiem</w:t>
      </w:r>
      <w:r w:rsidR="001C4B86" w:rsidRPr="001E48AC">
        <w:rPr>
          <w:rFonts w:eastAsia="Times New Roman"/>
          <w:szCs w:val="28"/>
          <w:lang w:eastAsia="lv-LV"/>
        </w:rPr>
        <w:t xml:space="preserve"> un enerģijas ietaupījumiem. </w:t>
      </w:r>
      <w:r w:rsidR="000A7F52" w:rsidRPr="001E48AC">
        <w:rPr>
          <w:rFonts w:eastAsia="Times New Roman"/>
          <w:szCs w:val="28"/>
          <w:lang w:eastAsia="lv-LV"/>
        </w:rPr>
        <w:t xml:space="preserve"> Ziņošana notiek atbilstoši M</w:t>
      </w:r>
      <w:r w:rsidR="00F473C8" w:rsidRPr="001E48AC">
        <w:rPr>
          <w:rFonts w:eastAsia="Times New Roman"/>
          <w:szCs w:val="28"/>
          <w:lang w:eastAsia="lv-LV"/>
        </w:rPr>
        <w:t xml:space="preserve">onitoringa </w:t>
      </w:r>
      <w:r w:rsidR="000A7F52" w:rsidRPr="001E48AC">
        <w:rPr>
          <w:rFonts w:eastAsia="Times New Roman"/>
          <w:szCs w:val="28"/>
          <w:lang w:eastAsia="lv-LV"/>
        </w:rPr>
        <w:t xml:space="preserve">noteikumu Nr.668 </w:t>
      </w:r>
      <w:r w:rsidR="001C4B86" w:rsidRPr="001E48AC">
        <w:rPr>
          <w:rFonts w:eastAsia="Times New Roman"/>
          <w:szCs w:val="28"/>
          <w:lang w:eastAsia="lv-LV"/>
        </w:rPr>
        <w:t xml:space="preserve">tehniskajām un metodoloģiskajām </w:t>
      </w:r>
      <w:r w:rsidR="000A7F52" w:rsidRPr="001E48AC">
        <w:rPr>
          <w:rFonts w:eastAsia="Times New Roman"/>
          <w:szCs w:val="28"/>
          <w:lang w:eastAsia="lv-LV"/>
        </w:rPr>
        <w:t>prasībām.</w:t>
      </w:r>
    </w:p>
    <w:p w14:paraId="501AEF68" w14:textId="070BF486" w:rsidR="00A23DC4" w:rsidRPr="001E48AC" w:rsidRDefault="001C4B86" w:rsidP="00BE2832">
      <w:pPr>
        <w:spacing w:after="0" w:line="240" w:lineRule="auto"/>
        <w:ind w:firstLine="720"/>
        <w:jc w:val="both"/>
        <w:rPr>
          <w:rFonts w:eastAsia="Times New Roman" w:cs="Times New Roman"/>
          <w:szCs w:val="28"/>
          <w:lang w:eastAsia="lv-LV"/>
        </w:rPr>
      </w:pPr>
      <w:r w:rsidRPr="001E48AC">
        <w:rPr>
          <w:szCs w:val="28"/>
        </w:rPr>
        <w:t>K</w:t>
      </w:r>
      <w:r w:rsidR="00F473C8" w:rsidRPr="001E48AC">
        <w:rPr>
          <w:szCs w:val="28"/>
        </w:rPr>
        <w:t>va</w:t>
      </w:r>
      <w:r w:rsidRPr="001E48AC">
        <w:rPr>
          <w:szCs w:val="28"/>
        </w:rPr>
        <w:t xml:space="preserve">litatīvu energoauditu pieejamību uzņēmumos nodrošina </w:t>
      </w:r>
      <w:r w:rsidR="00A23DC4" w:rsidRPr="001E48AC">
        <w:rPr>
          <w:szCs w:val="28"/>
        </w:rPr>
        <w:t xml:space="preserve"> Ministru kabineta</w:t>
      </w:r>
      <w:r w:rsidR="00B26046" w:rsidRPr="001E48AC">
        <w:rPr>
          <w:szCs w:val="28"/>
        </w:rPr>
        <w:t xml:space="preserve"> </w:t>
      </w:r>
      <w:r w:rsidR="00D22F57" w:rsidRPr="001E48AC">
        <w:rPr>
          <w:szCs w:val="28"/>
        </w:rPr>
        <w:t>201</w:t>
      </w:r>
      <w:r w:rsidR="00B26046" w:rsidRPr="001E48AC">
        <w:rPr>
          <w:szCs w:val="28"/>
        </w:rPr>
        <w:t>6</w:t>
      </w:r>
      <w:r w:rsidR="00D22F57" w:rsidRPr="001E48AC">
        <w:rPr>
          <w:szCs w:val="28"/>
        </w:rPr>
        <w:t>.</w:t>
      </w:r>
      <w:r w:rsidR="001D2F15" w:rsidRPr="001E48AC">
        <w:rPr>
          <w:szCs w:val="28"/>
        </w:rPr>
        <w:t> </w:t>
      </w:r>
      <w:r w:rsidR="00D22F57" w:rsidRPr="001E48AC">
        <w:rPr>
          <w:szCs w:val="28"/>
        </w:rPr>
        <w:t xml:space="preserve">gada </w:t>
      </w:r>
      <w:r w:rsidR="002B5FC8" w:rsidRPr="001E48AC">
        <w:rPr>
          <w:szCs w:val="28"/>
        </w:rPr>
        <w:t>26.jūlija</w:t>
      </w:r>
      <w:r w:rsidR="00A23DC4" w:rsidRPr="001E48AC">
        <w:rPr>
          <w:szCs w:val="28"/>
        </w:rPr>
        <w:t xml:space="preserve"> noteikumi Nr.</w:t>
      </w:r>
      <w:r w:rsidR="002B5FC8" w:rsidRPr="001E48AC">
        <w:rPr>
          <w:szCs w:val="28"/>
        </w:rPr>
        <w:t>487</w:t>
      </w:r>
      <w:r w:rsidR="00A23DC4" w:rsidRPr="001E48AC">
        <w:rPr>
          <w:szCs w:val="28"/>
        </w:rPr>
        <w:t xml:space="preserve"> „</w:t>
      </w:r>
      <w:r w:rsidR="002B5FC8" w:rsidRPr="001E48AC">
        <w:rPr>
          <w:szCs w:val="28"/>
        </w:rPr>
        <w:t>Uzņēmumu energoaudita noteikumi”</w:t>
      </w:r>
      <w:r w:rsidR="0049459E" w:rsidRPr="001E48AC">
        <w:rPr>
          <w:szCs w:val="28"/>
        </w:rPr>
        <w:t xml:space="preserve"> (turpmāk – MK noteikumi Nr.487)</w:t>
      </w:r>
      <w:r w:rsidR="00A23DC4" w:rsidRPr="001E48AC">
        <w:rPr>
          <w:szCs w:val="28"/>
        </w:rPr>
        <w:t xml:space="preserve">, kas nosaka kārtību, kādā veicams </w:t>
      </w:r>
      <w:r w:rsidR="002B5FC8" w:rsidRPr="001E48AC">
        <w:rPr>
          <w:szCs w:val="28"/>
        </w:rPr>
        <w:t>u</w:t>
      </w:r>
      <w:r w:rsidR="00B26046" w:rsidRPr="001E48AC">
        <w:rPr>
          <w:szCs w:val="28"/>
        </w:rPr>
        <w:t>zņēmumu</w:t>
      </w:r>
      <w:r w:rsidR="00A23DC4" w:rsidRPr="001E48AC">
        <w:rPr>
          <w:szCs w:val="28"/>
        </w:rPr>
        <w:t xml:space="preserve"> energoaudits, juridiskajām personām izvirzāmās prasības </w:t>
      </w:r>
      <w:r w:rsidR="00B26046" w:rsidRPr="001E48AC">
        <w:rPr>
          <w:szCs w:val="28"/>
        </w:rPr>
        <w:t>uzņēmumu energoauditu</w:t>
      </w:r>
      <w:r w:rsidR="00A23DC4" w:rsidRPr="001E48AC">
        <w:rPr>
          <w:szCs w:val="28"/>
        </w:rPr>
        <w:t xml:space="preserve"> veikšanai, energoauditora atbilstības novērtēšanas būtiskās prasības un kārtību, kādā īsteno šo prasību ievērošanas uzraudzību.</w:t>
      </w:r>
    </w:p>
    <w:p w14:paraId="26C1932F" w14:textId="77777777" w:rsidR="001D3038" w:rsidRPr="001E48AC" w:rsidRDefault="00A23DC4" w:rsidP="00BE2832">
      <w:pPr>
        <w:spacing w:after="0" w:line="240" w:lineRule="auto"/>
        <w:jc w:val="both"/>
        <w:rPr>
          <w:rFonts w:cs="Times New Roman"/>
          <w:szCs w:val="28"/>
        </w:rPr>
      </w:pPr>
      <w:r w:rsidRPr="001E48AC">
        <w:rPr>
          <w:rFonts w:cs="Times New Roman"/>
          <w:szCs w:val="28"/>
        </w:rPr>
        <w:tab/>
      </w:r>
      <w:r w:rsidRPr="001E48AC">
        <w:rPr>
          <w:rFonts w:eastAsia="Times New Roman" w:cs="Times New Roman"/>
          <w:szCs w:val="28"/>
          <w:lang w:eastAsia="lv-LV"/>
        </w:rPr>
        <w:t>Saskaņā ar Ēku energoefektivitātes likuma 12. panta ceturto daļu pieņemti Ministru kabineta</w:t>
      </w:r>
      <w:r w:rsidR="002B5FC8" w:rsidRPr="001E48AC">
        <w:rPr>
          <w:rFonts w:eastAsia="Times New Roman" w:cs="Times New Roman"/>
          <w:szCs w:val="28"/>
          <w:lang w:eastAsia="lv-LV"/>
        </w:rPr>
        <w:t xml:space="preserve"> </w:t>
      </w:r>
      <w:r w:rsidR="00D22F57" w:rsidRPr="001E48AC">
        <w:t>2013.</w:t>
      </w:r>
      <w:r w:rsidR="001D2F15" w:rsidRPr="001E48AC">
        <w:t> </w:t>
      </w:r>
      <w:r w:rsidR="00D22F57" w:rsidRPr="001E48AC">
        <w:t>gada 9.</w:t>
      </w:r>
      <w:r w:rsidR="001D2F15" w:rsidRPr="001E48AC">
        <w:t> </w:t>
      </w:r>
      <w:r w:rsidR="00D22F57" w:rsidRPr="001E48AC">
        <w:t>jūlija</w:t>
      </w:r>
      <w:r w:rsidRPr="001E48AC">
        <w:rPr>
          <w:rFonts w:eastAsia="Times New Roman" w:cs="Times New Roman"/>
          <w:szCs w:val="28"/>
          <w:lang w:eastAsia="lv-LV"/>
        </w:rPr>
        <w:t xml:space="preserve"> noteikumi Nr.382 </w:t>
      </w:r>
      <w:r w:rsidR="001D2F15" w:rsidRPr="001E48AC">
        <w:rPr>
          <w:rFonts w:eastAsia="Times New Roman" w:cs="Times New Roman"/>
          <w:szCs w:val="28"/>
          <w:lang w:eastAsia="lv-LV"/>
        </w:rPr>
        <w:t>„</w:t>
      </w:r>
      <w:r w:rsidRPr="001E48AC">
        <w:rPr>
          <w:rFonts w:eastAsia="Times New Roman" w:cs="Times New Roman"/>
          <w:szCs w:val="28"/>
          <w:lang w:eastAsia="lv-LV"/>
        </w:rPr>
        <w:t>Noteikumi par neatkarīgiem ekspertiem ēku energoefektivitātes jomā”</w:t>
      </w:r>
      <w:bookmarkStart w:id="24" w:name="p1"/>
      <w:bookmarkStart w:id="25" w:name="p-475469"/>
      <w:bookmarkEnd w:id="24"/>
      <w:bookmarkEnd w:id="25"/>
      <w:r w:rsidR="001C4B86" w:rsidRPr="001E48AC">
        <w:rPr>
          <w:rFonts w:eastAsia="Times New Roman" w:cs="Times New Roman"/>
          <w:szCs w:val="28"/>
          <w:lang w:eastAsia="lv-LV"/>
        </w:rPr>
        <w:t xml:space="preserve"> </w:t>
      </w:r>
      <w:r w:rsidRPr="001E48AC">
        <w:rPr>
          <w:rFonts w:eastAsia="Times New Roman" w:cs="Times New Roman"/>
          <w:szCs w:val="28"/>
          <w:lang w:eastAsia="lv-LV"/>
        </w:rPr>
        <w:t>, kas nosaka neatkarīga eksperta kompetences prasības un kompetences apliecināšanas kārtību.</w:t>
      </w:r>
      <w:r w:rsidR="002B5FC8" w:rsidRPr="001E48AC">
        <w:rPr>
          <w:rFonts w:eastAsia="Times New Roman" w:cs="Times New Roman"/>
          <w:szCs w:val="28"/>
          <w:lang w:eastAsia="lv-LV"/>
        </w:rPr>
        <w:t xml:space="preserve"> </w:t>
      </w:r>
      <w:r w:rsidR="002266A9" w:rsidRPr="001E48AC">
        <w:rPr>
          <w:rFonts w:eastAsia="Times New Roman" w:cs="Times New Roman"/>
          <w:szCs w:val="28"/>
          <w:lang w:eastAsia="lv-LV"/>
        </w:rPr>
        <w:lastRenderedPageBreak/>
        <w:t xml:space="preserve">Ekonomikas ministrija un Būvniecības valsts kontroles birojs uztur publiski pieejamu </w:t>
      </w:r>
      <w:r w:rsidR="002266A9" w:rsidRPr="001E48AC">
        <w:rPr>
          <w:rFonts w:cs="Times New Roman"/>
          <w:szCs w:val="28"/>
        </w:rPr>
        <w:t>n</w:t>
      </w:r>
      <w:r w:rsidRPr="001E48AC">
        <w:rPr>
          <w:rFonts w:cs="Times New Roman"/>
          <w:szCs w:val="28"/>
        </w:rPr>
        <w:t xml:space="preserve">eatkarīgo ekspertu </w:t>
      </w:r>
      <w:r w:rsidR="002266A9" w:rsidRPr="001E48AC">
        <w:rPr>
          <w:rFonts w:cs="Times New Roman"/>
          <w:szCs w:val="28"/>
        </w:rPr>
        <w:t>reģistru</w:t>
      </w:r>
      <w:r w:rsidR="002266A9" w:rsidRPr="001E48AC">
        <w:rPr>
          <w:rStyle w:val="FootnoteReference"/>
          <w:rFonts w:cs="Times New Roman"/>
          <w:szCs w:val="28"/>
        </w:rPr>
        <w:footnoteReference w:id="23"/>
      </w:r>
      <w:r w:rsidR="001D3038" w:rsidRPr="001E48AC">
        <w:rPr>
          <w:rFonts w:cs="Times New Roman"/>
          <w:szCs w:val="28"/>
        </w:rPr>
        <w:t>.</w:t>
      </w:r>
      <w:r w:rsidRPr="001E48AC">
        <w:rPr>
          <w:rFonts w:cs="Times New Roman"/>
          <w:szCs w:val="28"/>
        </w:rPr>
        <w:t xml:space="preserve"> </w:t>
      </w:r>
    </w:p>
    <w:p w14:paraId="35DB53D3" w14:textId="5D5BD32F" w:rsidR="00BE2832" w:rsidRPr="001E48AC" w:rsidRDefault="00B26046" w:rsidP="001D3038">
      <w:pPr>
        <w:spacing w:after="0" w:line="240" w:lineRule="auto"/>
        <w:ind w:firstLine="720"/>
        <w:jc w:val="both"/>
        <w:rPr>
          <w:rFonts w:cs="Times New Roman"/>
          <w:szCs w:val="28"/>
        </w:rPr>
      </w:pPr>
      <w:r w:rsidRPr="001E48AC">
        <w:rPr>
          <w:rFonts w:cs="Times New Roman"/>
          <w:szCs w:val="28"/>
        </w:rPr>
        <w:t xml:space="preserve">Atbilstoši Energoefektivitātes likuma   </w:t>
      </w:r>
      <w:r w:rsidR="002B5FC8" w:rsidRPr="001E48AC">
        <w:rPr>
          <w:rFonts w:cs="Times New Roman"/>
          <w:szCs w:val="28"/>
        </w:rPr>
        <w:t>10.</w:t>
      </w:r>
      <w:r w:rsidRPr="001E48AC">
        <w:rPr>
          <w:rFonts w:cs="Times New Roman"/>
          <w:szCs w:val="28"/>
        </w:rPr>
        <w:t xml:space="preserve">panta </w:t>
      </w:r>
      <w:r w:rsidR="002B5FC8" w:rsidRPr="001E48AC">
        <w:rPr>
          <w:rFonts w:cs="Times New Roman"/>
          <w:szCs w:val="28"/>
        </w:rPr>
        <w:t xml:space="preserve">otrās daļas </w:t>
      </w:r>
      <w:r w:rsidRPr="001E48AC">
        <w:rPr>
          <w:rFonts w:cs="Times New Roman"/>
          <w:szCs w:val="28"/>
        </w:rPr>
        <w:t>prasībām, CSP ir</w:t>
      </w:r>
      <w:r w:rsidR="00A23DC4" w:rsidRPr="001E48AC">
        <w:rPr>
          <w:rFonts w:cs="Times New Roman"/>
          <w:szCs w:val="28"/>
        </w:rPr>
        <w:t xml:space="preserve"> izstrādā</w:t>
      </w:r>
      <w:r w:rsidRPr="001E48AC">
        <w:rPr>
          <w:rFonts w:cs="Times New Roman"/>
          <w:szCs w:val="28"/>
        </w:rPr>
        <w:t>jusi un Ekonomikas ministrija savā tīmekļa vietnē publicējusi</w:t>
      </w:r>
      <w:r w:rsidR="00A23DC4" w:rsidRPr="001E48AC">
        <w:rPr>
          <w:rFonts w:cs="Times New Roman"/>
          <w:szCs w:val="28"/>
        </w:rPr>
        <w:t xml:space="preserve"> to lielo </w:t>
      </w:r>
      <w:r w:rsidR="00763EDA" w:rsidRPr="001E48AC">
        <w:rPr>
          <w:rFonts w:cs="Times New Roman"/>
          <w:szCs w:val="28"/>
        </w:rPr>
        <w:t xml:space="preserve">uzņēmumu </w:t>
      </w:r>
      <w:r w:rsidR="00A23DC4" w:rsidRPr="001E48AC">
        <w:rPr>
          <w:rFonts w:cs="Times New Roman"/>
          <w:szCs w:val="28"/>
        </w:rPr>
        <w:t>sarakstu</w:t>
      </w:r>
      <w:r w:rsidR="002B5FC8" w:rsidRPr="001E48AC">
        <w:rPr>
          <w:rStyle w:val="FootnoteReference"/>
          <w:rFonts w:cs="Times New Roman"/>
          <w:szCs w:val="28"/>
        </w:rPr>
        <w:footnoteReference w:id="24"/>
      </w:r>
      <w:r w:rsidR="00A23DC4" w:rsidRPr="001E48AC">
        <w:rPr>
          <w:rFonts w:cs="Times New Roman"/>
          <w:szCs w:val="28"/>
        </w:rPr>
        <w:t xml:space="preserve">, kuriem </w:t>
      </w:r>
      <w:r w:rsidRPr="001E48AC">
        <w:rPr>
          <w:rFonts w:cs="Times New Roman"/>
          <w:szCs w:val="28"/>
        </w:rPr>
        <w:t>ir</w:t>
      </w:r>
      <w:r w:rsidR="00A23DC4" w:rsidRPr="001E48AC">
        <w:rPr>
          <w:rFonts w:cs="Times New Roman"/>
          <w:szCs w:val="28"/>
        </w:rPr>
        <w:t xml:space="preserve">  pienākums veikt obligātu energoauditu</w:t>
      </w:r>
      <w:r w:rsidRPr="001E48AC">
        <w:rPr>
          <w:rFonts w:cs="Times New Roman"/>
          <w:szCs w:val="28"/>
        </w:rPr>
        <w:t xml:space="preserve"> vai ieviest sertificētu energopārvaldības sistēmu.</w:t>
      </w:r>
      <w:r w:rsidR="00763EDA" w:rsidRPr="001E48AC">
        <w:rPr>
          <w:rFonts w:cs="Times New Roman"/>
          <w:szCs w:val="28"/>
        </w:rPr>
        <w:t xml:space="preserve"> Uz 2016.gada 1.decembri Latvijā bija 234 lielie uzņēmumi.  </w:t>
      </w:r>
    </w:p>
    <w:p w14:paraId="195D2860" w14:textId="1BE185EB" w:rsidR="006323E3" w:rsidRPr="001E48AC" w:rsidRDefault="006323E3" w:rsidP="00BE2832">
      <w:pPr>
        <w:spacing w:after="0" w:line="240" w:lineRule="auto"/>
        <w:ind w:firstLine="720"/>
        <w:jc w:val="both"/>
        <w:rPr>
          <w:rFonts w:cs="Times New Roman"/>
          <w:szCs w:val="28"/>
        </w:rPr>
      </w:pPr>
      <w:r w:rsidRPr="001E48AC">
        <w:rPr>
          <w:rFonts w:cs="Times New Roman"/>
          <w:szCs w:val="28"/>
        </w:rPr>
        <w:t>Atbilstoši Energoefektivitātes likuma</w:t>
      </w:r>
      <w:r w:rsidR="00763EDA" w:rsidRPr="001E48AC">
        <w:rPr>
          <w:rFonts w:cs="Times New Roman"/>
          <w:szCs w:val="28"/>
        </w:rPr>
        <w:t>m</w:t>
      </w:r>
      <w:r w:rsidRPr="001E48AC">
        <w:rPr>
          <w:rFonts w:cs="Times New Roman"/>
          <w:szCs w:val="28"/>
        </w:rPr>
        <w:t xml:space="preserve"> </w:t>
      </w:r>
      <w:r w:rsidR="00763EDA" w:rsidRPr="001E48AC">
        <w:rPr>
          <w:rFonts w:cs="Times New Roman"/>
          <w:szCs w:val="28"/>
        </w:rPr>
        <w:t xml:space="preserve">Latvijā </w:t>
      </w:r>
      <w:r w:rsidRPr="001E48AC">
        <w:rPr>
          <w:rFonts w:cs="Times New Roman"/>
          <w:szCs w:val="28"/>
        </w:rPr>
        <w:t xml:space="preserve"> pirmais </w:t>
      </w:r>
      <w:r w:rsidR="00DE4A45" w:rsidRPr="001E48AC">
        <w:rPr>
          <w:rFonts w:cs="Times New Roman"/>
          <w:szCs w:val="28"/>
        </w:rPr>
        <w:t>obligātais energoaudits lielajam uzņēmumam ir jāveic</w:t>
      </w:r>
      <w:r w:rsidR="00763EDA" w:rsidRPr="001E48AC">
        <w:rPr>
          <w:rFonts w:cs="Times New Roman"/>
          <w:szCs w:val="28"/>
        </w:rPr>
        <w:t xml:space="preserve"> vai energopārvaldības sistēma jāsertificē</w:t>
      </w:r>
      <w:r w:rsidR="00DE4A45" w:rsidRPr="001E48AC">
        <w:rPr>
          <w:rFonts w:cs="Times New Roman"/>
          <w:szCs w:val="28"/>
        </w:rPr>
        <w:t xml:space="preserve"> gada laikā pēc uzņēmuma iekļaušanas lielo uzņēmumu sarakstā, t.i</w:t>
      </w:r>
      <w:r w:rsidR="00F473C8" w:rsidRPr="001E48AC">
        <w:rPr>
          <w:rFonts w:cs="Times New Roman"/>
          <w:szCs w:val="28"/>
        </w:rPr>
        <w:t>.</w:t>
      </w:r>
      <w:r w:rsidR="00DE4A45" w:rsidRPr="001E48AC">
        <w:rPr>
          <w:rFonts w:cs="Times New Roman"/>
          <w:szCs w:val="28"/>
        </w:rPr>
        <w:t xml:space="preserve"> līdz 2017.gada 1.decembrim</w:t>
      </w:r>
      <w:r w:rsidR="00763EDA" w:rsidRPr="001E48AC">
        <w:rPr>
          <w:rFonts w:cs="Times New Roman"/>
          <w:szCs w:val="28"/>
        </w:rPr>
        <w:t xml:space="preserve">, bet </w:t>
      </w:r>
      <w:r w:rsidR="00DE4A45" w:rsidRPr="001E48AC">
        <w:rPr>
          <w:rFonts w:cs="Times New Roman"/>
          <w:szCs w:val="28"/>
        </w:rPr>
        <w:t xml:space="preserve"> lielajam elektroenerģijas patērētājam </w:t>
      </w:r>
      <w:r w:rsidR="00763EDA" w:rsidRPr="001E48AC">
        <w:rPr>
          <w:rFonts w:cs="Times New Roman"/>
          <w:szCs w:val="28"/>
        </w:rPr>
        <w:t>energoaudits jāveic</w:t>
      </w:r>
      <w:r w:rsidR="00763EDA" w:rsidRPr="001E48AC">
        <w:t xml:space="preserve"> </w:t>
      </w:r>
      <w:r w:rsidR="00763EDA" w:rsidRPr="001E48AC">
        <w:rPr>
          <w:rFonts w:cs="Times New Roman"/>
          <w:szCs w:val="28"/>
        </w:rPr>
        <w:t xml:space="preserve">vai energopārvaldības sistēma jāsertificē </w:t>
      </w:r>
      <w:r w:rsidR="00DE4A45" w:rsidRPr="001E48AC">
        <w:rPr>
          <w:rFonts w:cs="Times New Roman"/>
          <w:szCs w:val="28"/>
        </w:rPr>
        <w:t>līdz 2018.gada 1.aprīlim.</w:t>
      </w:r>
    </w:p>
    <w:p w14:paraId="25E2B73B" w14:textId="77777777" w:rsidR="00DE4A45" w:rsidRPr="001E48AC" w:rsidRDefault="00DE4A45" w:rsidP="00A23DC4">
      <w:pPr>
        <w:spacing w:after="0" w:line="240" w:lineRule="auto"/>
        <w:jc w:val="both"/>
        <w:rPr>
          <w:rFonts w:cs="Times New Roman"/>
          <w:szCs w:val="28"/>
        </w:rPr>
      </w:pPr>
    </w:p>
    <w:p w14:paraId="059C096F" w14:textId="716E55E2" w:rsidR="00DE4A45" w:rsidRPr="001E48AC" w:rsidRDefault="00763EDA" w:rsidP="00A23DC4">
      <w:pPr>
        <w:spacing w:after="0" w:line="240" w:lineRule="auto"/>
        <w:jc w:val="both"/>
        <w:rPr>
          <w:rFonts w:cs="Times New Roman"/>
          <w:b/>
          <w:szCs w:val="28"/>
        </w:rPr>
      </w:pPr>
      <w:r w:rsidRPr="001E48AC">
        <w:rPr>
          <w:rFonts w:cs="Times New Roman"/>
          <w:b/>
          <w:szCs w:val="28"/>
        </w:rPr>
        <w:t>8.tabula. U</w:t>
      </w:r>
      <w:r w:rsidR="00DE4A45" w:rsidRPr="001E48AC">
        <w:rPr>
          <w:rFonts w:cs="Times New Roman"/>
          <w:b/>
          <w:szCs w:val="28"/>
        </w:rPr>
        <w:t>zņēmumu skaits, kas ziņojuši par</w:t>
      </w:r>
      <w:r w:rsidRPr="001E48AC">
        <w:rPr>
          <w:rFonts w:cs="Times New Roman"/>
          <w:b/>
          <w:szCs w:val="28"/>
        </w:rPr>
        <w:t xml:space="preserve"> energoaudita veikšanu vai energopārvaldības sistēmas ieviešanu</w:t>
      </w:r>
    </w:p>
    <w:tbl>
      <w:tblPr>
        <w:tblStyle w:val="TableGrid"/>
        <w:tblW w:w="0" w:type="auto"/>
        <w:tblLook w:val="04A0" w:firstRow="1" w:lastRow="0" w:firstColumn="1" w:lastColumn="0" w:noHBand="0" w:noVBand="1"/>
      </w:tblPr>
      <w:tblGrid>
        <w:gridCol w:w="3005"/>
        <w:gridCol w:w="3005"/>
        <w:gridCol w:w="3006"/>
      </w:tblGrid>
      <w:tr w:rsidR="006323E3" w:rsidRPr="001E48AC" w14:paraId="1B48D251" w14:textId="77777777" w:rsidTr="006323E3">
        <w:tc>
          <w:tcPr>
            <w:tcW w:w="3005" w:type="dxa"/>
          </w:tcPr>
          <w:p w14:paraId="2276A6AE" w14:textId="77777777" w:rsidR="006323E3" w:rsidRPr="001E48AC" w:rsidRDefault="006323E3" w:rsidP="00A23DC4">
            <w:pPr>
              <w:jc w:val="both"/>
              <w:rPr>
                <w:rFonts w:cs="Times New Roman"/>
                <w:szCs w:val="28"/>
              </w:rPr>
            </w:pPr>
          </w:p>
        </w:tc>
        <w:tc>
          <w:tcPr>
            <w:tcW w:w="3005" w:type="dxa"/>
          </w:tcPr>
          <w:p w14:paraId="3CE51AAE" w14:textId="77777777" w:rsidR="006323E3" w:rsidRPr="001E48AC" w:rsidRDefault="006323E3" w:rsidP="00A23DC4">
            <w:pPr>
              <w:jc w:val="both"/>
              <w:rPr>
                <w:rFonts w:cs="Times New Roman"/>
                <w:szCs w:val="28"/>
              </w:rPr>
            </w:pPr>
            <w:r w:rsidRPr="001E48AC">
              <w:rPr>
                <w:rFonts w:cs="Times New Roman"/>
                <w:szCs w:val="28"/>
              </w:rPr>
              <w:t>Lielie uzņēmumi</w:t>
            </w:r>
          </w:p>
        </w:tc>
        <w:tc>
          <w:tcPr>
            <w:tcW w:w="3006" w:type="dxa"/>
          </w:tcPr>
          <w:p w14:paraId="3C3D6B44" w14:textId="77777777" w:rsidR="006323E3" w:rsidRPr="001E48AC" w:rsidRDefault="006323E3" w:rsidP="00A23DC4">
            <w:pPr>
              <w:jc w:val="both"/>
              <w:rPr>
                <w:rFonts w:cs="Times New Roman"/>
                <w:szCs w:val="28"/>
              </w:rPr>
            </w:pPr>
            <w:r w:rsidRPr="001E48AC">
              <w:rPr>
                <w:rFonts w:cs="Times New Roman"/>
                <w:szCs w:val="28"/>
              </w:rPr>
              <w:t>Lielie elektroenerģijas patērētāji</w:t>
            </w:r>
          </w:p>
        </w:tc>
      </w:tr>
      <w:tr w:rsidR="006323E3" w:rsidRPr="001E48AC" w14:paraId="34ED19CB" w14:textId="77777777" w:rsidTr="006323E3">
        <w:tc>
          <w:tcPr>
            <w:tcW w:w="3005" w:type="dxa"/>
          </w:tcPr>
          <w:p w14:paraId="53B93342" w14:textId="77777777" w:rsidR="006323E3" w:rsidRPr="001E48AC" w:rsidRDefault="006323E3" w:rsidP="00A23DC4">
            <w:pPr>
              <w:jc w:val="both"/>
              <w:rPr>
                <w:rFonts w:cs="Times New Roman"/>
                <w:szCs w:val="28"/>
              </w:rPr>
            </w:pPr>
            <w:r w:rsidRPr="001E48AC">
              <w:rPr>
                <w:rFonts w:cs="Times New Roman"/>
                <w:szCs w:val="28"/>
              </w:rPr>
              <w:t>Veikts energoaudits</w:t>
            </w:r>
          </w:p>
        </w:tc>
        <w:tc>
          <w:tcPr>
            <w:tcW w:w="3005" w:type="dxa"/>
          </w:tcPr>
          <w:p w14:paraId="02F04FE9" w14:textId="77777777" w:rsidR="006323E3" w:rsidRPr="001E48AC" w:rsidRDefault="006323E3" w:rsidP="00A23DC4">
            <w:pPr>
              <w:jc w:val="both"/>
              <w:rPr>
                <w:rFonts w:cs="Times New Roman"/>
                <w:szCs w:val="28"/>
              </w:rPr>
            </w:pPr>
            <w:r w:rsidRPr="001E48AC">
              <w:rPr>
                <w:rFonts w:cs="Times New Roman"/>
                <w:szCs w:val="28"/>
              </w:rPr>
              <w:t>36</w:t>
            </w:r>
          </w:p>
        </w:tc>
        <w:tc>
          <w:tcPr>
            <w:tcW w:w="3006" w:type="dxa"/>
          </w:tcPr>
          <w:p w14:paraId="58364475" w14:textId="77777777" w:rsidR="006323E3" w:rsidRPr="001E48AC" w:rsidRDefault="006323E3" w:rsidP="00A23DC4">
            <w:pPr>
              <w:jc w:val="both"/>
              <w:rPr>
                <w:rFonts w:cs="Times New Roman"/>
                <w:szCs w:val="28"/>
              </w:rPr>
            </w:pPr>
            <w:r w:rsidRPr="001E48AC">
              <w:rPr>
                <w:rFonts w:cs="Times New Roman"/>
                <w:szCs w:val="28"/>
              </w:rPr>
              <w:t>8</w:t>
            </w:r>
          </w:p>
        </w:tc>
      </w:tr>
      <w:tr w:rsidR="006323E3" w:rsidRPr="001E48AC" w14:paraId="164BD5C4" w14:textId="77777777" w:rsidTr="006323E3">
        <w:tc>
          <w:tcPr>
            <w:tcW w:w="3005" w:type="dxa"/>
          </w:tcPr>
          <w:p w14:paraId="070350B3" w14:textId="77777777" w:rsidR="006323E3" w:rsidRPr="001E48AC" w:rsidRDefault="006323E3" w:rsidP="00A23DC4">
            <w:pPr>
              <w:jc w:val="both"/>
              <w:rPr>
                <w:rFonts w:cs="Times New Roman"/>
                <w:szCs w:val="28"/>
              </w:rPr>
            </w:pPr>
            <w:r w:rsidRPr="001E48AC">
              <w:rPr>
                <w:rFonts w:cs="Times New Roman"/>
                <w:szCs w:val="28"/>
              </w:rPr>
              <w:t>Ieviesta sertificēta energopārvaldības sistēma</w:t>
            </w:r>
          </w:p>
        </w:tc>
        <w:tc>
          <w:tcPr>
            <w:tcW w:w="3005" w:type="dxa"/>
          </w:tcPr>
          <w:p w14:paraId="253B8F3D" w14:textId="77777777" w:rsidR="006323E3" w:rsidRPr="001E48AC" w:rsidRDefault="006323E3" w:rsidP="00A23DC4">
            <w:pPr>
              <w:jc w:val="both"/>
              <w:rPr>
                <w:rFonts w:cs="Times New Roman"/>
                <w:szCs w:val="28"/>
              </w:rPr>
            </w:pPr>
            <w:r w:rsidRPr="001E48AC">
              <w:rPr>
                <w:rFonts w:cs="Times New Roman"/>
                <w:szCs w:val="28"/>
              </w:rPr>
              <w:t>46</w:t>
            </w:r>
          </w:p>
        </w:tc>
        <w:tc>
          <w:tcPr>
            <w:tcW w:w="3006" w:type="dxa"/>
          </w:tcPr>
          <w:p w14:paraId="78F2D114" w14:textId="77777777" w:rsidR="006323E3" w:rsidRPr="001E48AC" w:rsidRDefault="006323E3" w:rsidP="00A23DC4">
            <w:pPr>
              <w:jc w:val="both"/>
              <w:rPr>
                <w:rFonts w:cs="Times New Roman"/>
                <w:szCs w:val="28"/>
              </w:rPr>
            </w:pPr>
            <w:r w:rsidRPr="001E48AC">
              <w:rPr>
                <w:rFonts w:cs="Times New Roman"/>
                <w:szCs w:val="28"/>
              </w:rPr>
              <w:t>12</w:t>
            </w:r>
          </w:p>
        </w:tc>
      </w:tr>
      <w:tr w:rsidR="006323E3" w:rsidRPr="001E48AC" w14:paraId="131B7B9B" w14:textId="77777777" w:rsidTr="006323E3">
        <w:tc>
          <w:tcPr>
            <w:tcW w:w="3005" w:type="dxa"/>
          </w:tcPr>
          <w:p w14:paraId="76549073" w14:textId="77777777" w:rsidR="006323E3" w:rsidRPr="001E48AC" w:rsidRDefault="006323E3" w:rsidP="00A23DC4">
            <w:pPr>
              <w:jc w:val="both"/>
              <w:rPr>
                <w:rFonts w:cs="Times New Roman"/>
                <w:szCs w:val="28"/>
              </w:rPr>
            </w:pPr>
            <w:r w:rsidRPr="001E48AC">
              <w:rPr>
                <w:rFonts w:cs="Times New Roman"/>
                <w:szCs w:val="28"/>
              </w:rPr>
              <w:t>papildināta sertificēta vides vadības sistēma</w:t>
            </w:r>
          </w:p>
        </w:tc>
        <w:tc>
          <w:tcPr>
            <w:tcW w:w="3005" w:type="dxa"/>
          </w:tcPr>
          <w:p w14:paraId="25367A39" w14:textId="77777777" w:rsidR="006323E3" w:rsidRPr="001E48AC" w:rsidRDefault="006323E3" w:rsidP="00A23DC4">
            <w:pPr>
              <w:jc w:val="both"/>
              <w:rPr>
                <w:rFonts w:cs="Times New Roman"/>
                <w:szCs w:val="28"/>
              </w:rPr>
            </w:pPr>
            <w:r w:rsidRPr="001E48AC">
              <w:rPr>
                <w:rFonts w:cs="Times New Roman"/>
                <w:szCs w:val="28"/>
              </w:rPr>
              <w:t>11</w:t>
            </w:r>
          </w:p>
        </w:tc>
        <w:tc>
          <w:tcPr>
            <w:tcW w:w="3006" w:type="dxa"/>
          </w:tcPr>
          <w:p w14:paraId="35FBACA8" w14:textId="77777777" w:rsidR="006323E3" w:rsidRPr="001E48AC" w:rsidRDefault="006323E3" w:rsidP="00A23DC4">
            <w:pPr>
              <w:jc w:val="both"/>
              <w:rPr>
                <w:rFonts w:cs="Times New Roman"/>
                <w:szCs w:val="28"/>
              </w:rPr>
            </w:pPr>
            <w:r w:rsidRPr="001E48AC">
              <w:rPr>
                <w:rFonts w:cs="Times New Roman"/>
                <w:szCs w:val="28"/>
              </w:rPr>
              <w:t>1</w:t>
            </w:r>
          </w:p>
        </w:tc>
      </w:tr>
      <w:tr w:rsidR="006323E3" w:rsidRPr="001E48AC" w14:paraId="7BE044F6" w14:textId="77777777" w:rsidTr="006323E3">
        <w:tc>
          <w:tcPr>
            <w:tcW w:w="3005" w:type="dxa"/>
          </w:tcPr>
          <w:p w14:paraId="2061A33B" w14:textId="77777777" w:rsidR="006323E3" w:rsidRPr="001E48AC" w:rsidRDefault="00DE4A45" w:rsidP="00A23DC4">
            <w:pPr>
              <w:jc w:val="both"/>
              <w:rPr>
                <w:rFonts w:cs="Times New Roman"/>
                <w:szCs w:val="28"/>
              </w:rPr>
            </w:pPr>
            <w:r w:rsidRPr="001E48AC">
              <w:rPr>
                <w:rFonts w:cs="Times New Roman"/>
                <w:szCs w:val="28"/>
              </w:rPr>
              <w:t>Kopā:</w:t>
            </w:r>
          </w:p>
        </w:tc>
        <w:tc>
          <w:tcPr>
            <w:tcW w:w="3005" w:type="dxa"/>
          </w:tcPr>
          <w:p w14:paraId="5CBFD191" w14:textId="77777777" w:rsidR="006323E3" w:rsidRPr="001E48AC" w:rsidRDefault="00DE4A45" w:rsidP="00A23DC4">
            <w:pPr>
              <w:jc w:val="both"/>
              <w:rPr>
                <w:rFonts w:cs="Times New Roman"/>
                <w:szCs w:val="28"/>
              </w:rPr>
            </w:pPr>
            <w:r w:rsidRPr="001E48AC">
              <w:rPr>
                <w:rFonts w:cs="Times New Roman"/>
                <w:szCs w:val="28"/>
              </w:rPr>
              <w:t>93</w:t>
            </w:r>
          </w:p>
        </w:tc>
        <w:tc>
          <w:tcPr>
            <w:tcW w:w="3006" w:type="dxa"/>
          </w:tcPr>
          <w:p w14:paraId="45D79E4A" w14:textId="77777777" w:rsidR="006323E3" w:rsidRPr="001E48AC" w:rsidRDefault="00DE4A45" w:rsidP="00A23DC4">
            <w:pPr>
              <w:jc w:val="both"/>
              <w:rPr>
                <w:rFonts w:cs="Times New Roman"/>
                <w:szCs w:val="28"/>
              </w:rPr>
            </w:pPr>
            <w:r w:rsidRPr="001E48AC">
              <w:rPr>
                <w:rFonts w:cs="Times New Roman"/>
                <w:szCs w:val="28"/>
              </w:rPr>
              <w:t>21</w:t>
            </w:r>
          </w:p>
        </w:tc>
      </w:tr>
    </w:tbl>
    <w:p w14:paraId="1E271508" w14:textId="0C38DCFF" w:rsidR="00FA69C4" w:rsidRPr="001E48AC" w:rsidRDefault="00AA70E3" w:rsidP="007942A4">
      <w:pPr>
        <w:pStyle w:val="Heading3"/>
        <w:rPr>
          <w:rStyle w:val="Heading3Char"/>
          <w:b/>
          <w:bCs/>
          <w:color w:val="auto"/>
        </w:rPr>
      </w:pPr>
      <w:bookmarkStart w:id="26" w:name="_Toc482711533"/>
      <w:r w:rsidRPr="001E48AC">
        <w:rPr>
          <w:rStyle w:val="Heading3Char"/>
          <w:b/>
          <w:bCs/>
          <w:color w:val="auto"/>
        </w:rPr>
        <w:t>3.1.</w:t>
      </w:r>
      <w:r w:rsidR="004D5351" w:rsidRPr="001E48AC">
        <w:rPr>
          <w:rStyle w:val="Heading3Char"/>
          <w:b/>
          <w:bCs/>
          <w:color w:val="auto"/>
        </w:rPr>
        <w:t>9</w:t>
      </w:r>
      <w:r w:rsidRPr="001E48AC">
        <w:rPr>
          <w:rStyle w:val="Heading3Char"/>
          <w:b/>
          <w:bCs/>
          <w:color w:val="auto"/>
        </w:rPr>
        <w:t>. Uzskaite un rēķinu izrakstīšana</w:t>
      </w:r>
      <w:bookmarkEnd w:id="26"/>
    </w:p>
    <w:p w14:paraId="5C5E922C" w14:textId="5F6A3060" w:rsidR="008A2170" w:rsidRPr="001E48AC" w:rsidRDefault="00E17151" w:rsidP="001D3038">
      <w:pPr>
        <w:spacing w:after="0" w:line="240" w:lineRule="auto"/>
        <w:jc w:val="both"/>
        <w:rPr>
          <w:szCs w:val="28"/>
          <w:lang w:eastAsia="lv-LV"/>
        </w:rPr>
      </w:pPr>
      <w:r w:rsidRPr="001E48AC">
        <w:rPr>
          <w:lang w:eastAsia="lv-LV"/>
        </w:rPr>
        <w:tab/>
      </w:r>
      <w:r w:rsidR="008A2170" w:rsidRPr="001E48AC">
        <w:rPr>
          <w:lang w:eastAsia="lv-LV"/>
        </w:rPr>
        <w:t>Enerģētikas Pamatnostādnēs</w:t>
      </w:r>
      <w:r w:rsidR="00763EDA" w:rsidRPr="001E48AC">
        <w:rPr>
          <w:lang w:eastAsia="lv-LV"/>
        </w:rPr>
        <w:t xml:space="preserve"> 2020</w:t>
      </w:r>
      <w:r w:rsidR="008A2170" w:rsidRPr="001E48AC">
        <w:rPr>
          <w:lang w:eastAsia="lv-LV"/>
        </w:rPr>
        <w:t xml:space="preserve"> kā viens no rīcības virzieniem mērķu sasniegšanai ir ietverta sabiedrības informēšana un izglītošana par energoefektivitātes lietderību, tostarp,  </w:t>
      </w:r>
      <w:r w:rsidR="008A2170" w:rsidRPr="001E48AC">
        <w:rPr>
          <w:rFonts w:cs="Times New Roman"/>
          <w:szCs w:val="28"/>
        </w:rPr>
        <w:t>veicinot viedo enerģijas skaitītāju ieviešanu, palielinot patērētāju izpratni par savu enerģijas patēriņu un radot iespēju to regulēt un samazināt patērēto energoresursu daudzumu.</w:t>
      </w:r>
    </w:p>
    <w:p w14:paraId="7FCB308B" w14:textId="65F56184" w:rsidR="00FF479F" w:rsidRPr="001E48AC" w:rsidRDefault="00E17151" w:rsidP="001D3038">
      <w:pPr>
        <w:pStyle w:val="NormalWeb"/>
        <w:shd w:val="clear" w:color="auto" w:fill="FFFFFF"/>
        <w:spacing w:before="0" w:beforeAutospacing="0" w:after="0" w:afterAutospacing="0"/>
        <w:jc w:val="both"/>
        <w:rPr>
          <w:spacing w:val="2"/>
          <w:sz w:val="28"/>
          <w:szCs w:val="28"/>
        </w:rPr>
      </w:pPr>
      <w:r w:rsidRPr="001E48AC">
        <w:tab/>
      </w:r>
      <w:r w:rsidR="000A6AF6" w:rsidRPr="001E48AC">
        <w:rPr>
          <w:rFonts w:ascii="Arial" w:hAnsi="Arial" w:cs="Arial"/>
          <w:spacing w:val="2"/>
        </w:rPr>
        <w:t xml:space="preserve"> </w:t>
      </w:r>
      <w:r w:rsidR="000A6AF6" w:rsidRPr="001E48AC">
        <w:rPr>
          <w:spacing w:val="2"/>
          <w:sz w:val="28"/>
          <w:szCs w:val="28"/>
        </w:rPr>
        <w:t>Šobrīd Latvijā AS ‘Sadales tīkls” viedos elektroenerģijas skaitītājus ir uzstādījis vairāk nekā 280 000 gan juridisko personu, gan mājsaimniecību objektos. 2017.gadā plānots uzstādīt 110 000 viedo skaitītāju. Viedie skaitītāji ļauj attālināti un operatīvi iegūt informāciju par klientu elektroenerģijas patēriņu un rādījumiem.</w:t>
      </w:r>
    </w:p>
    <w:p w14:paraId="633D215C" w14:textId="66D42F9B" w:rsidR="00FF479F" w:rsidRPr="001E48AC" w:rsidRDefault="00FF479F" w:rsidP="007942A4">
      <w:pPr>
        <w:pStyle w:val="NormalWeb"/>
        <w:shd w:val="clear" w:color="auto" w:fill="FFFFFF"/>
        <w:spacing w:before="0" w:beforeAutospacing="0" w:after="0" w:afterAutospacing="0"/>
        <w:jc w:val="center"/>
        <w:rPr>
          <w:b/>
          <w:spacing w:val="2"/>
          <w:sz w:val="28"/>
          <w:szCs w:val="28"/>
        </w:rPr>
      </w:pPr>
      <w:r w:rsidRPr="001E48AC">
        <w:rPr>
          <w:noProof/>
        </w:rPr>
        <w:lastRenderedPageBreak/>
        <w:drawing>
          <wp:inline distT="0" distB="0" distL="0" distR="0" wp14:anchorId="7EF7E871" wp14:editId="1F141365">
            <wp:extent cx="5457825" cy="1885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25" cy="1885950"/>
                    </a:xfrm>
                    <a:prstGeom prst="rect">
                      <a:avLst/>
                    </a:prstGeom>
                    <a:noFill/>
                    <a:ln>
                      <a:noFill/>
                    </a:ln>
                  </pic:spPr>
                </pic:pic>
              </a:graphicData>
            </a:graphic>
          </wp:inline>
        </w:drawing>
      </w:r>
      <w:r w:rsidR="0049459E" w:rsidRPr="001E48AC">
        <w:rPr>
          <w:b/>
          <w:spacing w:val="2"/>
          <w:sz w:val="28"/>
          <w:szCs w:val="28"/>
        </w:rPr>
        <w:t>3.a</w:t>
      </w:r>
      <w:r w:rsidRPr="001E48AC">
        <w:rPr>
          <w:b/>
          <w:spacing w:val="2"/>
          <w:sz w:val="28"/>
          <w:szCs w:val="28"/>
        </w:rPr>
        <w:t>ttēls</w:t>
      </w:r>
      <w:r w:rsidR="0049459E" w:rsidRPr="001E48AC">
        <w:rPr>
          <w:b/>
          <w:spacing w:val="2"/>
          <w:sz w:val="28"/>
          <w:szCs w:val="28"/>
        </w:rPr>
        <w:t>. AS Sadales tīkls f</w:t>
      </w:r>
      <w:r w:rsidRPr="001E48AC">
        <w:rPr>
          <w:b/>
          <w:spacing w:val="2"/>
          <w:sz w:val="28"/>
          <w:szCs w:val="28"/>
        </w:rPr>
        <w:t>aktiski uzstādīto un uzstādīt plānoto viedo skaitītāju skaits</w:t>
      </w:r>
    </w:p>
    <w:p w14:paraId="0D52CCFE" w14:textId="77777777" w:rsidR="001D3038" w:rsidRPr="001E48AC" w:rsidRDefault="001D3038" w:rsidP="001D3038">
      <w:pPr>
        <w:pStyle w:val="NormalWeb"/>
        <w:shd w:val="clear" w:color="auto" w:fill="FFFFFF"/>
        <w:spacing w:before="0" w:beforeAutospacing="0" w:after="0" w:afterAutospacing="0"/>
        <w:jc w:val="both"/>
        <w:rPr>
          <w:spacing w:val="2"/>
          <w:sz w:val="28"/>
          <w:szCs w:val="28"/>
        </w:rPr>
      </w:pPr>
    </w:p>
    <w:p w14:paraId="067D8DB7" w14:textId="6F0426D6" w:rsidR="00A23DC4" w:rsidRPr="001E48AC" w:rsidRDefault="000A6AF6" w:rsidP="001D3038">
      <w:pPr>
        <w:pStyle w:val="NormalWeb"/>
        <w:shd w:val="clear" w:color="auto" w:fill="FFFFFF"/>
        <w:spacing w:before="0" w:beforeAutospacing="0" w:after="0" w:afterAutospacing="0"/>
        <w:ind w:firstLine="720"/>
        <w:jc w:val="both"/>
        <w:rPr>
          <w:spacing w:val="2"/>
          <w:sz w:val="28"/>
          <w:szCs w:val="28"/>
        </w:rPr>
      </w:pPr>
      <w:r w:rsidRPr="001E48AC">
        <w:rPr>
          <w:spacing w:val="2"/>
          <w:sz w:val="28"/>
          <w:szCs w:val="28"/>
        </w:rPr>
        <w:t>Viedie skaitītāji sniedz iespēju elektroenerģijas tirgotājiem sagatavot rēķinus atbilstoši klienta faktiskajam patēriņam un piedāvāt ne tikai nakts un dienas elektroenerģijas tarifus, bet iespēju veikt norēķinus pēc elektroenerģijas cenas, kas piesaistīta biržai. Detalizētas patēriņa informācijas pieejamība ļauj klientiem izmantot elektroenerģiju daudz efektīvāk, samazinot patēriņu. Viedie elektroenerģijas skaitītāji plānveidīgi tiek uzstādīti klientu objektos, kuri ir pieteikušies elektroenerģijas piedāvājumam, kas ir piesaistīts elektroenerģijas cenai biržā, jo šiem klientiem ir nepieciešami dati par objekta katras stundas elektrības patēriņu, kā arī uzstāda skaitītājus atbilstoši uzņēmuma izstrādātajam skaitītāju modernizācijas plānam, ņemot vērā objektu teritoriālo plānojumu un objektu elektroenerģijas patēriņu.</w:t>
      </w:r>
      <w:r w:rsidR="00DE3DAE" w:rsidRPr="001E48AC">
        <w:rPr>
          <w:spacing w:val="2"/>
          <w:sz w:val="28"/>
          <w:szCs w:val="28"/>
        </w:rPr>
        <w:t xml:space="preserve"> </w:t>
      </w:r>
      <w:r w:rsidR="00A23DC4" w:rsidRPr="001E48AC">
        <w:rPr>
          <w:sz w:val="28"/>
          <w:szCs w:val="28"/>
        </w:rPr>
        <w:t>Lai atbalstītu dinamisku cenu veidošanos, šobrīd elektroenerģijas patērētājiem tiek piedāvāti dažādi tarifu veidi atkarībā no diennakts laika, kad elektroenerģija tiek patērēta. Tāpat tiek ieviestas viedo mēraparātu sistēmas un tiks nodrošināta neto elektroenerģijas uzskaite.</w:t>
      </w:r>
    </w:p>
    <w:p w14:paraId="19B268D8" w14:textId="2247F802" w:rsidR="00A23DC4" w:rsidRPr="001E48AC" w:rsidRDefault="00A23DC4" w:rsidP="001D3038">
      <w:pPr>
        <w:autoSpaceDE w:val="0"/>
        <w:autoSpaceDN w:val="0"/>
        <w:adjustRightInd w:val="0"/>
        <w:spacing w:after="0" w:line="240" w:lineRule="auto"/>
        <w:jc w:val="both"/>
        <w:rPr>
          <w:rFonts w:eastAsiaTheme="majorEastAsia" w:cs="Times New Roman"/>
          <w:bCs/>
          <w:szCs w:val="28"/>
        </w:rPr>
      </w:pPr>
      <w:r w:rsidRPr="001E48AC">
        <w:rPr>
          <w:rFonts w:eastAsiaTheme="majorEastAsia" w:cs="Times New Roman"/>
          <w:bCs/>
          <w:szCs w:val="28"/>
        </w:rPr>
        <w:tab/>
        <w:t>Inovatīvas tehnoloģijas un iekārtas informācijas un komunikāciju jomā, tostarp viedo mērierīču (smart</w:t>
      </w:r>
      <w:r w:rsidR="00DE3DAE" w:rsidRPr="001E48AC">
        <w:rPr>
          <w:rFonts w:eastAsiaTheme="majorEastAsia" w:cs="Times New Roman"/>
          <w:bCs/>
          <w:szCs w:val="28"/>
        </w:rPr>
        <w:t xml:space="preserve"> </w:t>
      </w:r>
      <w:r w:rsidRPr="001E48AC">
        <w:rPr>
          <w:rFonts w:eastAsiaTheme="majorEastAsia" w:cs="Times New Roman"/>
          <w:bCs/>
          <w:szCs w:val="28"/>
        </w:rPr>
        <w:t>metering) un viedo tīklu (smart</w:t>
      </w:r>
      <w:r w:rsidR="00DE3DAE" w:rsidRPr="001E48AC">
        <w:rPr>
          <w:rFonts w:eastAsiaTheme="majorEastAsia" w:cs="Times New Roman"/>
          <w:bCs/>
          <w:szCs w:val="28"/>
        </w:rPr>
        <w:t xml:space="preserve"> </w:t>
      </w:r>
      <w:r w:rsidRPr="001E48AC">
        <w:rPr>
          <w:rFonts w:eastAsiaTheme="majorEastAsia" w:cs="Times New Roman"/>
          <w:bCs/>
          <w:szCs w:val="28"/>
        </w:rPr>
        <w:t>grids) ieviešana ļauj spert nopietnu soli uz viedo pilsētu (SmartCities) veidošanu. Tāds mērķis ir arī Rīgai un citām Latvijas pilsētām.</w:t>
      </w:r>
    </w:p>
    <w:p w14:paraId="3549CB73" w14:textId="69C1B961" w:rsidR="00FA69C4" w:rsidRPr="001E48AC" w:rsidRDefault="00A23DC4" w:rsidP="007942A4">
      <w:pPr>
        <w:pStyle w:val="Heading3"/>
        <w:rPr>
          <w:rStyle w:val="Heading3Char"/>
          <w:b/>
          <w:bCs/>
          <w:color w:val="auto"/>
        </w:rPr>
      </w:pPr>
      <w:r w:rsidRPr="001E48AC">
        <w:rPr>
          <w:rFonts w:cs="Times New Roman"/>
          <w:color w:val="auto"/>
          <w:szCs w:val="28"/>
        </w:rPr>
        <w:tab/>
      </w:r>
      <w:bookmarkStart w:id="27" w:name="_Toc482711534"/>
      <w:r w:rsidR="00AA70E3" w:rsidRPr="001E48AC">
        <w:rPr>
          <w:rStyle w:val="Heading3Char"/>
          <w:b/>
          <w:bCs/>
          <w:color w:val="auto"/>
        </w:rPr>
        <w:t>3.1.</w:t>
      </w:r>
      <w:r w:rsidR="00FA69C4" w:rsidRPr="001E48AC">
        <w:rPr>
          <w:rStyle w:val="Heading3Char"/>
          <w:b/>
          <w:bCs/>
          <w:color w:val="auto"/>
        </w:rPr>
        <w:t>1</w:t>
      </w:r>
      <w:r w:rsidR="004D5351" w:rsidRPr="001E48AC">
        <w:rPr>
          <w:rStyle w:val="Heading3Char"/>
          <w:b/>
          <w:bCs/>
          <w:color w:val="auto"/>
        </w:rPr>
        <w:t>0</w:t>
      </w:r>
      <w:r w:rsidR="00AA70E3" w:rsidRPr="001E48AC">
        <w:rPr>
          <w:rStyle w:val="Heading3Char"/>
          <w:b/>
          <w:bCs/>
          <w:color w:val="auto"/>
        </w:rPr>
        <w:t>. Kvalifikācijas, akreditācijas un sertifikācijas sistēmu pieejamība</w:t>
      </w:r>
      <w:bookmarkEnd w:id="27"/>
    </w:p>
    <w:p w14:paraId="0A1E7CE7" w14:textId="3EC131F5" w:rsidR="00C9607C" w:rsidRPr="001E48AC" w:rsidRDefault="008D5FC1" w:rsidP="00C9607C">
      <w:pPr>
        <w:autoSpaceDE w:val="0"/>
        <w:autoSpaceDN w:val="0"/>
        <w:adjustRightInd w:val="0"/>
        <w:spacing w:after="0" w:line="240" w:lineRule="auto"/>
        <w:ind w:firstLine="720"/>
        <w:jc w:val="both"/>
        <w:rPr>
          <w:rFonts w:cs="Times New Roman"/>
          <w:szCs w:val="28"/>
          <w:shd w:val="clear" w:color="auto" w:fill="F1F1F1"/>
        </w:rPr>
      </w:pPr>
      <w:r w:rsidRPr="001E48AC">
        <w:rPr>
          <w:rFonts w:cs="Times New Roman"/>
          <w:szCs w:val="28"/>
        </w:rPr>
        <w:t xml:space="preserve">Lai nodrošinātu kvalitatīvu energoauditu veikšanu un energoefektivitātes pasākumu īstenošanu, ir pieņemti vairāki normatīvie akti. </w:t>
      </w:r>
      <w:r w:rsidR="00EA53F1" w:rsidRPr="001E48AC">
        <w:rPr>
          <w:rFonts w:cs="Times New Roman"/>
          <w:szCs w:val="28"/>
        </w:rPr>
        <w:t xml:space="preserve">Atbilstoši spēkā esošajiem normatīvajiem aktiem energoefektivitātes jomā energoauditus var veikt uzņēmumu  energoauditori, kas atbilstoši MK noteikumu Nr.478 prasībām akreditēti </w:t>
      </w:r>
      <w:r w:rsidR="00C9607C" w:rsidRPr="001E48AC">
        <w:rPr>
          <w:lang w:eastAsia="lv-LV"/>
        </w:rPr>
        <w:t xml:space="preserve">Latvijas Nacionālajā akreditācijas birojā (turpmāk – LATAK). </w:t>
      </w:r>
    </w:p>
    <w:p w14:paraId="6B0EBBD0" w14:textId="28AC5BDA" w:rsidR="00EA53F1" w:rsidRPr="001E48AC" w:rsidRDefault="00EA53F1" w:rsidP="00900B7C">
      <w:pPr>
        <w:autoSpaceDE w:val="0"/>
        <w:autoSpaceDN w:val="0"/>
        <w:adjustRightInd w:val="0"/>
        <w:spacing w:after="0" w:line="240" w:lineRule="auto"/>
        <w:jc w:val="both"/>
        <w:rPr>
          <w:rFonts w:eastAsia="Times New Roman" w:cs="Times New Roman"/>
          <w:bCs/>
          <w:szCs w:val="28"/>
          <w:lang w:eastAsia="lv-LV"/>
        </w:rPr>
      </w:pPr>
      <w:r w:rsidRPr="001E48AC">
        <w:rPr>
          <w:lang w:eastAsia="lv-LV"/>
        </w:rPr>
        <w:t xml:space="preserve"> </w:t>
      </w:r>
      <w:r w:rsidRPr="001E48AC">
        <w:rPr>
          <w:rFonts w:cs="Times New Roman"/>
          <w:szCs w:val="28"/>
        </w:rPr>
        <w:t xml:space="preserve">un neatkarīgi eksperti ēku energoefektivitātes jomā, kas sertificēti atbilstoši   </w:t>
      </w:r>
      <w:r w:rsidRPr="001E48AC">
        <w:rPr>
          <w:rFonts w:eastAsia="Times New Roman" w:cs="Times New Roman"/>
          <w:bCs/>
          <w:szCs w:val="28"/>
          <w:lang w:eastAsia="lv-LV"/>
        </w:rPr>
        <w:t>Ministru kabineta 2013.gada 9.jūlija noteikumi Nr.382</w:t>
      </w:r>
      <w:r w:rsidRPr="001E48AC">
        <w:rPr>
          <w:rFonts w:eastAsia="Times New Roman" w:cs="Times New Roman"/>
          <w:szCs w:val="28"/>
          <w:lang w:eastAsia="lv-LV"/>
        </w:rPr>
        <w:t>  “</w:t>
      </w:r>
      <w:r w:rsidRPr="001E48AC">
        <w:rPr>
          <w:rFonts w:eastAsia="Times New Roman" w:cs="Times New Roman"/>
          <w:bCs/>
          <w:szCs w:val="28"/>
          <w:lang w:eastAsia="lv-LV"/>
        </w:rPr>
        <w:t xml:space="preserve">Noteikumi par </w:t>
      </w:r>
      <w:r w:rsidRPr="001E48AC">
        <w:rPr>
          <w:rFonts w:eastAsia="Times New Roman" w:cs="Times New Roman"/>
          <w:bCs/>
          <w:szCs w:val="28"/>
          <w:lang w:eastAsia="lv-LV"/>
        </w:rPr>
        <w:lastRenderedPageBreak/>
        <w:t>neatkarīgiem ekspertiem ēku energoefektivitātes jomā”</w:t>
      </w:r>
      <w:r w:rsidR="0049459E" w:rsidRPr="001E48AC">
        <w:rPr>
          <w:rFonts w:eastAsia="Times New Roman" w:cs="Times New Roman"/>
          <w:bCs/>
          <w:szCs w:val="28"/>
          <w:lang w:eastAsia="lv-LV"/>
        </w:rPr>
        <w:t xml:space="preserve"> (turpmāk - MK</w:t>
      </w:r>
      <w:r w:rsidR="00C37C2E" w:rsidRPr="001E48AC">
        <w:rPr>
          <w:rFonts w:eastAsia="Times New Roman" w:cs="Times New Roman"/>
          <w:bCs/>
          <w:szCs w:val="28"/>
          <w:lang w:eastAsia="lv-LV"/>
        </w:rPr>
        <w:t xml:space="preserve"> noteikumi Nr.382)</w:t>
      </w:r>
      <w:r w:rsidR="00717AD9" w:rsidRPr="001E48AC">
        <w:rPr>
          <w:rFonts w:eastAsia="Times New Roman" w:cs="Times New Roman"/>
          <w:bCs/>
          <w:szCs w:val="28"/>
          <w:lang w:eastAsia="lv-LV"/>
        </w:rPr>
        <w:t>.</w:t>
      </w:r>
    </w:p>
    <w:p w14:paraId="461CE814" w14:textId="4B82B518" w:rsidR="008D5FC1" w:rsidRPr="001E48AC" w:rsidRDefault="008D5FC1" w:rsidP="00907CDE">
      <w:pPr>
        <w:autoSpaceDE w:val="0"/>
        <w:autoSpaceDN w:val="0"/>
        <w:adjustRightInd w:val="0"/>
        <w:spacing w:after="0" w:line="240" w:lineRule="auto"/>
        <w:ind w:firstLine="720"/>
        <w:jc w:val="both"/>
        <w:rPr>
          <w:rFonts w:cs="Times New Roman"/>
          <w:szCs w:val="28"/>
          <w:shd w:val="clear" w:color="auto" w:fill="F1F1F1"/>
        </w:rPr>
      </w:pPr>
      <w:r w:rsidRPr="001E48AC">
        <w:rPr>
          <w:lang w:eastAsia="lv-LV"/>
        </w:rPr>
        <w:t>MK noteikumos Nr.478 ir noteikts, ka uzņēmumu energoauditors ir atbilstības novērtēšanas un inspicēšanas institūcija, kas akreditēta nacionālajā akreditācijas institūcijā saskaņā ar normatīvajiem aktiem par atbilstības novērtēšanas institūciju novērtēšanu, akreditāciju un uzraudzību un šajos noteikumos minētajām prasībām. Uzņēmumu energoauditoru akreditāciju veic LATAK. 2015.-2016.gadā LATAK ir akreditējis 5 uzņēmumu energoauditorus</w:t>
      </w:r>
      <w:r w:rsidRPr="001E48AC">
        <w:rPr>
          <w:rStyle w:val="FootnoteReference"/>
          <w:lang w:eastAsia="lv-LV"/>
        </w:rPr>
        <w:footnoteReference w:id="25"/>
      </w:r>
      <w:r w:rsidRPr="001E48AC">
        <w:rPr>
          <w:lang w:eastAsia="lv-LV"/>
        </w:rPr>
        <w:t>.</w:t>
      </w:r>
    </w:p>
    <w:p w14:paraId="5AEB1B9A" w14:textId="0AECE98A" w:rsidR="00717AD9" w:rsidRPr="001E48AC" w:rsidRDefault="00FF52C7" w:rsidP="00907CDE">
      <w:pPr>
        <w:autoSpaceDE w:val="0"/>
        <w:autoSpaceDN w:val="0"/>
        <w:adjustRightInd w:val="0"/>
        <w:spacing w:after="0" w:line="240" w:lineRule="auto"/>
        <w:ind w:firstLine="720"/>
        <w:jc w:val="both"/>
        <w:rPr>
          <w:lang w:eastAsia="lv-LV"/>
        </w:rPr>
      </w:pPr>
      <w:r w:rsidRPr="001E48AC">
        <w:rPr>
          <w:lang w:eastAsia="lv-LV"/>
        </w:rPr>
        <w:t>MK</w:t>
      </w:r>
      <w:r w:rsidR="00E33D0B" w:rsidRPr="001E48AC">
        <w:rPr>
          <w:lang w:eastAsia="lv-LV"/>
        </w:rPr>
        <w:t xml:space="preserve"> noteikumos Nr.</w:t>
      </w:r>
      <w:r w:rsidR="00C37C2E" w:rsidRPr="001E48AC">
        <w:rPr>
          <w:lang w:eastAsia="lv-LV"/>
        </w:rPr>
        <w:t>382</w:t>
      </w:r>
      <w:r w:rsidR="00E33D0B" w:rsidRPr="001E48AC">
        <w:rPr>
          <w:lang w:eastAsia="lv-LV"/>
        </w:rPr>
        <w:t xml:space="preserve"> ir noteikts, ka par </w:t>
      </w:r>
      <w:r w:rsidR="0049459E" w:rsidRPr="001E48AC">
        <w:rPr>
          <w:rFonts w:cs="Times New Roman"/>
          <w:szCs w:val="28"/>
        </w:rPr>
        <w:t>neatkarīgu ekspertu</w:t>
      </w:r>
      <w:r w:rsidR="00C37C2E" w:rsidRPr="001E48AC">
        <w:rPr>
          <w:rFonts w:cs="Times New Roman"/>
          <w:szCs w:val="28"/>
        </w:rPr>
        <w:t xml:space="preserve"> ēku energoefektivitātes jomā</w:t>
      </w:r>
      <w:r w:rsidR="00C37C2E" w:rsidRPr="001E48AC">
        <w:rPr>
          <w:lang w:eastAsia="lv-LV"/>
        </w:rPr>
        <w:t xml:space="preserve"> </w:t>
      </w:r>
      <w:r w:rsidR="00E33D0B" w:rsidRPr="001E48AC">
        <w:rPr>
          <w:lang w:eastAsia="lv-LV"/>
        </w:rPr>
        <w:t xml:space="preserve"> sertificēšanas iestāžu akreditāciju atbildīgs </w:t>
      </w:r>
      <w:r w:rsidR="008D5FC1" w:rsidRPr="001E48AC">
        <w:rPr>
          <w:lang w:eastAsia="lv-LV"/>
        </w:rPr>
        <w:t>LATAK</w:t>
      </w:r>
      <w:r w:rsidR="00E33D0B" w:rsidRPr="001E48AC">
        <w:rPr>
          <w:lang w:eastAsia="lv-LV"/>
        </w:rPr>
        <w:t xml:space="preserve">. </w:t>
      </w:r>
      <w:r w:rsidR="00A114A8" w:rsidRPr="001E48AC">
        <w:rPr>
          <w:lang w:eastAsia="lv-LV"/>
        </w:rPr>
        <w:t xml:space="preserve">Ar energoauditoru sertificēšanu Latvijā nodarbojas Latvijas </w:t>
      </w:r>
      <w:r w:rsidR="00E33D0B" w:rsidRPr="001E48AC">
        <w:rPr>
          <w:lang w:eastAsia="lv-LV"/>
        </w:rPr>
        <w:t>S</w:t>
      </w:r>
      <w:r w:rsidR="00A114A8" w:rsidRPr="001E48AC">
        <w:rPr>
          <w:lang w:eastAsia="lv-LV"/>
        </w:rPr>
        <w:t>iltuma, gāzes un ūdens tehnoloģijas inženieru savienība</w:t>
      </w:r>
      <w:r w:rsidR="00BA4408" w:rsidRPr="001E48AC">
        <w:rPr>
          <w:lang w:eastAsia="lv-LV"/>
        </w:rPr>
        <w:t xml:space="preserve"> Būvniecības speciālistu sertificēšanas centrs</w:t>
      </w:r>
      <w:r w:rsidR="00D22F57" w:rsidRPr="001E48AC">
        <w:rPr>
          <w:lang w:eastAsia="lv-LV"/>
        </w:rPr>
        <w:t xml:space="preserve"> un</w:t>
      </w:r>
      <w:r w:rsidR="00A114A8" w:rsidRPr="001E48AC">
        <w:rPr>
          <w:lang w:eastAsia="lv-LV"/>
        </w:rPr>
        <w:t xml:space="preserve"> sertificēšanas birojs SIA „Mācību un konsultāciju centrs ABC”.</w:t>
      </w:r>
      <w:r w:rsidR="00C37C2E" w:rsidRPr="001E48AC">
        <w:rPr>
          <w:lang w:eastAsia="lv-LV"/>
        </w:rPr>
        <w:t xml:space="preserve"> </w:t>
      </w:r>
      <w:r w:rsidR="004D68B4" w:rsidRPr="001E48AC">
        <w:rPr>
          <w:lang w:eastAsia="lv-LV"/>
        </w:rPr>
        <w:t xml:space="preserve">Sertificēto energoauditoru saraksts un akreditēto sertificēšanas institūciju kontaktinformācija ir pieejama Ekonomikas ministrijas </w:t>
      </w:r>
      <w:r w:rsidR="001D2F15" w:rsidRPr="001E48AC">
        <w:rPr>
          <w:lang w:eastAsia="lv-LV"/>
        </w:rPr>
        <w:t>tīmekļa vietnē</w:t>
      </w:r>
      <w:r w:rsidR="00151889" w:rsidRPr="001E48AC">
        <w:rPr>
          <w:rStyle w:val="FootnoteReference"/>
          <w:lang w:eastAsia="lv-LV"/>
        </w:rPr>
        <w:footnoteReference w:id="26"/>
      </w:r>
      <w:r w:rsidR="004D68B4" w:rsidRPr="001E48AC">
        <w:rPr>
          <w:lang w:eastAsia="lv-LV"/>
        </w:rPr>
        <w:t xml:space="preserve">. </w:t>
      </w:r>
    </w:p>
    <w:p w14:paraId="687CCAB7" w14:textId="6C0E85B7" w:rsidR="00A23DC4" w:rsidRPr="001E48AC" w:rsidRDefault="00A23DC4" w:rsidP="00907CDE">
      <w:pPr>
        <w:autoSpaceDE w:val="0"/>
        <w:autoSpaceDN w:val="0"/>
        <w:adjustRightInd w:val="0"/>
        <w:spacing w:after="0" w:line="240" w:lineRule="auto"/>
        <w:ind w:firstLine="720"/>
        <w:jc w:val="both"/>
        <w:rPr>
          <w:rFonts w:cs="Times New Roman"/>
          <w:szCs w:val="28"/>
        </w:rPr>
      </w:pPr>
      <w:r w:rsidRPr="001E48AC">
        <w:rPr>
          <w:rFonts w:cs="Times New Roman"/>
          <w:szCs w:val="28"/>
        </w:rPr>
        <w:t>Latvij</w:t>
      </w:r>
      <w:r w:rsidR="009076E1" w:rsidRPr="001E48AC">
        <w:rPr>
          <w:rFonts w:cs="Times New Roman"/>
          <w:szCs w:val="28"/>
        </w:rPr>
        <w:t>ā</w:t>
      </w:r>
      <w:r w:rsidRPr="001E48AC">
        <w:rPr>
          <w:rFonts w:cs="Times New Roman"/>
          <w:szCs w:val="28"/>
        </w:rPr>
        <w:t xml:space="preserve"> tehniskās kompetences, objektivitātes un uzticamības līmenis, kā arī pieejamās dažāda līmeņa izglītības programmas ir pietiekamas un pieejamas visiem interesentiem, tostarp energo</w:t>
      </w:r>
      <w:r w:rsidR="008D5FC1" w:rsidRPr="001E48AC">
        <w:rPr>
          <w:rFonts w:cs="Times New Roman"/>
          <w:szCs w:val="28"/>
        </w:rPr>
        <w:t>pa</w:t>
      </w:r>
      <w:r w:rsidRPr="001E48AC">
        <w:rPr>
          <w:rFonts w:cs="Times New Roman"/>
          <w:szCs w:val="28"/>
        </w:rPr>
        <w:t>kalpojumu sniedzējiem, energopārvaldniekiem un ar enerģiju saistītu būves elementu uzstādītājiem.</w:t>
      </w:r>
    </w:p>
    <w:p w14:paraId="1679AA7F" w14:textId="47F1A2A4" w:rsidR="00A23DC4" w:rsidRPr="001E48AC" w:rsidRDefault="00A23DC4" w:rsidP="00A23DC4">
      <w:pPr>
        <w:autoSpaceDE w:val="0"/>
        <w:autoSpaceDN w:val="0"/>
        <w:spacing w:after="0" w:line="240" w:lineRule="auto"/>
        <w:ind w:firstLine="720"/>
        <w:jc w:val="both"/>
        <w:rPr>
          <w:rFonts w:cs="Times New Roman"/>
          <w:szCs w:val="28"/>
        </w:rPr>
      </w:pPr>
      <w:r w:rsidRPr="001E48AC">
        <w:rPr>
          <w:rFonts w:cs="Times New Roman"/>
          <w:szCs w:val="28"/>
        </w:rPr>
        <w:t xml:space="preserve">Ievērojot Profesionālās izglītības likuma 2. pantu, Latvijā </w:t>
      </w:r>
      <w:r w:rsidR="009076E1" w:rsidRPr="001E48AC">
        <w:rPr>
          <w:rFonts w:cs="Times New Roman"/>
          <w:szCs w:val="28"/>
        </w:rPr>
        <w:t>ir</w:t>
      </w:r>
      <w:r w:rsidRPr="001E48AC">
        <w:rPr>
          <w:rFonts w:cs="Times New Roman"/>
          <w:szCs w:val="28"/>
        </w:rPr>
        <w:t xml:space="preserve"> noteiktas profesionālās izglītības pakāpes, profesionālās kvalifikācijas līmeņi un attiecīgās profesionālās kvalifikācijas ieguvei nepieciešamā izglītība. Latvijas izglītības sistēmā</w:t>
      </w:r>
      <w:r w:rsidR="00BB5224" w:rsidRPr="001E48AC">
        <w:rPr>
          <w:rFonts w:cs="Times New Roman"/>
          <w:szCs w:val="28"/>
        </w:rPr>
        <w:t xml:space="preserve"> </w:t>
      </w:r>
      <w:r w:rsidRPr="001E48AC">
        <w:rPr>
          <w:rFonts w:cs="Times New Roman"/>
          <w:szCs w:val="28"/>
        </w:rPr>
        <w:t>ir noteikti pieci profesionālās kvalifikācijas līmeņi, kurus iegūst, sekmīgi pabeidzot akreditētās profesionālās izglītības programmas.</w:t>
      </w:r>
    </w:p>
    <w:p w14:paraId="7FE38CB2" w14:textId="031CC52E" w:rsidR="00BF5CA9" w:rsidRPr="001E48AC" w:rsidRDefault="00BF5CA9" w:rsidP="00155C4A">
      <w:pPr>
        <w:autoSpaceDE w:val="0"/>
        <w:autoSpaceDN w:val="0"/>
        <w:spacing w:after="0" w:line="240" w:lineRule="auto"/>
        <w:ind w:firstLine="709"/>
        <w:jc w:val="both"/>
        <w:rPr>
          <w:rFonts w:cs="Times New Roman"/>
          <w:szCs w:val="28"/>
        </w:rPr>
      </w:pPr>
      <w:r w:rsidRPr="001E48AC">
        <w:rPr>
          <w:rFonts w:cs="Times New Roman"/>
          <w:szCs w:val="28"/>
        </w:rPr>
        <w:t xml:space="preserve">Likuma „Par reglamentētajām profesijām un profesionālās kvalifikācijas atzīšanu” 7. panta otrā daļa nosaka būvniecības jomā reglamentētās profesijas (būvinženieris un būvdarbu vadītājs), </w:t>
      </w:r>
      <w:r w:rsidRPr="001E48AC">
        <w:rPr>
          <w:rFonts w:cs="Times New Roman"/>
          <w:szCs w:val="28"/>
          <w:shd w:val="clear" w:color="auto" w:fill="FFFFFF"/>
        </w:rPr>
        <w:t>kurās kvalifikācijas prasības nosaka akreditētas izglītības programmas un būvniecības jomās noteiktās prasības</w:t>
      </w:r>
      <w:r w:rsidRPr="001E48AC">
        <w:rPr>
          <w:rFonts w:cs="Times New Roman"/>
          <w:szCs w:val="28"/>
        </w:rPr>
        <w:t>. Savukārt šā likuma 7. panta pirmā daļa nosaka, ka arhitektūras  jomā ir reglamentēta arhitekta profesija, kurā minimālās prasības profesionālās kvalifikācijas iegūšanai nosaka Ministru kabinets</w:t>
      </w:r>
    </w:p>
    <w:p w14:paraId="3161264A" w14:textId="47E72350" w:rsidR="002A5416" w:rsidRPr="001E48AC" w:rsidRDefault="00AC0B88" w:rsidP="00C9607C">
      <w:pPr>
        <w:autoSpaceDE w:val="0"/>
        <w:autoSpaceDN w:val="0"/>
        <w:spacing w:after="0" w:line="240" w:lineRule="auto"/>
        <w:ind w:firstLine="709"/>
        <w:jc w:val="both"/>
        <w:rPr>
          <w:rFonts w:cs="Times New Roman"/>
          <w:szCs w:val="28"/>
        </w:rPr>
      </w:pPr>
      <w:r w:rsidRPr="001E48AC">
        <w:rPr>
          <w:rFonts w:cs="Times New Roman"/>
          <w:szCs w:val="28"/>
        </w:rPr>
        <w:t xml:space="preserve">Uz ziņojuma izstrādāšanas laiku </w:t>
      </w:r>
      <w:r w:rsidR="00A23DC4" w:rsidRPr="001E48AC">
        <w:rPr>
          <w:rFonts w:cs="Times New Roman"/>
          <w:szCs w:val="28"/>
        </w:rPr>
        <w:t xml:space="preserve"> Latvijā</w:t>
      </w:r>
      <w:r w:rsidR="00FB4CA8" w:rsidRPr="001E48AC">
        <w:rPr>
          <w:rFonts w:cs="Times New Roman"/>
          <w:szCs w:val="28"/>
        </w:rPr>
        <w:t xml:space="preserve"> </w:t>
      </w:r>
      <w:r w:rsidR="00A23DC4" w:rsidRPr="001E48AC">
        <w:rPr>
          <w:rFonts w:cs="Times New Roman"/>
          <w:szCs w:val="28"/>
        </w:rPr>
        <w:t>studiju virzienā „</w:t>
      </w:r>
      <w:hyperlink r:id="rId11" w:history="1">
        <w:r w:rsidR="00A23DC4" w:rsidRPr="001E48AC">
          <w:rPr>
            <w:rStyle w:val="Hyperlink"/>
            <w:rFonts w:cs="Times New Roman"/>
            <w:color w:val="auto"/>
            <w:szCs w:val="28"/>
            <w:u w:val="none"/>
          </w:rPr>
          <w:t xml:space="preserve">Enerģētika, </w:t>
        </w:r>
        <w:r w:rsidR="002A5416" w:rsidRPr="001E48AC">
          <w:rPr>
            <w:rStyle w:val="Hyperlink"/>
            <w:rFonts w:cs="Times New Roman"/>
            <w:color w:val="auto"/>
            <w:szCs w:val="28"/>
            <w:u w:val="none"/>
          </w:rPr>
          <w:t>el</w:t>
        </w:r>
        <w:r w:rsidR="001F6437" w:rsidRPr="001E48AC">
          <w:rPr>
            <w:rStyle w:val="Hyperlink"/>
            <w:rFonts w:cs="Times New Roman"/>
            <w:color w:val="auto"/>
            <w:szCs w:val="28"/>
            <w:u w:val="none"/>
          </w:rPr>
          <w:t>e</w:t>
        </w:r>
        <w:r w:rsidR="002A5416" w:rsidRPr="001E48AC">
          <w:rPr>
            <w:rStyle w:val="Hyperlink"/>
            <w:rFonts w:cs="Times New Roman"/>
            <w:color w:val="auto"/>
            <w:szCs w:val="28"/>
            <w:u w:val="none"/>
          </w:rPr>
          <w:t>ktrotehnika un ele</w:t>
        </w:r>
        <w:r w:rsidR="001F6437" w:rsidRPr="001E48AC">
          <w:rPr>
            <w:rStyle w:val="Hyperlink"/>
            <w:rFonts w:cs="Times New Roman"/>
            <w:color w:val="auto"/>
            <w:szCs w:val="28"/>
            <w:u w:val="none"/>
          </w:rPr>
          <w:t>k</w:t>
        </w:r>
        <w:r w:rsidR="002A5416" w:rsidRPr="001E48AC">
          <w:rPr>
            <w:rStyle w:val="Hyperlink"/>
            <w:rFonts w:cs="Times New Roman"/>
            <w:color w:val="auto"/>
            <w:szCs w:val="28"/>
            <w:u w:val="none"/>
          </w:rPr>
          <w:t>trotehnoloģijas”, “</w:t>
        </w:r>
        <w:r w:rsidR="002A5416" w:rsidRPr="001E48AC">
          <w:t xml:space="preserve">Mehānika un metālapstrāde, siltumenerģētika, siltumtehnika un mašīnzinības” un “Vides zinātne” </w:t>
        </w:r>
      </w:hyperlink>
      <w:r w:rsidR="00A23DC4" w:rsidRPr="001E48AC">
        <w:rPr>
          <w:rFonts w:cs="Times New Roman"/>
          <w:szCs w:val="28"/>
        </w:rPr>
        <w:t xml:space="preserve"> ir</w:t>
      </w:r>
      <w:r w:rsidR="00D22F57" w:rsidRPr="001E48AC">
        <w:rPr>
          <w:rFonts w:cs="Times New Roman"/>
          <w:szCs w:val="28"/>
        </w:rPr>
        <w:t xml:space="preserve"> akreditētas</w:t>
      </w:r>
      <w:r w:rsidR="00A23DC4" w:rsidRPr="001E48AC">
        <w:rPr>
          <w:rFonts w:cs="Times New Roman"/>
          <w:szCs w:val="28"/>
        </w:rPr>
        <w:t xml:space="preserve"> 2</w:t>
      </w:r>
      <w:r w:rsidR="002A5416" w:rsidRPr="001E48AC">
        <w:rPr>
          <w:rFonts w:cs="Times New Roman"/>
          <w:szCs w:val="28"/>
        </w:rPr>
        <w:t>8</w:t>
      </w:r>
      <w:r w:rsidR="00A23DC4" w:rsidRPr="001E48AC">
        <w:rPr>
          <w:rFonts w:cs="Times New Roman"/>
          <w:szCs w:val="28"/>
        </w:rPr>
        <w:t xml:space="preserve"> studiju programmas. Programmu sadalījumu starp Latvijas izglītības iestādēm </w:t>
      </w:r>
      <w:r w:rsidR="00D170B7" w:rsidRPr="001E48AC">
        <w:rPr>
          <w:rFonts w:cs="Times New Roman"/>
          <w:szCs w:val="28"/>
        </w:rPr>
        <w:t>pieejams</w:t>
      </w:r>
      <w:r w:rsidR="00A23DC4" w:rsidRPr="001E48AC">
        <w:rPr>
          <w:rFonts w:cs="Times New Roman"/>
          <w:szCs w:val="28"/>
        </w:rPr>
        <w:t xml:space="preserve"> </w:t>
      </w:r>
      <w:r w:rsidR="002A5416" w:rsidRPr="001E48AC">
        <w:rPr>
          <w:rFonts w:cs="Times New Roman"/>
          <w:szCs w:val="28"/>
        </w:rPr>
        <w:t>Akadēmiskās informācijas centra (turpmāk – AIC)</w:t>
      </w:r>
      <w:r w:rsidR="00FB4CA8" w:rsidRPr="001E48AC">
        <w:rPr>
          <w:rFonts w:cs="Times New Roman"/>
          <w:szCs w:val="28"/>
        </w:rPr>
        <w:t xml:space="preserve"> </w:t>
      </w:r>
      <w:r w:rsidR="00A23DC4" w:rsidRPr="001E48AC">
        <w:rPr>
          <w:rFonts w:cs="Times New Roman"/>
          <w:szCs w:val="28"/>
        </w:rPr>
        <w:t>tīmekļa vietnē</w:t>
      </w:r>
      <w:r w:rsidR="002A5416" w:rsidRPr="001E48AC">
        <w:rPr>
          <w:rStyle w:val="FootnoteReference"/>
          <w:rFonts w:cs="Times New Roman"/>
          <w:szCs w:val="28"/>
        </w:rPr>
        <w:footnoteReference w:id="27"/>
      </w:r>
      <w:r w:rsidR="008D5FC1" w:rsidRPr="001E48AC">
        <w:rPr>
          <w:rFonts w:cs="Times New Roman"/>
          <w:szCs w:val="28"/>
        </w:rPr>
        <w:t>.</w:t>
      </w:r>
    </w:p>
    <w:p w14:paraId="15E9933D" w14:textId="70F8A652" w:rsidR="00D170B7" w:rsidRPr="001E48AC" w:rsidRDefault="009076E1" w:rsidP="00A23DC4">
      <w:pPr>
        <w:autoSpaceDE w:val="0"/>
        <w:autoSpaceDN w:val="0"/>
        <w:spacing w:after="0" w:line="240" w:lineRule="auto"/>
        <w:ind w:firstLine="720"/>
        <w:jc w:val="both"/>
        <w:rPr>
          <w:rFonts w:cs="Times New Roman"/>
          <w:szCs w:val="28"/>
        </w:rPr>
      </w:pPr>
      <w:r w:rsidRPr="001E48AC">
        <w:rPr>
          <w:rFonts w:cs="Times New Roman"/>
          <w:szCs w:val="28"/>
        </w:rPr>
        <w:lastRenderedPageBreak/>
        <w:t>S</w:t>
      </w:r>
      <w:r w:rsidR="00A23DC4" w:rsidRPr="001E48AC">
        <w:rPr>
          <w:rFonts w:cs="Times New Roman"/>
          <w:szCs w:val="28"/>
        </w:rPr>
        <w:t>tudiju virzienā „</w:t>
      </w:r>
      <w:hyperlink r:id="rId12" w:history="1">
        <w:r w:rsidR="00A23DC4" w:rsidRPr="001E48AC">
          <w:rPr>
            <w:rStyle w:val="Hyperlink"/>
            <w:rFonts w:cs="Times New Roman"/>
            <w:color w:val="auto"/>
            <w:szCs w:val="28"/>
            <w:u w:val="none"/>
          </w:rPr>
          <w:t>Arhitektūra</w:t>
        </w:r>
      </w:hyperlink>
      <w:r w:rsidR="00A23DC4" w:rsidRPr="001E48AC">
        <w:rPr>
          <w:rFonts w:cs="Times New Roman"/>
          <w:szCs w:val="28"/>
        </w:rPr>
        <w:t xml:space="preserve"> un būvniecība” </w:t>
      </w:r>
      <w:r w:rsidR="008D5FC1" w:rsidRPr="001E48AC">
        <w:rPr>
          <w:rFonts w:cs="Times New Roman"/>
          <w:szCs w:val="28"/>
        </w:rPr>
        <w:t xml:space="preserve">ir </w:t>
      </w:r>
      <w:r w:rsidR="00A23DC4" w:rsidRPr="001E48AC">
        <w:rPr>
          <w:rFonts w:cs="Times New Roman"/>
          <w:szCs w:val="28"/>
        </w:rPr>
        <w:t xml:space="preserve">akreditētas </w:t>
      </w:r>
      <w:r w:rsidR="00C9607C" w:rsidRPr="001E48AC">
        <w:rPr>
          <w:rFonts w:cs="Times New Roman"/>
          <w:szCs w:val="28"/>
        </w:rPr>
        <w:t>42</w:t>
      </w:r>
      <w:r w:rsidR="00A23DC4" w:rsidRPr="001E48AC">
        <w:rPr>
          <w:rFonts w:cs="Times New Roman"/>
          <w:szCs w:val="28"/>
        </w:rPr>
        <w:t xml:space="preserve"> studiju programmas. Programmu sadalījumu starp Latvijas izglītības iestādēm </w:t>
      </w:r>
      <w:r w:rsidR="00D170B7" w:rsidRPr="001E48AC">
        <w:rPr>
          <w:rFonts w:cs="Times New Roman"/>
          <w:szCs w:val="28"/>
        </w:rPr>
        <w:t>pieejams</w:t>
      </w:r>
      <w:r w:rsidR="00A23DC4" w:rsidRPr="001E48AC">
        <w:rPr>
          <w:rFonts w:cs="Times New Roman"/>
          <w:szCs w:val="28"/>
        </w:rPr>
        <w:t xml:space="preserve"> AI</w:t>
      </w:r>
      <w:r w:rsidR="00C9607C" w:rsidRPr="001E48AC">
        <w:rPr>
          <w:rFonts w:cs="Times New Roman"/>
          <w:szCs w:val="28"/>
        </w:rPr>
        <w:t>C</w:t>
      </w:r>
      <w:r w:rsidR="00A23DC4" w:rsidRPr="001E48AC">
        <w:rPr>
          <w:rFonts w:cs="Times New Roman"/>
          <w:szCs w:val="28"/>
        </w:rPr>
        <w:t xml:space="preserve"> tīmekļa vietnē</w:t>
      </w:r>
      <w:r w:rsidR="00C9607C" w:rsidRPr="001E48AC">
        <w:rPr>
          <w:rStyle w:val="FootnoteReference"/>
          <w:rFonts w:cs="Times New Roman"/>
          <w:szCs w:val="28"/>
        </w:rPr>
        <w:footnoteReference w:id="28"/>
      </w:r>
      <w:r w:rsidR="00D170B7" w:rsidRPr="001E48AC">
        <w:rPr>
          <w:rFonts w:cs="Times New Roman"/>
          <w:szCs w:val="28"/>
        </w:rPr>
        <w:t>.</w:t>
      </w:r>
    </w:p>
    <w:p w14:paraId="70ED7513" w14:textId="77777777" w:rsidR="00A23DC4" w:rsidRPr="001E48AC" w:rsidRDefault="00A23DC4" w:rsidP="00A23DC4">
      <w:pPr>
        <w:spacing w:after="0" w:line="240" w:lineRule="auto"/>
        <w:jc w:val="both"/>
        <w:rPr>
          <w:rFonts w:eastAsia="Times New Roman" w:cs="Times New Roman"/>
          <w:szCs w:val="28"/>
          <w:lang w:eastAsia="lv-LV"/>
        </w:rPr>
      </w:pPr>
      <w:r w:rsidRPr="001E48AC">
        <w:rPr>
          <w:rFonts w:eastAsia="Times New Roman" w:cs="Times New Roman"/>
          <w:szCs w:val="28"/>
          <w:lang w:eastAsia="lv-LV"/>
        </w:rPr>
        <w:tab/>
        <w:t xml:space="preserve">Rīgas Tehniskās universitātes Būvniecības fakultātes Profesionālās Tālākizglītības centrs </w:t>
      </w:r>
      <w:r w:rsidR="009076E1" w:rsidRPr="001E48AC">
        <w:rPr>
          <w:rFonts w:eastAsia="Times New Roman" w:cs="Times New Roman"/>
          <w:szCs w:val="28"/>
          <w:lang w:eastAsia="lv-LV"/>
        </w:rPr>
        <w:t>piedāvā</w:t>
      </w:r>
      <w:r w:rsidRPr="001E48AC">
        <w:rPr>
          <w:rFonts w:eastAsia="Times New Roman" w:cs="Times New Roman"/>
          <w:szCs w:val="28"/>
          <w:lang w:eastAsia="lv-LV"/>
        </w:rPr>
        <w:t xml:space="preserve"> licencētu profesionālas pilnveides izglītības programmu „Ēku un būvju energoefektivitātes audits” (LR IZM licence Nr. P-34 no 07.08.2009). Nodarbību laikā var apgūt sekojošus kursus:</w:t>
      </w:r>
    </w:p>
    <w:p w14:paraId="60B1469F" w14:textId="77777777" w:rsidR="00A23DC4" w:rsidRPr="001E48AC" w:rsidRDefault="00A23DC4" w:rsidP="00367318">
      <w:pPr>
        <w:numPr>
          <w:ilvl w:val="0"/>
          <w:numId w:val="30"/>
        </w:numPr>
        <w:tabs>
          <w:tab w:val="clear" w:pos="720"/>
          <w:tab w:val="num" w:pos="284"/>
        </w:tabs>
        <w:spacing w:after="0" w:line="240" w:lineRule="auto"/>
        <w:ind w:left="0" w:firstLine="0"/>
        <w:jc w:val="both"/>
        <w:rPr>
          <w:rFonts w:eastAsia="Times New Roman" w:cs="Times New Roman"/>
          <w:szCs w:val="28"/>
          <w:lang w:eastAsia="lv-LV"/>
        </w:rPr>
      </w:pPr>
      <w:r w:rsidRPr="001E48AC">
        <w:rPr>
          <w:rFonts w:eastAsia="Times New Roman" w:cs="Times New Roman"/>
          <w:szCs w:val="28"/>
          <w:lang w:eastAsia="lv-LV"/>
        </w:rPr>
        <w:t>Ēku un būvju energoauditu reglamentējošie normatīvie akti</w:t>
      </w:r>
      <w:r w:rsidR="0098380F" w:rsidRPr="001E48AC">
        <w:rPr>
          <w:rFonts w:eastAsia="Times New Roman" w:cs="Times New Roman"/>
          <w:szCs w:val="28"/>
          <w:lang w:eastAsia="lv-LV"/>
        </w:rPr>
        <w:t>.</w:t>
      </w:r>
    </w:p>
    <w:p w14:paraId="0BEF312F" w14:textId="77777777" w:rsidR="00A23DC4" w:rsidRPr="001E48AC" w:rsidRDefault="00A23DC4" w:rsidP="00367318">
      <w:pPr>
        <w:numPr>
          <w:ilvl w:val="0"/>
          <w:numId w:val="30"/>
        </w:numPr>
        <w:tabs>
          <w:tab w:val="clear" w:pos="720"/>
          <w:tab w:val="num" w:pos="284"/>
        </w:tabs>
        <w:spacing w:after="0" w:line="240" w:lineRule="auto"/>
        <w:ind w:left="0" w:firstLine="0"/>
        <w:jc w:val="both"/>
        <w:rPr>
          <w:rFonts w:eastAsia="Times New Roman" w:cs="Times New Roman"/>
          <w:szCs w:val="28"/>
          <w:lang w:eastAsia="lv-LV"/>
        </w:rPr>
      </w:pPr>
      <w:r w:rsidRPr="001E48AC">
        <w:rPr>
          <w:rFonts w:eastAsia="Times New Roman" w:cs="Times New Roman"/>
          <w:szCs w:val="28"/>
          <w:lang w:eastAsia="lv-LV"/>
        </w:rPr>
        <w:t>Siltumtehniskie procesi mikroklimat</w:t>
      </w:r>
      <w:r w:rsidR="0098380F" w:rsidRPr="001E48AC">
        <w:rPr>
          <w:rFonts w:eastAsia="Times New Roman" w:cs="Times New Roman"/>
          <w:szCs w:val="28"/>
          <w:lang w:eastAsia="lv-LV"/>
        </w:rPr>
        <w:t>a inženiersistēmās un videsziņa.</w:t>
      </w:r>
    </w:p>
    <w:p w14:paraId="723E8F5E" w14:textId="77777777" w:rsidR="00A23DC4" w:rsidRPr="001E48AC" w:rsidRDefault="00A23DC4" w:rsidP="00367318">
      <w:pPr>
        <w:numPr>
          <w:ilvl w:val="0"/>
          <w:numId w:val="30"/>
        </w:numPr>
        <w:tabs>
          <w:tab w:val="clear" w:pos="720"/>
          <w:tab w:val="num" w:pos="284"/>
        </w:tabs>
        <w:spacing w:after="0" w:line="240" w:lineRule="auto"/>
        <w:ind w:left="0" w:firstLine="0"/>
        <w:jc w:val="both"/>
        <w:rPr>
          <w:rFonts w:eastAsia="Times New Roman" w:cs="Times New Roman"/>
          <w:szCs w:val="28"/>
          <w:lang w:eastAsia="lv-LV"/>
        </w:rPr>
      </w:pPr>
      <w:r w:rsidRPr="001E48AC">
        <w:rPr>
          <w:rFonts w:eastAsia="Times New Roman" w:cs="Times New Roman"/>
          <w:szCs w:val="28"/>
          <w:lang w:eastAsia="lv-LV"/>
        </w:rPr>
        <w:t>Siltumapgāde, karstā ūdens apgāde un apgaismojums</w:t>
      </w:r>
      <w:r w:rsidR="0098380F" w:rsidRPr="001E48AC">
        <w:rPr>
          <w:rFonts w:eastAsia="Times New Roman" w:cs="Times New Roman"/>
          <w:szCs w:val="28"/>
          <w:lang w:eastAsia="lv-LV"/>
        </w:rPr>
        <w:t>.</w:t>
      </w:r>
    </w:p>
    <w:p w14:paraId="650F0B4C" w14:textId="77777777" w:rsidR="00A23DC4" w:rsidRPr="001E48AC" w:rsidRDefault="00A23DC4" w:rsidP="00367318">
      <w:pPr>
        <w:numPr>
          <w:ilvl w:val="0"/>
          <w:numId w:val="30"/>
        </w:numPr>
        <w:tabs>
          <w:tab w:val="clear" w:pos="720"/>
          <w:tab w:val="num" w:pos="284"/>
        </w:tabs>
        <w:spacing w:after="0" w:line="240" w:lineRule="auto"/>
        <w:ind w:left="0" w:firstLine="0"/>
        <w:jc w:val="both"/>
        <w:rPr>
          <w:rFonts w:eastAsia="Times New Roman" w:cs="Times New Roman"/>
          <w:szCs w:val="28"/>
          <w:lang w:eastAsia="lv-LV"/>
        </w:rPr>
      </w:pPr>
      <w:r w:rsidRPr="001E48AC">
        <w:rPr>
          <w:rFonts w:eastAsia="Times New Roman" w:cs="Times New Roman"/>
          <w:szCs w:val="28"/>
          <w:lang w:eastAsia="lv-LV"/>
        </w:rPr>
        <w:t>Ēku un būvju apsekošana</w:t>
      </w:r>
      <w:r w:rsidR="0098380F" w:rsidRPr="001E48AC">
        <w:rPr>
          <w:rFonts w:eastAsia="Times New Roman" w:cs="Times New Roman"/>
          <w:szCs w:val="28"/>
          <w:lang w:eastAsia="lv-LV"/>
        </w:rPr>
        <w:t>.</w:t>
      </w:r>
    </w:p>
    <w:p w14:paraId="0D315015" w14:textId="77777777" w:rsidR="00A23DC4" w:rsidRPr="001E48AC" w:rsidRDefault="00A23DC4" w:rsidP="00367318">
      <w:pPr>
        <w:numPr>
          <w:ilvl w:val="0"/>
          <w:numId w:val="30"/>
        </w:numPr>
        <w:tabs>
          <w:tab w:val="clear" w:pos="720"/>
          <w:tab w:val="num" w:pos="284"/>
        </w:tabs>
        <w:spacing w:after="0" w:line="240" w:lineRule="auto"/>
        <w:ind w:left="0" w:firstLine="0"/>
        <w:jc w:val="both"/>
        <w:rPr>
          <w:rFonts w:eastAsia="Times New Roman" w:cs="Times New Roman"/>
          <w:szCs w:val="28"/>
          <w:lang w:eastAsia="lv-LV"/>
        </w:rPr>
      </w:pPr>
      <w:r w:rsidRPr="001E48AC">
        <w:rPr>
          <w:rFonts w:eastAsia="Times New Roman" w:cs="Times New Roman"/>
          <w:szCs w:val="28"/>
          <w:lang w:eastAsia="lv-LV"/>
        </w:rPr>
        <w:t>Ēku un būvju norobežojošās konstrukcijas</w:t>
      </w:r>
      <w:r w:rsidR="0098380F" w:rsidRPr="001E48AC">
        <w:rPr>
          <w:rFonts w:eastAsia="Times New Roman" w:cs="Times New Roman"/>
          <w:szCs w:val="28"/>
          <w:lang w:eastAsia="lv-LV"/>
        </w:rPr>
        <w:t>.</w:t>
      </w:r>
    </w:p>
    <w:p w14:paraId="37D9F791" w14:textId="77777777" w:rsidR="00A23DC4" w:rsidRPr="001E48AC" w:rsidRDefault="00A23DC4" w:rsidP="00367318">
      <w:pPr>
        <w:numPr>
          <w:ilvl w:val="0"/>
          <w:numId w:val="30"/>
        </w:numPr>
        <w:tabs>
          <w:tab w:val="clear" w:pos="720"/>
          <w:tab w:val="num" w:pos="284"/>
        </w:tabs>
        <w:spacing w:after="0" w:line="240" w:lineRule="auto"/>
        <w:ind w:left="0" w:firstLine="0"/>
        <w:jc w:val="both"/>
        <w:rPr>
          <w:rFonts w:eastAsia="Times New Roman" w:cs="Times New Roman"/>
          <w:szCs w:val="28"/>
          <w:lang w:eastAsia="lv-LV"/>
        </w:rPr>
      </w:pPr>
      <w:r w:rsidRPr="001E48AC">
        <w:rPr>
          <w:rFonts w:eastAsia="Times New Roman" w:cs="Times New Roman"/>
          <w:szCs w:val="28"/>
          <w:lang w:eastAsia="lv-LV"/>
        </w:rPr>
        <w:t>Apkures katli un sistēmas</w:t>
      </w:r>
      <w:r w:rsidR="0098380F" w:rsidRPr="001E48AC">
        <w:rPr>
          <w:rFonts w:eastAsia="Times New Roman" w:cs="Times New Roman"/>
          <w:szCs w:val="28"/>
          <w:lang w:eastAsia="lv-LV"/>
        </w:rPr>
        <w:t>.</w:t>
      </w:r>
    </w:p>
    <w:p w14:paraId="3FFB4985" w14:textId="77777777" w:rsidR="00A23DC4" w:rsidRPr="001E48AC" w:rsidRDefault="00A23DC4" w:rsidP="00367318">
      <w:pPr>
        <w:numPr>
          <w:ilvl w:val="0"/>
          <w:numId w:val="30"/>
        </w:numPr>
        <w:tabs>
          <w:tab w:val="clear" w:pos="720"/>
          <w:tab w:val="num" w:pos="284"/>
        </w:tabs>
        <w:spacing w:after="0" w:line="240" w:lineRule="auto"/>
        <w:ind w:left="0" w:firstLine="0"/>
        <w:jc w:val="both"/>
        <w:rPr>
          <w:rFonts w:eastAsia="Times New Roman" w:cs="Times New Roman"/>
          <w:szCs w:val="28"/>
          <w:lang w:eastAsia="lv-LV"/>
        </w:rPr>
      </w:pPr>
      <w:r w:rsidRPr="001E48AC">
        <w:rPr>
          <w:rFonts w:eastAsia="Times New Roman" w:cs="Times New Roman"/>
          <w:szCs w:val="28"/>
          <w:lang w:eastAsia="lv-LV"/>
        </w:rPr>
        <w:t>Ventilācija un gaisa kondicionēšana</w:t>
      </w:r>
      <w:r w:rsidR="0098380F" w:rsidRPr="001E48AC">
        <w:rPr>
          <w:rFonts w:eastAsia="Times New Roman" w:cs="Times New Roman"/>
          <w:szCs w:val="28"/>
          <w:lang w:eastAsia="lv-LV"/>
        </w:rPr>
        <w:t>.</w:t>
      </w:r>
    </w:p>
    <w:p w14:paraId="264056F9" w14:textId="77777777" w:rsidR="00A23DC4" w:rsidRPr="001E48AC" w:rsidRDefault="00A23DC4" w:rsidP="00367318">
      <w:pPr>
        <w:numPr>
          <w:ilvl w:val="0"/>
          <w:numId w:val="30"/>
        </w:numPr>
        <w:tabs>
          <w:tab w:val="clear" w:pos="720"/>
          <w:tab w:val="num" w:pos="284"/>
        </w:tabs>
        <w:spacing w:after="0" w:line="240" w:lineRule="auto"/>
        <w:ind w:left="0" w:firstLine="0"/>
        <w:jc w:val="both"/>
        <w:rPr>
          <w:rFonts w:eastAsia="Times New Roman" w:cs="Times New Roman"/>
          <w:szCs w:val="28"/>
          <w:lang w:eastAsia="lv-LV"/>
        </w:rPr>
      </w:pPr>
      <w:r w:rsidRPr="001E48AC">
        <w:rPr>
          <w:rFonts w:eastAsia="Times New Roman" w:cs="Times New Roman"/>
          <w:szCs w:val="28"/>
          <w:lang w:eastAsia="lv-LV"/>
        </w:rPr>
        <w:t>Ēku un būvju energoefektivitātes aprēķinu metodika</w:t>
      </w:r>
      <w:r w:rsidR="0098380F" w:rsidRPr="001E48AC">
        <w:rPr>
          <w:rFonts w:eastAsia="Times New Roman" w:cs="Times New Roman"/>
          <w:szCs w:val="28"/>
          <w:lang w:eastAsia="lv-LV"/>
        </w:rPr>
        <w:t>.</w:t>
      </w:r>
    </w:p>
    <w:p w14:paraId="0D555844" w14:textId="77777777" w:rsidR="00A23DC4" w:rsidRPr="001E48AC" w:rsidRDefault="00A23DC4" w:rsidP="00367318">
      <w:pPr>
        <w:numPr>
          <w:ilvl w:val="0"/>
          <w:numId w:val="30"/>
        </w:numPr>
        <w:tabs>
          <w:tab w:val="clear" w:pos="720"/>
          <w:tab w:val="num" w:pos="284"/>
        </w:tabs>
        <w:spacing w:after="0" w:line="240" w:lineRule="auto"/>
        <w:ind w:left="0" w:firstLine="0"/>
        <w:jc w:val="both"/>
        <w:rPr>
          <w:rFonts w:eastAsia="Times New Roman" w:cs="Times New Roman"/>
          <w:szCs w:val="28"/>
          <w:lang w:eastAsia="lv-LV"/>
        </w:rPr>
      </w:pPr>
      <w:r w:rsidRPr="001E48AC">
        <w:rPr>
          <w:rFonts w:eastAsia="Times New Roman" w:cs="Times New Roman"/>
          <w:szCs w:val="28"/>
          <w:lang w:eastAsia="lv-LV"/>
        </w:rPr>
        <w:t>Ēku energoaudita pārskata izstrādāšana</w:t>
      </w:r>
      <w:r w:rsidR="0098380F" w:rsidRPr="001E48AC">
        <w:rPr>
          <w:rFonts w:eastAsia="Times New Roman" w:cs="Times New Roman"/>
          <w:szCs w:val="28"/>
          <w:lang w:eastAsia="lv-LV"/>
        </w:rPr>
        <w:t>.</w:t>
      </w:r>
    </w:p>
    <w:p w14:paraId="1E27D8F6" w14:textId="77777777" w:rsidR="00A23DC4" w:rsidRPr="001E48AC" w:rsidRDefault="00A23DC4" w:rsidP="00367318">
      <w:pPr>
        <w:numPr>
          <w:ilvl w:val="0"/>
          <w:numId w:val="30"/>
        </w:numPr>
        <w:tabs>
          <w:tab w:val="clear" w:pos="720"/>
          <w:tab w:val="num" w:pos="284"/>
        </w:tabs>
        <w:spacing w:after="0" w:line="240" w:lineRule="auto"/>
        <w:ind w:left="0" w:firstLine="0"/>
        <w:jc w:val="both"/>
        <w:rPr>
          <w:rFonts w:eastAsia="Times New Roman" w:cs="Times New Roman"/>
          <w:szCs w:val="28"/>
          <w:lang w:eastAsia="lv-LV"/>
        </w:rPr>
      </w:pPr>
      <w:r w:rsidRPr="001E48AC">
        <w:rPr>
          <w:rFonts w:eastAsia="Times New Roman" w:cs="Times New Roman"/>
          <w:szCs w:val="28"/>
          <w:lang w:eastAsia="lv-LV"/>
        </w:rPr>
        <w:t xml:space="preserve">Energoefektivitāti paaugstinoši materiāli, tehnoloģijas, projekti un tāmes. </w:t>
      </w:r>
    </w:p>
    <w:p w14:paraId="172C99B2" w14:textId="2C4F9AB1" w:rsidR="007411DD" w:rsidRPr="001E48AC" w:rsidRDefault="007411DD" w:rsidP="007411DD">
      <w:pPr>
        <w:pStyle w:val="tv20787921"/>
        <w:spacing w:after="0" w:line="240" w:lineRule="auto"/>
        <w:ind w:firstLine="720"/>
        <w:jc w:val="both"/>
        <w:rPr>
          <w:rStyle w:val="c1"/>
          <w:rFonts w:ascii="Times New Roman" w:hAnsi="Times New Roman"/>
          <w:b w:val="0"/>
          <w:bCs w:val="0"/>
          <w:color w:val="auto"/>
        </w:rPr>
      </w:pPr>
      <w:r w:rsidRPr="001E48AC">
        <w:rPr>
          <w:rStyle w:val="c1"/>
          <w:rFonts w:ascii="Times New Roman" w:hAnsi="Times New Roman"/>
          <w:b w:val="0"/>
          <w:bCs w:val="0"/>
          <w:color w:val="auto"/>
        </w:rPr>
        <w:t>Šobrīd esošais kvalificēto speciālistu skaits energoefektivitātes jomā</w:t>
      </w:r>
      <w:r w:rsidR="00BB5224" w:rsidRPr="001E48AC">
        <w:rPr>
          <w:rStyle w:val="c1"/>
          <w:rFonts w:ascii="Times New Roman" w:hAnsi="Times New Roman"/>
          <w:b w:val="0"/>
          <w:bCs w:val="0"/>
          <w:color w:val="auto"/>
        </w:rPr>
        <w:t xml:space="preserve"> </w:t>
      </w:r>
      <w:r w:rsidRPr="001E48AC">
        <w:rPr>
          <w:rStyle w:val="c1"/>
          <w:rFonts w:ascii="Times New Roman" w:hAnsi="Times New Roman"/>
          <w:b w:val="0"/>
          <w:bCs w:val="0"/>
          <w:color w:val="auto"/>
        </w:rPr>
        <w:t>ir pietiekams esošā pieprasījuma apmierināšanai. Ja pieprasījums pieaugs (piemēram, MVU sektorā), tad esošā sistēma pieļauj ātru papildus speciālistu izglītošanu un sertificēšanu.</w:t>
      </w:r>
    </w:p>
    <w:p w14:paraId="18372521" w14:textId="1977FE5F" w:rsidR="00FA69C4" w:rsidRPr="001E48AC" w:rsidRDefault="00AA70E3" w:rsidP="007942A4">
      <w:pPr>
        <w:pStyle w:val="Heading3"/>
        <w:rPr>
          <w:rStyle w:val="Heading3Char"/>
          <w:b/>
          <w:bCs/>
          <w:color w:val="auto"/>
        </w:rPr>
      </w:pPr>
      <w:bookmarkStart w:id="28" w:name="_Toc482711535"/>
      <w:r w:rsidRPr="001E48AC">
        <w:rPr>
          <w:rStyle w:val="Heading3Char"/>
          <w:b/>
          <w:bCs/>
          <w:color w:val="auto"/>
        </w:rPr>
        <w:t>3.1.</w:t>
      </w:r>
      <w:r w:rsidR="00FA69C4" w:rsidRPr="001E48AC">
        <w:rPr>
          <w:rStyle w:val="Heading3Char"/>
          <w:b/>
          <w:bCs/>
          <w:color w:val="auto"/>
        </w:rPr>
        <w:t>1</w:t>
      </w:r>
      <w:r w:rsidR="004D5351" w:rsidRPr="001E48AC">
        <w:rPr>
          <w:rStyle w:val="Heading3Char"/>
          <w:b/>
          <w:bCs/>
          <w:color w:val="auto"/>
        </w:rPr>
        <w:t>1</w:t>
      </w:r>
      <w:r w:rsidRPr="001E48AC">
        <w:rPr>
          <w:rStyle w:val="Heading3Char"/>
          <w:b/>
          <w:bCs/>
          <w:color w:val="auto"/>
        </w:rPr>
        <w:t>. Energopakalpojumi</w:t>
      </w:r>
      <w:bookmarkEnd w:id="28"/>
    </w:p>
    <w:p w14:paraId="16982A66" w14:textId="77777777" w:rsidR="001432DB" w:rsidRPr="001E48AC" w:rsidRDefault="001432DB" w:rsidP="001D3038">
      <w:pPr>
        <w:pStyle w:val="NormalWeb"/>
        <w:shd w:val="clear" w:color="auto" w:fill="FFFFFF"/>
        <w:spacing w:before="0" w:beforeAutospacing="0" w:after="0" w:afterAutospacing="0"/>
        <w:ind w:firstLine="720"/>
        <w:jc w:val="both"/>
        <w:textAlignment w:val="baseline"/>
        <w:rPr>
          <w:sz w:val="28"/>
          <w:szCs w:val="28"/>
        </w:rPr>
      </w:pPr>
      <w:r w:rsidRPr="001E48AC">
        <w:rPr>
          <w:sz w:val="28"/>
          <w:szCs w:val="28"/>
        </w:rPr>
        <w:t>Energoefektivitātes pakalpojumu sniegšana ir uzņēmējdarbības veids, kas sniedz plašu ar enerģētikas sektoru saistītu pakalpojumu klāstu. Energoefektivitātes pakalpojuma  ietvaros uz energoefektivitātes līguma pamata tiek īstenoti energoefektivitātes, enerģijas piegādes un citi ar enerģijas racionālu izmantošanu saistīti pasākumi dažādās nozarēs, piemēram, rūpniecībā, lauksaimniecībā, ēkās. Latvijā pirmie energoefektivitātes pakalpojumu jeb ESKO uzņēmumi ir  sākuši savu darbību ēku renovācijas jomā.</w:t>
      </w:r>
    </w:p>
    <w:p w14:paraId="06C7123A" w14:textId="109F1C07" w:rsidR="00AC3697" w:rsidRPr="001E48AC" w:rsidRDefault="00AC3697" w:rsidP="001D3038">
      <w:pPr>
        <w:pStyle w:val="NormalWeb"/>
        <w:shd w:val="clear" w:color="auto" w:fill="FFFFFF"/>
        <w:spacing w:before="0" w:beforeAutospacing="0" w:after="0" w:afterAutospacing="0"/>
        <w:ind w:firstLine="720"/>
        <w:jc w:val="both"/>
        <w:textAlignment w:val="baseline"/>
        <w:rPr>
          <w:sz w:val="28"/>
          <w:szCs w:val="28"/>
        </w:rPr>
      </w:pPr>
      <w:r w:rsidRPr="001E48AC">
        <w:rPr>
          <w:sz w:val="28"/>
          <w:szCs w:val="28"/>
        </w:rPr>
        <w:t xml:space="preserve">Energoefektivitātes </w:t>
      </w:r>
      <w:r w:rsidR="001432DB" w:rsidRPr="001E48AC">
        <w:rPr>
          <w:sz w:val="28"/>
          <w:szCs w:val="28"/>
        </w:rPr>
        <w:t>likuma 14.pantā ir noteikta energo</w:t>
      </w:r>
      <w:r w:rsidRPr="001E48AC">
        <w:rPr>
          <w:sz w:val="28"/>
          <w:szCs w:val="28"/>
        </w:rPr>
        <w:t xml:space="preserve">efektivitātes </w:t>
      </w:r>
      <w:r w:rsidR="001432DB" w:rsidRPr="001E48AC">
        <w:rPr>
          <w:sz w:val="28"/>
          <w:szCs w:val="28"/>
        </w:rPr>
        <w:t>pakalpojumu sniegšanas un finansēšanas kārtība, tostarp energo</w:t>
      </w:r>
      <w:r w:rsidRPr="001E48AC">
        <w:rPr>
          <w:sz w:val="28"/>
          <w:szCs w:val="28"/>
        </w:rPr>
        <w:t xml:space="preserve">efektivitātes pakalpojuma līgumā iekļaujamā informācija. </w:t>
      </w:r>
      <w:r w:rsidR="001432DB" w:rsidRPr="001E48AC">
        <w:rPr>
          <w:sz w:val="28"/>
          <w:szCs w:val="28"/>
        </w:rPr>
        <w:t>Energoefektivitātes līgumi (</w:t>
      </w:r>
      <w:proofErr w:type="spellStart"/>
      <w:r w:rsidR="001432DB" w:rsidRPr="001E48AC">
        <w:rPr>
          <w:sz w:val="28"/>
          <w:szCs w:val="28"/>
        </w:rPr>
        <w:t>Energy</w:t>
      </w:r>
      <w:proofErr w:type="spellEnd"/>
      <w:r w:rsidR="001432DB" w:rsidRPr="001E48AC">
        <w:rPr>
          <w:sz w:val="28"/>
          <w:szCs w:val="28"/>
        </w:rPr>
        <w:t xml:space="preserve"> Performance Contracting – EPC) dzīvokļu īpašniekiem ļauj atjaunināt novecojušos īpašumus un sakārtot vidi, kurā dzīvot, izmantojot ESKO uzņēmumu piedāvājumu. </w:t>
      </w:r>
      <w:r w:rsidRPr="001E48AC">
        <w:rPr>
          <w:sz w:val="28"/>
          <w:szCs w:val="28"/>
        </w:rPr>
        <w:t>Lai veicinātu vispirms jau daudzdzīvokļu dzīvojamo ēku renovāciju izmantojot ESKO uzņēmumus</w:t>
      </w:r>
      <w:r w:rsidR="00907CDE" w:rsidRPr="001E48AC">
        <w:rPr>
          <w:sz w:val="28"/>
          <w:szCs w:val="28"/>
        </w:rPr>
        <w:t>,</w:t>
      </w:r>
      <w:r w:rsidRPr="001E48AC">
        <w:rPr>
          <w:sz w:val="28"/>
          <w:szCs w:val="28"/>
        </w:rPr>
        <w:t xml:space="preserve"> izveidots </w:t>
      </w:r>
      <w:r w:rsidR="001432DB" w:rsidRPr="001E48AC">
        <w:rPr>
          <w:sz w:val="28"/>
          <w:szCs w:val="28"/>
        </w:rPr>
        <w:t>Ēku sagla</w:t>
      </w:r>
      <w:r w:rsidRPr="001E48AC">
        <w:rPr>
          <w:sz w:val="28"/>
          <w:szCs w:val="28"/>
        </w:rPr>
        <w:t>bāšanas un energotaupības birojs, kura</w:t>
      </w:r>
      <w:r w:rsidR="00907CDE" w:rsidRPr="001E48AC">
        <w:rPr>
          <w:sz w:val="28"/>
          <w:szCs w:val="28"/>
        </w:rPr>
        <w:t xml:space="preserve"> tīmekļa vietnē pie</w:t>
      </w:r>
      <w:r w:rsidRPr="001E48AC">
        <w:rPr>
          <w:sz w:val="28"/>
          <w:szCs w:val="28"/>
        </w:rPr>
        <w:t>ejama visplašākā informācija par energoefektivitātes pakalpojumu izmantošanas iespējām.</w:t>
      </w:r>
      <w:r w:rsidRPr="001E48AC">
        <w:rPr>
          <w:rStyle w:val="FootnoteReference"/>
          <w:sz w:val="28"/>
          <w:szCs w:val="28"/>
        </w:rPr>
        <w:footnoteReference w:id="29"/>
      </w:r>
      <w:r w:rsidRPr="001E48AC">
        <w:rPr>
          <w:sz w:val="28"/>
          <w:szCs w:val="28"/>
        </w:rPr>
        <w:t xml:space="preserve">. </w:t>
      </w:r>
    </w:p>
    <w:p w14:paraId="1E12F9DD" w14:textId="77777777" w:rsidR="001432DB" w:rsidRPr="001E48AC" w:rsidRDefault="00AC3697" w:rsidP="001D3038">
      <w:pPr>
        <w:pStyle w:val="NormalWeb"/>
        <w:shd w:val="clear" w:color="auto" w:fill="FFFFFF"/>
        <w:spacing w:before="0" w:beforeAutospacing="0" w:after="0" w:afterAutospacing="0"/>
        <w:ind w:firstLine="720"/>
        <w:jc w:val="both"/>
        <w:textAlignment w:val="baseline"/>
        <w:rPr>
          <w:szCs w:val="28"/>
        </w:rPr>
      </w:pPr>
      <w:r w:rsidRPr="001E48AC">
        <w:rPr>
          <w:sz w:val="28"/>
          <w:szCs w:val="28"/>
        </w:rPr>
        <w:lastRenderedPageBreak/>
        <w:t>Latvijā šobrīd darbojas piecas energoefektivitātes pakalpojumu kompānijas. Energoefektivitātes pakalpojumu kompānija SIA „Renesco”, jau īstenojusi vismaz 15 daudzdzīvokļu dzīvojamo māju renovācijas projektus</w:t>
      </w:r>
      <w:r w:rsidRPr="001E48AC">
        <w:rPr>
          <w:rStyle w:val="FootnoteReference"/>
          <w:sz w:val="28"/>
          <w:szCs w:val="28"/>
        </w:rPr>
        <w:footnoteReference w:id="30"/>
      </w:r>
      <w:r w:rsidRPr="001E48AC">
        <w:rPr>
          <w:sz w:val="28"/>
          <w:szCs w:val="28"/>
        </w:rPr>
        <w:t>.</w:t>
      </w:r>
    </w:p>
    <w:p w14:paraId="59084F00" w14:textId="275AF5B4" w:rsidR="007565F1" w:rsidRPr="001E48AC" w:rsidRDefault="007E5BD5" w:rsidP="00E51252">
      <w:pPr>
        <w:spacing w:after="0" w:line="240" w:lineRule="auto"/>
        <w:jc w:val="both"/>
        <w:rPr>
          <w:rFonts w:cs="Times New Roman"/>
          <w:szCs w:val="28"/>
        </w:rPr>
      </w:pPr>
      <w:r w:rsidRPr="001E48AC">
        <w:rPr>
          <w:szCs w:val="28"/>
        </w:rPr>
        <w:tab/>
      </w:r>
      <w:r w:rsidR="009734F1" w:rsidRPr="001E48AC">
        <w:rPr>
          <w:szCs w:val="28"/>
        </w:rPr>
        <w:t xml:space="preserve">Energopakalpojumu tirgus attīstību kavē </w:t>
      </w:r>
      <w:r w:rsidR="00837CF0" w:rsidRPr="001E48AC">
        <w:rPr>
          <w:szCs w:val="28"/>
        </w:rPr>
        <w:t xml:space="preserve">atsevišķi </w:t>
      </w:r>
      <w:r w:rsidR="009734F1" w:rsidRPr="001E48AC">
        <w:rPr>
          <w:szCs w:val="28"/>
        </w:rPr>
        <w:t>neskaidrie juridiskie jautājumi pakalpojumu līgumu slēgšanā</w:t>
      </w:r>
      <w:r w:rsidR="00837CF0" w:rsidRPr="001E48AC">
        <w:rPr>
          <w:szCs w:val="28"/>
        </w:rPr>
        <w:t>, piemēram, par īpašumtiesībām uz uzstādītajām iekārtām</w:t>
      </w:r>
      <w:r w:rsidR="009734F1" w:rsidRPr="001E48AC">
        <w:rPr>
          <w:szCs w:val="28"/>
        </w:rPr>
        <w:t>, energoapgādes (</w:t>
      </w:r>
      <w:r w:rsidR="00BA29EF" w:rsidRPr="001E48AC">
        <w:rPr>
          <w:szCs w:val="28"/>
        </w:rPr>
        <w:t>centralizētās siltumapgādes</w:t>
      </w:r>
      <w:r w:rsidR="009734F1" w:rsidRPr="001E48AC">
        <w:rPr>
          <w:szCs w:val="28"/>
        </w:rPr>
        <w:t>) uzņēmumu neieinteresētība</w:t>
      </w:r>
      <w:r w:rsidR="001432DB" w:rsidRPr="001E48AC">
        <w:rPr>
          <w:szCs w:val="28"/>
        </w:rPr>
        <w:t xml:space="preserve"> </w:t>
      </w:r>
      <w:r w:rsidR="009734F1" w:rsidRPr="001E48AC">
        <w:rPr>
          <w:szCs w:val="28"/>
        </w:rPr>
        <w:t>energo</w:t>
      </w:r>
      <w:r w:rsidR="00DC3EFF" w:rsidRPr="001E48AC">
        <w:rPr>
          <w:szCs w:val="28"/>
        </w:rPr>
        <w:t>efektivitātes</w:t>
      </w:r>
      <w:r w:rsidR="009734F1" w:rsidRPr="001E48AC">
        <w:rPr>
          <w:szCs w:val="28"/>
        </w:rPr>
        <w:t xml:space="preserve"> pakalpojumu sniegšanā, zema patērētāju informētība par ESKO kompāniju iespējām un pozitīvo piemēru trūkums. Energo</w:t>
      </w:r>
      <w:r w:rsidR="00DC3EFF" w:rsidRPr="001E48AC">
        <w:rPr>
          <w:szCs w:val="28"/>
        </w:rPr>
        <w:t xml:space="preserve">efektivitātes </w:t>
      </w:r>
      <w:r w:rsidR="009734F1" w:rsidRPr="001E48AC">
        <w:rPr>
          <w:szCs w:val="28"/>
        </w:rPr>
        <w:t>pakalpojumu tirgus attīstību kavē arī neskaidrie finanšu jautājumi saistībā ar ESKO ieviešanu</w:t>
      </w:r>
      <w:r w:rsidR="00837CF0" w:rsidRPr="001E48AC">
        <w:rPr>
          <w:szCs w:val="28"/>
        </w:rPr>
        <w:t>, piemēram, par iegūtā finanšu ietaupījuma sadalīšanu starp iesaistītajām pusēm</w:t>
      </w:r>
      <w:r w:rsidR="009734F1" w:rsidRPr="001E48AC">
        <w:rPr>
          <w:szCs w:val="28"/>
        </w:rPr>
        <w:t>, kā arī valsts garantiju trūkums ESKO kredītu izsniegšanai.</w:t>
      </w:r>
      <w:r w:rsidR="001432DB" w:rsidRPr="001E48AC">
        <w:rPr>
          <w:szCs w:val="28"/>
        </w:rPr>
        <w:t xml:space="preserve"> </w:t>
      </w:r>
      <w:r w:rsidR="007565F1" w:rsidRPr="001E48AC">
        <w:rPr>
          <w:rFonts w:cs="Times New Roman"/>
          <w:szCs w:val="28"/>
        </w:rPr>
        <w:t xml:space="preserve">Turpinās konsultācijas ar ieinteresētajām pusēm, tostarp </w:t>
      </w:r>
      <w:r w:rsidR="003172D8" w:rsidRPr="001E48AC">
        <w:rPr>
          <w:rFonts w:cs="Times New Roman"/>
          <w:szCs w:val="28"/>
        </w:rPr>
        <w:t>komerc</w:t>
      </w:r>
      <w:r w:rsidR="007565F1" w:rsidRPr="001E48AC">
        <w:rPr>
          <w:rFonts w:cs="Times New Roman"/>
          <w:szCs w:val="28"/>
        </w:rPr>
        <w:t>banku sektoru, par ESKO attīstības veicināšanu.</w:t>
      </w:r>
    </w:p>
    <w:p w14:paraId="2ECBAA4A" w14:textId="0506DC7E" w:rsidR="00FB5564" w:rsidRPr="001E48AC" w:rsidRDefault="00FB5564" w:rsidP="007942A4">
      <w:pPr>
        <w:pStyle w:val="Heading3"/>
        <w:rPr>
          <w:color w:val="auto"/>
        </w:rPr>
      </w:pPr>
      <w:bookmarkStart w:id="29" w:name="_Toc482711536"/>
      <w:r w:rsidRPr="001E48AC">
        <w:rPr>
          <w:color w:val="auto"/>
        </w:rPr>
        <w:t>3.1.1</w:t>
      </w:r>
      <w:r w:rsidR="004D5351" w:rsidRPr="001E48AC">
        <w:rPr>
          <w:color w:val="auto"/>
        </w:rPr>
        <w:t>2</w:t>
      </w:r>
      <w:r w:rsidRPr="001E48AC">
        <w:rPr>
          <w:color w:val="auto"/>
        </w:rPr>
        <w:t>. Valsts energoefektivitātes fonds</w:t>
      </w:r>
      <w:bookmarkEnd w:id="29"/>
    </w:p>
    <w:p w14:paraId="565092F4" w14:textId="2A9E1E80" w:rsidR="00732661" w:rsidRPr="001E48AC" w:rsidRDefault="006A6E0A" w:rsidP="006A6E0A">
      <w:pPr>
        <w:spacing w:after="0" w:line="240" w:lineRule="auto"/>
        <w:ind w:firstLine="720"/>
        <w:jc w:val="both"/>
        <w:rPr>
          <w:rFonts w:cs="Times New Roman"/>
          <w:szCs w:val="28"/>
        </w:rPr>
      </w:pPr>
      <w:r w:rsidRPr="001E48AC">
        <w:rPr>
          <w:rFonts w:cs="Times New Roman"/>
          <w:szCs w:val="28"/>
        </w:rPr>
        <w:t>Valsts energoefektivitātes fonda (turpmāk – VEEF) mērķis ir atbalstīt valsts iniciatīvas energoefektivitātes jomā</w:t>
      </w:r>
      <w:r w:rsidR="00732661" w:rsidRPr="001E48AC">
        <w:rPr>
          <w:rFonts w:cs="Times New Roman"/>
          <w:szCs w:val="28"/>
        </w:rPr>
        <w:t>.</w:t>
      </w:r>
      <w:r w:rsidRPr="001E48AC">
        <w:rPr>
          <w:rFonts w:cs="Times New Roman"/>
          <w:szCs w:val="28"/>
        </w:rPr>
        <w:t xml:space="preserve"> </w:t>
      </w:r>
    </w:p>
    <w:p w14:paraId="6C226BB6" w14:textId="4EBC7A87" w:rsidR="00732661" w:rsidRPr="001E48AC" w:rsidRDefault="00732661" w:rsidP="00732661">
      <w:pPr>
        <w:pStyle w:val="naiskr"/>
        <w:spacing w:before="0" w:after="0"/>
        <w:jc w:val="both"/>
        <w:rPr>
          <w:sz w:val="28"/>
          <w:szCs w:val="28"/>
        </w:rPr>
      </w:pPr>
      <w:r w:rsidRPr="001E48AC">
        <w:rPr>
          <w:sz w:val="28"/>
          <w:szCs w:val="28"/>
        </w:rPr>
        <w:t xml:space="preserve">      </w:t>
      </w:r>
      <w:r w:rsidR="001D3038" w:rsidRPr="001E48AC">
        <w:rPr>
          <w:sz w:val="28"/>
          <w:szCs w:val="28"/>
        </w:rPr>
        <w:tab/>
      </w:r>
      <w:r w:rsidRPr="001E48AC">
        <w:rPr>
          <w:sz w:val="28"/>
          <w:szCs w:val="28"/>
        </w:rPr>
        <w:t>Energoefektivitātes likums, kurš nosaka  energoefektivitātes plānošanas un uzraudzības prasības, paredz vairākus energoefektivitātes uzlabošanas politikas pasākumus., tostarp, valsts un pašvaldības energoefektivitātes fonda izveidi kā  energoefektivitātes pasākumu veicināšanas un obligātā enerģijas ietaupījuma mērķa sasniegšanas instrumentu.</w:t>
      </w:r>
    </w:p>
    <w:p w14:paraId="47F08E40" w14:textId="6221F54A" w:rsidR="00D92A4E" w:rsidRPr="001E48AC" w:rsidRDefault="00732661" w:rsidP="00E05156">
      <w:pPr>
        <w:pStyle w:val="naiskr"/>
        <w:spacing w:before="0" w:after="0"/>
        <w:jc w:val="both"/>
        <w:rPr>
          <w:sz w:val="28"/>
          <w:szCs w:val="28"/>
        </w:rPr>
      </w:pPr>
      <w:r w:rsidRPr="001E48AC">
        <w:rPr>
          <w:sz w:val="28"/>
          <w:szCs w:val="28"/>
        </w:rPr>
        <w:t xml:space="preserve">      </w:t>
      </w:r>
      <w:r w:rsidR="001D3038" w:rsidRPr="001E48AC">
        <w:rPr>
          <w:sz w:val="28"/>
          <w:szCs w:val="28"/>
        </w:rPr>
        <w:tab/>
      </w:r>
      <w:r w:rsidRPr="001E48AC">
        <w:rPr>
          <w:sz w:val="28"/>
          <w:szCs w:val="28"/>
        </w:rPr>
        <w:t xml:space="preserve">EPS atbildīgajām pusēm likums paredz  iespēju  izpildīt savu pienākumu, veicot iemaksas pēc savas izvēles valsts vai pašvaldības energoefektivitātes fondā atbilstoši tai noteiktajam enerģijas ietaupījuma pienākuma apjomam (turpmāk — pienākuma apjoms). Atbildīgajai pusei noteikto pienākuma apjomu samazina proporcionāli veikto iemaksu apmēram. Valsts vai pašvaldība, kuras fondā atbildīgā puse veikusi iemaksu, turpmāk nodrošina enerģijas ietaupījumu atbilstoši atbildīgās puses pienākuma apjomam, par kuru ir veikta iemaksa. Tādējādi  ar atbildīgo pušu veiktajām iemaksām attiecīgajā energoefektivitātes fondā  un šo fondu līdzekļiem ir iespējams realizēt konkrētus energoefektivitātes pasākumus, kuros jāietaupa attiecīgais enerģijas apjoms. </w:t>
      </w:r>
    </w:p>
    <w:p w14:paraId="6B435D2B" w14:textId="4ED7E459" w:rsidR="00E05156" w:rsidRPr="001E48AC" w:rsidRDefault="00E05156" w:rsidP="00D11599">
      <w:pPr>
        <w:pStyle w:val="naiskr"/>
        <w:spacing w:before="0" w:after="0"/>
        <w:ind w:firstLine="720"/>
        <w:jc w:val="both"/>
        <w:rPr>
          <w:sz w:val="28"/>
          <w:szCs w:val="28"/>
        </w:rPr>
      </w:pPr>
      <w:r w:rsidRPr="001E48AC">
        <w:rPr>
          <w:sz w:val="28"/>
          <w:szCs w:val="28"/>
        </w:rPr>
        <w:t xml:space="preserve">Atbilstoši Ministru kabineta noteikumu projektam “Energoefektivitātes pienākumu shēmas noteikumi”, EPS pirmajā saistību periodā atbildīgās puses varēs ieskaitīt iemaksas tikai valsts energoefektivitātes fondā (turpmāk – Fonds). </w:t>
      </w:r>
    </w:p>
    <w:p w14:paraId="15776B51" w14:textId="66E6FEA4" w:rsidR="00732661" w:rsidRPr="001E48AC" w:rsidRDefault="00E05156" w:rsidP="00D11599">
      <w:pPr>
        <w:shd w:val="clear" w:color="auto" w:fill="FFFFFF"/>
        <w:spacing w:after="0" w:line="240" w:lineRule="auto"/>
        <w:ind w:firstLine="720"/>
        <w:jc w:val="both"/>
        <w:rPr>
          <w:rFonts w:eastAsia="Times New Roman"/>
          <w:bCs/>
          <w:szCs w:val="28"/>
          <w:lang w:eastAsia="lv-LV"/>
        </w:rPr>
      </w:pPr>
      <w:r w:rsidRPr="001E48AC">
        <w:rPr>
          <w:szCs w:val="28"/>
        </w:rPr>
        <w:t>Atbilstoši izstrādātajam Ministru kabineta noteikumu projektam “</w:t>
      </w:r>
      <w:r w:rsidRPr="001E48AC">
        <w:rPr>
          <w:rFonts w:eastAsia="Times New Roman"/>
          <w:bCs/>
          <w:szCs w:val="28"/>
          <w:lang w:eastAsia="lv-LV"/>
        </w:rPr>
        <w:t xml:space="preserve">Noteikumi par kārtību un apmēru, kādā tiek veiktas iemaksas energoefektivitātes fondos obligātā enerģijas ietaupījuma mērķa sasniegšanai un kārtību, kādā tiek izmantoti energoefektivitātes fonda līdzekļi, </w:t>
      </w:r>
      <w:r w:rsidRPr="001E48AC">
        <w:rPr>
          <w:szCs w:val="28"/>
        </w:rPr>
        <w:t>Fonda</w:t>
      </w:r>
      <w:r w:rsidR="00732661" w:rsidRPr="001E48AC">
        <w:rPr>
          <w:szCs w:val="28"/>
        </w:rPr>
        <w:t xml:space="preserve"> </w:t>
      </w:r>
      <w:r w:rsidR="00B753DA" w:rsidRPr="001E48AC">
        <w:rPr>
          <w:szCs w:val="28"/>
        </w:rPr>
        <w:t xml:space="preserve">pārvaldītājs </w:t>
      </w:r>
      <w:r w:rsidR="00B753DA" w:rsidRPr="001E48AC">
        <w:rPr>
          <w:szCs w:val="28"/>
        </w:rPr>
        <w:lastRenderedPageBreak/>
        <w:t>būs akciju sabiedrība  “</w:t>
      </w:r>
      <w:r w:rsidR="00732661" w:rsidRPr="001E48AC">
        <w:rPr>
          <w:szCs w:val="28"/>
        </w:rPr>
        <w:t>Attīstības finanšu institūcija</w:t>
      </w:r>
      <w:r w:rsidR="00B753DA" w:rsidRPr="001E48AC">
        <w:rPr>
          <w:szCs w:val="28"/>
        </w:rPr>
        <w:t xml:space="preserve"> Altum”, kas </w:t>
      </w:r>
      <w:r w:rsidR="00732661" w:rsidRPr="001E48AC">
        <w:rPr>
          <w:szCs w:val="28"/>
        </w:rPr>
        <w:t>izmanto</w:t>
      </w:r>
      <w:r w:rsidRPr="001E48AC">
        <w:rPr>
          <w:szCs w:val="28"/>
        </w:rPr>
        <w:t>s Fonda līdzekļus un sniegs</w:t>
      </w:r>
      <w:r w:rsidR="00732661" w:rsidRPr="001E48AC">
        <w:rPr>
          <w:szCs w:val="28"/>
        </w:rPr>
        <w:t xml:space="preserve"> pārskatu par to izmantošanu. Tādējādi noteikumu projekts reglamentē kārtību, kādā Altum uztur un izmanto </w:t>
      </w:r>
      <w:r w:rsidRPr="001E48AC">
        <w:rPr>
          <w:szCs w:val="28"/>
        </w:rPr>
        <w:t>Fonda</w:t>
      </w:r>
      <w:r w:rsidR="00732661" w:rsidRPr="001E48AC">
        <w:rPr>
          <w:szCs w:val="28"/>
        </w:rPr>
        <w:t xml:space="preserve"> līdzekļus, kā arī sniedz pārskatu par to izmantošanu. Noteikumu projekts paredz, ka </w:t>
      </w:r>
      <w:r w:rsidRPr="001E48AC">
        <w:rPr>
          <w:szCs w:val="28"/>
        </w:rPr>
        <w:t>F</w:t>
      </w:r>
      <w:r w:rsidR="00732661" w:rsidRPr="001E48AC">
        <w:rPr>
          <w:szCs w:val="28"/>
          <w:shd w:val="clear" w:color="auto" w:fill="FFFFFF"/>
        </w:rPr>
        <w:t>onds darbību uzsāk pēc</w:t>
      </w:r>
      <w:r w:rsidRPr="001E48AC">
        <w:rPr>
          <w:szCs w:val="28"/>
          <w:shd w:val="clear" w:color="auto" w:fill="FFFFFF"/>
        </w:rPr>
        <w:t xml:space="preserve"> Fonda nolikuma apstiprināšanas un</w:t>
      </w:r>
      <w:r w:rsidR="00732661" w:rsidRPr="001E48AC">
        <w:rPr>
          <w:szCs w:val="28"/>
          <w:shd w:val="clear" w:color="auto" w:fill="FFFFFF"/>
        </w:rPr>
        <w:t xml:space="preserve"> atbildīgo puš</w:t>
      </w:r>
      <w:r w:rsidRPr="001E48AC">
        <w:rPr>
          <w:szCs w:val="28"/>
          <w:shd w:val="clear" w:color="auto" w:fill="FFFFFF"/>
        </w:rPr>
        <w:t>u veikto iemaksu ieskaitīšanas.</w:t>
      </w:r>
      <w:r w:rsidR="00732661" w:rsidRPr="001E48AC">
        <w:rPr>
          <w:szCs w:val="28"/>
        </w:rPr>
        <w:t xml:space="preserve"> Savukārt attiecībā uz pašvaldības energoefektivitātes fonda izveidi, noteikumu projekts, ievērojot likumā noteikto, paredz pašvaldību kā pašvaldības energoefektivitātes fonda veidotāju un turētāju, kas attiecīgi ir atbildīga par atbildīgo pušu veikto iemaksu veikšanu pašvaldības energoefektivitātes fondā.</w:t>
      </w:r>
    </w:p>
    <w:p w14:paraId="215CD23A" w14:textId="77777777" w:rsidR="00732661" w:rsidRPr="001E48AC" w:rsidRDefault="00732661" w:rsidP="00E05156">
      <w:pPr>
        <w:pStyle w:val="naiskr"/>
        <w:spacing w:before="0" w:after="0"/>
        <w:jc w:val="both"/>
        <w:rPr>
          <w:sz w:val="28"/>
          <w:szCs w:val="28"/>
        </w:rPr>
      </w:pPr>
      <w:r w:rsidRPr="001E48AC">
        <w:rPr>
          <w:sz w:val="28"/>
          <w:szCs w:val="28"/>
        </w:rPr>
        <w:t xml:space="preserve">             Ņemot vērā to, ka uzņēmumos ir energoefektivitātes potenciāls, kura apguve veicinātu to modernizāciju un konkurētspēju,  energoefektivitātes fonda atbalsta programmas būtu jāvērš  uz rūpniecības nozares komersantiem (mazie, vidējie uzņēmumi), atbalstot tos energoefektivitātes pasākumu veikšanā. </w:t>
      </w:r>
    </w:p>
    <w:p w14:paraId="1AA02C2D" w14:textId="250E51D0" w:rsidR="00AA70E3" w:rsidRPr="001E48AC" w:rsidRDefault="00AA70E3" w:rsidP="0022103B">
      <w:pPr>
        <w:pStyle w:val="Heading2"/>
        <w:rPr>
          <w:color w:val="auto"/>
        </w:rPr>
      </w:pPr>
      <w:bookmarkStart w:id="30" w:name="_Toc482711537"/>
      <w:r w:rsidRPr="001E48AC">
        <w:rPr>
          <w:color w:val="auto"/>
        </w:rPr>
        <w:t>3.2. Ēku energoefektivitāte</w:t>
      </w:r>
      <w:bookmarkEnd w:id="30"/>
    </w:p>
    <w:p w14:paraId="0DCB8667" w14:textId="756EAE22" w:rsidR="00FB5564" w:rsidRPr="001E48AC" w:rsidRDefault="00AA70E3" w:rsidP="007942A4">
      <w:pPr>
        <w:pStyle w:val="Heading3"/>
        <w:rPr>
          <w:rStyle w:val="Heading3Char"/>
          <w:b/>
          <w:bCs/>
          <w:color w:val="auto"/>
          <w:szCs w:val="28"/>
        </w:rPr>
      </w:pPr>
      <w:bookmarkStart w:id="31" w:name="_Toc482711538"/>
      <w:r w:rsidRPr="001E48AC">
        <w:rPr>
          <w:rStyle w:val="Heading3Char"/>
          <w:b/>
          <w:bCs/>
          <w:color w:val="auto"/>
          <w:szCs w:val="28"/>
        </w:rPr>
        <w:t xml:space="preserve">3.2.1. </w:t>
      </w:r>
      <w:r w:rsidR="00C36BDA" w:rsidRPr="001E48AC">
        <w:rPr>
          <w:rStyle w:val="Heading3Char"/>
          <w:b/>
          <w:bCs/>
          <w:color w:val="auto"/>
          <w:szCs w:val="28"/>
        </w:rPr>
        <w:t xml:space="preserve">ES fondu </w:t>
      </w:r>
      <w:r w:rsidR="00C36BDA" w:rsidRPr="001E48AC">
        <w:rPr>
          <w:rStyle w:val="Heading3Char"/>
          <w:b/>
          <w:bCs/>
          <w:color w:val="auto"/>
        </w:rPr>
        <w:t>finansējums</w:t>
      </w:r>
      <w:r w:rsidR="00C36BDA" w:rsidRPr="001E48AC">
        <w:rPr>
          <w:rStyle w:val="Heading3Char"/>
          <w:b/>
          <w:bCs/>
          <w:color w:val="auto"/>
          <w:szCs w:val="28"/>
        </w:rPr>
        <w:t xml:space="preserve"> ēku atjaunošanai</w:t>
      </w:r>
      <w:bookmarkEnd w:id="31"/>
    </w:p>
    <w:p w14:paraId="77E5CAD6" w14:textId="56C4302A" w:rsidR="003638AA" w:rsidRPr="001E48AC" w:rsidRDefault="003638AA" w:rsidP="001D3038">
      <w:pPr>
        <w:shd w:val="clear" w:color="auto" w:fill="FFFFFF"/>
        <w:spacing w:after="0" w:line="240" w:lineRule="auto"/>
        <w:ind w:firstLine="720"/>
        <w:jc w:val="both"/>
        <w:rPr>
          <w:szCs w:val="28"/>
        </w:rPr>
      </w:pPr>
      <w:r w:rsidRPr="001E48AC">
        <w:rPr>
          <w:szCs w:val="28"/>
        </w:rPr>
        <w:t>Pamata finanšu avots ēku renovācijai laikā līdz 2023.gadam ir ES fondu finansējums. Lai nodrošinātu Latvijas pāreju uz ekonomiku ar zemu oglekļa emisijas līmeni visās nozarēs Eiropas Savienības struktūrfondi un Kohēzijas fonda finansējums 2014.-2020.gada plānošanas periodā ir piešķirts šādu specifisko atbalsta mērķu pasākumu īstenošanai:</w:t>
      </w:r>
    </w:p>
    <w:p w14:paraId="45A377FE" w14:textId="28E7158D" w:rsidR="003638AA" w:rsidRPr="001E48AC" w:rsidRDefault="003638AA" w:rsidP="001D3038">
      <w:pPr>
        <w:shd w:val="clear" w:color="auto" w:fill="FFFFFF"/>
        <w:spacing w:after="0" w:line="240" w:lineRule="auto"/>
        <w:ind w:firstLine="720"/>
        <w:jc w:val="both"/>
        <w:rPr>
          <w:szCs w:val="28"/>
        </w:rPr>
      </w:pPr>
      <w:r w:rsidRPr="001E48AC">
        <w:rPr>
          <w:szCs w:val="28"/>
        </w:rPr>
        <w:t xml:space="preserve">1. 4.1.1. specifiskais atbalsta mērķis “Veicināt  efektīvu  energoresursu  izmantošanu,  enerģijas patēriņa samazināšanu un pāreju uz AER apstrādes rūpniecības nozarē” (turpmāk – 4.1.1.SAM). </w:t>
      </w:r>
    </w:p>
    <w:p w14:paraId="2B3F15AE" w14:textId="3F7465DD" w:rsidR="003638AA" w:rsidRPr="001E48AC" w:rsidRDefault="003638AA" w:rsidP="003638AA">
      <w:pPr>
        <w:shd w:val="clear" w:color="auto" w:fill="FFFFFF"/>
        <w:spacing w:after="0" w:line="240" w:lineRule="auto"/>
        <w:jc w:val="both"/>
        <w:rPr>
          <w:i/>
          <w:szCs w:val="28"/>
        </w:rPr>
      </w:pPr>
      <w:r w:rsidRPr="001E48AC">
        <w:rPr>
          <w:szCs w:val="28"/>
        </w:rPr>
        <w:t xml:space="preserve">4.1.1.SAM kopējais pieejamais publiskais finansējums ir 38,3 milj. euro (KF finansējums 32,55 milj. euro, valsts budžets – 5,74 euro). Atbalsts grantu veidā tiks sniegts sīkajiem (mikro), mazajiem, vidējiem un lielajiem komersantiem, kas veic saimniecisko darbību apstrādes rūpniecības nozarēs.  4.1.1. SAM ietvaros projektu iesniegumu atlase norit no 13.12.2016. līdz 12.05.2017. </w:t>
      </w:r>
      <w:r w:rsidRPr="001E48AC">
        <w:rPr>
          <w:i/>
          <w:szCs w:val="28"/>
        </w:rPr>
        <w:t>(Ieviešanas stāvoklis uz 31.03.2017. - CFLA iesniegti 2 projekta pieteikumi).</w:t>
      </w:r>
    </w:p>
    <w:p w14:paraId="2E2F75D9" w14:textId="5C158ECF" w:rsidR="003638AA" w:rsidRPr="001E48AC" w:rsidRDefault="003638AA" w:rsidP="001D3038">
      <w:pPr>
        <w:shd w:val="clear" w:color="auto" w:fill="FFFFFF"/>
        <w:spacing w:after="0" w:line="240" w:lineRule="auto"/>
        <w:ind w:firstLine="720"/>
        <w:jc w:val="both"/>
        <w:rPr>
          <w:szCs w:val="28"/>
        </w:rPr>
      </w:pPr>
      <w:r w:rsidRPr="001E48AC">
        <w:rPr>
          <w:szCs w:val="28"/>
        </w:rPr>
        <w:t>2.</w:t>
      </w:r>
      <w:r w:rsidR="001D3038" w:rsidRPr="001E48AC">
        <w:rPr>
          <w:szCs w:val="28"/>
        </w:rPr>
        <w:t xml:space="preserve"> </w:t>
      </w:r>
      <w:r w:rsidRPr="001E48AC">
        <w:rPr>
          <w:szCs w:val="28"/>
        </w:rPr>
        <w:t>4.2.1.1. specifiskā atbalsta mērķa pasākums “Veicināt energoefektivitātes paaugstināšanu dzīvojamās ēkās” (turpmāk – 4.2.1.1. SAM pasākums).</w:t>
      </w:r>
    </w:p>
    <w:p w14:paraId="6DC8E42A" w14:textId="226791B1" w:rsidR="003638AA" w:rsidRPr="001E48AC" w:rsidRDefault="003638AA" w:rsidP="003638AA">
      <w:pPr>
        <w:shd w:val="clear" w:color="auto" w:fill="FFFFFF"/>
        <w:spacing w:after="0" w:line="240" w:lineRule="auto"/>
        <w:jc w:val="both"/>
        <w:rPr>
          <w:szCs w:val="28"/>
        </w:rPr>
      </w:pPr>
      <w:r w:rsidRPr="001E48AC">
        <w:rPr>
          <w:szCs w:val="28"/>
        </w:rPr>
        <w:t xml:space="preserve">4.2.1.1.SAM pasākuma īstenošanai kopējais publiskais finansējums ir 166,47 milj. euro (ERAF finansējums 141,49 milj. euro un valsts budžeta līdzfinansējums 24,97 milj. euro). 4.2.1.1.SAM pasākuma nosacījumi ir izstrādāti un atbalsta sniegšana dzīvokļu īpašniekiem grantu, aizdevumu un garantiju veidā tika uzsākta 14.09.2016. </w:t>
      </w:r>
      <w:r w:rsidRPr="001E48AC">
        <w:rPr>
          <w:i/>
          <w:szCs w:val="28"/>
        </w:rPr>
        <w:t>(Ieviešanas stāvoklis uz 31.03.2017- Altum iesniegta 106 ēku tehniskā dokumentācija; Altum ir sniedzis 39 atzinumus par ēku tehnisko dokumentāciju; Iepirkuma procedūra uzsākta par 11 ēku atjaunošanu; 1 ēkai piešķirts atbalsts granta veidā)</w:t>
      </w:r>
    </w:p>
    <w:p w14:paraId="4EE61365" w14:textId="53D6C16A" w:rsidR="003638AA" w:rsidRPr="001E48AC" w:rsidRDefault="003638AA" w:rsidP="001D3038">
      <w:pPr>
        <w:shd w:val="clear" w:color="auto" w:fill="FFFFFF"/>
        <w:spacing w:after="0" w:line="240" w:lineRule="auto"/>
        <w:ind w:firstLine="720"/>
        <w:jc w:val="both"/>
        <w:rPr>
          <w:szCs w:val="28"/>
        </w:rPr>
      </w:pPr>
      <w:r w:rsidRPr="001E48AC">
        <w:rPr>
          <w:szCs w:val="28"/>
        </w:rPr>
        <w:lastRenderedPageBreak/>
        <w:t>3. 4.2.1.2. specifiskā atbalsta mērķa pasākums “Veicināt energoefektivitātes paaugstināšanu valsts ēkās” (turpmāk – 4.2.1.2. SAM pasākums).</w:t>
      </w:r>
    </w:p>
    <w:p w14:paraId="5882A936" w14:textId="33CC132B" w:rsidR="003638AA" w:rsidRPr="001E48AC" w:rsidRDefault="003638AA" w:rsidP="003638AA">
      <w:pPr>
        <w:shd w:val="clear" w:color="auto" w:fill="FFFFFF"/>
        <w:spacing w:after="0" w:line="240" w:lineRule="auto"/>
        <w:jc w:val="both"/>
        <w:rPr>
          <w:i/>
          <w:szCs w:val="28"/>
        </w:rPr>
      </w:pPr>
      <w:r w:rsidRPr="001E48AC">
        <w:rPr>
          <w:szCs w:val="28"/>
        </w:rPr>
        <w:t xml:space="preserve">4.2.1.2.SAM pasākuma īstenošanai atvēlēts publiskais finansējums 115,12 milj. euro apmērā (ERAF finansējums 97,85 milj. euro, valsts budžets – 17,26 milj. euro), kas tiks sniegts valsts ēku īpašniekiem granta veidā. 4.2.1.2.pasākuma pirmā projektu iesniegumu atlases kārta norit no 19.09.2016. līdz 31.12.2018. </w:t>
      </w:r>
      <w:r w:rsidRPr="001E48AC">
        <w:rPr>
          <w:i/>
          <w:szCs w:val="28"/>
        </w:rPr>
        <w:t>(Ieviešanas stāvoklis uz 31.03.2017 - CFLA iesniegti 12 projektu pieteikumi; apstiprināts 1 projekta pieteikums.)</w:t>
      </w:r>
    </w:p>
    <w:p w14:paraId="37083276" w14:textId="431D399B" w:rsidR="00594C11" w:rsidRPr="001E48AC" w:rsidRDefault="00594C11" w:rsidP="003638AA">
      <w:pPr>
        <w:shd w:val="clear" w:color="auto" w:fill="FFFFFF"/>
        <w:spacing w:after="0" w:line="240" w:lineRule="auto"/>
        <w:jc w:val="both"/>
        <w:rPr>
          <w:rFonts w:cs="Times New Roman"/>
          <w:szCs w:val="28"/>
        </w:rPr>
      </w:pPr>
      <w:r w:rsidRPr="001E48AC">
        <w:rPr>
          <w:szCs w:val="28"/>
        </w:rPr>
        <w:tab/>
      </w:r>
      <w:r w:rsidRPr="001E48AC">
        <w:rPr>
          <w:rFonts w:cs="Times New Roman"/>
          <w:szCs w:val="28"/>
        </w:rPr>
        <w:t>4.</w:t>
      </w:r>
      <w:r w:rsidR="00D6140D" w:rsidRPr="001E48AC">
        <w:rPr>
          <w:rFonts w:cs="Times New Roman"/>
          <w:szCs w:val="28"/>
        </w:rPr>
        <w:t xml:space="preserve"> 4.2.2. specifiskā atbalsta mērķa pasākums “Atbilstoši pašvaldības integrētajām attīstības programmām sekmēt energoefektivitātes paaugstināšanu un AER izmantošanu pašvaldību ēkās” (turpmāk – 4.2.2. SAM pasākums).</w:t>
      </w:r>
    </w:p>
    <w:p w14:paraId="0B6DDCC2" w14:textId="4DCDC294" w:rsidR="00D6140D" w:rsidRPr="001E48AC" w:rsidRDefault="00D6140D" w:rsidP="007942A4">
      <w:pPr>
        <w:shd w:val="clear" w:color="auto" w:fill="FFFFFF"/>
        <w:spacing w:after="0" w:line="240" w:lineRule="auto"/>
        <w:jc w:val="both"/>
        <w:rPr>
          <w:rFonts w:cs="Times New Roman"/>
          <w:szCs w:val="28"/>
        </w:rPr>
      </w:pPr>
      <w:r w:rsidRPr="001E48AC">
        <w:rPr>
          <w:rFonts w:cs="Times New Roman"/>
          <w:szCs w:val="28"/>
        </w:rPr>
        <w:t>4.2.2. SAM pasākuma īstenošanai atvēlēts publiskais finansējums</w:t>
      </w:r>
      <w:r w:rsidR="006277A2" w:rsidRPr="001E48AC">
        <w:rPr>
          <w:rFonts w:cs="Times New Roman"/>
          <w:szCs w:val="28"/>
        </w:rPr>
        <w:t xml:space="preserve"> </w:t>
      </w:r>
      <w:r w:rsidRPr="001E48AC">
        <w:rPr>
          <w:rFonts w:cs="Times New Roman"/>
          <w:szCs w:val="28"/>
        </w:rPr>
        <w:t xml:space="preserve">55,289 </w:t>
      </w:r>
      <w:proofErr w:type="spellStart"/>
      <w:r w:rsidRPr="001E48AC">
        <w:rPr>
          <w:rFonts w:cs="Times New Roman"/>
          <w:szCs w:val="28"/>
        </w:rPr>
        <w:t>milj.euro</w:t>
      </w:r>
      <w:proofErr w:type="spellEnd"/>
      <w:r w:rsidRPr="001E48AC">
        <w:rPr>
          <w:rFonts w:cs="Times New Roman"/>
          <w:szCs w:val="28"/>
        </w:rPr>
        <w:t xml:space="preserve"> apmērā (ERAF</w:t>
      </w:r>
      <w:r w:rsidRPr="001E48AC">
        <w:rPr>
          <w:rFonts w:eastAsia="Times New Roman" w:cs="Times New Roman"/>
          <w:szCs w:val="28"/>
          <w:lang w:eastAsia="lv-LV"/>
        </w:rPr>
        <w:t xml:space="preserve"> finansējums – 46,996 euro un nacionālais finansējums (pašvaldību finansējums, valsts budžeta dotācija pašvaldībām) – vismaz 8,293 </w:t>
      </w:r>
      <w:r w:rsidRPr="001E48AC">
        <w:rPr>
          <w:rFonts w:eastAsia="Times New Roman" w:cs="Times New Roman"/>
          <w:iCs/>
          <w:szCs w:val="28"/>
          <w:lang w:eastAsia="lv-LV"/>
        </w:rPr>
        <w:t>euro)</w:t>
      </w:r>
      <w:r w:rsidRPr="001E48AC">
        <w:rPr>
          <w:rFonts w:eastAsia="Times New Roman" w:cs="Times New Roman"/>
          <w:szCs w:val="28"/>
          <w:lang w:eastAsia="lv-LV"/>
        </w:rPr>
        <w:t xml:space="preserve">. </w:t>
      </w:r>
      <w:r w:rsidRPr="001E48AC">
        <w:rPr>
          <w:rFonts w:cs="Times New Roman"/>
          <w:szCs w:val="28"/>
        </w:rPr>
        <w:t xml:space="preserve">4.2.2. SAM pasākumu īsteno divās kārtās: </w:t>
      </w:r>
      <w:r w:rsidRPr="001E48AC">
        <w:rPr>
          <w:rFonts w:cs="Times New Roman"/>
        </w:rPr>
        <w:t>"Energoefektivitātes paaugstināšana un atjaunojamo energoresursu izmantošana nacionālas nozīmes attīstības centru pašvaldībās" - pirmā projektu atlases kārta</w:t>
      </w:r>
      <w:r w:rsidR="00AA1AB9" w:rsidRPr="001E48AC">
        <w:rPr>
          <w:rFonts w:cs="Times New Roman"/>
        </w:rPr>
        <w:t xml:space="preserve"> (projektu atlase uzsākta 2016.gada 17.oktobrī)</w:t>
      </w:r>
      <w:r w:rsidRPr="001E48AC">
        <w:rPr>
          <w:rFonts w:cs="Times New Roman"/>
        </w:rPr>
        <w:t xml:space="preserve"> un "Energoefektivitātes paaugstināšana un atjaunojamo energoresursu izmantošana ārpus nacionālas nozīmes attīstības centru pašvaldībām" – otrā projektu atlases kārta</w:t>
      </w:r>
      <w:r w:rsidR="00AA1AB9" w:rsidRPr="001E48AC">
        <w:rPr>
          <w:rFonts w:cs="Times New Roman"/>
        </w:rPr>
        <w:t xml:space="preserve"> (projektu atlase uzsākta 2016.gada 30.novembrī)</w:t>
      </w:r>
      <w:r w:rsidRPr="001E48AC">
        <w:rPr>
          <w:rFonts w:cs="Times New Roman"/>
        </w:rPr>
        <w:t>.</w:t>
      </w:r>
      <w:r w:rsidR="00AA1AB9" w:rsidRPr="001E48AC">
        <w:rPr>
          <w:rFonts w:cs="Times New Roman"/>
        </w:rPr>
        <w:t xml:space="preserve"> </w:t>
      </w:r>
    </w:p>
    <w:p w14:paraId="48D356DF" w14:textId="10BAC2AA" w:rsidR="00D6140D" w:rsidRPr="001E48AC" w:rsidRDefault="00D6140D" w:rsidP="00D6140D">
      <w:pPr>
        <w:spacing w:after="0" w:line="240" w:lineRule="auto"/>
        <w:rPr>
          <w:rFonts w:ascii="Arial" w:eastAsia="Times New Roman" w:hAnsi="Arial" w:cs="Arial"/>
          <w:vanish/>
          <w:sz w:val="20"/>
          <w:szCs w:val="20"/>
          <w:lang w:eastAsia="lv-LV"/>
        </w:rPr>
      </w:pPr>
      <w:r w:rsidRPr="001E48AC">
        <w:rPr>
          <w:rFonts w:ascii="Arial" w:eastAsia="Times New Roman" w:hAnsi="Arial" w:cs="Arial"/>
          <w:vanish/>
          <w:sz w:val="20"/>
          <w:szCs w:val="20"/>
          <w:lang w:eastAsia="lv-LV"/>
        </w:rPr>
        <w:t xml:space="preserve"> 15</w:t>
      </w:r>
    </w:p>
    <w:p w14:paraId="0E868EFC" w14:textId="77777777" w:rsidR="00D6140D" w:rsidRPr="001E48AC" w:rsidRDefault="00D6140D" w:rsidP="003638AA">
      <w:pPr>
        <w:shd w:val="clear" w:color="auto" w:fill="FFFFFF"/>
        <w:spacing w:after="0" w:line="240" w:lineRule="auto"/>
        <w:jc w:val="both"/>
        <w:rPr>
          <w:szCs w:val="28"/>
        </w:rPr>
      </w:pPr>
    </w:p>
    <w:p w14:paraId="0DFF444F" w14:textId="49041F25" w:rsidR="003638AA" w:rsidRPr="001E48AC" w:rsidRDefault="003638AA" w:rsidP="001D3038">
      <w:pPr>
        <w:shd w:val="clear" w:color="auto" w:fill="FFFFFF"/>
        <w:spacing w:after="0" w:line="240" w:lineRule="auto"/>
        <w:ind w:firstLine="720"/>
        <w:jc w:val="both"/>
        <w:rPr>
          <w:szCs w:val="28"/>
        </w:rPr>
      </w:pPr>
      <w:r w:rsidRPr="001E48AC">
        <w:rPr>
          <w:szCs w:val="28"/>
        </w:rPr>
        <w:t xml:space="preserve">Papildus minētajām programmām ēku </w:t>
      </w:r>
      <w:r w:rsidR="006A3C53" w:rsidRPr="001E48AC">
        <w:rPr>
          <w:szCs w:val="28"/>
        </w:rPr>
        <w:t xml:space="preserve">renovācija notiek arī citās aktivitātēs, kas finansētas no publiskiem (valsts, pašvaldību un ES fondu) līdzekļiem. Ja aktivitāte sekmē energoefektivitātes uzlabošanu, par finansējuma piešķiršanu atbildīgās iestādes saskaņā ar Energoefektivitātes likuma prasībām nosaka enerģijas patēriņa rādītājus, kas pēc tam tiek uzskaitīti energoefektivitātes monitoringa sistēmas ietvaros. </w:t>
      </w:r>
    </w:p>
    <w:p w14:paraId="3A09B0EF" w14:textId="74010E83" w:rsidR="00AA70E3" w:rsidRPr="001E48AC" w:rsidRDefault="000F4254" w:rsidP="007942A4">
      <w:pPr>
        <w:pStyle w:val="Heading3"/>
        <w:rPr>
          <w:color w:val="auto"/>
        </w:rPr>
      </w:pPr>
      <w:bookmarkStart w:id="32" w:name="_Toc482711539"/>
      <w:r w:rsidRPr="001E48AC">
        <w:rPr>
          <w:color w:val="auto"/>
        </w:rPr>
        <w:t xml:space="preserve">3.2.2. Citi pasākumi </w:t>
      </w:r>
      <w:r w:rsidR="00AA70E3" w:rsidRPr="001E48AC">
        <w:rPr>
          <w:color w:val="auto"/>
        </w:rPr>
        <w:t>energoefektivitāte</w:t>
      </w:r>
      <w:r w:rsidRPr="001E48AC">
        <w:rPr>
          <w:color w:val="auto"/>
        </w:rPr>
        <w:t>s veicināšanai</w:t>
      </w:r>
      <w:r w:rsidR="008C2F77" w:rsidRPr="001E48AC">
        <w:rPr>
          <w:color w:val="auto"/>
        </w:rPr>
        <w:t xml:space="preserve"> </w:t>
      </w:r>
      <w:r w:rsidR="000742AA" w:rsidRPr="001E48AC">
        <w:rPr>
          <w:color w:val="auto"/>
        </w:rPr>
        <w:t>būvniecības</w:t>
      </w:r>
      <w:r w:rsidR="008C2F77" w:rsidRPr="001E48AC">
        <w:rPr>
          <w:color w:val="auto"/>
        </w:rPr>
        <w:t xml:space="preserve"> nozarē</w:t>
      </w:r>
      <w:bookmarkEnd w:id="32"/>
    </w:p>
    <w:p w14:paraId="4BF51172" w14:textId="57B36685" w:rsidR="00BD3674" w:rsidRPr="001E48AC" w:rsidRDefault="00BD3674" w:rsidP="00EF1D2E">
      <w:pPr>
        <w:pStyle w:val="tv2131"/>
        <w:shd w:val="clear" w:color="auto" w:fill="FFFFFF"/>
        <w:spacing w:line="240" w:lineRule="auto"/>
        <w:ind w:firstLine="851"/>
        <w:jc w:val="both"/>
        <w:rPr>
          <w:rFonts w:eastAsiaTheme="minorHAnsi" w:cstheme="minorBidi"/>
          <w:color w:val="auto"/>
          <w:sz w:val="28"/>
          <w:szCs w:val="28"/>
          <w:lang w:eastAsia="en-US"/>
        </w:rPr>
      </w:pPr>
      <w:r w:rsidRPr="001E48AC">
        <w:rPr>
          <w:rFonts w:eastAsiaTheme="minorHAnsi" w:cstheme="minorBidi"/>
          <w:color w:val="auto"/>
          <w:sz w:val="28"/>
          <w:szCs w:val="28"/>
          <w:lang w:eastAsia="en-US"/>
        </w:rPr>
        <w:t xml:space="preserve">Lai veicinātu energoefektīvu ēku būvniecību, Latvija ir noteikusi šī ziņojuma 2.2. sadaļā minēto </w:t>
      </w:r>
      <w:r w:rsidRPr="001E48AC">
        <w:rPr>
          <w:rFonts w:eastAsiaTheme="minorHAnsi" w:cstheme="minorBidi"/>
          <w:b/>
          <w:color w:val="auto"/>
          <w:sz w:val="28"/>
          <w:szCs w:val="28"/>
          <w:lang w:eastAsia="en-US"/>
        </w:rPr>
        <w:t>mērķi gandrīz nulles enerģijas ēku attīstībai</w:t>
      </w:r>
      <w:r w:rsidRPr="001E48AC">
        <w:rPr>
          <w:rFonts w:eastAsiaTheme="minorHAnsi" w:cstheme="minorBidi"/>
          <w:color w:val="auto"/>
          <w:sz w:val="28"/>
          <w:szCs w:val="28"/>
          <w:lang w:eastAsia="en-US"/>
        </w:rPr>
        <w:t>. 2015.gada 11.novembrī pieņemti grozījumi Ministru kabineta 2013. gada 9. jūlija noteikumos Nr.383 „Noteikumi par ēku energosertifikāciju”</w:t>
      </w:r>
      <w:r w:rsidR="000742AA" w:rsidRPr="001E48AC">
        <w:rPr>
          <w:rStyle w:val="FootnoteReference"/>
          <w:rFonts w:eastAsiaTheme="minorHAnsi" w:cstheme="minorBidi"/>
          <w:color w:val="auto"/>
          <w:sz w:val="28"/>
          <w:szCs w:val="28"/>
          <w:lang w:eastAsia="en-US"/>
        </w:rPr>
        <w:footnoteReference w:id="31"/>
      </w:r>
      <w:r w:rsidRPr="001E48AC">
        <w:rPr>
          <w:rFonts w:eastAsiaTheme="minorHAnsi" w:cstheme="minorBidi"/>
          <w:color w:val="auto"/>
          <w:sz w:val="28"/>
          <w:szCs w:val="28"/>
          <w:lang w:eastAsia="en-US"/>
        </w:rPr>
        <w:t xml:space="preserve"> (turpmāk – MK noteikumi Nr.383). Tajos iekļauts plāns pakāpeniskai pārejai uz gandrīz nulles enerģijas ēku prasību piemērošanu jaunbūvēm. MK noteikumu Nr.383 5.pielikumā noteikti termiņi atkarībā no būvniecības ieceres apstiprināšanas brīža, lai no 2019.gada ēkas, kuras ir valsts īpašumā un institūciju valdījumā un </w:t>
      </w:r>
      <w:r w:rsidRPr="001E48AC">
        <w:rPr>
          <w:rFonts w:eastAsiaTheme="minorHAnsi" w:cstheme="minorBidi"/>
          <w:color w:val="auto"/>
          <w:sz w:val="28"/>
          <w:szCs w:val="28"/>
          <w:lang w:eastAsia="en-US"/>
        </w:rPr>
        <w:lastRenderedPageBreak/>
        <w:t>kurās atrodas valsts institūcijas, un no 2021.gada pārējās jaunbūves sasniegtu gandrīz nulles enerģijas ēkas patēriņa līmeņus. Gandrīz nulles” enerģijas ēka ir definēta Ēku energoefektivitātes likuma 1. panta 6. punktā un MK noteikumu Nr. 383 17. punktā.</w:t>
      </w:r>
    </w:p>
    <w:p w14:paraId="62B0D998" w14:textId="013F9486" w:rsidR="005C53FB" w:rsidRPr="001E48AC" w:rsidRDefault="002075BE" w:rsidP="001D3038">
      <w:pPr>
        <w:pStyle w:val="tv2131"/>
        <w:shd w:val="clear" w:color="auto" w:fill="FFFFFF"/>
        <w:spacing w:line="240" w:lineRule="auto"/>
        <w:ind w:firstLine="720"/>
        <w:jc w:val="both"/>
        <w:rPr>
          <w:rFonts w:eastAsiaTheme="minorHAnsi" w:cstheme="minorBidi"/>
          <w:color w:val="auto"/>
          <w:sz w:val="28"/>
          <w:szCs w:val="28"/>
          <w:lang w:eastAsia="en-US"/>
        </w:rPr>
      </w:pPr>
      <w:r w:rsidRPr="001E48AC">
        <w:rPr>
          <w:rFonts w:eastAsiaTheme="minorHAnsi" w:cstheme="minorBidi"/>
          <w:color w:val="auto"/>
          <w:sz w:val="28"/>
          <w:szCs w:val="28"/>
          <w:lang w:eastAsia="en-US"/>
        </w:rPr>
        <w:t>Celtniecības energoefektivitātes prasības ir integrētas</w:t>
      </w:r>
      <w:r w:rsidR="00E4000E" w:rsidRPr="001E48AC">
        <w:rPr>
          <w:rFonts w:eastAsiaTheme="minorHAnsi" w:cstheme="minorBidi"/>
          <w:color w:val="auto"/>
          <w:sz w:val="28"/>
          <w:szCs w:val="28"/>
          <w:lang w:eastAsia="en-US"/>
        </w:rPr>
        <w:t xml:space="preserve"> Latvijas būvniecības normatīva</w:t>
      </w:r>
      <w:r w:rsidRPr="001E48AC">
        <w:rPr>
          <w:rFonts w:eastAsiaTheme="minorHAnsi" w:cstheme="minorBidi"/>
          <w:color w:val="auto"/>
          <w:sz w:val="28"/>
          <w:szCs w:val="28"/>
          <w:lang w:eastAsia="en-US"/>
        </w:rPr>
        <w:t>jos aktos un būvniecības ekspertu apmācībā un sertificēšanā.</w:t>
      </w:r>
      <w:r w:rsidRPr="001E48AC">
        <w:rPr>
          <w:rFonts w:eastAsiaTheme="minorHAnsi" w:cstheme="minorBidi"/>
          <w:b/>
          <w:color w:val="auto"/>
          <w:sz w:val="28"/>
          <w:szCs w:val="28"/>
          <w:lang w:eastAsia="en-US"/>
        </w:rPr>
        <w:t xml:space="preserve"> </w:t>
      </w:r>
      <w:r w:rsidRPr="001E48AC">
        <w:rPr>
          <w:rFonts w:eastAsiaTheme="minorHAnsi" w:cstheme="minorBidi"/>
          <w:color w:val="auto"/>
          <w:sz w:val="28"/>
          <w:szCs w:val="28"/>
          <w:lang w:eastAsia="en-US"/>
        </w:rPr>
        <w:t>Viens no Latvijas Būvniecības likuma mērķiem ir energoresursu racionāla izma</w:t>
      </w:r>
      <w:r w:rsidR="000742AA" w:rsidRPr="001E48AC">
        <w:rPr>
          <w:rFonts w:eastAsiaTheme="minorHAnsi" w:cstheme="minorBidi"/>
          <w:color w:val="auto"/>
          <w:sz w:val="28"/>
          <w:szCs w:val="28"/>
          <w:lang w:eastAsia="en-US"/>
        </w:rPr>
        <w:t xml:space="preserve">ntošana un likums nosaka, ka </w:t>
      </w:r>
      <w:r w:rsidRPr="001E48AC">
        <w:rPr>
          <w:rFonts w:eastAsiaTheme="minorHAnsi" w:cstheme="minorBidi"/>
          <w:color w:val="auto"/>
          <w:sz w:val="28"/>
          <w:szCs w:val="28"/>
          <w:lang w:eastAsia="en-US"/>
        </w:rPr>
        <w:t>viena no būtiskām prasībām ir būves energoefektivitāte. Attiecīgi b</w:t>
      </w:r>
      <w:r w:rsidR="005C53FB" w:rsidRPr="001E48AC">
        <w:rPr>
          <w:rFonts w:eastAsiaTheme="minorHAnsi" w:cstheme="minorBidi"/>
          <w:color w:val="auto"/>
          <w:sz w:val="28"/>
          <w:szCs w:val="28"/>
          <w:lang w:eastAsia="en-US"/>
        </w:rPr>
        <w:t xml:space="preserve">ūvniecības speciālistu </w:t>
      </w:r>
      <w:r w:rsidRPr="001E48AC">
        <w:rPr>
          <w:rFonts w:eastAsiaTheme="minorHAnsi" w:cstheme="minorBidi"/>
          <w:color w:val="auto"/>
          <w:sz w:val="28"/>
          <w:szCs w:val="28"/>
          <w:lang w:eastAsia="en-US"/>
        </w:rPr>
        <w:t xml:space="preserve">sertifikācijā tiek pārbaudītas zināšanas un prasmes </w:t>
      </w:r>
      <w:r w:rsidR="005C53FB" w:rsidRPr="001E48AC">
        <w:rPr>
          <w:rFonts w:eastAsiaTheme="minorHAnsi" w:cstheme="minorBidi"/>
          <w:color w:val="auto"/>
          <w:sz w:val="28"/>
          <w:szCs w:val="28"/>
          <w:lang w:eastAsia="en-US"/>
        </w:rPr>
        <w:t>attiecībā uz energoefektivitātes prasībām</w:t>
      </w:r>
      <w:r w:rsidRPr="001E48AC">
        <w:rPr>
          <w:rFonts w:eastAsiaTheme="minorHAnsi" w:cstheme="minorBidi"/>
          <w:color w:val="auto"/>
          <w:sz w:val="28"/>
          <w:szCs w:val="28"/>
          <w:lang w:eastAsia="en-US"/>
        </w:rPr>
        <w:t>, tai skaitā uz tām, kas</w:t>
      </w:r>
      <w:r w:rsidRPr="001E48AC">
        <w:rPr>
          <w:rFonts w:eastAsiaTheme="minorHAnsi" w:cstheme="minorBidi"/>
          <w:b/>
          <w:color w:val="auto"/>
          <w:sz w:val="28"/>
          <w:szCs w:val="28"/>
          <w:lang w:eastAsia="en-US"/>
        </w:rPr>
        <w:t xml:space="preserve"> </w:t>
      </w:r>
      <w:r w:rsidR="005C53FB" w:rsidRPr="001E48AC">
        <w:rPr>
          <w:rFonts w:eastAsiaTheme="minorHAnsi" w:cstheme="minorBidi"/>
          <w:color w:val="auto"/>
          <w:sz w:val="28"/>
          <w:szCs w:val="28"/>
          <w:lang w:eastAsia="en-US"/>
        </w:rPr>
        <w:t>noteikt</w:t>
      </w:r>
      <w:r w:rsidRPr="001E48AC">
        <w:rPr>
          <w:rFonts w:eastAsiaTheme="minorHAnsi" w:cstheme="minorBidi"/>
          <w:color w:val="auto"/>
          <w:sz w:val="28"/>
          <w:szCs w:val="28"/>
          <w:lang w:eastAsia="en-US"/>
        </w:rPr>
        <w:t>as</w:t>
      </w:r>
      <w:r w:rsidR="005C53FB" w:rsidRPr="001E48AC">
        <w:rPr>
          <w:rFonts w:eastAsiaTheme="minorHAnsi" w:cstheme="minorBidi"/>
          <w:color w:val="auto"/>
          <w:sz w:val="28"/>
          <w:szCs w:val="28"/>
          <w:lang w:eastAsia="en-US"/>
        </w:rPr>
        <w:t xml:space="preserve"> </w:t>
      </w:r>
      <w:r w:rsidRPr="001E48AC">
        <w:rPr>
          <w:rFonts w:eastAsiaTheme="minorHAnsi" w:cstheme="minorBidi"/>
          <w:color w:val="auto"/>
          <w:sz w:val="28"/>
          <w:szCs w:val="28"/>
          <w:lang w:eastAsia="en-US"/>
        </w:rPr>
        <w:t xml:space="preserve">Būvniecības likumā un </w:t>
      </w:r>
      <w:r w:rsidR="00CB1E97" w:rsidRPr="001E48AC">
        <w:rPr>
          <w:rFonts w:eastAsiaTheme="minorHAnsi" w:cstheme="minorBidi"/>
          <w:color w:val="auto"/>
          <w:sz w:val="28"/>
          <w:szCs w:val="28"/>
          <w:lang w:eastAsia="en-US"/>
        </w:rPr>
        <w:t xml:space="preserve">Ministru kabineta </w:t>
      </w:r>
      <w:r w:rsidRPr="001E48AC">
        <w:rPr>
          <w:rFonts w:eastAsiaTheme="minorHAnsi" w:cstheme="minorBidi"/>
          <w:color w:val="auto"/>
          <w:sz w:val="28"/>
          <w:szCs w:val="28"/>
          <w:lang w:eastAsia="en-US"/>
        </w:rPr>
        <w:t xml:space="preserve">2014.gada 19.augusta </w:t>
      </w:r>
      <w:r w:rsidR="00CB1E97" w:rsidRPr="001E48AC">
        <w:rPr>
          <w:rFonts w:eastAsiaTheme="minorHAnsi" w:cstheme="minorBidi"/>
          <w:color w:val="auto"/>
          <w:sz w:val="28"/>
          <w:szCs w:val="28"/>
          <w:lang w:eastAsia="en-US"/>
        </w:rPr>
        <w:t>noteikum</w:t>
      </w:r>
      <w:r w:rsidRPr="001E48AC">
        <w:rPr>
          <w:rFonts w:eastAsiaTheme="minorHAnsi" w:cstheme="minorBidi"/>
          <w:color w:val="auto"/>
          <w:sz w:val="28"/>
          <w:szCs w:val="28"/>
          <w:lang w:eastAsia="en-US"/>
        </w:rPr>
        <w:t>os</w:t>
      </w:r>
      <w:r w:rsidR="00CB1E97" w:rsidRPr="001E48AC">
        <w:rPr>
          <w:rFonts w:eastAsiaTheme="minorHAnsi" w:cstheme="minorBidi"/>
          <w:color w:val="auto"/>
          <w:sz w:val="28"/>
          <w:szCs w:val="28"/>
          <w:lang w:eastAsia="en-US"/>
        </w:rPr>
        <w:t xml:space="preserve"> Nr.500 </w:t>
      </w:r>
      <w:r w:rsidRPr="001E48AC">
        <w:rPr>
          <w:rFonts w:eastAsiaTheme="minorHAnsi" w:cstheme="minorBidi"/>
          <w:color w:val="auto"/>
          <w:sz w:val="28"/>
          <w:szCs w:val="28"/>
          <w:lang w:eastAsia="en-US"/>
        </w:rPr>
        <w:t>“</w:t>
      </w:r>
      <w:r w:rsidR="00CB1E97" w:rsidRPr="001E48AC">
        <w:rPr>
          <w:rFonts w:eastAsiaTheme="minorHAnsi" w:cstheme="minorBidi"/>
          <w:color w:val="auto"/>
          <w:sz w:val="28"/>
          <w:szCs w:val="28"/>
          <w:lang w:eastAsia="en-US"/>
        </w:rPr>
        <w:t>Vispārīgie būvnoteikumi</w:t>
      </w:r>
      <w:r w:rsidRPr="001E48AC">
        <w:rPr>
          <w:rFonts w:eastAsiaTheme="minorHAnsi" w:cstheme="minorBidi"/>
          <w:color w:val="auto"/>
          <w:sz w:val="28"/>
          <w:szCs w:val="28"/>
          <w:lang w:eastAsia="en-US"/>
        </w:rPr>
        <w:t>”</w:t>
      </w:r>
      <w:r w:rsidR="00CB1E97" w:rsidRPr="001E48AC">
        <w:rPr>
          <w:rFonts w:eastAsiaTheme="minorHAnsi" w:cstheme="minorBidi"/>
          <w:color w:val="auto"/>
          <w:sz w:val="28"/>
          <w:szCs w:val="28"/>
          <w:lang w:eastAsia="en-US"/>
        </w:rPr>
        <w:t xml:space="preserve"> </w:t>
      </w:r>
    </w:p>
    <w:p w14:paraId="359896A7" w14:textId="67A65614" w:rsidR="005C53FB" w:rsidRPr="001E48AC" w:rsidRDefault="005C53FB" w:rsidP="001D3038">
      <w:pPr>
        <w:pStyle w:val="tv2131"/>
        <w:shd w:val="clear" w:color="auto" w:fill="FFFFFF"/>
        <w:spacing w:line="240" w:lineRule="auto"/>
        <w:ind w:firstLine="720"/>
        <w:jc w:val="both"/>
        <w:rPr>
          <w:rFonts w:eastAsiaTheme="minorHAnsi" w:cstheme="minorBidi"/>
          <w:color w:val="auto"/>
          <w:sz w:val="28"/>
          <w:szCs w:val="28"/>
          <w:lang w:eastAsia="en-US"/>
        </w:rPr>
      </w:pPr>
      <w:r w:rsidRPr="001E48AC">
        <w:rPr>
          <w:rFonts w:eastAsiaTheme="minorHAnsi" w:cstheme="minorBidi"/>
          <w:color w:val="auto"/>
          <w:sz w:val="28"/>
          <w:szCs w:val="28"/>
          <w:lang w:eastAsia="en-US"/>
        </w:rPr>
        <w:t>Būvniecības informācijas sistēm</w:t>
      </w:r>
      <w:r w:rsidR="00CB1E97" w:rsidRPr="001E48AC">
        <w:rPr>
          <w:rFonts w:eastAsiaTheme="minorHAnsi" w:cstheme="minorBidi"/>
          <w:color w:val="auto"/>
          <w:sz w:val="28"/>
          <w:szCs w:val="28"/>
          <w:lang w:eastAsia="en-US"/>
        </w:rPr>
        <w:t>ā</w:t>
      </w:r>
      <w:r w:rsidR="002075BE" w:rsidRPr="001E48AC">
        <w:rPr>
          <w:rStyle w:val="FootnoteReference"/>
          <w:rFonts w:eastAsiaTheme="minorHAnsi" w:cstheme="minorBidi"/>
          <w:color w:val="auto"/>
          <w:sz w:val="28"/>
          <w:szCs w:val="28"/>
          <w:lang w:eastAsia="en-US"/>
        </w:rPr>
        <w:footnoteReference w:id="32"/>
      </w:r>
      <w:r w:rsidR="00CB1E97" w:rsidRPr="001E48AC">
        <w:rPr>
          <w:rFonts w:eastAsiaTheme="minorHAnsi" w:cstheme="minorBidi"/>
          <w:color w:val="auto"/>
          <w:sz w:val="28"/>
          <w:szCs w:val="28"/>
          <w:lang w:eastAsia="en-US"/>
        </w:rPr>
        <w:t xml:space="preserve"> ir publiski pieejams Ēku energosertifikātu reģistrs un Neatkarīgo ekspertu ēku energoefektivitātes jomā</w:t>
      </w:r>
      <w:r w:rsidR="00CB1E97" w:rsidRPr="001E48AC">
        <w:rPr>
          <w:color w:val="auto"/>
        </w:rPr>
        <w:t xml:space="preserve"> </w:t>
      </w:r>
      <w:r w:rsidR="00CB1E97" w:rsidRPr="001E48AC">
        <w:rPr>
          <w:rFonts w:eastAsiaTheme="minorHAnsi" w:cstheme="minorBidi"/>
          <w:color w:val="auto"/>
          <w:sz w:val="28"/>
          <w:szCs w:val="28"/>
          <w:lang w:eastAsia="en-US"/>
        </w:rPr>
        <w:t>reģistrs.</w:t>
      </w:r>
    </w:p>
    <w:p w14:paraId="6B93FA8C" w14:textId="3E83EC46" w:rsidR="005C53FB" w:rsidRPr="001E48AC" w:rsidRDefault="002075BE" w:rsidP="001D3038">
      <w:pPr>
        <w:pStyle w:val="tv2131"/>
        <w:shd w:val="clear" w:color="auto" w:fill="FFFFFF"/>
        <w:spacing w:line="240" w:lineRule="auto"/>
        <w:ind w:firstLine="720"/>
        <w:jc w:val="both"/>
        <w:rPr>
          <w:rFonts w:eastAsiaTheme="minorHAnsi" w:cstheme="minorBidi"/>
          <w:color w:val="auto"/>
          <w:sz w:val="28"/>
          <w:szCs w:val="28"/>
          <w:lang w:eastAsia="en-US"/>
        </w:rPr>
      </w:pPr>
      <w:r w:rsidRPr="001E48AC">
        <w:rPr>
          <w:rFonts w:eastAsiaTheme="minorHAnsi" w:cstheme="minorBidi"/>
          <w:color w:val="auto"/>
          <w:sz w:val="28"/>
          <w:szCs w:val="28"/>
          <w:lang w:eastAsia="en-US"/>
        </w:rPr>
        <w:t>Energoefektivitātes likums</w:t>
      </w:r>
      <w:r w:rsidR="00104366" w:rsidRPr="001E48AC">
        <w:rPr>
          <w:rStyle w:val="FootnoteReference"/>
          <w:rFonts w:eastAsiaTheme="minorHAnsi" w:cstheme="minorBidi"/>
          <w:color w:val="auto"/>
          <w:sz w:val="28"/>
          <w:szCs w:val="28"/>
          <w:lang w:eastAsia="en-US"/>
        </w:rPr>
        <w:footnoteReference w:id="33"/>
      </w:r>
      <w:r w:rsidRPr="001E48AC">
        <w:rPr>
          <w:rFonts w:eastAsiaTheme="minorHAnsi" w:cstheme="minorBidi"/>
          <w:color w:val="auto"/>
          <w:sz w:val="28"/>
          <w:szCs w:val="28"/>
          <w:lang w:eastAsia="en-US"/>
        </w:rPr>
        <w:t xml:space="preserve"> </w:t>
      </w:r>
      <w:r w:rsidR="00104366" w:rsidRPr="001E48AC">
        <w:rPr>
          <w:rFonts w:eastAsiaTheme="minorHAnsi" w:cstheme="minorBidi"/>
          <w:color w:val="auto"/>
          <w:sz w:val="28"/>
          <w:szCs w:val="28"/>
          <w:lang w:eastAsia="en-US"/>
        </w:rPr>
        <w:t>paredz e</w:t>
      </w:r>
      <w:r w:rsidR="005C53FB" w:rsidRPr="001E48AC">
        <w:rPr>
          <w:rFonts w:eastAsiaTheme="minorHAnsi" w:cstheme="minorBidi"/>
          <w:color w:val="auto"/>
          <w:sz w:val="28"/>
          <w:szCs w:val="28"/>
          <w:lang w:eastAsia="en-US"/>
        </w:rPr>
        <w:t>nerģijas patēriņa rādītāj</w:t>
      </w:r>
      <w:r w:rsidR="00104366" w:rsidRPr="001E48AC">
        <w:rPr>
          <w:rFonts w:eastAsiaTheme="minorHAnsi" w:cstheme="minorBidi"/>
          <w:color w:val="auto"/>
          <w:sz w:val="28"/>
          <w:szCs w:val="28"/>
          <w:lang w:eastAsia="en-US"/>
        </w:rPr>
        <w:t>u</w:t>
      </w:r>
      <w:r w:rsidR="005C53FB" w:rsidRPr="001E48AC">
        <w:rPr>
          <w:rFonts w:eastAsiaTheme="minorHAnsi" w:cstheme="minorBidi"/>
          <w:color w:val="auto"/>
          <w:sz w:val="28"/>
          <w:szCs w:val="28"/>
          <w:lang w:eastAsia="en-US"/>
        </w:rPr>
        <w:t xml:space="preserve"> monitoringu visās atbalsta programmās, kurās atjauno </w:t>
      </w:r>
      <w:r w:rsidR="00104366" w:rsidRPr="001E48AC">
        <w:rPr>
          <w:rFonts w:eastAsiaTheme="minorHAnsi" w:cstheme="minorBidi"/>
          <w:color w:val="auto"/>
          <w:sz w:val="28"/>
          <w:szCs w:val="28"/>
          <w:lang w:eastAsia="en-US"/>
        </w:rPr>
        <w:t xml:space="preserve">vai būvē </w:t>
      </w:r>
      <w:r w:rsidR="005C53FB" w:rsidRPr="001E48AC">
        <w:rPr>
          <w:rFonts w:eastAsiaTheme="minorHAnsi" w:cstheme="minorBidi"/>
          <w:color w:val="auto"/>
          <w:sz w:val="28"/>
          <w:szCs w:val="28"/>
          <w:lang w:eastAsia="en-US"/>
        </w:rPr>
        <w:t>ēkas</w:t>
      </w:r>
      <w:r w:rsidR="00104366" w:rsidRPr="001E48AC">
        <w:rPr>
          <w:rFonts w:eastAsiaTheme="minorHAnsi" w:cstheme="minorBidi"/>
          <w:color w:val="auto"/>
          <w:sz w:val="28"/>
          <w:szCs w:val="28"/>
          <w:lang w:eastAsia="en-US"/>
        </w:rPr>
        <w:t>.</w:t>
      </w:r>
    </w:p>
    <w:p w14:paraId="135BB0F0" w14:textId="77B67381" w:rsidR="000963DC" w:rsidRPr="001E48AC" w:rsidRDefault="00BD3674" w:rsidP="0022103B">
      <w:pPr>
        <w:pStyle w:val="tv2131"/>
        <w:shd w:val="clear" w:color="auto" w:fill="FFFFFF"/>
        <w:spacing w:line="240" w:lineRule="auto"/>
        <w:ind w:firstLine="851"/>
        <w:jc w:val="both"/>
        <w:rPr>
          <w:rFonts w:eastAsiaTheme="minorHAnsi" w:cstheme="minorBidi"/>
          <w:color w:val="auto"/>
          <w:sz w:val="28"/>
          <w:szCs w:val="28"/>
          <w:lang w:eastAsia="en-US"/>
        </w:rPr>
      </w:pPr>
      <w:r w:rsidRPr="001E48AC">
        <w:rPr>
          <w:rFonts w:eastAsiaTheme="minorHAnsi" w:cstheme="minorBidi"/>
          <w:color w:val="auto"/>
          <w:sz w:val="28"/>
          <w:szCs w:val="28"/>
          <w:lang w:eastAsia="en-US"/>
        </w:rPr>
        <w:t>Latvijas Nacionālajā attīstības plān</w:t>
      </w:r>
      <w:r w:rsidR="00047BE8" w:rsidRPr="001E48AC">
        <w:rPr>
          <w:rFonts w:eastAsiaTheme="minorHAnsi" w:cstheme="minorBidi"/>
          <w:color w:val="auto"/>
          <w:sz w:val="28"/>
          <w:szCs w:val="28"/>
          <w:lang w:eastAsia="en-US"/>
        </w:rPr>
        <w:t xml:space="preserve">ā un </w:t>
      </w:r>
      <w:r w:rsidRPr="001E48AC">
        <w:rPr>
          <w:rFonts w:eastAsiaTheme="minorHAnsi" w:cstheme="minorBidi"/>
          <w:color w:val="auto"/>
          <w:sz w:val="28"/>
          <w:szCs w:val="28"/>
          <w:lang w:eastAsia="en-US"/>
        </w:rPr>
        <w:t xml:space="preserve">Pamatnostādnēs 2020 </w:t>
      </w:r>
      <w:r w:rsidR="00047BE8" w:rsidRPr="001E48AC">
        <w:rPr>
          <w:rFonts w:eastAsiaTheme="minorHAnsi" w:cstheme="minorBidi"/>
          <w:color w:val="auto"/>
          <w:sz w:val="28"/>
          <w:szCs w:val="28"/>
          <w:lang w:eastAsia="en-US"/>
        </w:rPr>
        <w:t xml:space="preserve">ir paredzēti </w:t>
      </w:r>
      <w:r w:rsidRPr="001E48AC">
        <w:rPr>
          <w:rFonts w:eastAsiaTheme="minorHAnsi" w:cstheme="minorBidi"/>
          <w:color w:val="auto"/>
          <w:sz w:val="28"/>
          <w:szCs w:val="28"/>
          <w:lang w:eastAsia="en-US"/>
        </w:rPr>
        <w:t xml:space="preserve"> ES fondu </w:t>
      </w:r>
      <w:r w:rsidR="00047BE8" w:rsidRPr="001E48AC">
        <w:rPr>
          <w:rFonts w:eastAsiaTheme="minorHAnsi" w:cstheme="minorBidi"/>
          <w:color w:val="auto"/>
          <w:sz w:val="28"/>
          <w:szCs w:val="28"/>
          <w:lang w:eastAsia="en-US"/>
        </w:rPr>
        <w:t xml:space="preserve">atbalstīta pasākumi daudzdzīvokļu, rūpniecisko, un publisko ēku energoefektivitātes uzlabošanai. </w:t>
      </w:r>
      <w:r w:rsidR="00FE6757" w:rsidRPr="001E48AC">
        <w:rPr>
          <w:rFonts w:eastAsiaTheme="minorHAnsi" w:cstheme="minorBidi"/>
          <w:color w:val="auto"/>
          <w:sz w:val="28"/>
          <w:szCs w:val="28"/>
          <w:lang w:eastAsia="en-US"/>
        </w:rPr>
        <w:t xml:space="preserve">Lai </w:t>
      </w:r>
      <w:r w:rsidR="00047BE8" w:rsidRPr="001E48AC">
        <w:rPr>
          <w:rFonts w:eastAsiaTheme="minorHAnsi" w:cstheme="minorBidi"/>
          <w:color w:val="auto"/>
          <w:sz w:val="28"/>
          <w:szCs w:val="28"/>
          <w:lang w:eastAsia="en-US"/>
        </w:rPr>
        <w:t xml:space="preserve">veicinātu energoefektivitātes mērķu </w:t>
      </w:r>
      <w:r w:rsidR="00FE6757" w:rsidRPr="001E48AC">
        <w:rPr>
          <w:rFonts w:eastAsiaTheme="minorHAnsi" w:cstheme="minorBidi"/>
          <w:color w:val="auto"/>
          <w:sz w:val="28"/>
          <w:szCs w:val="28"/>
          <w:lang w:eastAsia="en-US"/>
        </w:rPr>
        <w:t xml:space="preserve">  sasniegšanu ES fondu 2014. – 2020.</w:t>
      </w:r>
      <w:r w:rsidR="00DE528A" w:rsidRPr="001E48AC">
        <w:rPr>
          <w:rFonts w:eastAsiaTheme="minorHAnsi" w:cstheme="minorBidi"/>
          <w:color w:val="auto"/>
          <w:sz w:val="28"/>
          <w:szCs w:val="28"/>
          <w:lang w:eastAsia="en-US"/>
        </w:rPr>
        <w:t> </w:t>
      </w:r>
      <w:r w:rsidR="00FE6757" w:rsidRPr="001E48AC">
        <w:rPr>
          <w:rFonts w:eastAsiaTheme="minorHAnsi" w:cstheme="minorBidi"/>
          <w:color w:val="auto"/>
          <w:sz w:val="28"/>
          <w:szCs w:val="28"/>
          <w:lang w:eastAsia="en-US"/>
        </w:rPr>
        <w:t>gada plānošanas periodā</w:t>
      </w:r>
      <w:r w:rsidR="00FF2F30" w:rsidRPr="001E48AC">
        <w:rPr>
          <w:rFonts w:eastAsiaTheme="minorHAnsi" w:cstheme="minorBidi"/>
          <w:color w:val="auto"/>
          <w:sz w:val="28"/>
          <w:szCs w:val="28"/>
          <w:lang w:eastAsia="en-US"/>
        </w:rPr>
        <w:t>,</w:t>
      </w:r>
      <w:r w:rsidR="00FE6757" w:rsidRPr="001E48AC">
        <w:rPr>
          <w:rFonts w:eastAsiaTheme="minorHAnsi" w:cstheme="minorBidi"/>
          <w:color w:val="auto"/>
          <w:sz w:val="28"/>
          <w:szCs w:val="28"/>
          <w:lang w:eastAsia="en-US"/>
        </w:rPr>
        <w:t xml:space="preserve"> </w:t>
      </w:r>
      <w:r w:rsidR="000742AA" w:rsidRPr="001E48AC">
        <w:rPr>
          <w:rFonts w:eastAsiaTheme="minorHAnsi" w:cstheme="minorBidi"/>
          <w:color w:val="auto"/>
          <w:sz w:val="28"/>
          <w:szCs w:val="28"/>
          <w:lang w:eastAsia="en-US"/>
        </w:rPr>
        <w:t>tiks turpināta 2010.gadā veiksmīgi uzsāktā informatīvā</w:t>
      </w:r>
      <w:r w:rsidR="00047BE8" w:rsidRPr="001E48AC">
        <w:rPr>
          <w:rFonts w:eastAsiaTheme="minorHAnsi" w:cstheme="minorBidi"/>
          <w:color w:val="auto"/>
          <w:sz w:val="28"/>
          <w:szCs w:val="28"/>
          <w:lang w:eastAsia="en-US"/>
        </w:rPr>
        <w:t xml:space="preserve"> kampaņa „Dzīvot siltāk”, kuras ietvaros tiek izglītoti  </w:t>
      </w:r>
      <w:r w:rsidR="005C53FB" w:rsidRPr="001E48AC">
        <w:rPr>
          <w:rFonts w:eastAsiaTheme="minorHAnsi" w:cstheme="minorBidi"/>
          <w:color w:val="auto"/>
          <w:sz w:val="28"/>
          <w:szCs w:val="28"/>
          <w:lang w:eastAsia="en-US"/>
        </w:rPr>
        <w:t>projektu īstenotāji (celtniecības darbu plānotāji un izpildītāji) un</w:t>
      </w:r>
      <w:r w:rsidR="00047BE8" w:rsidRPr="001E48AC">
        <w:rPr>
          <w:rFonts w:eastAsiaTheme="minorHAnsi" w:cstheme="minorBidi"/>
          <w:color w:val="auto"/>
          <w:sz w:val="28"/>
          <w:szCs w:val="28"/>
          <w:lang w:eastAsia="en-US"/>
        </w:rPr>
        <w:t xml:space="preserve"> </w:t>
      </w:r>
      <w:r w:rsidR="005C53FB" w:rsidRPr="001E48AC">
        <w:rPr>
          <w:rFonts w:eastAsiaTheme="minorHAnsi" w:cstheme="minorBidi"/>
          <w:color w:val="auto"/>
          <w:sz w:val="28"/>
          <w:szCs w:val="28"/>
          <w:lang w:eastAsia="en-US"/>
        </w:rPr>
        <w:t>potenciālie projektu iesniedzēji (pasūtītāji)</w:t>
      </w:r>
      <w:r w:rsidR="000742AA" w:rsidRPr="001E48AC">
        <w:rPr>
          <w:rFonts w:eastAsiaTheme="minorHAnsi" w:cstheme="minorBidi"/>
          <w:color w:val="auto"/>
          <w:sz w:val="28"/>
          <w:szCs w:val="28"/>
          <w:lang w:eastAsia="en-US"/>
        </w:rPr>
        <w:t>.</w:t>
      </w:r>
      <w:r w:rsidR="000742AA" w:rsidRPr="001E48AC">
        <w:rPr>
          <w:rFonts w:eastAsiaTheme="minorHAnsi" w:cstheme="minorBidi"/>
          <w:b/>
          <w:color w:val="auto"/>
          <w:sz w:val="28"/>
          <w:szCs w:val="28"/>
          <w:lang w:eastAsia="en-US"/>
        </w:rPr>
        <w:t xml:space="preserve"> </w:t>
      </w:r>
      <w:r w:rsidR="00047BE8" w:rsidRPr="001E48AC">
        <w:rPr>
          <w:rFonts w:eastAsiaTheme="minorHAnsi" w:cstheme="minorBidi"/>
          <w:color w:val="auto"/>
          <w:sz w:val="28"/>
          <w:szCs w:val="28"/>
          <w:lang w:eastAsia="en-US"/>
        </w:rPr>
        <w:t xml:space="preserve">Kampaņā tiek organizēti </w:t>
      </w:r>
      <w:r w:rsidR="00FE6757" w:rsidRPr="001E48AC">
        <w:rPr>
          <w:rFonts w:eastAsiaTheme="minorHAnsi" w:cstheme="minorBidi"/>
          <w:color w:val="auto"/>
          <w:sz w:val="28"/>
          <w:szCs w:val="28"/>
          <w:lang w:eastAsia="en-US"/>
        </w:rPr>
        <w:t>izglītojoš</w:t>
      </w:r>
      <w:r w:rsidR="00047BE8" w:rsidRPr="001E48AC">
        <w:rPr>
          <w:rFonts w:eastAsiaTheme="minorHAnsi" w:cstheme="minorBidi"/>
          <w:color w:val="auto"/>
          <w:sz w:val="28"/>
          <w:szCs w:val="28"/>
          <w:lang w:eastAsia="en-US"/>
        </w:rPr>
        <w:t>i</w:t>
      </w:r>
      <w:r w:rsidR="00FE6757" w:rsidRPr="001E48AC">
        <w:rPr>
          <w:rFonts w:eastAsiaTheme="minorHAnsi" w:cstheme="minorBidi"/>
          <w:color w:val="auto"/>
          <w:sz w:val="28"/>
          <w:szCs w:val="28"/>
          <w:lang w:eastAsia="en-US"/>
        </w:rPr>
        <w:t xml:space="preserve"> seminār</w:t>
      </w:r>
      <w:r w:rsidR="00047BE8" w:rsidRPr="001E48AC">
        <w:rPr>
          <w:rFonts w:eastAsiaTheme="minorHAnsi" w:cstheme="minorBidi"/>
          <w:color w:val="auto"/>
          <w:sz w:val="28"/>
          <w:szCs w:val="28"/>
          <w:lang w:eastAsia="en-US"/>
        </w:rPr>
        <w:t>i</w:t>
      </w:r>
      <w:r w:rsidR="00FE6757" w:rsidRPr="001E48AC">
        <w:rPr>
          <w:rFonts w:eastAsiaTheme="minorHAnsi" w:cstheme="minorBidi"/>
          <w:color w:val="auto"/>
          <w:sz w:val="28"/>
          <w:szCs w:val="28"/>
          <w:lang w:eastAsia="en-US"/>
        </w:rPr>
        <w:t xml:space="preserve"> un konferences energoefektivitātes jomā ne tikai daudzdzīvokļu māju sektorā, bet arī publiskajā sektorā. </w:t>
      </w:r>
      <w:r w:rsidR="00047BE8" w:rsidRPr="001E48AC">
        <w:rPr>
          <w:rFonts w:eastAsiaTheme="minorHAnsi" w:cstheme="minorBidi"/>
          <w:color w:val="auto"/>
          <w:sz w:val="28"/>
          <w:szCs w:val="28"/>
          <w:lang w:eastAsia="en-US"/>
        </w:rPr>
        <w:t xml:space="preserve">Laikā līdz 2020.gadam tiks nodrošināti </w:t>
      </w:r>
      <w:r w:rsidR="005C53FB" w:rsidRPr="001E48AC">
        <w:rPr>
          <w:rFonts w:eastAsiaTheme="minorHAnsi" w:cstheme="minorBidi"/>
          <w:color w:val="auto"/>
          <w:sz w:val="28"/>
          <w:szCs w:val="28"/>
          <w:lang w:eastAsia="en-US"/>
        </w:rPr>
        <w:t xml:space="preserve">arī </w:t>
      </w:r>
      <w:r w:rsidR="00047BE8" w:rsidRPr="001E48AC">
        <w:rPr>
          <w:rFonts w:eastAsiaTheme="minorHAnsi" w:cstheme="minorBidi"/>
          <w:color w:val="auto"/>
          <w:sz w:val="28"/>
          <w:szCs w:val="28"/>
          <w:lang w:eastAsia="en-US"/>
        </w:rPr>
        <w:t xml:space="preserve">attiecīgi </w:t>
      </w:r>
      <w:r w:rsidR="00FE6757" w:rsidRPr="001E48AC">
        <w:rPr>
          <w:rFonts w:eastAsiaTheme="minorHAnsi" w:cstheme="minorBidi"/>
          <w:color w:val="auto"/>
          <w:sz w:val="28"/>
          <w:szCs w:val="28"/>
          <w:lang w:eastAsia="en-US"/>
        </w:rPr>
        <w:t>metodiskie materiāli</w:t>
      </w:r>
      <w:r w:rsidR="00B6435F" w:rsidRPr="001E48AC">
        <w:rPr>
          <w:rFonts w:eastAsiaTheme="minorHAnsi" w:cstheme="minorBidi"/>
          <w:color w:val="auto"/>
          <w:sz w:val="28"/>
          <w:szCs w:val="28"/>
          <w:lang w:eastAsia="en-US"/>
        </w:rPr>
        <w:t xml:space="preserve"> </w:t>
      </w:r>
      <w:r w:rsidR="00FE6757" w:rsidRPr="001E48AC">
        <w:rPr>
          <w:rFonts w:eastAsiaTheme="minorHAnsi" w:cstheme="minorBidi"/>
          <w:color w:val="auto"/>
          <w:sz w:val="28"/>
          <w:szCs w:val="28"/>
          <w:lang w:eastAsia="en-US"/>
        </w:rPr>
        <w:t xml:space="preserve">par </w:t>
      </w:r>
      <w:r w:rsidR="00047BE8" w:rsidRPr="001E48AC">
        <w:rPr>
          <w:rFonts w:eastAsiaTheme="minorHAnsi" w:cstheme="minorBidi"/>
          <w:color w:val="auto"/>
          <w:sz w:val="28"/>
          <w:szCs w:val="28"/>
          <w:lang w:eastAsia="en-US"/>
        </w:rPr>
        <w:t xml:space="preserve">energoefektivitātes </w:t>
      </w:r>
      <w:r w:rsidR="00FE6757" w:rsidRPr="001E48AC">
        <w:rPr>
          <w:rFonts w:eastAsiaTheme="minorHAnsi" w:cstheme="minorBidi"/>
          <w:color w:val="auto"/>
          <w:sz w:val="28"/>
          <w:szCs w:val="28"/>
          <w:lang w:eastAsia="en-US"/>
        </w:rPr>
        <w:t xml:space="preserve">projekta sagatavošanas un ieviešanas jautājumiem, kā arī par ēkas </w:t>
      </w:r>
      <w:r w:rsidR="00047BE8" w:rsidRPr="001E48AC">
        <w:rPr>
          <w:rFonts w:eastAsiaTheme="minorHAnsi" w:cstheme="minorBidi"/>
          <w:color w:val="auto"/>
          <w:sz w:val="28"/>
          <w:szCs w:val="28"/>
          <w:lang w:eastAsia="en-US"/>
        </w:rPr>
        <w:t xml:space="preserve">pareizu </w:t>
      </w:r>
      <w:r w:rsidR="00FE6757" w:rsidRPr="001E48AC">
        <w:rPr>
          <w:rFonts w:eastAsiaTheme="minorHAnsi" w:cstheme="minorBidi"/>
          <w:color w:val="auto"/>
          <w:sz w:val="28"/>
          <w:szCs w:val="28"/>
          <w:lang w:eastAsia="en-US"/>
        </w:rPr>
        <w:t>ekspluatāciju pēc energoefektivitātes projekta pabeigšanas.</w:t>
      </w:r>
    </w:p>
    <w:p w14:paraId="5A52E36B" w14:textId="357C7F4B" w:rsidR="000963DC" w:rsidRPr="001E48AC" w:rsidRDefault="00AA70E3" w:rsidP="0022103B">
      <w:pPr>
        <w:pStyle w:val="Heading2"/>
        <w:rPr>
          <w:color w:val="auto"/>
        </w:rPr>
      </w:pPr>
      <w:bookmarkStart w:id="33" w:name="_Toc482711540"/>
      <w:r w:rsidRPr="001E48AC">
        <w:rPr>
          <w:color w:val="auto"/>
        </w:rPr>
        <w:t>3.3. Publisko struktūru ēku energoefektivitāte</w:t>
      </w:r>
      <w:bookmarkEnd w:id="33"/>
    </w:p>
    <w:p w14:paraId="5DE640CC" w14:textId="5965F239" w:rsidR="000963DC" w:rsidRPr="001E48AC" w:rsidRDefault="00AA70E3" w:rsidP="007942A4">
      <w:pPr>
        <w:pStyle w:val="Heading3"/>
        <w:rPr>
          <w:color w:val="auto"/>
        </w:rPr>
      </w:pPr>
      <w:bookmarkStart w:id="34" w:name="_Toc482711541"/>
      <w:r w:rsidRPr="001E48AC">
        <w:rPr>
          <w:rStyle w:val="Heading3Char"/>
          <w:b/>
          <w:bCs/>
          <w:color w:val="auto"/>
        </w:rPr>
        <w:t>3.3.1. Valsts sektora ēku energoefektivitāte</w:t>
      </w:r>
      <w:bookmarkEnd w:id="34"/>
    </w:p>
    <w:p w14:paraId="73247918" w14:textId="183115B2" w:rsidR="001C3D4A" w:rsidRPr="001E48AC" w:rsidRDefault="001C3D4A" w:rsidP="00D11599">
      <w:pPr>
        <w:spacing w:after="0" w:line="240" w:lineRule="auto"/>
        <w:ind w:firstLine="720"/>
        <w:jc w:val="both"/>
      </w:pPr>
      <w:r w:rsidRPr="001E48AC">
        <w:t xml:space="preserve">Atbilstoši Energoefektivitātes likuma 5.panta prasībām, valsts iestādēm ir tiesības izstrādāt un pieņemt energoefektivitātes plānu, kurā ir iekļauti noteikti energoefektivitātes mērķi un pasākumi, atsevišķi vai kā sava energoefektivitātes plāna īstenošanas sastāvdaļu ieviest energopārvaldības sistēmu un izmantot energoefektivitātes pakalpojumus un slēgt energoefektivitātes pakalpojuma līgumus, lai īstenotu energoefektivitātes uzlabošanas pasākumus. Savukārt, valsts </w:t>
      </w:r>
      <w:r w:rsidRPr="001E48AC">
        <w:lastRenderedPageBreak/>
        <w:t>tiešās pārvaldes iestādēm, kuru īpašumā vai valdījumā ir ēkas ar 10 000m2 vai lielāku apkurināmo platību, ievieš energopārvaldības sistēmu līdz 2017.gada 1.novembrim. Kārtību, kādā valsts iestāde paziņo par energopārvaldības sistēmas ieviešanu nosaka MK noteikumi Nr. 668. Tā kā Energoefektivitātes likumā noteiktais termiņš vēl nav iestājies, tad valsts iestādes vēl nav ziņojušas par minētā pienākuma izpildi.</w:t>
      </w:r>
      <w:r w:rsidR="00A52FE4" w:rsidRPr="001E48AC">
        <w:t xml:space="preserve"> </w:t>
      </w:r>
      <w:r w:rsidR="00875AA9" w:rsidRPr="001E48AC">
        <w:rPr>
          <w:rFonts w:eastAsiaTheme="majorEastAsia" w:cs="Times New Roman"/>
          <w:bCs/>
          <w:szCs w:val="28"/>
        </w:rPr>
        <w:t>Latvijai saistībā ar Direktīvas 2012/27/ES ieviešanu jāsasniedz indikatīvais valsts energoefektivitātes mērķis, kura ietvaros katru gadu jārenovē 3% valstij piederošo ēku platības, kas noteikts Direktīvas 2012/27/ES 5. pantā. Tā kā valsts ēkas veido daļu no valsts enerģijas galapatēriņa, tad centrālās valdības ēku 3% renovācijas mērķa izpilde dod ieguldījumu kopējā galapatēriņa 1,5% ietaupījuma mērķa sasniegšanā.</w:t>
      </w:r>
      <w:r w:rsidR="00E4000E" w:rsidRPr="001E48AC">
        <w:rPr>
          <w:rFonts w:eastAsiaTheme="majorEastAsia" w:cs="Times New Roman"/>
          <w:bCs/>
          <w:szCs w:val="28"/>
        </w:rPr>
        <w:t xml:space="preserve"> </w:t>
      </w:r>
    </w:p>
    <w:p w14:paraId="58387893" w14:textId="7B9736F6" w:rsidR="00E4000E" w:rsidRPr="001E48AC" w:rsidRDefault="00E4000E" w:rsidP="001C3D4A">
      <w:pPr>
        <w:pStyle w:val="NormalWeb"/>
        <w:spacing w:before="0" w:beforeAutospacing="0" w:after="0" w:afterAutospacing="0"/>
        <w:ind w:firstLine="720"/>
        <w:jc w:val="both"/>
        <w:rPr>
          <w:b/>
          <w:sz w:val="28"/>
          <w:szCs w:val="28"/>
        </w:rPr>
      </w:pPr>
      <w:r w:rsidRPr="001E48AC">
        <w:rPr>
          <w:sz w:val="28"/>
          <w:szCs w:val="28"/>
        </w:rPr>
        <w:t>Ekonomikas Ministrija atbilstoši Direktīvas 2012/27/ES  5. panta 5. punkta prasībām ik gadu sagatavo un savā tīmekļa vietnē internetā publicē valsts institūciju īpašumā, valdījumā un lietošanā esošo ēku sarakstu</w:t>
      </w:r>
      <w:r w:rsidRPr="001E48AC">
        <w:rPr>
          <w:rStyle w:val="FootnoteReference"/>
          <w:sz w:val="28"/>
          <w:szCs w:val="28"/>
        </w:rPr>
        <w:footnoteReference w:id="34"/>
      </w:r>
      <w:r w:rsidRPr="001E48AC">
        <w:rPr>
          <w:sz w:val="28"/>
          <w:szCs w:val="28"/>
        </w:rPr>
        <w:t xml:space="preserve">. </w:t>
      </w:r>
    </w:p>
    <w:p w14:paraId="09768263" w14:textId="77777777" w:rsidR="00E4000E" w:rsidRPr="001E48AC" w:rsidRDefault="00E4000E" w:rsidP="00E4000E">
      <w:pPr>
        <w:spacing w:after="0" w:line="240" w:lineRule="auto"/>
        <w:jc w:val="both"/>
        <w:rPr>
          <w:szCs w:val="28"/>
        </w:rPr>
      </w:pPr>
      <w:r w:rsidRPr="001E48AC">
        <w:rPr>
          <w:szCs w:val="28"/>
        </w:rPr>
        <w:t>1)Atbilstoši ēku sarakstam uz 2017. gada 1. janvāri, aprēķinātais  3% platību renovācijas mērķis 2017. gadā ir 59 980.10 m</w:t>
      </w:r>
      <w:r w:rsidRPr="001E48AC">
        <w:rPr>
          <w:szCs w:val="28"/>
          <w:vertAlign w:val="superscript"/>
        </w:rPr>
        <w:t>2</w:t>
      </w:r>
      <w:r w:rsidRPr="001E48AC">
        <w:rPr>
          <w:szCs w:val="28"/>
        </w:rPr>
        <w:t>.</w:t>
      </w:r>
    </w:p>
    <w:p w14:paraId="2274C16B" w14:textId="77777777" w:rsidR="00E4000E" w:rsidRPr="001E48AC" w:rsidRDefault="00E4000E" w:rsidP="00E4000E">
      <w:pPr>
        <w:spacing w:after="0" w:line="240" w:lineRule="auto"/>
        <w:jc w:val="both"/>
        <w:rPr>
          <w:szCs w:val="28"/>
        </w:rPr>
      </w:pPr>
      <w:r w:rsidRPr="001E48AC">
        <w:rPr>
          <w:szCs w:val="28"/>
        </w:rPr>
        <w:t>2)Atbilstoši ēku sarakstam uz 2016. gada 1. janvāri, aprēķinātais  3% platību renovācijas mērķis 2016. gadā bija 66 175.41 m</w:t>
      </w:r>
      <w:r w:rsidRPr="001E48AC">
        <w:rPr>
          <w:szCs w:val="28"/>
          <w:vertAlign w:val="superscript"/>
        </w:rPr>
        <w:t>2</w:t>
      </w:r>
      <w:r w:rsidRPr="001E48AC">
        <w:rPr>
          <w:szCs w:val="28"/>
        </w:rPr>
        <w:t>.</w:t>
      </w:r>
    </w:p>
    <w:p w14:paraId="742CFB36" w14:textId="77777777" w:rsidR="00E4000E" w:rsidRPr="001E48AC" w:rsidRDefault="00E4000E" w:rsidP="00E4000E">
      <w:pPr>
        <w:spacing w:after="0" w:line="240" w:lineRule="auto"/>
        <w:jc w:val="both"/>
        <w:rPr>
          <w:szCs w:val="28"/>
        </w:rPr>
      </w:pPr>
      <w:r w:rsidRPr="001E48AC">
        <w:rPr>
          <w:szCs w:val="28"/>
        </w:rPr>
        <w:t>3)Atbilstoši ēku sarakstam uz 2015. gada 1. janvāri, aprēķinātais  3% platību renovācijas mērķis 2015. gadā bija 74 908.00 m</w:t>
      </w:r>
      <w:r w:rsidRPr="001E48AC">
        <w:rPr>
          <w:szCs w:val="28"/>
          <w:vertAlign w:val="superscript"/>
        </w:rPr>
        <w:t>2</w:t>
      </w:r>
      <w:r w:rsidRPr="001E48AC">
        <w:rPr>
          <w:szCs w:val="28"/>
        </w:rPr>
        <w:t>.</w:t>
      </w:r>
    </w:p>
    <w:p w14:paraId="7CAE428C" w14:textId="77777777" w:rsidR="00E4000E" w:rsidRPr="001E48AC" w:rsidRDefault="00E4000E" w:rsidP="00E4000E">
      <w:pPr>
        <w:spacing w:after="0" w:line="240" w:lineRule="auto"/>
        <w:jc w:val="both"/>
        <w:rPr>
          <w:szCs w:val="28"/>
        </w:rPr>
      </w:pPr>
      <w:r w:rsidRPr="001E48AC">
        <w:rPr>
          <w:szCs w:val="28"/>
        </w:rPr>
        <w:t>4)Atbilstoši ēku sarakstam uz 2014. gada 1. janvāri, aprēķinātais  3% platību renovācijas mērķis 2014. gadā bija 77 679 m</w:t>
      </w:r>
      <w:r w:rsidRPr="001E48AC">
        <w:rPr>
          <w:szCs w:val="28"/>
          <w:vertAlign w:val="superscript"/>
        </w:rPr>
        <w:t>2</w:t>
      </w:r>
      <w:r w:rsidRPr="001E48AC">
        <w:rPr>
          <w:szCs w:val="28"/>
        </w:rPr>
        <w:t>.</w:t>
      </w:r>
    </w:p>
    <w:p w14:paraId="2FAE418F" w14:textId="333D42D5" w:rsidR="000963DC" w:rsidRPr="001E48AC" w:rsidRDefault="00AA70E3" w:rsidP="007942A4">
      <w:pPr>
        <w:pStyle w:val="Heading3"/>
        <w:rPr>
          <w:color w:val="auto"/>
        </w:rPr>
      </w:pPr>
      <w:bookmarkStart w:id="35" w:name="_Toc482711542"/>
      <w:r w:rsidRPr="001E48AC">
        <w:rPr>
          <w:rStyle w:val="Heading3Char"/>
          <w:b/>
          <w:bCs/>
          <w:color w:val="auto"/>
        </w:rPr>
        <w:t xml:space="preserve">3.3.2. Citu </w:t>
      </w:r>
      <w:r w:rsidRPr="001E48AC">
        <w:rPr>
          <w:color w:val="auto"/>
        </w:rPr>
        <w:t>publisko struktūru ēku</w:t>
      </w:r>
      <w:r w:rsidRPr="001E48AC">
        <w:rPr>
          <w:rStyle w:val="Heading3Char"/>
          <w:b/>
          <w:bCs/>
          <w:color w:val="auto"/>
        </w:rPr>
        <w:t xml:space="preserve"> energoefektivitāte</w:t>
      </w:r>
      <w:bookmarkEnd w:id="35"/>
    </w:p>
    <w:p w14:paraId="64A30561" w14:textId="77777777" w:rsidR="00B7439C" w:rsidRPr="001E48AC" w:rsidRDefault="00EB06B1" w:rsidP="00EB06B1">
      <w:pPr>
        <w:pStyle w:val="Default"/>
        <w:jc w:val="both"/>
        <w:rPr>
          <w:color w:val="auto"/>
          <w:sz w:val="28"/>
          <w:szCs w:val="28"/>
        </w:rPr>
      </w:pPr>
      <w:r w:rsidRPr="001E48AC">
        <w:rPr>
          <w:color w:val="auto"/>
        </w:rPr>
        <w:tab/>
      </w:r>
      <w:r w:rsidRPr="001E48AC">
        <w:rPr>
          <w:color w:val="auto"/>
          <w:sz w:val="28"/>
          <w:szCs w:val="28"/>
        </w:rPr>
        <w:t>Latvijas Nacionālajā</w:t>
      </w:r>
      <w:r w:rsidR="006E7C86" w:rsidRPr="001E48AC">
        <w:rPr>
          <w:color w:val="auto"/>
          <w:sz w:val="28"/>
          <w:szCs w:val="28"/>
        </w:rPr>
        <w:t xml:space="preserve"> attīstības plānā 2014. – 2020. </w:t>
      </w:r>
      <w:r w:rsidRPr="001E48AC">
        <w:rPr>
          <w:color w:val="auto"/>
          <w:sz w:val="28"/>
          <w:szCs w:val="28"/>
        </w:rPr>
        <w:t>gadam kā veicamie uzdevumi</w:t>
      </w:r>
      <w:r w:rsidR="00B7439C" w:rsidRPr="001E48AC">
        <w:rPr>
          <w:color w:val="auto"/>
          <w:sz w:val="28"/>
          <w:szCs w:val="28"/>
        </w:rPr>
        <w:t xml:space="preserve"> saistībā ar </w:t>
      </w:r>
      <w:r w:rsidR="00492A28" w:rsidRPr="001E48AC">
        <w:rPr>
          <w:color w:val="auto"/>
          <w:sz w:val="28"/>
          <w:szCs w:val="28"/>
        </w:rPr>
        <w:t xml:space="preserve">publiskā sektora </w:t>
      </w:r>
      <w:r w:rsidR="00B7439C" w:rsidRPr="001E48AC">
        <w:rPr>
          <w:color w:val="auto"/>
          <w:sz w:val="28"/>
          <w:szCs w:val="28"/>
        </w:rPr>
        <w:t>energoefektivitāti</w:t>
      </w:r>
      <w:r w:rsidRPr="001E48AC">
        <w:rPr>
          <w:color w:val="auto"/>
          <w:sz w:val="28"/>
          <w:szCs w:val="28"/>
        </w:rPr>
        <w:t xml:space="preserve"> ir noteikti </w:t>
      </w:r>
      <w:r w:rsidR="00B7439C" w:rsidRPr="001E48AC">
        <w:rPr>
          <w:color w:val="auto"/>
          <w:sz w:val="28"/>
          <w:szCs w:val="28"/>
        </w:rPr>
        <w:t>:</w:t>
      </w:r>
    </w:p>
    <w:p w14:paraId="5D1247B5" w14:textId="77777777" w:rsidR="00EB06B1" w:rsidRPr="001E48AC" w:rsidRDefault="00B7439C" w:rsidP="00CE55AA">
      <w:pPr>
        <w:pStyle w:val="Default"/>
        <w:numPr>
          <w:ilvl w:val="0"/>
          <w:numId w:val="20"/>
        </w:numPr>
        <w:jc w:val="both"/>
        <w:rPr>
          <w:color w:val="auto"/>
          <w:sz w:val="28"/>
          <w:szCs w:val="28"/>
        </w:rPr>
      </w:pPr>
      <w:r w:rsidRPr="001E48AC">
        <w:rPr>
          <w:color w:val="auto"/>
          <w:sz w:val="28"/>
          <w:szCs w:val="28"/>
        </w:rPr>
        <w:t>p</w:t>
      </w:r>
      <w:r w:rsidR="00EB06B1" w:rsidRPr="001E48AC">
        <w:rPr>
          <w:color w:val="auto"/>
          <w:sz w:val="28"/>
          <w:szCs w:val="28"/>
        </w:rPr>
        <w:t>ašvaldību energoplānu izstrāde, paredzot kompleksus pasākumus energoefektivitātes veicināšanai un pārejai u</w:t>
      </w:r>
      <w:r w:rsidR="008C3320" w:rsidRPr="001E48AC">
        <w:rPr>
          <w:color w:val="auto"/>
          <w:sz w:val="28"/>
          <w:szCs w:val="28"/>
        </w:rPr>
        <w:t>z atjaunojamiem energoresursiem (indikatīvais finansējuma avots - Kohēzijas politikas fondu, valsts budžeta un privātais finansējums</w:t>
      </w:r>
      <w:r w:rsidR="008C3320" w:rsidRPr="001E48AC">
        <w:rPr>
          <w:color w:val="auto"/>
          <w:sz w:val="22"/>
          <w:szCs w:val="22"/>
        </w:rPr>
        <w:t>);</w:t>
      </w:r>
    </w:p>
    <w:p w14:paraId="2155D30E" w14:textId="77777777" w:rsidR="008C3320" w:rsidRPr="001E48AC" w:rsidRDefault="008C3320" w:rsidP="008C3320">
      <w:pPr>
        <w:pStyle w:val="Default"/>
        <w:numPr>
          <w:ilvl w:val="0"/>
          <w:numId w:val="20"/>
        </w:numPr>
        <w:jc w:val="both"/>
        <w:rPr>
          <w:color w:val="auto"/>
          <w:sz w:val="28"/>
          <w:szCs w:val="28"/>
        </w:rPr>
      </w:pPr>
      <w:r w:rsidRPr="001E48AC">
        <w:rPr>
          <w:color w:val="auto"/>
          <w:sz w:val="28"/>
          <w:szCs w:val="28"/>
        </w:rPr>
        <w:t>ņemot vērā, ka atbilstoši ES fondu 2014. –2020. gada plānošanas perioda darbības programmā „Izaugsme un nodarbinātība” plānotajam, energoefektivitātes uzlabošana pašvaldības ēkās tiks īstenota integrētas pilsētvides attīstības investīciju ietvaros, nacionālas nozīmes attīstības centru gadījumā energoplāniem jābūt iekļautiem pašvaldību attīstības plānos.</w:t>
      </w:r>
    </w:p>
    <w:p w14:paraId="748E93EE" w14:textId="77777777" w:rsidR="00B7439C" w:rsidRPr="001E48AC" w:rsidRDefault="004E183B" w:rsidP="00CE55AA">
      <w:pPr>
        <w:pStyle w:val="Default"/>
        <w:numPr>
          <w:ilvl w:val="0"/>
          <w:numId w:val="20"/>
        </w:numPr>
        <w:jc w:val="both"/>
        <w:rPr>
          <w:color w:val="auto"/>
          <w:sz w:val="28"/>
          <w:szCs w:val="28"/>
        </w:rPr>
      </w:pPr>
      <w:r w:rsidRPr="001E48AC">
        <w:rPr>
          <w:color w:val="auto"/>
          <w:sz w:val="28"/>
          <w:szCs w:val="28"/>
        </w:rPr>
        <w:t>e</w:t>
      </w:r>
      <w:r w:rsidR="00B7439C" w:rsidRPr="001E48AC">
        <w:rPr>
          <w:color w:val="auto"/>
          <w:sz w:val="28"/>
          <w:szCs w:val="28"/>
        </w:rPr>
        <w:t>nergoefektivitātes programmas valsts un paš</w:t>
      </w:r>
      <w:r w:rsidRPr="001E48AC">
        <w:rPr>
          <w:color w:val="auto"/>
          <w:sz w:val="28"/>
          <w:szCs w:val="28"/>
        </w:rPr>
        <w:t>valdību sabiedrisko ēku sektorā.</w:t>
      </w:r>
    </w:p>
    <w:p w14:paraId="1CCDF51E" w14:textId="206907E3" w:rsidR="00394635" w:rsidRPr="001E48AC" w:rsidRDefault="00394635" w:rsidP="00394635">
      <w:pPr>
        <w:pStyle w:val="Default"/>
        <w:ind w:firstLine="709"/>
        <w:jc w:val="both"/>
        <w:rPr>
          <w:color w:val="auto"/>
          <w:sz w:val="28"/>
          <w:szCs w:val="28"/>
        </w:rPr>
      </w:pPr>
      <w:r w:rsidRPr="001E48AC">
        <w:rPr>
          <w:color w:val="auto"/>
          <w:sz w:val="28"/>
          <w:szCs w:val="28"/>
        </w:rPr>
        <w:lastRenderedPageBreak/>
        <w:t>Nacionālas nozīmes attīstības centru gadījumā energoplāniem jābūt iekļautiem pašvaldību attīstības plānos, ņemot vērā, ka atbilstoši ES fondu 2014. –2020. gada plānošanas perioda darbības programmā „Izaugsme un nodarbinātība” plānotajam, energoefektivitātes uzlabošana pašvaldības ēkās tiks īstenota integrētas pilsētvides attīstības investīciju ietvaros, kas nozīmē kopīgu investīciju stratēģijas nepieciešamību pašvaldībā.</w:t>
      </w:r>
      <w:r w:rsidR="009762C6" w:rsidRPr="001E48AC">
        <w:rPr>
          <w:color w:val="auto"/>
          <w:sz w:val="28"/>
          <w:szCs w:val="28"/>
        </w:rPr>
        <w:t xml:space="preserve"> Pašvaldību energoplānu izstrādi paredzēts finansēt no pašvaldību budžetiem.</w:t>
      </w:r>
    </w:p>
    <w:p w14:paraId="78604004" w14:textId="4DDFCA7C" w:rsidR="0022103B" w:rsidRPr="001E48AC" w:rsidRDefault="0022103B" w:rsidP="0022103B">
      <w:pPr>
        <w:pStyle w:val="Heading2"/>
        <w:rPr>
          <w:color w:val="auto"/>
        </w:rPr>
      </w:pPr>
      <w:bookmarkStart w:id="36" w:name="_Toc482711543"/>
      <w:r w:rsidRPr="001E48AC">
        <w:rPr>
          <w:color w:val="auto"/>
        </w:rPr>
        <w:t>3.4. Publisko struktūru iepirkumi</w:t>
      </w:r>
      <w:bookmarkEnd w:id="36"/>
    </w:p>
    <w:p w14:paraId="60CFD6B3" w14:textId="5587B981" w:rsidR="0004306E" w:rsidRPr="001E48AC" w:rsidRDefault="0057269C" w:rsidP="007942A4">
      <w:pPr>
        <w:spacing w:after="0" w:line="240" w:lineRule="auto"/>
        <w:jc w:val="both"/>
        <w:rPr>
          <w:rFonts w:cs="Times New Roman"/>
          <w:szCs w:val="28"/>
        </w:rPr>
      </w:pPr>
      <w:bookmarkStart w:id="37" w:name="_Toc480297104"/>
      <w:r w:rsidRPr="001E48AC">
        <w:tab/>
      </w:r>
      <w:r w:rsidR="0004306E" w:rsidRPr="001E48AC">
        <w:rPr>
          <w:rFonts w:cs="Times New Roman"/>
          <w:bCs/>
          <w:szCs w:val="28"/>
        </w:rPr>
        <w:t>Ministru kabineta 2017.gada 28.marta noteikumi Nr.180 (turpmāk – MK n</w:t>
      </w:r>
      <w:r w:rsidR="0004306E" w:rsidRPr="001E48AC">
        <w:rPr>
          <w:bCs/>
          <w:szCs w:val="28"/>
        </w:rPr>
        <w:t>ote</w:t>
      </w:r>
      <w:r w:rsidR="0004306E" w:rsidRPr="001E48AC">
        <w:rPr>
          <w:rFonts w:cs="Times New Roman"/>
          <w:bCs/>
          <w:szCs w:val="28"/>
        </w:rPr>
        <w:t>ikumi Nr.180)</w:t>
      </w:r>
      <w:r w:rsidR="0004306E" w:rsidRPr="001E48AC">
        <w:rPr>
          <w:bCs/>
          <w:szCs w:val="28"/>
        </w:rPr>
        <w:t xml:space="preserve"> ”</w:t>
      </w:r>
      <w:r w:rsidR="0004306E" w:rsidRPr="001E48AC">
        <w:rPr>
          <w:rFonts w:cs="Times New Roman"/>
          <w:szCs w:val="28"/>
        </w:rPr>
        <w:t>Tiešās pārvaldes iestāžu rīkotajos iepirkumos izvirzāmās preču un pakalpojumu energoefektivitātes prasības</w:t>
      </w:r>
      <w:r w:rsidR="0004306E" w:rsidRPr="001E48AC">
        <w:rPr>
          <w:szCs w:val="28"/>
        </w:rPr>
        <w:t>”</w:t>
      </w:r>
      <w:r w:rsidR="0004306E" w:rsidRPr="001E48AC">
        <w:rPr>
          <w:rStyle w:val="FootnoteReference"/>
          <w:szCs w:val="28"/>
        </w:rPr>
        <w:footnoteReference w:id="35"/>
      </w:r>
      <w:r w:rsidR="0004306E" w:rsidRPr="001E48AC">
        <w:rPr>
          <w:szCs w:val="28"/>
        </w:rPr>
        <w:t xml:space="preserve">, ir </w:t>
      </w:r>
      <w:r w:rsidR="0004306E" w:rsidRPr="001E48AC">
        <w:rPr>
          <w:rFonts w:cs="Times New Roman"/>
          <w:szCs w:val="28"/>
        </w:rPr>
        <w:t>izdot</w:t>
      </w:r>
      <w:r w:rsidR="0004306E" w:rsidRPr="001E48AC">
        <w:rPr>
          <w:szCs w:val="28"/>
        </w:rPr>
        <w:t>i</w:t>
      </w:r>
      <w:r w:rsidR="006D6525" w:rsidRPr="001E48AC">
        <w:rPr>
          <w:szCs w:val="28"/>
        </w:rPr>
        <w:t>,</w:t>
      </w:r>
      <w:r w:rsidR="0004306E" w:rsidRPr="001E48AC">
        <w:rPr>
          <w:rFonts w:cs="Times New Roman"/>
          <w:szCs w:val="28"/>
        </w:rPr>
        <w:t xml:space="preserve"> pamatojoties uz Publisko iepirkumu likuma</w:t>
      </w:r>
      <w:r w:rsidR="006D6525" w:rsidRPr="001E48AC">
        <w:rPr>
          <w:rStyle w:val="FootnoteReference"/>
          <w:rFonts w:cs="Times New Roman"/>
          <w:szCs w:val="28"/>
        </w:rPr>
        <w:footnoteReference w:id="36"/>
      </w:r>
      <w:r w:rsidR="0004306E" w:rsidRPr="001E48AC">
        <w:rPr>
          <w:rFonts w:cs="Times New Roman"/>
          <w:szCs w:val="28"/>
        </w:rPr>
        <w:t xml:space="preserve"> 55.panta otrajā daļā </w:t>
      </w:r>
      <w:r w:rsidR="0004306E" w:rsidRPr="001E48AC">
        <w:rPr>
          <w:szCs w:val="28"/>
        </w:rPr>
        <w:t xml:space="preserve">noteikto deleģējumu </w:t>
      </w:r>
      <w:r w:rsidR="0004306E" w:rsidRPr="001E48AC">
        <w:rPr>
          <w:rFonts w:cs="Times New Roman"/>
          <w:szCs w:val="28"/>
        </w:rPr>
        <w:t>noteikt  tiešās pārvaldes iestāžu rīkotajos iepirkumos izvirzāmās prasības attiecībā uz preču un pakalpojumu energoef</w:t>
      </w:r>
      <w:r w:rsidR="0004306E" w:rsidRPr="001E48AC">
        <w:rPr>
          <w:szCs w:val="28"/>
        </w:rPr>
        <w:t xml:space="preserve">ektivitāti. </w:t>
      </w:r>
      <w:r w:rsidR="0004306E" w:rsidRPr="001E48AC">
        <w:rPr>
          <w:rFonts w:eastAsia="Times New Roman" w:cs="Times New Roman"/>
          <w:szCs w:val="28"/>
          <w:lang w:eastAsia="lv-LV"/>
        </w:rPr>
        <w:t>Energoefektivitātes prasības iepirkumos tiek izvirzītas tikai tām precēm, kurām ir ES noteiktas ekodizaina vai energomarķēšanas prasības un tādējādi to energoefektivitāte ir pārbaudāma pēc noteikta marķējuma vai atbilstības deklarācijas.</w:t>
      </w:r>
      <w:r w:rsidR="00A767C6" w:rsidRPr="001E48AC">
        <w:rPr>
          <w:rFonts w:eastAsia="Times New Roman" w:cs="Times New Roman"/>
          <w:szCs w:val="28"/>
          <w:lang w:eastAsia="lv-LV"/>
        </w:rPr>
        <w:t xml:space="preserve"> Ar </w:t>
      </w:r>
      <w:r w:rsidR="00A767C6" w:rsidRPr="001E48AC">
        <w:rPr>
          <w:rFonts w:cs="Times New Roman"/>
          <w:bCs/>
          <w:szCs w:val="28"/>
        </w:rPr>
        <w:t>MK n</w:t>
      </w:r>
      <w:r w:rsidR="00A767C6" w:rsidRPr="001E48AC">
        <w:rPr>
          <w:bCs/>
          <w:szCs w:val="28"/>
        </w:rPr>
        <w:t>ote</w:t>
      </w:r>
      <w:r w:rsidR="00A767C6" w:rsidRPr="001E48AC">
        <w:rPr>
          <w:rFonts w:cs="Times New Roman"/>
          <w:bCs/>
          <w:szCs w:val="28"/>
        </w:rPr>
        <w:t xml:space="preserve">ikumiem Nr.180 Latvija ir pārņēmusi </w:t>
      </w:r>
      <w:r w:rsidR="00A767C6" w:rsidRPr="001E48AC">
        <w:rPr>
          <w:rFonts w:cs="Times New Roman"/>
          <w:szCs w:val="28"/>
        </w:rPr>
        <w:t>Direktīvas 2012/27/ES 6.panta prasības, kas nosaka pienākumu centrālajai valdībai iegādāties tikai preces, pakalpojumus un ēkas, kurām ir augsts energoefektivitātes līmenis.</w:t>
      </w:r>
      <w:bookmarkEnd w:id="37"/>
      <w:r w:rsidR="00A767C6" w:rsidRPr="001E48AC">
        <w:rPr>
          <w:rFonts w:cs="Times New Roman"/>
          <w:szCs w:val="28"/>
        </w:rPr>
        <w:t xml:space="preserve"> </w:t>
      </w:r>
    </w:p>
    <w:p w14:paraId="206C8B2A" w14:textId="77777777" w:rsidR="0004306E" w:rsidRPr="001E48AC" w:rsidRDefault="0004306E" w:rsidP="006D6525">
      <w:pPr>
        <w:pStyle w:val="tv213"/>
        <w:spacing w:before="0" w:beforeAutospacing="0" w:after="0" w:afterAutospacing="0"/>
        <w:ind w:firstLine="720"/>
        <w:jc w:val="both"/>
        <w:rPr>
          <w:sz w:val="28"/>
          <w:szCs w:val="28"/>
        </w:rPr>
      </w:pPr>
      <w:r w:rsidRPr="001E48AC">
        <w:rPr>
          <w:sz w:val="28"/>
          <w:szCs w:val="28"/>
        </w:rPr>
        <w:t>Ēku energoefektivitātes likuma 14.panta trešajā daļa ir iekļauta norma, ka valsts pērk vai nomā tikai tādas ēkas, kas atbilst noteiktām energoefektivitātes minimālajām prasībām, ko apliecina ēkas energosertifikāts. Minētās prasības var nepiemērot, ja valsts pērk ēku, kura nepieciešama valsts pārvaldes funkciju veikšanai un kuru pirms izmantošanas uzsākšanas paredzēts renovēt vai rekonstruēt atbilstoši noteiktajām prasībām vai arī nojaukt, kā arī, ja ēkas atbilstību noteiktajām energoefektivitātes minimālajām prasībām tehniski vai funkcionāli nav iespējams nodrošināt, starp nekustamo īpašumu tirgotājiem vai iznomātājiem nepastāv pietiekama konkurence vai augstākiem energoefektivitātes kritērijiem atbilstošas ēkas pirkšana vai noma nav ekonomiski izdevīga.</w:t>
      </w:r>
    </w:p>
    <w:p w14:paraId="2CBA1E8C" w14:textId="77777777" w:rsidR="006D6525" w:rsidRPr="001E48AC" w:rsidRDefault="00A767C6" w:rsidP="006D6525">
      <w:pPr>
        <w:spacing w:after="0" w:line="240" w:lineRule="auto"/>
        <w:ind w:firstLine="720"/>
        <w:jc w:val="both"/>
      </w:pPr>
      <w:r w:rsidRPr="001E48AC">
        <w:t xml:space="preserve">Tā kā Direktīvas 2012/27/ES prasības uzliek valstij pienākumu mudināt visas publiskās struktūras iegādāties preces, pakalpojumus un ēkas, kurām ir augsts energoefektivitātes līmenis, tad </w:t>
      </w:r>
      <w:r w:rsidR="00EA4DBD" w:rsidRPr="001E48AC">
        <w:t>Latvijā ir veikti vairāki pasākumi, lai veicinātu energoefektīvu</w:t>
      </w:r>
      <w:r w:rsidRPr="001E48AC">
        <w:t xml:space="preserve"> </w:t>
      </w:r>
      <w:r w:rsidR="00EA4DBD" w:rsidRPr="001E48AC">
        <w:t xml:space="preserve">preču, pakalpojumu un ēku iepirkumus publiskajā sektorā. Šiem pasākumiem ir </w:t>
      </w:r>
      <w:r w:rsidR="00FB6F95" w:rsidRPr="001E48AC">
        <w:t xml:space="preserve">ieteikuma </w:t>
      </w:r>
      <w:r w:rsidR="00EA4DBD" w:rsidRPr="001E48AC">
        <w:t>raksturs gan attiecībā uz valsts, gan citām publiskām struktūrām.</w:t>
      </w:r>
      <w:r w:rsidR="006D6525" w:rsidRPr="001E48AC">
        <w:t xml:space="preserve"> </w:t>
      </w:r>
    </w:p>
    <w:p w14:paraId="363DC954" w14:textId="6E256C56" w:rsidR="00EA4DBD" w:rsidRPr="001E48AC" w:rsidRDefault="006D6525" w:rsidP="006D6525">
      <w:pPr>
        <w:spacing w:after="0" w:line="240" w:lineRule="auto"/>
        <w:ind w:firstLine="720"/>
        <w:jc w:val="both"/>
      </w:pPr>
      <w:r w:rsidRPr="001E48AC">
        <w:lastRenderedPageBreak/>
        <w:t>Ministru kabinets 2015.gada 18 februārī ar rīkojumu Nr.83 apstiprināja “Zaļā iepirkuma veicināšanas plānu 2015.-2017.gadam” (turpmāk – ZI VP). ZI VP ir stratēģisks īstermiņa politikas plānošanas dokuments, kura mērķis ir veicināt ilgtspējīgu patēriņu un ražošanu, palielinot ZI īpatsvaru, īpaši zaļā publiskā iepirkumā (turpmāk – ZPI). ZI VP paredz nodrošināt, ka sākot ar 2015.gadu iepirkumi, kas tiek plānoti no valsts un pašvaldību budžeta un kuriem tiek piemērots ZI, sasniedz vismaz 15% finansiālā izteiksmē no kopējā valsts un pašvaldību iestāžu veikto iepirkumu apjoma, 2016.gadā 20% un 2017.gadā 30%, ka ZI un ZPI prasības tiek piemērotas un integrētas ES struktūrfondu un Kohēzijas fonda ieviešanas procesā</w:t>
      </w:r>
    </w:p>
    <w:p w14:paraId="30FE35C5" w14:textId="01DC6026" w:rsidR="00A52FE4" w:rsidRPr="001E48AC" w:rsidRDefault="007C3009" w:rsidP="006D6525">
      <w:pPr>
        <w:spacing w:after="0" w:line="240" w:lineRule="auto"/>
        <w:ind w:firstLine="720"/>
        <w:jc w:val="both"/>
        <w:rPr>
          <w:rFonts w:cs="Times New Roman"/>
          <w:szCs w:val="28"/>
        </w:rPr>
      </w:pPr>
      <w:r w:rsidRPr="001E48AC">
        <w:rPr>
          <w:rFonts w:cs="Times New Roman"/>
          <w:bCs/>
          <w:szCs w:val="28"/>
          <w:shd w:val="clear" w:color="auto" w:fill="FFFFFF"/>
        </w:rPr>
        <w:t>ZPI</w:t>
      </w:r>
      <w:r w:rsidRPr="001E48AC">
        <w:rPr>
          <w:rStyle w:val="apple-converted-space"/>
          <w:rFonts w:cs="Times New Roman"/>
          <w:szCs w:val="28"/>
          <w:shd w:val="clear" w:color="auto" w:fill="FFFFFF"/>
        </w:rPr>
        <w:t> </w:t>
      </w:r>
      <w:r w:rsidRPr="001E48AC">
        <w:rPr>
          <w:szCs w:val="28"/>
          <w:shd w:val="clear" w:color="auto" w:fill="FFFFFF"/>
        </w:rPr>
        <w:t xml:space="preserve">ir </w:t>
      </w:r>
      <w:r w:rsidRPr="001E48AC">
        <w:rPr>
          <w:rFonts w:cs="Times New Roman"/>
          <w:szCs w:val="28"/>
          <w:shd w:val="clear" w:color="auto" w:fill="FFFFFF"/>
        </w:rPr>
        <w:t>process, kura ietvaros valsts un pašvaldības iestādes cenšas iepirkt preces, pakalpojumus un</w:t>
      </w:r>
      <w:r w:rsidR="001E48AC" w:rsidRPr="001E48AC">
        <w:rPr>
          <w:rFonts w:cs="Times New Roman"/>
          <w:szCs w:val="28"/>
          <w:shd w:val="clear" w:color="auto" w:fill="FFFFFF"/>
        </w:rPr>
        <w:t xml:space="preserve"> </w:t>
      </w:r>
      <w:r w:rsidRPr="001E48AC">
        <w:rPr>
          <w:rFonts w:cs="Times New Roman"/>
          <w:szCs w:val="28"/>
          <w:shd w:val="clear" w:color="auto" w:fill="FFFFFF"/>
        </w:rPr>
        <w:t>būvdarbus ar iespējami mazāku ietekmi uz vidi, ņemot vērā dzīves cikla izmaksas produktiem vai pakalpojumiem ar vienādu primāro funkciju</w:t>
      </w:r>
      <w:r w:rsidRPr="001E48AC">
        <w:rPr>
          <w:szCs w:val="28"/>
          <w:shd w:val="clear" w:color="auto" w:fill="FFFFFF"/>
        </w:rPr>
        <w:t>. Iepirkumu uzraudzības biroja apkopotā statistika liecina, ka zaļo iepirkumu finansiālais apjoms 2014. un 2015.gadā ir attiecīgi 11% un 37% no kopējā iepirkumu finansiālā apjoma</w:t>
      </w:r>
    </w:p>
    <w:p w14:paraId="54367558" w14:textId="7B4C163E" w:rsidR="00127B7F" w:rsidRPr="001E48AC" w:rsidRDefault="006E7C86" w:rsidP="00A52FE4">
      <w:pPr>
        <w:spacing w:after="0" w:line="240" w:lineRule="auto"/>
        <w:ind w:firstLine="720"/>
        <w:jc w:val="both"/>
        <w:rPr>
          <w:rFonts w:cs="Times New Roman"/>
          <w:szCs w:val="28"/>
        </w:rPr>
      </w:pPr>
      <w:r w:rsidRPr="001E48AC">
        <w:rPr>
          <w:rFonts w:cs="Times New Roman"/>
          <w:szCs w:val="28"/>
        </w:rPr>
        <w:t>Ministru kabinets 2008. gada 22. </w:t>
      </w:r>
      <w:r w:rsidR="00EA4DBD" w:rsidRPr="001E48AC">
        <w:rPr>
          <w:rFonts w:cs="Times New Roman"/>
          <w:szCs w:val="28"/>
        </w:rPr>
        <w:t>decembra sēdē (prot. Nr. 94, 92 §)</w:t>
      </w:r>
      <w:r w:rsidR="00127B7F" w:rsidRPr="001E48AC">
        <w:rPr>
          <w:rFonts w:cs="Times New Roman"/>
          <w:szCs w:val="28"/>
        </w:rPr>
        <w:t xml:space="preserve"> </w:t>
      </w:r>
      <w:r w:rsidR="00EA4DBD" w:rsidRPr="001E48AC">
        <w:rPr>
          <w:rFonts w:cs="Times New Roman"/>
          <w:szCs w:val="28"/>
        </w:rPr>
        <w:t>apstiprināja Informatīvo ziņojumu "Par ieteikumiem zaļā publiskā iepirkuma veicināšanai valsts un pašvaldību institūcijās un ieteikumiem videi draudzīgas būvniecības veicināšana”,</w:t>
      </w:r>
      <w:r w:rsidR="00154E95" w:rsidRPr="001E48AC">
        <w:rPr>
          <w:rFonts w:cs="Times New Roman"/>
          <w:szCs w:val="28"/>
        </w:rPr>
        <w:t xml:space="preserve"> </w:t>
      </w:r>
      <w:r w:rsidR="00EA4DBD" w:rsidRPr="001E48AC">
        <w:rPr>
          <w:rFonts w:cs="Times New Roman"/>
          <w:szCs w:val="28"/>
        </w:rPr>
        <w:t>kas ietver detalizētu rekomendāciju dokumentu</w:t>
      </w:r>
      <w:r w:rsidR="00127B7F" w:rsidRPr="001E48AC">
        <w:rPr>
          <w:rFonts w:cs="Times New Roman"/>
          <w:szCs w:val="28"/>
        </w:rPr>
        <w:t>s</w:t>
      </w:r>
      <w:r w:rsidR="00EA4DBD" w:rsidRPr="001E48AC">
        <w:rPr>
          <w:rFonts w:cs="Times New Roman"/>
          <w:szCs w:val="28"/>
        </w:rPr>
        <w:t xml:space="preserve"> „Ieteikumi</w:t>
      </w:r>
      <w:r w:rsidR="00154E95" w:rsidRPr="001E48AC">
        <w:rPr>
          <w:rFonts w:cs="Times New Roman"/>
          <w:szCs w:val="28"/>
        </w:rPr>
        <w:t xml:space="preserve"> </w:t>
      </w:r>
      <w:r w:rsidR="00EA4DBD" w:rsidRPr="001E48AC">
        <w:rPr>
          <w:rFonts w:cs="Times New Roman"/>
          <w:szCs w:val="28"/>
        </w:rPr>
        <w:t>zaļā publiskā iepirkuma veicināšanai</w:t>
      </w:r>
      <w:r w:rsidR="00154E95" w:rsidRPr="001E48AC">
        <w:rPr>
          <w:rFonts w:cs="Times New Roman"/>
          <w:szCs w:val="28"/>
        </w:rPr>
        <w:t xml:space="preserve"> </w:t>
      </w:r>
      <w:r w:rsidR="00EA4DBD" w:rsidRPr="001E48AC">
        <w:rPr>
          <w:rFonts w:cs="Times New Roman"/>
          <w:szCs w:val="28"/>
        </w:rPr>
        <w:t>valsts un pašvaldību institūcijās”</w:t>
      </w:r>
      <w:r w:rsidR="00127B7F" w:rsidRPr="001E48AC">
        <w:rPr>
          <w:rFonts w:cs="Times New Roman"/>
          <w:szCs w:val="28"/>
        </w:rPr>
        <w:t xml:space="preserve"> un ´</w:t>
      </w:r>
      <w:r w:rsidR="00127B7F" w:rsidRPr="001E48AC">
        <w:rPr>
          <w:szCs w:val="28"/>
        </w:rPr>
        <w:t>”Ieteikumi videi draudzīgas būvniecības veicināšanai”.</w:t>
      </w:r>
    </w:p>
    <w:p w14:paraId="3D5C1F88" w14:textId="10CF0786" w:rsidR="00CC494E" w:rsidRPr="001E48AC" w:rsidRDefault="00A52FE4" w:rsidP="0022103B">
      <w:pPr>
        <w:spacing w:after="0" w:line="240" w:lineRule="auto"/>
        <w:ind w:firstLine="720"/>
        <w:jc w:val="both"/>
        <w:rPr>
          <w:rFonts w:cs="Times New Roman"/>
          <w:szCs w:val="28"/>
        </w:rPr>
      </w:pPr>
      <w:r w:rsidRPr="001E48AC">
        <w:rPr>
          <w:rFonts w:cs="Times New Roman"/>
          <w:szCs w:val="28"/>
        </w:rPr>
        <w:t xml:space="preserve">Minētie ieteikumi pieejami </w:t>
      </w:r>
      <w:r w:rsidR="00EA4DBD" w:rsidRPr="001E48AC">
        <w:rPr>
          <w:rFonts w:cs="Times New Roman"/>
          <w:szCs w:val="28"/>
        </w:rPr>
        <w:t>Iepirkumu uzraudzības biroj</w:t>
      </w:r>
      <w:r w:rsidRPr="001E48AC">
        <w:rPr>
          <w:rFonts w:cs="Times New Roman"/>
          <w:szCs w:val="28"/>
        </w:rPr>
        <w:t>a</w:t>
      </w:r>
      <w:r w:rsidR="0090103F" w:rsidRPr="001E48AC">
        <w:rPr>
          <w:rFonts w:cs="Times New Roman"/>
          <w:szCs w:val="28"/>
        </w:rPr>
        <w:t xml:space="preserve"> tīmekļa vietnē</w:t>
      </w:r>
      <w:r w:rsidRPr="001E48AC">
        <w:rPr>
          <w:rStyle w:val="FootnoteReference"/>
          <w:rFonts w:cs="Times New Roman"/>
          <w:szCs w:val="28"/>
        </w:rPr>
        <w:footnoteReference w:id="37"/>
      </w:r>
      <w:r w:rsidR="00EA4DBD" w:rsidRPr="001E48AC">
        <w:rPr>
          <w:rFonts w:cs="Times New Roman"/>
          <w:szCs w:val="28"/>
        </w:rPr>
        <w:t xml:space="preserve">. </w:t>
      </w:r>
      <w:r w:rsidR="001B2D43" w:rsidRPr="001E48AC">
        <w:rPr>
          <w:rFonts w:cs="Times New Roman"/>
          <w:szCs w:val="28"/>
        </w:rPr>
        <w:t xml:space="preserve">Ieteikumi </w:t>
      </w:r>
      <w:r w:rsidR="00EA4DBD" w:rsidRPr="001E48AC">
        <w:rPr>
          <w:rFonts w:cs="Times New Roman"/>
          <w:szCs w:val="28"/>
        </w:rPr>
        <w:t>satur atsauces uz tiesību aktiem iepirkumu jomā, paraugus energoefektivitātes kritēriju iekļaušanai iepirkumu nosacījumos, kā arī paskaidrojumus attiecībā uz kri</w:t>
      </w:r>
      <w:r w:rsidR="00FF479F" w:rsidRPr="001E48AC">
        <w:rPr>
          <w:rFonts w:cs="Times New Roman"/>
          <w:szCs w:val="28"/>
        </w:rPr>
        <w:t xml:space="preserve">tēriju praktisku pielietošanu. </w:t>
      </w:r>
    </w:p>
    <w:p w14:paraId="7681D355" w14:textId="64CB76BA" w:rsidR="00CC494E" w:rsidRPr="001E48AC" w:rsidRDefault="00AA70E3" w:rsidP="007942A4">
      <w:pPr>
        <w:pStyle w:val="Heading2"/>
        <w:rPr>
          <w:color w:val="auto"/>
        </w:rPr>
      </w:pPr>
      <w:bookmarkStart w:id="38" w:name="_Toc482711544"/>
      <w:r w:rsidRPr="001E48AC">
        <w:rPr>
          <w:color w:val="auto"/>
        </w:rPr>
        <w:t>3.</w:t>
      </w:r>
      <w:r w:rsidR="005D04E0" w:rsidRPr="001E48AC">
        <w:rPr>
          <w:color w:val="auto"/>
        </w:rPr>
        <w:t>5</w:t>
      </w:r>
      <w:r w:rsidRPr="001E48AC">
        <w:rPr>
          <w:color w:val="auto"/>
        </w:rPr>
        <w:t xml:space="preserve">. </w:t>
      </w:r>
      <w:r w:rsidR="007B6A7B" w:rsidRPr="001E48AC">
        <w:rPr>
          <w:color w:val="auto"/>
        </w:rPr>
        <w:t>E</w:t>
      </w:r>
      <w:r w:rsidRPr="001E48AC">
        <w:rPr>
          <w:color w:val="auto"/>
        </w:rPr>
        <w:t>nerģijas galapatēriņa efektivitātes pasākumi</w:t>
      </w:r>
      <w:r w:rsidR="00402275" w:rsidRPr="001E48AC">
        <w:rPr>
          <w:color w:val="auto"/>
        </w:rPr>
        <w:t xml:space="preserve"> </w:t>
      </w:r>
      <w:r w:rsidRPr="001E48AC">
        <w:rPr>
          <w:color w:val="auto"/>
        </w:rPr>
        <w:t>transportā</w:t>
      </w:r>
      <w:bookmarkEnd w:id="38"/>
    </w:p>
    <w:p w14:paraId="629D912B" w14:textId="29250B3D" w:rsidR="00901B80" w:rsidRPr="001E48AC" w:rsidRDefault="00070D61" w:rsidP="006D6525">
      <w:pPr>
        <w:spacing w:after="0" w:line="240" w:lineRule="auto"/>
        <w:jc w:val="both"/>
        <w:rPr>
          <w:szCs w:val="28"/>
        </w:rPr>
      </w:pPr>
      <w:r w:rsidRPr="001E48AC">
        <w:rPr>
          <w:rFonts w:eastAsia="Times New Roman"/>
          <w:szCs w:val="28"/>
          <w:lang w:eastAsia="lv-LV"/>
        </w:rPr>
        <w:tab/>
      </w:r>
      <w:r w:rsidR="003051EC" w:rsidRPr="001E48AC">
        <w:rPr>
          <w:szCs w:val="28"/>
        </w:rPr>
        <w:t>Ar Ministru kabineta 2013.gada 27.decembra rīkojumu Nr. 683 tika apstiprinātas “Transporta attīstības pamatnostādnes 2014.-2020.gadam”</w:t>
      </w:r>
      <w:r w:rsidR="003051EC" w:rsidRPr="001E48AC">
        <w:rPr>
          <w:rStyle w:val="FootnoteReference"/>
          <w:szCs w:val="28"/>
        </w:rPr>
        <w:footnoteReference w:id="38"/>
      </w:r>
      <w:r w:rsidR="003051EC" w:rsidRPr="001E48AC">
        <w:rPr>
          <w:szCs w:val="28"/>
        </w:rPr>
        <w:t xml:space="preserve"> (turpmāk – Transporta pamatnostādnes). </w:t>
      </w:r>
      <w:r w:rsidR="003051EC" w:rsidRPr="001E48AC">
        <w:rPr>
          <w:bCs/>
          <w:szCs w:val="28"/>
        </w:rPr>
        <w:t>Latvijā</w:t>
      </w:r>
      <w:r w:rsidR="00E8667B" w:rsidRPr="001E48AC">
        <w:rPr>
          <w:bCs/>
          <w:szCs w:val="28"/>
        </w:rPr>
        <w:t xml:space="preserve"> </w:t>
      </w:r>
      <w:r w:rsidR="003051EC" w:rsidRPr="001E48AC">
        <w:rPr>
          <w:bCs/>
          <w:szCs w:val="28"/>
        </w:rPr>
        <w:t xml:space="preserve">transportam ir nozīmīga loma ekonomikā un pieejamības nodrošināšanā. Ilgtspējīgai transporta sistēmai jānodrošina kvalitatīva transporta infrastruktūra, </w:t>
      </w:r>
      <w:r w:rsidR="003051EC" w:rsidRPr="001E48AC">
        <w:rPr>
          <w:szCs w:val="28"/>
        </w:rPr>
        <w:t xml:space="preserve">augsts satiksmes drošības līmenis, transporta un loģistikas pakalpojumi, kas rada priekšnosacījumus citu nozaru attīstībai, nodrošina darbavietas un ievērojamu pienesumu pakalpojumu eksporta apjoma pieaugumā un pieejams sabiedriskais transports, kas nodrošina sasniedzamību visā Latvijas teritorijā (ērta, vienota sabiedriskā transporta sistēma, panākot autobusu un dzelzceļa pārvadājumu savstarpēju saskaņotību). Viens no rīcības virzieniem (apakšmērķiem) transporta politikas īstenošanai ir </w:t>
      </w:r>
      <w:r w:rsidR="003051EC" w:rsidRPr="001E48AC">
        <w:rPr>
          <w:szCs w:val="28"/>
        </w:rPr>
        <w:lastRenderedPageBreak/>
        <w:t xml:space="preserve">energoefektivitātes paaugstināšana un elektromobilitātes veicināšana. Transporta pamatnostādnēs uzsvērts, ka energoefektivitātes paaugstināšana ir netiešs mērķis, kura sasniegšana tiek veicināta, īstenojot vairākus pasākumus. Dzelzceļa jomā no energoefektivitātes paaugstināšanas viedokļa nozīmīga ir vairāku dzelzceļa līniju elektrifikācija (tās rezultātā tiktu ne tikai panākta lielāka energoefektivitāte, bet arī būtiski samazināts kaitīgo izmešu daudzums), kā arī </w:t>
      </w:r>
      <w:r w:rsidR="003051EC" w:rsidRPr="001E48AC">
        <w:rPr>
          <w:i/>
          <w:szCs w:val="28"/>
        </w:rPr>
        <w:t xml:space="preserve">Rail </w:t>
      </w:r>
      <w:proofErr w:type="spellStart"/>
      <w:r w:rsidR="003051EC" w:rsidRPr="001E48AC">
        <w:rPr>
          <w:i/>
          <w:szCs w:val="28"/>
        </w:rPr>
        <w:t>Baltica</w:t>
      </w:r>
      <w:proofErr w:type="spellEnd"/>
      <w:r w:rsidR="003051EC" w:rsidRPr="001E48AC">
        <w:rPr>
          <w:i/>
          <w:szCs w:val="28"/>
        </w:rPr>
        <w:t xml:space="preserve"> </w:t>
      </w:r>
      <w:r w:rsidR="003051EC" w:rsidRPr="001E48AC">
        <w:rPr>
          <w:szCs w:val="28"/>
        </w:rPr>
        <w:t>dzelzceļa līnijas attīstība (daļa šobrīd pa autoceļiem pārvadāto kravu tiktu pārvadātas pa dzelzceļu, kas ir energo</w:t>
      </w:r>
      <w:r w:rsidR="00FF479F" w:rsidRPr="001E48AC">
        <w:rPr>
          <w:szCs w:val="28"/>
        </w:rPr>
        <w:t xml:space="preserve">efektīvāks pārvadājumu veids). </w:t>
      </w:r>
    </w:p>
    <w:p w14:paraId="0F4AFB40" w14:textId="1E358CC1" w:rsidR="007B6A7B" w:rsidRPr="001E48AC" w:rsidRDefault="003051EC" w:rsidP="007942A4">
      <w:pPr>
        <w:pStyle w:val="Default"/>
        <w:spacing w:after="120"/>
        <w:ind w:firstLine="720"/>
        <w:jc w:val="both"/>
        <w:rPr>
          <w:color w:val="auto"/>
        </w:rPr>
      </w:pPr>
      <w:r w:rsidRPr="001E48AC">
        <w:rPr>
          <w:color w:val="auto"/>
          <w:sz w:val="28"/>
          <w:szCs w:val="28"/>
        </w:rPr>
        <w:t>Lai realizētu Transporta pamatnostādnēs izvirzītos uzdevumus</w:t>
      </w:r>
      <w:r w:rsidR="00901B80" w:rsidRPr="001E48AC">
        <w:rPr>
          <w:color w:val="auto"/>
          <w:sz w:val="28"/>
          <w:szCs w:val="28"/>
        </w:rPr>
        <w:t xml:space="preserve"> 2014.ga</w:t>
      </w:r>
      <w:r w:rsidR="007B6A7B" w:rsidRPr="001E48AC">
        <w:rPr>
          <w:color w:val="auto"/>
          <w:sz w:val="28"/>
          <w:szCs w:val="28"/>
        </w:rPr>
        <w:t xml:space="preserve">da </w:t>
      </w:r>
      <w:r w:rsidR="00901B80" w:rsidRPr="001E48AC">
        <w:rPr>
          <w:color w:val="auto"/>
          <w:sz w:val="28"/>
          <w:szCs w:val="28"/>
        </w:rPr>
        <w:t>26.martā</w:t>
      </w:r>
      <w:r w:rsidR="007B6A7B" w:rsidRPr="001E48AC">
        <w:rPr>
          <w:color w:val="auto"/>
          <w:sz w:val="28"/>
          <w:szCs w:val="28"/>
        </w:rPr>
        <w:t xml:space="preserve"> </w:t>
      </w:r>
      <w:r w:rsidR="00901B80" w:rsidRPr="001E48AC">
        <w:rPr>
          <w:color w:val="auto"/>
          <w:sz w:val="28"/>
          <w:szCs w:val="28"/>
        </w:rPr>
        <w:t>ar Ministru kabineta rīkojumu Nr.129</w:t>
      </w:r>
      <w:r w:rsidR="007B6A7B" w:rsidRPr="001E48AC">
        <w:rPr>
          <w:color w:val="auto"/>
          <w:sz w:val="28"/>
          <w:szCs w:val="28"/>
        </w:rPr>
        <w:t xml:space="preserve"> apstiprināt</w:t>
      </w:r>
      <w:r w:rsidR="0016075B" w:rsidRPr="001E48AC">
        <w:rPr>
          <w:color w:val="auto"/>
          <w:sz w:val="28"/>
          <w:szCs w:val="28"/>
        </w:rPr>
        <w:t>s</w:t>
      </w:r>
      <w:r w:rsidR="007B6A7B" w:rsidRPr="001E48AC">
        <w:rPr>
          <w:color w:val="auto"/>
          <w:sz w:val="28"/>
          <w:szCs w:val="28"/>
        </w:rPr>
        <w:t xml:space="preserve"> Elektromobilitātes attīstības plāns</w:t>
      </w:r>
      <w:r w:rsidR="00402275" w:rsidRPr="001E48AC">
        <w:rPr>
          <w:color w:val="auto"/>
          <w:sz w:val="28"/>
          <w:szCs w:val="28"/>
        </w:rPr>
        <w:t xml:space="preserve"> </w:t>
      </w:r>
      <w:r w:rsidR="007B6A7B" w:rsidRPr="001E48AC">
        <w:rPr>
          <w:color w:val="auto"/>
          <w:sz w:val="28"/>
          <w:szCs w:val="28"/>
        </w:rPr>
        <w:t>2014.-2016. gadam</w:t>
      </w:r>
      <w:r w:rsidR="007B6A7B" w:rsidRPr="001E48AC">
        <w:rPr>
          <w:rStyle w:val="FootnoteReference"/>
          <w:color w:val="auto"/>
          <w:sz w:val="28"/>
          <w:szCs w:val="28"/>
        </w:rPr>
        <w:footnoteReference w:id="39"/>
      </w:r>
      <w:r w:rsidR="00901B80" w:rsidRPr="001E48AC">
        <w:rPr>
          <w:color w:val="auto"/>
          <w:sz w:val="28"/>
          <w:szCs w:val="28"/>
        </w:rPr>
        <w:t xml:space="preserve">. </w:t>
      </w:r>
      <w:r w:rsidR="007B6A7B" w:rsidRPr="001E48AC">
        <w:rPr>
          <w:color w:val="auto"/>
          <w:sz w:val="28"/>
          <w:szCs w:val="28"/>
        </w:rPr>
        <w:t>Plāns ir izstrādāts balstoties uz trīs prioritātēm: Latvijas uzņēmumu konkurētspējas paaugstināšana jaunas industrijas radīšanai; energoneatkarības palielināšana un piesārņojuma un siltumnīcefektu izraisošo gāzu samazināšana. Elektromobilitāte skar vienlaikus dažādas jomas: vides aizsardzības un ilgstpējības nodrošināšanu, enerģētiku, uzņēmējdarbību, transportu, līdz ar to elektromobilitātei ir vērā ņemams potenciāls turpmākajā Latvijas ekonomikas attīstībā. Lai veicinātu elektromobilitātes attīstību, plāns paredz konkrētus atbalsta politikas virzienus attiecībā uz svarīgākajiem tās elementiem: elektrotransportlīdzekļu izplatība, uzlādes staciju tīkla izbūve, atbalsts inovatīvu produktu izstrādei, kā arī sabiedrības izglītošana un informācijas pieejamības nodrošināšana par elektromobilitāti.</w:t>
      </w:r>
      <w:r w:rsidR="0016075B" w:rsidRPr="001E48AC">
        <w:rPr>
          <w:color w:val="auto"/>
          <w:sz w:val="28"/>
          <w:szCs w:val="28"/>
        </w:rPr>
        <w:t xml:space="preserve"> 2014.-2020.gada plānošanas periodā transporta nozarei ir plānoti 14 specifiskie atbalsta mērķi (SAM) un pasākumi, tostarp,  </w:t>
      </w:r>
      <w:r w:rsidR="0016075B" w:rsidRPr="001E48AC">
        <w:rPr>
          <w:rStyle w:val="Strong"/>
          <w:b w:val="0"/>
          <w:color w:val="auto"/>
          <w:szCs w:val="28"/>
        </w:rPr>
        <w:t>Zemu oglekļa emisiju veicināšana transportā</w:t>
      </w:r>
      <w:r w:rsidR="0016075B" w:rsidRPr="001E48AC">
        <w:rPr>
          <w:rStyle w:val="apple-converted-space"/>
          <w:color w:val="auto"/>
          <w:sz w:val="28"/>
          <w:szCs w:val="28"/>
        </w:rPr>
        <w:t> </w:t>
      </w:r>
      <w:r w:rsidR="0016075B" w:rsidRPr="001E48AC">
        <w:rPr>
          <w:color w:val="auto"/>
          <w:sz w:val="28"/>
          <w:szCs w:val="28"/>
        </w:rPr>
        <w:t>(automob</w:t>
      </w:r>
      <w:r w:rsidR="001E48AC" w:rsidRPr="001E48AC">
        <w:rPr>
          <w:color w:val="auto"/>
          <w:sz w:val="28"/>
          <w:szCs w:val="28"/>
        </w:rPr>
        <w:t>i</w:t>
      </w:r>
      <w:r w:rsidR="0016075B" w:rsidRPr="001E48AC">
        <w:rPr>
          <w:color w:val="auto"/>
          <w:sz w:val="28"/>
          <w:szCs w:val="28"/>
        </w:rPr>
        <w:t xml:space="preserve">ļu elektrouzlādes tīkls; tramvaju infrastruktūra Rīgā, Liepājā un Daugavpilī; pasažieru autobusi pārējos nacionālas nozīmes attīstības centros) un </w:t>
      </w:r>
      <w:r w:rsidR="0016075B" w:rsidRPr="001E48AC">
        <w:rPr>
          <w:rStyle w:val="Strong"/>
          <w:b w:val="0"/>
          <w:color w:val="auto"/>
          <w:szCs w:val="28"/>
        </w:rPr>
        <w:t>Ilgtspējīga transporta sistēma</w:t>
      </w:r>
      <w:r w:rsidR="0016075B" w:rsidRPr="001E48AC">
        <w:rPr>
          <w:rStyle w:val="apple-converted-space"/>
          <w:color w:val="auto"/>
          <w:sz w:val="28"/>
          <w:szCs w:val="28"/>
        </w:rPr>
        <w:t> </w:t>
      </w:r>
      <w:r w:rsidR="0016075B" w:rsidRPr="001E48AC">
        <w:rPr>
          <w:color w:val="auto"/>
          <w:sz w:val="28"/>
          <w:szCs w:val="28"/>
        </w:rPr>
        <w:t>(dzelzceļa t.sk. dzelzceļa elektrifikācijas).</w:t>
      </w:r>
    </w:p>
    <w:p w14:paraId="19A8894C" w14:textId="5529C97E" w:rsidR="00CC494E" w:rsidRPr="001E48AC" w:rsidRDefault="00AA70E3" w:rsidP="0022103B">
      <w:pPr>
        <w:pStyle w:val="Heading2"/>
        <w:rPr>
          <w:color w:val="auto"/>
        </w:rPr>
      </w:pPr>
      <w:bookmarkStart w:id="39" w:name="_Toc482711545"/>
      <w:r w:rsidRPr="001E48AC">
        <w:rPr>
          <w:color w:val="auto"/>
        </w:rPr>
        <w:t>3.</w:t>
      </w:r>
      <w:r w:rsidR="005D04E0" w:rsidRPr="001E48AC">
        <w:rPr>
          <w:color w:val="auto"/>
        </w:rPr>
        <w:t>6</w:t>
      </w:r>
      <w:r w:rsidRPr="001E48AC">
        <w:rPr>
          <w:color w:val="auto"/>
        </w:rPr>
        <w:t>. Efektīvas apsildes un dzesēšanas veicināšana</w:t>
      </w:r>
      <w:bookmarkEnd w:id="39"/>
    </w:p>
    <w:p w14:paraId="1ED223EF" w14:textId="5367BC16" w:rsidR="00CC494E" w:rsidRPr="001E48AC" w:rsidRDefault="00AA70E3" w:rsidP="007942A4">
      <w:pPr>
        <w:pStyle w:val="Heading3"/>
        <w:rPr>
          <w:color w:val="auto"/>
        </w:rPr>
      </w:pPr>
      <w:bookmarkStart w:id="40" w:name="_Toc482711546"/>
      <w:r w:rsidRPr="001E48AC">
        <w:rPr>
          <w:rStyle w:val="Heading3Char"/>
          <w:b/>
          <w:bCs/>
          <w:color w:val="auto"/>
        </w:rPr>
        <w:t>3.</w:t>
      </w:r>
      <w:r w:rsidR="005D04E0" w:rsidRPr="001E48AC">
        <w:rPr>
          <w:rStyle w:val="Heading3Char"/>
          <w:b/>
          <w:bCs/>
          <w:color w:val="auto"/>
        </w:rPr>
        <w:t>6</w:t>
      </w:r>
      <w:r w:rsidRPr="001E48AC">
        <w:rPr>
          <w:rStyle w:val="Heading3Char"/>
          <w:b/>
          <w:bCs/>
          <w:color w:val="auto"/>
        </w:rPr>
        <w:t>.1. Visaptverošs novērtējums</w:t>
      </w:r>
      <w:bookmarkEnd w:id="40"/>
    </w:p>
    <w:p w14:paraId="50C40FD8" w14:textId="72A2FBF6" w:rsidR="00C42C7C" w:rsidRPr="001E48AC" w:rsidRDefault="005C33E2" w:rsidP="00AC2FD4">
      <w:pPr>
        <w:spacing w:after="0" w:line="240" w:lineRule="auto"/>
        <w:jc w:val="both"/>
        <w:rPr>
          <w:rFonts w:eastAsiaTheme="majorEastAsia" w:cs="Times New Roman"/>
          <w:bCs/>
          <w:szCs w:val="28"/>
        </w:rPr>
      </w:pPr>
      <w:r w:rsidRPr="001E48AC">
        <w:tab/>
      </w:r>
      <w:r w:rsidR="00C42C7C" w:rsidRPr="001E48AC">
        <w:rPr>
          <w:rFonts w:eastAsiaTheme="majorEastAsia" w:cs="Times New Roman"/>
          <w:bCs/>
          <w:szCs w:val="28"/>
        </w:rPr>
        <w:t>Latvijā ir izveidota tiesiskā bāze, lai nodrošinātu tādas koģenerācijas veicināšanu, kas balstīta uz lietderīgo siltuma pieprasījumu iekšējā enerģijas tirgū. Latvijas enerģētikas sektorā kopš 2000.</w:t>
      </w:r>
      <w:r w:rsidR="006E7C86" w:rsidRPr="001E48AC">
        <w:rPr>
          <w:rFonts w:eastAsiaTheme="majorEastAsia" w:cs="Times New Roman"/>
          <w:bCs/>
          <w:szCs w:val="28"/>
        </w:rPr>
        <w:t> </w:t>
      </w:r>
      <w:r w:rsidR="00C42C7C" w:rsidRPr="001E48AC">
        <w:rPr>
          <w:rFonts w:eastAsiaTheme="majorEastAsia" w:cs="Times New Roman"/>
          <w:bCs/>
          <w:szCs w:val="28"/>
        </w:rPr>
        <w:t xml:space="preserve">gada ir vērojama strauja efektīvas koģenerācijas izplatība. </w:t>
      </w:r>
    </w:p>
    <w:p w14:paraId="0CA0BDE5" w14:textId="77777777" w:rsidR="00C42C7C" w:rsidRPr="001E48AC" w:rsidRDefault="00C42C7C" w:rsidP="00867B8E">
      <w:pPr>
        <w:spacing w:after="0" w:line="240" w:lineRule="auto"/>
        <w:ind w:firstLine="720"/>
        <w:jc w:val="both"/>
        <w:rPr>
          <w:rFonts w:eastAsiaTheme="majorEastAsia" w:cs="Times New Roman"/>
          <w:bCs/>
          <w:szCs w:val="28"/>
        </w:rPr>
      </w:pPr>
      <w:r w:rsidRPr="001E48AC">
        <w:rPr>
          <w:rFonts w:eastAsiaTheme="majorEastAsia" w:cs="Times New Roman"/>
          <w:bCs/>
          <w:szCs w:val="28"/>
        </w:rPr>
        <w:t>Latvijā enerģijas ražošanu koģenerācijā regulē Enerģētikas likums, Elektroenerģijas tirgus likums un saskaņā ar to izdotie Ministru kabineta 2009. gada 10. ma</w:t>
      </w:r>
      <w:r w:rsidR="00C249F6" w:rsidRPr="001E48AC">
        <w:rPr>
          <w:rFonts w:eastAsiaTheme="majorEastAsia" w:cs="Times New Roman"/>
          <w:bCs/>
          <w:szCs w:val="28"/>
        </w:rPr>
        <w:t>rta noteikumi Nr.</w:t>
      </w:r>
      <w:r w:rsidRPr="001E48AC">
        <w:rPr>
          <w:rFonts w:eastAsiaTheme="majorEastAsia" w:cs="Times New Roman"/>
          <w:bCs/>
          <w:szCs w:val="28"/>
        </w:rPr>
        <w:t xml:space="preserve">221 „Noteikumi par elektroenerģijas ražošanu un cenu noteikšanu, ražojot elektroenerģiju koģenerācijā”, kā arī likums “Par sabiedrisko pakalpojumu regulatoriem” un saskaņā ar to izdotie </w:t>
      </w:r>
      <w:r w:rsidR="00070090" w:rsidRPr="001E48AC">
        <w:rPr>
          <w:rFonts w:eastAsiaTheme="majorEastAsia" w:cs="Times New Roman"/>
          <w:bCs/>
          <w:szCs w:val="28"/>
        </w:rPr>
        <w:t>tiesību akti.</w:t>
      </w:r>
    </w:p>
    <w:p w14:paraId="0DA1A74D" w14:textId="77777777" w:rsidR="00C42C7C" w:rsidRPr="001E48AC" w:rsidRDefault="00C42C7C" w:rsidP="00867B8E">
      <w:pPr>
        <w:spacing w:after="0" w:line="240" w:lineRule="auto"/>
        <w:ind w:firstLine="720"/>
        <w:jc w:val="both"/>
        <w:rPr>
          <w:rFonts w:eastAsiaTheme="majorEastAsia" w:cs="Times New Roman"/>
          <w:bCs/>
          <w:szCs w:val="28"/>
        </w:rPr>
      </w:pPr>
      <w:r w:rsidRPr="001E48AC">
        <w:rPr>
          <w:rFonts w:eastAsiaTheme="majorEastAsia" w:cs="Times New Roman"/>
          <w:bCs/>
          <w:szCs w:val="28"/>
        </w:rPr>
        <w:lastRenderedPageBreak/>
        <w:t>Minētās normas un pasākumi ieviesti, izpildot Direktīvas 2004/8/EK</w:t>
      </w:r>
      <w:r w:rsidRPr="001E48AC">
        <w:rPr>
          <w:rStyle w:val="FootnoteReference"/>
          <w:rFonts w:eastAsiaTheme="majorEastAsia" w:cs="Times New Roman"/>
          <w:bCs/>
          <w:szCs w:val="28"/>
        </w:rPr>
        <w:footnoteReference w:id="40"/>
      </w:r>
      <w:r w:rsidRPr="001E48AC">
        <w:rPr>
          <w:rFonts w:eastAsiaTheme="majorEastAsia" w:cs="Times New Roman"/>
          <w:bCs/>
          <w:szCs w:val="28"/>
        </w:rPr>
        <w:t xml:space="preserve"> prasības. Tā kā ar Direktīvu 2012/27/ES tiek aizstāta Direktīva 2004/8/EK, un Latvijai līdz 2014.</w:t>
      </w:r>
      <w:r w:rsidR="006E7C86" w:rsidRPr="001E48AC">
        <w:rPr>
          <w:rFonts w:eastAsiaTheme="majorEastAsia" w:cs="Times New Roman"/>
          <w:bCs/>
          <w:szCs w:val="28"/>
        </w:rPr>
        <w:t> gada 5. </w:t>
      </w:r>
      <w:r w:rsidRPr="001E48AC">
        <w:rPr>
          <w:rFonts w:eastAsiaTheme="majorEastAsia" w:cs="Times New Roman"/>
          <w:bCs/>
          <w:szCs w:val="28"/>
        </w:rPr>
        <w:t>jūnijam arī Direktīvas 2012/27/ES 14.</w:t>
      </w:r>
      <w:r w:rsidR="006E7C86" w:rsidRPr="001E48AC">
        <w:rPr>
          <w:rFonts w:eastAsiaTheme="majorEastAsia" w:cs="Times New Roman"/>
          <w:bCs/>
          <w:szCs w:val="28"/>
        </w:rPr>
        <w:t> </w:t>
      </w:r>
      <w:r w:rsidRPr="001E48AC">
        <w:rPr>
          <w:rFonts w:eastAsiaTheme="majorEastAsia" w:cs="Times New Roman"/>
          <w:bCs/>
          <w:szCs w:val="28"/>
        </w:rPr>
        <w:t>pants ir jāievieš nacionālajā tiesību sistēmā, ir jāpārskata līdz šim Latvijā ieviestās Direktīvas 2004/8/EK tiesību normas.</w:t>
      </w:r>
    </w:p>
    <w:p w14:paraId="0D9BF5CA" w14:textId="2482743F" w:rsidR="00EB74F3" w:rsidRPr="001E48AC" w:rsidRDefault="00EB74F3" w:rsidP="00867B8E">
      <w:pPr>
        <w:spacing w:after="0" w:line="240" w:lineRule="auto"/>
        <w:ind w:firstLine="720"/>
        <w:jc w:val="both"/>
      </w:pPr>
      <w:r w:rsidRPr="001E48AC">
        <w:rPr>
          <w:rFonts w:eastAsiaTheme="majorEastAsia" w:cs="Times New Roman"/>
          <w:bCs/>
          <w:szCs w:val="28"/>
        </w:rPr>
        <w:t xml:space="preserve">Rīkojumā par Koncepciju </w:t>
      </w:r>
      <w:r w:rsidRPr="001E48AC">
        <w:t>nolemts atbalstīt variantu nenoteikt atbrīvojumus visām Direktīvas 2012/27/ES 14.</w:t>
      </w:r>
      <w:r w:rsidR="006E7C86" w:rsidRPr="001E48AC">
        <w:t> </w:t>
      </w:r>
      <w:r w:rsidRPr="001E48AC">
        <w:t>pantā uzskaitītajām iekārtām ieviest siltuma un koģenerācijas potenciāla, izmaksu un ieguvumu analīzes veikšanas pienākumu.</w:t>
      </w:r>
    </w:p>
    <w:p w14:paraId="4EB0E745" w14:textId="77777777" w:rsidR="00E8667B" w:rsidRPr="001E48AC" w:rsidRDefault="00AC2FD4" w:rsidP="00E8667B">
      <w:pPr>
        <w:pStyle w:val="Default"/>
        <w:ind w:firstLine="720"/>
        <w:jc w:val="both"/>
        <w:rPr>
          <w:bCs/>
          <w:iCs/>
          <w:color w:val="auto"/>
          <w:sz w:val="28"/>
          <w:szCs w:val="28"/>
        </w:rPr>
      </w:pPr>
      <w:r w:rsidRPr="001E48AC">
        <w:rPr>
          <w:color w:val="auto"/>
          <w:sz w:val="28"/>
          <w:szCs w:val="28"/>
        </w:rPr>
        <w:t>Atbilstošo Direktīvas 2012/27/ES 14.panta prasībām, Latvija ir veikusi “</w:t>
      </w:r>
      <w:r w:rsidRPr="001E48AC">
        <w:rPr>
          <w:bCs/>
          <w:iCs/>
          <w:color w:val="auto"/>
          <w:sz w:val="28"/>
          <w:szCs w:val="28"/>
        </w:rPr>
        <w:t>Augstas efektivitātes koģenerācijas un efektīvas centralizētās siltumapgādes un dzesēšanas izmantošanas potenciāla visaptverošs izvērtējums un izmaksu un ieguvumu analīze atbilstoši Direktīvas 2012/27/ES prasībām”</w:t>
      </w:r>
      <w:r w:rsidR="00754BBE" w:rsidRPr="001E48AC">
        <w:rPr>
          <w:rStyle w:val="FootnoteReference"/>
          <w:bCs/>
          <w:iCs/>
          <w:color w:val="auto"/>
          <w:sz w:val="28"/>
          <w:szCs w:val="28"/>
        </w:rPr>
        <w:footnoteReference w:id="41"/>
      </w:r>
      <w:r w:rsidR="00AC5743" w:rsidRPr="001E48AC">
        <w:rPr>
          <w:bCs/>
          <w:iCs/>
          <w:color w:val="auto"/>
          <w:sz w:val="28"/>
          <w:szCs w:val="28"/>
        </w:rPr>
        <w:t>.</w:t>
      </w:r>
      <w:r w:rsidR="00BE2832" w:rsidRPr="001E48AC">
        <w:rPr>
          <w:bCs/>
          <w:iCs/>
          <w:color w:val="auto"/>
          <w:sz w:val="28"/>
          <w:szCs w:val="28"/>
        </w:rPr>
        <w:t xml:space="preserve"> Izvērtējuma rezultātā ir iegūti sekojoši rezultāti: </w:t>
      </w:r>
    </w:p>
    <w:p w14:paraId="09970EF1" w14:textId="70181A06" w:rsidR="00AC5743" w:rsidRPr="001E48AC" w:rsidRDefault="00E8667B" w:rsidP="00E8667B">
      <w:pPr>
        <w:pStyle w:val="Default"/>
        <w:ind w:firstLine="720"/>
        <w:jc w:val="both"/>
        <w:rPr>
          <w:color w:val="auto"/>
          <w:sz w:val="28"/>
          <w:szCs w:val="28"/>
        </w:rPr>
      </w:pPr>
      <w:r w:rsidRPr="001E48AC">
        <w:rPr>
          <w:bCs/>
          <w:iCs/>
          <w:color w:val="auto"/>
          <w:sz w:val="28"/>
          <w:szCs w:val="28"/>
        </w:rPr>
        <w:t>1</w:t>
      </w:r>
      <w:r w:rsidR="00AC5743" w:rsidRPr="001E48AC">
        <w:rPr>
          <w:color w:val="auto"/>
          <w:sz w:val="28"/>
          <w:szCs w:val="28"/>
        </w:rPr>
        <w:t xml:space="preserve">)Kopumā koģenerācijas īpatsvars Latvijas CSA jau ir augsts – 72,6%, pie tam jau šobrīd dažās no Latvijas reģionālajām CS sistēmām ir gandrīz maksimālais koģenerācijas īpatsvars siltuma ražošanā un augsta atjaunojamo resursu izmantošanas daļa to kurināmo struktūrā (piem., Jelgava ar 97% saražotu koģenerācijas režīmā un 85% no izmantotā kurināmā ir AER). Potenciāla analīzes rezultātā konstatēts, ka nav potenciāls AEK īpatsvara palielināšanai valsts līmenī, toties tika identificēts un analizēts, ka dažās individuālās pilsētās (Daugavpilī, Liepājā un Jūrmalā) būtu iespējams potenciāls ieviest augstas efektivitātes koģenerāciju centralizētajā siltumapgādē, bet ir nepieciešama padziļinātākā konkrētā gadījumā finanšu analīze. Aprēķini balstīti uz elektroenerģijas un siltumenerģijas tirgus cenām. </w:t>
      </w:r>
    </w:p>
    <w:p w14:paraId="0324EA2D" w14:textId="77777777" w:rsidR="00AC5743" w:rsidRPr="001E48AC" w:rsidRDefault="00AC5743" w:rsidP="00E8667B">
      <w:pPr>
        <w:pStyle w:val="Default"/>
        <w:ind w:firstLine="720"/>
        <w:jc w:val="both"/>
        <w:rPr>
          <w:color w:val="auto"/>
          <w:sz w:val="28"/>
          <w:szCs w:val="28"/>
        </w:rPr>
      </w:pPr>
      <w:r w:rsidRPr="001E48AC">
        <w:rPr>
          <w:color w:val="auto"/>
          <w:sz w:val="28"/>
          <w:szCs w:val="28"/>
        </w:rPr>
        <w:t xml:space="preserve">2)Salīdzinājumā ar individuālajiem apkures risinājumiem, CSA ir raksturojama ar augstāko efektivitātes līmeni, jo tajā ir lielāks efektīvās koģenerācijas īpatsvars. Tai pašā laikā, CSA ir nepieciešami nopietni ieguldījumi infrastruktūrā un augstas ekspluatācijas un uzturēšanas izmaksas. CSA efektivitāti samazina arī enerģijas zudumi tīklā. Šie nosacījumi padara CSA par ekonomiski dzīvotspējīgu tikai teritorijās ar salīdzinoši lielu siltumenerģijas pieprasījuma blīvumu. </w:t>
      </w:r>
    </w:p>
    <w:p w14:paraId="3A3883C9" w14:textId="77777777" w:rsidR="00AC5743" w:rsidRPr="001E48AC" w:rsidRDefault="00AC5743" w:rsidP="00BE2832">
      <w:pPr>
        <w:pStyle w:val="Default"/>
        <w:jc w:val="both"/>
        <w:rPr>
          <w:color w:val="auto"/>
          <w:sz w:val="28"/>
          <w:szCs w:val="28"/>
        </w:rPr>
      </w:pPr>
      <w:r w:rsidRPr="001E48AC">
        <w:rPr>
          <w:color w:val="auto"/>
          <w:sz w:val="28"/>
          <w:szCs w:val="28"/>
        </w:rPr>
        <w:t xml:space="preserve">Siltuma blīvums analizētajās teritorijās pārsvarā parāda pietiekamu siltumenerģijas pieprasījumu, lai esošās CSA paplašināšanos būtu ekonomiski dzīvotspējīgi ekonomikai kopumā. Vislielākais centralizācijas potenciāls ir mājsaimniecību sektorā. Tomēr CSA siltuma pieprasījums no mājsaimniecībām </w:t>
      </w:r>
      <w:r w:rsidRPr="001E48AC">
        <w:rPr>
          <w:color w:val="auto"/>
          <w:sz w:val="28"/>
          <w:szCs w:val="28"/>
        </w:rPr>
        <w:lastRenderedPageBreak/>
        <w:t>un industrijām ir ierobežots, jo lielāka daļa dod priekšroku individuālajiem apkures risinājumiem ekonomisko iemeslu dēļ.</w:t>
      </w:r>
    </w:p>
    <w:p w14:paraId="76CD140B" w14:textId="397D699D" w:rsidR="00AC2FD4" w:rsidRPr="001E48AC" w:rsidRDefault="00AC5743" w:rsidP="00E8667B">
      <w:pPr>
        <w:pStyle w:val="Default"/>
        <w:ind w:firstLine="720"/>
        <w:jc w:val="both"/>
        <w:rPr>
          <w:color w:val="auto"/>
          <w:sz w:val="28"/>
          <w:szCs w:val="28"/>
        </w:rPr>
      </w:pPr>
      <w:r w:rsidRPr="001E48AC">
        <w:rPr>
          <w:color w:val="auto"/>
          <w:sz w:val="28"/>
          <w:szCs w:val="28"/>
        </w:rPr>
        <w:t xml:space="preserve">3) Lai realizētu CSA centralizācijas potenciālu, ir nepieciešams attīstīt ekonomiskus stimulus gala patērētājiem, lai </w:t>
      </w:r>
      <w:r w:rsidRPr="001E48AC">
        <w:rPr>
          <w:bCs/>
          <w:color w:val="auto"/>
          <w:sz w:val="28"/>
          <w:szCs w:val="28"/>
        </w:rPr>
        <w:t>siltuma izmaksas no CSA nepārsniedz alternatīvas individuālās apkures izmaksas</w:t>
      </w:r>
      <w:r w:rsidRPr="001E48AC">
        <w:rPr>
          <w:color w:val="auto"/>
          <w:sz w:val="28"/>
          <w:szCs w:val="28"/>
        </w:rPr>
        <w:t>. Šādi stimuli pārsvarā pārstāv pasākumus lai sasniegtu kopēja siltumapgādes tarifa samazināšanos CSA sistēmā, tostarp, n</w:t>
      </w:r>
      <w:r w:rsidRPr="001E48AC">
        <w:rPr>
          <w:bCs/>
          <w:color w:val="auto"/>
          <w:sz w:val="28"/>
          <w:szCs w:val="28"/>
        </w:rPr>
        <w:t>epieciešams piesaistīt ES finanšu atbalstu investīcijām jaunu reģionālu CSA tīklu izveidē un esošo (veco) tīklu renovācijā pašvaldībās, kur esošā vai plānotā siltumtīkla intensitāte pārsniedz 2MWh/m. Kā arī papildus jāveic CSA operatoru ekspluatācijas un uzturēšanas procesu un saistīto izmaksu pārskatīšana un procesu optimizācija.</w:t>
      </w:r>
    </w:p>
    <w:p w14:paraId="2DAB61F1" w14:textId="4325CFC7" w:rsidR="00FB5564" w:rsidRPr="001E48AC" w:rsidRDefault="00AA70E3" w:rsidP="007942A4">
      <w:pPr>
        <w:pStyle w:val="Heading3"/>
        <w:rPr>
          <w:color w:val="auto"/>
        </w:rPr>
      </w:pPr>
      <w:bookmarkStart w:id="41" w:name="_Toc482711547"/>
      <w:r w:rsidRPr="001E48AC">
        <w:rPr>
          <w:rStyle w:val="Heading3Char"/>
          <w:b/>
          <w:bCs/>
          <w:color w:val="auto"/>
        </w:rPr>
        <w:t>3.</w:t>
      </w:r>
      <w:r w:rsidR="005D04E0" w:rsidRPr="001E48AC">
        <w:rPr>
          <w:rStyle w:val="Heading3Char"/>
          <w:b/>
          <w:bCs/>
          <w:color w:val="auto"/>
        </w:rPr>
        <w:t>6</w:t>
      </w:r>
      <w:r w:rsidRPr="001E48AC">
        <w:rPr>
          <w:rStyle w:val="Heading3Char"/>
          <w:b/>
          <w:bCs/>
          <w:color w:val="auto"/>
        </w:rPr>
        <w:t>.2. Citi pasākumi apsildīšanas un dzesēšanas efektivitātes veicināšanai</w:t>
      </w:r>
      <w:bookmarkEnd w:id="41"/>
    </w:p>
    <w:p w14:paraId="537A02E4" w14:textId="0B87DD79" w:rsidR="004A31AE" w:rsidRPr="001E48AC" w:rsidRDefault="004A31AE" w:rsidP="004E446C">
      <w:pPr>
        <w:spacing w:after="0" w:line="240" w:lineRule="auto"/>
        <w:ind w:firstLine="720"/>
        <w:jc w:val="both"/>
        <w:rPr>
          <w:rFonts w:eastAsia="Times New Roman" w:cs="Times New Roman"/>
          <w:szCs w:val="28"/>
        </w:rPr>
      </w:pPr>
      <w:r w:rsidRPr="001E48AC">
        <w:rPr>
          <w:rFonts w:cs="Times New Roman"/>
          <w:szCs w:val="28"/>
        </w:rPr>
        <w:t>Latvijā siltumapgāde tiek nodrošināta, izmantojot centralizētās siltumapgādes sistēmas, lokālo siltumapgādi un individuālo siltumapgādi.  Siltumapgādi savā administratīvajā teritorijā organizē pašvaldības saskaņā ar tām likumā “Par pašvaldībām”</w:t>
      </w:r>
      <w:r w:rsidRPr="001E48AC">
        <w:rPr>
          <w:rStyle w:val="FootnoteReference"/>
          <w:rFonts w:cs="Times New Roman"/>
          <w:szCs w:val="28"/>
        </w:rPr>
        <w:footnoteReference w:id="42"/>
      </w:r>
      <w:r w:rsidRPr="001E48AC">
        <w:rPr>
          <w:rFonts w:cs="Times New Roman"/>
          <w:szCs w:val="28"/>
        </w:rPr>
        <w:t xml:space="preserve"> noteikto pastāvīgo funkciju. Enerģētikas Pamatnostādnēs 2020 norādīts, ka p</w:t>
      </w:r>
      <w:r w:rsidRPr="001E48AC">
        <w:rPr>
          <w:rFonts w:eastAsia="Times New Roman" w:cs="Times New Roman"/>
          <w:szCs w:val="28"/>
        </w:rPr>
        <w:t xml:space="preserve">ēdējos gados veiktie energoefektivitātes pasākumi ļāvuši siltumenerģijas zudumus tīklos samazināt, piemēram, Rīgā līdz 13%. Straujāku energoefektivitātes paaugstināšanas pasākumu īstenošanu centralizētajā siltumapgādē kavē trūkstošais investīciju apjoms, pašvaldību ierobežotās spējas ņemt kredītu, kā arī lēnais kapitāla apgrozījuma ātrums. Šo iemeslu dēļ vēl aizvien pašvaldībās tiek darbinātas neefektīvas iekārtas, kas rada paaugstinātu kurināmā pārtēriņu un nespēj nodrošināt siltuma apgādi nepieciešamā kvalitātē. Veicot kompleksu sistēmas atjaunošanu, iespējams optimizēt enerģijas ražošanas procesu un samazināt siltumenerģijas zudumus pārvades sistēmās. </w:t>
      </w:r>
    </w:p>
    <w:p w14:paraId="517A9B7A" w14:textId="77777777" w:rsidR="004E446C" w:rsidRPr="001E48AC" w:rsidRDefault="004E446C" w:rsidP="00E8667B">
      <w:pPr>
        <w:spacing w:after="0" w:line="240" w:lineRule="auto"/>
        <w:ind w:firstLine="720"/>
        <w:jc w:val="both"/>
        <w:textAlignment w:val="baseline"/>
        <w:rPr>
          <w:rFonts w:eastAsia="Times New Roman" w:cs="Times New Roman"/>
          <w:szCs w:val="28"/>
          <w:lang w:eastAsia="lv-LV"/>
        </w:rPr>
      </w:pPr>
      <w:r w:rsidRPr="001E48AC">
        <w:rPr>
          <w:rFonts w:eastAsia="Times New Roman" w:cs="Times New Roman"/>
          <w:bCs/>
          <w:kern w:val="36"/>
          <w:szCs w:val="28"/>
          <w:lang w:eastAsia="lv-LV"/>
        </w:rPr>
        <w:t xml:space="preserve">Lai uzlabotu centralizētās siltumapgādes sistēmu efektivitāti, esošajā plānošanas periodā 2014.-2020.gadam tiek realizēta ES fondu programmas aktivitāte “Veicināt energoefektivitāti un vietējo AER izmantošanu centralizētajā siltumapgādē”. Aktivitātes ietvaros </w:t>
      </w:r>
      <w:r w:rsidRPr="001E48AC">
        <w:rPr>
          <w:rFonts w:eastAsia="Times New Roman" w:cs="Times New Roman"/>
          <w:szCs w:val="28"/>
          <w:lang w:eastAsia="lv-LV"/>
        </w:rPr>
        <w:t>atbalsts tiek sniegts, lai veicinātu energoefektivitāti un vietējo AER izmantošanu centralizētajā siltumapgādē. Šī pasākuma ietvaros tiks atbalstīta siltumavotu pārbūve energoefektivitātes  paaugstināšanai  un pārejai  uz  AER  izmantošanu,  t.sk. tehnoloģisko iekārtu iegāde un uzstādīšana; siltumenerģijas pārvades un sadales sistēmas energoefektivitātes paaugstināšana, kā arī koģenerācijas stacijas pārbūve par siltumavotu. Projektu pieņemšana jau ir uzsākta un projektus var iesniegt energoapgādes komersanti, kas nodarbojas ar centralizēto siltumapgādi.</w:t>
      </w:r>
    </w:p>
    <w:p w14:paraId="4410535F" w14:textId="4D02BD40" w:rsidR="00AA70E3" w:rsidRPr="001E48AC" w:rsidRDefault="00AA70E3" w:rsidP="00EC406E">
      <w:pPr>
        <w:pStyle w:val="Heading2"/>
        <w:spacing w:after="120"/>
        <w:rPr>
          <w:color w:val="auto"/>
          <w:szCs w:val="28"/>
        </w:rPr>
      </w:pPr>
      <w:bookmarkStart w:id="42" w:name="_Toc482711548"/>
      <w:r w:rsidRPr="001E48AC">
        <w:rPr>
          <w:color w:val="auto"/>
          <w:szCs w:val="28"/>
        </w:rPr>
        <w:lastRenderedPageBreak/>
        <w:t>3.</w:t>
      </w:r>
      <w:r w:rsidR="00C63986" w:rsidRPr="001E48AC">
        <w:rPr>
          <w:color w:val="auto"/>
          <w:szCs w:val="28"/>
        </w:rPr>
        <w:t>7</w:t>
      </w:r>
      <w:r w:rsidRPr="001E48AC">
        <w:rPr>
          <w:color w:val="auto"/>
          <w:szCs w:val="28"/>
        </w:rPr>
        <w:t>. Enerģijas pārveide, pārvade, sadale un pieprasījuma reakcija</w:t>
      </w:r>
      <w:bookmarkEnd w:id="42"/>
    </w:p>
    <w:p w14:paraId="1354F888" w14:textId="285A45F2" w:rsidR="004E446C" w:rsidRPr="001E48AC" w:rsidRDefault="004E446C" w:rsidP="00E8667B">
      <w:pPr>
        <w:spacing w:after="0" w:line="240" w:lineRule="auto"/>
        <w:ind w:firstLine="720"/>
        <w:jc w:val="both"/>
        <w:rPr>
          <w:szCs w:val="28"/>
        </w:rPr>
      </w:pPr>
      <w:r w:rsidRPr="001E48AC">
        <w:rPr>
          <w:szCs w:val="28"/>
        </w:rPr>
        <w:t xml:space="preserve">2016.gada 22.jūnijā stājās spēkā “Grozījumi Elektroenerģijas tirgus likumā, kas </w:t>
      </w:r>
      <w:r w:rsidR="00E8667B" w:rsidRPr="001E48AC">
        <w:rPr>
          <w:szCs w:val="28"/>
        </w:rPr>
        <w:t xml:space="preserve">definē agregatorus, kā arī regulē </w:t>
      </w:r>
      <w:r w:rsidRPr="001E48AC">
        <w:rPr>
          <w:rFonts w:eastAsia="Times New Roman" w:cs="Times New Roman"/>
          <w:szCs w:val="28"/>
          <w:lang w:eastAsia="lv-LV"/>
        </w:rPr>
        <w:t>agregatora un pieprasījuma reakcijas darbību elektroenerģijas tirgū.</w:t>
      </w:r>
      <w:r w:rsidRPr="001E48AC">
        <w:rPr>
          <w:szCs w:val="28"/>
        </w:rPr>
        <w:t xml:space="preserve"> </w:t>
      </w:r>
      <w:r w:rsidRPr="001E48AC">
        <w:rPr>
          <w:rFonts w:eastAsia="Times New Roman" w:cs="Times New Roman"/>
          <w:szCs w:val="28"/>
          <w:lang w:eastAsia="lv-LV"/>
        </w:rPr>
        <w:t xml:space="preserve">Pieprasījuma reakcija ir svarīgs instruments </w:t>
      </w:r>
      <w:r w:rsidR="00E8667B" w:rsidRPr="001E48AC">
        <w:rPr>
          <w:rFonts w:eastAsia="Times New Roman" w:cs="Times New Roman"/>
          <w:szCs w:val="28"/>
          <w:lang w:eastAsia="lv-LV"/>
        </w:rPr>
        <w:t>enerģijas efektīvai izmantošanai</w:t>
      </w:r>
      <w:r w:rsidRPr="001E48AC">
        <w:rPr>
          <w:rFonts w:eastAsia="Times New Roman" w:cs="Times New Roman"/>
          <w:szCs w:val="28"/>
          <w:lang w:eastAsia="lv-LV"/>
        </w:rPr>
        <w:t>, jo tā būtiski palielina patērētāju vai to izvēlētu trešo personu iespējas rīkoties saistībā ar elektroenerģijas galapatēriņa izmaiņām.</w:t>
      </w:r>
    </w:p>
    <w:p w14:paraId="3DCF2A09" w14:textId="7DDC0AB6" w:rsidR="004E446C" w:rsidRPr="001E48AC" w:rsidRDefault="004E446C" w:rsidP="004E446C">
      <w:pPr>
        <w:shd w:val="clear" w:color="auto" w:fill="FFFFFF"/>
        <w:spacing w:after="0" w:line="240" w:lineRule="auto"/>
        <w:jc w:val="both"/>
        <w:rPr>
          <w:rFonts w:eastAsia="Times New Roman" w:cs="Times New Roman"/>
          <w:szCs w:val="28"/>
          <w:lang w:eastAsia="lv-LV"/>
        </w:rPr>
      </w:pPr>
      <w:r w:rsidRPr="001E48AC">
        <w:rPr>
          <w:rFonts w:eastAsia="Times New Roman" w:cs="Times New Roman"/>
          <w:szCs w:val="28"/>
          <w:lang w:eastAsia="lv-LV"/>
        </w:rPr>
        <w:t>Pieprasījuma reakcija ir veids, kā attīstīt infrastruktūras energoefektīvas izmantošanas potenciālu.</w:t>
      </w:r>
      <w:r w:rsidR="00E8667B" w:rsidRPr="001E48AC">
        <w:t xml:space="preserve"> </w:t>
      </w:r>
      <w:r w:rsidR="00E8667B" w:rsidRPr="001E48AC">
        <w:rPr>
          <w:rFonts w:eastAsia="Times New Roman" w:cs="Times New Roman"/>
          <w:szCs w:val="28"/>
          <w:lang w:eastAsia="lv-LV"/>
        </w:rPr>
        <w:t>Pieprasījuma reakcija ir pamatā viedo tīklu attīstībai un tīklu efektīvākai pārvaldībai, ko nodrošinās viedie tīkli.</w:t>
      </w:r>
    </w:p>
    <w:p w14:paraId="4F8C70B0" w14:textId="77777777" w:rsidR="004E446C" w:rsidRPr="001E48AC" w:rsidRDefault="004E446C" w:rsidP="00E8667B">
      <w:pPr>
        <w:shd w:val="clear" w:color="auto" w:fill="FFFFFF"/>
        <w:spacing w:after="0" w:line="240" w:lineRule="auto"/>
        <w:ind w:firstLine="720"/>
        <w:jc w:val="both"/>
        <w:rPr>
          <w:rFonts w:eastAsia="Times New Roman" w:cs="Times New Roman"/>
          <w:szCs w:val="28"/>
          <w:lang w:eastAsia="lv-LV"/>
        </w:rPr>
      </w:pPr>
      <w:r w:rsidRPr="001E48AC">
        <w:rPr>
          <w:rFonts w:eastAsia="Times New Roman" w:cs="Times New Roman"/>
          <w:szCs w:val="28"/>
          <w:lang w:eastAsia="lv-LV"/>
        </w:rPr>
        <w:t xml:space="preserve">Pieprasījuma reakcija ir elektroenerģijas lietošanas profila īslaicīgas izmaiņas, kad elektroenerģijas lietotāji reaģē uz tirgus signāliem. Tādi ir, piemēram, laikā mainīgas elektroenerģijas cenas, veicināšanas maksājumi, patstāvīgi vai izmantojot agregatoru, pārdot elektroenerģijas patēriņa pieprasījuma samazinājumu par noteiktu cenu. Šādu tirgus signālu mērķis ir ierosināt elektroenerģijas patēriņa palielinājumu vai samazinājumu un optimizēt tīklu izmantošanu un balansēšanu, kā arī elektroenerģijas ražošanu un patēriņu, piemēram, patērējot mazāk enerģijas maksimumslodzes laikā vai veicinot atjaunojamās enerģijas un mikroģenerācijas procesā iegūtas elektroenerģijas integrēšanu. Pieprasījuma reakcija ietver visas mērķtiecīgās elektroenerģijas lietošanas profila izmaiņas, kas paredzētas, lai mainītu laika grafiku vai apjomu momentānā pieprasījuma vai kopējā elektroenerģijas patēriņa līmenī. Pieprasījuma reakciju rada gan inovatīva cenu politika, kas mudina elektroenerģijas lietotājus mainīt to patēriņa ieradumus, gan ar slodzes </w:t>
      </w:r>
      <w:proofErr w:type="spellStart"/>
      <w:r w:rsidRPr="001E48AC">
        <w:rPr>
          <w:rFonts w:eastAsia="Times New Roman" w:cs="Times New Roman"/>
          <w:szCs w:val="28"/>
          <w:lang w:eastAsia="lv-LV"/>
        </w:rPr>
        <w:t>pārnese</w:t>
      </w:r>
      <w:proofErr w:type="spellEnd"/>
      <w:r w:rsidRPr="001E48AC">
        <w:rPr>
          <w:rFonts w:eastAsia="Times New Roman" w:cs="Times New Roman"/>
          <w:szCs w:val="28"/>
          <w:lang w:eastAsia="lv-LV"/>
        </w:rPr>
        <w:t>, ko veic, piemēram, rūpnieciskie lietotāji vai agregatori.</w:t>
      </w:r>
    </w:p>
    <w:p w14:paraId="5F8C8BDC" w14:textId="1142CB30" w:rsidR="004E446C" w:rsidRPr="001E48AC" w:rsidRDefault="004E446C" w:rsidP="00E8667B">
      <w:pPr>
        <w:shd w:val="clear" w:color="auto" w:fill="FFFFFF"/>
        <w:spacing w:after="0" w:line="240" w:lineRule="auto"/>
        <w:ind w:firstLine="720"/>
        <w:jc w:val="both"/>
        <w:rPr>
          <w:rFonts w:eastAsia="Times New Roman" w:cs="Times New Roman"/>
          <w:szCs w:val="28"/>
          <w:lang w:eastAsia="lv-LV"/>
        </w:rPr>
      </w:pPr>
      <w:r w:rsidRPr="001E48AC">
        <w:rPr>
          <w:rFonts w:eastAsia="Times New Roman" w:cs="Times New Roman"/>
          <w:szCs w:val="28"/>
          <w:lang w:eastAsia="lv-LV"/>
        </w:rPr>
        <w:t>Šobrīd ir pieejami vairāki instrumenti, lai elektroenerģijas lietotāji piedalītos pieprasījuma reakcijas nodrošināšanā, piemēram, laika elektroenerģijas tarifi, dinamiskas ikstundas elektroenerģijas cenas, ierīču slodžu kontrole u.c.</w:t>
      </w:r>
      <w:r w:rsidR="00E8667B" w:rsidRPr="001E48AC">
        <w:rPr>
          <w:rFonts w:eastAsia="Times New Roman" w:cs="Times New Roman"/>
          <w:szCs w:val="28"/>
          <w:lang w:eastAsia="lv-LV"/>
        </w:rPr>
        <w:t xml:space="preserve"> </w:t>
      </w:r>
      <w:r w:rsidRPr="001E48AC">
        <w:rPr>
          <w:rFonts w:eastAsia="Times New Roman" w:cs="Times New Roman"/>
          <w:szCs w:val="28"/>
          <w:lang w:eastAsia="lv-LV"/>
        </w:rPr>
        <w:t>Ar tīkla un mazumtirdzniecības tarifiem var atbalstīt, piemēram, šādas dinamiskas cenas pieprasījuma reakcijai:</w:t>
      </w:r>
    </w:p>
    <w:p w14:paraId="2DDE6452" w14:textId="77777777" w:rsidR="004E446C" w:rsidRPr="001E48AC" w:rsidRDefault="004E446C" w:rsidP="004E446C">
      <w:pPr>
        <w:shd w:val="clear" w:color="auto" w:fill="FFFFFF"/>
        <w:spacing w:after="0" w:line="240" w:lineRule="auto"/>
        <w:jc w:val="both"/>
        <w:rPr>
          <w:rFonts w:eastAsia="Times New Roman" w:cs="Times New Roman"/>
          <w:szCs w:val="28"/>
          <w:lang w:eastAsia="lv-LV"/>
        </w:rPr>
      </w:pPr>
      <w:r w:rsidRPr="001E48AC">
        <w:rPr>
          <w:rFonts w:eastAsia="Times New Roman" w:cs="Times New Roman"/>
          <w:szCs w:val="28"/>
          <w:lang w:eastAsia="lv-LV"/>
        </w:rPr>
        <w:t>a) izmantošanas laika tarifi — elektroenerģijas cenas nosaka konkrētam laika posmam, un tās ir zināmas iepriekš;</w:t>
      </w:r>
    </w:p>
    <w:p w14:paraId="47BB58C2" w14:textId="77777777" w:rsidR="004E446C" w:rsidRPr="001E48AC" w:rsidRDefault="004E446C" w:rsidP="004E446C">
      <w:pPr>
        <w:shd w:val="clear" w:color="auto" w:fill="FFFFFF"/>
        <w:spacing w:after="0" w:line="240" w:lineRule="auto"/>
        <w:jc w:val="both"/>
        <w:rPr>
          <w:rFonts w:eastAsia="Times New Roman" w:cs="Times New Roman"/>
          <w:szCs w:val="28"/>
          <w:lang w:eastAsia="lv-LV"/>
        </w:rPr>
      </w:pPr>
      <w:r w:rsidRPr="001E48AC">
        <w:rPr>
          <w:rFonts w:eastAsia="Times New Roman" w:cs="Times New Roman"/>
          <w:szCs w:val="28"/>
          <w:lang w:eastAsia="lv-LV"/>
        </w:rPr>
        <w:t>b) kritiskās maksimumslodzes tarifs — šajā nolūkā ir nepieciešams, lai izmantošanas laika tarifs būtu spēkā noteiktās maksimumslodzes dienās, turklāt cenas var segt ražošanas un/vai iepirkuma cenas vairumtirdzniecības līmenī;</w:t>
      </w:r>
    </w:p>
    <w:p w14:paraId="7948E270" w14:textId="77777777" w:rsidR="004E446C" w:rsidRPr="001E48AC" w:rsidRDefault="004E446C" w:rsidP="004E446C">
      <w:pPr>
        <w:shd w:val="clear" w:color="auto" w:fill="FFFFFF"/>
        <w:spacing w:after="0" w:line="240" w:lineRule="auto"/>
        <w:jc w:val="both"/>
        <w:rPr>
          <w:rFonts w:eastAsia="Times New Roman" w:cs="Times New Roman"/>
          <w:szCs w:val="28"/>
          <w:lang w:eastAsia="lv-LV"/>
        </w:rPr>
      </w:pPr>
      <w:r w:rsidRPr="001E48AC">
        <w:rPr>
          <w:rFonts w:eastAsia="Times New Roman" w:cs="Times New Roman"/>
          <w:szCs w:val="28"/>
          <w:lang w:eastAsia="lv-LV"/>
        </w:rPr>
        <w:t>c) reālā laika cenas, ko dēvē arī par “dinamiskajām cenām” — elektroenerģijas cenas var mainīties katru stundu un izņēmuma gadījumos pat vēl biežāk; un</w:t>
      </w:r>
    </w:p>
    <w:p w14:paraId="7C23EC54" w14:textId="77777777" w:rsidR="004E446C" w:rsidRPr="001E48AC" w:rsidRDefault="004E446C" w:rsidP="004E446C">
      <w:pPr>
        <w:shd w:val="clear" w:color="auto" w:fill="FFFFFF"/>
        <w:spacing w:after="0" w:line="240" w:lineRule="auto"/>
        <w:jc w:val="both"/>
        <w:rPr>
          <w:rFonts w:eastAsia="Times New Roman" w:cs="Times New Roman"/>
          <w:szCs w:val="28"/>
          <w:lang w:eastAsia="lv-LV"/>
        </w:rPr>
      </w:pPr>
      <w:r w:rsidRPr="001E48AC">
        <w:rPr>
          <w:rFonts w:eastAsia="Times New Roman" w:cs="Times New Roman"/>
          <w:szCs w:val="28"/>
          <w:lang w:eastAsia="lv-LV"/>
        </w:rPr>
        <w:t>d) maksimālās slodzes laika atlaides, kas ir atlīdzība naudā par piedalīšanos tirgū.</w:t>
      </w:r>
    </w:p>
    <w:p w14:paraId="4F4B040F" w14:textId="38A1EFAD" w:rsidR="004E446C" w:rsidRPr="001E48AC" w:rsidRDefault="004E446C" w:rsidP="00E8667B">
      <w:pPr>
        <w:shd w:val="clear" w:color="auto" w:fill="FFFFFF"/>
        <w:spacing w:after="0" w:line="240" w:lineRule="auto"/>
        <w:ind w:firstLine="567"/>
        <w:jc w:val="both"/>
        <w:rPr>
          <w:rFonts w:eastAsia="Times New Roman" w:cs="Times New Roman"/>
          <w:szCs w:val="28"/>
          <w:lang w:eastAsia="lv-LV"/>
        </w:rPr>
      </w:pPr>
      <w:r w:rsidRPr="001E48AC">
        <w:rPr>
          <w:rFonts w:eastAsia="Times New Roman" w:cs="Times New Roman"/>
          <w:szCs w:val="28"/>
          <w:lang w:eastAsia="lv-LV"/>
        </w:rPr>
        <w:t xml:space="preserve">Mehānismi pieprasījuma reakcijas šķēršļu likvidēšanai ir noteikti Eiropas Parlamenta un Padomes Direktīvā 2009/72/EK par kopīgiem noteikumiem attiecībā uz elektroenerģijas iekšējo tirgu un par Direktīvas 2003/54/EK atcelšanu un Eiropas Parlamenta un Padomes Direktīvā 2006/32/EK par enerģijas </w:t>
      </w:r>
      <w:r w:rsidRPr="001E48AC">
        <w:rPr>
          <w:rFonts w:eastAsia="Times New Roman" w:cs="Times New Roman"/>
          <w:szCs w:val="28"/>
          <w:lang w:eastAsia="lv-LV"/>
        </w:rPr>
        <w:lastRenderedPageBreak/>
        <w:t>galapatēriņa efektivitāti un energoefektivitātes pakalpojumiem un ar ko atceļ Padomes Direktīvu 93/76/EEK.</w:t>
      </w:r>
    </w:p>
    <w:p w14:paraId="22E9776A" w14:textId="3734DF6F" w:rsidR="00A40D4A" w:rsidRPr="001E48AC" w:rsidRDefault="00A40D4A" w:rsidP="00A40D4A">
      <w:pPr>
        <w:spacing w:after="0" w:line="240" w:lineRule="auto"/>
        <w:ind w:firstLine="567"/>
        <w:jc w:val="both"/>
        <w:rPr>
          <w:rFonts w:cs="Times New Roman"/>
          <w:szCs w:val="28"/>
        </w:rPr>
      </w:pPr>
      <w:r w:rsidRPr="001E48AC">
        <w:rPr>
          <w:rFonts w:cs="Times New Roman"/>
          <w:szCs w:val="28"/>
        </w:rPr>
        <w:t xml:space="preserve">Atbilstoši Direktīvas 2012/27/EK 15.panta prasībām, Latvija ir veikusi </w:t>
      </w:r>
      <w:r w:rsidR="00990D41" w:rsidRPr="001E48AC">
        <w:rPr>
          <w:rFonts w:cs="Times New Roman"/>
          <w:szCs w:val="28"/>
        </w:rPr>
        <w:t>g</w:t>
      </w:r>
      <w:r w:rsidRPr="001E48AC">
        <w:rPr>
          <w:rFonts w:cs="Times New Roman"/>
          <w:szCs w:val="28"/>
        </w:rPr>
        <w:t xml:space="preserve">āzes un elektroenerģijas infrastruktūras energoefektivitātes potenciāla </w:t>
      </w:r>
      <w:proofErr w:type="spellStart"/>
      <w:r w:rsidRPr="001E48AC">
        <w:rPr>
          <w:rFonts w:cs="Times New Roman"/>
          <w:szCs w:val="28"/>
        </w:rPr>
        <w:t>izvērtējum</w:t>
      </w:r>
      <w:r w:rsidR="00E8667B" w:rsidRPr="001E48AC">
        <w:rPr>
          <w:rFonts w:cs="Times New Roman"/>
          <w:szCs w:val="28"/>
        </w:rPr>
        <w:t>u</w:t>
      </w:r>
      <w:proofErr w:type="spellEnd"/>
      <w:r w:rsidRPr="001E48AC">
        <w:rPr>
          <w:rFonts w:cs="Times New Roman"/>
          <w:szCs w:val="28"/>
        </w:rPr>
        <w:t xml:space="preserve"> Latvijas Republikā. Izvērtējuma rezultātā secināts: </w:t>
      </w:r>
    </w:p>
    <w:p w14:paraId="188505B2" w14:textId="66B40324" w:rsidR="00A40D4A" w:rsidRPr="001E48AC" w:rsidRDefault="00A40D4A" w:rsidP="00A40D4A">
      <w:pPr>
        <w:spacing w:after="0" w:line="240" w:lineRule="auto"/>
        <w:ind w:firstLine="567"/>
        <w:jc w:val="both"/>
        <w:rPr>
          <w:rFonts w:cs="Times New Roman"/>
          <w:szCs w:val="28"/>
        </w:rPr>
      </w:pPr>
      <w:r w:rsidRPr="001E48AC">
        <w:rPr>
          <w:rFonts w:cs="Times New Roman"/>
          <w:szCs w:val="28"/>
        </w:rPr>
        <w:t>Latvijas sadales infrastruktūras elektroenerģijas zudumu samazinājums ir augstākais rādītājs starp Baltijas valstu SSO, un būtisks zudumu līmeņa samazinājums ar esošajām tehnoloģijām bez papildus finansiālajiem ieguldījumiem jaunu tehnoloģiju ieviešanā tālāk nav sasniedzams. Savukārt,   dabasgāzes sistēma tiek uzskatīta par vienu no efektīvākajām Eiropas Savienībā.</w:t>
      </w:r>
    </w:p>
    <w:p w14:paraId="423844D9" w14:textId="77777777" w:rsidR="00A40D4A" w:rsidRPr="001E48AC" w:rsidRDefault="00A40D4A" w:rsidP="00A40D4A">
      <w:pPr>
        <w:spacing w:after="0" w:line="240" w:lineRule="auto"/>
        <w:ind w:firstLine="567"/>
        <w:jc w:val="both"/>
        <w:rPr>
          <w:rFonts w:cs="Times New Roman"/>
          <w:szCs w:val="28"/>
        </w:rPr>
      </w:pPr>
      <w:r w:rsidRPr="001E48AC">
        <w:rPr>
          <w:rFonts w:cs="Times New Roman"/>
          <w:szCs w:val="28"/>
        </w:rPr>
        <w:t xml:space="preserve">Ņemot vērā zemo elektroenerģijas patēriņu un transformatoru noslodzi, Latvija uzskata, ka elektroenerģijas slodzes vadības risinājumu ieviešana pārskatāmā nākotnē nesniegs pozitīvu efektu, tādēļ tās ieviešanai trūkst tehniska un ekonomiska pamatojuma. </w:t>
      </w:r>
    </w:p>
    <w:p w14:paraId="03B601BE" w14:textId="77777777" w:rsidR="00A40D4A" w:rsidRPr="001E48AC" w:rsidRDefault="00A40D4A" w:rsidP="00A40D4A">
      <w:pPr>
        <w:spacing w:after="0" w:line="240" w:lineRule="auto"/>
        <w:ind w:firstLine="567"/>
        <w:jc w:val="both"/>
        <w:rPr>
          <w:rFonts w:cs="Times New Roman"/>
          <w:szCs w:val="28"/>
        </w:rPr>
      </w:pPr>
      <w:r w:rsidRPr="001E48AC">
        <w:rPr>
          <w:rFonts w:cs="Times New Roman"/>
          <w:szCs w:val="28"/>
        </w:rPr>
        <w:t>Savukārt, attiecībā uz gāzes infrastruktūras efektivitāti, izvērtējot esošo sadales tīklu noslodzi, ir iespējams nodrošināt jaudas palielinājumu mikrokoģenerācijas iekārtu uzstādīšanai. Papildu dabasgāzes apgādes sistēma var nodrošināt jaunus 25 tūkst. pieslēgumus.</w:t>
      </w:r>
    </w:p>
    <w:p w14:paraId="786D7F61" w14:textId="77777777" w:rsidR="00A40D4A" w:rsidRPr="001E48AC" w:rsidRDefault="00A40D4A" w:rsidP="00A40D4A">
      <w:pPr>
        <w:spacing w:after="0" w:line="240" w:lineRule="auto"/>
        <w:ind w:firstLine="567"/>
        <w:jc w:val="both"/>
        <w:rPr>
          <w:rFonts w:cs="Times New Roman"/>
          <w:szCs w:val="28"/>
        </w:rPr>
      </w:pPr>
      <w:r w:rsidRPr="001E48AC">
        <w:rPr>
          <w:rFonts w:cs="Times New Roman"/>
          <w:szCs w:val="28"/>
        </w:rPr>
        <w:t xml:space="preserve">Mikrokoģenerāciju iekārtu uzstādīšana mājsaimniecībās un nedzīvojamās ēkās varētu ietaupīt energoresursus vidēji par 30%, nodrošinot elektroenerģijas pašpatēriņu. Uzstādot mikrokoģenerācijas iekārtas esošajiem dabasgāzes lietotājiem, tas varētu palielināt mājsaimniecības dabasgāzes maksimālo stundas patēriņu līdz  20%, atkarībā no uzstādītās iekārtas jaudas. </w:t>
      </w:r>
    </w:p>
    <w:p w14:paraId="1BBCB6A2" w14:textId="77777777" w:rsidR="00A40D4A" w:rsidRPr="001E48AC" w:rsidRDefault="00A40D4A" w:rsidP="00A40D4A">
      <w:pPr>
        <w:spacing w:after="0" w:line="240" w:lineRule="auto"/>
        <w:ind w:firstLine="567"/>
        <w:jc w:val="both"/>
        <w:rPr>
          <w:rFonts w:cs="Times New Roman"/>
          <w:szCs w:val="28"/>
        </w:rPr>
      </w:pPr>
      <w:r w:rsidRPr="001E48AC">
        <w:rPr>
          <w:rFonts w:cs="Times New Roman"/>
          <w:szCs w:val="28"/>
        </w:rPr>
        <w:t>Dabasgāzes infrastruktūras potenciālā novērtējumā ir identificētas teritorijas vidējā spiediena gāzesvada rajonā, lai nodrošinātu tūlītēju koģenerāciju iekārtu pieslēgšanas iespēju, savukārt, zemo spiedienu gāzesvadu sistēmai nepieciešams papildus izvērtējums, īpaši attiecībā uz infrastruktūras kapacitāti, papildus  nepieciešamajām investīcijas dabasgāzes spiediena stabilizācijai un atmaksāšanās rentabilitāti.</w:t>
      </w:r>
    </w:p>
    <w:p w14:paraId="31B72B36" w14:textId="77777777" w:rsidR="00A40D4A" w:rsidRPr="001E48AC" w:rsidRDefault="00A40D4A" w:rsidP="00A40D4A">
      <w:pPr>
        <w:spacing w:after="0" w:line="240" w:lineRule="auto"/>
        <w:ind w:firstLine="567"/>
        <w:jc w:val="both"/>
        <w:rPr>
          <w:rFonts w:cs="Times New Roman"/>
          <w:szCs w:val="28"/>
        </w:rPr>
      </w:pPr>
      <w:r w:rsidRPr="001E48AC">
        <w:rPr>
          <w:rFonts w:cs="Times New Roman"/>
          <w:szCs w:val="28"/>
        </w:rPr>
        <w:t xml:space="preserve">Elektroenerģijas ražotāju pieslēgumu skaits sadales elektrotīklam joprojām pieaug, īpaši mikroģeneratoru skaits, ko veido vēja un saules iekārtas. Iepriekšējos 3 gados ir samazinājies elektrostaciju (jauda virs 11 </w:t>
      </w:r>
      <w:proofErr w:type="spellStart"/>
      <w:r w:rsidRPr="001E48AC">
        <w:rPr>
          <w:rFonts w:cs="Times New Roman"/>
          <w:szCs w:val="28"/>
        </w:rPr>
        <w:t>kW</w:t>
      </w:r>
      <w:proofErr w:type="spellEnd"/>
      <w:r w:rsidRPr="001E48AC">
        <w:rPr>
          <w:rFonts w:cs="Times New Roman"/>
          <w:szCs w:val="28"/>
        </w:rPr>
        <w:t>, pamatā koģenerācijas un hidroelektrostacijas) pieslēgumu temps. Sadales elektrotīklā mainās ierastie jaudas plūsmu virzieni</w:t>
      </w:r>
      <w:r w:rsidRPr="001E48AC" w:rsidDel="001D220E">
        <w:rPr>
          <w:rFonts w:cs="Times New Roman"/>
          <w:szCs w:val="28"/>
        </w:rPr>
        <w:t xml:space="preserve"> </w:t>
      </w:r>
      <w:r w:rsidRPr="001E48AC">
        <w:rPr>
          <w:rFonts w:cs="Times New Roman"/>
          <w:szCs w:val="28"/>
        </w:rPr>
        <w:t xml:space="preserve">un ir apakšstacijas, kurās saražotās elektroenerģijas apjoms jau pārsniedz patēriņu. </w:t>
      </w:r>
    </w:p>
    <w:p w14:paraId="5B017F99" w14:textId="77777777" w:rsidR="00A40D4A" w:rsidRPr="001E48AC" w:rsidRDefault="00A40D4A" w:rsidP="00A40D4A">
      <w:pPr>
        <w:spacing w:after="0" w:line="240" w:lineRule="auto"/>
        <w:ind w:firstLine="567"/>
        <w:jc w:val="both"/>
        <w:rPr>
          <w:rFonts w:cs="Times New Roman"/>
          <w:szCs w:val="28"/>
        </w:rPr>
      </w:pPr>
      <w:r w:rsidRPr="001E48AC">
        <w:rPr>
          <w:rFonts w:cs="Times New Roman"/>
          <w:szCs w:val="28"/>
        </w:rPr>
        <w:t xml:space="preserve">Būtisks energoefektivitātes potenciāls mikroģeneratoru pieslēgumos no elektroenerģijas infrastruktūras skatupunkta šobrīd nav saskatāms, ja vien </w:t>
      </w:r>
      <w:proofErr w:type="spellStart"/>
      <w:r w:rsidRPr="001E48AC">
        <w:rPr>
          <w:rFonts w:cs="Times New Roman"/>
          <w:szCs w:val="28"/>
        </w:rPr>
        <w:t>mikroģeneratori</w:t>
      </w:r>
      <w:proofErr w:type="spellEnd"/>
      <w:r w:rsidRPr="001E48AC">
        <w:rPr>
          <w:rFonts w:cs="Times New Roman"/>
          <w:szCs w:val="28"/>
        </w:rPr>
        <w:t xml:space="preserve"> netiek aprīkoti ar elektroenerģijas uzkrāšanas ierīcēm vai slodzes vadības ieviešanu mājsaimniecībās. </w:t>
      </w:r>
    </w:p>
    <w:p w14:paraId="161D4857" w14:textId="06617DB2" w:rsidR="00A40D4A" w:rsidRPr="001E48AC" w:rsidRDefault="00A40D4A" w:rsidP="00990D41">
      <w:pPr>
        <w:spacing w:after="0" w:line="240" w:lineRule="auto"/>
        <w:ind w:firstLine="567"/>
        <w:jc w:val="both"/>
        <w:rPr>
          <w:rFonts w:cs="Times New Roman"/>
          <w:szCs w:val="28"/>
        </w:rPr>
      </w:pPr>
      <w:r w:rsidRPr="001E48AC">
        <w:rPr>
          <w:rFonts w:cs="Times New Roman"/>
          <w:szCs w:val="28"/>
        </w:rPr>
        <w:t xml:space="preserve">Attiecībā uz dabasgāzes mikrokoģenerācijas iekārtu uzstādīšanu ir jāņem vērā mājsaimniecību pirktspēja, jo vidējās izmaksas mikroģenerācijas iekārtai ar </w:t>
      </w:r>
      <w:r w:rsidRPr="001E48AC">
        <w:rPr>
          <w:rFonts w:cs="Times New Roman"/>
          <w:szCs w:val="28"/>
        </w:rPr>
        <w:lastRenderedPageBreak/>
        <w:t xml:space="preserve">elektrisko jaudu līdz 50 </w:t>
      </w:r>
      <w:proofErr w:type="spellStart"/>
      <w:r w:rsidRPr="001E48AC">
        <w:rPr>
          <w:rFonts w:cs="Times New Roman"/>
          <w:szCs w:val="28"/>
        </w:rPr>
        <w:t>kW</w:t>
      </w:r>
      <w:proofErr w:type="spellEnd"/>
      <w:r w:rsidRPr="001E48AC">
        <w:rPr>
          <w:rFonts w:cs="Times New Roman"/>
          <w:szCs w:val="28"/>
        </w:rPr>
        <w:t xml:space="preserve"> sasniedz vismaz 70 </w:t>
      </w:r>
      <w:r w:rsidR="007B7046" w:rsidRPr="001E48AC">
        <w:rPr>
          <w:rFonts w:cs="Times New Roman"/>
          <w:szCs w:val="28"/>
        </w:rPr>
        <w:t>000</w:t>
      </w:r>
      <w:r w:rsidRPr="001E48AC">
        <w:rPr>
          <w:rFonts w:cs="Times New Roman"/>
          <w:szCs w:val="28"/>
        </w:rPr>
        <w:t>. EUR. Potenciālās teritorijas, ņemot vērā teorijas attīstības plānojumu, varētu būt Rīgas reģions, ārpus Rīgas pilsētas, kur tiek plānota jauna apbūve, kā arī mazdārziņu teritorijas, kas pārtop par pastāvīgi dzīvojamo apbūvi.</w:t>
      </w:r>
      <w:r w:rsidR="00A92F0F" w:rsidRPr="001E48AC">
        <w:rPr>
          <w:rFonts w:cs="Times New Roman"/>
          <w:szCs w:val="28"/>
        </w:rPr>
        <w:t xml:space="preserve"> </w:t>
      </w:r>
      <w:r w:rsidRPr="001E48AC">
        <w:rPr>
          <w:rFonts w:cs="Times New Roman"/>
          <w:szCs w:val="28"/>
        </w:rPr>
        <w:t>Sistēmas operatoriem šie ir jauni izaicinājumi, jo attiecīgajos tīklos ir nepieciešams nodrošināt stabilitāti un kvalitāti. Līdz ar to nākotnē būs nepieciešami papildus risinājumi un energoefektivitātes potenciāla īstenošanai.</w:t>
      </w:r>
    </w:p>
    <w:p w14:paraId="5DE67CEB" w14:textId="77777777" w:rsidR="007E0207" w:rsidRPr="001E48AC" w:rsidRDefault="007E0207" w:rsidP="007E0207">
      <w:pPr>
        <w:spacing w:after="0" w:line="240" w:lineRule="auto"/>
        <w:ind w:firstLine="567"/>
        <w:jc w:val="both"/>
      </w:pPr>
      <w:r w:rsidRPr="001E48AC">
        <w:t>Ziņojumā uzrādītie aprēķinu rezultāti par iegūtajiem enerģijas ietaupījumiem ir aprēķināti atbilstoši Monitoringa noteikumu Nr.668 prasībām, izmantojot pieejamos datus par atsevišķu energoefektivitātes projektu ieviešanas rezultātiem, kas bija pieejami uz 2017.gada 1.martu. Ņemot vērā, ka atbilstoši Monitoringa noteikumu Nr.668 prasībām iestādēm un institūcijām uz kurām attiecas enerģijas ietaupījumu ziņošana, enerģijas ietaupījumu pārskati ir jāiesniedz līdz katra gada 1.novembrim, Ziņojumā uzrādītie aprēķinu rezultāti tiks precizēti un iesniegti Eiropas Komisijai ikgadējā ziņojumā par valsts energoefektivitātes mērķu sasniegšanas gaitu atbilstoši Energoefektivitātes likuma 4.panta piektās daļas prasībām.</w:t>
      </w:r>
    </w:p>
    <w:p w14:paraId="152F3E37" w14:textId="77777777" w:rsidR="00A40D4A" w:rsidRPr="001E48AC" w:rsidRDefault="00A40D4A" w:rsidP="004E446C">
      <w:pPr>
        <w:shd w:val="clear" w:color="auto" w:fill="FFFFFF"/>
        <w:spacing w:after="0" w:line="240" w:lineRule="auto"/>
        <w:jc w:val="both"/>
        <w:rPr>
          <w:rFonts w:eastAsia="Times New Roman" w:cs="Times New Roman"/>
          <w:szCs w:val="28"/>
          <w:lang w:eastAsia="lv-LV"/>
        </w:rPr>
      </w:pPr>
    </w:p>
    <w:p w14:paraId="17C70E9F" w14:textId="77777777" w:rsidR="00DF4077" w:rsidRPr="001E48AC" w:rsidRDefault="00DF4077" w:rsidP="00DF4077">
      <w:pPr>
        <w:tabs>
          <w:tab w:val="left" w:pos="0"/>
          <w:tab w:val="right" w:pos="8644"/>
        </w:tabs>
        <w:spacing w:after="0" w:line="240" w:lineRule="auto"/>
        <w:rPr>
          <w:rFonts w:eastAsia="Calibri" w:cs="Times New Roman"/>
          <w:sz w:val="24"/>
          <w:szCs w:val="24"/>
        </w:rPr>
      </w:pPr>
    </w:p>
    <w:p w14:paraId="1004DD9F" w14:textId="77777777" w:rsidR="00DF4077" w:rsidRPr="001E48AC" w:rsidRDefault="00DF4077" w:rsidP="00DF4077">
      <w:pPr>
        <w:spacing w:after="0" w:line="240" w:lineRule="auto"/>
        <w:rPr>
          <w:rFonts w:eastAsia="Calibri" w:cs="Times New Roman"/>
          <w:sz w:val="24"/>
          <w:szCs w:val="24"/>
        </w:rPr>
      </w:pPr>
    </w:p>
    <w:p w14:paraId="25B6C91F" w14:textId="77777777" w:rsidR="00DF4077" w:rsidRPr="001E48AC" w:rsidRDefault="00DF4077" w:rsidP="00DF4077">
      <w:pPr>
        <w:spacing w:after="0" w:line="240" w:lineRule="auto"/>
        <w:rPr>
          <w:rFonts w:eastAsia="Calibri" w:cs="Times New Roman"/>
          <w:szCs w:val="28"/>
        </w:rPr>
      </w:pPr>
      <w:r w:rsidRPr="001E48AC">
        <w:rPr>
          <w:rFonts w:eastAsia="Calibri" w:cs="Times New Roman"/>
          <w:szCs w:val="28"/>
        </w:rPr>
        <w:t>Ministru prezidenta biedrs,</w:t>
      </w:r>
    </w:p>
    <w:p w14:paraId="704E721E" w14:textId="77777777" w:rsidR="00DF4077" w:rsidRPr="001E48AC" w:rsidRDefault="00DF4077" w:rsidP="00DF4077">
      <w:pPr>
        <w:tabs>
          <w:tab w:val="right" w:pos="8644"/>
        </w:tabs>
        <w:spacing w:after="0" w:line="240" w:lineRule="auto"/>
        <w:rPr>
          <w:rFonts w:eastAsia="Calibri" w:cs="Times New Roman"/>
          <w:szCs w:val="28"/>
        </w:rPr>
      </w:pPr>
      <w:r w:rsidRPr="001E48AC">
        <w:rPr>
          <w:rFonts w:eastAsia="Calibri" w:cs="Times New Roman"/>
          <w:szCs w:val="28"/>
        </w:rPr>
        <w:t>ekonomikas ministrs</w:t>
      </w:r>
      <w:r w:rsidRPr="001E48AC">
        <w:rPr>
          <w:rFonts w:eastAsia="Calibri" w:cs="Times New Roman"/>
          <w:szCs w:val="28"/>
        </w:rPr>
        <w:tab/>
        <w:t xml:space="preserve">       A. Ašeradens</w:t>
      </w:r>
    </w:p>
    <w:p w14:paraId="0C7CCA29" w14:textId="77777777" w:rsidR="00DF4077" w:rsidRPr="001E48AC" w:rsidRDefault="00DF4077" w:rsidP="00DF4077">
      <w:pPr>
        <w:spacing w:after="0" w:line="240" w:lineRule="auto"/>
        <w:rPr>
          <w:rFonts w:eastAsia="Calibri" w:cs="Times New Roman"/>
          <w:szCs w:val="28"/>
        </w:rPr>
      </w:pPr>
    </w:p>
    <w:p w14:paraId="2A6431AE" w14:textId="77777777" w:rsidR="00DF4077" w:rsidRPr="001E48AC" w:rsidRDefault="00DF4077" w:rsidP="00DF4077">
      <w:pPr>
        <w:spacing w:after="0" w:line="240" w:lineRule="auto"/>
        <w:rPr>
          <w:rFonts w:eastAsia="Calibri" w:cs="Times New Roman"/>
          <w:szCs w:val="28"/>
        </w:rPr>
      </w:pPr>
      <w:r w:rsidRPr="001E48AC">
        <w:rPr>
          <w:rFonts w:eastAsia="Calibri" w:cs="Times New Roman"/>
          <w:szCs w:val="28"/>
        </w:rPr>
        <w:t xml:space="preserve">Iesniedzējs: </w:t>
      </w:r>
    </w:p>
    <w:p w14:paraId="60D2AF2F" w14:textId="77777777" w:rsidR="00DF4077" w:rsidRPr="001E48AC" w:rsidRDefault="00DF4077" w:rsidP="00DF4077">
      <w:pPr>
        <w:spacing w:after="0" w:line="240" w:lineRule="auto"/>
        <w:rPr>
          <w:rFonts w:eastAsia="Calibri" w:cs="Times New Roman"/>
          <w:szCs w:val="28"/>
        </w:rPr>
      </w:pPr>
      <w:r w:rsidRPr="001E48AC">
        <w:rPr>
          <w:rFonts w:eastAsia="Calibri" w:cs="Times New Roman"/>
          <w:szCs w:val="28"/>
        </w:rPr>
        <w:t>Ministru prezidenta biedrs,</w:t>
      </w:r>
    </w:p>
    <w:p w14:paraId="0D978926" w14:textId="77777777" w:rsidR="00DF4077" w:rsidRPr="001E48AC" w:rsidRDefault="00DF4077" w:rsidP="00DF4077">
      <w:pPr>
        <w:tabs>
          <w:tab w:val="right" w:pos="8644"/>
        </w:tabs>
        <w:spacing w:after="0" w:line="240" w:lineRule="auto"/>
        <w:rPr>
          <w:rFonts w:eastAsia="Calibri" w:cs="Times New Roman"/>
          <w:szCs w:val="28"/>
        </w:rPr>
      </w:pPr>
      <w:r w:rsidRPr="001E48AC">
        <w:rPr>
          <w:rFonts w:eastAsia="Calibri" w:cs="Times New Roman"/>
          <w:szCs w:val="28"/>
        </w:rPr>
        <w:t>ekonomikas ministrs</w:t>
      </w:r>
      <w:r w:rsidRPr="001E48AC">
        <w:rPr>
          <w:rFonts w:eastAsia="Calibri" w:cs="Times New Roman"/>
          <w:szCs w:val="28"/>
        </w:rPr>
        <w:tab/>
        <w:t xml:space="preserve">          A. Ašeradens</w:t>
      </w:r>
    </w:p>
    <w:p w14:paraId="09753FF0" w14:textId="77777777" w:rsidR="00DF4077" w:rsidRPr="001E48AC" w:rsidRDefault="00DF4077" w:rsidP="00DF4077">
      <w:pPr>
        <w:spacing w:after="0" w:line="240" w:lineRule="auto"/>
        <w:rPr>
          <w:rFonts w:eastAsia="Calibri" w:cs="Times New Roman"/>
          <w:sz w:val="24"/>
          <w:szCs w:val="24"/>
        </w:rPr>
      </w:pPr>
    </w:p>
    <w:p w14:paraId="7DAB79E6" w14:textId="77777777" w:rsidR="00C50DA7" w:rsidRPr="001E48AC" w:rsidRDefault="002B428D" w:rsidP="002B428D">
      <w:pPr>
        <w:spacing w:after="0" w:line="240" w:lineRule="auto"/>
        <w:rPr>
          <w:szCs w:val="28"/>
        </w:rPr>
      </w:pPr>
      <w:r w:rsidRPr="001E48AC">
        <w:rPr>
          <w:szCs w:val="28"/>
        </w:rPr>
        <w:t xml:space="preserve">Vīza: </w:t>
      </w:r>
      <w:r w:rsidR="00E14F9B" w:rsidRPr="001E48AC">
        <w:rPr>
          <w:szCs w:val="28"/>
        </w:rPr>
        <w:br/>
        <w:t>valsts sekretār</w:t>
      </w:r>
      <w:r w:rsidR="00C50DA7" w:rsidRPr="001E48AC">
        <w:rPr>
          <w:szCs w:val="28"/>
        </w:rPr>
        <w:t>a pienākumu izpildītāja,</w:t>
      </w:r>
    </w:p>
    <w:p w14:paraId="0045CA5D" w14:textId="693F45B1" w:rsidR="002B428D" w:rsidRPr="001E48AC" w:rsidRDefault="00C50DA7" w:rsidP="002B428D">
      <w:pPr>
        <w:spacing w:after="0" w:line="240" w:lineRule="auto"/>
        <w:rPr>
          <w:szCs w:val="28"/>
        </w:rPr>
      </w:pPr>
      <w:r w:rsidRPr="001E48AC">
        <w:rPr>
          <w:szCs w:val="28"/>
        </w:rPr>
        <w:t>administrācijas vadītāja</w:t>
      </w:r>
      <w:r w:rsidR="002B428D" w:rsidRPr="001E48AC">
        <w:rPr>
          <w:szCs w:val="28"/>
        </w:rPr>
        <w:tab/>
      </w:r>
      <w:r w:rsidR="002B428D" w:rsidRPr="001E48AC">
        <w:rPr>
          <w:szCs w:val="28"/>
        </w:rPr>
        <w:tab/>
      </w:r>
      <w:r w:rsidR="002B428D" w:rsidRPr="001E48AC">
        <w:rPr>
          <w:szCs w:val="28"/>
        </w:rPr>
        <w:tab/>
      </w:r>
      <w:r w:rsidR="002B428D" w:rsidRPr="001E48AC">
        <w:rPr>
          <w:szCs w:val="28"/>
        </w:rPr>
        <w:tab/>
      </w:r>
      <w:r w:rsidR="002B428D" w:rsidRPr="001E48AC">
        <w:rPr>
          <w:szCs w:val="28"/>
        </w:rPr>
        <w:tab/>
      </w:r>
      <w:r w:rsidR="002B428D" w:rsidRPr="001E48AC">
        <w:rPr>
          <w:szCs w:val="28"/>
        </w:rPr>
        <w:tab/>
      </w:r>
      <w:r w:rsidR="00E14F9B" w:rsidRPr="001E48AC">
        <w:rPr>
          <w:szCs w:val="28"/>
        </w:rPr>
        <w:tab/>
      </w:r>
      <w:r w:rsidR="00187958" w:rsidRPr="001E48AC">
        <w:rPr>
          <w:szCs w:val="28"/>
        </w:rPr>
        <w:t>I. Jaunzeme</w:t>
      </w:r>
    </w:p>
    <w:p w14:paraId="1070F4C8" w14:textId="77777777" w:rsidR="002B428D" w:rsidRPr="001E48AC" w:rsidRDefault="002B428D" w:rsidP="002B428D">
      <w:pPr>
        <w:tabs>
          <w:tab w:val="left" w:pos="426"/>
        </w:tabs>
        <w:spacing w:after="0" w:line="240" w:lineRule="auto"/>
        <w:jc w:val="both"/>
        <w:rPr>
          <w:szCs w:val="28"/>
        </w:rPr>
      </w:pPr>
    </w:p>
    <w:p w14:paraId="3F20D5DE" w14:textId="77777777" w:rsidR="001D3038" w:rsidRPr="001E48AC" w:rsidRDefault="001D3038" w:rsidP="002B428D">
      <w:pPr>
        <w:pStyle w:val="naisf"/>
        <w:spacing w:before="0" w:after="0"/>
        <w:ind w:firstLine="0"/>
        <w:jc w:val="left"/>
        <w:rPr>
          <w:sz w:val="20"/>
          <w:szCs w:val="20"/>
          <w:lang w:val="lv-LV"/>
        </w:rPr>
      </w:pPr>
    </w:p>
    <w:p w14:paraId="06EE8B0D" w14:textId="77777777" w:rsidR="001D3038" w:rsidRPr="001E48AC" w:rsidRDefault="001D3038" w:rsidP="002B428D">
      <w:pPr>
        <w:pStyle w:val="naisf"/>
        <w:spacing w:before="0" w:after="0"/>
        <w:ind w:firstLine="0"/>
        <w:jc w:val="left"/>
        <w:rPr>
          <w:sz w:val="20"/>
          <w:szCs w:val="20"/>
          <w:lang w:val="lv-LV"/>
        </w:rPr>
      </w:pPr>
    </w:p>
    <w:p w14:paraId="586B4977" w14:textId="7BA978F4" w:rsidR="002B428D" w:rsidRPr="001E48AC" w:rsidRDefault="00C726F8" w:rsidP="002B428D">
      <w:pPr>
        <w:pStyle w:val="naisf"/>
        <w:spacing w:before="0" w:after="0"/>
        <w:ind w:firstLine="0"/>
        <w:jc w:val="left"/>
        <w:rPr>
          <w:sz w:val="20"/>
          <w:szCs w:val="20"/>
          <w:lang w:val="lv-LV"/>
        </w:rPr>
      </w:pPr>
      <w:r w:rsidRPr="001E48AC">
        <w:rPr>
          <w:sz w:val="20"/>
          <w:szCs w:val="20"/>
          <w:lang w:val="lv-LV"/>
        </w:rPr>
        <w:t>0</w:t>
      </w:r>
      <w:r w:rsidR="00DE347D">
        <w:rPr>
          <w:sz w:val="20"/>
          <w:szCs w:val="20"/>
          <w:lang w:val="lv-LV"/>
        </w:rPr>
        <w:t>6</w:t>
      </w:r>
      <w:bookmarkStart w:id="43" w:name="_GoBack"/>
      <w:bookmarkEnd w:id="43"/>
      <w:r w:rsidR="002B428D" w:rsidRPr="001E48AC">
        <w:rPr>
          <w:sz w:val="20"/>
          <w:szCs w:val="20"/>
          <w:lang w:val="lv-LV"/>
        </w:rPr>
        <w:t>.0</w:t>
      </w:r>
      <w:r w:rsidR="0056767E" w:rsidRPr="001E48AC">
        <w:rPr>
          <w:sz w:val="20"/>
          <w:szCs w:val="20"/>
          <w:lang w:val="lv-LV"/>
        </w:rPr>
        <w:t>6</w:t>
      </w:r>
      <w:r w:rsidR="00A418DB" w:rsidRPr="001E48AC">
        <w:rPr>
          <w:sz w:val="20"/>
          <w:szCs w:val="20"/>
          <w:lang w:val="lv-LV"/>
        </w:rPr>
        <w:t>.2017</w:t>
      </w:r>
      <w:r w:rsidR="002B428D" w:rsidRPr="001E48AC">
        <w:rPr>
          <w:sz w:val="20"/>
          <w:szCs w:val="20"/>
          <w:lang w:val="lv-LV"/>
        </w:rPr>
        <w:t xml:space="preserve">. </w:t>
      </w:r>
      <w:r w:rsidR="008501B5" w:rsidRPr="001E48AC">
        <w:rPr>
          <w:sz w:val="20"/>
          <w:szCs w:val="20"/>
          <w:lang w:val="lv-LV"/>
        </w:rPr>
        <w:t>14</w:t>
      </w:r>
      <w:r w:rsidR="002B428D" w:rsidRPr="001E48AC">
        <w:rPr>
          <w:sz w:val="20"/>
          <w:szCs w:val="20"/>
          <w:lang w:val="lv-LV"/>
        </w:rPr>
        <w:t>:</w:t>
      </w:r>
      <w:r w:rsidR="008501B5" w:rsidRPr="001E48AC">
        <w:rPr>
          <w:sz w:val="20"/>
          <w:szCs w:val="20"/>
          <w:lang w:val="lv-LV"/>
        </w:rPr>
        <w:t>24</w:t>
      </w:r>
    </w:p>
    <w:p w14:paraId="26EE33E7" w14:textId="068A8998" w:rsidR="002B428D" w:rsidRPr="001E48AC" w:rsidRDefault="00EC15F1" w:rsidP="002B428D">
      <w:pPr>
        <w:pStyle w:val="naisf"/>
        <w:spacing w:before="0" w:after="0"/>
        <w:ind w:firstLine="0"/>
        <w:jc w:val="left"/>
        <w:rPr>
          <w:sz w:val="20"/>
          <w:szCs w:val="20"/>
          <w:lang w:val="lv-LV"/>
        </w:rPr>
      </w:pPr>
      <w:r w:rsidRPr="001E48AC">
        <w:rPr>
          <w:sz w:val="20"/>
          <w:szCs w:val="20"/>
          <w:lang w:val="lv-LV"/>
        </w:rPr>
        <w:t>10</w:t>
      </w:r>
      <w:r w:rsidR="007942A4" w:rsidRPr="001E48AC">
        <w:rPr>
          <w:sz w:val="20"/>
          <w:szCs w:val="20"/>
          <w:lang w:val="lv-LV"/>
        </w:rPr>
        <w:t>1</w:t>
      </w:r>
      <w:r w:rsidR="004843A3" w:rsidRPr="001E48AC">
        <w:rPr>
          <w:sz w:val="20"/>
          <w:szCs w:val="20"/>
          <w:lang w:val="lv-LV"/>
        </w:rPr>
        <w:t>8</w:t>
      </w:r>
      <w:r w:rsidR="006146C4">
        <w:rPr>
          <w:sz w:val="20"/>
          <w:szCs w:val="20"/>
          <w:lang w:val="lv-LV"/>
        </w:rPr>
        <w:t>9</w:t>
      </w:r>
    </w:p>
    <w:p w14:paraId="1B49F086" w14:textId="77777777" w:rsidR="009747D4" w:rsidRPr="001E48AC" w:rsidRDefault="009747D4" w:rsidP="002B428D">
      <w:pPr>
        <w:pStyle w:val="naisf"/>
        <w:spacing w:before="0" w:after="0"/>
        <w:ind w:firstLine="0"/>
        <w:jc w:val="left"/>
        <w:rPr>
          <w:sz w:val="20"/>
          <w:szCs w:val="20"/>
          <w:lang w:val="lv-LV"/>
        </w:rPr>
      </w:pPr>
    </w:p>
    <w:p w14:paraId="2B2060D8" w14:textId="77777777" w:rsidR="003936BC" w:rsidRPr="001E48AC" w:rsidRDefault="003936BC" w:rsidP="002373D7">
      <w:pPr>
        <w:pStyle w:val="naisf"/>
        <w:spacing w:before="0" w:after="0"/>
        <w:ind w:firstLine="0"/>
        <w:jc w:val="left"/>
        <w:rPr>
          <w:sz w:val="20"/>
          <w:szCs w:val="20"/>
          <w:lang w:val="lv-LV"/>
        </w:rPr>
      </w:pPr>
      <w:proofErr w:type="spellStart"/>
      <w:r w:rsidRPr="001E48AC">
        <w:rPr>
          <w:sz w:val="20"/>
          <w:szCs w:val="20"/>
          <w:lang w:val="lv-LV"/>
        </w:rPr>
        <w:t>I.Ozoliņa</w:t>
      </w:r>
      <w:proofErr w:type="spellEnd"/>
    </w:p>
    <w:p w14:paraId="14300847" w14:textId="77777777" w:rsidR="003936BC" w:rsidRPr="001E48AC" w:rsidRDefault="00DF4077" w:rsidP="002373D7">
      <w:pPr>
        <w:pStyle w:val="naisf"/>
        <w:spacing w:before="0" w:after="0"/>
        <w:ind w:firstLine="0"/>
        <w:jc w:val="left"/>
        <w:rPr>
          <w:sz w:val="20"/>
          <w:szCs w:val="20"/>
          <w:lang w:val="lv-LV"/>
        </w:rPr>
      </w:pPr>
      <w:hyperlink r:id="rId13" w:history="1">
        <w:r w:rsidR="003936BC" w:rsidRPr="001E48AC">
          <w:rPr>
            <w:rStyle w:val="Hyperlink"/>
            <w:color w:val="auto"/>
            <w:sz w:val="20"/>
            <w:szCs w:val="20"/>
            <w:lang w:val="lv-LV"/>
          </w:rPr>
          <w:t>Inguna.Ozolina@em.gov.lv</w:t>
        </w:r>
      </w:hyperlink>
    </w:p>
    <w:p w14:paraId="11BA3C0D" w14:textId="77777777" w:rsidR="003936BC" w:rsidRPr="001E48AC" w:rsidRDefault="003936BC" w:rsidP="002373D7">
      <w:pPr>
        <w:pStyle w:val="naisf"/>
        <w:spacing w:before="0" w:after="0"/>
        <w:ind w:firstLine="0"/>
        <w:jc w:val="left"/>
        <w:rPr>
          <w:sz w:val="20"/>
          <w:szCs w:val="20"/>
          <w:lang w:val="lv-LV"/>
        </w:rPr>
      </w:pPr>
      <w:r w:rsidRPr="001E48AC">
        <w:rPr>
          <w:sz w:val="20"/>
          <w:szCs w:val="20"/>
          <w:lang w:val="lv-LV"/>
        </w:rPr>
        <w:t>67013175</w:t>
      </w:r>
    </w:p>
    <w:p w14:paraId="309E714D" w14:textId="77777777" w:rsidR="003936BC" w:rsidRPr="001E48AC" w:rsidRDefault="003936BC" w:rsidP="002373D7">
      <w:pPr>
        <w:pStyle w:val="naisf"/>
        <w:spacing w:before="0" w:after="0"/>
        <w:ind w:firstLine="0"/>
        <w:jc w:val="left"/>
        <w:rPr>
          <w:sz w:val="20"/>
          <w:szCs w:val="20"/>
          <w:lang w:val="lv-LV"/>
        </w:rPr>
      </w:pPr>
      <w:proofErr w:type="spellStart"/>
      <w:r w:rsidRPr="001E48AC">
        <w:rPr>
          <w:sz w:val="20"/>
          <w:szCs w:val="20"/>
          <w:lang w:val="lv-LV"/>
        </w:rPr>
        <w:t>A.Pētersone</w:t>
      </w:r>
      <w:proofErr w:type="spellEnd"/>
    </w:p>
    <w:p w14:paraId="496D61C0" w14:textId="77777777" w:rsidR="003936BC" w:rsidRPr="001E48AC" w:rsidRDefault="00DF4077" w:rsidP="002373D7">
      <w:pPr>
        <w:pStyle w:val="naisf"/>
        <w:spacing w:before="0" w:after="0"/>
        <w:ind w:firstLine="0"/>
        <w:jc w:val="left"/>
        <w:rPr>
          <w:sz w:val="20"/>
          <w:szCs w:val="20"/>
          <w:lang w:val="lv-LV"/>
        </w:rPr>
      </w:pPr>
      <w:hyperlink r:id="rId14" w:history="1">
        <w:r w:rsidR="003936BC" w:rsidRPr="001E48AC">
          <w:rPr>
            <w:rStyle w:val="Hyperlink"/>
            <w:color w:val="auto"/>
            <w:sz w:val="20"/>
            <w:szCs w:val="20"/>
            <w:lang w:val="lv-LV"/>
          </w:rPr>
          <w:t>Andzela.Petersone@em.gov.lv</w:t>
        </w:r>
      </w:hyperlink>
    </w:p>
    <w:p w14:paraId="044BE73C" w14:textId="63270B4D" w:rsidR="00EC15F1" w:rsidRPr="001E48AC" w:rsidRDefault="003936BC" w:rsidP="002373D7">
      <w:pPr>
        <w:pStyle w:val="naisf"/>
        <w:spacing w:before="0" w:after="0"/>
        <w:ind w:firstLine="0"/>
        <w:jc w:val="left"/>
        <w:rPr>
          <w:sz w:val="20"/>
          <w:szCs w:val="20"/>
          <w:lang w:val="lv-LV"/>
        </w:rPr>
      </w:pPr>
      <w:r w:rsidRPr="001E48AC">
        <w:rPr>
          <w:sz w:val="20"/>
          <w:szCs w:val="20"/>
          <w:lang w:val="lv-LV"/>
        </w:rPr>
        <w:t>67013170</w:t>
      </w:r>
    </w:p>
    <w:p w14:paraId="464084D1" w14:textId="77777777" w:rsidR="00EC15F1" w:rsidRPr="001E48AC" w:rsidRDefault="00EC15F1" w:rsidP="007942A4"/>
    <w:sectPr w:rsidR="00EC15F1" w:rsidRPr="001E48AC" w:rsidSect="00966CC9">
      <w:headerReference w:type="default" r:id="rId15"/>
      <w:footerReference w:type="default" r:id="rId16"/>
      <w:pgSz w:w="11906" w:h="16838"/>
      <w:pgMar w:top="1440" w:right="1440" w:bottom="1440" w:left="1440"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63C1C" w14:textId="77777777" w:rsidR="00DF4077" w:rsidRDefault="00DF4077" w:rsidP="00553FB6">
      <w:pPr>
        <w:spacing w:after="0" w:line="240" w:lineRule="auto"/>
      </w:pPr>
      <w:r>
        <w:separator/>
      </w:r>
    </w:p>
  </w:endnote>
  <w:endnote w:type="continuationSeparator" w:id="0">
    <w:p w14:paraId="3D53767C" w14:textId="77777777" w:rsidR="00DF4077" w:rsidRDefault="00DF4077" w:rsidP="0055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Nimbus Sans L">
    <w:altName w:val="Arial Unicode MS"/>
    <w:charset w:val="80"/>
    <w:family w:val="auto"/>
    <w:pitch w:val="variable"/>
  </w:font>
  <w:font w:name="font188">
    <w:altName w:val="Arial Unicode MS"/>
    <w:charset w:val="80"/>
    <w:family w:val="auto"/>
    <w:pitch w:val="variable"/>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4781A" w14:textId="23795BF1" w:rsidR="00DF4077" w:rsidRPr="001B5758" w:rsidRDefault="00DF4077" w:rsidP="00F85A58">
    <w:pPr>
      <w:jc w:val="both"/>
      <w:rPr>
        <w:sz w:val="20"/>
        <w:szCs w:val="20"/>
      </w:rPr>
    </w:pPr>
    <w:r>
      <w:fldChar w:fldCharType="begin"/>
    </w:r>
    <w:r>
      <w:instrText xml:space="preserve"> FILENAME   \* MERGEFORMAT </w:instrText>
    </w:r>
    <w:r>
      <w:fldChar w:fldCharType="separate"/>
    </w:r>
    <w:r>
      <w:rPr>
        <w:noProof/>
        <w:sz w:val="20"/>
        <w:szCs w:val="20"/>
      </w:rPr>
      <w:t>EMZino_EE_26052017</w:t>
    </w:r>
    <w:r>
      <w:rPr>
        <w:noProof/>
        <w:sz w:val="20"/>
        <w:szCs w:val="20"/>
      </w:rPr>
      <w:fldChar w:fldCharType="end"/>
    </w:r>
    <w:r>
      <w:rPr>
        <w:sz w:val="20"/>
        <w:szCs w:val="20"/>
      </w:rPr>
      <w:t xml:space="preserve">; </w:t>
    </w:r>
    <w:fldSimple w:instr=" TITLE  &quot;Informatīvais ziņojums Valsts energoefektivitātes rīcības plāns 2014. - 2016. gadam&quot;  \* MERGEFORMAT ">
      <w:r w:rsidRPr="00520400">
        <w:rPr>
          <w:sz w:val="20"/>
          <w:szCs w:val="20"/>
        </w:rPr>
        <w:t>Informatīvais ziņojums „Par virzību uz indikatīvo valst</w:t>
      </w:r>
      <w:r>
        <w:rPr>
          <w:sz w:val="20"/>
          <w:szCs w:val="20"/>
        </w:rPr>
        <w:t>s energoefektivitātes mērķi 2017. – 2019</w:t>
      </w:r>
      <w:r w:rsidRPr="00520400">
        <w:rPr>
          <w:sz w:val="20"/>
          <w:szCs w:val="20"/>
        </w:rPr>
        <w:t>. gad</w:t>
      </w:r>
      <w:r>
        <w:rPr>
          <w:sz w:val="20"/>
          <w:szCs w:val="20"/>
        </w:rPr>
        <w:t>ā</w:t>
      </w:r>
      <w:r w:rsidRPr="00520400">
        <w:rPr>
          <w:sz w:val="20"/>
          <w:szCs w:val="20"/>
        </w:rPr>
        <w:t xml:space="preserve"> saskaņā ar Eiropas Parlamenta un Padomes 2012. gada 25. oktobra Direktīvu 2012/27/ES par energoefektivitāti, ar ko groza Direktīvas </w:t>
      </w:r>
      <w:r>
        <w:rPr>
          <w:sz w:val="20"/>
          <w:szCs w:val="20"/>
        </w:rPr>
        <w:t>2</w:t>
      </w:r>
      <w:r w:rsidRPr="00520400">
        <w:rPr>
          <w:sz w:val="20"/>
          <w:szCs w:val="20"/>
        </w:rPr>
        <w:t>009/125/EK un 2010/30/ES un atceļ Direktīvas 20</w:t>
      </w:r>
      <w:r>
        <w:rPr>
          <w:sz w:val="20"/>
          <w:szCs w:val="20"/>
        </w:rPr>
        <w:t xml:space="preserve">04/8/EK un 2006/32/EK” </w:t>
      </w:r>
    </w:fldSimple>
    <w:r>
      <w:rPr>
        <w:sz w:val="20"/>
        <w:szCs w:val="20"/>
      </w:rPr>
      <w:fldChar w:fldCharType="begin"/>
    </w:r>
    <w:r>
      <w:rPr>
        <w:sz w:val="20"/>
        <w:szCs w:val="20"/>
      </w:rPr>
      <w:instrText xml:space="preserve"> TITLE   \* MERGEFORMAT </w:instrTex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8E334" w14:textId="77777777" w:rsidR="00DF4077" w:rsidRDefault="00DF4077" w:rsidP="00553FB6">
      <w:pPr>
        <w:spacing w:after="0" w:line="240" w:lineRule="auto"/>
      </w:pPr>
      <w:r>
        <w:separator/>
      </w:r>
    </w:p>
  </w:footnote>
  <w:footnote w:type="continuationSeparator" w:id="0">
    <w:p w14:paraId="62F26533" w14:textId="77777777" w:rsidR="00DF4077" w:rsidRDefault="00DF4077" w:rsidP="00553FB6">
      <w:pPr>
        <w:spacing w:after="0" w:line="240" w:lineRule="auto"/>
      </w:pPr>
      <w:r>
        <w:continuationSeparator/>
      </w:r>
    </w:p>
  </w:footnote>
  <w:footnote w:id="1">
    <w:p w14:paraId="5F36D732" w14:textId="77777777" w:rsidR="00DF4077" w:rsidRPr="00E45A96" w:rsidRDefault="00DF4077" w:rsidP="007E0207">
      <w:pPr>
        <w:pStyle w:val="FootnoteText"/>
        <w:rPr>
          <w:sz w:val="20"/>
          <w:szCs w:val="20"/>
        </w:rPr>
      </w:pPr>
      <w:r w:rsidRPr="00E45A96">
        <w:rPr>
          <w:rStyle w:val="FootnoteReference"/>
          <w:sz w:val="20"/>
          <w:szCs w:val="20"/>
        </w:rPr>
        <w:footnoteRef/>
      </w:r>
      <w:r w:rsidRPr="002079B1">
        <w:rPr>
          <w:sz w:val="20"/>
          <w:szCs w:val="20"/>
        </w:rPr>
        <w:t>http://polsis.mk.gov.lv/documents/5499</w:t>
      </w:r>
    </w:p>
  </w:footnote>
  <w:footnote w:id="2">
    <w:p w14:paraId="55EA8150" w14:textId="77777777" w:rsidR="00DF4077" w:rsidRDefault="00DF4077" w:rsidP="007E0207">
      <w:pPr>
        <w:pStyle w:val="FootnoteText"/>
      </w:pPr>
      <w:r>
        <w:rPr>
          <w:rStyle w:val="FootnoteReference"/>
        </w:rPr>
        <w:footnoteRef/>
      </w:r>
      <w:hyperlink r:id="rId1" w:history="1">
        <w:r w:rsidRPr="00421B52">
          <w:rPr>
            <w:rStyle w:val="Hyperlink"/>
            <w:sz w:val="20"/>
            <w:szCs w:val="20"/>
          </w:rPr>
          <w:t>http://eur-lex.europa.eu/LexUriServ/LexUriServ.do?uri=OJ:L:2013:141:0048:0053:LV:PDF</w:t>
        </w:r>
      </w:hyperlink>
    </w:p>
  </w:footnote>
  <w:footnote w:id="3">
    <w:p w14:paraId="2F49F846" w14:textId="77777777" w:rsidR="00DF4077" w:rsidRDefault="00DF4077">
      <w:pPr>
        <w:pStyle w:val="FootnoteText"/>
      </w:pPr>
      <w:r>
        <w:rPr>
          <w:rStyle w:val="FootnoteReference"/>
        </w:rPr>
        <w:footnoteRef/>
      </w:r>
      <w:r>
        <w:t xml:space="preserve"> </w:t>
      </w:r>
      <w:r w:rsidRPr="00187C27">
        <w:t>https://ec.europa.eu/energy/en/topics/energy-efficiency/energy-efficiency-directive/national-energy-efficiency-action-plans</w:t>
      </w:r>
    </w:p>
  </w:footnote>
  <w:footnote w:id="4">
    <w:p w14:paraId="43C67124" w14:textId="77777777" w:rsidR="00DF4077" w:rsidRPr="00E45A96" w:rsidRDefault="00DF4077">
      <w:pPr>
        <w:pStyle w:val="FootnoteText"/>
        <w:rPr>
          <w:sz w:val="20"/>
          <w:szCs w:val="20"/>
        </w:rPr>
      </w:pPr>
      <w:r>
        <w:rPr>
          <w:rStyle w:val="FootnoteReference"/>
        </w:rPr>
        <w:footnoteRef/>
      </w:r>
      <w:r w:rsidRPr="00E45A96">
        <w:rPr>
          <w:sz w:val="20"/>
          <w:szCs w:val="20"/>
        </w:rPr>
        <w:t>Direktīva 2006/32/EK nav spēkā no 2012.gada 5.decembra, bet tajā noteiktais indikatīvais enerģijas galapatēriņa mērķis bija saistošs līdz 2016.gadam</w:t>
      </w:r>
      <w:r>
        <w:rPr>
          <w:sz w:val="20"/>
          <w:szCs w:val="20"/>
        </w:rPr>
        <w:t>;</w:t>
      </w:r>
    </w:p>
  </w:footnote>
  <w:footnote w:id="5">
    <w:p w14:paraId="60564394" w14:textId="269CFBCE" w:rsidR="00DF4077" w:rsidRPr="001F566F" w:rsidRDefault="00DF4077">
      <w:pPr>
        <w:pStyle w:val="FootnoteText"/>
        <w:rPr>
          <w:sz w:val="20"/>
          <w:szCs w:val="20"/>
        </w:rPr>
      </w:pPr>
      <w:r>
        <w:rPr>
          <w:rStyle w:val="FootnoteReference"/>
        </w:rPr>
        <w:footnoteRef/>
      </w:r>
      <w:r>
        <w:t xml:space="preserve"> </w:t>
      </w:r>
      <w:r w:rsidRPr="001F566F">
        <w:rPr>
          <w:sz w:val="20"/>
          <w:szCs w:val="20"/>
        </w:rPr>
        <w:t>“gandrīz nulles” enerģijas patēriņa ēk</w:t>
      </w:r>
      <w:r>
        <w:rPr>
          <w:sz w:val="20"/>
          <w:szCs w:val="20"/>
        </w:rPr>
        <w:t>a</w:t>
      </w:r>
      <w:r w:rsidRPr="001F566F">
        <w:rPr>
          <w:sz w:val="20"/>
          <w:szCs w:val="20"/>
        </w:rPr>
        <w:t xml:space="preserve"> definēta Ēku energoefektivitātes likuma 1. panta 6. punktā</w:t>
      </w:r>
      <w:r>
        <w:rPr>
          <w:sz w:val="20"/>
          <w:szCs w:val="20"/>
        </w:rPr>
        <w:t xml:space="preserve"> un </w:t>
      </w:r>
      <w:r w:rsidRPr="001F566F">
        <w:rPr>
          <w:sz w:val="20"/>
          <w:szCs w:val="20"/>
        </w:rPr>
        <w:t>Ministru kabineta 2013. gada 9. jūlija noteikum</w:t>
      </w:r>
      <w:r>
        <w:rPr>
          <w:sz w:val="20"/>
          <w:szCs w:val="20"/>
        </w:rPr>
        <w:t>u</w:t>
      </w:r>
      <w:r w:rsidRPr="001F566F">
        <w:rPr>
          <w:sz w:val="20"/>
          <w:szCs w:val="20"/>
        </w:rPr>
        <w:t xml:space="preserve"> Nr.383 „Noteikumi par ēku energosertifikāciju”</w:t>
      </w:r>
      <w:r>
        <w:rPr>
          <w:sz w:val="20"/>
          <w:szCs w:val="20"/>
        </w:rPr>
        <w:t xml:space="preserve"> 17.punktā.</w:t>
      </w:r>
    </w:p>
  </w:footnote>
  <w:footnote w:id="6">
    <w:p w14:paraId="04F7F309" w14:textId="70D4E774" w:rsidR="00DF4077" w:rsidRPr="007F2892" w:rsidRDefault="00DF4077" w:rsidP="00252945">
      <w:pPr>
        <w:autoSpaceDE w:val="0"/>
        <w:autoSpaceDN w:val="0"/>
        <w:adjustRightInd w:val="0"/>
        <w:jc w:val="both"/>
        <w:rPr>
          <w:rFonts w:eastAsia="Calibri" w:cs="Times New Roman"/>
          <w:sz w:val="18"/>
          <w:szCs w:val="18"/>
          <w:lang w:eastAsia="lv-LV"/>
        </w:rPr>
      </w:pPr>
      <w:r>
        <w:rPr>
          <w:rStyle w:val="FootnoteReference"/>
        </w:rPr>
        <w:footnoteRef/>
      </w:r>
      <w:r>
        <w:t xml:space="preserve"> </w:t>
      </w:r>
      <w:r>
        <w:rPr>
          <w:rFonts w:eastAsia="Calibri" w:cs="Times New Roman"/>
          <w:bCs/>
          <w:sz w:val="18"/>
          <w:szCs w:val="18"/>
          <w:lang w:eastAsia="lv-LV"/>
        </w:rPr>
        <w:t xml:space="preserve">2016.gada FEI pētījums </w:t>
      </w:r>
      <w:r w:rsidRPr="007F2892">
        <w:rPr>
          <w:rFonts w:eastAsia="Calibri" w:cs="Times New Roman"/>
          <w:bCs/>
          <w:sz w:val="18"/>
          <w:szCs w:val="18"/>
          <w:lang w:eastAsia="lv-LV"/>
        </w:rPr>
        <w:t>„Valsts energoefektivitātes rīcības plāna priekšlikumu izstrāde atbilstoši Energoefektivitātes direktīvas 2012/27/ES XIV pielikuma 2.daļas prasībām”</w:t>
      </w:r>
    </w:p>
    <w:p w14:paraId="3E785104" w14:textId="3CE713B4" w:rsidR="00DF4077" w:rsidRDefault="00DF4077">
      <w:pPr>
        <w:pStyle w:val="FootnoteText"/>
      </w:pPr>
    </w:p>
  </w:footnote>
  <w:footnote w:id="7">
    <w:p w14:paraId="51104D4B" w14:textId="5326A6D3" w:rsidR="00DF4077" w:rsidRPr="00FC1BBB" w:rsidRDefault="00DF4077">
      <w:pPr>
        <w:pStyle w:val="FootnoteText"/>
        <w:rPr>
          <w:sz w:val="20"/>
          <w:szCs w:val="20"/>
        </w:rPr>
      </w:pPr>
      <w:r w:rsidRPr="00FC1BBB">
        <w:rPr>
          <w:rStyle w:val="FootnoteReference"/>
        </w:rPr>
        <w:footnoteRef/>
      </w:r>
      <w:r w:rsidRPr="00FC1BBB">
        <w:t xml:space="preserve"> </w:t>
      </w:r>
      <w:r w:rsidRPr="00FC1BBB">
        <w:rPr>
          <w:sz w:val="20"/>
          <w:szCs w:val="20"/>
        </w:rPr>
        <w:t>https://ec.europa.eu/energy/sites/ener/files/documents/2014_neeap_lv_latvia.pdf</w:t>
      </w:r>
    </w:p>
  </w:footnote>
  <w:footnote w:id="8">
    <w:p w14:paraId="5C21F14B" w14:textId="6A52579F" w:rsidR="00DF4077" w:rsidRPr="001E48AC" w:rsidRDefault="00DF4077" w:rsidP="00940214">
      <w:pPr>
        <w:pStyle w:val="FootnoteText"/>
        <w:jc w:val="both"/>
        <w:rPr>
          <w:sz w:val="20"/>
          <w:szCs w:val="20"/>
          <w:lang w:val="en-GB"/>
        </w:rPr>
      </w:pPr>
      <w:r>
        <w:rPr>
          <w:rStyle w:val="FootnoteReference"/>
        </w:rPr>
        <w:footnoteRef/>
      </w:r>
      <w:r>
        <w:t xml:space="preserve"> </w:t>
      </w:r>
      <w:r w:rsidRPr="001E48AC">
        <w:rPr>
          <w:sz w:val="20"/>
          <w:szCs w:val="20"/>
          <w:lang w:val="en-GB"/>
        </w:rPr>
        <w:t xml:space="preserve">“Commission draft guidelines Recommendation on measurement and verification methods in the framework of Directive 2006/32/EC on energy end-use efficiency and energy </w:t>
      </w:r>
      <w:proofErr w:type="gramStart"/>
      <w:r w:rsidRPr="001E48AC">
        <w:rPr>
          <w:sz w:val="20"/>
          <w:szCs w:val="20"/>
          <w:lang w:val="en-GB"/>
        </w:rPr>
        <w:t>services”  https://www.energy-community.org/pls/portal/docs/906182.PDF</w:t>
      </w:r>
      <w:proofErr w:type="gramEnd"/>
    </w:p>
  </w:footnote>
  <w:footnote w:id="9">
    <w:p w14:paraId="4341F5A9" w14:textId="77777777" w:rsidR="00DF4077" w:rsidRDefault="00DF4077" w:rsidP="000F6DEE">
      <w:pPr>
        <w:pStyle w:val="FootnoteText"/>
      </w:pPr>
      <w:r>
        <w:rPr>
          <w:rStyle w:val="FootnoteReference"/>
        </w:rPr>
        <w:footnoteRef/>
      </w:r>
      <w:hyperlink r:id="rId2" w:history="1">
        <w:r w:rsidRPr="00727E0D">
          <w:rPr>
            <w:rStyle w:val="Hyperlink"/>
            <w:sz w:val="20"/>
          </w:rPr>
          <w:t>http://eur-lex.europa.eu/LexUriServ/LexUriServ.do?uri=OJ:L:2013:141:0048:0053:LV:PDF</w:t>
        </w:r>
      </w:hyperlink>
    </w:p>
  </w:footnote>
  <w:footnote w:id="10">
    <w:p w14:paraId="547A2B29" w14:textId="77777777" w:rsidR="00DF4077" w:rsidRDefault="00DF4077" w:rsidP="000F6DEE">
      <w:pPr>
        <w:pStyle w:val="FootnoteText"/>
      </w:pPr>
      <w:r>
        <w:rPr>
          <w:rStyle w:val="FootnoteReference"/>
        </w:rPr>
        <w:footnoteRef/>
      </w:r>
      <w:r w:rsidRPr="008E583D">
        <w:rPr>
          <w:sz w:val="20"/>
          <w:szCs w:val="20"/>
        </w:rPr>
        <w:t>https://likumi.lv/doc.php?id=285878</w:t>
      </w:r>
    </w:p>
  </w:footnote>
  <w:footnote w:id="11">
    <w:p w14:paraId="6DD6AAC5" w14:textId="77777777" w:rsidR="00DF4077" w:rsidRPr="007942A4" w:rsidRDefault="00DF4077" w:rsidP="000F6DEE">
      <w:pPr>
        <w:pStyle w:val="FootnoteText"/>
        <w:rPr>
          <w:sz w:val="20"/>
          <w:szCs w:val="20"/>
        </w:rPr>
      </w:pPr>
      <w:r w:rsidRPr="007942A4">
        <w:rPr>
          <w:rStyle w:val="FootnoteReference"/>
          <w:sz w:val="20"/>
          <w:szCs w:val="20"/>
        </w:rPr>
        <w:footnoteRef/>
      </w:r>
      <w:r w:rsidRPr="007942A4">
        <w:rPr>
          <w:sz w:val="20"/>
          <w:szCs w:val="20"/>
        </w:rPr>
        <w:t>http://varam.gov.lv/lat/darbibas_veidi/KPFI/projekti/</w:t>
      </w:r>
    </w:p>
  </w:footnote>
  <w:footnote w:id="12">
    <w:p w14:paraId="0F89649F" w14:textId="379E3EE6" w:rsidR="00DF4077" w:rsidRDefault="00DF4077" w:rsidP="00354FB1">
      <w:pPr>
        <w:pStyle w:val="FootnoteText"/>
        <w:jc w:val="both"/>
      </w:pPr>
      <w:r>
        <w:rPr>
          <w:rStyle w:val="FootnoteReference"/>
        </w:rPr>
        <w:footnoteRef/>
      </w:r>
      <w:r>
        <w:t xml:space="preserve"> </w:t>
      </w:r>
      <w:r w:rsidRPr="00354FB1">
        <w:rPr>
          <w:sz w:val="20"/>
          <w:szCs w:val="20"/>
        </w:rPr>
        <w:t>https://ec.europa.eu/energy/en/topics/energy-efficiency-directive/obligation-schemes-and-alternative-measures</w:t>
      </w:r>
    </w:p>
  </w:footnote>
  <w:footnote w:id="13">
    <w:p w14:paraId="778DD223" w14:textId="23B1A68D" w:rsidR="00DF4077" w:rsidRPr="00A004C0" w:rsidRDefault="00DF4077">
      <w:pPr>
        <w:pStyle w:val="FootnoteText"/>
        <w:rPr>
          <w:sz w:val="20"/>
          <w:szCs w:val="20"/>
        </w:rPr>
      </w:pPr>
      <w:r>
        <w:rPr>
          <w:rStyle w:val="FootnoteReference"/>
        </w:rPr>
        <w:footnoteRef/>
      </w:r>
      <w:r>
        <w:t xml:space="preserve"> </w:t>
      </w:r>
      <w:r w:rsidRPr="00A004C0">
        <w:rPr>
          <w:sz w:val="20"/>
          <w:szCs w:val="20"/>
        </w:rPr>
        <w:t>https://likumi.lv/doc.php?id=262535</w:t>
      </w:r>
    </w:p>
  </w:footnote>
  <w:footnote w:id="14">
    <w:p w14:paraId="58B02EA1" w14:textId="18BC125B" w:rsidR="00DF4077" w:rsidRPr="000F54C5" w:rsidRDefault="00DF4077">
      <w:pPr>
        <w:pStyle w:val="FootnoteText"/>
        <w:rPr>
          <w:sz w:val="20"/>
          <w:szCs w:val="20"/>
        </w:rPr>
      </w:pPr>
      <w:r>
        <w:rPr>
          <w:rStyle w:val="FootnoteReference"/>
        </w:rPr>
        <w:footnoteRef/>
      </w:r>
      <w:r>
        <w:t xml:space="preserve"> </w:t>
      </w:r>
      <w:r w:rsidRPr="000F54C5">
        <w:rPr>
          <w:sz w:val="20"/>
          <w:szCs w:val="20"/>
        </w:rPr>
        <w:t>http://www.varam.gov.lv/lat/darbibas_veidi/Klimata_parmainas/?doc=17340; http://unfccc.int/national_reports/national_communications_and_biennial_reports/items/10267.php</w:t>
      </w:r>
    </w:p>
  </w:footnote>
  <w:footnote w:id="15">
    <w:p w14:paraId="5F623077" w14:textId="77777777" w:rsidR="00DF4077" w:rsidRDefault="00DF4077" w:rsidP="00740530">
      <w:pPr>
        <w:spacing w:after="0" w:line="240" w:lineRule="auto"/>
        <w:jc w:val="both"/>
      </w:pPr>
      <w:r>
        <w:rPr>
          <w:rStyle w:val="FootnoteReference"/>
        </w:rPr>
        <w:footnoteRef/>
      </w:r>
      <w:hyperlink r:id="rId3" w:history="1">
        <w:r w:rsidRPr="00740530">
          <w:rPr>
            <w:rStyle w:val="Hyperlink"/>
            <w:rFonts w:cs="Times New Roman"/>
            <w:sz w:val="20"/>
            <w:szCs w:val="20"/>
          </w:rPr>
          <w:t>http://www.csb.gov.lv/dati/statistikas-datubazes-28270.html</w:t>
        </w:r>
      </w:hyperlink>
    </w:p>
  </w:footnote>
  <w:footnote w:id="16">
    <w:p w14:paraId="54EA2A75" w14:textId="77777777" w:rsidR="00DF4077" w:rsidRDefault="00DF4077" w:rsidP="00740530">
      <w:pPr>
        <w:spacing w:after="0" w:line="240" w:lineRule="auto"/>
        <w:jc w:val="both"/>
      </w:pPr>
      <w:r>
        <w:rPr>
          <w:rStyle w:val="FootnoteReference"/>
        </w:rPr>
        <w:footnoteRef/>
      </w:r>
      <w:hyperlink r:id="rId4" w:history="1">
        <w:r w:rsidRPr="00740530">
          <w:rPr>
            <w:rStyle w:val="Hyperlink"/>
            <w:rFonts w:cs="Times New Roman"/>
            <w:sz w:val="20"/>
            <w:szCs w:val="20"/>
          </w:rPr>
          <w:t>http://www.csb.gov.lv/en/dati/statistics-database-30501.html</w:t>
        </w:r>
      </w:hyperlink>
    </w:p>
  </w:footnote>
  <w:footnote w:id="17">
    <w:p w14:paraId="366BB38E" w14:textId="77777777" w:rsidR="00DF4077" w:rsidRDefault="00DF4077" w:rsidP="00740530">
      <w:pPr>
        <w:pStyle w:val="FootnoteText"/>
      </w:pPr>
      <w:r>
        <w:rPr>
          <w:rStyle w:val="FootnoteReference"/>
        </w:rPr>
        <w:footnoteRef/>
      </w:r>
      <w:hyperlink r:id="rId5" w:history="1">
        <w:r w:rsidRPr="00740530">
          <w:rPr>
            <w:rStyle w:val="Hyperlink"/>
            <w:rFonts w:cs="Times New Roman"/>
            <w:sz w:val="20"/>
            <w:szCs w:val="20"/>
          </w:rPr>
          <w:t>http://www.meteo.lv/lapas/uznemumi-kuriem-izsniegtas-siltumnicefekta-gazu-emisijas-atlaujas-2-pe?id=1253&amp;nid=575</w:t>
        </w:r>
      </w:hyperlink>
    </w:p>
  </w:footnote>
  <w:footnote w:id="18">
    <w:p w14:paraId="742C2ACA" w14:textId="0DABC373" w:rsidR="00DF4077" w:rsidRPr="004E1E6E" w:rsidRDefault="00DF4077">
      <w:pPr>
        <w:pStyle w:val="FootnoteText"/>
        <w:rPr>
          <w:sz w:val="20"/>
          <w:szCs w:val="20"/>
        </w:rPr>
      </w:pPr>
      <w:r>
        <w:rPr>
          <w:rStyle w:val="FootnoteReference"/>
        </w:rPr>
        <w:footnoteRef/>
      </w:r>
      <w:r>
        <w:t xml:space="preserve"> </w:t>
      </w:r>
      <w:r w:rsidRPr="004E1E6E">
        <w:rPr>
          <w:sz w:val="20"/>
          <w:szCs w:val="20"/>
        </w:rPr>
        <w:t>http://www.pkc.gov.lv/</w:t>
      </w:r>
    </w:p>
  </w:footnote>
  <w:footnote w:id="19">
    <w:p w14:paraId="1284351F" w14:textId="5781D2CF" w:rsidR="00DF4077" w:rsidRDefault="00DF4077" w:rsidP="00CB2CD7">
      <w:pPr>
        <w:pStyle w:val="FootnoteText"/>
      </w:pPr>
      <w:r>
        <w:rPr>
          <w:rStyle w:val="FootnoteReference"/>
        </w:rPr>
        <w:footnoteRef/>
      </w:r>
      <w:r>
        <w:t xml:space="preserve"> </w:t>
      </w:r>
      <w:r w:rsidRPr="00CB2CD7">
        <w:rPr>
          <w:sz w:val="20"/>
          <w:szCs w:val="20"/>
        </w:rPr>
        <w:t>https://likumi.lv/ta/id/285879-kartiba-kada-nosledz-un-parrauga-brivpratigu-vienosanos-par-energoefektivitates-uzlabosanu</w:t>
      </w:r>
    </w:p>
  </w:footnote>
  <w:footnote w:id="20">
    <w:p w14:paraId="05D5A796" w14:textId="77777777" w:rsidR="00DF4077" w:rsidRPr="00B329F1" w:rsidRDefault="00DF4077" w:rsidP="00C54852">
      <w:pPr>
        <w:pStyle w:val="FootnoteText"/>
        <w:rPr>
          <w:rFonts w:cs="Times New Roman"/>
          <w:sz w:val="18"/>
          <w:szCs w:val="18"/>
        </w:rPr>
      </w:pPr>
      <w:r w:rsidRPr="00965812">
        <w:rPr>
          <w:rStyle w:val="FootnoteReference"/>
          <w:rFonts w:cs="Times New Roman"/>
        </w:rPr>
        <w:footnoteRef/>
      </w:r>
      <w:r w:rsidRPr="00965812">
        <w:rPr>
          <w:rFonts w:cs="Times New Roman"/>
        </w:rPr>
        <w:t xml:space="preserve"> </w:t>
      </w:r>
      <w:r w:rsidRPr="00B329F1">
        <w:rPr>
          <w:rFonts w:cs="Times New Roman"/>
          <w:sz w:val="18"/>
          <w:szCs w:val="18"/>
        </w:rPr>
        <w:t>Tāds enerģijas uzkrājums, kas izveidojies laika posmā no 2014. līdz 2020. gadam, katru gadu rodoties jauniem enerģijas ietaupījumiem</w:t>
      </w:r>
    </w:p>
  </w:footnote>
  <w:footnote w:id="21">
    <w:p w14:paraId="3E2377FF" w14:textId="2CC028C5" w:rsidR="00DF4077" w:rsidRPr="0069566B" w:rsidRDefault="00DF4077" w:rsidP="0069566B">
      <w:pPr>
        <w:pStyle w:val="FootnoteText"/>
        <w:jc w:val="both"/>
        <w:rPr>
          <w:sz w:val="20"/>
          <w:szCs w:val="20"/>
        </w:rPr>
      </w:pPr>
      <w:r>
        <w:rPr>
          <w:rStyle w:val="FootnoteReference"/>
        </w:rPr>
        <w:footnoteRef/>
      </w:r>
      <w:r>
        <w:t xml:space="preserve"> </w:t>
      </w:r>
      <w:r w:rsidRPr="0069566B">
        <w:rPr>
          <w:sz w:val="20"/>
          <w:szCs w:val="20"/>
        </w:rPr>
        <w:t>Ministru kabineta 2016. gada 11. oktobra noteikumi Nr. 668 “Energoefektivitātes monitoringa un piemērojamā energopārvaldības sistēmas standarta noteikumi”</w:t>
      </w:r>
      <w:r>
        <w:rPr>
          <w:sz w:val="20"/>
          <w:szCs w:val="20"/>
        </w:rPr>
        <w:t xml:space="preserve"> </w:t>
      </w:r>
      <w:r w:rsidRPr="0069566B">
        <w:rPr>
          <w:sz w:val="20"/>
          <w:szCs w:val="20"/>
        </w:rPr>
        <w:t>https://likumi.lv/doc.php?id=285878</w:t>
      </w:r>
    </w:p>
  </w:footnote>
  <w:footnote w:id="22">
    <w:p w14:paraId="4E1BDDA0" w14:textId="77777777" w:rsidR="00DF4077" w:rsidRDefault="00DF4077" w:rsidP="001F6437">
      <w:pPr>
        <w:pStyle w:val="NoSpacing"/>
        <w:jc w:val="both"/>
        <w:rPr>
          <w:rFonts w:ascii="Times New Roman" w:eastAsia="Times New Roman" w:hAnsi="Times New Roman"/>
          <w:color w:val="000000"/>
          <w:sz w:val="28"/>
          <w:szCs w:val="28"/>
          <w:lang w:eastAsia="lv-LV"/>
        </w:rPr>
      </w:pPr>
      <w:r>
        <w:rPr>
          <w:rStyle w:val="FootnoteReference"/>
        </w:rPr>
        <w:footnoteRef/>
      </w:r>
      <w:r>
        <w:t xml:space="preserve"> </w:t>
      </w:r>
      <w:r w:rsidRPr="00EA25E3">
        <w:rPr>
          <w:rFonts w:ascii="Times New Roman" w:eastAsia="Times New Roman" w:hAnsi="Times New Roman"/>
          <w:color w:val="000000"/>
          <w:sz w:val="18"/>
          <w:szCs w:val="18"/>
          <w:lang w:eastAsia="lv-LV"/>
        </w:rPr>
        <w:t>http://eur-lex.europa.eu/legal-content/EN/ALL/?uri=celex%3A52013SC0451</w:t>
      </w:r>
    </w:p>
    <w:p w14:paraId="3435253A" w14:textId="76622FA7" w:rsidR="00DF4077" w:rsidRDefault="00DF4077">
      <w:pPr>
        <w:pStyle w:val="FootnoteText"/>
      </w:pPr>
    </w:p>
  </w:footnote>
  <w:footnote w:id="23">
    <w:p w14:paraId="1922A6B5" w14:textId="5B116F97" w:rsidR="00DF4077" w:rsidRPr="002266A9" w:rsidRDefault="00DF4077">
      <w:pPr>
        <w:pStyle w:val="FootnoteText"/>
        <w:rPr>
          <w:sz w:val="20"/>
          <w:szCs w:val="20"/>
        </w:rPr>
      </w:pPr>
      <w:r>
        <w:rPr>
          <w:rStyle w:val="FootnoteReference"/>
        </w:rPr>
        <w:footnoteRef/>
      </w:r>
      <w:r>
        <w:t xml:space="preserve"> </w:t>
      </w:r>
      <w:hyperlink r:id="rId6" w:history="1">
        <w:r w:rsidRPr="002266A9">
          <w:rPr>
            <w:rStyle w:val="Hyperlink"/>
            <w:sz w:val="20"/>
            <w:szCs w:val="20"/>
          </w:rPr>
          <w:t>https://bis.gov.lv/bisp/lv/expert_certificates</w:t>
        </w:r>
      </w:hyperlink>
      <w:r w:rsidRPr="002266A9">
        <w:rPr>
          <w:sz w:val="20"/>
          <w:szCs w:val="20"/>
        </w:rPr>
        <w:t xml:space="preserve"> </w:t>
      </w:r>
    </w:p>
  </w:footnote>
  <w:footnote w:id="24">
    <w:p w14:paraId="502B85C6" w14:textId="77777777" w:rsidR="00DF4077" w:rsidRPr="00E45A96" w:rsidRDefault="00DF4077">
      <w:pPr>
        <w:pStyle w:val="FootnoteText"/>
        <w:rPr>
          <w:sz w:val="20"/>
          <w:szCs w:val="20"/>
        </w:rPr>
      </w:pPr>
      <w:r>
        <w:rPr>
          <w:rStyle w:val="FootnoteReference"/>
        </w:rPr>
        <w:footnoteRef/>
      </w:r>
      <w:r w:rsidRPr="00E45A96">
        <w:rPr>
          <w:sz w:val="20"/>
          <w:szCs w:val="20"/>
        </w:rPr>
        <w:t>https://www.em.gov.lv/lv/nozares_politika/energoefektivitate_un_siltumapgade/energoefektivitate/lielie_uznemumi_un_lielie_elektroenergijas_pateretaji/</w:t>
      </w:r>
    </w:p>
  </w:footnote>
  <w:footnote w:id="25">
    <w:p w14:paraId="5E0029DF" w14:textId="77777777" w:rsidR="00DF4077" w:rsidRDefault="00DF4077" w:rsidP="008D5FC1">
      <w:pPr>
        <w:pStyle w:val="FootnoteText"/>
      </w:pPr>
      <w:r>
        <w:rPr>
          <w:rStyle w:val="FootnoteReference"/>
        </w:rPr>
        <w:footnoteRef/>
      </w:r>
      <w:r>
        <w:t xml:space="preserve"> </w:t>
      </w:r>
      <w:r w:rsidRPr="004250E6">
        <w:rPr>
          <w:sz w:val="18"/>
          <w:szCs w:val="18"/>
        </w:rPr>
        <w:t>http://www.latak.lv/index.php?option=com_institucijas&amp;view=institucijas&amp;type=all&amp;Itemid=151&amp;lang=lv</w:t>
      </w:r>
    </w:p>
  </w:footnote>
  <w:footnote w:id="26">
    <w:p w14:paraId="30B7CA7B" w14:textId="77777777" w:rsidR="00DF4077" w:rsidRDefault="00DF4077">
      <w:pPr>
        <w:pStyle w:val="FootnoteText"/>
      </w:pPr>
      <w:r>
        <w:rPr>
          <w:rStyle w:val="FootnoteReference"/>
        </w:rPr>
        <w:footnoteRef/>
      </w:r>
      <w:hyperlink r:id="rId7" w:history="1">
        <w:r w:rsidRPr="00151889">
          <w:rPr>
            <w:rStyle w:val="Hyperlink"/>
            <w:sz w:val="20"/>
          </w:rPr>
          <w:t>http://www.em.gov.lv/em/2nd/?cat=30272</w:t>
        </w:r>
      </w:hyperlink>
    </w:p>
  </w:footnote>
  <w:footnote w:id="27">
    <w:p w14:paraId="7FB066D6" w14:textId="244C23F8" w:rsidR="00DF4077" w:rsidRPr="00B329F1" w:rsidRDefault="00DF4077">
      <w:pPr>
        <w:pStyle w:val="FootnoteText"/>
        <w:rPr>
          <w:sz w:val="18"/>
          <w:szCs w:val="18"/>
        </w:rPr>
      </w:pPr>
      <w:r>
        <w:rPr>
          <w:rStyle w:val="FootnoteReference"/>
        </w:rPr>
        <w:footnoteRef/>
      </w:r>
      <w:r>
        <w:t xml:space="preserve"> </w:t>
      </w:r>
      <w:r w:rsidRPr="00B329F1">
        <w:rPr>
          <w:sz w:val="18"/>
          <w:szCs w:val="18"/>
        </w:rPr>
        <w:t>http://svr.aic.lv/Form.aspx?id=contacts</w:t>
      </w:r>
    </w:p>
  </w:footnote>
  <w:footnote w:id="28">
    <w:p w14:paraId="44563DBE" w14:textId="765E626D" w:rsidR="00DF4077" w:rsidRDefault="00DF4077">
      <w:pPr>
        <w:pStyle w:val="FootnoteText"/>
      </w:pPr>
      <w:r w:rsidRPr="00B329F1">
        <w:rPr>
          <w:rStyle w:val="FootnoteReference"/>
          <w:sz w:val="18"/>
          <w:szCs w:val="18"/>
        </w:rPr>
        <w:footnoteRef/>
      </w:r>
      <w:r w:rsidRPr="00B329F1">
        <w:rPr>
          <w:sz w:val="18"/>
          <w:szCs w:val="18"/>
        </w:rPr>
        <w:t xml:space="preserve"> http://svr.aic.lv/Forms/ProgrammesList.aspx?gr=1&amp;cc=1&amp;cp=0</w:t>
      </w:r>
    </w:p>
  </w:footnote>
  <w:footnote w:id="29">
    <w:p w14:paraId="409AC87B" w14:textId="06A9730A" w:rsidR="00DF4077" w:rsidRDefault="00DF4077">
      <w:pPr>
        <w:pStyle w:val="FootnoteText"/>
      </w:pPr>
      <w:r>
        <w:rPr>
          <w:rStyle w:val="FootnoteReference"/>
        </w:rPr>
        <w:footnoteRef/>
      </w:r>
      <w:r>
        <w:t xml:space="preserve"> </w:t>
      </w:r>
      <w:hyperlink r:id="rId8" w:history="1">
        <w:r w:rsidRPr="00B61862">
          <w:rPr>
            <w:rStyle w:val="Hyperlink"/>
            <w:sz w:val="20"/>
            <w:szCs w:val="20"/>
          </w:rPr>
          <w:t>http://ekubirojs.lv/lv/sakums</w:t>
        </w:r>
      </w:hyperlink>
      <w:r>
        <w:rPr>
          <w:sz w:val="20"/>
          <w:szCs w:val="20"/>
        </w:rPr>
        <w:t xml:space="preserve"> </w:t>
      </w:r>
      <w:r w:rsidRPr="00E45A96">
        <w:rPr>
          <w:sz w:val="20"/>
          <w:szCs w:val="20"/>
        </w:rPr>
        <w:t>/</w:t>
      </w:r>
    </w:p>
  </w:footnote>
  <w:footnote w:id="30">
    <w:p w14:paraId="0D09F433" w14:textId="77777777" w:rsidR="00DF4077" w:rsidRDefault="00DF4077">
      <w:pPr>
        <w:pStyle w:val="FootnoteText"/>
      </w:pPr>
      <w:r>
        <w:rPr>
          <w:rStyle w:val="FootnoteReference"/>
        </w:rPr>
        <w:footnoteRef/>
      </w:r>
      <w:r>
        <w:t xml:space="preserve"> </w:t>
      </w:r>
      <w:r w:rsidRPr="00E45A96">
        <w:rPr>
          <w:sz w:val="20"/>
          <w:szCs w:val="20"/>
        </w:rPr>
        <w:t>http://www.renesco.lv/</w:t>
      </w:r>
    </w:p>
  </w:footnote>
  <w:footnote w:id="31">
    <w:p w14:paraId="1870DF86" w14:textId="009419BB" w:rsidR="00DF4077" w:rsidRDefault="00DF4077">
      <w:pPr>
        <w:pStyle w:val="FootnoteText"/>
      </w:pPr>
      <w:r>
        <w:rPr>
          <w:rStyle w:val="FootnoteReference"/>
        </w:rPr>
        <w:footnoteRef/>
      </w:r>
      <w:r>
        <w:t xml:space="preserve"> </w:t>
      </w:r>
      <w:r w:rsidRPr="000742AA">
        <w:rPr>
          <w:sz w:val="18"/>
          <w:szCs w:val="18"/>
        </w:rPr>
        <w:t>https://likumi.lv/doc.php?id=258322</w:t>
      </w:r>
    </w:p>
  </w:footnote>
  <w:footnote w:id="32">
    <w:p w14:paraId="55CAD48F" w14:textId="227A6027" w:rsidR="00DF4077" w:rsidRPr="002075BE" w:rsidRDefault="00DF4077">
      <w:pPr>
        <w:pStyle w:val="FootnoteText"/>
        <w:rPr>
          <w:sz w:val="20"/>
          <w:szCs w:val="20"/>
        </w:rPr>
      </w:pPr>
      <w:r>
        <w:rPr>
          <w:rStyle w:val="FootnoteReference"/>
        </w:rPr>
        <w:footnoteRef/>
      </w:r>
      <w:r>
        <w:t xml:space="preserve"> </w:t>
      </w:r>
      <w:r w:rsidRPr="002075BE">
        <w:rPr>
          <w:sz w:val="20"/>
          <w:szCs w:val="20"/>
        </w:rPr>
        <w:t>https://bis.gov.lv/bisp/kontakti/buvniecibas-valsts-kontroles-birojs</w:t>
      </w:r>
    </w:p>
  </w:footnote>
  <w:footnote w:id="33">
    <w:p w14:paraId="660C1C2F" w14:textId="64AF7C74" w:rsidR="00DF4077" w:rsidRDefault="00DF4077">
      <w:pPr>
        <w:pStyle w:val="FootnoteText"/>
      </w:pPr>
      <w:r>
        <w:rPr>
          <w:rStyle w:val="FootnoteReference"/>
        </w:rPr>
        <w:footnoteRef/>
      </w:r>
      <w:r>
        <w:t xml:space="preserve"> </w:t>
      </w:r>
      <w:r w:rsidRPr="00104366">
        <w:rPr>
          <w:sz w:val="20"/>
          <w:szCs w:val="20"/>
        </w:rPr>
        <w:t>https://likumi.lv/doc.php?id=280932</w:t>
      </w:r>
    </w:p>
  </w:footnote>
  <w:footnote w:id="34">
    <w:p w14:paraId="4360A880" w14:textId="77777777" w:rsidR="00DF4077" w:rsidRPr="00851B8C" w:rsidRDefault="00DF4077" w:rsidP="00E4000E">
      <w:pPr>
        <w:pStyle w:val="FootnoteText"/>
        <w:rPr>
          <w:sz w:val="16"/>
          <w:szCs w:val="16"/>
        </w:rPr>
      </w:pPr>
      <w:r>
        <w:rPr>
          <w:rStyle w:val="FootnoteReference"/>
        </w:rPr>
        <w:footnoteRef/>
      </w:r>
      <w:r w:rsidRPr="00851B8C">
        <w:rPr>
          <w:sz w:val="16"/>
          <w:szCs w:val="16"/>
        </w:rPr>
        <w:t>https://www.em.gov.lv/lv/nozares_politika/majokli/eku_energoefektivitate/no_direktivas_2012_27_es_par_energoefektivitati_izrietosas_prasibas/</w:t>
      </w:r>
    </w:p>
  </w:footnote>
  <w:footnote w:id="35">
    <w:p w14:paraId="16A998BB" w14:textId="77777777" w:rsidR="00DF4077" w:rsidRPr="006D6525" w:rsidRDefault="00DF4077" w:rsidP="0004306E">
      <w:pPr>
        <w:pStyle w:val="FootnoteText"/>
        <w:rPr>
          <w:sz w:val="20"/>
          <w:szCs w:val="20"/>
        </w:rPr>
      </w:pPr>
      <w:r>
        <w:rPr>
          <w:rStyle w:val="FootnoteReference"/>
        </w:rPr>
        <w:footnoteRef/>
      </w:r>
      <w:r>
        <w:t xml:space="preserve"> </w:t>
      </w:r>
      <w:r w:rsidRPr="006D6525">
        <w:rPr>
          <w:sz w:val="20"/>
          <w:szCs w:val="20"/>
        </w:rPr>
        <w:t>https://likumi.lv/ta/id/289757-tiesas-parvaldes-iestazu-rikotajos-iepirkumos-izvirzamas-precu-un-pakalpojumu-energoefektivitates-prasibas</w:t>
      </w:r>
    </w:p>
  </w:footnote>
  <w:footnote w:id="36">
    <w:p w14:paraId="09BBE629" w14:textId="5D8FC48A" w:rsidR="00DF4077" w:rsidRPr="006D6525" w:rsidRDefault="00DF4077">
      <w:pPr>
        <w:pStyle w:val="FootnoteText"/>
        <w:rPr>
          <w:sz w:val="20"/>
          <w:szCs w:val="20"/>
        </w:rPr>
      </w:pPr>
      <w:r w:rsidRPr="006D6525">
        <w:rPr>
          <w:rStyle w:val="FootnoteReference"/>
          <w:sz w:val="20"/>
          <w:szCs w:val="20"/>
        </w:rPr>
        <w:footnoteRef/>
      </w:r>
      <w:r w:rsidRPr="006D6525">
        <w:rPr>
          <w:sz w:val="20"/>
          <w:szCs w:val="20"/>
        </w:rPr>
        <w:t xml:space="preserve"> https://likumi.lv/doc.php?id=287760</w:t>
      </w:r>
    </w:p>
  </w:footnote>
  <w:footnote w:id="37">
    <w:p w14:paraId="174A31CE" w14:textId="292C9B02" w:rsidR="00DF4077" w:rsidRPr="00A52FE4" w:rsidRDefault="00DF4077">
      <w:pPr>
        <w:pStyle w:val="FootnoteText"/>
        <w:rPr>
          <w:sz w:val="18"/>
          <w:szCs w:val="18"/>
        </w:rPr>
      </w:pPr>
      <w:r w:rsidRPr="00A52FE4">
        <w:rPr>
          <w:rStyle w:val="FootnoteReference"/>
          <w:sz w:val="18"/>
          <w:szCs w:val="18"/>
        </w:rPr>
        <w:footnoteRef/>
      </w:r>
      <w:r w:rsidRPr="00A52FE4">
        <w:rPr>
          <w:sz w:val="18"/>
          <w:szCs w:val="18"/>
        </w:rPr>
        <w:t xml:space="preserve"> </w:t>
      </w:r>
      <w:hyperlink r:id="rId9" w:history="1">
        <w:r w:rsidRPr="00A52FE4">
          <w:rPr>
            <w:rStyle w:val="Hyperlink"/>
            <w:rFonts w:cs="Times New Roman"/>
            <w:color w:val="auto"/>
            <w:sz w:val="18"/>
            <w:szCs w:val="18"/>
          </w:rPr>
          <w:t>http://www.iub.gov.lv/node/63</w:t>
        </w:r>
      </w:hyperlink>
    </w:p>
  </w:footnote>
  <w:footnote w:id="38">
    <w:p w14:paraId="0354F828" w14:textId="301FBFC3" w:rsidR="00DF4077" w:rsidRDefault="00DF4077" w:rsidP="003051EC">
      <w:pPr>
        <w:pStyle w:val="FootnoteText"/>
      </w:pPr>
      <w:r w:rsidRPr="00A52FE4">
        <w:rPr>
          <w:rStyle w:val="FootnoteReference"/>
          <w:sz w:val="18"/>
          <w:szCs w:val="18"/>
        </w:rPr>
        <w:footnoteRef/>
      </w:r>
      <w:r w:rsidRPr="00A52FE4">
        <w:rPr>
          <w:sz w:val="18"/>
          <w:szCs w:val="18"/>
        </w:rPr>
        <w:t xml:space="preserve"> </w:t>
      </w:r>
      <w:hyperlink r:id="rId10" w:history="1">
        <w:r w:rsidRPr="00B61862">
          <w:rPr>
            <w:rStyle w:val="Hyperlink"/>
            <w:sz w:val="18"/>
            <w:szCs w:val="18"/>
          </w:rPr>
          <w:t>http://polsis.mk.gov.lv/documents/4607</w:t>
        </w:r>
      </w:hyperlink>
      <w:r>
        <w:rPr>
          <w:sz w:val="18"/>
          <w:szCs w:val="18"/>
        </w:rPr>
        <w:t xml:space="preserve"> </w:t>
      </w:r>
    </w:p>
  </w:footnote>
  <w:footnote w:id="39">
    <w:p w14:paraId="6DC0CF2D" w14:textId="65FDE5F8" w:rsidR="00DF4077" w:rsidRDefault="00DF4077">
      <w:pPr>
        <w:pStyle w:val="FootnoteText"/>
      </w:pPr>
      <w:r>
        <w:rPr>
          <w:rStyle w:val="FootnoteReference"/>
        </w:rPr>
        <w:footnoteRef/>
      </w:r>
      <w:r w:rsidRPr="00901B80">
        <w:rPr>
          <w:sz w:val="18"/>
          <w:szCs w:val="18"/>
        </w:rPr>
        <w:t>https://likumi.lv/doc.php?id=265261</w:t>
      </w:r>
      <w:r>
        <w:t xml:space="preserve"> </w:t>
      </w:r>
    </w:p>
  </w:footnote>
  <w:footnote w:id="40">
    <w:p w14:paraId="18D8D77B" w14:textId="77777777" w:rsidR="00DF4077" w:rsidRPr="008F7A8A" w:rsidRDefault="00DF4077" w:rsidP="00C42C7C">
      <w:pPr>
        <w:pStyle w:val="FootnoteText"/>
        <w:jc w:val="both"/>
        <w:rPr>
          <w:rFonts w:cs="Times New Roman"/>
          <w:sz w:val="20"/>
          <w:szCs w:val="20"/>
        </w:rPr>
      </w:pPr>
      <w:r w:rsidRPr="008F7A8A">
        <w:rPr>
          <w:rStyle w:val="FootnoteReference"/>
          <w:rFonts w:cs="Times New Roman"/>
          <w:sz w:val="20"/>
          <w:szCs w:val="20"/>
        </w:rPr>
        <w:footnoteRef/>
      </w:r>
      <w:r w:rsidRPr="008F7A8A">
        <w:rPr>
          <w:rFonts w:cs="Times New Roman"/>
          <w:bCs/>
          <w:sz w:val="20"/>
          <w:szCs w:val="20"/>
        </w:rPr>
        <w:t>Eiropas Parlamenta un Padomes 2004. gada 11. februāra Direktīvas 2004/8/EK par tādas koģenerācijas veicināšanu, kas balstīta uz lietderīgo siltuma pieprasījumu iekšējā enerģijas tirgū, un ar ko groza Direktīvu 92/42/EEK</w:t>
      </w:r>
    </w:p>
  </w:footnote>
  <w:footnote w:id="41">
    <w:p w14:paraId="7D0E6F64" w14:textId="6BA43CC2" w:rsidR="00DF4077" w:rsidRPr="00754BBE" w:rsidRDefault="00DF4077">
      <w:pPr>
        <w:pStyle w:val="FootnoteText"/>
        <w:rPr>
          <w:sz w:val="18"/>
          <w:szCs w:val="18"/>
        </w:rPr>
      </w:pPr>
      <w:r>
        <w:rPr>
          <w:rStyle w:val="FootnoteReference"/>
        </w:rPr>
        <w:footnoteRef/>
      </w:r>
      <w:r>
        <w:t xml:space="preserve"> </w:t>
      </w:r>
      <w:r w:rsidRPr="00754BBE">
        <w:rPr>
          <w:sz w:val="18"/>
          <w:szCs w:val="18"/>
        </w:rPr>
        <w:t>https://www.em.gov.lv/lv/nozares_politika/energoefektivitate_un_siltumapgade/zinojumi_eiropas_komisijai/</w:t>
      </w:r>
    </w:p>
  </w:footnote>
  <w:footnote w:id="42">
    <w:p w14:paraId="7FE586A5" w14:textId="1F93BCE6" w:rsidR="00DF4077" w:rsidRDefault="00DF4077">
      <w:pPr>
        <w:pStyle w:val="FootnoteText"/>
      </w:pPr>
      <w:r>
        <w:rPr>
          <w:rStyle w:val="FootnoteReference"/>
        </w:rPr>
        <w:footnoteRef/>
      </w:r>
      <w:r>
        <w:t xml:space="preserve"> </w:t>
      </w:r>
      <w:r w:rsidRPr="004A31AE">
        <w:rPr>
          <w:sz w:val="18"/>
          <w:szCs w:val="18"/>
        </w:rPr>
        <w:t>https://likumi.lv/doc.php?id=57255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769990"/>
      <w:docPartObj>
        <w:docPartGallery w:val="Page Numbers (Top of Page)"/>
        <w:docPartUnique/>
      </w:docPartObj>
    </w:sdtPr>
    <w:sdtEndPr>
      <w:rPr>
        <w:noProof/>
      </w:rPr>
    </w:sdtEndPr>
    <w:sdtContent>
      <w:p w14:paraId="6FDAC638" w14:textId="43B422D9" w:rsidR="00DF4077" w:rsidRDefault="00DF4077">
        <w:pPr>
          <w:pStyle w:val="Header"/>
          <w:jc w:val="center"/>
        </w:pPr>
        <w:r>
          <w:fldChar w:fldCharType="begin"/>
        </w:r>
        <w:r>
          <w:instrText xml:space="preserve"> PAGE   \* MERGEFORMAT </w:instrText>
        </w:r>
        <w:r>
          <w:fldChar w:fldCharType="separate"/>
        </w:r>
        <w:r w:rsidR="00DE347D">
          <w:rPr>
            <w:noProof/>
          </w:rPr>
          <w:t>41</w:t>
        </w:r>
        <w:r>
          <w:rPr>
            <w:noProof/>
          </w:rPr>
          <w:fldChar w:fldCharType="end"/>
        </w:r>
      </w:p>
    </w:sdtContent>
  </w:sdt>
  <w:p w14:paraId="36F34D74" w14:textId="77777777" w:rsidR="00DF4077" w:rsidRDefault="00DF4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911"/>
    <w:multiLevelType w:val="hybridMultilevel"/>
    <w:tmpl w:val="2632B6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7E6BDC"/>
    <w:multiLevelType w:val="hybridMultilevel"/>
    <w:tmpl w:val="41D29DB4"/>
    <w:lvl w:ilvl="0" w:tplc="0426000D">
      <w:start w:val="1"/>
      <w:numFmt w:val="bullet"/>
      <w:lvlText w:val=""/>
      <w:lvlJc w:val="left"/>
      <w:pPr>
        <w:ind w:left="2880" w:hanging="360"/>
      </w:pPr>
      <w:rPr>
        <w:rFonts w:ascii="Wingdings" w:hAnsi="Wingdings" w:hint="default"/>
      </w:rPr>
    </w:lvl>
    <w:lvl w:ilvl="1" w:tplc="04260003" w:tentative="1">
      <w:start w:val="1"/>
      <w:numFmt w:val="bullet"/>
      <w:lvlText w:val="o"/>
      <w:lvlJc w:val="left"/>
      <w:pPr>
        <w:ind w:left="3600" w:hanging="360"/>
      </w:pPr>
      <w:rPr>
        <w:rFonts w:ascii="Courier New" w:hAnsi="Courier New" w:cs="Courier New" w:hint="default"/>
      </w:rPr>
    </w:lvl>
    <w:lvl w:ilvl="2" w:tplc="04260011">
      <w:start w:val="1"/>
      <w:numFmt w:val="decimal"/>
      <w:lvlText w:val="%3)"/>
      <w:lvlJc w:val="left"/>
      <w:pPr>
        <w:ind w:left="360" w:hanging="360"/>
      </w:pPr>
      <w:rPr>
        <w:rFont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2" w15:restartNumberingAfterBreak="0">
    <w:nsid w:val="07921276"/>
    <w:multiLevelType w:val="hybridMultilevel"/>
    <w:tmpl w:val="EB2CB178"/>
    <w:lvl w:ilvl="0" w:tplc="CBCE4AFA">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4E53786"/>
    <w:multiLevelType w:val="hybridMultilevel"/>
    <w:tmpl w:val="92B4AB04"/>
    <w:lvl w:ilvl="0" w:tplc="7C88FDF4">
      <w:start w:val="1"/>
      <w:numFmt w:val="bullet"/>
      <w:lvlText w:val=""/>
      <w:lvlJc w:val="left"/>
      <w:pPr>
        <w:tabs>
          <w:tab w:val="num" w:pos="357"/>
        </w:tabs>
        <w:ind w:left="567" w:hanging="210"/>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95BD6"/>
    <w:multiLevelType w:val="hybridMultilevel"/>
    <w:tmpl w:val="8C562C8A"/>
    <w:lvl w:ilvl="0" w:tplc="04260001">
      <w:start w:val="1"/>
      <w:numFmt w:val="bullet"/>
      <w:lvlText w:val=""/>
      <w:lvlJc w:val="left"/>
      <w:pPr>
        <w:tabs>
          <w:tab w:val="num" w:pos="720"/>
        </w:tabs>
        <w:ind w:left="720" w:hanging="360"/>
      </w:pPr>
      <w:rPr>
        <w:rFonts w:ascii="Symbol" w:hAnsi="Symbol" w:hint="default"/>
      </w:rPr>
    </w:lvl>
    <w:lvl w:ilvl="1" w:tplc="7C88FDF4">
      <w:start w:val="1"/>
      <w:numFmt w:val="bullet"/>
      <w:lvlText w:val=""/>
      <w:lvlJc w:val="left"/>
      <w:pPr>
        <w:tabs>
          <w:tab w:val="num" w:pos="1080"/>
        </w:tabs>
        <w:ind w:left="1290" w:hanging="210"/>
      </w:pPr>
      <w:rPr>
        <w:rFonts w:ascii="Wingdings" w:hAnsi="Wingding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D4267"/>
    <w:multiLevelType w:val="hybridMultilevel"/>
    <w:tmpl w:val="67C8E25C"/>
    <w:lvl w:ilvl="0" w:tplc="7C88FDF4">
      <w:start w:val="1"/>
      <w:numFmt w:val="bullet"/>
      <w:lvlText w:val=""/>
      <w:lvlJc w:val="left"/>
      <w:pPr>
        <w:tabs>
          <w:tab w:val="num" w:pos="357"/>
        </w:tabs>
        <w:ind w:left="567" w:hanging="210"/>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F717D7"/>
    <w:multiLevelType w:val="multilevel"/>
    <w:tmpl w:val="A2B0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C312E"/>
    <w:multiLevelType w:val="hybridMultilevel"/>
    <w:tmpl w:val="8B82614A"/>
    <w:lvl w:ilvl="0" w:tplc="F2FEB63A">
      <w:start w:val="1"/>
      <w:numFmt w:val="bullet"/>
      <w:lvlText w:val=""/>
      <w:lvlJc w:val="left"/>
      <w:pPr>
        <w:ind w:left="720" w:hanging="360"/>
      </w:pPr>
      <w:rPr>
        <w:rFonts w:ascii="Symbol" w:hAnsi="Symbol" w:hint="default"/>
      </w:rPr>
    </w:lvl>
    <w:lvl w:ilvl="1" w:tplc="F2FEB63A">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3831577"/>
    <w:multiLevelType w:val="hybridMultilevel"/>
    <w:tmpl w:val="4006AD56"/>
    <w:lvl w:ilvl="0" w:tplc="7C88FDF4">
      <w:start w:val="1"/>
      <w:numFmt w:val="bullet"/>
      <w:lvlText w:val=""/>
      <w:lvlJc w:val="left"/>
      <w:pPr>
        <w:tabs>
          <w:tab w:val="num" w:pos="284"/>
        </w:tabs>
        <w:ind w:left="494" w:hanging="210"/>
      </w:pPr>
      <w:rPr>
        <w:rFonts w:ascii="Wingdings" w:hAnsi="Wingdings" w:hint="default"/>
        <w:color w:val="auto"/>
      </w:rPr>
    </w:lvl>
    <w:lvl w:ilvl="1" w:tplc="04260003" w:tentative="1">
      <w:start w:val="1"/>
      <w:numFmt w:val="bullet"/>
      <w:lvlText w:val="o"/>
      <w:lvlJc w:val="left"/>
      <w:pPr>
        <w:tabs>
          <w:tab w:val="num" w:pos="1367"/>
        </w:tabs>
        <w:ind w:left="1367" w:hanging="360"/>
      </w:pPr>
      <w:rPr>
        <w:rFonts w:ascii="Courier New" w:hAnsi="Courier New" w:cs="Courier New" w:hint="default"/>
      </w:rPr>
    </w:lvl>
    <w:lvl w:ilvl="2" w:tplc="04260005" w:tentative="1">
      <w:start w:val="1"/>
      <w:numFmt w:val="bullet"/>
      <w:lvlText w:val=""/>
      <w:lvlJc w:val="left"/>
      <w:pPr>
        <w:tabs>
          <w:tab w:val="num" w:pos="2087"/>
        </w:tabs>
        <w:ind w:left="2087" w:hanging="360"/>
      </w:pPr>
      <w:rPr>
        <w:rFonts w:ascii="Wingdings" w:hAnsi="Wingdings" w:hint="default"/>
      </w:rPr>
    </w:lvl>
    <w:lvl w:ilvl="3" w:tplc="04260001" w:tentative="1">
      <w:start w:val="1"/>
      <w:numFmt w:val="bullet"/>
      <w:lvlText w:val=""/>
      <w:lvlJc w:val="left"/>
      <w:pPr>
        <w:tabs>
          <w:tab w:val="num" w:pos="2807"/>
        </w:tabs>
        <w:ind w:left="2807" w:hanging="360"/>
      </w:pPr>
      <w:rPr>
        <w:rFonts w:ascii="Symbol" w:hAnsi="Symbol" w:hint="default"/>
      </w:rPr>
    </w:lvl>
    <w:lvl w:ilvl="4" w:tplc="04260003" w:tentative="1">
      <w:start w:val="1"/>
      <w:numFmt w:val="bullet"/>
      <w:lvlText w:val="o"/>
      <w:lvlJc w:val="left"/>
      <w:pPr>
        <w:tabs>
          <w:tab w:val="num" w:pos="3527"/>
        </w:tabs>
        <w:ind w:left="3527" w:hanging="360"/>
      </w:pPr>
      <w:rPr>
        <w:rFonts w:ascii="Courier New" w:hAnsi="Courier New" w:cs="Courier New" w:hint="default"/>
      </w:rPr>
    </w:lvl>
    <w:lvl w:ilvl="5" w:tplc="04260005" w:tentative="1">
      <w:start w:val="1"/>
      <w:numFmt w:val="bullet"/>
      <w:lvlText w:val=""/>
      <w:lvlJc w:val="left"/>
      <w:pPr>
        <w:tabs>
          <w:tab w:val="num" w:pos="4247"/>
        </w:tabs>
        <w:ind w:left="4247" w:hanging="360"/>
      </w:pPr>
      <w:rPr>
        <w:rFonts w:ascii="Wingdings" w:hAnsi="Wingdings" w:hint="default"/>
      </w:rPr>
    </w:lvl>
    <w:lvl w:ilvl="6" w:tplc="04260001" w:tentative="1">
      <w:start w:val="1"/>
      <w:numFmt w:val="bullet"/>
      <w:lvlText w:val=""/>
      <w:lvlJc w:val="left"/>
      <w:pPr>
        <w:tabs>
          <w:tab w:val="num" w:pos="4967"/>
        </w:tabs>
        <w:ind w:left="4967" w:hanging="360"/>
      </w:pPr>
      <w:rPr>
        <w:rFonts w:ascii="Symbol" w:hAnsi="Symbol" w:hint="default"/>
      </w:rPr>
    </w:lvl>
    <w:lvl w:ilvl="7" w:tplc="04260003" w:tentative="1">
      <w:start w:val="1"/>
      <w:numFmt w:val="bullet"/>
      <w:lvlText w:val="o"/>
      <w:lvlJc w:val="left"/>
      <w:pPr>
        <w:tabs>
          <w:tab w:val="num" w:pos="5687"/>
        </w:tabs>
        <w:ind w:left="5687" w:hanging="360"/>
      </w:pPr>
      <w:rPr>
        <w:rFonts w:ascii="Courier New" w:hAnsi="Courier New" w:cs="Courier New" w:hint="default"/>
      </w:rPr>
    </w:lvl>
    <w:lvl w:ilvl="8" w:tplc="04260005" w:tentative="1">
      <w:start w:val="1"/>
      <w:numFmt w:val="bullet"/>
      <w:lvlText w:val=""/>
      <w:lvlJc w:val="left"/>
      <w:pPr>
        <w:tabs>
          <w:tab w:val="num" w:pos="6407"/>
        </w:tabs>
        <w:ind w:left="6407" w:hanging="360"/>
      </w:pPr>
      <w:rPr>
        <w:rFonts w:ascii="Wingdings" w:hAnsi="Wingdings" w:hint="default"/>
      </w:rPr>
    </w:lvl>
  </w:abstractNum>
  <w:abstractNum w:abstractNumId="9" w15:restartNumberingAfterBreak="0">
    <w:nsid w:val="26B40EC0"/>
    <w:multiLevelType w:val="hybridMultilevel"/>
    <w:tmpl w:val="314ED032"/>
    <w:lvl w:ilvl="0" w:tplc="94F619D8">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0" w15:restartNumberingAfterBreak="0">
    <w:nsid w:val="29380A08"/>
    <w:multiLevelType w:val="hybridMultilevel"/>
    <w:tmpl w:val="B6265082"/>
    <w:lvl w:ilvl="0" w:tplc="7C88FDF4">
      <w:start w:val="1"/>
      <w:numFmt w:val="bullet"/>
      <w:lvlText w:val=""/>
      <w:lvlJc w:val="left"/>
      <w:pPr>
        <w:tabs>
          <w:tab w:val="num" w:pos="357"/>
        </w:tabs>
        <w:ind w:left="567" w:hanging="210"/>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C3D59"/>
    <w:multiLevelType w:val="hybridMultilevel"/>
    <w:tmpl w:val="A81022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2633CB6"/>
    <w:multiLevelType w:val="hybridMultilevel"/>
    <w:tmpl w:val="45B6EB5C"/>
    <w:lvl w:ilvl="0" w:tplc="D21640AC">
      <w:start w:val="1"/>
      <w:numFmt w:val="decimal"/>
      <w:lvlText w:val="%1)"/>
      <w:lvlJc w:val="left"/>
      <w:pPr>
        <w:ind w:left="1440" w:hanging="360"/>
      </w:pPr>
      <w:rPr>
        <w:rFonts w:ascii="Times New Roman" w:hAnsi="Times New Roman" w:cs="Times New Roman" w:hint="default"/>
        <w:sz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7270AB2"/>
    <w:multiLevelType w:val="hybridMultilevel"/>
    <w:tmpl w:val="1C9E293E"/>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4" w15:restartNumberingAfterBreak="0">
    <w:nsid w:val="38205D46"/>
    <w:multiLevelType w:val="hybridMultilevel"/>
    <w:tmpl w:val="2CE47A5A"/>
    <w:lvl w:ilvl="0" w:tplc="6366B442">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104321"/>
    <w:multiLevelType w:val="hybridMultilevel"/>
    <w:tmpl w:val="1F32485A"/>
    <w:lvl w:ilvl="0" w:tplc="FA10C85C">
      <w:start w:val="1"/>
      <w:numFmt w:val="decimal"/>
      <w:lvlText w:val="%1)"/>
      <w:lvlJc w:val="left"/>
      <w:pPr>
        <w:ind w:left="360" w:hanging="360"/>
      </w:pPr>
      <w:rPr>
        <w:rFonts w:ascii="Times New Roman" w:eastAsia="Calibri" w:hAnsi="Times New Roman" w:cs="Times New Roman"/>
        <w:b w:val="0"/>
        <w:i w:val="0"/>
        <w:color w:val="17365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E14B4F"/>
    <w:multiLevelType w:val="hybridMultilevel"/>
    <w:tmpl w:val="991C3274"/>
    <w:lvl w:ilvl="0" w:tplc="63447F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8109A6"/>
    <w:multiLevelType w:val="hybridMultilevel"/>
    <w:tmpl w:val="A87C42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45F4691B"/>
    <w:multiLevelType w:val="hybridMultilevel"/>
    <w:tmpl w:val="1F6A94A6"/>
    <w:lvl w:ilvl="0" w:tplc="0426000D">
      <w:start w:val="1"/>
      <w:numFmt w:val="bullet"/>
      <w:lvlText w:val=""/>
      <w:lvlJc w:val="left"/>
      <w:pPr>
        <w:ind w:left="2880" w:hanging="360"/>
      </w:pPr>
      <w:rPr>
        <w:rFonts w:ascii="Wingdings" w:hAnsi="Wingdings" w:hint="default"/>
      </w:rPr>
    </w:lvl>
    <w:lvl w:ilvl="1" w:tplc="04260003" w:tentative="1">
      <w:start w:val="1"/>
      <w:numFmt w:val="bullet"/>
      <w:lvlText w:val="o"/>
      <w:lvlJc w:val="left"/>
      <w:pPr>
        <w:ind w:left="3600" w:hanging="360"/>
      </w:pPr>
      <w:rPr>
        <w:rFonts w:ascii="Courier New" w:hAnsi="Courier New" w:cs="Courier New" w:hint="default"/>
      </w:rPr>
    </w:lvl>
    <w:lvl w:ilvl="2" w:tplc="0426000D">
      <w:start w:val="1"/>
      <w:numFmt w:val="bullet"/>
      <w:lvlText w:val=""/>
      <w:lvlJc w:val="left"/>
      <w:pPr>
        <w:ind w:left="36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19" w15:restartNumberingAfterBreak="0">
    <w:nsid w:val="47DD3AAB"/>
    <w:multiLevelType w:val="hybridMultilevel"/>
    <w:tmpl w:val="D9D43EA6"/>
    <w:lvl w:ilvl="0" w:tplc="7C88FDF4">
      <w:start w:val="1"/>
      <w:numFmt w:val="bullet"/>
      <w:lvlText w:val=""/>
      <w:lvlJc w:val="left"/>
      <w:pPr>
        <w:tabs>
          <w:tab w:val="num" w:pos="357"/>
        </w:tabs>
        <w:ind w:left="567" w:hanging="210"/>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FF44E4"/>
    <w:multiLevelType w:val="hybridMultilevel"/>
    <w:tmpl w:val="2C52A3E8"/>
    <w:lvl w:ilvl="0" w:tplc="7C88FDF4">
      <w:start w:val="1"/>
      <w:numFmt w:val="bullet"/>
      <w:lvlText w:val=""/>
      <w:lvlJc w:val="left"/>
      <w:pPr>
        <w:tabs>
          <w:tab w:val="num" w:pos="357"/>
        </w:tabs>
        <w:ind w:left="567" w:hanging="210"/>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E341B3"/>
    <w:multiLevelType w:val="hybridMultilevel"/>
    <w:tmpl w:val="5162B3B8"/>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2" w15:restartNumberingAfterBreak="0">
    <w:nsid w:val="560F4197"/>
    <w:multiLevelType w:val="hybridMultilevel"/>
    <w:tmpl w:val="DD025886"/>
    <w:lvl w:ilvl="0" w:tplc="0409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805056E"/>
    <w:multiLevelType w:val="multilevel"/>
    <w:tmpl w:val="1906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306F7F"/>
    <w:multiLevelType w:val="multilevel"/>
    <w:tmpl w:val="5F42BF38"/>
    <w:lvl w:ilvl="0">
      <w:start w:val="1"/>
      <w:numFmt w:val="decimal"/>
      <w:lvlText w:val="%1)"/>
      <w:lvlJc w:val="left"/>
      <w:pPr>
        <w:ind w:left="1800" w:hanging="450"/>
      </w:pPr>
      <w:rPr>
        <w:i w:val="0"/>
      </w:r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25" w15:restartNumberingAfterBreak="0">
    <w:nsid w:val="58EF0969"/>
    <w:multiLevelType w:val="multilevel"/>
    <w:tmpl w:val="7434929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AB939BF"/>
    <w:multiLevelType w:val="hybridMultilevel"/>
    <w:tmpl w:val="01E4F5FE"/>
    <w:lvl w:ilvl="0" w:tplc="63447F80">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5B9069A3"/>
    <w:multiLevelType w:val="hybridMultilevel"/>
    <w:tmpl w:val="CFA476C0"/>
    <w:lvl w:ilvl="0" w:tplc="6366B4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06257E5"/>
    <w:multiLevelType w:val="multilevel"/>
    <w:tmpl w:val="D430C2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1A37120"/>
    <w:multiLevelType w:val="hybridMultilevel"/>
    <w:tmpl w:val="BDD8B4A6"/>
    <w:lvl w:ilvl="0" w:tplc="C09A63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28A09FC"/>
    <w:multiLevelType w:val="hybridMultilevel"/>
    <w:tmpl w:val="FD6831F8"/>
    <w:lvl w:ilvl="0" w:tplc="7AA6B40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4D5952"/>
    <w:multiLevelType w:val="hybridMultilevel"/>
    <w:tmpl w:val="5B4AB32A"/>
    <w:lvl w:ilvl="0" w:tplc="01AC5AD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F7427D"/>
    <w:multiLevelType w:val="hybridMultilevel"/>
    <w:tmpl w:val="DEEC9828"/>
    <w:lvl w:ilvl="0" w:tplc="94F619D8">
      <w:numFmt w:val="bullet"/>
      <w:lvlText w:val="–"/>
      <w:lvlJc w:val="left"/>
      <w:pPr>
        <w:ind w:left="360" w:hanging="360"/>
      </w:pPr>
      <w:rPr>
        <w:rFonts w:ascii="Times New Roman" w:eastAsia="Calibr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6C7C10E4"/>
    <w:multiLevelType w:val="hybridMultilevel"/>
    <w:tmpl w:val="CB841B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993928"/>
    <w:multiLevelType w:val="hybridMultilevel"/>
    <w:tmpl w:val="CDA0E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EEC1BB4"/>
    <w:multiLevelType w:val="hybridMultilevel"/>
    <w:tmpl w:val="156AFCD6"/>
    <w:lvl w:ilvl="0" w:tplc="94F619D8">
      <w:numFmt w:val="bullet"/>
      <w:lvlText w:val="–"/>
      <w:lvlJc w:val="left"/>
      <w:pPr>
        <w:ind w:left="1287" w:hanging="360"/>
      </w:pPr>
      <w:rPr>
        <w:rFonts w:ascii="Times New Roman" w:eastAsia="Calibri" w:hAnsi="Times New Roman" w:cs="Times New Roman"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6" w15:restartNumberingAfterBreak="0">
    <w:nsid w:val="711F0BAB"/>
    <w:multiLevelType w:val="hybridMultilevel"/>
    <w:tmpl w:val="6B90FB7C"/>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5895093"/>
    <w:multiLevelType w:val="hybridMultilevel"/>
    <w:tmpl w:val="F154A854"/>
    <w:lvl w:ilvl="0" w:tplc="3D2C4C1C">
      <w:start w:val="1"/>
      <w:numFmt w:val="bullet"/>
      <w:pStyle w:val="ListBullet"/>
      <w:lvlText w:val=""/>
      <w:lvlJc w:val="left"/>
      <w:pPr>
        <w:tabs>
          <w:tab w:val="num" w:pos="2268"/>
        </w:tabs>
        <w:ind w:left="2268" w:hanging="567"/>
      </w:pPr>
      <w:rPr>
        <w:rFonts w:ascii="Symbol" w:hAnsi="Symbol" w:hint="default"/>
      </w:rPr>
    </w:lvl>
    <w:lvl w:ilvl="1" w:tplc="04070019">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5433A4"/>
    <w:multiLevelType w:val="multilevel"/>
    <w:tmpl w:val="4DE6D130"/>
    <w:lvl w:ilvl="0">
      <w:start w:val="1"/>
      <w:numFmt w:val="decimal"/>
      <w:lvlText w:val="%1)"/>
      <w:lvlJc w:val="left"/>
      <w:pPr>
        <w:ind w:left="644" w:hanging="360"/>
      </w:pPr>
      <w:rPr>
        <w:rFonts w:hint="default"/>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num w:numId="1">
    <w:abstractNumId w:val="5"/>
  </w:num>
  <w:num w:numId="2">
    <w:abstractNumId w:val="19"/>
  </w:num>
  <w:num w:numId="3">
    <w:abstractNumId w:val="3"/>
  </w:num>
  <w:num w:numId="4">
    <w:abstractNumId w:val="10"/>
  </w:num>
  <w:num w:numId="5">
    <w:abstractNumId w:val="20"/>
  </w:num>
  <w:num w:numId="6">
    <w:abstractNumId w:val="8"/>
  </w:num>
  <w:num w:numId="7">
    <w:abstractNumId w:val="17"/>
  </w:num>
  <w:num w:numId="8">
    <w:abstractNumId w:val="32"/>
  </w:num>
  <w:num w:numId="9">
    <w:abstractNumId w:val="35"/>
  </w:num>
  <w:num w:numId="10">
    <w:abstractNumId w:val="36"/>
  </w:num>
  <w:num w:numId="11">
    <w:abstractNumId w:val="37"/>
  </w:num>
  <w:num w:numId="12">
    <w:abstractNumId w:val="15"/>
  </w:num>
  <w:num w:numId="13">
    <w:abstractNumId w:val="4"/>
  </w:num>
  <w:num w:numId="14">
    <w:abstractNumId w:val="21"/>
  </w:num>
  <w:num w:numId="15">
    <w:abstractNumId w:val="25"/>
  </w:num>
  <w:num w:numId="16">
    <w:abstractNumId w:val="24"/>
  </w:num>
  <w:num w:numId="17">
    <w:abstractNumId w:val="38"/>
  </w:num>
  <w:num w:numId="18">
    <w:abstractNumId w:val="9"/>
  </w:num>
  <w:num w:numId="19">
    <w:abstractNumId w:val="0"/>
  </w:num>
  <w:num w:numId="20">
    <w:abstractNumId w:val="11"/>
  </w:num>
  <w:num w:numId="21">
    <w:abstractNumId w:val="23"/>
  </w:num>
  <w:num w:numId="22">
    <w:abstractNumId w:val="27"/>
  </w:num>
  <w:num w:numId="23">
    <w:abstractNumId w:val="14"/>
  </w:num>
  <w:num w:numId="24">
    <w:abstractNumId w:val="7"/>
  </w:num>
  <w:num w:numId="25">
    <w:abstractNumId w:val="22"/>
  </w:num>
  <w:num w:numId="26">
    <w:abstractNumId w:val="28"/>
  </w:num>
  <w:num w:numId="27">
    <w:abstractNumId w:val="31"/>
  </w:num>
  <w:num w:numId="28">
    <w:abstractNumId w:val="12"/>
  </w:num>
  <w:num w:numId="29">
    <w:abstractNumId w:val="29"/>
  </w:num>
  <w:num w:numId="30">
    <w:abstractNumId w:val="6"/>
  </w:num>
  <w:num w:numId="31">
    <w:abstractNumId w:val="30"/>
  </w:num>
  <w:num w:numId="32">
    <w:abstractNumId w:val="33"/>
  </w:num>
  <w:num w:numId="33">
    <w:abstractNumId w:val="13"/>
  </w:num>
  <w:num w:numId="34">
    <w:abstractNumId w:val="2"/>
  </w:num>
  <w:num w:numId="35">
    <w:abstractNumId w:val="34"/>
  </w:num>
  <w:num w:numId="36">
    <w:abstractNumId w:val="18"/>
  </w:num>
  <w:num w:numId="37">
    <w:abstractNumId w:val="1"/>
  </w:num>
  <w:num w:numId="38">
    <w:abstractNumId w:val="1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7D"/>
    <w:rsid w:val="00004C3B"/>
    <w:rsid w:val="00005EE9"/>
    <w:rsid w:val="0000768C"/>
    <w:rsid w:val="00007D6E"/>
    <w:rsid w:val="00010C9F"/>
    <w:rsid w:val="00013DC1"/>
    <w:rsid w:val="0002118E"/>
    <w:rsid w:val="00021E19"/>
    <w:rsid w:val="00024E5F"/>
    <w:rsid w:val="00030A21"/>
    <w:rsid w:val="00031762"/>
    <w:rsid w:val="00036BD3"/>
    <w:rsid w:val="00042694"/>
    <w:rsid w:val="0004306E"/>
    <w:rsid w:val="00044AD7"/>
    <w:rsid w:val="00044D97"/>
    <w:rsid w:val="000454CC"/>
    <w:rsid w:val="00046C67"/>
    <w:rsid w:val="00047BE8"/>
    <w:rsid w:val="00070090"/>
    <w:rsid w:val="00070D61"/>
    <w:rsid w:val="00070F1D"/>
    <w:rsid w:val="00072D6C"/>
    <w:rsid w:val="000742AA"/>
    <w:rsid w:val="0007564A"/>
    <w:rsid w:val="00084389"/>
    <w:rsid w:val="000854E4"/>
    <w:rsid w:val="00092BF2"/>
    <w:rsid w:val="000944AF"/>
    <w:rsid w:val="00094DD3"/>
    <w:rsid w:val="000963DC"/>
    <w:rsid w:val="00097CA0"/>
    <w:rsid w:val="000A0E2C"/>
    <w:rsid w:val="000A13A5"/>
    <w:rsid w:val="000A1961"/>
    <w:rsid w:val="000A2782"/>
    <w:rsid w:val="000A5A7D"/>
    <w:rsid w:val="000A6AF6"/>
    <w:rsid w:val="000A6ED3"/>
    <w:rsid w:val="000A7F52"/>
    <w:rsid w:val="000B06FB"/>
    <w:rsid w:val="000B187E"/>
    <w:rsid w:val="000B717F"/>
    <w:rsid w:val="000B75CD"/>
    <w:rsid w:val="000C20ED"/>
    <w:rsid w:val="000C3B25"/>
    <w:rsid w:val="000C3D91"/>
    <w:rsid w:val="000C4695"/>
    <w:rsid w:val="000C74CC"/>
    <w:rsid w:val="000D07F1"/>
    <w:rsid w:val="000D434F"/>
    <w:rsid w:val="000E00A3"/>
    <w:rsid w:val="000E04ED"/>
    <w:rsid w:val="000E0BF8"/>
    <w:rsid w:val="000E347A"/>
    <w:rsid w:val="000E417B"/>
    <w:rsid w:val="000F089E"/>
    <w:rsid w:val="000F4103"/>
    <w:rsid w:val="000F4254"/>
    <w:rsid w:val="000F478B"/>
    <w:rsid w:val="000F54C5"/>
    <w:rsid w:val="000F6DEE"/>
    <w:rsid w:val="0010095E"/>
    <w:rsid w:val="00102D47"/>
    <w:rsid w:val="001035E9"/>
    <w:rsid w:val="00104366"/>
    <w:rsid w:val="0010573C"/>
    <w:rsid w:val="00110069"/>
    <w:rsid w:val="00110254"/>
    <w:rsid w:val="00110928"/>
    <w:rsid w:val="00110E35"/>
    <w:rsid w:val="00114810"/>
    <w:rsid w:val="001152D3"/>
    <w:rsid w:val="0011638B"/>
    <w:rsid w:val="00120FEB"/>
    <w:rsid w:val="0012336D"/>
    <w:rsid w:val="00127099"/>
    <w:rsid w:val="00127B7F"/>
    <w:rsid w:val="00135EC6"/>
    <w:rsid w:val="001363C0"/>
    <w:rsid w:val="00136C55"/>
    <w:rsid w:val="00136EF7"/>
    <w:rsid w:val="00137C24"/>
    <w:rsid w:val="001432DB"/>
    <w:rsid w:val="00145E90"/>
    <w:rsid w:val="00146202"/>
    <w:rsid w:val="00147F45"/>
    <w:rsid w:val="00147FB1"/>
    <w:rsid w:val="00151889"/>
    <w:rsid w:val="00153FEE"/>
    <w:rsid w:val="00154E95"/>
    <w:rsid w:val="00155C4A"/>
    <w:rsid w:val="0016075B"/>
    <w:rsid w:val="00160E25"/>
    <w:rsid w:val="00162BAC"/>
    <w:rsid w:val="00165032"/>
    <w:rsid w:val="00165B23"/>
    <w:rsid w:val="00167AC8"/>
    <w:rsid w:val="0017700C"/>
    <w:rsid w:val="001840CD"/>
    <w:rsid w:val="001840E5"/>
    <w:rsid w:val="00186017"/>
    <w:rsid w:val="00187958"/>
    <w:rsid w:val="00187C27"/>
    <w:rsid w:val="001934C1"/>
    <w:rsid w:val="001A020F"/>
    <w:rsid w:val="001A12A4"/>
    <w:rsid w:val="001A3FA9"/>
    <w:rsid w:val="001A46E8"/>
    <w:rsid w:val="001A4FEB"/>
    <w:rsid w:val="001A5773"/>
    <w:rsid w:val="001A712D"/>
    <w:rsid w:val="001B2C87"/>
    <w:rsid w:val="001B2D43"/>
    <w:rsid w:val="001B5758"/>
    <w:rsid w:val="001B665E"/>
    <w:rsid w:val="001B6D88"/>
    <w:rsid w:val="001C06C6"/>
    <w:rsid w:val="001C0842"/>
    <w:rsid w:val="001C3D4A"/>
    <w:rsid w:val="001C41B8"/>
    <w:rsid w:val="001C4219"/>
    <w:rsid w:val="001C4B86"/>
    <w:rsid w:val="001D2C6E"/>
    <w:rsid w:val="001D2F15"/>
    <w:rsid w:val="001D3038"/>
    <w:rsid w:val="001D61BC"/>
    <w:rsid w:val="001E15D0"/>
    <w:rsid w:val="001E3335"/>
    <w:rsid w:val="001E48AC"/>
    <w:rsid w:val="001E7C18"/>
    <w:rsid w:val="001F2075"/>
    <w:rsid w:val="001F26AE"/>
    <w:rsid w:val="001F2B1C"/>
    <w:rsid w:val="001F566F"/>
    <w:rsid w:val="001F6437"/>
    <w:rsid w:val="0020305A"/>
    <w:rsid w:val="002044BA"/>
    <w:rsid w:val="00207044"/>
    <w:rsid w:val="00207168"/>
    <w:rsid w:val="002075BE"/>
    <w:rsid w:val="002079B1"/>
    <w:rsid w:val="002101E6"/>
    <w:rsid w:val="0022103B"/>
    <w:rsid w:val="0022278A"/>
    <w:rsid w:val="0022524E"/>
    <w:rsid w:val="002257EC"/>
    <w:rsid w:val="00225CE9"/>
    <w:rsid w:val="002266A9"/>
    <w:rsid w:val="0022680F"/>
    <w:rsid w:val="00227EDE"/>
    <w:rsid w:val="00231F4C"/>
    <w:rsid w:val="00235802"/>
    <w:rsid w:val="00236931"/>
    <w:rsid w:val="002373D7"/>
    <w:rsid w:val="0024171F"/>
    <w:rsid w:val="0024184A"/>
    <w:rsid w:val="00245626"/>
    <w:rsid w:val="0024727F"/>
    <w:rsid w:val="00251C7E"/>
    <w:rsid w:val="0025253D"/>
    <w:rsid w:val="00252945"/>
    <w:rsid w:val="00256C68"/>
    <w:rsid w:val="00260956"/>
    <w:rsid w:val="00260FCE"/>
    <w:rsid w:val="00261BDA"/>
    <w:rsid w:val="00263C30"/>
    <w:rsid w:val="00263FE2"/>
    <w:rsid w:val="00267EA5"/>
    <w:rsid w:val="0027403F"/>
    <w:rsid w:val="00274912"/>
    <w:rsid w:val="0027503E"/>
    <w:rsid w:val="0027769E"/>
    <w:rsid w:val="00277A89"/>
    <w:rsid w:val="00281952"/>
    <w:rsid w:val="0028255D"/>
    <w:rsid w:val="00284624"/>
    <w:rsid w:val="00286AA1"/>
    <w:rsid w:val="002873CB"/>
    <w:rsid w:val="00292606"/>
    <w:rsid w:val="00292922"/>
    <w:rsid w:val="00295A37"/>
    <w:rsid w:val="0029657A"/>
    <w:rsid w:val="00296E71"/>
    <w:rsid w:val="002A0E13"/>
    <w:rsid w:val="002A222C"/>
    <w:rsid w:val="002A2353"/>
    <w:rsid w:val="002A237E"/>
    <w:rsid w:val="002A29BA"/>
    <w:rsid w:val="002A5416"/>
    <w:rsid w:val="002B185B"/>
    <w:rsid w:val="002B28FE"/>
    <w:rsid w:val="002B3FF3"/>
    <w:rsid w:val="002B428D"/>
    <w:rsid w:val="002B5FC8"/>
    <w:rsid w:val="002B606A"/>
    <w:rsid w:val="002B6E0D"/>
    <w:rsid w:val="002C126C"/>
    <w:rsid w:val="002C30C0"/>
    <w:rsid w:val="002C3579"/>
    <w:rsid w:val="002C5CF8"/>
    <w:rsid w:val="002D06A6"/>
    <w:rsid w:val="002D1C30"/>
    <w:rsid w:val="002D3E8A"/>
    <w:rsid w:val="002D778F"/>
    <w:rsid w:val="002E17DC"/>
    <w:rsid w:val="002E1E5D"/>
    <w:rsid w:val="002E2CB8"/>
    <w:rsid w:val="002E3B56"/>
    <w:rsid w:val="002F07B4"/>
    <w:rsid w:val="002F5615"/>
    <w:rsid w:val="002F7B08"/>
    <w:rsid w:val="003015BD"/>
    <w:rsid w:val="003051EC"/>
    <w:rsid w:val="00306F81"/>
    <w:rsid w:val="00307A17"/>
    <w:rsid w:val="0031158F"/>
    <w:rsid w:val="00311DB6"/>
    <w:rsid w:val="00313E79"/>
    <w:rsid w:val="00317202"/>
    <w:rsid w:val="003172D8"/>
    <w:rsid w:val="00322E31"/>
    <w:rsid w:val="003251CB"/>
    <w:rsid w:val="003256B5"/>
    <w:rsid w:val="0033280D"/>
    <w:rsid w:val="00337EF9"/>
    <w:rsid w:val="003425C8"/>
    <w:rsid w:val="00343C7A"/>
    <w:rsid w:val="00347ED1"/>
    <w:rsid w:val="003505B6"/>
    <w:rsid w:val="00354FB1"/>
    <w:rsid w:val="0035562E"/>
    <w:rsid w:val="00355A90"/>
    <w:rsid w:val="00362195"/>
    <w:rsid w:val="0036280C"/>
    <w:rsid w:val="00362ACB"/>
    <w:rsid w:val="003638AA"/>
    <w:rsid w:val="00363D0B"/>
    <w:rsid w:val="00367318"/>
    <w:rsid w:val="0037136C"/>
    <w:rsid w:val="003723C0"/>
    <w:rsid w:val="0037268C"/>
    <w:rsid w:val="00372FE3"/>
    <w:rsid w:val="00380EDE"/>
    <w:rsid w:val="003834C3"/>
    <w:rsid w:val="00386287"/>
    <w:rsid w:val="003919C6"/>
    <w:rsid w:val="00391A90"/>
    <w:rsid w:val="003936BC"/>
    <w:rsid w:val="00394635"/>
    <w:rsid w:val="003A1FE6"/>
    <w:rsid w:val="003A3DB8"/>
    <w:rsid w:val="003B1DA4"/>
    <w:rsid w:val="003B22FF"/>
    <w:rsid w:val="003B5B8C"/>
    <w:rsid w:val="003C0326"/>
    <w:rsid w:val="003C0F83"/>
    <w:rsid w:val="003C24D2"/>
    <w:rsid w:val="003C7864"/>
    <w:rsid w:val="003C78C3"/>
    <w:rsid w:val="003D2D6E"/>
    <w:rsid w:val="003D48F5"/>
    <w:rsid w:val="003D7D44"/>
    <w:rsid w:val="003E0710"/>
    <w:rsid w:val="003F2EFA"/>
    <w:rsid w:val="003F46C6"/>
    <w:rsid w:val="00402275"/>
    <w:rsid w:val="00403A9A"/>
    <w:rsid w:val="004102A4"/>
    <w:rsid w:val="00413270"/>
    <w:rsid w:val="00416C39"/>
    <w:rsid w:val="00420A79"/>
    <w:rsid w:val="00424986"/>
    <w:rsid w:val="00424DA7"/>
    <w:rsid w:val="004250E6"/>
    <w:rsid w:val="004310FA"/>
    <w:rsid w:val="00442544"/>
    <w:rsid w:val="00450650"/>
    <w:rsid w:val="004530AD"/>
    <w:rsid w:val="00453874"/>
    <w:rsid w:val="004538CA"/>
    <w:rsid w:val="00453F4C"/>
    <w:rsid w:val="00455F60"/>
    <w:rsid w:val="00456147"/>
    <w:rsid w:val="0046224E"/>
    <w:rsid w:val="00472C17"/>
    <w:rsid w:val="0047377D"/>
    <w:rsid w:val="00483156"/>
    <w:rsid w:val="004843A3"/>
    <w:rsid w:val="00485AA4"/>
    <w:rsid w:val="00485F6E"/>
    <w:rsid w:val="0049041D"/>
    <w:rsid w:val="00492A28"/>
    <w:rsid w:val="0049459E"/>
    <w:rsid w:val="00496555"/>
    <w:rsid w:val="004A31AE"/>
    <w:rsid w:val="004A6756"/>
    <w:rsid w:val="004B220B"/>
    <w:rsid w:val="004B266A"/>
    <w:rsid w:val="004B57CA"/>
    <w:rsid w:val="004C0013"/>
    <w:rsid w:val="004C11BC"/>
    <w:rsid w:val="004C1CE0"/>
    <w:rsid w:val="004C25D4"/>
    <w:rsid w:val="004C4135"/>
    <w:rsid w:val="004C42F5"/>
    <w:rsid w:val="004C68D2"/>
    <w:rsid w:val="004D14A2"/>
    <w:rsid w:val="004D14C2"/>
    <w:rsid w:val="004D4449"/>
    <w:rsid w:val="004D4A21"/>
    <w:rsid w:val="004D5351"/>
    <w:rsid w:val="004D5672"/>
    <w:rsid w:val="004D68B4"/>
    <w:rsid w:val="004D6B14"/>
    <w:rsid w:val="004D7FEA"/>
    <w:rsid w:val="004E183B"/>
    <w:rsid w:val="004E1E6E"/>
    <w:rsid w:val="004E446C"/>
    <w:rsid w:val="004F2B6C"/>
    <w:rsid w:val="004F315F"/>
    <w:rsid w:val="004F38F1"/>
    <w:rsid w:val="004F3E33"/>
    <w:rsid w:val="004F40AC"/>
    <w:rsid w:val="004F656F"/>
    <w:rsid w:val="004F6F6F"/>
    <w:rsid w:val="0050052E"/>
    <w:rsid w:val="005009ED"/>
    <w:rsid w:val="00501961"/>
    <w:rsid w:val="005049E8"/>
    <w:rsid w:val="00511AC6"/>
    <w:rsid w:val="00512696"/>
    <w:rsid w:val="00512A3C"/>
    <w:rsid w:val="005157D0"/>
    <w:rsid w:val="005160C7"/>
    <w:rsid w:val="005172FC"/>
    <w:rsid w:val="005176DB"/>
    <w:rsid w:val="00520F08"/>
    <w:rsid w:val="00522837"/>
    <w:rsid w:val="005229F8"/>
    <w:rsid w:val="005234B7"/>
    <w:rsid w:val="00527DB4"/>
    <w:rsid w:val="00533F03"/>
    <w:rsid w:val="00534628"/>
    <w:rsid w:val="0053579C"/>
    <w:rsid w:val="00536EC3"/>
    <w:rsid w:val="00537C3D"/>
    <w:rsid w:val="005408CE"/>
    <w:rsid w:val="005411B7"/>
    <w:rsid w:val="0054379D"/>
    <w:rsid w:val="00546CEF"/>
    <w:rsid w:val="00551247"/>
    <w:rsid w:val="00553FB6"/>
    <w:rsid w:val="00554041"/>
    <w:rsid w:val="0055700D"/>
    <w:rsid w:val="00560231"/>
    <w:rsid w:val="00565880"/>
    <w:rsid w:val="00566E07"/>
    <w:rsid w:val="0056767E"/>
    <w:rsid w:val="00572326"/>
    <w:rsid w:val="0057269C"/>
    <w:rsid w:val="00575B8E"/>
    <w:rsid w:val="0057682B"/>
    <w:rsid w:val="005823C3"/>
    <w:rsid w:val="00582677"/>
    <w:rsid w:val="00584139"/>
    <w:rsid w:val="005857AB"/>
    <w:rsid w:val="0059107B"/>
    <w:rsid w:val="00593FD1"/>
    <w:rsid w:val="00594C11"/>
    <w:rsid w:val="00596B11"/>
    <w:rsid w:val="005A23E2"/>
    <w:rsid w:val="005A4286"/>
    <w:rsid w:val="005A54D9"/>
    <w:rsid w:val="005A6132"/>
    <w:rsid w:val="005A664D"/>
    <w:rsid w:val="005A68A1"/>
    <w:rsid w:val="005A7E84"/>
    <w:rsid w:val="005B12CD"/>
    <w:rsid w:val="005B6F8A"/>
    <w:rsid w:val="005C0033"/>
    <w:rsid w:val="005C0085"/>
    <w:rsid w:val="005C33E2"/>
    <w:rsid w:val="005C43B9"/>
    <w:rsid w:val="005C53FB"/>
    <w:rsid w:val="005C58CA"/>
    <w:rsid w:val="005D04E0"/>
    <w:rsid w:val="005D1177"/>
    <w:rsid w:val="005D4002"/>
    <w:rsid w:val="005D5331"/>
    <w:rsid w:val="005E22EF"/>
    <w:rsid w:val="005E4A07"/>
    <w:rsid w:val="005E5C1A"/>
    <w:rsid w:val="005F4F23"/>
    <w:rsid w:val="00601718"/>
    <w:rsid w:val="00601A8C"/>
    <w:rsid w:val="00602F52"/>
    <w:rsid w:val="00605C58"/>
    <w:rsid w:val="00611B34"/>
    <w:rsid w:val="00614176"/>
    <w:rsid w:val="006146C4"/>
    <w:rsid w:val="00617E9A"/>
    <w:rsid w:val="00624CEF"/>
    <w:rsid w:val="006277A2"/>
    <w:rsid w:val="006323E3"/>
    <w:rsid w:val="00632F0D"/>
    <w:rsid w:val="0064178A"/>
    <w:rsid w:val="0064475F"/>
    <w:rsid w:val="00645487"/>
    <w:rsid w:val="0065028B"/>
    <w:rsid w:val="006507D5"/>
    <w:rsid w:val="0065174C"/>
    <w:rsid w:val="00657CBB"/>
    <w:rsid w:val="00662CCD"/>
    <w:rsid w:val="0066511E"/>
    <w:rsid w:val="0066561B"/>
    <w:rsid w:val="00682BBB"/>
    <w:rsid w:val="00682FFC"/>
    <w:rsid w:val="00683510"/>
    <w:rsid w:val="00684263"/>
    <w:rsid w:val="00685686"/>
    <w:rsid w:val="00687CDB"/>
    <w:rsid w:val="006906A1"/>
    <w:rsid w:val="00690D9D"/>
    <w:rsid w:val="00691BA0"/>
    <w:rsid w:val="0069566B"/>
    <w:rsid w:val="00695774"/>
    <w:rsid w:val="0069617B"/>
    <w:rsid w:val="006A1EC9"/>
    <w:rsid w:val="006A3C53"/>
    <w:rsid w:val="006A6E0A"/>
    <w:rsid w:val="006A748C"/>
    <w:rsid w:val="006B0FCD"/>
    <w:rsid w:val="006B4A24"/>
    <w:rsid w:val="006C1556"/>
    <w:rsid w:val="006C175E"/>
    <w:rsid w:val="006C5056"/>
    <w:rsid w:val="006D5F59"/>
    <w:rsid w:val="006D6525"/>
    <w:rsid w:val="006D6C9E"/>
    <w:rsid w:val="006D72A7"/>
    <w:rsid w:val="006D76CF"/>
    <w:rsid w:val="006E7C86"/>
    <w:rsid w:val="006F71CD"/>
    <w:rsid w:val="00701C7F"/>
    <w:rsid w:val="0070314E"/>
    <w:rsid w:val="007035B8"/>
    <w:rsid w:val="00705F55"/>
    <w:rsid w:val="00706E03"/>
    <w:rsid w:val="0071203C"/>
    <w:rsid w:val="00717AD9"/>
    <w:rsid w:val="007236C8"/>
    <w:rsid w:val="007245B7"/>
    <w:rsid w:val="007274C0"/>
    <w:rsid w:val="00727E0D"/>
    <w:rsid w:val="007303E6"/>
    <w:rsid w:val="00732661"/>
    <w:rsid w:val="0073473B"/>
    <w:rsid w:val="0073481B"/>
    <w:rsid w:val="00737FEE"/>
    <w:rsid w:val="00740530"/>
    <w:rsid w:val="007411DD"/>
    <w:rsid w:val="0075004E"/>
    <w:rsid w:val="00750B32"/>
    <w:rsid w:val="00754BBE"/>
    <w:rsid w:val="007565F1"/>
    <w:rsid w:val="00763EDA"/>
    <w:rsid w:val="00765F5D"/>
    <w:rsid w:val="00766AC6"/>
    <w:rsid w:val="00766C76"/>
    <w:rsid w:val="00775AE3"/>
    <w:rsid w:val="00782B93"/>
    <w:rsid w:val="007849CE"/>
    <w:rsid w:val="00790910"/>
    <w:rsid w:val="00791DBA"/>
    <w:rsid w:val="007942A4"/>
    <w:rsid w:val="00794CD3"/>
    <w:rsid w:val="0079618A"/>
    <w:rsid w:val="007A660E"/>
    <w:rsid w:val="007A673D"/>
    <w:rsid w:val="007A7CEC"/>
    <w:rsid w:val="007B58BC"/>
    <w:rsid w:val="007B64DF"/>
    <w:rsid w:val="007B6A7B"/>
    <w:rsid w:val="007B7046"/>
    <w:rsid w:val="007C3009"/>
    <w:rsid w:val="007C57DE"/>
    <w:rsid w:val="007C5859"/>
    <w:rsid w:val="007C7AD8"/>
    <w:rsid w:val="007C7F1A"/>
    <w:rsid w:val="007D1A00"/>
    <w:rsid w:val="007D4BAB"/>
    <w:rsid w:val="007E0207"/>
    <w:rsid w:val="007E5BD5"/>
    <w:rsid w:val="007F7ECF"/>
    <w:rsid w:val="008029A7"/>
    <w:rsid w:val="00802EDE"/>
    <w:rsid w:val="00810472"/>
    <w:rsid w:val="0081080B"/>
    <w:rsid w:val="00815D3B"/>
    <w:rsid w:val="0081663A"/>
    <w:rsid w:val="00821DD0"/>
    <w:rsid w:val="00831915"/>
    <w:rsid w:val="00833D71"/>
    <w:rsid w:val="008342E6"/>
    <w:rsid w:val="00837CF0"/>
    <w:rsid w:val="00841BF8"/>
    <w:rsid w:val="00844381"/>
    <w:rsid w:val="00844908"/>
    <w:rsid w:val="00845D2C"/>
    <w:rsid w:val="008501B5"/>
    <w:rsid w:val="008512BA"/>
    <w:rsid w:val="00855408"/>
    <w:rsid w:val="00855FC8"/>
    <w:rsid w:val="0086646C"/>
    <w:rsid w:val="00867B8E"/>
    <w:rsid w:val="0087564B"/>
    <w:rsid w:val="00875AA9"/>
    <w:rsid w:val="00876AAA"/>
    <w:rsid w:val="008820B9"/>
    <w:rsid w:val="008830B5"/>
    <w:rsid w:val="0088403A"/>
    <w:rsid w:val="00896328"/>
    <w:rsid w:val="0089656D"/>
    <w:rsid w:val="008A2170"/>
    <w:rsid w:val="008A472F"/>
    <w:rsid w:val="008A4DC4"/>
    <w:rsid w:val="008A5507"/>
    <w:rsid w:val="008B32EA"/>
    <w:rsid w:val="008B361E"/>
    <w:rsid w:val="008B524D"/>
    <w:rsid w:val="008C0EC2"/>
    <w:rsid w:val="008C1084"/>
    <w:rsid w:val="008C280C"/>
    <w:rsid w:val="008C2F77"/>
    <w:rsid w:val="008C31B8"/>
    <w:rsid w:val="008C3320"/>
    <w:rsid w:val="008C4591"/>
    <w:rsid w:val="008D1610"/>
    <w:rsid w:val="008D2ED5"/>
    <w:rsid w:val="008D30B9"/>
    <w:rsid w:val="008D5FC1"/>
    <w:rsid w:val="008D604B"/>
    <w:rsid w:val="008D7716"/>
    <w:rsid w:val="008E1EBF"/>
    <w:rsid w:val="008E33CE"/>
    <w:rsid w:val="008E583D"/>
    <w:rsid w:val="008E782D"/>
    <w:rsid w:val="008F0CA6"/>
    <w:rsid w:val="008F3E33"/>
    <w:rsid w:val="008F3F3F"/>
    <w:rsid w:val="008F7181"/>
    <w:rsid w:val="00900B7C"/>
    <w:rsid w:val="0090103F"/>
    <w:rsid w:val="00901B80"/>
    <w:rsid w:val="009042AA"/>
    <w:rsid w:val="0090493C"/>
    <w:rsid w:val="009076E1"/>
    <w:rsid w:val="00907CDE"/>
    <w:rsid w:val="00907E1B"/>
    <w:rsid w:val="00911824"/>
    <w:rsid w:val="00911A75"/>
    <w:rsid w:val="00911C04"/>
    <w:rsid w:val="00914FAD"/>
    <w:rsid w:val="009171C8"/>
    <w:rsid w:val="00924EF5"/>
    <w:rsid w:val="00930946"/>
    <w:rsid w:val="00932694"/>
    <w:rsid w:val="00934EE9"/>
    <w:rsid w:val="009363FC"/>
    <w:rsid w:val="00940214"/>
    <w:rsid w:val="00941AC2"/>
    <w:rsid w:val="00943EAC"/>
    <w:rsid w:val="00945B05"/>
    <w:rsid w:val="00945DEE"/>
    <w:rsid w:val="009464FB"/>
    <w:rsid w:val="009473EE"/>
    <w:rsid w:val="00960CB5"/>
    <w:rsid w:val="0096366E"/>
    <w:rsid w:val="00965689"/>
    <w:rsid w:val="00965FE4"/>
    <w:rsid w:val="00966CC9"/>
    <w:rsid w:val="009734F1"/>
    <w:rsid w:val="009747D4"/>
    <w:rsid w:val="009762C6"/>
    <w:rsid w:val="00976E64"/>
    <w:rsid w:val="00982E6A"/>
    <w:rsid w:val="0098380F"/>
    <w:rsid w:val="0098489A"/>
    <w:rsid w:val="00990D41"/>
    <w:rsid w:val="009910DF"/>
    <w:rsid w:val="009934B4"/>
    <w:rsid w:val="0099397F"/>
    <w:rsid w:val="00994124"/>
    <w:rsid w:val="00995B9D"/>
    <w:rsid w:val="009A46F9"/>
    <w:rsid w:val="009A4A88"/>
    <w:rsid w:val="009A7550"/>
    <w:rsid w:val="009B2E4C"/>
    <w:rsid w:val="009B505D"/>
    <w:rsid w:val="009B7224"/>
    <w:rsid w:val="009C049A"/>
    <w:rsid w:val="009C06E0"/>
    <w:rsid w:val="009C0BB5"/>
    <w:rsid w:val="009C6871"/>
    <w:rsid w:val="009D0E8E"/>
    <w:rsid w:val="009D7B2D"/>
    <w:rsid w:val="009E2483"/>
    <w:rsid w:val="009E367D"/>
    <w:rsid w:val="009E3BD9"/>
    <w:rsid w:val="009F296A"/>
    <w:rsid w:val="009F50E2"/>
    <w:rsid w:val="009F62AA"/>
    <w:rsid w:val="009F7DE4"/>
    <w:rsid w:val="00A004C0"/>
    <w:rsid w:val="00A00AA4"/>
    <w:rsid w:val="00A00B22"/>
    <w:rsid w:val="00A01A5B"/>
    <w:rsid w:val="00A07047"/>
    <w:rsid w:val="00A07AC4"/>
    <w:rsid w:val="00A114A8"/>
    <w:rsid w:val="00A13E4E"/>
    <w:rsid w:val="00A1534D"/>
    <w:rsid w:val="00A1622C"/>
    <w:rsid w:val="00A16A33"/>
    <w:rsid w:val="00A16F3F"/>
    <w:rsid w:val="00A1786C"/>
    <w:rsid w:val="00A20731"/>
    <w:rsid w:val="00A22057"/>
    <w:rsid w:val="00A22E1E"/>
    <w:rsid w:val="00A23DC4"/>
    <w:rsid w:val="00A250FC"/>
    <w:rsid w:val="00A3005D"/>
    <w:rsid w:val="00A324F8"/>
    <w:rsid w:val="00A34D5D"/>
    <w:rsid w:val="00A34FDB"/>
    <w:rsid w:val="00A35437"/>
    <w:rsid w:val="00A376A0"/>
    <w:rsid w:val="00A40D4A"/>
    <w:rsid w:val="00A418DB"/>
    <w:rsid w:val="00A44DD6"/>
    <w:rsid w:val="00A47F0E"/>
    <w:rsid w:val="00A51974"/>
    <w:rsid w:val="00A52FE4"/>
    <w:rsid w:val="00A53AAE"/>
    <w:rsid w:val="00A54403"/>
    <w:rsid w:val="00A56B60"/>
    <w:rsid w:val="00A66E92"/>
    <w:rsid w:val="00A71DB3"/>
    <w:rsid w:val="00A72635"/>
    <w:rsid w:val="00A7539C"/>
    <w:rsid w:val="00A75B68"/>
    <w:rsid w:val="00A767C6"/>
    <w:rsid w:val="00A76AB9"/>
    <w:rsid w:val="00A8245B"/>
    <w:rsid w:val="00A8317B"/>
    <w:rsid w:val="00A85CA5"/>
    <w:rsid w:val="00A8603F"/>
    <w:rsid w:val="00A8693C"/>
    <w:rsid w:val="00A91BF0"/>
    <w:rsid w:val="00A92F0F"/>
    <w:rsid w:val="00A94EEB"/>
    <w:rsid w:val="00A95071"/>
    <w:rsid w:val="00A951DF"/>
    <w:rsid w:val="00A958D8"/>
    <w:rsid w:val="00A95E24"/>
    <w:rsid w:val="00A97C69"/>
    <w:rsid w:val="00AA1AB9"/>
    <w:rsid w:val="00AA412F"/>
    <w:rsid w:val="00AA70E3"/>
    <w:rsid w:val="00AB1336"/>
    <w:rsid w:val="00AC0012"/>
    <w:rsid w:val="00AC0128"/>
    <w:rsid w:val="00AC068A"/>
    <w:rsid w:val="00AC0B88"/>
    <w:rsid w:val="00AC0BA4"/>
    <w:rsid w:val="00AC1487"/>
    <w:rsid w:val="00AC26F7"/>
    <w:rsid w:val="00AC2FD4"/>
    <w:rsid w:val="00AC3697"/>
    <w:rsid w:val="00AC38A2"/>
    <w:rsid w:val="00AC3F4B"/>
    <w:rsid w:val="00AC46B6"/>
    <w:rsid w:val="00AC5743"/>
    <w:rsid w:val="00AD08C8"/>
    <w:rsid w:val="00AD2FDF"/>
    <w:rsid w:val="00AD6970"/>
    <w:rsid w:val="00AE0081"/>
    <w:rsid w:val="00AE48AD"/>
    <w:rsid w:val="00AE50B2"/>
    <w:rsid w:val="00AE58D1"/>
    <w:rsid w:val="00AE6C6B"/>
    <w:rsid w:val="00AF0476"/>
    <w:rsid w:val="00AF232B"/>
    <w:rsid w:val="00AF4AF1"/>
    <w:rsid w:val="00AF5B58"/>
    <w:rsid w:val="00B0232D"/>
    <w:rsid w:val="00B05AFA"/>
    <w:rsid w:val="00B0623F"/>
    <w:rsid w:val="00B1666F"/>
    <w:rsid w:val="00B16BBA"/>
    <w:rsid w:val="00B16EFC"/>
    <w:rsid w:val="00B23FFD"/>
    <w:rsid w:val="00B24F8A"/>
    <w:rsid w:val="00B259AA"/>
    <w:rsid w:val="00B26046"/>
    <w:rsid w:val="00B30100"/>
    <w:rsid w:val="00B3065A"/>
    <w:rsid w:val="00B329F1"/>
    <w:rsid w:val="00B32BF1"/>
    <w:rsid w:val="00B33088"/>
    <w:rsid w:val="00B37820"/>
    <w:rsid w:val="00B40382"/>
    <w:rsid w:val="00B51FE3"/>
    <w:rsid w:val="00B53236"/>
    <w:rsid w:val="00B5359B"/>
    <w:rsid w:val="00B545AB"/>
    <w:rsid w:val="00B54D32"/>
    <w:rsid w:val="00B552C0"/>
    <w:rsid w:val="00B626C9"/>
    <w:rsid w:val="00B62B4A"/>
    <w:rsid w:val="00B63EA2"/>
    <w:rsid w:val="00B6435F"/>
    <w:rsid w:val="00B65F2A"/>
    <w:rsid w:val="00B66960"/>
    <w:rsid w:val="00B67776"/>
    <w:rsid w:val="00B67CEC"/>
    <w:rsid w:val="00B7439C"/>
    <w:rsid w:val="00B753DA"/>
    <w:rsid w:val="00B90F5D"/>
    <w:rsid w:val="00B912B5"/>
    <w:rsid w:val="00B9367D"/>
    <w:rsid w:val="00B94926"/>
    <w:rsid w:val="00B96E1A"/>
    <w:rsid w:val="00B97E49"/>
    <w:rsid w:val="00BA29EF"/>
    <w:rsid w:val="00BA4408"/>
    <w:rsid w:val="00BA5441"/>
    <w:rsid w:val="00BA7233"/>
    <w:rsid w:val="00BB07F0"/>
    <w:rsid w:val="00BB14EC"/>
    <w:rsid w:val="00BB1AC9"/>
    <w:rsid w:val="00BB3C4D"/>
    <w:rsid w:val="00BB5224"/>
    <w:rsid w:val="00BB794E"/>
    <w:rsid w:val="00BC2E60"/>
    <w:rsid w:val="00BC388A"/>
    <w:rsid w:val="00BC3DB7"/>
    <w:rsid w:val="00BC7562"/>
    <w:rsid w:val="00BC7D3F"/>
    <w:rsid w:val="00BD1E26"/>
    <w:rsid w:val="00BD3674"/>
    <w:rsid w:val="00BD3BEC"/>
    <w:rsid w:val="00BD48ED"/>
    <w:rsid w:val="00BD7DDE"/>
    <w:rsid w:val="00BE2832"/>
    <w:rsid w:val="00BE2B44"/>
    <w:rsid w:val="00BE3567"/>
    <w:rsid w:val="00BF26A1"/>
    <w:rsid w:val="00BF2B06"/>
    <w:rsid w:val="00BF309C"/>
    <w:rsid w:val="00BF5CA9"/>
    <w:rsid w:val="00BF7224"/>
    <w:rsid w:val="00C019CE"/>
    <w:rsid w:val="00C01B19"/>
    <w:rsid w:val="00C06478"/>
    <w:rsid w:val="00C1056F"/>
    <w:rsid w:val="00C10713"/>
    <w:rsid w:val="00C1175A"/>
    <w:rsid w:val="00C138E2"/>
    <w:rsid w:val="00C160D8"/>
    <w:rsid w:val="00C2020E"/>
    <w:rsid w:val="00C20E77"/>
    <w:rsid w:val="00C21CA5"/>
    <w:rsid w:val="00C23847"/>
    <w:rsid w:val="00C249F6"/>
    <w:rsid w:val="00C254ED"/>
    <w:rsid w:val="00C26842"/>
    <w:rsid w:val="00C26EFD"/>
    <w:rsid w:val="00C2798E"/>
    <w:rsid w:val="00C30D56"/>
    <w:rsid w:val="00C318F2"/>
    <w:rsid w:val="00C31A62"/>
    <w:rsid w:val="00C32191"/>
    <w:rsid w:val="00C3354A"/>
    <w:rsid w:val="00C36BDA"/>
    <w:rsid w:val="00C37C2E"/>
    <w:rsid w:val="00C42C7C"/>
    <w:rsid w:val="00C459C0"/>
    <w:rsid w:val="00C46154"/>
    <w:rsid w:val="00C461E5"/>
    <w:rsid w:val="00C50DA7"/>
    <w:rsid w:val="00C51A3D"/>
    <w:rsid w:val="00C5305E"/>
    <w:rsid w:val="00C535C2"/>
    <w:rsid w:val="00C53FCD"/>
    <w:rsid w:val="00C543DD"/>
    <w:rsid w:val="00C54852"/>
    <w:rsid w:val="00C54D9D"/>
    <w:rsid w:val="00C54FE4"/>
    <w:rsid w:val="00C56E63"/>
    <w:rsid w:val="00C6006B"/>
    <w:rsid w:val="00C63986"/>
    <w:rsid w:val="00C645EA"/>
    <w:rsid w:val="00C64746"/>
    <w:rsid w:val="00C71808"/>
    <w:rsid w:val="00C726F8"/>
    <w:rsid w:val="00C72D00"/>
    <w:rsid w:val="00C7407E"/>
    <w:rsid w:val="00C75738"/>
    <w:rsid w:val="00C76DF6"/>
    <w:rsid w:val="00C77603"/>
    <w:rsid w:val="00C81FAF"/>
    <w:rsid w:val="00C8200F"/>
    <w:rsid w:val="00C86722"/>
    <w:rsid w:val="00C87AC6"/>
    <w:rsid w:val="00C9607C"/>
    <w:rsid w:val="00C96CF5"/>
    <w:rsid w:val="00C96F9A"/>
    <w:rsid w:val="00CA3F33"/>
    <w:rsid w:val="00CA40A5"/>
    <w:rsid w:val="00CB0A3B"/>
    <w:rsid w:val="00CB12EE"/>
    <w:rsid w:val="00CB1E97"/>
    <w:rsid w:val="00CB2CD7"/>
    <w:rsid w:val="00CC1049"/>
    <w:rsid w:val="00CC1241"/>
    <w:rsid w:val="00CC494E"/>
    <w:rsid w:val="00CD2E1A"/>
    <w:rsid w:val="00CD3C97"/>
    <w:rsid w:val="00CE55AA"/>
    <w:rsid w:val="00CE7D02"/>
    <w:rsid w:val="00CF2707"/>
    <w:rsid w:val="00CF2995"/>
    <w:rsid w:val="00CF29CE"/>
    <w:rsid w:val="00CF3302"/>
    <w:rsid w:val="00CF3730"/>
    <w:rsid w:val="00CF55BC"/>
    <w:rsid w:val="00D027CC"/>
    <w:rsid w:val="00D02E44"/>
    <w:rsid w:val="00D04B16"/>
    <w:rsid w:val="00D062DB"/>
    <w:rsid w:val="00D11599"/>
    <w:rsid w:val="00D141D5"/>
    <w:rsid w:val="00D165B9"/>
    <w:rsid w:val="00D170B7"/>
    <w:rsid w:val="00D21293"/>
    <w:rsid w:val="00D22F57"/>
    <w:rsid w:val="00D2331A"/>
    <w:rsid w:val="00D32042"/>
    <w:rsid w:val="00D322B9"/>
    <w:rsid w:val="00D372A5"/>
    <w:rsid w:val="00D37EA8"/>
    <w:rsid w:val="00D42E88"/>
    <w:rsid w:val="00D46DC1"/>
    <w:rsid w:val="00D52AC6"/>
    <w:rsid w:val="00D53032"/>
    <w:rsid w:val="00D53B83"/>
    <w:rsid w:val="00D6140D"/>
    <w:rsid w:val="00D628C6"/>
    <w:rsid w:val="00D62B8C"/>
    <w:rsid w:val="00D64776"/>
    <w:rsid w:val="00D77975"/>
    <w:rsid w:val="00D82FE5"/>
    <w:rsid w:val="00D841FE"/>
    <w:rsid w:val="00D851D5"/>
    <w:rsid w:val="00D87B67"/>
    <w:rsid w:val="00D92A4E"/>
    <w:rsid w:val="00D9677F"/>
    <w:rsid w:val="00D96DC6"/>
    <w:rsid w:val="00D96F63"/>
    <w:rsid w:val="00D97C95"/>
    <w:rsid w:val="00DA59F4"/>
    <w:rsid w:val="00DA6C29"/>
    <w:rsid w:val="00DA75A9"/>
    <w:rsid w:val="00DB0B80"/>
    <w:rsid w:val="00DB1ED4"/>
    <w:rsid w:val="00DB27AA"/>
    <w:rsid w:val="00DB5F31"/>
    <w:rsid w:val="00DB672A"/>
    <w:rsid w:val="00DC3EFF"/>
    <w:rsid w:val="00DC4E55"/>
    <w:rsid w:val="00DD2094"/>
    <w:rsid w:val="00DD2F52"/>
    <w:rsid w:val="00DD45E4"/>
    <w:rsid w:val="00DE1AA1"/>
    <w:rsid w:val="00DE347D"/>
    <w:rsid w:val="00DE3AD5"/>
    <w:rsid w:val="00DE3DAE"/>
    <w:rsid w:val="00DE47FE"/>
    <w:rsid w:val="00DE4A45"/>
    <w:rsid w:val="00DE528A"/>
    <w:rsid w:val="00DF03CE"/>
    <w:rsid w:val="00DF3137"/>
    <w:rsid w:val="00DF4077"/>
    <w:rsid w:val="00DF45F7"/>
    <w:rsid w:val="00DF5303"/>
    <w:rsid w:val="00DF5BCD"/>
    <w:rsid w:val="00DF5D88"/>
    <w:rsid w:val="00DF7390"/>
    <w:rsid w:val="00E02985"/>
    <w:rsid w:val="00E029AE"/>
    <w:rsid w:val="00E04F2F"/>
    <w:rsid w:val="00E05156"/>
    <w:rsid w:val="00E07C56"/>
    <w:rsid w:val="00E12D46"/>
    <w:rsid w:val="00E13B7D"/>
    <w:rsid w:val="00E14F9B"/>
    <w:rsid w:val="00E159FD"/>
    <w:rsid w:val="00E16055"/>
    <w:rsid w:val="00E17151"/>
    <w:rsid w:val="00E17351"/>
    <w:rsid w:val="00E22BC7"/>
    <w:rsid w:val="00E22D62"/>
    <w:rsid w:val="00E26FBA"/>
    <w:rsid w:val="00E30D65"/>
    <w:rsid w:val="00E33D0B"/>
    <w:rsid w:val="00E35512"/>
    <w:rsid w:val="00E35FDA"/>
    <w:rsid w:val="00E36B66"/>
    <w:rsid w:val="00E4000E"/>
    <w:rsid w:val="00E435A9"/>
    <w:rsid w:val="00E4571E"/>
    <w:rsid w:val="00E45A96"/>
    <w:rsid w:val="00E47D58"/>
    <w:rsid w:val="00E51252"/>
    <w:rsid w:val="00E60A5F"/>
    <w:rsid w:val="00E62DD6"/>
    <w:rsid w:val="00E63A3E"/>
    <w:rsid w:val="00E64429"/>
    <w:rsid w:val="00E66D2C"/>
    <w:rsid w:val="00E77688"/>
    <w:rsid w:val="00E8622E"/>
    <w:rsid w:val="00E8667B"/>
    <w:rsid w:val="00E875CA"/>
    <w:rsid w:val="00E878C0"/>
    <w:rsid w:val="00E9345C"/>
    <w:rsid w:val="00EA0FC2"/>
    <w:rsid w:val="00EA25E3"/>
    <w:rsid w:val="00EA4DBD"/>
    <w:rsid w:val="00EA53F1"/>
    <w:rsid w:val="00EB06B1"/>
    <w:rsid w:val="00EB0BB5"/>
    <w:rsid w:val="00EB147C"/>
    <w:rsid w:val="00EB1F7E"/>
    <w:rsid w:val="00EB74F3"/>
    <w:rsid w:val="00EC15F1"/>
    <w:rsid w:val="00EC406E"/>
    <w:rsid w:val="00EC49D9"/>
    <w:rsid w:val="00EC666A"/>
    <w:rsid w:val="00ED4AE6"/>
    <w:rsid w:val="00EE0F9A"/>
    <w:rsid w:val="00EE1E03"/>
    <w:rsid w:val="00EE46E6"/>
    <w:rsid w:val="00EF0234"/>
    <w:rsid w:val="00EF16A5"/>
    <w:rsid w:val="00EF1D2E"/>
    <w:rsid w:val="00EF5E13"/>
    <w:rsid w:val="00F11C97"/>
    <w:rsid w:val="00F11DD8"/>
    <w:rsid w:val="00F16D36"/>
    <w:rsid w:val="00F21C48"/>
    <w:rsid w:val="00F2302B"/>
    <w:rsid w:val="00F23616"/>
    <w:rsid w:val="00F24ACB"/>
    <w:rsid w:val="00F25FF0"/>
    <w:rsid w:val="00F27DA0"/>
    <w:rsid w:val="00F3166D"/>
    <w:rsid w:val="00F34BE7"/>
    <w:rsid w:val="00F423D8"/>
    <w:rsid w:val="00F43DAD"/>
    <w:rsid w:val="00F44361"/>
    <w:rsid w:val="00F44E7D"/>
    <w:rsid w:val="00F473C8"/>
    <w:rsid w:val="00F47F42"/>
    <w:rsid w:val="00F5213E"/>
    <w:rsid w:val="00F528F7"/>
    <w:rsid w:val="00F5411F"/>
    <w:rsid w:val="00F57EF3"/>
    <w:rsid w:val="00F6092B"/>
    <w:rsid w:val="00F60E24"/>
    <w:rsid w:val="00F6470E"/>
    <w:rsid w:val="00F71EDD"/>
    <w:rsid w:val="00F72A6E"/>
    <w:rsid w:val="00F74B31"/>
    <w:rsid w:val="00F76F70"/>
    <w:rsid w:val="00F806FC"/>
    <w:rsid w:val="00F83ADA"/>
    <w:rsid w:val="00F85A58"/>
    <w:rsid w:val="00F862C8"/>
    <w:rsid w:val="00F86F10"/>
    <w:rsid w:val="00F87E95"/>
    <w:rsid w:val="00F90129"/>
    <w:rsid w:val="00F905DE"/>
    <w:rsid w:val="00F92BF5"/>
    <w:rsid w:val="00F93CDA"/>
    <w:rsid w:val="00F9652B"/>
    <w:rsid w:val="00FA69C4"/>
    <w:rsid w:val="00FB0F7F"/>
    <w:rsid w:val="00FB1A59"/>
    <w:rsid w:val="00FB4446"/>
    <w:rsid w:val="00FB4CA8"/>
    <w:rsid w:val="00FB5564"/>
    <w:rsid w:val="00FB6F95"/>
    <w:rsid w:val="00FB751A"/>
    <w:rsid w:val="00FC1BBB"/>
    <w:rsid w:val="00FC54B0"/>
    <w:rsid w:val="00FC6268"/>
    <w:rsid w:val="00FD0E8D"/>
    <w:rsid w:val="00FD4273"/>
    <w:rsid w:val="00FE6757"/>
    <w:rsid w:val="00FF2F30"/>
    <w:rsid w:val="00FF3353"/>
    <w:rsid w:val="00FF479F"/>
    <w:rsid w:val="00FF52C7"/>
    <w:rsid w:val="00FF7FC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4E921E1D"/>
  <w15:docId w15:val="{BD656EE8-C681-4A8C-85CB-761DE0C1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26F7"/>
  </w:style>
  <w:style w:type="paragraph" w:styleId="Heading1">
    <w:name w:val="heading 1"/>
    <w:basedOn w:val="Normal"/>
    <w:next w:val="Normal"/>
    <w:link w:val="Heading1Char"/>
    <w:uiPriority w:val="9"/>
    <w:qFormat/>
    <w:rsid w:val="00AA70E3"/>
    <w:pPr>
      <w:keepNext/>
      <w:keepLines/>
      <w:spacing w:before="480" w:after="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CC494E"/>
    <w:pPr>
      <w:keepNext/>
      <w:keepLines/>
      <w:spacing w:before="160" w:after="160" w:line="240" w:lineRule="auto"/>
      <w:jc w:val="center"/>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CC494E"/>
    <w:pPr>
      <w:keepNext/>
      <w:keepLines/>
      <w:spacing w:before="160" w:after="160" w:line="240" w:lineRule="auto"/>
      <w:jc w:val="center"/>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CC494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0E3"/>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CC494E"/>
    <w:rPr>
      <w:rFonts w:eastAsiaTheme="majorEastAsia" w:cstheme="majorBidi"/>
      <w:b/>
      <w:bCs/>
      <w:color w:val="000000" w:themeColor="text1"/>
      <w:szCs w:val="26"/>
    </w:rPr>
  </w:style>
  <w:style w:type="character" w:customStyle="1" w:styleId="Heading3Char">
    <w:name w:val="Heading 3 Char"/>
    <w:basedOn w:val="DefaultParagraphFont"/>
    <w:link w:val="Heading3"/>
    <w:uiPriority w:val="9"/>
    <w:rsid w:val="00CC494E"/>
    <w:rPr>
      <w:rFonts w:eastAsiaTheme="majorEastAsia" w:cstheme="majorBidi"/>
      <w:b/>
      <w:bCs/>
      <w:color w:val="000000" w:themeColor="text1"/>
    </w:rPr>
  </w:style>
  <w:style w:type="paragraph" w:styleId="TOCHeading">
    <w:name w:val="TOC Heading"/>
    <w:basedOn w:val="Heading1"/>
    <w:next w:val="Normal"/>
    <w:uiPriority w:val="39"/>
    <w:semiHidden/>
    <w:unhideWhenUsed/>
    <w:qFormat/>
    <w:rsid w:val="00994124"/>
    <w:pPr>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994124"/>
    <w:pPr>
      <w:spacing w:after="100"/>
    </w:pPr>
  </w:style>
  <w:style w:type="paragraph" w:styleId="TOC2">
    <w:name w:val="toc 2"/>
    <w:basedOn w:val="Normal"/>
    <w:next w:val="Normal"/>
    <w:autoRedefine/>
    <w:uiPriority w:val="39"/>
    <w:unhideWhenUsed/>
    <w:rsid w:val="001D2C6E"/>
    <w:pPr>
      <w:tabs>
        <w:tab w:val="right" w:leader="dot" w:pos="9016"/>
      </w:tabs>
      <w:spacing w:after="100"/>
      <w:ind w:left="142"/>
    </w:pPr>
  </w:style>
  <w:style w:type="paragraph" w:styleId="TOC3">
    <w:name w:val="toc 3"/>
    <w:basedOn w:val="Normal"/>
    <w:next w:val="Normal"/>
    <w:autoRedefine/>
    <w:uiPriority w:val="39"/>
    <w:unhideWhenUsed/>
    <w:rsid w:val="001D2C6E"/>
    <w:pPr>
      <w:tabs>
        <w:tab w:val="right" w:leader="dot" w:pos="9016"/>
      </w:tabs>
      <w:spacing w:after="100"/>
      <w:ind w:left="426"/>
    </w:pPr>
  </w:style>
  <w:style w:type="character" w:styleId="Hyperlink">
    <w:name w:val="Hyperlink"/>
    <w:basedOn w:val="DefaultParagraphFont"/>
    <w:uiPriority w:val="99"/>
    <w:unhideWhenUsed/>
    <w:rsid w:val="00994124"/>
    <w:rPr>
      <w:color w:val="0000FF" w:themeColor="hyperlink"/>
      <w:u w:val="single"/>
    </w:rPr>
  </w:style>
  <w:style w:type="paragraph" w:styleId="BalloonText">
    <w:name w:val="Balloon Text"/>
    <w:basedOn w:val="Normal"/>
    <w:link w:val="BalloonTextChar"/>
    <w:uiPriority w:val="99"/>
    <w:semiHidden/>
    <w:unhideWhenUsed/>
    <w:rsid w:val="0099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124"/>
    <w:rPr>
      <w:rFonts w:ascii="Tahoma" w:hAnsi="Tahoma" w:cs="Tahoma"/>
      <w:sz w:val="16"/>
      <w:szCs w:val="16"/>
    </w:rPr>
  </w:style>
  <w:style w:type="paragraph" w:styleId="Caption">
    <w:name w:val="caption"/>
    <w:basedOn w:val="Normal"/>
    <w:next w:val="Normal"/>
    <w:qFormat/>
    <w:rsid w:val="004D4449"/>
    <w:pPr>
      <w:spacing w:line="252" w:lineRule="auto"/>
    </w:pPr>
    <w:rPr>
      <w:rFonts w:ascii="Cambria" w:eastAsia="Times New Roman" w:hAnsi="Cambria" w:cs="Times New Roman"/>
      <w:caps/>
      <w:spacing w:val="10"/>
      <w:sz w:val="18"/>
      <w:szCs w:val="18"/>
      <w:lang w:val="en-US" w:bidi="en-US"/>
    </w:rPr>
  </w:style>
  <w:style w:type="paragraph" w:styleId="BodyText">
    <w:name w:val="Body Text"/>
    <w:basedOn w:val="Normal"/>
    <w:link w:val="BodyTextChar"/>
    <w:rsid w:val="00624CEF"/>
    <w:pPr>
      <w:spacing w:line="252" w:lineRule="auto"/>
    </w:pPr>
    <w:rPr>
      <w:rFonts w:ascii="Cambria" w:eastAsia="Times New Roman" w:hAnsi="Cambria" w:cs="Times New Roman"/>
      <w:sz w:val="24"/>
      <w:szCs w:val="24"/>
      <w:lang w:bidi="en-US"/>
    </w:rPr>
  </w:style>
  <w:style w:type="character" w:customStyle="1" w:styleId="BodyTextChar">
    <w:name w:val="Body Text Char"/>
    <w:basedOn w:val="DefaultParagraphFont"/>
    <w:link w:val="BodyText"/>
    <w:rsid w:val="00624CEF"/>
    <w:rPr>
      <w:rFonts w:ascii="Cambria" w:eastAsia="Times New Roman" w:hAnsi="Cambria" w:cs="Times New Roman"/>
      <w:sz w:val="24"/>
      <w:szCs w:val="24"/>
      <w:lang w:bidi="en-US"/>
    </w:rPr>
  </w:style>
  <w:style w:type="paragraph" w:styleId="NoSpacing">
    <w:name w:val="No Spacing"/>
    <w:qFormat/>
    <w:rsid w:val="00624CEF"/>
    <w:pPr>
      <w:spacing w:after="0" w:line="240" w:lineRule="auto"/>
    </w:pPr>
    <w:rPr>
      <w:rFonts w:ascii="Calibri" w:eastAsia="Calibri" w:hAnsi="Calibri" w:cs="Times New Roman"/>
      <w:sz w:val="22"/>
    </w:rPr>
  </w:style>
  <w:style w:type="character" w:styleId="Strong">
    <w:name w:val="Strong"/>
    <w:basedOn w:val="DefaultParagraphFont"/>
    <w:uiPriority w:val="22"/>
    <w:qFormat/>
    <w:rsid w:val="00624CEF"/>
    <w:rPr>
      <w:rFonts w:cs="Times New Roman"/>
      <w:b/>
      <w:bCs/>
    </w:rPr>
  </w:style>
  <w:style w:type="paragraph" w:styleId="NormalWeb">
    <w:name w:val="Normal (Web)"/>
    <w:basedOn w:val="Normal"/>
    <w:uiPriority w:val="99"/>
    <w:rsid w:val="00624CEF"/>
    <w:pPr>
      <w:spacing w:before="100" w:beforeAutospacing="1" w:after="100" w:afterAutospacing="1" w:line="240" w:lineRule="auto"/>
    </w:pPr>
    <w:rPr>
      <w:rFonts w:eastAsia="Calibri" w:cs="Times New Roman"/>
      <w:sz w:val="24"/>
      <w:szCs w:val="24"/>
      <w:lang w:eastAsia="lv-LV"/>
    </w:rPr>
  </w:style>
  <w:style w:type="paragraph" w:styleId="ListParagraph">
    <w:name w:val="List Paragraph"/>
    <w:aliases w:val="2"/>
    <w:basedOn w:val="Normal"/>
    <w:link w:val="ListParagraphChar"/>
    <w:uiPriority w:val="34"/>
    <w:qFormat/>
    <w:rsid w:val="00A47F0E"/>
    <w:pPr>
      <w:ind w:left="720"/>
      <w:contextualSpacing/>
    </w:pPr>
    <w:rPr>
      <w:rFonts w:asciiTheme="minorHAnsi" w:hAnsiTheme="minorHAnsi"/>
      <w:sz w:val="22"/>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locked/>
    <w:rsid w:val="00553FB6"/>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fn"/>
    <w:basedOn w:val="Normal"/>
    <w:link w:val="FootnoteTextChar"/>
    <w:uiPriority w:val="99"/>
    <w:unhideWhenUsed/>
    <w:rsid w:val="00553FB6"/>
    <w:pPr>
      <w:spacing w:after="0" w:line="240" w:lineRule="auto"/>
    </w:pPr>
  </w:style>
  <w:style w:type="character" w:customStyle="1" w:styleId="FootnoteTextChar1">
    <w:name w:val="Footnote Text Char1"/>
    <w:basedOn w:val="DefaultParagraphFont"/>
    <w:uiPriority w:val="99"/>
    <w:semiHidden/>
    <w:rsid w:val="00553FB6"/>
    <w:rPr>
      <w:sz w:val="20"/>
      <w:szCs w:val="20"/>
    </w:rPr>
  </w:style>
  <w:style w:type="character" w:styleId="FootnoteReference">
    <w:name w:val="footnote reference"/>
    <w:aliases w:val="Footnote Reference Number,SUPERS,-E Fußnotenzeichen,(Diplomarbeit FZ),(Diplomarbeit FZ)1,(Diplomarbeit FZ)2,(Diplomarbeit FZ)3,(Diplomarbeit FZ)4,(Diplomarbeit FZ)5,(Diplomarbeit FZ)6,(Diplomarbeit FZ)7,(Diplomarbeit FZ)8,fr,BVI fnr"/>
    <w:basedOn w:val="DefaultParagraphFont"/>
    <w:link w:val="FootnoteRefernece"/>
    <w:uiPriority w:val="99"/>
    <w:unhideWhenUsed/>
    <w:qFormat/>
    <w:rsid w:val="00553FB6"/>
    <w:rPr>
      <w:vertAlign w:val="superscript"/>
    </w:rPr>
  </w:style>
  <w:style w:type="character" w:customStyle="1" w:styleId="ListParagraphChar">
    <w:name w:val="List Paragraph Char"/>
    <w:aliases w:val="2 Char"/>
    <w:link w:val="ListParagraph"/>
    <w:uiPriority w:val="34"/>
    <w:locked/>
    <w:rsid w:val="00A20731"/>
    <w:rPr>
      <w:rFonts w:asciiTheme="minorHAnsi" w:hAnsiTheme="minorHAnsi"/>
      <w:sz w:val="22"/>
    </w:rPr>
  </w:style>
  <w:style w:type="paragraph" w:customStyle="1" w:styleId="Tekststabula">
    <w:name w:val="Teksts tabula"/>
    <w:basedOn w:val="Normal"/>
    <w:qFormat/>
    <w:rsid w:val="00267EA5"/>
    <w:pPr>
      <w:spacing w:after="0" w:line="252" w:lineRule="auto"/>
    </w:pPr>
    <w:rPr>
      <w:rFonts w:ascii="Calibri" w:eastAsia="Times New Roman" w:hAnsi="Calibri" w:cs="Times New Roman"/>
      <w:sz w:val="18"/>
      <w:lang w:bidi="en-US"/>
    </w:rPr>
  </w:style>
  <w:style w:type="paragraph" w:styleId="ListBullet">
    <w:name w:val="List Bullet"/>
    <w:basedOn w:val="Normal"/>
    <w:autoRedefine/>
    <w:rsid w:val="00267EA5"/>
    <w:pPr>
      <w:numPr>
        <w:numId w:val="11"/>
      </w:numPr>
      <w:tabs>
        <w:tab w:val="clear" w:pos="2268"/>
        <w:tab w:val="num" w:pos="567"/>
      </w:tabs>
      <w:spacing w:line="252" w:lineRule="auto"/>
      <w:ind w:left="567"/>
    </w:pPr>
    <w:rPr>
      <w:rFonts w:ascii="Cambria" w:eastAsia="Times New Roman" w:hAnsi="Cambria" w:cs="Times New Roman"/>
      <w:sz w:val="24"/>
      <w:szCs w:val="24"/>
      <w:lang w:eastAsia="lv-LV" w:bidi="en-US"/>
    </w:rPr>
  </w:style>
  <w:style w:type="character" w:styleId="Emphasis">
    <w:name w:val="Emphasis"/>
    <w:qFormat/>
    <w:rsid w:val="004F315F"/>
    <w:rPr>
      <w:i/>
      <w:iCs/>
    </w:rPr>
  </w:style>
  <w:style w:type="paragraph" w:customStyle="1" w:styleId="naiskr">
    <w:name w:val="naiskr"/>
    <w:basedOn w:val="Normal"/>
    <w:rsid w:val="008E782D"/>
    <w:pPr>
      <w:spacing w:before="75" w:after="75" w:line="240" w:lineRule="auto"/>
    </w:pPr>
    <w:rPr>
      <w:rFonts w:eastAsia="Times New Roman" w:cs="Times New Roman"/>
      <w:sz w:val="24"/>
      <w:szCs w:val="24"/>
      <w:lang w:eastAsia="lv-LV"/>
    </w:rPr>
  </w:style>
  <w:style w:type="paragraph" w:styleId="Title">
    <w:name w:val="Title"/>
    <w:basedOn w:val="Normal"/>
    <w:link w:val="TitleChar"/>
    <w:uiPriority w:val="99"/>
    <w:qFormat/>
    <w:rsid w:val="00D64776"/>
    <w:pPr>
      <w:spacing w:before="240" w:after="60" w:line="240" w:lineRule="auto"/>
      <w:jc w:val="center"/>
      <w:outlineLvl w:val="0"/>
    </w:pPr>
    <w:rPr>
      <w:rFonts w:ascii="Arial" w:eastAsia="Calibri" w:hAnsi="Arial" w:cs="Times New Roman"/>
      <w:b/>
      <w:kern w:val="28"/>
      <w:sz w:val="32"/>
      <w:szCs w:val="20"/>
    </w:rPr>
  </w:style>
  <w:style w:type="character" w:customStyle="1" w:styleId="TitleChar">
    <w:name w:val="Title Char"/>
    <w:basedOn w:val="DefaultParagraphFont"/>
    <w:link w:val="Title"/>
    <w:uiPriority w:val="99"/>
    <w:rsid w:val="00D64776"/>
    <w:rPr>
      <w:rFonts w:ascii="Arial" w:eastAsia="Calibri" w:hAnsi="Arial" w:cs="Times New Roman"/>
      <w:b/>
      <w:kern w:val="28"/>
      <w:sz w:val="32"/>
      <w:szCs w:val="20"/>
    </w:rPr>
  </w:style>
  <w:style w:type="paragraph" w:customStyle="1" w:styleId="Default">
    <w:name w:val="Default"/>
    <w:link w:val="DefaultChar"/>
    <w:rsid w:val="009E3BD9"/>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39"/>
    <w:rsid w:val="009E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FE6757"/>
    <w:pPr>
      <w:suppressAutoHyphens/>
      <w:autoSpaceDN w:val="0"/>
      <w:spacing w:after="0" w:line="360" w:lineRule="auto"/>
      <w:ind w:firstLine="300"/>
      <w:textAlignment w:val="baseline"/>
    </w:pPr>
    <w:rPr>
      <w:rFonts w:eastAsia="Times New Roman" w:cs="Times New Roman"/>
      <w:color w:val="414142"/>
      <w:sz w:val="20"/>
      <w:szCs w:val="20"/>
      <w:lang w:eastAsia="lv-LV"/>
    </w:rPr>
  </w:style>
  <w:style w:type="character" w:styleId="CommentReference">
    <w:name w:val="annotation reference"/>
    <w:uiPriority w:val="99"/>
    <w:unhideWhenUsed/>
    <w:rsid w:val="00C10713"/>
    <w:rPr>
      <w:sz w:val="16"/>
      <w:szCs w:val="16"/>
    </w:rPr>
  </w:style>
  <w:style w:type="paragraph" w:styleId="CommentText">
    <w:name w:val="annotation text"/>
    <w:basedOn w:val="Normal"/>
    <w:link w:val="CommentTextChar"/>
    <w:uiPriority w:val="99"/>
    <w:semiHidden/>
    <w:unhideWhenUsed/>
    <w:rsid w:val="00C10713"/>
    <w:pPr>
      <w:spacing w:after="0" w:line="240"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C10713"/>
    <w:rPr>
      <w:rFonts w:eastAsia="Calibri" w:cs="Times New Roman"/>
      <w:sz w:val="20"/>
      <w:szCs w:val="20"/>
    </w:rPr>
  </w:style>
  <w:style w:type="paragraph" w:customStyle="1" w:styleId="CM1">
    <w:name w:val="CM1"/>
    <w:basedOn w:val="Default"/>
    <w:next w:val="Default"/>
    <w:uiPriority w:val="99"/>
    <w:rsid w:val="0079618A"/>
    <w:rPr>
      <w:rFonts w:ascii="EUAlbertina" w:hAnsi="EUAlbertina" w:cstheme="minorBidi"/>
      <w:color w:val="auto"/>
    </w:rPr>
  </w:style>
  <w:style w:type="paragraph" w:customStyle="1" w:styleId="CM3">
    <w:name w:val="CM3"/>
    <w:basedOn w:val="Default"/>
    <w:next w:val="Default"/>
    <w:uiPriority w:val="99"/>
    <w:rsid w:val="0079618A"/>
    <w:rPr>
      <w:rFonts w:ascii="EUAlbertina" w:hAnsi="EUAlbertina" w:cstheme="minorBidi"/>
      <w:color w:val="auto"/>
    </w:rPr>
  </w:style>
  <w:style w:type="paragraph" w:styleId="Header">
    <w:name w:val="header"/>
    <w:basedOn w:val="Normal"/>
    <w:link w:val="HeaderChar"/>
    <w:uiPriority w:val="99"/>
    <w:unhideWhenUsed/>
    <w:rsid w:val="00966C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6CC9"/>
  </w:style>
  <w:style w:type="paragraph" w:styleId="Footer">
    <w:name w:val="footer"/>
    <w:basedOn w:val="Normal"/>
    <w:link w:val="FooterChar"/>
    <w:uiPriority w:val="99"/>
    <w:unhideWhenUsed/>
    <w:rsid w:val="00966C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6CC9"/>
  </w:style>
  <w:style w:type="paragraph" w:customStyle="1" w:styleId="StyleRight">
    <w:name w:val="Style Right"/>
    <w:basedOn w:val="Normal"/>
    <w:uiPriority w:val="99"/>
    <w:rsid w:val="00566E07"/>
    <w:pPr>
      <w:spacing w:after="120" w:line="240" w:lineRule="auto"/>
      <w:ind w:firstLine="720"/>
      <w:jc w:val="right"/>
    </w:pPr>
    <w:rPr>
      <w:rFonts w:cs="Times New Roman"/>
      <w:szCs w:val="28"/>
    </w:rPr>
  </w:style>
  <w:style w:type="character" w:customStyle="1" w:styleId="field-content">
    <w:name w:val="field-content"/>
    <w:basedOn w:val="DefaultParagraphFont"/>
    <w:rsid w:val="008C0EC2"/>
  </w:style>
  <w:style w:type="character" w:customStyle="1" w:styleId="apple-converted-space">
    <w:name w:val="apple-converted-space"/>
    <w:basedOn w:val="DefaultParagraphFont"/>
    <w:rsid w:val="008C0EC2"/>
  </w:style>
  <w:style w:type="character" w:styleId="PlaceholderText">
    <w:name w:val="Placeholder Text"/>
    <w:basedOn w:val="DefaultParagraphFont"/>
    <w:uiPriority w:val="99"/>
    <w:semiHidden/>
    <w:rsid w:val="001B5758"/>
    <w:rPr>
      <w:color w:val="808080"/>
    </w:rPr>
  </w:style>
  <w:style w:type="paragraph" w:customStyle="1" w:styleId="BodyTEXT0">
    <w:name w:val="BodyTEXT"/>
    <w:basedOn w:val="Normal"/>
    <w:autoRedefine/>
    <w:qFormat/>
    <w:rsid w:val="001A12A4"/>
    <w:pPr>
      <w:spacing w:after="0" w:line="240" w:lineRule="auto"/>
      <w:jc w:val="both"/>
    </w:pPr>
    <w:rPr>
      <w:rFonts w:cs="Times New Roman"/>
      <w:szCs w:val="28"/>
      <w:lang w:bidi="en-US"/>
    </w:rPr>
  </w:style>
  <w:style w:type="paragraph" w:customStyle="1" w:styleId="tv213">
    <w:name w:val="tv213"/>
    <w:basedOn w:val="Normal"/>
    <w:rsid w:val="00A23DC4"/>
    <w:pPr>
      <w:spacing w:before="100" w:beforeAutospacing="1" w:after="100" w:afterAutospacing="1" w:line="240" w:lineRule="auto"/>
    </w:pPr>
    <w:rPr>
      <w:rFonts w:eastAsia="Times New Roman" w:cs="Times New Roman"/>
      <w:sz w:val="24"/>
      <w:szCs w:val="24"/>
      <w:lang w:eastAsia="lv-LV"/>
    </w:rPr>
  </w:style>
  <w:style w:type="character" w:styleId="FollowedHyperlink">
    <w:name w:val="FollowedHyperlink"/>
    <w:basedOn w:val="DefaultParagraphFont"/>
    <w:uiPriority w:val="99"/>
    <w:semiHidden/>
    <w:unhideWhenUsed/>
    <w:rsid w:val="00FD4273"/>
    <w:rPr>
      <w:color w:val="800080" w:themeColor="followedHyperlink"/>
      <w:u w:val="single"/>
    </w:rPr>
  </w:style>
  <w:style w:type="paragraph" w:customStyle="1" w:styleId="Tabletext">
    <w:name w:val="Table text"/>
    <w:basedOn w:val="Normal"/>
    <w:rsid w:val="00B3065A"/>
    <w:pPr>
      <w:spacing w:before="40" w:after="40" w:line="288" w:lineRule="auto"/>
      <w:jc w:val="both"/>
    </w:pPr>
    <w:rPr>
      <w:rFonts w:ascii="Arial" w:hAnsi="Arial" w:cs="Arial"/>
      <w:sz w:val="18"/>
      <w:szCs w:val="18"/>
      <w:lang w:eastAsia="de-DE"/>
    </w:rPr>
  </w:style>
  <w:style w:type="paragraph" w:styleId="BodyTextIndent2">
    <w:name w:val="Body Text Indent 2"/>
    <w:basedOn w:val="Normal"/>
    <w:link w:val="BodyTextIndent2Char"/>
    <w:uiPriority w:val="99"/>
    <w:semiHidden/>
    <w:unhideWhenUsed/>
    <w:rsid w:val="002B428D"/>
    <w:pPr>
      <w:spacing w:after="120" w:line="480" w:lineRule="auto"/>
      <w:ind w:left="283"/>
    </w:pPr>
  </w:style>
  <w:style w:type="character" w:customStyle="1" w:styleId="BodyTextIndent2Char">
    <w:name w:val="Body Text Indent 2 Char"/>
    <w:basedOn w:val="DefaultParagraphFont"/>
    <w:link w:val="BodyTextIndent2"/>
    <w:uiPriority w:val="99"/>
    <w:semiHidden/>
    <w:rsid w:val="002B428D"/>
  </w:style>
  <w:style w:type="paragraph" w:styleId="Subtitle">
    <w:name w:val="Subtitle"/>
    <w:basedOn w:val="Normal"/>
    <w:next w:val="BodyText"/>
    <w:link w:val="SubtitleChar"/>
    <w:qFormat/>
    <w:rsid w:val="002B428D"/>
    <w:pPr>
      <w:suppressAutoHyphens/>
      <w:spacing w:after="0" w:line="240" w:lineRule="auto"/>
      <w:ind w:firstLine="720"/>
      <w:jc w:val="center"/>
    </w:pPr>
    <w:rPr>
      <w:rFonts w:ascii="Cambria" w:eastAsia="Nimbus Sans L" w:hAnsi="Cambria" w:cs="font188"/>
      <w:i/>
      <w:iCs/>
      <w:color w:val="4F81BD"/>
      <w:spacing w:val="15"/>
      <w:kern w:val="1"/>
      <w:sz w:val="24"/>
      <w:szCs w:val="24"/>
      <w:lang w:val="en-US" w:eastAsia="hi-IN" w:bidi="hi-IN"/>
    </w:rPr>
  </w:style>
  <w:style w:type="character" w:customStyle="1" w:styleId="SubtitleChar">
    <w:name w:val="Subtitle Char"/>
    <w:basedOn w:val="DefaultParagraphFont"/>
    <w:link w:val="Subtitle"/>
    <w:rsid w:val="002B428D"/>
    <w:rPr>
      <w:rFonts w:ascii="Cambria" w:eastAsia="Nimbus Sans L" w:hAnsi="Cambria" w:cs="font188"/>
      <w:i/>
      <w:iCs/>
      <w:color w:val="4F81BD"/>
      <w:spacing w:val="15"/>
      <w:kern w:val="1"/>
      <w:sz w:val="24"/>
      <w:szCs w:val="24"/>
      <w:lang w:val="en-US" w:eastAsia="hi-IN" w:bidi="hi-IN"/>
    </w:rPr>
  </w:style>
  <w:style w:type="paragraph" w:customStyle="1" w:styleId="naisf">
    <w:name w:val="naisf"/>
    <w:basedOn w:val="Normal"/>
    <w:rsid w:val="002B428D"/>
    <w:pPr>
      <w:suppressAutoHyphens/>
      <w:spacing w:before="75" w:after="75" w:line="100" w:lineRule="atLeast"/>
      <w:ind w:firstLine="375"/>
      <w:jc w:val="both"/>
    </w:pPr>
    <w:rPr>
      <w:rFonts w:eastAsia="Times New Roman" w:cs="Times New Roman"/>
      <w:kern w:val="1"/>
      <w:sz w:val="24"/>
      <w:szCs w:val="24"/>
      <w:lang w:val="en-US" w:eastAsia="hi-IN" w:bidi="hi-IN"/>
    </w:rPr>
  </w:style>
  <w:style w:type="paragraph" w:customStyle="1" w:styleId="tv20787921">
    <w:name w:val="tv207_87_921"/>
    <w:basedOn w:val="Normal"/>
    <w:rsid w:val="00D46DC1"/>
    <w:pPr>
      <w:spacing w:after="567" w:line="360" w:lineRule="auto"/>
      <w:jc w:val="center"/>
    </w:pPr>
    <w:rPr>
      <w:rFonts w:ascii="Verdana" w:eastAsia="Times New Roman" w:hAnsi="Verdana" w:cs="Times New Roman"/>
      <w:b/>
      <w:bCs/>
      <w:szCs w:val="28"/>
      <w:lang w:eastAsia="lv-LV"/>
    </w:rPr>
  </w:style>
  <w:style w:type="character" w:customStyle="1" w:styleId="c1">
    <w:name w:val="c1"/>
    <w:rsid w:val="00D46DC1"/>
    <w:rPr>
      <w:color w:val="FF0000"/>
    </w:rPr>
  </w:style>
  <w:style w:type="paragraph" w:customStyle="1" w:styleId="doc-ti">
    <w:name w:val="doc-ti"/>
    <w:basedOn w:val="Normal"/>
    <w:rsid w:val="00C31A62"/>
    <w:pPr>
      <w:spacing w:before="100" w:beforeAutospacing="1" w:after="100" w:afterAutospacing="1" w:line="240" w:lineRule="auto"/>
    </w:pPr>
    <w:rPr>
      <w:rFonts w:eastAsia="Times New Roman" w:cs="Times New Roman"/>
      <w:sz w:val="24"/>
      <w:szCs w:val="24"/>
      <w:lang w:eastAsia="lv-LV"/>
    </w:rPr>
  </w:style>
  <w:style w:type="character" w:customStyle="1" w:styleId="DefaultChar">
    <w:name w:val="Default Char"/>
    <w:link w:val="Default"/>
    <w:rsid w:val="003051EC"/>
    <w:rPr>
      <w:rFonts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33280D"/>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33280D"/>
    <w:rPr>
      <w:rFonts w:eastAsia="Calibri" w:cs="Times New Roman"/>
      <w:b/>
      <w:bCs/>
      <w:sz w:val="20"/>
      <w:szCs w:val="20"/>
    </w:rPr>
  </w:style>
  <w:style w:type="paragraph" w:customStyle="1" w:styleId="FootnoteRefernece">
    <w:name w:val="Footnote Refernece"/>
    <w:aliases w:val="ftref,Odwołanie przypisu,Footnotes refss,Ref,de nota al pie,E,E FNZ"/>
    <w:basedOn w:val="Normal"/>
    <w:next w:val="Normal"/>
    <w:link w:val="FootnoteReference"/>
    <w:uiPriority w:val="99"/>
    <w:rsid w:val="00C54852"/>
    <w:pPr>
      <w:spacing w:after="160" w:line="240" w:lineRule="exact"/>
      <w:jc w:val="both"/>
    </w:pPr>
    <w:rPr>
      <w:vertAlign w:val="superscript"/>
    </w:rPr>
  </w:style>
  <w:style w:type="character" w:customStyle="1" w:styleId="Heading4Char">
    <w:name w:val="Heading 4 Char"/>
    <w:basedOn w:val="DefaultParagraphFont"/>
    <w:link w:val="Heading4"/>
    <w:uiPriority w:val="9"/>
    <w:rsid w:val="00CC494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518">
      <w:bodyDiv w:val="1"/>
      <w:marLeft w:val="0"/>
      <w:marRight w:val="0"/>
      <w:marTop w:val="0"/>
      <w:marBottom w:val="0"/>
      <w:divBdr>
        <w:top w:val="none" w:sz="0" w:space="0" w:color="auto"/>
        <w:left w:val="none" w:sz="0" w:space="0" w:color="auto"/>
        <w:bottom w:val="none" w:sz="0" w:space="0" w:color="auto"/>
        <w:right w:val="none" w:sz="0" w:space="0" w:color="auto"/>
      </w:divBdr>
    </w:div>
    <w:div w:id="126776133">
      <w:bodyDiv w:val="1"/>
      <w:marLeft w:val="0"/>
      <w:marRight w:val="0"/>
      <w:marTop w:val="0"/>
      <w:marBottom w:val="0"/>
      <w:divBdr>
        <w:top w:val="none" w:sz="0" w:space="0" w:color="auto"/>
        <w:left w:val="none" w:sz="0" w:space="0" w:color="auto"/>
        <w:bottom w:val="none" w:sz="0" w:space="0" w:color="auto"/>
        <w:right w:val="none" w:sz="0" w:space="0" w:color="auto"/>
      </w:divBdr>
    </w:div>
    <w:div w:id="289015225">
      <w:bodyDiv w:val="1"/>
      <w:marLeft w:val="0"/>
      <w:marRight w:val="0"/>
      <w:marTop w:val="0"/>
      <w:marBottom w:val="0"/>
      <w:divBdr>
        <w:top w:val="none" w:sz="0" w:space="0" w:color="auto"/>
        <w:left w:val="none" w:sz="0" w:space="0" w:color="auto"/>
        <w:bottom w:val="none" w:sz="0" w:space="0" w:color="auto"/>
        <w:right w:val="none" w:sz="0" w:space="0" w:color="auto"/>
      </w:divBdr>
    </w:div>
    <w:div w:id="336230985">
      <w:bodyDiv w:val="1"/>
      <w:marLeft w:val="0"/>
      <w:marRight w:val="0"/>
      <w:marTop w:val="0"/>
      <w:marBottom w:val="0"/>
      <w:divBdr>
        <w:top w:val="none" w:sz="0" w:space="0" w:color="auto"/>
        <w:left w:val="none" w:sz="0" w:space="0" w:color="auto"/>
        <w:bottom w:val="none" w:sz="0" w:space="0" w:color="auto"/>
        <w:right w:val="none" w:sz="0" w:space="0" w:color="auto"/>
      </w:divBdr>
    </w:div>
    <w:div w:id="379015939">
      <w:bodyDiv w:val="1"/>
      <w:marLeft w:val="0"/>
      <w:marRight w:val="0"/>
      <w:marTop w:val="0"/>
      <w:marBottom w:val="0"/>
      <w:divBdr>
        <w:top w:val="none" w:sz="0" w:space="0" w:color="auto"/>
        <w:left w:val="none" w:sz="0" w:space="0" w:color="auto"/>
        <w:bottom w:val="none" w:sz="0" w:space="0" w:color="auto"/>
        <w:right w:val="none" w:sz="0" w:space="0" w:color="auto"/>
      </w:divBdr>
    </w:div>
    <w:div w:id="412704452">
      <w:bodyDiv w:val="1"/>
      <w:marLeft w:val="0"/>
      <w:marRight w:val="0"/>
      <w:marTop w:val="0"/>
      <w:marBottom w:val="0"/>
      <w:divBdr>
        <w:top w:val="none" w:sz="0" w:space="0" w:color="auto"/>
        <w:left w:val="none" w:sz="0" w:space="0" w:color="auto"/>
        <w:bottom w:val="none" w:sz="0" w:space="0" w:color="auto"/>
        <w:right w:val="none" w:sz="0" w:space="0" w:color="auto"/>
      </w:divBdr>
    </w:div>
    <w:div w:id="463625202">
      <w:bodyDiv w:val="1"/>
      <w:marLeft w:val="0"/>
      <w:marRight w:val="0"/>
      <w:marTop w:val="0"/>
      <w:marBottom w:val="0"/>
      <w:divBdr>
        <w:top w:val="none" w:sz="0" w:space="0" w:color="auto"/>
        <w:left w:val="none" w:sz="0" w:space="0" w:color="auto"/>
        <w:bottom w:val="none" w:sz="0" w:space="0" w:color="auto"/>
        <w:right w:val="none" w:sz="0" w:space="0" w:color="auto"/>
      </w:divBdr>
    </w:div>
    <w:div w:id="506410323">
      <w:bodyDiv w:val="1"/>
      <w:marLeft w:val="0"/>
      <w:marRight w:val="0"/>
      <w:marTop w:val="0"/>
      <w:marBottom w:val="0"/>
      <w:divBdr>
        <w:top w:val="none" w:sz="0" w:space="0" w:color="auto"/>
        <w:left w:val="none" w:sz="0" w:space="0" w:color="auto"/>
        <w:bottom w:val="none" w:sz="0" w:space="0" w:color="auto"/>
        <w:right w:val="none" w:sz="0" w:space="0" w:color="auto"/>
      </w:divBdr>
    </w:div>
    <w:div w:id="614023571">
      <w:bodyDiv w:val="1"/>
      <w:marLeft w:val="0"/>
      <w:marRight w:val="0"/>
      <w:marTop w:val="0"/>
      <w:marBottom w:val="0"/>
      <w:divBdr>
        <w:top w:val="none" w:sz="0" w:space="0" w:color="auto"/>
        <w:left w:val="none" w:sz="0" w:space="0" w:color="auto"/>
        <w:bottom w:val="none" w:sz="0" w:space="0" w:color="auto"/>
        <w:right w:val="none" w:sz="0" w:space="0" w:color="auto"/>
      </w:divBdr>
    </w:div>
    <w:div w:id="679553303">
      <w:bodyDiv w:val="1"/>
      <w:marLeft w:val="0"/>
      <w:marRight w:val="0"/>
      <w:marTop w:val="0"/>
      <w:marBottom w:val="0"/>
      <w:divBdr>
        <w:top w:val="none" w:sz="0" w:space="0" w:color="auto"/>
        <w:left w:val="none" w:sz="0" w:space="0" w:color="auto"/>
        <w:bottom w:val="none" w:sz="0" w:space="0" w:color="auto"/>
        <w:right w:val="none" w:sz="0" w:space="0" w:color="auto"/>
      </w:divBdr>
    </w:div>
    <w:div w:id="705720044">
      <w:bodyDiv w:val="1"/>
      <w:marLeft w:val="0"/>
      <w:marRight w:val="0"/>
      <w:marTop w:val="0"/>
      <w:marBottom w:val="0"/>
      <w:divBdr>
        <w:top w:val="none" w:sz="0" w:space="0" w:color="auto"/>
        <w:left w:val="none" w:sz="0" w:space="0" w:color="auto"/>
        <w:bottom w:val="none" w:sz="0" w:space="0" w:color="auto"/>
        <w:right w:val="none" w:sz="0" w:space="0" w:color="auto"/>
      </w:divBdr>
    </w:div>
    <w:div w:id="761413363">
      <w:bodyDiv w:val="1"/>
      <w:marLeft w:val="0"/>
      <w:marRight w:val="0"/>
      <w:marTop w:val="0"/>
      <w:marBottom w:val="0"/>
      <w:divBdr>
        <w:top w:val="none" w:sz="0" w:space="0" w:color="auto"/>
        <w:left w:val="none" w:sz="0" w:space="0" w:color="auto"/>
        <w:bottom w:val="none" w:sz="0" w:space="0" w:color="auto"/>
        <w:right w:val="none" w:sz="0" w:space="0" w:color="auto"/>
      </w:divBdr>
      <w:divsChild>
        <w:div w:id="673916158">
          <w:marLeft w:val="0"/>
          <w:marRight w:val="0"/>
          <w:marTop w:val="0"/>
          <w:marBottom w:val="0"/>
          <w:divBdr>
            <w:top w:val="none" w:sz="0" w:space="0" w:color="auto"/>
            <w:left w:val="none" w:sz="0" w:space="0" w:color="auto"/>
            <w:bottom w:val="none" w:sz="0" w:space="0" w:color="auto"/>
            <w:right w:val="none" w:sz="0" w:space="0" w:color="auto"/>
          </w:divBdr>
          <w:divsChild>
            <w:div w:id="906375709">
              <w:marLeft w:val="0"/>
              <w:marRight w:val="0"/>
              <w:marTop w:val="0"/>
              <w:marBottom w:val="0"/>
              <w:divBdr>
                <w:top w:val="none" w:sz="0" w:space="0" w:color="auto"/>
                <w:left w:val="none" w:sz="0" w:space="0" w:color="auto"/>
                <w:bottom w:val="none" w:sz="0" w:space="0" w:color="auto"/>
                <w:right w:val="none" w:sz="0" w:space="0" w:color="auto"/>
              </w:divBdr>
              <w:divsChild>
                <w:div w:id="890118711">
                  <w:marLeft w:val="0"/>
                  <w:marRight w:val="0"/>
                  <w:marTop w:val="0"/>
                  <w:marBottom w:val="0"/>
                  <w:divBdr>
                    <w:top w:val="none" w:sz="0" w:space="0" w:color="auto"/>
                    <w:left w:val="none" w:sz="0" w:space="0" w:color="auto"/>
                    <w:bottom w:val="none" w:sz="0" w:space="0" w:color="auto"/>
                    <w:right w:val="none" w:sz="0" w:space="0" w:color="auto"/>
                  </w:divBdr>
                  <w:divsChild>
                    <w:div w:id="10945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885379">
      <w:bodyDiv w:val="1"/>
      <w:marLeft w:val="0"/>
      <w:marRight w:val="0"/>
      <w:marTop w:val="0"/>
      <w:marBottom w:val="0"/>
      <w:divBdr>
        <w:top w:val="none" w:sz="0" w:space="0" w:color="auto"/>
        <w:left w:val="none" w:sz="0" w:space="0" w:color="auto"/>
        <w:bottom w:val="none" w:sz="0" w:space="0" w:color="auto"/>
        <w:right w:val="none" w:sz="0" w:space="0" w:color="auto"/>
      </w:divBdr>
    </w:div>
    <w:div w:id="818420057">
      <w:bodyDiv w:val="1"/>
      <w:marLeft w:val="0"/>
      <w:marRight w:val="0"/>
      <w:marTop w:val="0"/>
      <w:marBottom w:val="0"/>
      <w:divBdr>
        <w:top w:val="none" w:sz="0" w:space="0" w:color="auto"/>
        <w:left w:val="none" w:sz="0" w:space="0" w:color="auto"/>
        <w:bottom w:val="none" w:sz="0" w:space="0" w:color="auto"/>
        <w:right w:val="none" w:sz="0" w:space="0" w:color="auto"/>
      </w:divBdr>
    </w:div>
    <w:div w:id="873617071">
      <w:bodyDiv w:val="1"/>
      <w:marLeft w:val="0"/>
      <w:marRight w:val="0"/>
      <w:marTop w:val="0"/>
      <w:marBottom w:val="0"/>
      <w:divBdr>
        <w:top w:val="none" w:sz="0" w:space="0" w:color="auto"/>
        <w:left w:val="none" w:sz="0" w:space="0" w:color="auto"/>
        <w:bottom w:val="none" w:sz="0" w:space="0" w:color="auto"/>
        <w:right w:val="none" w:sz="0" w:space="0" w:color="auto"/>
      </w:divBdr>
    </w:div>
    <w:div w:id="1078866521">
      <w:bodyDiv w:val="1"/>
      <w:marLeft w:val="0"/>
      <w:marRight w:val="0"/>
      <w:marTop w:val="0"/>
      <w:marBottom w:val="0"/>
      <w:divBdr>
        <w:top w:val="none" w:sz="0" w:space="0" w:color="auto"/>
        <w:left w:val="none" w:sz="0" w:space="0" w:color="auto"/>
        <w:bottom w:val="none" w:sz="0" w:space="0" w:color="auto"/>
        <w:right w:val="none" w:sz="0" w:space="0" w:color="auto"/>
      </w:divBdr>
      <w:divsChild>
        <w:div w:id="1401176274">
          <w:marLeft w:val="0"/>
          <w:marRight w:val="0"/>
          <w:marTop w:val="480"/>
          <w:marBottom w:val="240"/>
          <w:divBdr>
            <w:top w:val="none" w:sz="0" w:space="0" w:color="auto"/>
            <w:left w:val="none" w:sz="0" w:space="0" w:color="auto"/>
            <w:bottom w:val="none" w:sz="0" w:space="0" w:color="auto"/>
            <w:right w:val="none" w:sz="0" w:space="0" w:color="auto"/>
          </w:divBdr>
        </w:div>
        <w:div w:id="1521704695">
          <w:marLeft w:val="0"/>
          <w:marRight w:val="0"/>
          <w:marTop w:val="0"/>
          <w:marBottom w:val="567"/>
          <w:divBdr>
            <w:top w:val="none" w:sz="0" w:space="0" w:color="auto"/>
            <w:left w:val="none" w:sz="0" w:space="0" w:color="auto"/>
            <w:bottom w:val="none" w:sz="0" w:space="0" w:color="auto"/>
            <w:right w:val="none" w:sz="0" w:space="0" w:color="auto"/>
          </w:divBdr>
        </w:div>
      </w:divsChild>
    </w:div>
    <w:div w:id="1345012212">
      <w:bodyDiv w:val="1"/>
      <w:marLeft w:val="0"/>
      <w:marRight w:val="0"/>
      <w:marTop w:val="0"/>
      <w:marBottom w:val="0"/>
      <w:divBdr>
        <w:top w:val="none" w:sz="0" w:space="0" w:color="auto"/>
        <w:left w:val="none" w:sz="0" w:space="0" w:color="auto"/>
        <w:bottom w:val="none" w:sz="0" w:space="0" w:color="auto"/>
        <w:right w:val="none" w:sz="0" w:space="0" w:color="auto"/>
      </w:divBdr>
    </w:div>
    <w:div w:id="1397318954">
      <w:bodyDiv w:val="1"/>
      <w:marLeft w:val="0"/>
      <w:marRight w:val="0"/>
      <w:marTop w:val="0"/>
      <w:marBottom w:val="0"/>
      <w:divBdr>
        <w:top w:val="none" w:sz="0" w:space="0" w:color="auto"/>
        <w:left w:val="none" w:sz="0" w:space="0" w:color="auto"/>
        <w:bottom w:val="none" w:sz="0" w:space="0" w:color="auto"/>
        <w:right w:val="none" w:sz="0" w:space="0" w:color="auto"/>
      </w:divBdr>
    </w:div>
    <w:div w:id="1502237492">
      <w:bodyDiv w:val="1"/>
      <w:marLeft w:val="0"/>
      <w:marRight w:val="0"/>
      <w:marTop w:val="0"/>
      <w:marBottom w:val="0"/>
      <w:divBdr>
        <w:top w:val="none" w:sz="0" w:space="0" w:color="auto"/>
        <w:left w:val="none" w:sz="0" w:space="0" w:color="auto"/>
        <w:bottom w:val="none" w:sz="0" w:space="0" w:color="auto"/>
        <w:right w:val="none" w:sz="0" w:space="0" w:color="auto"/>
      </w:divBdr>
    </w:div>
    <w:div w:id="1502551138">
      <w:bodyDiv w:val="1"/>
      <w:marLeft w:val="0"/>
      <w:marRight w:val="0"/>
      <w:marTop w:val="0"/>
      <w:marBottom w:val="0"/>
      <w:divBdr>
        <w:top w:val="none" w:sz="0" w:space="0" w:color="auto"/>
        <w:left w:val="none" w:sz="0" w:space="0" w:color="auto"/>
        <w:bottom w:val="none" w:sz="0" w:space="0" w:color="auto"/>
        <w:right w:val="none" w:sz="0" w:space="0" w:color="auto"/>
      </w:divBdr>
      <w:divsChild>
        <w:div w:id="1142621877">
          <w:marLeft w:val="0"/>
          <w:marRight w:val="0"/>
          <w:marTop w:val="0"/>
          <w:marBottom w:val="0"/>
          <w:divBdr>
            <w:top w:val="none" w:sz="0" w:space="0" w:color="auto"/>
            <w:left w:val="none" w:sz="0" w:space="0" w:color="auto"/>
            <w:bottom w:val="none" w:sz="0" w:space="0" w:color="auto"/>
            <w:right w:val="none" w:sz="0" w:space="0" w:color="auto"/>
          </w:divBdr>
          <w:divsChild>
            <w:div w:id="1372992811">
              <w:marLeft w:val="0"/>
              <w:marRight w:val="0"/>
              <w:marTop w:val="0"/>
              <w:marBottom w:val="0"/>
              <w:divBdr>
                <w:top w:val="none" w:sz="0" w:space="0" w:color="auto"/>
                <w:left w:val="none" w:sz="0" w:space="0" w:color="auto"/>
                <w:bottom w:val="none" w:sz="0" w:space="0" w:color="auto"/>
                <w:right w:val="none" w:sz="0" w:space="0" w:color="auto"/>
              </w:divBdr>
              <w:divsChild>
                <w:div w:id="12926188">
                  <w:marLeft w:val="0"/>
                  <w:marRight w:val="0"/>
                  <w:marTop w:val="0"/>
                  <w:marBottom w:val="0"/>
                  <w:divBdr>
                    <w:top w:val="none" w:sz="0" w:space="0" w:color="auto"/>
                    <w:left w:val="none" w:sz="0" w:space="0" w:color="auto"/>
                    <w:bottom w:val="none" w:sz="0" w:space="0" w:color="auto"/>
                    <w:right w:val="none" w:sz="0" w:space="0" w:color="auto"/>
                  </w:divBdr>
                  <w:divsChild>
                    <w:div w:id="375587924">
                      <w:marLeft w:val="0"/>
                      <w:marRight w:val="0"/>
                      <w:marTop w:val="0"/>
                      <w:marBottom w:val="0"/>
                      <w:divBdr>
                        <w:top w:val="none" w:sz="0" w:space="0" w:color="auto"/>
                        <w:left w:val="none" w:sz="0" w:space="0" w:color="auto"/>
                        <w:bottom w:val="none" w:sz="0" w:space="0" w:color="auto"/>
                        <w:right w:val="none" w:sz="0" w:space="0" w:color="auto"/>
                      </w:divBdr>
                      <w:divsChild>
                        <w:div w:id="8251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963635">
      <w:bodyDiv w:val="1"/>
      <w:marLeft w:val="0"/>
      <w:marRight w:val="0"/>
      <w:marTop w:val="0"/>
      <w:marBottom w:val="0"/>
      <w:divBdr>
        <w:top w:val="none" w:sz="0" w:space="0" w:color="auto"/>
        <w:left w:val="none" w:sz="0" w:space="0" w:color="auto"/>
        <w:bottom w:val="none" w:sz="0" w:space="0" w:color="auto"/>
        <w:right w:val="none" w:sz="0" w:space="0" w:color="auto"/>
      </w:divBdr>
    </w:div>
    <w:div w:id="1866403766">
      <w:bodyDiv w:val="1"/>
      <w:marLeft w:val="0"/>
      <w:marRight w:val="0"/>
      <w:marTop w:val="0"/>
      <w:marBottom w:val="0"/>
      <w:divBdr>
        <w:top w:val="none" w:sz="0" w:space="0" w:color="auto"/>
        <w:left w:val="none" w:sz="0" w:space="0" w:color="auto"/>
        <w:bottom w:val="none" w:sz="0" w:space="0" w:color="auto"/>
        <w:right w:val="none" w:sz="0" w:space="0" w:color="auto"/>
      </w:divBdr>
    </w:div>
    <w:div w:id="1883326017">
      <w:bodyDiv w:val="1"/>
      <w:marLeft w:val="0"/>
      <w:marRight w:val="0"/>
      <w:marTop w:val="0"/>
      <w:marBottom w:val="0"/>
      <w:divBdr>
        <w:top w:val="none" w:sz="0" w:space="0" w:color="auto"/>
        <w:left w:val="none" w:sz="0" w:space="0" w:color="auto"/>
        <w:bottom w:val="none" w:sz="0" w:space="0" w:color="auto"/>
        <w:right w:val="none" w:sz="0" w:space="0" w:color="auto"/>
      </w:divBdr>
    </w:div>
    <w:div w:id="1948662113">
      <w:bodyDiv w:val="1"/>
      <w:marLeft w:val="0"/>
      <w:marRight w:val="0"/>
      <w:marTop w:val="0"/>
      <w:marBottom w:val="0"/>
      <w:divBdr>
        <w:top w:val="none" w:sz="0" w:space="0" w:color="auto"/>
        <w:left w:val="none" w:sz="0" w:space="0" w:color="auto"/>
        <w:bottom w:val="none" w:sz="0" w:space="0" w:color="auto"/>
        <w:right w:val="none" w:sz="0" w:space="0" w:color="auto"/>
      </w:divBdr>
    </w:div>
    <w:div w:id="2069568216">
      <w:bodyDiv w:val="1"/>
      <w:marLeft w:val="0"/>
      <w:marRight w:val="0"/>
      <w:marTop w:val="0"/>
      <w:marBottom w:val="0"/>
      <w:divBdr>
        <w:top w:val="none" w:sz="0" w:space="0" w:color="auto"/>
        <w:left w:val="none" w:sz="0" w:space="0" w:color="auto"/>
        <w:bottom w:val="none" w:sz="0" w:space="0" w:color="auto"/>
        <w:right w:val="none" w:sz="0" w:space="0" w:color="auto"/>
      </w:divBdr>
    </w:div>
    <w:div w:id="21048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Inguna.Ozolina@e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knc.lv/lv/prog_aip_virziens.php?id=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knc.lv/lv/prog_aip_virziens.php?id=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Andzela.Petersone@em.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kubirojs.lv/lv/sakums" TargetMode="External"/><Relationship Id="rId3" Type="http://schemas.openxmlformats.org/officeDocument/2006/relationships/hyperlink" Target="http://www.csb.gov.lv/dati/statistikas-datubazes-28270.html" TargetMode="External"/><Relationship Id="rId7" Type="http://schemas.openxmlformats.org/officeDocument/2006/relationships/hyperlink" Target="http://www.em.gov.lv/em/2nd/?cat=30272" TargetMode="External"/><Relationship Id="rId2" Type="http://schemas.openxmlformats.org/officeDocument/2006/relationships/hyperlink" Target="http://eur-lex.europa.eu/LexUriServ/LexUriServ.do?uri=OJ:L:2013:141:0048:0053:LV:PDF" TargetMode="External"/><Relationship Id="rId1" Type="http://schemas.openxmlformats.org/officeDocument/2006/relationships/hyperlink" Target="http://eur-lex.europa.eu/LexUriServ/LexUriServ.do?uri=OJ:L:2013:141:0048:0053:LV:PDF" TargetMode="External"/><Relationship Id="rId6" Type="http://schemas.openxmlformats.org/officeDocument/2006/relationships/hyperlink" Target="https://bis.gov.lv/bisp/lv/expert_certificates" TargetMode="External"/><Relationship Id="rId5" Type="http://schemas.openxmlformats.org/officeDocument/2006/relationships/hyperlink" Target="http://www.meteo.lv/lapas/uznemumi-kuriem-izsniegtas-siltumnicefekta-gazu-emisijas-atlaujas-2-pe?id=1253&amp;nid=575" TargetMode="External"/><Relationship Id="rId10" Type="http://schemas.openxmlformats.org/officeDocument/2006/relationships/hyperlink" Target="http://polsis.mk.gov.lv/documents/4607" TargetMode="External"/><Relationship Id="rId4" Type="http://schemas.openxmlformats.org/officeDocument/2006/relationships/hyperlink" Target="http://www.csb.gov.lv/en/dati/statistics-database-30501.html" TargetMode="External"/><Relationship Id="rId9" Type="http://schemas.openxmlformats.org/officeDocument/2006/relationships/hyperlink" Target="http://www.iub.gov.lv/node/63"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Sheet1!$K$16</c:f>
              <c:strCache>
                <c:ptCount val="1"/>
                <c:pt idx="0">
                  <c:v>Prognozētais primārās enerģijas patēriņš</c:v>
                </c:pt>
              </c:strCache>
            </c:strRef>
          </c:tx>
          <c:spPr>
            <a:ln w="38100" cap="rnd">
              <a:solidFill>
                <a:schemeClr val="accent1"/>
              </a:solidFill>
              <a:round/>
            </a:ln>
            <a:effectLst/>
          </c:spPr>
          <c:marker>
            <c:symbol val="circle"/>
            <c:size val="5"/>
            <c:spPr>
              <a:solidFill>
                <a:schemeClr val="accent3">
                  <a:lumMod val="60000"/>
                  <a:lumOff val="40000"/>
                </a:schemeClr>
              </a:solidFill>
              <a:ln w="19050">
                <a:solidFill>
                  <a:schemeClr val="accent1"/>
                </a:solidFill>
              </a:ln>
              <a:effectLst/>
            </c:spPr>
          </c:marker>
          <c:cat>
            <c:numRef>
              <c:f>Sheet1!$L$15:$T$15</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Sheet1!$L$16:$T$16</c:f>
              <c:numCache>
                <c:formatCode>General</c:formatCode>
                <c:ptCount val="9"/>
                <c:pt idx="0">
                  <c:v>194</c:v>
                </c:pt>
                <c:pt idx="1">
                  <c:v>198</c:v>
                </c:pt>
                <c:pt idx="2">
                  <c:v>201</c:v>
                </c:pt>
                <c:pt idx="3">
                  <c:v>205</c:v>
                </c:pt>
                <c:pt idx="4">
                  <c:v>207</c:v>
                </c:pt>
                <c:pt idx="5">
                  <c:v>212</c:v>
                </c:pt>
                <c:pt idx="6">
                  <c:v>216</c:v>
                </c:pt>
                <c:pt idx="7">
                  <c:v>220</c:v>
                </c:pt>
                <c:pt idx="8">
                  <c:v>225</c:v>
                </c:pt>
              </c:numCache>
            </c:numRef>
          </c:val>
          <c:smooth val="0"/>
          <c:extLst>
            <c:ext xmlns:c16="http://schemas.microsoft.com/office/drawing/2014/chart" uri="{C3380CC4-5D6E-409C-BE32-E72D297353CC}">
              <c16:uniqueId val="{00000000-3373-48FD-81ED-2C057B85884C}"/>
            </c:ext>
          </c:extLst>
        </c:ser>
        <c:ser>
          <c:idx val="1"/>
          <c:order val="1"/>
          <c:tx>
            <c:strRef>
              <c:f>Sheet1!$K$17</c:f>
              <c:strCache>
                <c:ptCount val="1"/>
                <c:pt idx="0">
                  <c:v>Faktiskais primārās enerģijas patēriņš</c:v>
                </c:pt>
              </c:strCache>
            </c:strRef>
          </c:tx>
          <c:spPr>
            <a:ln w="38100" cap="rnd">
              <a:solidFill>
                <a:srgbClr val="00B0F0"/>
              </a:solidFill>
              <a:round/>
            </a:ln>
            <a:effectLst/>
          </c:spPr>
          <c:marker>
            <c:symbol val="circle"/>
            <c:size val="5"/>
            <c:spPr>
              <a:solidFill>
                <a:schemeClr val="bg1">
                  <a:lumMod val="85000"/>
                </a:schemeClr>
              </a:solidFill>
              <a:ln w="19050">
                <a:solidFill>
                  <a:srgbClr val="00B0F0"/>
                </a:solidFill>
              </a:ln>
              <a:effectLst/>
            </c:spPr>
          </c:marker>
          <c:cat>
            <c:numRef>
              <c:f>Sheet1!$L$15:$T$15</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Sheet1!$L$17:$T$17</c:f>
              <c:numCache>
                <c:formatCode>General</c:formatCode>
                <c:ptCount val="9"/>
                <c:pt idx="0">
                  <c:v>191</c:v>
                </c:pt>
                <c:pt idx="1">
                  <c:v>180</c:v>
                </c:pt>
                <c:pt idx="2">
                  <c:v>186</c:v>
                </c:pt>
                <c:pt idx="3">
                  <c:v>185</c:v>
                </c:pt>
              </c:numCache>
            </c:numRef>
          </c:val>
          <c:smooth val="0"/>
          <c:extLst>
            <c:ext xmlns:c16="http://schemas.microsoft.com/office/drawing/2014/chart" uri="{C3380CC4-5D6E-409C-BE32-E72D297353CC}">
              <c16:uniqueId val="{00000001-3373-48FD-81ED-2C057B85884C}"/>
            </c:ext>
          </c:extLst>
        </c:ser>
        <c:ser>
          <c:idx val="2"/>
          <c:order val="2"/>
          <c:tx>
            <c:strRef>
              <c:f>Sheet1!$K$18</c:f>
              <c:strCache>
                <c:ptCount val="1"/>
                <c:pt idx="0">
                  <c:v>Prognozētais enerģijas galapatēriņš</c:v>
                </c:pt>
              </c:strCache>
            </c:strRef>
          </c:tx>
          <c:spPr>
            <a:ln w="38100" cap="rnd">
              <a:solidFill>
                <a:schemeClr val="accent6">
                  <a:lumMod val="75000"/>
                </a:schemeClr>
              </a:solidFill>
              <a:round/>
            </a:ln>
            <a:effectLst/>
          </c:spPr>
          <c:marker>
            <c:symbol val="circle"/>
            <c:size val="5"/>
            <c:spPr>
              <a:solidFill>
                <a:schemeClr val="bg1">
                  <a:lumMod val="85000"/>
                </a:schemeClr>
              </a:solidFill>
              <a:ln w="19050">
                <a:solidFill>
                  <a:schemeClr val="accent6">
                    <a:lumMod val="75000"/>
                  </a:schemeClr>
                </a:solidFill>
              </a:ln>
              <a:effectLst/>
            </c:spPr>
          </c:marker>
          <c:cat>
            <c:numRef>
              <c:f>Sheet1!$L$15:$T$15</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Sheet1!$L$18:$T$18</c:f>
              <c:numCache>
                <c:formatCode>General</c:formatCode>
                <c:ptCount val="9"/>
                <c:pt idx="0">
                  <c:v>158</c:v>
                </c:pt>
                <c:pt idx="1">
                  <c:v>161</c:v>
                </c:pt>
                <c:pt idx="2">
                  <c:v>164</c:v>
                </c:pt>
                <c:pt idx="3">
                  <c:v>167</c:v>
                </c:pt>
                <c:pt idx="4">
                  <c:v>169</c:v>
                </c:pt>
                <c:pt idx="5">
                  <c:v>173</c:v>
                </c:pt>
                <c:pt idx="6">
                  <c:v>176</c:v>
                </c:pt>
                <c:pt idx="7">
                  <c:v>180</c:v>
                </c:pt>
                <c:pt idx="8">
                  <c:v>187</c:v>
                </c:pt>
              </c:numCache>
            </c:numRef>
          </c:val>
          <c:smooth val="0"/>
          <c:extLst>
            <c:ext xmlns:c16="http://schemas.microsoft.com/office/drawing/2014/chart" uri="{C3380CC4-5D6E-409C-BE32-E72D297353CC}">
              <c16:uniqueId val="{00000002-3373-48FD-81ED-2C057B85884C}"/>
            </c:ext>
          </c:extLst>
        </c:ser>
        <c:ser>
          <c:idx val="3"/>
          <c:order val="3"/>
          <c:tx>
            <c:strRef>
              <c:f>Sheet1!$K$19</c:f>
              <c:strCache>
                <c:ptCount val="1"/>
                <c:pt idx="0">
                  <c:v>Faktiskais enerģijas galapatēriņš</c:v>
                </c:pt>
              </c:strCache>
            </c:strRef>
          </c:tx>
          <c:spPr>
            <a:ln w="38100" cap="rnd">
              <a:solidFill>
                <a:srgbClr val="92D050"/>
              </a:solidFill>
              <a:round/>
            </a:ln>
            <a:effectLst/>
          </c:spPr>
          <c:marker>
            <c:symbol val="circle"/>
            <c:size val="5"/>
            <c:spPr>
              <a:solidFill>
                <a:schemeClr val="bg1">
                  <a:lumMod val="85000"/>
                </a:schemeClr>
              </a:solidFill>
              <a:ln w="19050">
                <a:solidFill>
                  <a:srgbClr val="92D050"/>
                </a:solidFill>
              </a:ln>
              <a:effectLst/>
            </c:spPr>
          </c:marker>
          <c:cat>
            <c:numRef>
              <c:f>Sheet1!$L$15:$T$15</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Sheet1!$L$19:$T$19</c:f>
              <c:numCache>
                <c:formatCode>General</c:formatCode>
                <c:ptCount val="9"/>
                <c:pt idx="0">
                  <c:v>173</c:v>
                </c:pt>
                <c:pt idx="1">
                  <c:v>162</c:v>
                </c:pt>
                <c:pt idx="2">
                  <c:v>167</c:v>
                </c:pt>
                <c:pt idx="3">
                  <c:v>164</c:v>
                </c:pt>
              </c:numCache>
            </c:numRef>
          </c:val>
          <c:smooth val="0"/>
          <c:extLst>
            <c:ext xmlns:c16="http://schemas.microsoft.com/office/drawing/2014/chart" uri="{C3380CC4-5D6E-409C-BE32-E72D297353CC}">
              <c16:uniqueId val="{00000003-3373-48FD-81ED-2C057B85884C}"/>
            </c:ext>
          </c:extLst>
        </c:ser>
        <c:dLbls>
          <c:showLegendKey val="0"/>
          <c:showVal val="0"/>
          <c:showCatName val="0"/>
          <c:showSerName val="0"/>
          <c:showPercent val="0"/>
          <c:showBubbleSize val="0"/>
        </c:dLbls>
        <c:marker val="1"/>
        <c:smooth val="0"/>
        <c:axId val="351195720"/>
        <c:axId val="351194408"/>
      </c:lineChart>
      <c:catAx>
        <c:axId val="351195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51194408"/>
        <c:crosses val="autoZero"/>
        <c:auto val="1"/>
        <c:lblAlgn val="ctr"/>
        <c:lblOffset val="100"/>
        <c:noMultiLvlLbl val="0"/>
      </c:catAx>
      <c:valAx>
        <c:axId val="351194408"/>
        <c:scaling>
          <c:orientation val="minMax"/>
          <c:min val="1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PJ</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51195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4089-0669-4301-B8D0-1F8A6D40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10452</Words>
  <Characters>78286</Characters>
  <Application>Microsoft Office Word</Application>
  <DocSecurity>0</DocSecurity>
  <Lines>2699</Lines>
  <Paragraphs>1152</Paragraphs>
  <ScaleCrop>false</ScaleCrop>
  <HeadingPairs>
    <vt:vector size="2" baseType="variant">
      <vt:variant>
        <vt:lpstr>Title</vt:lpstr>
      </vt:variant>
      <vt:variant>
        <vt:i4>1</vt:i4>
      </vt:variant>
    </vt:vector>
  </HeadingPairs>
  <TitlesOfParts>
    <vt:vector size="1" baseType="lpstr">
      <vt:lpstr>Informatīvais ziņojums </vt:lpstr>
    </vt:vector>
  </TitlesOfParts>
  <Company>EM</Company>
  <LinksUpToDate>false</LinksUpToDate>
  <CharactersWithSpaces>87586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dc:title>
  <dc:creator>Inguna Ozoliņa</dc:creator>
  <cp:lastModifiedBy>Andžela Pētersone</cp:lastModifiedBy>
  <cp:revision>15</cp:revision>
  <cp:lastPrinted>2014-02-27T12:04:00Z</cp:lastPrinted>
  <dcterms:created xsi:type="dcterms:W3CDTF">2017-05-26T11:23:00Z</dcterms:created>
  <dcterms:modified xsi:type="dcterms:W3CDTF">2017-06-06T09:57:00Z</dcterms:modified>
</cp:coreProperties>
</file>