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73F9" w14:textId="77777777" w:rsidR="00AC2D12" w:rsidRPr="00465CA3" w:rsidRDefault="00AC2D12" w:rsidP="002431AC">
      <w:pPr>
        <w:pStyle w:val="naisf"/>
        <w:spacing w:before="0" w:after="0"/>
        <w:jc w:val="center"/>
        <w:rPr>
          <w:rFonts w:eastAsia="Calibri"/>
          <w:b/>
          <w:bCs/>
          <w:sz w:val="28"/>
          <w:szCs w:val="28"/>
          <w:lang w:eastAsia="x-none"/>
        </w:rPr>
      </w:pPr>
      <w:bookmarkStart w:id="0" w:name="_GoBack"/>
      <w:bookmarkEnd w:id="0"/>
    </w:p>
    <w:p w14:paraId="44D8DB1E" w14:textId="77777777" w:rsidR="008078B8" w:rsidRPr="00465CA3" w:rsidRDefault="008078B8" w:rsidP="002431AC">
      <w:pPr>
        <w:pStyle w:val="naisf"/>
        <w:spacing w:before="0" w:after="0"/>
        <w:jc w:val="center"/>
        <w:rPr>
          <w:rFonts w:eastAsia="Calibri"/>
          <w:b/>
          <w:bCs/>
          <w:sz w:val="28"/>
          <w:szCs w:val="28"/>
          <w:lang w:eastAsia="x-none"/>
        </w:rPr>
      </w:pPr>
      <w:r w:rsidRPr="00465CA3">
        <w:rPr>
          <w:rFonts w:eastAsia="Calibri"/>
          <w:b/>
          <w:bCs/>
          <w:sz w:val="28"/>
          <w:szCs w:val="28"/>
          <w:lang w:eastAsia="x-none"/>
        </w:rPr>
        <w:t xml:space="preserve">Likumprojekta „Grozījumi likumā „Par </w:t>
      </w:r>
      <w:r w:rsidR="00F35490" w:rsidRPr="00465CA3">
        <w:rPr>
          <w:rFonts w:eastAsia="Calibri"/>
          <w:b/>
          <w:bCs/>
          <w:sz w:val="28"/>
          <w:szCs w:val="28"/>
          <w:lang w:eastAsia="x-none"/>
        </w:rPr>
        <w:t>iedzīvotāju ienākuma nodokli</w:t>
      </w:r>
      <w:r w:rsidRPr="00465CA3">
        <w:rPr>
          <w:rFonts w:eastAsia="Calibri"/>
          <w:b/>
          <w:bCs/>
          <w:sz w:val="28"/>
          <w:szCs w:val="28"/>
          <w:lang w:eastAsia="x-none"/>
        </w:rPr>
        <w:t>”” sākotnējās ietekmes novērtējuma ziņojums (anotācija)</w:t>
      </w:r>
    </w:p>
    <w:p w14:paraId="4E5AE890" w14:textId="77777777" w:rsidR="0092720E" w:rsidRPr="00465CA3" w:rsidRDefault="0092720E" w:rsidP="00D57F73">
      <w:pPr>
        <w:pStyle w:val="naisf"/>
        <w:spacing w:before="0" w:after="0"/>
        <w:ind w:firstLine="374"/>
        <w:jc w:val="cente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465CA3" w14:paraId="4C549611" w14:textId="77777777" w:rsidTr="00F35490">
        <w:trPr>
          <w:trHeight w:val="419"/>
        </w:trPr>
        <w:tc>
          <w:tcPr>
            <w:tcW w:w="5000" w:type="pct"/>
            <w:gridSpan w:val="3"/>
            <w:vAlign w:val="center"/>
          </w:tcPr>
          <w:p w14:paraId="1098ADEA" w14:textId="77777777" w:rsidR="008078B8" w:rsidRPr="00465CA3" w:rsidRDefault="008078B8" w:rsidP="002431AC">
            <w:pPr>
              <w:pStyle w:val="naisnod"/>
              <w:spacing w:before="0" w:after="0"/>
              <w:ind w:left="57" w:right="57"/>
              <w:rPr>
                <w:b w:val="0"/>
                <w:lang w:val="lv-LV"/>
              </w:rPr>
            </w:pPr>
            <w:r w:rsidRPr="00465CA3">
              <w:rPr>
                <w:lang w:val="lv-LV"/>
              </w:rPr>
              <w:t>I. Tiesību akta projekta izstrādes nepieciešamība</w:t>
            </w:r>
          </w:p>
        </w:tc>
      </w:tr>
      <w:tr w:rsidR="008078B8" w:rsidRPr="00465CA3" w14:paraId="32150811" w14:textId="77777777" w:rsidTr="00F35490">
        <w:trPr>
          <w:trHeight w:val="415"/>
        </w:trPr>
        <w:tc>
          <w:tcPr>
            <w:tcW w:w="227" w:type="pct"/>
          </w:tcPr>
          <w:p w14:paraId="640DDC85" w14:textId="77777777" w:rsidR="008078B8" w:rsidRPr="00465CA3" w:rsidRDefault="008078B8" w:rsidP="002431AC">
            <w:pPr>
              <w:pStyle w:val="naiskr"/>
              <w:spacing w:before="0" w:after="0"/>
              <w:ind w:left="57" w:right="57"/>
              <w:jc w:val="center"/>
            </w:pPr>
            <w:r w:rsidRPr="00465CA3">
              <w:t>1.</w:t>
            </w:r>
          </w:p>
        </w:tc>
        <w:tc>
          <w:tcPr>
            <w:tcW w:w="1275" w:type="pct"/>
          </w:tcPr>
          <w:p w14:paraId="02D1CC10" w14:textId="77777777" w:rsidR="008078B8" w:rsidRPr="00465CA3" w:rsidRDefault="008078B8" w:rsidP="002431AC">
            <w:pPr>
              <w:pStyle w:val="naiskr"/>
              <w:spacing w:before="0" w:after="0"/>
              <w:ind w:left="57" w:right="57"/>
              <w:jc w:val="both"/>
            </w:pPr>
            <w:r w:rsidRPr="00465CA3">
              <w:t>Pamatojums</w:t>
            </w:r>
          </w:p>
        </w:tc>
        <w:tc>
          <w:tcPr>
            <w:tcW w:w="3499" w:type="pct"/>
          </w:tcPr>
          <w:p w14:paraId="458E2AF3" w14:textId="77777777" w:rsidR="00B9219A" w:rsidRPr="00465CA3" w:rsidRDefault="001565AC" w:rsidP="00542C8C">
            <w:pPr>
              <w:ind w:left="113" w:right="140"/>
              <w:jc w:val="both"/>
            </w:pPr>
            <w:r w:rsidRPr="00465CA3">
              <w:t>Ministru kabineta 2017</w:t>
            </w:r>
            <w:r w:rsidR="00C220CA" w:rsidRPr="00465CA3">
              <w:t>.</w:t>
            </w:r>
            <w:r w:rsidRPr="00465CA3">
              <w:t>gada 9</w:t>
            </w:r>
            <w:r w:rsidR="00C220CA" w:rsidRPr="00465CA3">
              <w:t>.</w:t>
            </w:r>
            <w:r w:rsidRPr="00465CA3">
              <w:t>maija</w:t>
            </w:r>
            <w:r w:rsidR="00C220CA" w:rsidRPr="00465CA3">
              <w:t xml:space="preserve"> sēdes protokola Nr.</w:t>
            </w:r>
            <w:r w:rsidRPr="00465CA3">
              <w:t>23</w:t>
            </w:r>
            <w:r w:rsidR="00C220CA" w:rsidRPr="00465CA3">
              <w:t xml:space="preserve"> </w:t>
            </w:r>
            <w:r w:rsidRPr="00465CA3">
              <w:t>21</w:t>
            </w:r>
            <w:r w:rsidR="00C220CA" w:rsidRPr="00465CA3">
              <w:t>.§ „</w:t>
            </w:r>
            <w:r w:rsidRPr="00465CA3">
              <w:t>Pamatnostādņu projekts</w:t>
            </w:r>
            <w:r w:rsidR="00C220CA" w:rsidRPr="00465CA3">
              <w:t xml:space="preserve"> “</w:t>
            </w:r>
            <w:r w:rsidRPr="00465CA3">
              <w:t>Valsts nodokļu politikas pamatnostādnes 2018.-2021.gadam</w:t>
            </w:r>
            <w:r w:rsidR="00C220CA" w:rsidRPr="00465CA3">
              <w:t>”</w:t>
            </w:r>
            <w:r w:rsidR="002237E8" w:rsidRPr="00465CA3">
              <w:t>”</w:t>
            </w:r>
            <w:r w:rsidRPr="00465CA3">
              <w:t>.</w:t>
            </w:r>
          </w:p>
          <w:p w14:paraId="7A127B67" w14:textId="77777777" w:rsidR="00D7026A" w:rsidRPr="00465CA3" w:rsidRDefault="00D7026A" w:rsidP="00542C8C">
            <w:pPr>
              <w:ind w:left="113" w:right="140"/>
              <w:jc w:val="both"/>
            </w:pPr>
            <w:r w:rsidRPr="00465CA3">
              <w:t xml:space="preserve">Valsts nodokļu politikas pamatnostādnēs 2018.-2021.gadam ietvertais 1.1.1., 1.1.2., 1.1.4., 1.2.1., </w:t>
            </w:r>
            <w:r w:rsidR="00DB2AD6" w:rsidRPr="00465CA3">
              <w:t xml:space="preserve">1.4.1., </w:t>
            </w:r>
            <w:r w:rsidRPr="00465CA3">
              <w:t>2.1.1., 2.2.1., 2.2.3., 2.2.4., 2.2.5.</w:t>
            </w:r>
            <w:r w:rsidR="00DB2AD6" w:rsidRPr="00465CA3">
              <w:t>,</w:t>
            </w:r>
            <w:r w:rsidRPr="00465CA3">
              <w:t xml:space="preserve"> 2.2.6.,</w:t>
            </w:r>
            <w:r w:rsidR="00DB2AD6" w:rsidRPr="00465CA3">
              <w:t xml:space="preserve"> </w:t>
            </w:r>
            <w:r w:rsidRPr="00465CA3">
              <w:t xml:space="preserve">2.2.7., </w:t>
            </w:r>
            <w:r w:rsidR="00DB2AD6" w:rsidRPr="00465CA3">
              <w:t xml:space="preserve">2.3.1., </w:t>
            </w:r>
            <w:r w:rsidRPr="00465CA3">
              <w:t>2.3.3., 2.3.6. un 2.3.7. uzdevums</w:t>
            </w:r>
            <w:r w:rsidR="00DB2AD6" w:rsidRPr="00465CA3">
              <w:t>.</w:t>
            </w:r>
          </w:p>
        </w:tc>
      </w:tr>
      <w:tr w:rsidR="008078B8" w:rsidRPr="00D37BB8" w14:paraId="61500C26" w14:textId="77777777" w:rsidTr="00F35490">
        <w:trPr>
          <w:trHeight w:val="472"/>
        </w:trPr>
        <w:tc>
          <w:tcPr>
            <w:tcW w:w="227" w:type="pct"/>
          </w:tcPr>
          <w:p w14:paraId="6BE35282" w14:textId="77777777" w:rsidR="008078B8" w:rsidRPr="00D37BB8" w:rsidRDefault="008078B8" w:rsidP="002431AC">
            <w:pPr>
              <w:pStyle w:val="naiskr"/>
              <w:spacing w:before="0" w:after="0"/>
              <w:ind w:left="57" w:right="57"/>
              <w:jc w:val="center"/>
            </w:pPr>
            <w:r w:rsidRPr="00D37BB8">
              <w:t>2.</w:t>
            </w:r>
          </w:p>
        </w:tc>
        <w:tc>
          <w:tcPr>
            <w:tcW w:w="1275" w:type="pct"/>
          </w:tcPr>
          <w:p w14:paraId="0AE1395E" w14:textId="77777777" w:rsidR="008078B8" w:rsidRPr="00D37BB8" w:rsidRDefault="008078B8" w:rsidP="002431AC">
            <w:pPr>
              <w:pStyle w:val="naiskr"/>
              <w:tabs>
                <w:tab w:val="left" w:pos="170"/>
              </w:tabs>
              <w:spacing w:before="0" w:after="0"/>
              <w:ind w:left="57" w:right="57"/>
            </w:pPr>
            <w:r w:rsidRPr="00D37BB8">
              <w:t>Pašreizējā situācija un problēmas, kuru risināšanai tiesību akta projekts izstrādāts, tiesiskā regulējuma mērķis un būtība</w:t>
            </w:r>
          </w:p>
        </w:tc>
        <w:tc>
          <w:tcPr>
            <w:tcW w:w="3499" w:type="pct"/>
          </w:tcPr>
          <w:p w14:paraId="0EADD8F7" w14:textId="77777777" w:rsidR="00BB29C8" w:rsidRDefault="00BB29C8" w:rsidP="006B4097">
            <w:pPr>
              <w:tabs>
                <w:tab w:val="left" w:pos="2127"/>
                <w:tab w:val="center" w:pos="4153"/>
                <w:tab w:val="left" w:pos="6096"/>
                <w:tab w:val="right" w:pos="8306"/>
              </w:tabs>
              <w:ind w:left="255" w:right="140"/>
              <w:jc w:val="center"/>
              <w:rPr>
                <w:b/>
                <w:i/>
              </w:rPr>
            </w:pPr>
          </w:p>
          <w:p w14:paraId="49C56D96" w14:textId="6F46EAE2" w:rsidR="00CC15F4" w:rsidRPr="00D37BB8" w:rsidRDefault="00CC15F4" w:rsidP="006B4097">
            <w:pPr>
              <w:tabs>
                <w:tab w:val="left" w:pos="2127"/>
                <w:tab w:val="center" w:pos="4153"/>
                <w:tab w:val="left" w:pos="6096"/>
                <w:tab w:val="right" w:pos="8306"/>
              </w:tabs>
              <w:ind w:left="255" w:right="140"/>
              <w:jc w:val="center"/>
              <w:rPr>
                <w:b/>
                <w:i/>
              </w:rPr>
            </w:pPr>
            <w:r w:rsidRPr="00D37BB8">
              <w:rPr>
                <w:b/>
                <w:i/>
              </w:rPr>
              <w:t>Saistībā ar iedzīvotāju ienākuma nodokļa likmju izmaiņām veiktie grozījumi</w:t>
            </w:r>
          </w:p>
          <w:p w14:paraId="3609EA09" w14:textId="77777777" w:rsidR="00CC15F4" w:rsidRPr="00D37BB8" w:rsidRDefault="00CC15F4" w:rsidP="006B4097">
            <w:pPr>
              <w:tabs>
                <w:tab w:val="left" w:pos="2127"/>
                <w:tab w:val="center" w:pos="4153"/>
                <w:tab w:val="left" w:pos="6096"/>
                <w:tab w:val="right" w:pos="8306"/>
              </w:tabs>
              <w:ind w:left="255" w:right="140"/>
              <w:jc w:val="both"/>
              <w:rPr>
                <w:b/>
                <w:i/>
                <w:u w:val="single"/>
              </w:rPr>
            </w:pPr>
          </w:p>
          <w:p w14:paraId="35642D3E" w14:textId="27C8CD6E" w:rsidR="001442F5" w:rsidRPr="00D37BB8" w:rsidRDefault="001442F5" w:rsidP="006B4097">
            <w:pPr>
              <w:tabs>
                <w:tab w:val="left" w:pos="2127"/>
                <w:tab w:val="center" w:pos="4153"/>
                <w:tab w:val="left" w:pos="6096"/>
                <w:tab w:val="right" w:pos="8306"/>
              </w:tabs>
              <w:ind w:left="255" w:right="140"/>
              <w:jc w:val="both"/>
              <w:rPr>
                <w:i/>
                <w:u w:val="single"/>
              </w:rPr>
            </w:pPr>
            <w:r w:rsidRPr="00D37BB8">
              <w:rPr>
                <w:i/>
                <w:u w:val="single"/>
              </w:rPr>
              <w:t>Grozījumi likuma “Par iedzīvotāju ienākuma nodokli”(turpmāk – likums)</w:t>
            </w:r>
            <w:r w:rsidR="009E6889" w:rsidRPr="00D37BB8">
              <w:rPr>
                <w:i/>
                <w:u w:val="single"/>
              </w:rPr>
              <w:t xml:space="preserve"> 1.panta trešā daļa,</w:t>
            </w:r>
            <w:r w:rsidRPr="00D37BB8">
              <w:rPr>
                <w:i/>
                <w:u w:val="single"/>
              </w:rPr>
              <w:t xml:space="preserve"> 3.panta otrās daļas ievaddaļā, likuma 3.panta 2.</w:t>
            </w:r>
            <w:r w:rsidRPr="00D37BB8">
              <w:rPr>
                <w:i/>
                <w:u w:val="single"/>
                <w:vertAlign w:val="superscript"/>
              </w:rPr>
              <w:t>4</w:t>
            </w:r>
            <w:r w:rsidR="00353571" w:rsidRPr="00D37BB8">
              <w:rPr>
                <w:i/>
                <w:u w:val="single"/>
              </w:rPr>
              <w:t>, 2.</w:t>
            </w:r>
            <w:r w:rsidR="00353571" w:rsidRPr="00D37BB8">
              <w:rPr>
                <w:i/>
                <w:u w:val="single"/>
                <w:vertAlign w:val="superscript"/>
              </w:rPr>
              <w:t>5</w:t>
            </w:r>
            <w:r w:rsidRPr="00D37BB8">
              <w:rPr>
                <w:i/>
                <w:u w:val="single"/>
              </w:rPr>
              <w:t>un 2.</w:t>
            </w:r>
            <w:r w:rsidR="00353571" w:rsidRPr="00D37BB8">
              <w:rPr>
                <w:i/>
                <w:u w:val="single"/>
                <w:vertAlign w:val="superscript"/>
              </w:rPr>
              <w:t>6</w:t>
            </w:r>
            <w:r w:rsidRPr="00D37BB8">
              <w:rPr>
                <w:i/>
                <w:u w:val="single"/>
              </w:rPr>
              <w:t xml:space="preserve"> daļa, grozījums </w:t>
            </w:r>
            <w:r w:rsidR="00C94972" w:rsidRPr="00D37BB8">
              <w:rPr>
                <w:i/>
                <w:u w:val="single"/>
              </w:rPr>
              <w:t xml:space="preserve">8.panta trešās daļas 4.punktā, </w:t>
            </w:r>
            <w:r w:rsidRPr="00D37BB8">
              <w:rPr>
                <w:i/>
                <w:u w:val="single"/>
              </w:rPr>
              <w:t>8.</w:t>
            </w:r>
            <w:r w:rsidRPr="00D37BB8">
              <w:rPr>
                <w:i/>
                <w:u w:val="single"/>
                <w:vertAlign w:val="superscript"/>
              </w:rPr>
              <w:t>1</w:t>
            </w:r>
            <w:r w:rsidRPr="00D37BB8">
              <w:rPr>
                <w:i/>
                <w:u w:val="single"/>
              </w:rPr>
              <w:t xml:space="preserve"> panta devītajā daļā, </w:t>
            </w:r>
            <w:r w:rsidR="0067646F" w:rsidRPr="003F2612">
              <w:rPr>
                <w:i/>
                <w:u w:val="single"/>
              </w:rPr>
              <w:t>10.panta 1.</w:t>
            </w:r>
            <w:r w:rsidR="0067646F" w:rsidRPr="003F2612">
              <w:rPr>
                <w:i/>
                <w:u w:val="single"/>
                <w:vertAlign w:val="superscript"/>
              </w:rPr>
              <w:t>10</w:t>
            </w:r>
            <w:r w:rsidR="0067646F" w:rsidRPr="003F2612">
              <w:rPr>
                <w:i/>
                <w:u w:val="single"/>
              </w:rPr>
              <w:t xml:space="preserve"> daļa,</w:t>
            </w:r>
            <w:r w:rsidR="0067646F" w:rsidRPr="00D37BB8">
              <w:rPr>
                <w:i/>
                <w:u w:val="single"/>
              </w:rPr>
              <w:t xml:space="preserve"> </w:t>
            </w:r>
            <w:r w:rsidRPr="00D37BB8">
              <w:rPr>
                <w:i/>
                <w:u w:val="single"/>
              </w:rPr>
              <w:t>grozījums 10.panta piektajā daļā, grozījum</w:t>
            </w:r>
            <w:r w:rsidR="00616477" w:rsidRPr="00D37BB8">
              <w:rPr>
                <w:i/>
                <w:u w:val="single"/>
              </w:rPr>
              <w:t>i</w:t>
            </w:r>
            <w:r w:rsidRPr="00D37BB8">
              <w:rPr>
                <w:i/>
                <w:u w:val="single"/>
              </w:rPr>
              <w:t xml:space="preserve"> 11.</w:t>
            </w:r>
            <w:r w:rsidRPr="00D37BB8">
              <w:rPr>
                <w:i/>
                <w:u w:val="single"/>
                <w:vertAlign w:val="superscript"/>
              </w:rPr>
              <w:t>11</w:t>
            </w:r>
            <w:r w:rsidRPr="00D37BB8">
              <w:rPr>
                <w:i/>
                <w:u w:val="single"/>
              </w:rPr>
              <w:t xml:space="preserve"> panta sestajā un septītajā daļā, grozījumi</w:t>
            </w:r>
            <w:r w:rsidR="00C94972" w:rsidRPr="00D37BB8">
              <w:rPr>
                <w:i/>
                <w:u w:val="single"/>
              </w:rPr>
              <w:t xml:space="preserve"> 12.panta devītajā daļā,</w:t>
            </w:r>
            <w:r w:rsidRPr="00D37BB8">
              <w:rPr>
                <w:i/>
                <w:u w:val="single"/>
              </w:rPr>
              <w:t xml:space="preserve"> 13.panta trešajā, piektajā un sestajā daļā, </w:t>
            </w:r>
            <w:r w:rsidR="00616477" w:rsidRPr="00D37BB8">
              <w:rPr>
                <w:i/>
                <w:u w:val="single"/>
              </w:rPr>
              <w:t xml:space="preserve">likuma </w:t>
            </w:r>
            <w:r w:rsidRPr="00D37BB8">
              <w:rPr>
                <w:i/>
                <w:u w:val="single"/>
              </w:rPr>
              <w:t xml:space="preserve">15.pants, </w:t>
            </w:r>
            <w:r w:rsidR="00BD796B" w:rsidRPr="00D37BB8">
              <w:rPr>
                <w:i/>
                <w:u w:val="single"/>
              </w:rPr>
              <w:t xml:space="preserve">likuma </w:t>
            </w:r>
            <w:r w:rsidRPr="00D37BB8">
              <w:rPr>
                <w:i/>
                <w:u w:val="single"/>
              </w:rPr>
              <w:t>17.panta otrās daļas ievaddaļa</w:t>
            </w:r>
            <w:r w:rsidR="00764D00" w:rsidRPr="00D37BB8">
              <w:rPr>
                <w:i/>
                <w:u w:val="single"/>
              </w:rPr>
              <w:t>,</w:t>
            </w:r>
            <w:r w:rsidR="00C94972" w:rsidRPr="00D37BB8">
              <w:rPr>
                <w:i/>
                <w:u w:val="single"/>
              </w:rPr>
              <w:t xml:space="preserve"> desmitās daļas 12.punkts</w:t>
            </w:r>
            <w:r w:rsidR="00764D00" w:rsidRPr="00D37BB8">
              <w:rPr>
                <w:i/>
                <w:u w:val="single"/>
              </w:rPr>
              <w:t xml:space="preserve"> un 10.</w:t>
            </w:r>
            <w:r w:rsidR="00764D00" w:rsidRPr="00D37BB8">
              <w:rPr>
                <w:i/>
                <w:u w:val="single"/>
                <w:vertAlign w:val="superscript"/>
              </w:rPr>
              <w:t>4</w:t>
            </w:r>
            <w:r w:rsidR="00764D00" w:rsidRPr="00D37BB8">
              <w:rPr>
                <w:i/>
                <w:u w:val="single"/>
              </w:rPr>
              <w:t xml:space="preserve"> daļa</w:t>
            </w:r>
            <w:r w:rsidR="00531E58" w:rsidRPr="00D37BB8">
              <w:rPr>
                <w:i/>
                <w:u w:val="single"/>
              </w:rPr>
              <w:t xml:space="preserve">, </w:t>
            </w:r>
            <w:r w:rsidR="00C94972" w:rsidRPr="00D37BB8">
              <w:rPr>
                <w:i/>
                <w:u w:val="single"/>
              </w:rPr>
              <w:t>grozījumi 19.panta 1.</w:t>
            </w:r>
            <w:r w:rsidR="00C94972" w:rsidRPr="00D37BB8">
              <w:rPr>
                <w:i/>
                <w:u w:val="single"/>
                <w:vertAlign w:val="superscript"/>
              </w:rPr>
              <w:t xml:space="preserve">1 </w:t>
            </w:r>
            <w:r w:rsidR="00C94972" w:rsidRPr="00D37BB8">
              <w:rPr>
                <w:i/>
                <w:u w:val="single"/>
              </w:rPr>
              <w:t xml:space="preserve">daļā, </w:t>
            </w:r>
            <w:r w:rsidR="00531E58" w:rsidRPr="00D37BB8">
              <w:rPr>
                <w:i/>
                <w:u w:val="single"/>
              </w:rPr>
              <w:t xml:space="preserve">pārejas noteikumu </w:t>
            </w:r>
            <w:r w:rsidR="00521316" w:rsidRPr="00D37BB8">
              <w:rPr>
                <w:i/>
                <w:u w:val="single"/>
              </w:rPr>
              <w:t>1</w:t>
            </w:r>
            <w:r w:rsidR="00C91DE5" w:rsidRPr="00D37BB8">
              <w:rPr>
                <w:i/>
                <w:u w:val="single"/>
              </w:rPr>
              <w:t>29</w:t>
            </w:r>
            <w:r w:rsidR="00521316" w:rsidRPr="00D37BB8">
              <w:rPr>
                <w:i/>
                <w:u w:val="single"/>
              </w:rPr>
              <w:t>.</w:t>
            </w:r>
            <w:r w:rsidR="00C91DE5" w:rsidRPr="00D37BB8">
              <w:rPr>
                <w:i/>
                <w:u w:val="single"/>
              </w:rPr>
              <w:t>, 137.</w:t>
            </w:r>
            <w:r w:rsidR="00531E58" w:rsidRPr="00D37BB8">
              <w:rPr>
                <w:i/>
                <w:u w:val="single"/>
              </w:rPr>
              <w:t xml:space="preserve"> punkts</w:t>
            </w:r>
            <w:r w:rsidRPr="00D37BB8">
              <w:rPr>
                <w:i/>
                <w:u w:val="single"/>
              </w:rPr>
              <w:t xml:space="preserve">   </w:t>
            </w:r>
          </w:p>
          <w:p w14:paraId="5F28726C" w14:textId="77777777" w:rsidR="00483A06" w:rsidRPr="00D37BB8" w:rsidRDefault="00483A06" w:rsidP="006B4097">
            <w:pPr>
              <w:pStyle w:val="Default"/>
              <w:tabs>
                <w:tab w:val="left" w:pos="993"/>
              </w:tabs>
              <w:ind w:left="255" w:right="140"/>
              <w:jc w:val="both"/>
              <w:rPr>
                <w:i/>
              </w:rPr>
            </w:pPr>
            <w:r w:rsidRPr="00D37BB8">
              <w:t>(</w:t>
            </w:r>
            <w:r w:rsidRPr="00D37BB8">
              <w:rPr>
                <w:i/>
              </w:rPr>
              <w:t>Valsts nodokļu politikas pamatnostādnēs 2018.-2021.gadam ietvertais</w:t>
            </w:r>
            <w:r w:rsidR="005B2A1F" w:rsidRPr="00D37BB8">
              <w:rPr>
                <w:i/>
              </w:rPr>
              <w:t xml:space="preserve"> 1.1.1., 2.1.1., 2.2.1</w:t>
            </w:r>
            <w:r w:rsidRPr="00D37BB8">
              <w:rPr>
                <w:i/>
              </w:rPr>
              <w:t>.</w:t>
            </w:r>
            <w:r w:rsidR="005B2A1F" w:rsidRPr="00D37BB8">
              <w:rPr>
                <w:i/>
              </w:rPr>
              <w:t>, 2.2.3., 2.2.4., 2.2.5. 2.2.6., 2.3.3., 2.3.6. un 2.3.7.</w:t>
            </w:r>
            <w:r w:rsidRPr="00D37BB8">
              <w:rPr>
                <w:i/>
              </w:rPr>
              <w:t xml:space="preserve"> uzdevums)</w:t>
            </w:r>
            <w:r w:rsidR="00616477" w:rsidRPr="00D37BB8">
              <w:rPr>
                <w:i/>
              </w:rPr>
              <w:t>.</w:t>
            </w:r>
          </w:p>
          <w:p w14:paraId="2DBA7D57" w14:textId="77777777" w:rsidR="00483A06" w:rsidRPr="00D37BB8" w:rsidRDefault="00483A06" w:rsidP="006B4097">
            <w:pPr>
              <w:tabs>
                <w:tab w:val="left" w:pos="2127"/>
                <w:tab w:val="center" w:pos="4153"/>
                <w:tab w:val="left" w:pos="6096"/>
                <w:tab w:val="right" w:pos="8306"/>
              </w:tabs>
              <w:ind w:left="255" w:right="140"/>
              <w:jc w:val="both"/>
              <w:rPr>
                <w:i/>
                <w:u w:val="single"/>
              </w:rPr>
            </w:pPr>
          </w:p>
          <w:p w14:paraId="66673FDB" w14:textId="77777777" w:rsidR="001442F5" w:rsidRPr="00D37BB8" w:rsidRDefault="00CC15F4" w:rsidP="006B4097">
            <w:pPr>
              <w:tabs>
                <w:tab w:val="left" w:pos="2127"/>
                <w:tab w:val="center" w:pos="4153"/>
                <w:tab w:val="left" w:pos="6096"/>
                <w:tab w:val="right" w:pos="8306"/>
              </w:tabs>
              <w:ind w:left="255" w:right="140"/>
              <w:jc w:val="both"/>
            </w:pPr>
            <w:r w:rsidRPr="00D37BB8">
              <w:t>Likumprojekts “Grozījumi likumā “Par iedzīvotāju ienākuma nodokli”” (turpmāk - likumprojekts) paredz ieviest iedzīvotāju ienākuma nodokļa progresīvo likmi:</w:t>
            </w:r>
          </w:p>
          <w:p w14:paraId="220998D1" w14:textId="7332884D" w:rsidR="00CC15F4" w:rsidRPr="00D37BB8" w:rsidRDefault="00CC15F4" w:rsidP="00764D00">
            <w:pPr>
              <w:pStyle w:val="ListParagraph"/>
              <w:numPr>
                <w:ilvl w:val="0"/>
                <w:numId w:val="5"/>
              </w:numPr>
              <w:tabs>
                <w:tab w:val="left" w:pos="670"/>
                <w:tab w:val="left" w:pos="2127"/>
                <w:tab w:val="center" w:pos="4153"/>
                <w:tab w:val="left" w:pos="6096"/>
                <w:tab w:val="right" w:pos="8306"/>
              </w:tabs>
              <w:spacing w:after="0" w:line="240" w:lineRule="auto"/>
              <w:ind w:left="255" w:right="140" w:firstLine="105"/>
              <w:jc w:val="both"/>
              <w:rPr>
                <w:rFonts w:ascii="Times New Roman" w:hAnsi="Times New Roman"/>
                <w:sz w:val="24"/>
                <w:szCs w:val="24"/>
                <w:lang w:val="lv-LV"/>
              </w:rPr>
            </w:pPr>
            <w:r w:rsidRPr="00D37BB8">
              <w:rPr>
                <w:rFonts w:ascii="Times New Roman" w:hAnsi="Times New Roman"/>
                <w:sz w:val="24"/>
                <w:szCs w:val="24"/>
                <w:u w:val="single"/>
                <w:lang w:val="lv-LV"/>
              </w:rPr>
              <w:t>maksātāja gada ienākumam</w:t>
            </w:r>
            <w:r w:rsidR="001344E7" w:rsidRPr="00D37BB8">
              <w:rPr>
                <w:rFonts w:ascii="Times New Roman" w:hAnsi="Times New Roman"/>
                <w:sz w:val="24"/>
                <w:szCs w:val="24"/>
                <w:u w:val="single"/>
                <w:lang w:val="lv-LV"/>
              </w:rPr>
              <w:t xml:space="preserve"> (izņemot likuma 9.pantā minētos neapliekamos ienākumus)</w:t>
            </w:r>
            <w:r w:rsidRPr="00D37BB8">
              <w:rPr>
                <w:rFonts w:ascii="Times New Roman" w:hAnsi="Times New Roman"/>
                <w:sz w:val="24"/>
                <w:szCs w:val="24"/>
                <w:u w:val="single"/>
                <w:lang w:val="lv-LV"/>
              </w:rPr>
              <w:t xml:space="preserve"> (algas nodoklim – mēneša ienākumam</w:t>
            </w:r>
            <w:r w:rsidR="001344E7" w:rsidRPr="00D37BB8">
              <w:rPr>
                <w:rFonts w:ascii="Times New Roman" w:hAnsi="Times New Roman"/>
                <w:sz w:val="24"/>
                <w:szCs w:val="24"/>
                <w:u w:val="single"/>
                <w:lang w:val="lv-LV"/>
              </w:rPr>
              <w:t xml:space="preserve"> (izņemot likuma 9.pantā minētos neapliekamos ienākumus)</w:t>
            </w:r>
            <w:r w:rsidRPr="00D37BB8">
              <w:rPr>
                <w:rFonts w:ascii="Times New Roman" w:hAnsi="Times New Roman"/>
                <w:sz w:val="24"/>
                <w:szCs w:val="24"/>
                <w:u w:val="single"/>
                <w:lang w:val="lv-LV"/>
              </w:rPr>
              <w:t xml:space="preserve">) līdz </w:t>
            </w:r>
            <w:r w:rsidR="006E5808" w:rsidRPr="00D37BB8">
              <w:rPr>
                <w:rFonts w:ascii="Times New Roman" w:hAnsi="Times New Roman"/>
                <w:sz w:val="24"/>
                <w:szCs w:val="24"/>
                <w:u w:val="single"/>
                <w:lang w:val="lv-LV"/>
              </w:rPr>
              <w:t>20 000</w:t>
            </w:r>
            <w:r w:rsidRPr="00D37BB8">
              <w:rPr>
                <w:rFonts w:ascii="Times New Roman" w:hAnsi="Times New Roman"/>
                <w:sz w:val="24"/>
                <w:szCs w:val="24"/>
                <w:u w:val="single"/>
                <w:lang w:val="lv-LV"/>
              </w:rPr>
              <w:t xml:space="preserve">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 xml:space="preserve"> (</w:t>
            </w:r>
            <w:r w:rsidR="006E5808" w:rsidRPr="00D37BB8">
              <w:rPr>
                <w:rFonts w:ascii="Times New Roman" w:hAnsi="Times New Roman"/>
                <w:sz w:val="24"/>
                <w:szCs w:val="24"/>
                <w:u w:val="single"/>
                <w:lang w:val="lv-LV"/>
              </w:rPr>
              <w:t>1 667</w:t>
            </w:r>
            <w:r w:rsidRPr="00D37BB8">
              <w:rPr>
                <w:rFonts w:ascii="Times New Roman" w:hAnsi="Times New Roman"/>
                <w:sz w:val="24"/>
                <w:szCs w:val="24"/>
                <w:u w:val="single"/>
                <w:lang w:val="lv-LV"/>
              </w:rPr>
              <w:t xml:space="preserve">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 – 20%</w:t>
            </w:r>
            <w:r w:rsidR="00601280" w:rsidRPr="00D37BB8">
              <w:rPr>
                <w:rFonts w:ascii="Times New Roman" w:hAnsi="Times New Roman"/>
                <w:sz w:val="24"/>
                <w:szCs w:val="24"/>
                <w:lang w:val="lv-LV"/>
              </w:rPr>
              <w:t>.</w:t>
            </w:r>
            <w:r w:rsidRPr="00D37BB8">
              <w:rPr>
                <w:rFonts w:ascii="Times New Roman" w:hAnsi="Times New Roman"/>
                <w:sz w:val="24"/>
                <w:szCs w:val="24"/>
                <w:lang w:val="lv-LV"/>
              </w:rPr>
              <w:t xml:space="preserve"> </w:t>
            </w:r>
          </w:p>
          <w:p w14:paraId="65383EC0" w14:textId="5D445689" w:rsidR="00CC15F4" w:rsidRPr="00D37BB8" w:rsidRDefault="00CC15F4" w:rsidP="00B64903">
            <w:pPr>
              <w:pStyle w:val="ListParagraph"/>
              <w:numPr>
                <w:ilvl w:val="0"/>
                <w:numId w:val="5"/>
              </w:numPr>
              <w:tabs>
                <w:tab w:val="left" w:pos="543"/>
                <w:tab w:val="left" w:pos="2127"/>
                <w:tab w:val="center" w:pos="4153"/>
                <w:tab w:val="left" w:pos="6096"/>
                <w:tab w:val="right" w:pos="8306"/>
              </w:tabs>
              <w:spacing w:after="0" w:line="240" w:lineRule="auto"/>
              <w:ind w:left="260" w:right="140" w:firstLine="100"/>
              <w:jc w:val="both"/>
              <w:rPr>
                <w:rFonts w:ascii="Times New Roman" w:hAnsi="Times New Roman"/>
                <w:sz w:val="24"/>
                <w:szCs w:val="24"/>
                <w:u w:val="single"/>
                <w:lang w:val="lv-LV"/>
              </w:rPr>
            </w:pPr>
            <w:r w:rsidRPr="00D37BB8">
              <w:rPr>
                <w:rFonts w:ascii="Times New Roman" w:hAnsi="Times New Roman"/>
                <w:sz w:val="24"/>
                <w:szCs w:val="24"/>
                <w:u w:val="single"/>
                <w:lang w:val="lv-LV"/>
              </w:rPr>
              <w:t>maksātāja gada ienākuma</w:t>
            </w:r>
            <w:r w:rsidR="001344E7" w:rsidRPr="00D37BB8">
              <w:rPr>
                <w:rFonts w:ascii="Times New Roman" w:hAnsi="Times New Roman"/>
                <w:sz w:val="24"/>
                <w:szCs w:val="24"/>
                <w:u w:val="single"/>
                <w:lang w:val="lv-LV"/>
              </w:rPr>
              <w:t xml:space="preserve"> (izņemot likuma 9.pantā minētos neapliekamos ienākumus) daļai</w:t>
            </w:r>
            <w:r w:rsidRPr="00D37BB8">
              <w:rPr>
                <w:rFonts w:ascii="Times New Roman" w:hAnsi="Times New Roman"/>
                <w:sz w:val="24"/>
                <w:szCs w:val="24"/>
                <w:u w:val="single"/>
                <w:lang w:val="lv-LV"/>
              </w:rPr>
              <w:t xml:space="preserve"> (algas nodoklim – mēneša ienākuma</w:t>
            </w:r>
            <w:r w:rsidR="001344E7" w:rsidRPr="00D37BB8">
              <w:rPr>
                <w:rFonts w:ascii="Times New Roman" w:hAnsi="Times New Roman"/>
                <w:sz w:val="24"/>
                <w:szCs w:val="24"/>
                <w:u w:val="single"/>
                <w:lang w:val="lv-LV"/>
              </w:rPr>
              <w:t xml:space="preserve"> (izņemot likuma 9.pantā minētos neapliekamos ienākumus) daļai</w:t>
            </w:r>
            <w:r w:rsidRPr="00D37BB8">
              <w:rPr>
                <w:rFonts w:ascii="Times New Roman" w:hAnsi="Times New Roman"/>
                <w:sz w:val="24"/>
                <w:szCs w:val="24"/>
                <w:u w:val="single"/>
                <w:lang w:val="lv-LV"/>
              </w:rPr>
              <w:t xml:space="preserve">), kas pārsniedz </w:t>
            </w:r>
            <w:r w:rsidR="006E5808" w:rsidRPr="00D37BB8">
              <w:rPr>
                <w:rFonts w:ascii="Times New Roman" w:hAnsi="Times New Roman"/>
                <w:sz w:val="24"/>
                <w:szCs w:val="24"/>
                <w:u w:val="single"/>
                <w:lang w:val="lv-LV"/>
              </w:rPr>
              <w:t>20 000</w:t>
            </w:r>
            <w:r w:rsidRPr="00D37BB8">
              <w:rPr>
                <w:rFonts w:ascii="Times New Roman" w:hAnsi="Times New Roman"/>
                <w:sz w:val="24"/>
                <w:szCs w:val="24"/>
                <w:u w:val="single"/>
                <w:lang w:val="lv-LV"/>
              </w:rPr>
              <w:t xml:space="preserve">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 xml:space="preserve">  (</w:t>
            </w:r>
            <w:r w:rsidR="006E5808" w:rsidRPr="00D37BB8">
              <w:rPr>
                <w:rFonts w:ascii="Times New Roman" w:hAnsi="Times New Roman"/>
                <w:sz w:val="24"/>
                <w:szCs w:val="24"/>
                <w:u w:val="single"/>
                <w:lang w:val="lv-LV"/>
              </w:rPr>
              <w:t>1 667</w:t>
            </w:r>
            <w:r w:rsidRPr="00D37BB8">
              <w:rPr>
                <w:rFonts w:ascii="Times New Roman" w:hAnsi="Times New Roman"/>
                <w:sz w:val="24"/>
                <w:szCs w:val="24"/>
                <w:u w:val="single"/>
                <w:lang w:val="lv-LV"/>
              </w:rPr>
              <w:t xml:space="preserve">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w:t>
            </w:r>
            <w:r w:rsidR="006E5808" w:rsidRPr="00D37BB8">
              <w:rPr>
                <w:rFonts w:ascii="Times New Roman" w:hAnsi="Times New Roman"/>
                <w:sz w:val="24"/>
                <w:szCs w:val="24"/>
                <w:u w:val="single"/>
                <w:lang w:val="lv-LV"/>
              </w:rPr>
              <w:t xml:space="preserve">, bet nepārsniedz 55 000 </w:t>
            </w:r>
            <w:proofErr w:type="spellStart"/>
            <w:r w:rsidR="005A1D33" w:rsidRPr="00D37BB8">
              <w:rPr>
                <w:rFonts w:ascii="Times New Roman" w:hAnsi="Times New Roman"/>
                <w:i/>
                <w:sz w:val="24"/>
                <w:szCs w:val="24"/>
                <w:u w:val="single"/>
                <w:lang w:val="lv-LV"/>
              </w:rPr>
              <w:t>euro</w:t>
            </w:r>
            <w:proofErr w:type="spellEnd"/>
            <w:r w:rsidR="006E5808" w:rsidRPr="00D37BB8">
              <w:rPr>
                <w:rFonts w:ascii="Times New Roman" w:hAnsi="Times New Roman"/>
                <w:sz w:val="24"/>
                <w:szCs w:val="24"/>
                <w:u w:val="single"/>
                <w:lang w:val="lv-LV"/>
              </w:rPr>
              <w:t xml:space="preserve"> (4 583,33 </w:t>
            </w:r>
            <w:proofErr w:type="spellStart"/>
            <w:r w:rsidR="005A1D33" w:rsidRPr="00D37BB8">
              <w:rPr>
                <w:rFonts w:ascii="Times New Roman" w:hAnsi="Times New Roman"/>
                <w:i/>
                <w:sz w:val="24"/>
                <w:szCs w:val="24"/>
                <w:u w:val="single"/>
                <w:lang w:val="lv-LV"/>
              </w:rPr>
              <w:t>euro</w:t>
            </w:r>
            <w:proofErr w:type="spellEnd"/>
            <w:r w:rsidR="006E5808" w:rsidRPr="00D37BB8">
              <w:rPr>
                <w:rFonts w:ascii="Times New Roman" w:hAnsi="Times New Roman"/>
                <w:sz w:val="24"/>
                <w:szCs w:val="24"/>
                <w:u w:val="single"/>
                <w:lang w:val="lv-LV"/>
              </w:rPr>
              <w:t>)</w:t>
            </w:r>
            <w:r w:rsidRPr="00D37BB8">
              <w:rPr>
                <w:rFonts w:ascii="Times New Roman" w:hAnsi="Times New Roman"/>
                <w:sz w:val="24"/>
                <w:szCs w:val="24"/>
                <w:u w:val="single"/>
                <w:lang w:val="lv-LV"/>
              </w:rPr>
              <w:t xml:space="preserve"> – 23%</w:t>
            </w:r>
            <w:r w:rsidR="006E5808" w:rsidRPr="00D37BB8">
              <w:rPr>
                <w:rFonts w:ascii="Times New Roman" w:hAnsi="Times New Roman"/>
                <w:sz w:val="24"/>
                <w:szCs w:val="24"/>
                <w:u w:val="single"/>
                <w:lang w:val="lv-LV"/>
              </w:rPr>
              <w:t>;</w:t>
            </w:r>
          </w:p>
          <w:p w14:paraId="39CC27C3" w14:textId="45D540F1" w:rsidR="001344E7" w:rsidRPr="00D37BB8" w:rsidRDefault="006E5808" w:rsidP="00B64903">
            <w:pPr>
              <w:pStyle w:val="ListParagraph"/>
              <w:numPr>
                <w:ilvl w:val="0"/>
                <w:numId w:val="5"/>
              </w:numPr>
              <w:tabs>
                <w:tab w:val="left" w:pos="543"/>
                <w:tab w:val="left" w:pos="2127"/>
                <w:tab w:val="center" w:pos="4153"/>
                <w:tab w:val="left" w:pos="6096"/>
                <w:tab w:val="right" w:pos="8306"/>
              </w:tabs>
              <w:spacing w:after="0" w:line="240" w:lineRule="auto"/>
              <w:ind w:left="260" w:right="140" w:firstLine="100"/>
              <w:jc w:val="both"/>
              <w:rPr>
                <w:rFonts w:ascii="Times New Roman" w:hAnsi="Times New Roman"/>
                <w:sz w:val="24"/>
                <w:szCs w:val="24"/>
                <w:u w:val="single"/>
                <w:lang w:val="lv-LV"/>
              </w:rPr>
            </w:pPr>
            <w:r w:rsidRPr="00D37BB8">
              <w:rPr>
                <w:rFonts w:ascii="Times New Roman" w:hAnsi="Times New Roman"/>
                <w:sz w:val="24"/>
                <w:szCs w:val="24"/>
                <w:u w:val="single"/>
                <w:lang w:val="lv-LV"/>
              </w:rPr>
              <w:t xml:space="preserve">maksātāja gada ienākuma </w:t>
            </w:r>
            <w:r w:rsidR="001344E7" w:rsidRPr="00D37BB8">
              <w:rPr>
                <w:rFonts w:ascii="Times New Roman" w:hAnsi="Times New Roman"/>
                <w:sz w:val="24"/>
                <w:szCs w:val="24"/>
                <w:u w:val="single"/>
                <w:lang w:val="lv-LV"/>
              </w:rPr>
              <w:t>(izņemot likuma 9.pantā minētos neapliekamos ienākumus) daļai</w:t>
            </w:r>
            <w:r w:rsidRPr="00D37BB8">
              <w:rPr>
                <w:rFonts w:ascii="Times New Roman" w:hAnsi="Times New Roman"/>
                <w:sz w:val="24"/>
                <w:szCs w:val="24"/>
                <w:u w:val="single"/>
                <w:lang w:val="lv-LV"/>
              </w:rPr>
              <w:t xml:space="preserve">, kas pārsniedz 55 000 </w:t>
            </w:r>
            <w:r w:rsidRPr="00D37BB8">
              <w:rPr>
                <w:rFonts w:ascii="Times New Roman" w:hAnsi="Times New Roman"/>
                <w:i/>
                <w:sz w:val="24"/>
                <w:szCs w:val="24"/>
                <w:u w:val="single"/>
                <w:lang w:val="lv-LV"/>
              </w:rPr>
              <w:t xml:space="preserve">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 xml:space="preserve">  – </w:t>
            </w:r>
            <w:r w:rsidR="00AB3D9A" w:rsidRPr="00D37BB8">
              <w:rPr>
                <w:rFonts w:ascii="Times New Roman" w:hAnsi="Times New Roman"/>
                <w:sz w:val="24"/>
                <w:szCs w:val="24"/>
                <w:u w:val="single"/>
                <w:lang w:val="lv-LV"/>
              </w:rPr>
              <w:t>31,4</w:t>
            </w:r>
            <w:r w:rsidRPr="00D37BB8">
              <w:rPr>
                <w:rFonts w:ascii="Times New Roman" w:hAnsi="Times New Roman"/>
                <w:sz w:val="24"/>
                <w:szCs w:val="24"/>
                <w:u w:val="single"/>
                <w:lang w:val="lv-LV"/>
              </w:rPr>
              <w:t>%</w:t>
            </w:r>
            <w:r w:rsidR="001344E7" w:rsidRPr="00D37BB8">
              <w:rPr>
                <w:rFonts w:ascii="Times New Roman" w:hAnsi="Times New Roman"/>
                <w:sz w:val="24"/>
                <w:szCs w:val="24"/>
                <w:u w:val="single"/>
                <w:lang w:val="lv-LV"/>
              </w:rPr>
              <w:t>.</w:t>
            </w:r>
          </w:p>
          <w:p w14:paraId="681E3FC6" w14:textId="77777777" w:rsidR="001344E7" w:rsidRPr="00D37BB8" w:rsidRDefault="001344E7" w:rsidP="001344E7">
            <w:pPr>
              <w:pStyle w:val="ListParagraph"/>
              <w:tabs>
                <w:tab w:val="left" w:pos="543"/>
                <w:tab w:val="left" w:pos="2127"/>
                <w:tab w:val="center" w:pos="4153"/>
                <w:tab w:val="left" w:pos="6096"/>
                <w:tab w:val="right" w:pos="8306"/>
              </w:tabs>
              <w:spacing w:after="0" w:line="240" w:lineRule="auto"/>
              <w:ind w:left="360" w:right="140"/>
              <w:jc w:val="both"/>
              <w:rPr>
                <w:rFonts w:ascii="Times New Roman" w:hAnsi="Times New Roman"/>
                <w:sz w:val="24"/>
                <w:szCs w:val="24"/>
                <w:lang w:val="lv-LV"/>
              </w:rPr>
            </w:pPr>
          </w:p>
          <w:p w14:paraId="18714DF3" w14:textId="5131D818" w:rsidR="003F2612" w:rsidRDefault="00E12AD5" w:rsidP="003F2612">
            <w:pPr>
              <w:tabs>
                <w:tab w:val="left" w:pos="2127"/>
                <w:tab w:val="center" w:pos="4153"/>
                <w:tab w:val="left" w:pos="6096"/>
                <w:tab w:val="right" w:pos="8306"/>
              </w:tabs>
              <w:ind w:left="255" w:right="140"/>
              <w:jc w:val="both"/>
              <w:rPr>
                <w:u w:val="single"/>
              </w:rPr>
            </w:pPr>
            <w:r w:rsidRPr="00D37BB8">
              <w:rPr>
                <w:u w:val="single"/>
              </w:rPr>
              <w:t xml:space="preserve">Nodokļa likmi </w:t>
            </w:r>
            <w:r w:rsidR="00AB3D9A" w:rsidRPr="00D37BB8">
              <w:rPr>
                <w:u w:val="single"/>
              </w:rPr>
              <w:t>31,4</w:t>
            </w:r>
            <w:r w:rsidRPr="00D37BB8">
              <w:rPr>
                <w:u w:val="single"/>
              </w:rPr>
              <w:t xml:space="preserve">% apmērā nepiemēros </w:t>
            </w:r>
            <w:r w:rsidR="00AB3D9A" w:rsidRPr="00D37BB8">
              <w:rPr>
                <w:u w:val="single"/>
              </w:rPr>
              <w:t xml:space="preserve">algotā darba ienākumiem </w:t>
            </w:r>
            <w:r w:rsidRPr="00D37BB8">
              <w:rPr>
                <w:u w:val="single"/>
              </w:rPr>
              <w:t xml:space="preserve">taksācijas gada laikā. Ienākuma izmaksātājs, no visiem ienākumiem, kas pārsniedz 1 667 </w:t>
            </w:r>
            <w:proofErr w:type="spellStart"/>
            <w:r w:rsidR="005A1D33" w:rsidRPr="00D37BB8">
              <w:rPr>
                <w:i/>
                <w:u w:val="single"/>
              </w:rPr>
              <w:t>euro</w:t>
            </w:r>
            <w:proofErr w:type="spellEnd"/>
            <w:r w:rsidRPr="00D37BB8">
              <w:rPr>
                <w:u w:val="single"/>
              </w:rPr>
              <w:t xml:space="preserve"> mēnesī ieturēs nodokli 23% apmēr</w:t>
            </w:r>
            <w:r w:rsidR="001344E7" w:rsidRPr="00D37BB8">
              <w:rPr>
                <w:u w:val="single"/>
              </w:rPr>
              <w:t>ā</w:t>
            </w:r>
            <w:r w:rsidRPr="00D37BB8">
              <w:rPr>
                <w:u w:val="single"/>
              </w:rPr>
              <w:t xml:space="preserve">, bet </w:t>
            </w:r>
            <w:r w:rsidR="002709D3" w:rsidRPr="00D37BB8">
              <w:rPr>
                <w:u w:val="single"/>
              </w:rPr>
              <w:t>ja šie ienākumi</w:t>
            </w:r>
            <w:r w:rsidRPr="00D37BB8">
              <w:rPr>
                <w:u w:val="single"/>
              </w:rPr>
              <w:t xml:space="preserve"> pārsniedz 55 000 </w:t>
            </w:r>
            <w:proofErr w:type="spellStart"/>
            <w:r w:rsidR="005A1D33" w:rsidRPr="00D37BB8">
              <w:rPr>
                <w:i/>
                <w:u w:val="single"/>
              </w:rPr>
              <w:t>euro</w:t>
            </w:r>
            <w:proofErr w:type="spellEnd"/>
            <w:r w:rsidRPr="00D37BB8">
              <w:rPr>
                <w:u w:val="single"/>
              </w:rPr>
              <w:t xml:space="preserve"> taksācijas gadā</w:t>
            </w:r>
            <w:r w:rsidR="002709D3" w:rsidRPr="00D37BB8">
              <w:rPr>
                <w:u w:val="single"/>
              </w:rPr>
              <w:t xml:space="preserve"> (piemēram, taksācijas gada ienākumi ir 65 000 </w:t>
            </w:r>
            <w:proofErr w:type="spellStart"/>
            <w:r w:rsidR="005A1D33" w:rsidRPr="00D37BB8">
              <w:rPr>
                <w:i/>
                <w:u w:val="single"/>
              </w:rPr>
              <w:t>euro</w:t>
            </w:r>
            <w:proofErr w:type="spellEnd"/>
            <w:r w:rsidR="002709D3" w:rsidRPr="00D37BB8">
              <w:rPr>
                <w:u w:val="single"/>
              </w:rPr>
              <w:t>),</w:t>
            </w:r>
            <w:r w:rsidRPr="00D37BB8">
              <w:rPr>
                <w:u w:val="single"/>
              </w:rPr>
              <w:t xml:space="preserve"> </w:t>
            </w:r>
            <w:r w:rsidR="002709D3" w:rsidRPr="00D37BB8">
              <w:rPr>
                <w:u w:val="single"/>
              </w:rPr>
              <w:t xml:space="preserve">nodoklis no taksācijas gada ienākuma </w:t>
            </w:r>
            <w:r w:rsidR="001344E7" w:rsidRPr="00D37BB8">
              <w:rPr>
                <w:u w:val="single"/>
              </w:rPr>
              <w:t xml:space="preserve">tiks aprēķināts un maksāts rezumējošā kārtībā. Par taksācijas gada laikā gūto </w:t>
            </w:r>
            <w:r w:rsidR="001344E7" w:rsidRPr="00D37BB8">
              <w:rPr>
                <w:u w:val="single"/>
              </w:rPr>
              <w:lastRenderedPageBreak/>
              <w:t xml:space="preserve">ienākumu samaksātajā nodoklī tiks ieskaitīta arī solidaritātes nodokļa daļa, </w:t>
            </w:r>
            <w:r w:rsidR="00A03D70">
              <w:rPr>
                <w:u w:val="single"/>
              </w:rPr>
              <w:t>kāda</w:t>
            </w:r>
            <w:r w:rsidR="001344E7" w:rsidRPr="00D37BB8">
              <w:rPr>
                <w:u w:val="single"/>
              </w:rPr>
              <w:t xml:space="preserve"> normatīvajos aktos noteiktajā kārtībā </w:t>
            </w:r>
            <w:r w:rsidR="001344E7" w:rsidRPr="00132CB8">
              <w:rPr>
                <w:u w:val="single"/>
              </w:rPr>
              <w:t>pārskaitīta kā ieņēmumi no iedzīvotāju ienākuma nodokļa</w:t>
            </w:r>
            <w:r w:rsidR="00266827" w:rsidRPr="00132CB8">
              <w:rPr>
                <w:u w:val="single"/>
              </w:rPr>
              <w:t xml:space="preserve"> uz iedzīvotāju ienākuma nodokļa </w:t>
            </w:r>
            <w:r w:rsidR="00A03D70" w:rsidRPr="00132CB8">
              <w:rPr>
                <w:u w:val="single"/>
              </w:rPr>
              <w:t xml:space="preserve">sadales </w:t>
            </w:r>
            <w:r w:rsidR="00266827" w:rsidRPr="00132CB8">
              <w:rPr>
                <w:u w:val="single"/>
              </w:rPr>
              <w:t>kontu</w:t>
            </w:r>
            <w:r w:rsidR="001344E7" w:rsidRPr="00132CB8">
              <w:rPr>
                <w:u w:val="single"/>
              </w:rPr>
              <w:t>.</w:t>
            </w:r>
            <w:r w:rsidR="003F2612">
              <w:rPr>
                <w:u w:val="single"/>
              </w:rPr>
              <w:t xml:space="preserve"> </w:t>
            </w:r>
          </w:p>
          <w:p w14:paraId="409D28FA" w14:textId="77777777" w:rsidR="003F2612" w:rsidRDefault="003F2612" w:rsidP="003F2612">
            <w:pPr>
              <w:tabs>
                <w:tab w:val="left" w:pos="2127"/>
                <w:tab w:val="center" w:pos="4153"/>
                <w:tab w:val="left" w:pos="6096"/>
                <w:tab w:val="right" w:pos="8306"/>
              </w:tabs>
              <w:ind w:left="255" w:right="140"/>
              <w:jc w:val="both"/>
              <w:rPr>
                <w:u w:val="single"/>
              </w:rPr>
            </w:pPr>
          </w:p>
          <w:p w14:paraId="1495B09B" w14:textId="3CA5D305" w:rsidR="003F2612" w:rsidRDefault="003F2612" w:rsidP="003F2612">
            <w:pPr>
              <w:tabs>
                <w:tab w:val="left" w:pos="2127"/>
                <w:tab w:val="center" w:pos="4153"/>
                <w:tab w:val="left" w:pos="6096"/>
                <w:tab w:val="right" w:pos="8306"/>
              </w:tabs>
              <w:ind w:left="255" w:right="140"/>
              <w:jc w:val="both"/>
            </w:pPr>
            <w:r w:rsidRPr="004D3B13">
              <w:rPr>
                <w:u w:val="single"/>
              </w:rPr>
              <w:t>Par minēto solidaritātes nodokļa daļu arī tiks samazināti maksātāja attaisnotie izdevumi, jo sākotnēji pirms nodokļa aprēķināšanas valsts sociālās apdrošināšanas obligātās iemaksas/solidaritātes nodoklis ir atskaitīti no nodokļa bāzes kā attaisnotie izdevumi, bet – tā kā daļa solidaritātes nodokļa ieņēmumu tiek novirzīti uz iedzīvotāju ienākuma nodokļa nomaksu - nav pamatoti samazināt apliekamo ienākumu par šo samaksāto nodokli.</w:t>
            </w:r>
          </w:p>
          <w:p w14:paraId="5311E266" w14:textId="77777777" w:rsidR="002709D3" w:rsidRPr="00D37BB8" w:rsidRDefault="002709D3" w:rsidP="006B4097">
            <w:pPr>
              <w:tabs>
                <w:tab w:val="left" w:pos="2127"/>
                <w:tab w:val="center" w:pos="4153"/>
                <w:tab w:val="left" w:pos="6096"/>
                <w:tab w:val="right" w:pos="8306"/>
              </w:tabs>
              <w:ind w:left="255" w:right="140"/>
              <w:jc w:val="both"/>
            </w:pPr>
          </w:p>
          <w:p w14:paraId="63A2056E" w14:textId="502D62F9" w:rsidR="00CC15F4" w:rsidRPr="00D37BB8" w:rsidRDefault="00CC15F4" w:rsidP="006B4097">
            <w:pPr>
              <w:tabs>
                <w:tab w:val="left" w:pos="2127"/>
                <w:tab w:val="center" w:pos="4153"/>
                <w:tab w:val="left" w:pos="6096"/>
                <w:tab w:val="right" w:pos="8306"/>
              </w:tabs>
              <w:ind w:left="255" w:right="140"/>
              <w:jc w:val="both"/>
            </w:pPr>
            <w:r w:rsidRPr="00D37BB8">
              <w:t>Progresīvo iedzīvotāju ienākuma nodokļa likmi paredzēts piemērot visiem ienākuma veidiem, izņemot tos, kuriem likuma 15.pantā atrunātas atšķirīgas – vienot</w:t>
            </w:r>
            <w:r w:rsidR="00465CA3" w:rsidRPr="00D37BB8">
              <w:t>ā</w:t>
            </w:r>
            <w:r w:rsidRPr="00D37BB8">
              <w:t>s nodokļa likmes</w:t>
            </w:r>
            <w:r w:rsidR="00FF4A1C" w:rsidRPr="00D37BB8">
              <w:t xml:space="preserve">. </w:t>
            </w:r>
          </w:p>
          <w:p w14:paraId="59B725C0" w14:textId="77777777" w:rsidR="00FF4A1C" w:rsidRPr="00D37BB8" w:rsidRDefault="00FF4A1C" w:rsidP="006B4097">
            <w:pPr>
              <w:tabs>
                <w:tab w:val="left" w:pos="2127"/>
                <w:tab w:val="center" w:pos="4153"/>
                <w:tab w:val="left" w:pos="6096"/>
                <w:tab w:val="right" w:pos="8306"/>
              </w:tabs>
              <w:ind w:left="255" w:right="140"/>
              <w:jc w:val="both"/>
            </w:pPr>
          </w:p>
          <w:p w14:paraId="623019F4" w14:textId="045F18EC" w:rsidR="00CC15F4" w:rsidRPr="00D37BB8" w:rsidRDefault="00CC15F4" w:rsidP="006B4097">
            <w:pPr>
              <w:tabs>
                <w:tab w:val="left" w:pos="2127"/>
                <w:tab w:val="center" w:pos="4153"/>
                <w:tab w:val="left" w:pos="6096"/>
                <w:tab w:val="right" w:pos="8306"/>
              </w:tabs>
              <w:ind w:left="255" w:right="140"/>
              <w:jc w:val="both"/>
            </w:pPr>
            <w:r w:rsidRPr="00D37BB8">
              <w:t xml:space="preserve">Saistībā ar progresīvās iedzīvotāju ienākuma nodokļa likmes ieviešanu mainās arī ar nodokli apliekamā ienākuma definīcija </w:t>
            </w:r>
            <w:r w:rsidR="00767CE0" w:rsidRPr="00D37BB8">
              <w:t>likuma 3.panta otrajā daļā, kā arī 3.pants papildināts ar 2.</w:t>
            </w:r>
            <w:r w:rsidR="00767CE0" w:rsidRPr="00D37BB8">
              <w:rPr>
                <w:vertAlign w:val="superscript"/>
              </w:rPr>
              <w:t>4</w:t>
            </w:r>
            <w:r w:rsidR="00767CE0" w:rsidRPr="00D37BB8">
              <w:t xml:space="preserve"> un 2.</w:t>
            </w:r>
            <w:r w:rsidR="00767CE0" w:rsidRPr="00D37BB8">
              <w:rPr>
                <w:vertAlign w:val="superscript"/>
              </w:rPr>
              <w:t>5</w:t>
            </w:r>
            <w:r w:rsidR="00767CE0" w:rsidRPr="00D37BB8">
              <w:t xml:space="preserve"> daļu. Ja maksātāja taksācijas gada ienākums</w:t>
            </w:r>
            <w:r w:rsidR="003128AB" w:rsidRPr="00D37BB8">
              <w:t>, n</w:t>
            </w:r>
            <w:r w:rsidR="00767CE0" w:rsidRPr="00D37BB8">
              <w:t>eieskaitot ar nodokli neapliekamos ienākumus</w:t>
            </w:r>
            <w:r w:rsidR="003128AB" w:rsidRPr="00D37BB8">
              <w:t>,</w:t>
            </w:r>
            <w:r w:rsidR="00767CE0" w:rsidRPr="00D37BB8">
              <w:t xml:space="preserve"> nepārsniedz </w:t>
            </w:r>
            <w:r w:rsidR="009B5322" w:rsidRPr="00D37BB8">
              <w:rPr>
                <w:u w:val="single"/>
              </w:rPr>
              <w:t>20 </w:t>
            </w:r>
            <w:r w:rsidR="00767CE0" w:rsidRPr="00D37BB8">
              <w:rPr>
                <w:u w:val="single"/>
              </w:rPr>
              <w:t>000</w:t>
            </w:r>
            <w:r w:rsidR="00767CE0" w:rsidRPr="00D37BB8">
              <w:t xml:space="preserve"> </w:t>
            </w:r>
            <w:proofErr w:type="spellStart"/>
            <w:r w:rsidR="005A1D33" w:rsidRPr="00D37BB8">
              <w:rPr>
                <w:i/>
              </w:rPr>
              <w:t>euro</w:t>
            </w:r>
            <w:proofErr w:type="spellEnd"/>
            <w:r w:rsidR="00767CE0" w:rsidRPr="00D37BB8">
              <w:t>, apliekamais ienākums tiek noteikts līdzšinējā kārtībā – t.i., samazināts par attaisnotajiem izdevumiem (t.sk. valsts sociālās apdrošināšanas iemaksām), diferencēto neapliekamo minimumu (ja maksātājs tādu tiesīgs piemērot) un likumā noteiktajiem atvieglojumiem.</w:t>
            </w:r>
          </w:p>
          <w:p w14:paraId="6A60925C" w14:textId="76E75A68" w:rsidR="00767CE0" w:rsidRPr="00D37BB8" w:rsidRDefault="00767CE0" w:rsidP="002709D3">
            <w:pPr>
              <w:tabs>
                <w:tab w:val="left" w:pos="2127"/>
                <w:tab w:val="center" w:pos="4153"/>
                <w:tab w:val="left" w:pos="6096"/>
                <w:tab w:val="right" w:pos="8306"/>
              </w:tabs>
              <w:ind w:left="255" w:right="142"/>
              <w:jc w:val="both"/>
            </w:pPr>
            <w:r w:rsidRPr="00D37BB8">
              <w:t xml:space="preserve">Ja maksātāja taksācijas gada ienākums (neieskaitot ar nodokli neapliekamos ienākumus) pārsniedz </w:t>
            </w:r>
            <w:r w:rsidR="009B5322" w:rsidRPr="00D37BB8">
              <w:rPr>
                <w:u w:val="single"/>
              </w:rPr>
              <w:t>20 </w:t>
            </w:r>
            <w:r w:rsidRPr="00D37BB8">
              <w:rPr>
                <w:u w:val="single"/>
              </w:rPr>
              <w:t>000</w:t>
            </w:r>
            <w:r w:rsidRPr="00D37BB8">
              <w:t xml:space="preserve"> </w:t>
            </w:r>
            <w:proofErr w:type="spellStart"/>
            <w:r w:rsidR="005A1D33" w:rsidRPr="00D37BB8">
              <w:rPr>
                <w:i/>
              </w:rPr>
              <w:t>euro</w:t>
            </w:r>
            <w:proofErr w:type="spellEnd"/>
            <w:r w:rsidR="00465CA3" w:rsidRPr="00D37BB8">
              <w:rPr>
                <w:i/>
              </w:rPr>
              <w:t xml:space="preserve"> </w:t>
            </w:r>
            <w:r w:rsidR="00465CA3" w:rsidRPr="00D37BB8">
              <w:rPr>
                <w:u w:val="single"/>
              </w:rPr>
              <w:t xml:space="preserve">(mēneša ienākums – 1 667 </w:t>
            </w:r>
            <w:proofErr w:type="spellStart"/>
            <w:r w:rsidR="005A1D33" w:rsidRPr="00D37BB8">
              <w:rPr>
                <w:i/>
                <w:u w:val="single"/>
              </w:rPr>
              <w:t>euro</w:t>
            </w:r>
            <w:proofErr w:type="spellEnd"/>
            <w:r w:rsidR="00465CA3" w:rsidRPr="00D37BB8">
              <w:rPr>
                <w:u w:val="single"/>
              </w:rPr>
              <w:t>)</w:t>
            </w:r>
            <w:r w:rsidRPr="00D37BB8">
              <w:t>, apliekamais ienākums tiek noteikts šādi:</w:t>
            </w:r>
          </w:p>
          <w:p w14:paraId="15DBC2C5" w14:textId="0A87C98A" w:rsidR="00767CE0" w:rsidRPr="00D37BB8" w:rsidRDefault="003D1B81" w:rsidP="002709D3">
            <w:pPr>
              <w:pStyle w:val="ListParagraph"/>
              <w:numPr>
                <w:ilvl w:val="0"/>
                <w:numId w:val="5"/>
              </w:numPr>
              <w:tabs>
                <w:tab w:val="left" w:pos="685"/>
                <w:tab w:val="left" w:pos="2127"/>
                <w:tab w:val="center" w:pos="4153"/>
                <w:tab w:val="left" w:pos="6096"/>
                <w:tab w:val="right" w:pos="8306"/>
              </w:tabs>
              <w:spacing w:after="0" w:line="240" w:lineRule="auto"/>
              <w:ind w:left="255" w:right="142" w:firstLine="0"/>
              <w:jc w:val="both"/>
              <w:rPr>
                <w:rFonts w:ascii="Times New Roman" w:hAnsi="Times New Roman"/>
                <w:sz w:val="24"/>
                <w:szCs w:val="24"/>
                <w:lang w:val="lv-LV"/>
              </w:rPr>
            </w:pPr>
            <w:r w:rsidRPr="00D37BB8">
              <w:rPr>
                <w:rFonts w:ascii="Times New Roman" w:hAnsi="Times New Roman"/>
                <w:sz w:val="24"/>
                <w:szCs w:val="24"/>
                <w:lang w:val="lv-LV"/>
              </w:rPr>
              <w:t xml:space="preserve">ienākuma daļa, kas nepārsniedz </w:t>
            </w:r>
            <w:r w:rsidR="009B5322" w:rsidRPr="00D37BB8">
              <w:rPr>
                <w:rFonts w:ascii="Times New Roman" w:hAnsi="Times New Roman"/>
                <w:sz w:val="24"/>
                <w:szCs w:val="24"/>
                <w:u w:val="single"/>
                <w:lang w:val="lv-LV"/>
              </w:rPr>
              <w:t>20 </w:t>
            </w:r>
            <w:r w:rsidRPr="00D37BB8">
              <w:rPr>
                <w:rFonts w:ascii="Times New Roman" w:hAnsi="Times New Roman"/>
                <w:sz w:val="24"/>
                <w:szCs w:val="24"/>
                <w:u w:val="single"/>
                <w:lang w:val="lv-LV"/>
              </w:rPr>
              <w:t>000</w:t>
            </w:r>
            <w:r w:rsidRPr="00D37BB8">
              <w:rPr>
                <w:rFonts w:ascii="Times New Roman" w:hAnsi="Times New Roman"/>
                <w:sz w:val="24"/>
                <w:szCs w:val="24"/>
                <w:lang w:val="lv-LV"/>
              </w:rPr>
              <w:t xml:space="preserve"> </w:t>
            </w:r>
            <w:proofErr w:type="spellStart"/>
            <w:r w:rsidR="005A1D33" w:rsidRPr="00D37BB8">
              <w:rPr>
                <w:rFonts w:ascii="Times New Roman" w:hAnsi="Times New Roman"/>
                <w:i/>
                <w:sz w:val="24"/>
                <w:szCs w:val="24"/>
                <w:lang w:val="lv-LV"/>
              </w:rPr>
              <w:t>euro</w:t>
            </w:r>
            <w:proofErr w:type="spellEnd"/>
            <w:r w:rsidRPr="00D37BB8">
              <w:rPr>
                <w:rFonts w:ascii="Times New Roman" w:hAnsi="Times New Roman"/>
                <w:sz w:val="24"/>
                <w:szCs w:val="24"/>
                <w:lang w:val="lv-LV"/>
              </w:rPr>
              <w:t xml:space="preserve"> </w:t>
            </w:r>
            <w:r w:rsidR="00465CA3" w:rsidRPr="00D37BB8">
              <w:rPr>
                <w:rFonts w:ascii="Times New Roman" w:hAnsi="Times New Roman"/>
                <w:sz w:val="24"/>
                <w:szCs w:val="24"/>
                <w:lang w:val="lv-LV"/>
              </w:rPr>
              <w:t xml:space="preserve">(1 667 </w:t>
            </w:r>
            <w:proofErr w:type="spellStart"/>
            <w:r w:rsidR="005A1D33" w:rsidRPr="00D37BB8">
              <w:rPr>
                <w:rFonts w:ascii="Times New Roman" w:hAnsi="Times New Roman"/>
                <w:i/>
                <w:sz w:val="24"/>
                <w:szCs w:val="24"/>
                <w:lang w:val="lv-LV"/>
              </w:rPr>
              <w:t>euro</w:t>
            </w:r>
            <w:proofErr w:type="spellEnd"/>
            <w:r w:rsidR="00465CA3" w:rsidRPr="00D37BB8">
              <w:rPr>
                <w:rFonts w:ascii="Times New Roman" w:hAnsi="Times New Roman"/>
                <w:sz w:val="24"/>
                <w:szCs w:val="24"/>
                <w:lang w:val="lv-LV"/>
              </w:rPr>
              <w:t xml:space="preserve">) </w:t>
            </w:r>
            <w:r w:rsidRPr="00D37BB8">
              <w:rPr>
                <w:rFonts w:ascii="Times New Roman" w:hAnsi="Times New Roman"/>
                <w:sz w:val="24"/>
                <w:szCs w:val="24"/>
                <w:lang w:val="lv-LV"/>
              </w:rPr>
              <w:t xml:space="preserve">tiek samazināta par attaisnotajiem izdevumiem (t.sk. valsts sociālās apdrošināšanas iemaksām), diferencēto neapliekamo minimumu (ja maksātājs tādu tiesīgs piemērot) un likumā noteiktajiem atvieglojumiem, un šai apliekamā ienākuma daļai </w:t>
            </w:r>
            <w:r w:rsidR="00601280" w:rsidRPr="00D37BB8">
              <w:rPr>
                <w:rFonts w:ascii="Times New Roman" w:hAnsi="Times New Roman"/>
                <w:sz w:val="24"/>
                <w:szCs w:val="24"/>
                <w:lang w:val="lv-LV"/>
              </w:rPr>
              <w:t xml:space="preserve">tiek </w:t>
            </w:r>
            <w:r w:rsidRPr="00D37BB8">
              <w:rPr>
                <w:rFonts w:ascii="Times New Roman" w:hAnsi="Times New Roman"/>
                <w:sz w:val="24"/>
                <w:szCs w:val="24"/>
                <w:lang w:val="lv-LV"/>
              </w:rPr>
              <w:t>piemērota iedzīvotāju ienākuma nodokļa likme 20% apmērā;</w:t>
            </w:r>
          </w:p>
          <w:p w14:paraId="1BEA0A2D" w14:textId="40EF2AED" w:rsidR="00E21E20" w:rsidRPr="00D37BB8" w:rsidRDefault="003D1B81" w:rsidP="002709D3">
            <w:pPr>
              <w:pStyle w:val="ListParagraph"/>
              <w:numPr>
                <w:ilvl w:val="0"/>
                <w:numId w:val="5"/>
              </w:numPr>
              <w:tabs>
                <w:tab w:val="left" w:pos="680"/>
                <w:tab w:val="center" w:pos="4153"/>
                <w:tab w:val="left" w:pos="6096"/>
                <w:tab w:val="right" w:pos="8306"/>
              </w:tabs>
              <w:spacing w:after="0" w:line="240" w:lineRule="auto"/>
              <w:ind w:left="255" w:right="142" w:firstLine="105"/>
              <w:jc w:val="both"/>
              <w:rPr>
                <w:rFonts w:ascii="Times New Roman" w:hAnsi="Times New Roman"/>
                <w:sz w:val="24"/>
                <w:szCs w:val="24"/>
              </w:rPr>
            </w:pPr>
            <w:r w:rsidRPr="00D37BB8">
              <w:rPr>
                <w:rFonts w:ascii="Times New Roman" w:hAnsi="Times New Roman"/>
                <w:sz w:val="24"/>
                <w:szCs w:val="24"/>
                <w:lang w:val="lv-LV"/>
              </w:rPr>
              <w:t xml:space="preserve">ienākuma daļu, kas pārsniedz </w:t>
            </w:r>
            <w:r w:rsidR="009B5322" w:rsidRPr="00D37BB8">
              <w:rPr>
                <w:rFonts w:ascii="Times New Roman" w:hAnsi="Times New Roman"/>
                <w:sz w:val="24"/>
                <w:szCs w:val="24"/>
                <w:u w:val="single"/>
                <w:lang w:val="lv-LV"/>
              </w:rPr>
              <w:t xml:space="preserve">20 </w:t>
            </w:r>
            <w:r w:rsidRPr="00D37BB8">
              <w:rPr>
                <w:rFonts w:ascii="Times New Roman" w:hAnsi="Times New Roman"/>
                <w:sz w:val="24"/>
                <w:szCs w:val="24"/>
                <w:u w:val="single"/>
                <w:lang w:val="lv-LV"/>
              </w:rPr>
              <w:t>000</w:t>
            </w:r>
            <w:r w:rsidRPr="00D37BB8">
              <w:rPr>
                <w:rFonts w:ascii="Times New Roman" w:hAnsi="Times New Roman"/>
                <w:sz w:val="24"/>
                <w:szCs w:val="24"/>
                <w:lang w:val="lv-LV"/>
              </w:rPr>
              <w:t xml:space="preserve"> </w:t>
            </w:r>
            <w:proofErr w:type="spellStart"/>
            <w:r w:rsidR="005A1D33" w:rsidRPr="00D37BB8">
              <w:rPr>
                <w:rFonts w:ascii="Times New Roman" w:hAnsi="Times New Roman"/>
                <w:i/>
                <w:sz w:val="24"/>
                <w:szCs w:val="24"/>
                <w:lang w:val="lv-LV"/>
              </w:rPr>
              <w:t>euro</w:t>
            </w:r>
            <w:proofErr w:type="spellEnd"/>
            <w:r w:rsidR="00DB0357" w:rsidRPr="00D37BB8">
              <w:rPr>
                <w:rFonts w:ascii="Times New Roman" w:hAnsi="Times New Roman"/>
                <w:sz w:val="24"/>
                <w:szCs w:val="24"/>
                <w:lang w:val="lv-LV"/>
              </w:rPr>
              <w:t xml:space="preserve"> </w:t>
            </w:r>
            <w:r w:rsidR="00465CA3" w:rsidRPr="00D37BB8">
              <w:rPr>
                <w:rFonts w:ascii="Times New Roman" w:hAnsi="Times New Roman"/>
                <w:sz w:val="24"/>
                <w:szCs w:val="24"/>
                <w:u w:val="single"/>
                <w:lang w:val="lv-LV"/>
              </w:rPr>
              <w:t xml:space="preserve">(1 667 </w:t>
            </w:r>
            <w:proofErr w:type="spellStart"/>
            <w:r w:rsidR="005A1D33" w:rsidRPr="00D37BB8">
              <w:rPr>
                <w:rFonts w:ascii="Times New Roman" w:hAnsi="Times New Roman"/>
                <w:i/>
                <w:sz w:val="24"/>
                <w:szCs w:val="24"/>
                <w:u w:val="single"/>
                <w:lang w:val="lv-LV"/>
              </w:rPr>
              <w:t>euro</w:t>
            </w:r>
            <w:proofErr w:type="spellEnd"/>
            <w:r w:rsidR="00465CA3" w:rsidRPr="00D37BB8">
              <w:rPr>
                <w:rFonts w:ascii="Times New Roman" w:hAnsi="Times New Roman"/>
                <w:sz w:val="24"/>
                <w:szCs w:val="24"/>
                <w:u w:val="single"/>
                <w:lang w:val="lv-LV"/>
              </w:rPr>
              <w:t xml:space="preserve">) </w:t>
            </w:r>
            <w:r w:rsidR="00DB0357" w:rsidRPr="00D37BB8">
              <w:rPr>
                <w:rFonts w:ascii="Times New Roman" w:hAnsi="Times New Roman"/>
                <w:sz w:val="24"/>
                <w:szCs w:val="24"/>
                <w:u w:val="single"/>
                <w:lang w:val="lv-LV"/>
              </w:rPr>
              <w:t xml:space="preserve">var samazināt par  attaisnotajiem izdevumiem (t.sk. valsts sociālās apdrošināšanas iemaksām) un likumā noteiktajiem atvieglojumiem tikai tad, ja ar maksātāja gada ienākumiem līdz 20 000 </w:t>
            </w:r>
            <w:proofErr w:type="spellStart"/>
            <w:r w:rsidR="005A1D33" w:rsidRPr="00D37BB8">
              <w:rPr>
                <w:rFonts w:ascii="Times New Roman" w:hAnsi="Times New Roman"/>
                <w:i/>
                <w:sz w:val="24"/>
                <w:szCs w:val="24"/>
                <w:u w:val="single"/>
                <w:lang w:val="lv-LV"/>
              </w:rPr>
              <w:t>euro</w:t>
            </w:r>
            <w:proofErr w:type="spellEnd"/>
            <w:r w:rsidR="00DB0357" w:rsidRPr="00D37BB8">
              <w:rPr>
                <w:rFonts w:ascii="Times New Roman" w:hAnsi="Times New Roman"/>
                <w:sz w:val="24"/>
                <w:szCs w:val="24"/>
                <w:u w:val="single"/>
                <w:lang w:val="lv-LV"/>
              </w:rPr>
              <w:t xml:space="preserve"> </w:t>
            </w:r>
            <w:r w:rsidR="00465CA3" w:rsidRPr="00D37BB8">
              <w:rPr>
                <w:rFonts w:ascii="Times New Roman" w:hAnsi="Times New Roman"/>
                <w:sz w:val="24"/>
                <w:szCs w:val="24"/>
                <w:u w:val="single"/>
                <w:lang w:val="lv-LV"/>
              </w:rPr>
              <w:t xml:space="preserve">(1 667 </w:t>
            </w:r>
            <w:proofErr w:type="spellStart"/>
            <w:r w:rsidR="005A1D33" w:rsidRPr="00D37BB8">
              <w:rPr>
                <w:rFonts w:ascii="Times New Roman" w:hAnsi="Times New Roman"/>
                <w:i/>
                <w:sz w:val="24"/>
                <w:szCs w:val="24"/>
                <w:u w:val="single"/>
                <w:lang w:val="lv-LV"/>
              </w:rPr>
              <w:t>euro</w:t>
            </w:r>
            <w:proofErr w:type="spellEnd"/>
            <w:r w:rsidR="00465CA3" w:rsidRPr="00D37BB8">
              <w:rPr>
                <w:rFonts w:ascii="Times New Roman" w:hAnsi="Times New Roman"/>
                <w:sz w:val="24"/>
                <w:szCs w:val="24"/>
                <w:u w:val="single"/>
                <w:lang w:val="lv-LV"/>
              </w:rPr>
              <w:t xml:space="preserve">) </w:t>
            </w:r>
            <w:r w:rsidR="00DB0357" w:rsidRPr="00D37BB8">
              <w:rPr>
                <w:rFonts w:ascii="Times New Roman" w:hAnsi="Times New Roman"/>
                <w:sz w:val="24"/>
                <w:szCs w:val="24"/>
                <w:u w:val="single"/>
                <w:lang w:val="lv-LV"/>
              </w:rPr>
              <w:t>nepietiek, lai segtu iepriekš minētos atskaitījumus.</w:t>
            </w:r>
            <w:r w:rsidR="00DB0357" w:rsidRPr="00D37BB8" w:rsidDel="00DB0357">
              <w:rPr>
                <w:rFonts w:ascii="Times New Roman" w:hAnsi="Times New Roman"/>
                <w:sz w:val="24"/>
                <w:szCs w:val="24"/>
                <w:u w:val="single"/>
                <w:lang w:val="lv-LV"/>
              </w:rPr>
              <w:t xml:space="preserve"> </w:t>
            </w:r>
            <w:r w:rsidR="00E21E20" w:rsidRPr="00D37BB8">
              <w:rPr>
                <w:rFonts w:ascii="Times New Roman" w:hAnsi="Times New Roman"/>
                <w:sz w:val="24"/>
                <w:szCs w:val="24"/>
                <w:u w:val="single"/>
                <w:lang w:val="lv-LV"/>
              </w:rPr>
              <w:t>Būtiski, ka šajā gadījumā likumā paredzētos atskaitījumus veic tādējādi, ka ienākuma daļas, kas pārsniedz 20 000</w:t>
            </w:r>
            <w:r w:rsidR="00E21E20" w:rsidRPr="00D37BB8">
              <w:rPr>
                <w:rFonts w:ascii="Times New Roman" w:hAnsi="Times New Roman"/>
                <w:sz w:val="24"/>
                <w:szCs w:val="24"/>
                <w:lang w:val="lv-LV"/>
              </w:rPr>
              <w:t xml:space="preserve"> </w:t>
            </w:r>
            <w:proofErr w:type="spellStart"/>
            <w:r w:rsidR="005A1D33" w:rsidRPr="00D37BB8">
              <w:rPr>
                <w:rFonts w:ascii="Times New Roman" w:hAnsi="Times New Roman"/>
                <w:i/>
                <w:sz w:val="24"/>
                <w:szCs w:val="24"/>
                <w:lang w:val="lv-LV"/>
              </w:rPr>
              <w:t>euro</w:t>
            </w:r>
            <w:proofErr w:type="spellEnd"/>
            <w:r w:rsidR="00E21E20" w:rsidRPr="00D37BB8">
              <w:rPr>
                <w:rFonts w:ascii="Times New Roman" w:hAnsi="Times New Roman"/>
                <w:sz w:val="24"/>
                <w:szCs w:val="24"/>
                <w:lang w:val="lv-LV"/>
              </w:rPr>
              <w:t xml:space="preserve"> </w:t>
            </w:r>
            <w:r w:rsidR="00E21E20" w:rsidRPr="00D37BB8">
              <w:rPr>
                <w:rFonts w:ascii="Times New Roman" w:hAnsi="Times New Roman"/>
                <w:sz w:val="24"/>
                <w:szCs w:val="24"/>
                <w:u w:val="single"/>
                <w:lang w:val="lv-LV"/>
              </w:rPr>
              <w:t xml:space="preserve">(1 667 </w:t>
            </w:r>
            <w:proofErr w:type="spellStart"/>
            <w:r w:rsidR="005A1D33" w:rsidRPr="00D37BB8">
              <w:rPr>
                <w:rFonts w:ascii="Times New Roman" w:hAnsi="Times New Roman"/>
                <w:i/>
                <w:sz w:val="24"/>
                <w:szCs w:val="24"/>
                <w:u w:val="single"/>
                <w:lang w:val="lv-LV"/>
              </w:rPr>
              <w:t>euro</w:t>
            </w:r>
            <w:proofErr w:type="spellEnd"/>
            <w:r w:rsidR="00E21E20" w:rsidRPr="00D37BB8">
              <w:rPr>
                <w:rFonts w:ascii="Times New Roman" w:hAnsi="Times New Roman"/>
                <w:sz w:val="24"/>
                <w:szCs w:val="24"/>
                <w:u w:val="single"/>
                <w:lang w:val="lv-LV"/>
              </w:rPr>
              <w:t>)</w:t>
            </w:r>
            <w:r w:rsidR="002F70FF" w:rsidRPr="00D37BB8">
              <w:rPr>
                <w:rFonts w:ascii="Times New Roman" w:hAnsi="Times New Roman"/>
                <w:sz w:val="24"/>
                <w:szCs w:val="24"/>
                <w:u w:val="single"/>
                <w:lang w:val="lv-LV"/>
              </w:rPr>
              <w:t>, nodokli aprēķina, piemērojot likumā noteikto progresīvo nodokļa likmi (piemēram, 23%), taču aprēķināto nodokļa apmēru samazina par nodokli, kurš aprēķināts, likumā noteikto atskaitījumu summu reizinot ar likmi 20% apmērā.</w:t>
            </w:r>
          </w:p>
          <w:p w14:paraId="6844749A" w14:textId="66BB6ED2" w:rsidR="002F70FF" w:rsidRPr="00D37BB8" w:rsidRDefault="002F70FF" w:rsidP="002709D3">
            <w:pPr>
              <w:pStyle w:val="ListParagraph"/>
              <w:tabs>
                <w:tab w:val="left" w:pos="680"/>
                <w:tab w:val="center" w:pos="4153"/>
                <w:tab w:val="left" w:pos="6096"/>
                <w:tab w:val="right" w:pos="8306"/>
              </w:tabs>
              <w:spacing w:after="0" w:line="240" w:lineRule="auto"/>
              <w:ind w:left="360" w:right="142"/>
              <w:jc w:val="both"/>
              <w:rPr>
                <w:rFonts w:ascii="Times New Roman" w:hAnsi="Times New Roman"/>
                <w:sz w:val="24"/>
                <w:szCs w:val="24"/>
              </w:rPr>
            </w:pPr>
          </w:p>
          <w:p w14:paraId="6857F6BF" w14:textId="2FBE1D84" w:rsidR="002F70FF" w:rsidRPr="00D37BB8" w:rsidRDefault="002F70FF"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r w:rsidRPr="00D37BB8">
              <w:rPr>
                <w:rFonts w:ascii="Times New Roman" w:hAnsi="Times New Roman"/>
                <w:sz w:val="24"/>
                <w:szCs w:val="24"/>
                <w:lang w:val="lv-LV"/>
              </w:rPr>
              <w:lastRenderedPageBreak/>
              <w:t>Attiecīgi arī iesniedzot gada ienākumu deklarāciju,</w:t>
            </w:r>
            <w:r w:rsidRPr="00D37BB8">
              <w:rPr>
                <w:rFonts w:ascii="Times New Roman" w:hAnsi="Times New Roman"/>
                <w:sz w:val="24"/>
                <w:szCs w:val="24"/>
                <w:u w:val="single"/>
                <w:lang w:val="lv-LV"/>
              </w:rPr>
              <w:t xml:space="preserve"> iedzīvotāju ienākuma nodokļa atmaksa likumā noteiktajos gadījumos un apmērā notiks, piemērojot nodokļa likmi 20% apmērā.</w:t>
            </w:r>
          </w:p>
          <w:p w14:paraId="2B7F0D46" w14:textId="38772DD0" w:rsidR="00B06905" w:rsidRPr="00D37BB8" w:rsidRDefault="00B06905"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p>
          <w:p w14:paraId="5B3E0D01" w14:textId="16AAA622" w:rsidR="00B06905" w:rsidRPr="00BB29C8" w:rsidRDefault="00B06905"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i/>
                <w:sz w:val="20"/>
                <w:szCs w:val="24"/>
                <w:lang w:val="lv-LV"/>
              </w:rPr>
            </w:pPr>
            <w:r w:rsidRPr="00BB29C8">
              <w:rPr>
                <w:rFonts w:ascii="Times New Roman" w:hAnsi="Times New Roman"/>
                <w:i/>
                <w:sz w:val="20"/>
                <w:szCs w:val="24"/>
                <w:u w:val="single"/>
                <w:lang w:val="lv-LV"/>
              </w:rPr>
              <w:t>1.piemērs</w:t>
            </w:r>
          </w:p>
          <w:p w14:paraId="11A1F14E" w14:textId="110C268C" w:rsidR="002F70FF" w:rsidRPr="00BB29C8" w:rsidRDefault="00B06905"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Maksātāja mēneša alga ir 3 000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apgādībā divas personas</w:t>
            </w:r>
            <w:r w:rsidR="00E13C8F">
              <w:rPr>
                <w:rFonts w:ascii="Times New Roman" w:hAnsi="Times New Roman"/>
                <w:sz w:val="20"/>
                <w:szCs w:val="24"/>
                <w:u w:val="single"/>
                <w:lang w:val="lv-LV"/>
              </w:rPr>
              <w:t xml:space="preserve">, (pie darba devēja iesniegta algas nodokļa grāmatiņa, bet </w:t>
            </w:r>
            <w:r w:rsidRPr="00BB29C8">
              <w:rPr>
                <w:rFonts w:ascii="Times New Roman" w:hAnsi="Times New Roman"/>
                <w:sz w:val="20"/>
                <w:szCs w:val="24"/>
                <w:u w:val="single"/>
                <w:lang w:val="lv-LV"/>
              </w:rPr>
              <w:t>diferencēto neapliekamo minimumu nepiemēro</w:t>
            </w:r>
            <w:r w:rsidR="00DB4413" w:rsidRPr="00BB29C8">
              <w:rPr>
                <w:rFonts w:ascii="Times New Roman" w:hAnsi="Times New Roman"/>
                <w:sz w:val="20"/>
                <w:szCs w:val="24"/>
                <w:u w:val="single"/>
                <w:lang w:val="lv-LV"/>
              </w:rPr>
              <w:t xml:space="preserve">, jo mēneša ienākums pārsniedz 1000 </w:t>
            </w:r>
            <w:proofErr w:type="spellStart"/>
            <w:r w:rsidR="00DB441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Valsts sociālās apdrošināšanas obligāto iemaksu (VSAOI)  likme darba ņēmējam – 11%, nodokļa atvieglojums par apgādībā esošu personu – 200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mēnesī. Mēneša ienākumu slieksnis, līdz kuram piemēro nodokļa likmi 20% apmērā – 1 667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w:t>
            </w:r>
          </w:p>
          <w:p w14:paraId="6FFEDC45" w14:textId="77777777" w:rsidR="00B06905" w:rsidRPr="00BB29C8" w:rsidRDefault="00B06905"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p>
          <w:tbl>
            <w:tblPr>
              <w:tblStyle w:val="TableGrid"/>
              <w:tblW w:w="0" w:type="auto"/>
              <w:tblInd w:w="255" w:type="dxa"/>
              <w:tblLook w:val="04A0" w:firstRow="1" w:lastRow="0" w:firstColumn="1" w:lastColumn="0" w:noHBand="0" w:noVBand="1"/>
            </w:tblPr>
            <w:tblGrid>
              <w:gridCol w:w="3186"/>
              <w:gridCol w:w="3185"/>
            </w:tblGrid>
            <w:tr w:rsidR="00B06905" w:rsidRPr="00BB29C8" w14:paraId="5DCFE6B6" w14:textId="77777777" w:rsidTr="002709D3">
              <w:tc>
                <w:tcPr>
                  <w:tcW w:w="6371" w:type="dxa"/>
                  <w:gridSpan w:val="2"/>
                </w:tcPr>
                <w:p w14:paraId="07791B21" w14:textId="77777777"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p w14:paraId="061FE117" w14:textId="37219AF0" w:rsidR="00B06905" w:rsidRPr="00BB29C8" w:rsidRDefault="00B06905"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4"/>
                      <w:u w:val="single"/>
                      <w:lang w:val="lv-LV"/>
                    </w:rPr>
                  </w:pPr>
                  <w:r w:rsidRPr="00BB29C8">
                    <w:rPr>
                      <w:rFonts w:ascii="Times New Roman" w:hAnsi="Times New Roman"/>
                      <w:sz w:val="20"/>
                      <w:szCs w:val="24"/>
                      <w:u w:val="single"/>
                      <w:lang w:val="lv-LV"/>
                    </w:rPr>
                    <w:t xml:space="preserve">3 000 </w:t>
                  </w:r>
                  <w:proofErr w:type="spellStart"/>
                  <w:r w:rsidR="005A1D33" w:rsidRPr="00BB29C8">
                    <w:rPr>
                      <w:rFonts w:ascii="Times New Roman" w:hAnsi="Times New Roman"/>
                      <w:i/>
                      <w:sz w:val="20"/>
                      <w:szCs w:val="24"/>
                      <w:u w:val="single"/>
                      <w:lang w:val="lv-LV"/>
                    </w:rPr>
                    <w:t>euro</w:t>
                  </w:r>
                  <w:proofErr w:type="spellEnd"/>
                </w:p>
                <w:p w14:paraId="2F9E0FC6" w14:textId="22788F58"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r>
            <w:tr w:rsidR="00453A14" w:rsidRPr="00BB29C8" w14:paraId="511E7E95" w14:textId="77777777" w:rsidTr="002709D3">
              <w:trPr>
                <w:trHeight w:val="1840"/>
              </w:trPr>
              <w:tc>
                <w:tcPr>
                  <w:tcW w:w="3186" w:type="dxa"/>
                </w:tcPr>
                <w:p w14:paraId="7A096F03" w14:textId="397F516E"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1 667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(ienākums līdz mēneša ienākumu </w:t>
                  </w:r>
                  <w:r w:rsidR="00D37BB8" w:rsidRPr="00BB29C8">
                    <w:rPr>
                      <w:rFonts w:ascii="Times New Roman" w:hAnsi="Times New Roman"/>
                      <w:sz w:val="20"/>
                      <w:szCs w:val="24"/>
                      <w:u w:val="single"/>
                      <w:lang w:val="lv-LV"/>
                    </w:rPr>
                    <w:t>1.</w:t>
                  </w:r>
                  <w:r w:rsidRPr="00BB29C8">
                    <w:rPr>
                      <w:rFonts w:ascii="Times New Roman" w:hAnsi="Times New Roman"/>
                      <w:sz w:val="20"/>
                      <w:szCs w:val="24"/>
                      <w:u w:val="single"/>
                      <w:lang w:val="lv-LV"/>
                    </w:rPr>
                    <w:t>slieksnim)</w:t>
                  </w:r>
                </w:p>
                <w:p w14:paraId="56F4D101" w14:textId="2060563E" w:rsidR="00453A14" w:rsidRPr="00BB29C8" w:rsidRDefault="00453A14" w:rsidP="00E81B14">
                  <w:pPr>
                    <w:framePr w:hSpace="180" w:wrap="around" w:vAnchor="text" w:hAnchor="margin" w:xAlign="center" w:y="149"/>
                    <w:tabs>
                      <w:tab w:val="left" w:pos="720"/>
                      <w:tab w:val="left" w:pos="2127"/>
                      <w:tab w:val="center" w:pos="4153"/>
                      <w:tab w:val="left" w:pos="6096"/>
                      <w:tab w:val="right" w:pos="8306"/>
                    </w:tabs>
                    <w:ind w:right="140"/>
                    <w:jc w:val="right"/>
                    <w:rPr>
                      <w:rFonts w:ascii="Times New Roman" w:hAnsi="Times New Roman"/>
                      <w:sz w:val="20"/>
                      <w:u w:val="single"/>
                    </w:rPr>
                  </w:pPr>
                  <w:r w:rsidRPr="00BB29C8">
                    <w:rPr>
                      <w:rFonts w:ascii="Times New Roman" w:hAnsi="Times New Roman"/>
                      <w:sz w:val="20"/>
                      <w:u w:val="single"/>
                    </w:rPr>
                    <w:t xml:space="preserve">- 330 </w:t>
                  </w:r>
                  <w:proofErr w:type="spellStart"/>
                  <w:r w:rsidR="005A1D33" w:rsidRPr="00BB29C8">
                    <w:rPr>
                      <w:rFonts w:ascii="Times New Roman" w:hAnsi="Times New Roman"/>
                      <w:i/>
                      <w:sz w:val="20"/>
                      <w:u w:val="single"/>
                    </w:rPr>
                    <w:t>euro</w:t>
                  </w:r>
                  <w:proofErr w:type="spellEnd"/>
                  <w:r w:rsidRPr="00BB29C8">
                    <w:rPr>
                      <w:rFonts w:ascii="Times New Roman" w:hAnsi="Times New Roman"/>
                      <w:sz w:val="20"/>
                      <w:u w:val="single"/>
                    </w:rPr>
                    <w:t xml:space="preserve"> (VSAOI 11%)</w:t>
                  </w:r>
                </w:p>
                <w:p w14:paraId="09030A94" w14:textId="701281CB"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- 400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(IIN atvieglojums par 2 apgādībā esošām personām)</w:t>
                  </w:r>
                </w:p>
                <w:p w14:paraId="54B982DE" w14:textId="4E50757B"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 937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(apliekamais ienākums)</w:t>
                  </w:r>
                </w:p>
                <w:p w14:paraId="6BDE53D7" w14:textId="77777777"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20% (IIN likme)</w:t>
                  </w:r>
                </w:p>
                <w:p w14:paraId="0BD2AE69" w14:textId="497B82B0"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 187,40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(IIN)</w:t>
                  </w:r>
                </w:p>
              </w:tc>
              <w:tc>
                <w:tcPr>
                  <w:tcW w:w="3185" w:type="dxa"/>
                </w:tcPr>
                <w:p w14:paraId="7B6A5B66" w14:textId="25FB3479"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1 333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(ienākums virs mēneša ienākumu </w:t>
                  </w:r>
                  <w:r w:rsidR="00D37BB8" w:rsidRPr="00BB29C8">
                    <w:rPr>
                      <w:rFonts w:ascii="Times New Roman" w:hAnsi="Times New Roman"/>
                      <w:sz w:val="20"/>
                      <w:szCs w:val="24"/>
                      <w:u w:val="single"/>
                      <w:lang w:val="lv-LV"/>
                    </w:rPr>
                    <w:t>1.</w:t>
                  </w:r>
                  <w:r w:rsidRPr="00BB29C8">
                    <w:rPr>
                      <w:rFonts w:ascii="Times New Roman" w:hAnsi="Times New Roman"/>
                      <w:sz w:val="20"/>
                      <w:szCs w:val="24"/>
                      <w:u w:val="single"/>
                      <w:lang w:val="lv-LV"/>
                    </w:rPr>
                    <w:t>sliekšņa)</w:t>
                  </w:r>
                </w:p>
                <w:p w14:paraId="3A416479" w14:textId="77777777"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*23% (IIN likme)</w:t>
                  </w:r>
                </w:p>
                <w:p w14:paraId="2C79A0E7" w14:textId="2C3AF37E"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=306,59 (IIN)</w:t>
                  </w:r>
                </w:p>
              </w:tc>
            </w:tr>
            <w:tr w:rsidR="00B06905" w:rsidRPr="00BB29C8" w14:paraId="37026360" w14:textId="77777777" w:rsidTr="002709D3">
              <w:tc>
                <w:tcPr>
                  <w:tcW w:w="6371" w:type="dxa"/>
                  <w:gridSpan w:val="2"/>
                </w:tcPr>
                <w:p w14:paraId="69D7CC5C" w14:textId="77777777"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p w14:paraId="657EED82" w14:textId="07A3C0FF" w:rsidR="00B06905" w:rsidRPr="00BB29C8" w:rsidRDefault="00B06905"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4"/>
                      <w:u w:val="single"/>
                      <w:lang w:val="lv-LV"/>
                    </w:rPr>
                  </w:pPr>
                  <w:r w:rsidRPr="00BB29C8">
                    <w:rPr>
                      <w:rFonts w:ascii="Times New Roman" w:hAnsi="Times New Roman"/>
                      <w:sz w:val="20"/>
                      <w:szCs w:val="24"/>
                      <w:u w:val="single"/>
                      <w:lang w:val="lv-LV"/>
                    </w:rPr>
                    <w:t xml:space="preserve">IIN kopā: 187,40+306,59=493,99 </w:t>
                  </w:r>
                  <w:proofErr w:type="spellStart"/>
                  <w:r w:rsidR="005A1D33" w:rsidRPr="00BB29C8">
                    <w:rPr>
                      <w:rFonts w:ascii="Times New Roman" w:hAnsi="Times New Roman"/>
                      <w:i/>
                      <w:sz w:val="20"/>
                      <w:szCs w:val="24"/>
                      <w:u w:val="single"/>
                      <w:lang w:val="lv-LV"/>
                    </w:rPr>
                    <w:t>euro</w:t>
                  </w:r>
                  <w:proofErr w:type="spellEnd"/>
                </w:p>
                <w:p w14:paraId="0A8F5025" w14:textId="486BAAA9"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r>
          </w:tbl>
          <w:p w14:paraId="775948C7" w14:textId="512833D5" w:rsidR="00B06905" w:rsidRPr="00D37BB8" w:rsidRDefault="00B06905"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p>
          <w:p w14:paraId="0E594B2C" w14:textId="15D003B6" w:rsidR="003E5F47" w:rsidRPr="00BB29C8" w:rsidRDefault="003E5F47"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i/>
                <w:sz w:val="20"/>
                <w:szCs w:val="20"/>
                <w:u w:val="single"/>
                <w:lang w:val="lv-LV"/>
              </w:rPr>
            </w:pPr>
            <w:r w:rsidRPr="00BB29C8">
              <w:rPr>
                <w:rFonts w:ascii="Times New Roman" w:hAnsi="Times New Roman"/>
                <w:i/>
                <w:sz w:val="20"/>
                <w:szCs w:val="20"/>
                <w:u w:val="single"/>
                <w:lang w:val="lv-LV"/>
              </w:rPr>
              <w:t>2.piemērs</w:t>
            </w:r>
          </w:p>
          <w:p w14:paraId="682B21C0" w14:textId="72C25ED0" w:rsidR="003E5F47" w:rsidRPr="00BB29C8" w:rsidRDefault="003E5F47"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r w:rsidRPr="00BB29C8">
              <w:rPr>
                <w:rFonts w:ascii="Times New Roman" w:hAnsi="Times New Roman"/>
                <w:sz w:val="20"/>
                <w:szCs w:val="20"/>
                <w:u w:val="single"/>
                <w:lang w:val="lv-LV"/>
              </w:rPr>
              <w:t xml:space="preserve">Maksātāja mēneša ienākums ir 2083,33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maksātājam ir piecas apgādībā esošas personas</w:t>
            </w:r>
            <w:r w:rsidR="00E13C8F">
              <w:rPr>
                <w:rFonts w:ascii="Times New Roman" w:hAnsi="Times New Roman"/>
                <w:sz w:val="20"/>
                <w:szCs w:val="20"/>
                <w:u w:val="single"/>
                <w:lang w:val="lv-LV"/>
              </w:rPr>
              <w:t xml:space="preserve"> </w:t>
            </w:r>
            <w:r w:rsidR="00E13C8F">
              <w:rPr>
                <w:rFonts w:ascii="Times New Roman" w:hAnsi="Times New Roman"/>
                <w:sz w:val="20"/>
                <w:szCs w:val="24"/>
                <w:u w:val="single"/>
                <w:lang w:val="lv-LV"/>
              </w:rPr>
              <w:t xml:space="preserve">(pie darba devēja iesniegta algas nodokļa grāmatiņa, bet </w:t>
            </w:r>
            <w:r w:rsidR="00E13C8F" w:rsidRPr="00BB29C8">
              <w:rPr>
                <w:rFonts w:ascii="Times New Roman" w:hAnsi="Times New Roman"/>
                <w:sz w:val="20"/>
                <w:szCs w:val="24"/>
                <w:u w:val="single"/>
                <w:lang w:val="lv-LV"/>
              </w:rPr>
              <w:t xml:space="preserve">diferencēto neapliekamo minimumu nepiemēro, jo mēneša ienākums pārsniedz 1000 </w:t>
            </w:r>
            <w:proofErr w:type="spellStart"/>
            <w:r w:rsidR="00E13C8F" w:rsidRPr="00BB29C8">
              <w:rPr>
                <w:rFonts w:ascii="Times New Roman" w:hAnsi="Times New Roman"/>
                <w:i/>
                <w:sz w:val="20"/>
                <w:szCs w:val="24"/>
                <w:u w:val="single"/>
                <w:lang w:val="lv-LV"/>
              </w:rPr>
              <w:t>euro</w:t>
            </w:r>
            <w:proofErr w:type="spellEnd"/>
            <w:r w:rsidR="00E13C8F">
              <w:rPr>
                <w:rFonts w:ascii="Times New Roman" w:hAnsi="Times New Roman"/>
                <w:sz w:val="20"/>
                <w:szCs w:val="24"/>
                <w:u w:val="single"/>
                <w:lang w:val="lv-LV"/>
              </w:rPr>
              <w:t>)</w:t>
            </w:r>
            <w:r w:rsidRPr="00BB29C8">
              <w:rPr>
                <w:rFonts w:ascii="Times New Roman" w:hAnsi="Times New Roman"/>
                <w:sz w:val="20"/>
                <w:szCs w:val="20"/>
                <w:u w:val="single"/>
                <w:lang w:val="lv-LV"/>
              </w:rPr>
              <w:t xml:space="preserve">. Taksācijas gada laikā maksātājs veicis iemaksas privātajā pensiju fondā 4000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apmērā, bet maksātājam un vēl 2 viņa ģimenes locekļiem ir radušies attaisnotie izdevumi par ārstniecības pakalpojumiem (600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+ 400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+ 500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w:t>
            </w:r>
          </w:p>
          <w:p w14:paraId="1A696461" w14:textId="2B0FC1D8" w:rsidR="003E5F47" w:rsidRPr="00BB29C8" w:rsidRDefault="003E5F47"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tbl>
            <w:tblPr>
              <w:tblStyle w:val="TableGrid"/>
              <w:tblW w:w="0" w:type="auto"/>
              <w:tblInd w:w="255" w:type="dxa"/>
              <w:tblLook w:val="04A0" w:firstRow="1" w:lastRow="0" w:firstColumn="1" w:lastColumn="0" w:noHBand="0" w:noVBand="1"/>
            </w:tblPr>
            <w:tblGrid>
              <w:gridCol w:w="3186"/>
              <w:gridCol w:w="3185"/>
            </w:tblGrid>
            <w:tr w:rsidR="003E5F47" w:rsidRPr="00BB29C8" w14:paraId="0CCBE731" w14:textId="77777777" w:rsidTr="003F2612">
              <w:tc>
                <w:tcPr>
                  <w:tcW w:w="6371" w:type="dxa"/>
                  <w:gridSpan w:val="2"/>
                </w:tcPr>
                <w:p w14:paraId="17099BE3"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p w14:paraId="66AE224A" w14:textId="2E1CB276"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0"/>
                      <w:u w:val="single"/>
                      <w:lang w:val="lv-LV"/>
                    </w:rPr>
                  </w:pPr>
                  <w:r w:rsidRPr="00BB29C8">
                    <w:rPr>
                      <w:rFonts w:ascii="Times New Roman" w:hAnsi="Times New Roman"/>
                      <w:sz w:val="20"/>
                      <w:szCs w:val="20"/>
                      <w:u w:val="single"/>
                      <w:lang w:val="lv-LV"/>
                    </w:rPr>
                    <w:t xml:space="preserve">2083,33 </w:t>
                  </w:r>
                  <w:proofErr w:type="spellStart"/>
                  <w:r w:rsidR="005A1D33" w:rsidRPr="00BB29C8">
                    <w:rPr>
                      <w:rFonts w:ascii="Times New Roman" w:hAnsi="Times New Roman"/>
                      <w:i/>
                      <w:sz w:val="20"/>
                      <w:szCs w:val="20"/>
                      <w:u w:val="single"/>
                      <w:lang w:val="lv-LV"/>
                    </w:rPr>
                    <w:t>euro</w:t>
                  </w:r>
                  <w:proofErr w:type="spellEnd"/>
                </w:p>
                <w:p w14:paraId="41664E05"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tc>
            </w:tr>
            <w:tr w:rsidR="003E5F47" w:rsidRPr="00BB29C8" w14:paraId="46E084DD" w14:textId="77777777" w:rsidTr="003F2612">
              <w:trPr>
                <w:trHeight w:val="1840"/>
              </w:trPr>
              <w:tc>
                <w:tcPr>
                  <w:tcW w:w="3186" w:type="dxa"/>
                </w:tcPr>
                <w:p w14:paraId="05710052" w14:textId="4F12627F"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1 667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(ienākums līdz mēneša ienākumu </w:t>
                  </w:r>
                  <w:r w:rsidR="00D37BB8" w:rsidRPr="00BB29C8">
                    <w:rPr>
                      <w:rFonts w:ascii="Times New Roman" w:hAnsi="Times New Roman"/>
                      <w:sz w:val="20"/>
                      <w:szCs w:val="20"/>
                      <w:u w:val="single"/>
                      <w:lang w:val="lv-LV"/>
                    </w:rPr>
                    <w:t>1.</w:t>
                  </w:r>
                  <w:r w:rsidRPr="00BB29C8">
                    <w:rPr>
                      <w:rFonts w:ascii="Times New Roman" w:hAnsi="Times New Roman"/>
                      <w:sz w:val="20"/>
                      <w:szCs w:val="20"/>
                      <w:u w:val="single"/>
                      <w:lang w:val="lv-LV"/>
                    </w:rPr>
                    <w:t>slieksnim)</w:t>
                  </w:r>
                </w:p>
                <w:p w14:paraId="5B260222" w14:textId="1B5C8599" w:rsidR="003E5F47" w:rsidRPr="00BB29C8" w:rsidRDefault="003E5F47" w:rsidP="00E81B14">
                  <w:pPr>
                    <w:framePr w:hSpace="180" w:wrap="around" w:vAnchor="text" w:hAnchor="margin" w:xAlign="center" w:y="149"/>
                    <w:tabs>
                      <w:tab w:val="left" w:pos="720"/>
                      <w:tab w:val="left" w:pos="2127"/>
                      <w:tab w:val="center" w:pos="4153"/>
                      <w:tab w:val="left" w:pos="6096"/>
                      <w:tab w:val="right" w:pos="8306"/>
                    </w:tabs>
                    <w:ind w:right="140"/>
                    <w:jc w:val="right"/>
                    <w:rPr>
                      <w:rFonts w:ascii="Times New Roman" w:hAnsi="Times New Roman"/>
                      <w:sz w:val="20"/>
                      <w:szCs w:val="20"/>
                      <w:u w:val="single"/>
                    </w:rPr>
                  </w:pPr>
                  <w:r w:rsidRPr="00BB29C8">
                    <w:rPr>
                      <w:rFonts w:ascii="Times New Roman" w:hAnsi="Times New Roman"/>
                      <w:sz w:val="20"/>
                      <w:szCs w:val="20"/>
                      <w:u w:val="single"/>
                    </w:rPr>
                    <w:t xml:space="preserve">- 229,17 </w:t>
                  </w:r>
                  <w:proofErr w:type="spellStart"/>
                  <w:r w:rsidR="005A1D33" w:rsidRPr="00BB29C8">
                    <w:rPr>
                      <w:rFonts w:ascii="Times New Roman" w:hAnsi="Times New Roman"/>
                      <w:i/>
                      <w:sz w:val="20"/>
                      <w:szCs w:val="20"/>
                      <w:u w:val="single"/>
                    </w:rPr>
                    <w:t>euro</w:t>
                  </w:r>
                  <w:proofErr w:type="spellEnd"/>
                  <w:r w:rsidRPr="00BB29C8">
                    <w:rPr>
                      <w:rFonts w:ascii="Times New Roman" w:hAnsi="Times New Roman"/>
                      <w:sz w:val="20"/>
                      <w:szCs w:val="20"/>
                      <w:u w:val="single"/>
                    </w:rPr>
                    <w:t xml:space="preserve"> (VSAOI 11%)</w:t>
                  </w:r>
                </w:p>
                <w:p w14:paraId="5C2CC2F8" w14:textId="49429283"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- 1000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(IIN atvieglojums par 5 apgādībā esošām personām)</w:t>
                  </w:r>
                </w:p>
                <w:p w14:paraId="3C407E28" w14:textId="62B60D8F"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=437,83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(apliekamais ienākums)</w:t>
                  </w:r>
                </w:p>
                <w:p w14:paraId="1134AB1C"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20% (IIN likme)</w:t>
                  </w:r>
                </w:p>
                <w:p w14:paraId="2C951E33" w14:textId="2D582184"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 87,57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(IIN)</w:t>
                  </w:r>
                </w:p>
              </w:tc>
              <w:tc>
                <w:tcPr>
                  <w:tcW w:w="3185" w:type="dxa"/>
                </w:tcPr>
                <w:p w14:paraId="6FB459E0" w14:textId="7E6860A0"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416,33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(ienākums virs mēneša ienākumu </w:t>
                  </w:r>
                  <w:r w:rsidR="00D37BB8" w:rsidRPr="00BB29C8">
                    <w:rPr>
                      <w:rFonts w:ascii="Times New Roman" w:hAnsi="Times New Roman"/>
                      <w:sz w:val="20"/>
                      <w:szCs w:val="20"/>
                      <w:u w:val="single"/>
                      <w:lang w:val="lv-LV"/>
                    </w:rPr>
                    <w:t>1.</w:t>
                  </w:r>
                  <w:r w:rsidRPr="00BB29C8">
                    <w:rPr>
                      <w:rFonts w:ascii="Times New Roman" w:hAnsi="Times New Roman"/>
                      <w:sz w:val="20"/>
                      <w:szCs w:val="20"/>
                      <w:u w:val="single"/>
                      <w:lang w:val="lv-LV"/>
                    </w:rPr>
                    <w:t>sliekšņa)</w:t>
                  </w:r>
                </w:p>
                <w:p w14:paraId="74E8CDEC"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*23% (IIN likme)</w:t>
                  </w:r>
                </w:p>
                <w:p w14:paraId="2230D823" w14:textId="47BDE648"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=95,76 (IIN)</w:t>
                  </w:r>
                </w:p>
              </w:tc>
            </w:tr>
            <w:tr w:rsidR="003E5F47" w:rsidRPr="00BB29C8" w14:paraId="76903710" w14:textId="77777777" w:rsidTr="003F2612">
              <w:tc>
                <w:tcPr>
                  <w:tcW w:w="6371" w:type="dxa"/>
                  <w:gridSpan w:val="2"/>
                </w:tcPr>
                <w:p w14:paraId="2E55FD6F"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p w14:paraId="33E85B6C" w14:textId="22D43B48"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0"/>
                      <w:u w:val="single"/>
                      <w:lang w:val="lv-LV"/>
                    </w:rPr>
                  </w:pPr>
                  <w:r w:rsidRPr="00BB29C8">
                    <w:rPr>
                      <w:rFonts w:ascii="Times New Roman" w:hAnsi="Times New Roman"/>
                      <w:sz w:val="20"/>
                      <w:szCs w:val="20"/>
                      <w:u w:val="single"/>
                      <w:lang w:val="lv-LV"/>
                    </w:rPr>
                    <w:t xml:space="preserve">IIN kopā: 87,57+95,76=183,33 </w:t>
                  </w:r>
                  <w:proofErr w:type="spellStart"/>
                  <w:r w:rsidR="005A1D33" w:rsidRPr="00BB29C8">
                    <w:rPr>
                      <w:rFonts w:ascii="Times New Roman" w:hAnsi="Times New Roman"/>
                      <w:i/>
                      <w:sz w:val="20"/>
                      <w:szCs w:val="20"/>
                      <w:u w:val="single"/>
                      <w:lang w:val="lv-LV"/>
                    </w:rPr>
                    <w:t>euro</w:t>
                  </w:r>
                  <w:proofErr w:type="spellEnd"/>
                </w:p>
                <w:p w14:paraId="74081EBD"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tc>
            </w:tr>
          </w:tbl>
          <w:p w14:paraId="168C56F6" w14:textId="69EF3796" w:rsidR="003E5F47" w:rsidRPr="00BB29C8" w:rsidRDefault="003E5F47" w:rsidP="002F70FF">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p w14:paraId="7E951DE4" w14:textId="7EB75124" w:rsidR="003E5F47" w:rsidRPr="00BB29C8" w:rsidRDefault="003E5F47"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r w:rsidRPr="00BB29C8">
              <w:rPr>
                <w:rFonts w:ascii="Times New Roman" w:hAnsi="Times New Roman"/>
                <w:sz w:val="20"/>
                <w:szCs w:val="20"/>
                <w:u w:val="single"/>
                <w:lang w:val="lv-LV"/>
              </w:rPr>
              <w:t xml:space="preserve">Pieņemot, ka maksātāja situācija nemainās visu taksācijas gadu, taksācijas gada laikā avansā samaksātais IIN ir 2 199,96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w:t>
            </w:r>
          </w:p>
          <w:p w14:paraId="471034C0" w14:textId="1CB2062C" w:rsidR="003E5F47" w:rsidRPr="00BB29C8" w:rsidRDefault="003E5F47"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p w14:paraId="74A38A8A" w14:textId="36373F55" w:rsidR="003E5F47" w:rsidRPr="00BB29C8" w:rsidRDefault="003E5F47"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r w:rsidRPr="00BB29C8">
              <w:rPr>
                <w:rFonts w:ascii="Times New Roman" w:hAnsi="Times New Roman"/>
                <w:sz w:val="20"/>
                <w:szCs w:val="20"/>
                <w:u w:val="single"/>
                <w:lang w:val="lv-LV"/>
              </w:rPr>
              <w:t>Maksātāja gada ienākuma aprēķins rezumējošā kārtībā, iesniedzot gada ienākumu deklarāciju:</w:t>
            </w:r>
          </w:p>
          <w:p w14:paraId="00857E71" w14:textId="7943C157" w:rsidR="003E5F47" w:rsidRDefault="003E5F47"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p w14:paraId="375D143A" w14:textId="6B6369C1" w:rsidR="003E693F" w:rsidRDefault="003E693F"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p w14:paraId="3B08C865" w14:textId="77777777" w:rsidR="003E693F" w:rsidRPr="00BB29C8" w:rsidRDefault="003E693F"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tbl>
            <w:tblPr>
              <w:tblStyle w:val="TableGrid"/>
              <w:tblW w:w="0" w:type="auto"/>
              <w:tblInd w:w="255" w:type="dxa"/>
              <w:tblLook w:val="04A0" w:firstRow="1" w:lastRow="0" w:firstColumn="1" w:lastColumn="0" w:noHBand="0" w:noVBand="1"/>
            </w:tblPr>
            <w:tblGrid>
              <w:gridCol w:w="3186"/>
              <w:gridCol w:w="3185"/>
            </w:tblGrid>
            <w:tr w:rsidR="003E5F47" w:rsidRPr="00BB29C8" w14:paraId="3C46C863" w14:textId="77777777" w:rsidTr="003F2612">
              <w:tc>
                <w:tcPr>
                  <w:tcW w:w="6371" w:type="dxa"/>
                  <w:gridSpan w:val="2"/>
                </w:tcPr>
                <w:p w14:paraId="24A4ED16"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p w14:paraId="662832FE" w14:textId="6E91508F"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0"/>
                      <w:u w:val="single"/>
                      <w:lang w:val="lv-LV"/>
                    </w:rPr>
                  </w:pPr>
                  <w:r w:rsidRPr="00BB29C8">
                    <w:rPr>
                      <w:rFonts w:ascii="Times New Roman" w:hAnsi="Times New Roman"/>
                      <w:sz w:val="20"/>
                      <w:szCs w:val="20"/>
                      <w:u w:val="single"/>
                      <w:lang w:val="lv-LV"/>
                    </w:rPr>
                    <w:t xml:space="preserve">25 000 </w:t>
                  </w:r>
                  <w:proofErr w:type="spellStart"/>
                  <w:r w:rsidR="005A1D33" w:rsidRPr="00BB29C8">
                    <w:rPr>
                      <w:rFonts w:ascii="Times New Roman" w:hAnsi="Times New Roman"/>
                      <w:i/>
                      <w:sz w:val="20"/>
                      <w:szCs w:val="20"/>
                      <w:u w:val="single"/>
                      <w:lang w:val="lv-LV"/>
                    </w:rPr>
                    <w:t>euro</w:t>
                  </w:r>
                  <w:proofErr w:type="spellEnd"/>
                </w:p>
                <w:p w14:paraId="2F39177C"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tc>
            </w:tr>
            <w:tr w:rsidR="003E5F47" w:rsidRPr="00BB29C8" w14:paraId="633C7720" w14:textId="77777777" w:rsidTr="003F2612">
              <w:trPr>
                <w:trHeight w:val="1840"/>
              </w:trPr>
              <w:tc>
                <w:tcPr>
                  <w:tcW w:w="3186" w:type="dxa"/>
                </w:tcPr>
                <w:p w14:paraId="02825DBA" w14:textId="40B501C0"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20 000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(ienākums līdz gada ienākumu </w:t>
                  </w:r>
                  <w:r w:rsidR="00D37BB8" w:rsidRPr="00BB29C8">
                    <w:rPr>
                      <w:rFonts w:ascii="Times New Roman" w:hAnsi="Times New Roman"/>
                      <w:sz w:val="20"/>
                      <w:szCs w:val="20"/>
                      <w:u w:val="single"/>
                      <w:lang w:val="lv-LV"/>
                    </w:rPr>
                    <w:t>1.</w:t>
                  </w:r>
                  <w:r w:rsidRPr="00BB29C8">
                    <w:rPr>
                      <w:rFonts w:ascii="Times New Roman" w:hAnsi="Times New Roman"/>
                      <w:sz w:val="20"/>
                      <w:szCs w:val="20"/>
                      <w:u w:val="single"/>
                      <w:lang w:val="lv-LV"/>
                    </w:rPr>
                    <w:t>slieksnim)</w:t>
                  </w:r>
                </w:p>
                <w:p w14:paraId="5E52614A" w14:textId="58D0A435" w:rsidR="003E5F47" w:rsidRPr="00BB29C8" w:rsidRDefault="003E5F47" w:rsidP="00E81B14">
                  <w:pPr>
                    <w:framePr w:hSpace="180" w:wrap="around" w:vAnchor="text" w:hAnchor="margin" w:xAlign="center" w:y="149"/>
                    <w:tabs>
                      <w:tab w:val="left" w:pos="720"/>
                      <w:tab w:val="left" w:pos="2127"/>
                      <w:tab w:val="center" w:pos="4153"/>
                      <w:tab w:val="left" w:pos="6096"/>
                      <w:tab w:val="right" w:pos="8306"/>
                    </w:tabs>
                    <w:ind w:right="140"/>
                    <w:jc w:val="right"/>
                    <w:rPr>
                      <w:rFonts w:ascii="Times New Roman" w:hAnsi="Times New Roman"/>
                      <w:sz w:val="20"/>
                      <w:szCs w:val="20"/>
                      <w:u w:val="single"/>
                    </w:rPr>
                  </w:pPr>
                  <w:r w:rsidRPr="00BB29C8">
                    <w:rPr>
                      <w:rFonts w:ascii="Times New Roman" w:hAnsi="Times New Roman"/>
                      <w:sz w:val="20"/>
                      <w:szCs w:val="20"/>
                      <w:u w:val="single"/>
                    </w:rPr>
                    <w:t xml:space="preserve">- 2 750  </w:t>
                  </w:r>
                  <w:proofErr w:type="spellStart"/>
                  <w:r w:rsidR="005A1D33" w:rsidRPr="00BB29C8">
                    <w:rPr>
                      <w:rFonts w:ascii="Times New Roman" w:hAnsi="Times New Roman"/>
                      <w:i/>
                      <w:sz w:val="20"/>
                      <w:szCs w:val="20"/>
                      <w:u w:val="single"/>
                    </w:rPr>
                    <w:t>euro</w:t>
                  </w:r>
                  <w:proofErr w:type="spellEnd"/>
                  <w:r w:rsidRPr="00BB29C8">
                    <w:rPr>
                      <w:rFonts w:ascii="Times New Roman" w:hAnsi="Times New Roman"/>
                      <w:sz w:val="20"/>
                      <w:szCs w:val="20"/>
                      <w:u w:val="single"/>
                    </w:rPr>
                    <w:t xml:space="preserve"> (VSAOI 11%)</w:t>
                  </w:r>
                </w:p>
                <w:p w14:paraId="196B40FC" w14:textId="2982436F"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- 12 000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(IIN atvieglojums par 5 apgādībā esošām personām)</w:t>
                  </w:r>
                </w:p>
                <w:p w14:paraId="6093A452" w14:textId="134DF6AF"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- 4 000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(iemaksas privātajā pensiju fondā)</w:t>
                  </w:r>
                </w:p>
                <w:p w14:paraId="2C7579DD" w14:textId="0373BE06"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- 1 500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(attaisnotie izdevumi par ārstniecības pakalpojumiem)</w:t>
                  </w:r>
                </w:p>
                <w:p w14:paraId="42A8B9A5" w14:textId="5E9F6574"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 - 250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(apliekamais ienākums)</w:t>
                  </w:r>
                </w:p>
                <w:p w14:paraId="47EA4D78"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p>
                <w:p w14:paraId="7A8628C1" w14:textId="1FCE499A"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p>
              </w:tc>
              <w:tc>
                <w:tcPr>
                  <w:tcW w:w="3185" w:type="dxa"/>
                </w:tcPr>
                <w:p w14:paraId="07D675D1" w14:textId="7ECE8022"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5 000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(ienākums virs gada ienākumu </w:t>
                  </w:r>
                  <w:r w:rsidR="00D37BB8" w:rsidRPr="00BB29C8">
                    <w:rPr>
                      <w:rFonts w:ascii="Times New Roman" w:hAnsi="Times New Roman"/>
                      <w:sz w:val="20"/>
                      <w:szCs w:val="20"/>
                      <w:u w:val="single"/>
                      <w:lang w:val="lv-LV"/>
                    </w:rPr>
                    <w:t>1.</w:t>
                  </w:r>
                  <w:r w:rsidRPr="00BB29C8">
                    <w:rPr>
                      <w:rFonts w:ascii="Times New Roman" w:hAnsi="Times New Roman"/>
                      <w:sz w:val="20"/>
                      <w:szCs w:val="20"/>
                      <w:u w:val="single"/>
                      <w:lang w:val="lv-LV"/>
                    </w:rPr>
                    <w:t>sliekšņa)</w:t>
                  </w:r>
                </w:p>
                <w:p w14:paraId="49729696"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*23% (IIN likme)</w:t>
                  </w:r>
                </w:p>
                <w:p w14:paraId="71CF716A" w14:textId="61128F3F"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=1 150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(IIN)</w:t>
                  </w:r>
                </w:p>
                <w:p w14:paraId="0878198A"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p>
                <w:p w14:paraId="08E6ADF3" w14:textId="61CC876A"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250*</w:t>
                  </w:r>
                  <w:r w:rsidR="004034A8" w:rsidRPr="00BB29C8">
                    <w:rPr>
                      <w:rFonts w:ascii="Times New Roman" w:hAnsi="Times New Roman"/>
                      <w:sz w:val="20"/>
                      <w:szCs w:val="20"/>
                      <w:u w:val="single"/>
                      <w:lang w:val="lv-LV"/>
                    </w:rPr>
                    <w:t xml:space="preserve">20%=50 </w:t>
                  </w:r>
                  <w:proofErr w:type="spellStart"/>
                  <w:r w:rsidR="005A1D33" w:rsidRPr="00BB29C8">
                    <w:rPr>
                      <w:rFonts w:ascii="Times New Roman" w:hAnsi="Times New Roman"/>
                      <w:i/>
                      <w:sz w:val="20"/>
                      <w:szCs w:val="20"/>
                      <w:u w:val="single"/>
                      <w:lang w:val="lv-LV"/>
                    </w:rPr>
                    <w:t>euro</w:t>
                  </w:r>
                  <w:proofErr w:type="spellEnd"/>
                  <w:r w:rsidR="004034A8" w:rsidRPr="00BB29C8">
                    <w:rPr>
                      <w:rFonts w:ascii="Times New Roman" w:hAnsi="Times New Roman"/>
                      <w:sz w:val="20"/>
                      <w:szCs w:val="20"/>
                      <w:u w:val="single"/>
                      <w:lang w:val="lv-LV"/>
                    </w:rPr>
                    <w:t xml:space="preserve"> (līdz 1.gada ienākumu slieksnim neizmantotā atskaitījumu daļa, ko reizina ar 20% likmi)</w:t>
                  </w:r>
                </w:p>
                <w:p w14:paraId="541543D8" w14:textId="77777777" w:rsidR="004034A8" w:rsidRPr="00BB29C8" w:rsidRDefault="004034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p>
                <w:p w14:paraId="196A3125" w14:textId="3F22DFEC" w:rsidR="004034A8" w:rsidRPr="00BB29C8" w:rsidRDefault="004034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r w:rsidRPr="00BB29C8">
                    <w:rPr>
                      <w:rFonts w:ascii="Times New Roman" w:hAnsi="Times New Roman"/>
                      <w:sz w:val="20"/>
                      <w:szCs w:val="20"/>
                      <w:u w:val="single"/>
                      <w:lang w:val="lv-LV"/>
                    </w:rPr>
                    <w:t xml:space="preserve">1 150 -50 = 1 100 </w:t>
                  </w:r>
                  <w:proofErr w:type="spellStart"/>
                  <w:r w:rsidR="005A1D33" w:rsidRPr="00BB29C8">
                    <w:rPr>
                      <w:rFonts w:ascii="Times New Roman" w:hAnsi="Times New Roman"/>
                      <w:i/>
                      <w:sz w:val="20"/>
                      <w:szCs w:val="20"/>
                      <w:u w:val="single"/>
                      <w:lang w:val="lv-LV"/>
                    </w:rPr>
                    <w:t>euro</w:t>
                  </w:r>
                  <w:proofErr w:type="spellEnd"/>
                  <w:r w:rsidRPr="00BB29C8">
                    <w:rPr>
                      <w:rFonts w:ascii="Times New Roman" w:hAnsi="Times New Roman"/>
                      <w:sz w:val="20"/>
                      <w:szCs w:val="20"/>
                      <w:u w:val="single"/>
                      <w:lang w:val="lv-LV"/>
                    </w:rPr>
                    <w:t xml:space="preserve"> (rezumējošā kārtībā aprēķinātais IIN)</w:t>
                  </w:r>
                </w:p>
                <w:p w14:paraId="4D7FAE61" w14:textId="77777777" w:rsidR="004034A8" w:rsidRPr="00BB29C8" w:rsidRDefault="004034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p>
                <w:p w14:paraId="4C07D328" w14:textId="2CE44D8C" w:rsidR="004034A8" w:rsidRPr="00BB29C8" w:rsidRDefault="004034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0"/>
                      <w:u w:val="single"/>
                      <w:lang w:val="lv-LV"/>
                    </w:rPr>
                  </w:pPr>
                </w:p>
              </w:tc>
            </w:tr>
            <w:tr w:rsidR="003E5F47" w:rsidRPr="00BB29C8" w14:paraId="263AF9D2" w14:textId="77777777" w:rsidTr="003F2612">
              <w:tc>
                <w:tcPr>
                  <w:tcW w:w="6371" w:type="dxa"/>
                  <w:gridSpan w:val="2"/>
                </w:tcPr>
                <w:p w14:paraId="21B2FF69"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p w14:paraId="230B9810" w14:textId="534B484D" w:rsidR="004034A8" w:rsidRPr="00BB29C8" w:rsidRDefault="004034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r w:rsidRPr="00BB29C8">
                    <w:rPr>
                      <w:rFonts w:ascii="Times New Roman" w:hAnsi="Times New Roman"/>
                      <w:sz w:val="20"/>
                      <w:szCs w:val="20"/>
                      <w:u w:val="single"/>
                      <w:lang w:val="lv-LV"/>
                    </w:rPr>
                    <w:t xml:space="preserve">Pārmaksātā IIN atmaksa 2 199,96 – 1 100 = 1 099,96 </w:t>
                  </w:r>
                  <w:proofErr w:type="spellStart"/>
                  <w:r w:rsidR="005A1D33" w:rsidRPr="00BB29C8">
                    <w:rPr>
                      <w:rFonts w:ascii="Times New Roman" w:hAnsi="Times New Roman"/>
                      <w:i/>
                      <w:sz w:val="20"/>
                      <w:szCs w:val="20"/>
                      <w:u w:val="single"/>
                      <w:lang w:val="lv-LV"/>
                    </w:rPr>
                    <w:t>euro</w:t>
                  </w:r>
                  <w:proofErr w:type="spellEnd"/>
                </w:p>
                <w:p w14:paraId="0E607A28" w14:textId="77777777" w:rsidR="003E5F47" w:rsidRPr="00BB29C8" w:rsidRDefault="003E5F47"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0"/>
                      <w:u w:val="single"/>
                      <w:lang w:val="lv-LV"/>
                    </w:rPr>
                  </w:pPr>
                </w:p>
              </w:tc>
            </w:tr>
          </w:tbl>
          <w:p w14:paraId="163592EE" w14:textId="77777777" w:rsidR="003E5F47" w:rsidRPr="00D37BB8" w:rsidRDefault="003E5F47" w:rsidP="003E5F47">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p>
          <w:p w14:paraId="195300AC" w14:textId="52A85398" w:rsidR="00465CA3" w:rsidRPr="00D37BB8" w:rsidRDefault="00465CA3"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r w:rsidRPr="00D37BB8">
              <w:rPr>
                <w:rFonts w:ascii="Times New Roman" w:hAnsi="Times New Roman"/>
                <w:sz w:val="24"/>
                <w:szCs w:val="24"/>
                <w:u w:val="single"/>
                <w:lang w:val="lv-LV"/>
              </w:rPr>
              <w:t xml:space="preserve">Būtiski, ka nodokļa likmi </w:t>
            </w:r>
            <w:r w:rsidR="00DB4413">
              <w:rPr>
                <w:rFonts w:ascii="Times New Roman" w:hAnsi="Times New Roman"/>
                <w:sz w:val="24"/>
                <w:szCs w:val="24"/>
                <w:u w:val="single"/>
                <w:lang w:val="lv-LV"/>
              </w:rPr>
              <w:t xml:space="preserve">gan </w:t>
            </w:r>
            <w:r w:rsidRPr="00D37BB8">
              <w:rPr>
                <w:rFonts w:ascii="Times New Roman" w:hAnsi="Times New Roman"/>
                <w:sz w:val="24"/>
                <w:szCs w:val="24"/>
                <w:u w:val="single"/>
                <w:lang w:val="lv-LV"/>
              </w:rPr>
              <w:t>20%</w:t>
            </w:r>
            <w:r w:rsidR="00DB4413">
              <w:rPr>
                <w:rFonts w:ascii="Times New Roman" w:hAnsi="Times New Roman"/>
                <w:sz w:val="24"/>
                <w:szCs w:val="24"/>
                <w:u w:val="single"/>
                <w:lang w:val="lv-LV"/>
              </w:rPr>
              <w:t>, gan</w:t>
            </w:r>
            <w:r w:rsidR="00D94C80" w:rsidRPr="00D37BB8">
              <w:rPr>
                <w:rFonts w:ascii="Times New Roman" w:hAnsi="Times New Roman"/>
                <w:sz w:val="24"/>
                <w:szCs w:val="24"/>
                <w:u w:val="single"/>
                <w:lang w:val="lv-LV"/>
              </w:rPr>
              <w:t xml:space="preserve"> 23% </w:t>
            </w:r>
            <w:r w:rsidRPr="00D37BB8">
              <w:rPr>
                <w:rFonts w:ascii="Times New Roman" w:hAnsi="Times New Roman"/>
                <w:sz w:val="24"/>
                <w:szCs w:val="24"/>
                <w:u w:val="single"/>
                <w:lang w:val="lv-LV"/>
              </w:rPr>
              <w:t>apmērā taksācijas gada laikā piemēro tikai ienākuma izmaksas vietā, kur iesniegta algas nodokļa grāmatiņa</w:t>
            </w:r>
            <w:r w:rsidR="00D94C80" w:rsidRPr="00D37BB8">
              <w:rPr>
                <w:rFonts w:ascii="Times New Roman" w:hAnsi="Times New Roman"/>
                <w:sz w:val="24"/>
                <w:szCs w:val="24"/>
                <w:u w:val="single"/>
                <w:lang w:val="lv-LV"/>
              </w:rPr>
              <w:t>, bet citās ienākuma izmaksas vietās taksācijas gada laikā piemēro vienīgi nodokļa likmi 23% apmērā</w:t>
            </w:r>
            <w:r w:rsidRPr="00D37BB8">
              <w:rPr>
                <w:rFonts w:ascii="Times New Roman" w:hAnsi="Times New Roman"/>
                <w:sz w:val="24"/>
                <w:szCs w:val="24"/>
                <w:u w:val="single"/>
                <w:lang w:val="lv-LV"/>
              </w:rPr>
              <w:t>.</w:t>
            </w:r>
            <w:r w:rsidR="00D94C80" w:rsidRPr="00D37BB8">
              <w:rPr>
                <w:rFonts w:ascii="Times New Roman" w:hAnsi="Times New Roman"/>
                <w:sz w:val="24"/>
                <w:szCs w:val="24"/>
                <w:u w:val="single"/>
                <w:lang w:val="lv-LV"/>
              </w:rPr>
              <w:t xml:space="preserve"> Savukārt aprēķinu, lai piemērotu progresīvo nodokļa likmi par visu taksācijas gada laikā gūto ienākumu, veic rezumējošā kārtībā, iesniedzot gada ienākumu deklarāciju.</w:t>
            </w:r>
            <w:r w:rsidR="00E21E20" w:rsidRPr="00D37BB8">
              <w:rPr>
                <w:rFonts w:ascii="Times New Roman" w:hAnsi="Times New Roman"/>
                <w:sz w:val="24"/>
                <w:szCs w:val="24"/>
                <w:u w:val="single"/>
                <w:lang w:val="lv-LV"/>
              </w:rPr>
              <w:t xml:space="preserve"> Šāda pieeja izmantota, lai novērstu, ka maksātājam, kas gūst ienākumus vairākās ienākuma izmaksas vietās, taksācijas gada laikā jāveic nodokļa piemaksa rezumējošā kārtībā, ja taksācijas gada laikā tiek pārsniegts gada ienākumu (izņemot likuma 9.pantā minētos neapliekamos ienākumus) slieksnis 20 000 </w:t>
            </w:r>
            <w:proofErr w:type="spellStart"/>
            <w:r w:rsidR="005A1D33" w:rsidRPr="00D37BB8">
              <w:rPr>
                <w:rFonts w:ascii="Times New Roman" w:hAnsi="Times New Roman"/>
                <w:i/>
                <w:sz w:val="24"/>
                <w:szCs w:val="24"/>
                <w:u w:val="single"/>
                <w:lang w:val="lv-LV"/>
              </w:rPr>
              <w:t>euro</w:t>
            </w:r>
            <w:proofErr w:type="spellEnd"/>
            <w:r w:rsidR="00E21E20" w:rsidRPr="00D37BB8">
              <w:rPr>
                <w:rFonts w:ascii="Times New Roman" w:hAnsi="Times New Roman"/>
                <w:sz w:val="24"/>
                <w:szCs w:val="24"/>
                <w:u w:val="single"/>
                <w:lang w:val="lv-LV"/>
              </w:rPr>
              <w:t xml:space="preserve"> apmērā. </w:t>
            </w:r>
            <w:r w:rsidRPr="00D37BB8">
              <w:rPr>
                <w:rFonts w:ascii="Times New Roman" w:hAnsi="Times New Roman"/>
                <w:sz w:val="24"/>
                <w:szCs w:val="24"/>
                <w:u w:val="single"/>
                <w:lang w:val="lv-LV"/>
              </w:rPr>
              <w:t xml:space="preserve"> </w:t>
            </w:r>
          </w:p>
          <w:p w14:paraId="060D288B" w14:textId="3776DD31" w:rsidR="00B06905" w:rsidRPr="00D37BB8" w:rsidRDefault="00B06905"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p>
          <w:p w14:paraId="66107518" w14:textId="797C0D0E" w:rsidR="00B06905" w:rsidRPr="00BB29C8" w:rsidRDefault="003E5F47"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i/>
                <w:sz w:val="20"/>
                <w:szCs w:val="24"/>
                <w:u w:val="single"/>
                <w:lang w:val="lv-LV"/>
              </w:rPr>
            </w:pPr>
            <w:r w:rsidRPr="00BB29C8">
              <w:rPr>
                <w:rFonts w:ascii="Times New Roman" w:hAnsi="Times New Roman"/>
                <w:i/>
                <w:sz w:val="20"/>
                <w:szCs w:val="24"/>
                <w:u w:val="single"/>
                <w:lang w:val="lv-LV"/>
              </w:rPr>
              <w:t>3</w:t>
            </w:r>
            <w:r w:rsidR="00B06905" w:rsidRPr="00BB29C8">
              <w:rPr>
                <w:rFonts w:ascii="Times New Roman" w:hAnsi="Times New Roman"/>
                <w:i/>
                <w:sz w:val="20"/>
                <w:szCs w:val="24"/>
                <w:u w:val="single"/>
                <w:lang w:val="lv-LV"/>
              </w:rPr>
              <w:t>.piemērs</w:t>
            </w:r>
          </w:p>
          <w:p w14:paraId="538DC578" w14:textId="767F746D" w:rsidR="00115533" w:rsidRPr="00BB29C8" w:rsidRDefault="00115533"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Maksātājs strādā pie diviem darba devējiem: mēnešalga pie 1.darba vietā ir 700 </w:t>
            </w:r>
            <w:proofErr w:type="spellStart"/>
            <w:r w:rsidR="005A1D33" w:rsidRPr="00BB29C8">
              <w:rPr>
                <w:rFonts w:ascii="Times New Roman" w:hAnsi="Times New Roman"/>
                <w:i/>
                <w:sz w:val="20"/>
                <w:szCs w:val="24"/>
                <w:u w:val="single"/>
                <w:lang w:val="lv-LV"/>
              </w:rPr>
              <w:t>euro</w:t>
            </w:r>
            <w:proofErr w:type="spellEnd"/>
            <w:r w:rsidR="008B01AA" w:rsidRPr="00BB29C8">
              <w:rPr>
                <w:rFonts w:ascii="Times New Roman" w:hAnsi="Times New Roman"/>
                <w:i/>
                <w:sz w:val="20"/>
                <w:szCs w:val="24"/>
                <w:u w:val="single"/>
                <w:lang w:val="lv-LV"/>
              </w:rPr>
              <w:t xml:space="preserve"> </w:t>
            </w:r>
            <w:r w:rsidR="008B01AA" w:rsidRPr="00BB29C8">
              <w:rPr>
                <w:rFonts w:ascii="Times New Roman" w:hAnsi="Times New Roman"/>
                <w:sz w:val="20"/>
                <w:szCs w:val="24"/>
                <w:u w:val="single"/>
                <w:lang w:val="lv-LV"/>
              </w:rPr>
              <w:t>(iesniegta algas nodokļa grāmatiņa</w:t>
            </w:r>
            <w:r w:rsidR="00E13C8F">
              <w:rPr>
                <w:rFonts w:ascii="Times New Roman" w:hAnsi="Times New Roman"/>
                <w:sz w:val="20"/>
                <w:szCs w:val="24"/>
                <w:u w:val="single"/>
                <w:lang w:val="lv-LV"/>
              </w:rPr>
              <w:t>, bet diferencēto neapliekamo minimumu nepiemēro, jo tāds maksātājam nav piemērojams saskaņā ar VID sniegto informāciju par VID prognozēto mēneša neapliekamo minimumu</w:t>
            </w:r>
            <w:r w:rsidR="008B01AA" w:rsidRPr="00BB29C8">
              <w:rPr>
                <w:rFonts w:ascii="Times New Roman" w:hAnsi="Times New Roman"/>
                <w:sz w:val="20"/>
                <w:szCs w:val="24"/>
                <w:u w:val="single"/>
                <w:lang w:val="lv-LV"/>
              </w:rPr>
              <w:t>)</w:t>
            </w:r>
            <w:r w:rsidRPr="00BB29C8">
              <w:rPr>
                <w:rFonts w:ascii="Times New Roman" w:hAnsi="Times New Roman"/>
                <w:sz w:val="20"/>
                <w:szCs w:val="24"/>
                <w:u w:val="single"/>
                <w:lang w:val="lv-LV"/>
              </w:rPr>
              <w:t xml:space="preserve">, bet 2.darba vietā – 300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Maksātājam ir divas apgādībā esošas personas </w:t>
            </w:r>
          </w:p>
          <w:p w14:paraId="683B5DCD" w14:textId="77777777" w:rsidR="00115533" w:rsidRPr="00BB29C8" w:rsidRDefault="00115533"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p>
          <w:tbl>
            <w:tblPr>
              <w:tblStyle w:val="TableGrid"/>
              <w:tblW w:w="0" w:type="auto"/>
              <w:tblInd w:w="255" w:type="dxa"/>
              <w:tblLook w:val="04A0" w:firstRow="1" w:lastRow="0" w:firstColumn="1" w:lastColumn="0" w:noHBand="0" w:noVBand="1"/>
            </w:tblPr>
            <w:tblGrid>
              <w:gridCol w:w="3202"/>
              <w:gridCol w:w="3169"/>
            </w:tblGrid>
            <w:tr w:rsidR="00115533" w:rsidRPr="00BB29C8" w14:paraId="43CB377E" w14:textId="77777777" w:rsidTr="00453A14">
              <w:tc>
                <w:tcPr>
                  <w:tcW w:w="3202" w:type="dxa"/>
                </w:tcPr>
                <w:p w14:paraId="3CC1447D" w14:textId="01FBC284"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sidRPr="00BB29C8">
                    <w:rPr>
                      <w:rFonts w:ascii="Times New Roman" w:hAnsi="Times New Roman"/>
                      <w:sz w:val="20"/>
                      <w:szCs w:val="24"/>
                      <w:u w:val="single"/>
                      <w:lang w:val="lv-LV"/>
                    </w:rPr>
                    <w:t>1.darba vieta</w:t>
                  </w:r>
                </w:p>
              </w:tc>
              <w:tc>
                <w:tcPr>
                  <w:tcW w:w="3169" w:type="dxa"/>
                </w:tcPr>
                <w:p w14:paraId="5D6D43B4" w14:textId="66460425"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sidRPr="00BB29C8">
                    <w:rPr>
                      <w:rFonts w:ascii="Times New Roman" w:hAnsi="Times New Roman"/>
                      <w:sz w:val="20"/>
                      <w:szCs w:val="24"/>
                      <w:u w:val="single"/>
                      <w:lang w:val="lv-LV"/>
                    </w:rPr>
                    <w:t>2.darba vieta</w:t>
                  </w:r>
                </w:p>
              </w:tc>
            </w:tr>
            <w:tr w:rsidR="00115533" w:rsidRPr="00BB29C8" w14:paraId="3C879AA5" w14:textId="77777777" w:rsidTr="00453A14">
              <w:tc>
                <w:tcPr>
                  <w:tcW w:w="3202" w:type="dxa"/>
                </w:tcPr>
                <w:p w14:paraId="661CB436" w14:textId="0F701CE8"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700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(bruto alga)</w:t>
                  </w:r>
                </w:p>
              </w:tc>
              <w:tc>
                <w:tcPr>
                  <w:tcW w:w="3169" w:type="dxa"/>
                </w:tcPr>
                <w:p w14:paraId="763A7AD8" w14:textId="4CD89143"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300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(bruto alga)</w:t>
                  </w:r>
                </w:p>
              </w:tc>
            </w:tr>
            <w:tr w:rsidR="00115533" w:rsidRPr="00BB29C8" w14:paraId="59405D3C" w14:textId="77777777" w:rsidTr="00453A14">
              <w:tc>
                <w:tcPr>
                  <w:tcW w:w="3202" w:type="dxa"/>
                </w:tcPr>
                <w:p w14:paraId="39446E41" w14:textId="42616BB7"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-77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(VSAOI 11%)</w:t>
                  </w:r>
                </w:p>
              </w:tc>
              <w:tc>
                <w:tcPr>
                  <w:tcW w:w="3169" w:type="dxa"/>
                </w:tcPr>
                <w:p w14:paraId="114683F1" w14:textId="5CA7C8FC" w:rsidR="00115533"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*23% (IIN likme)</w:t>
                  </w:r>
                </w:p>
              </w:tc>
            </w:tr>
            <w:tr w:rsidR="00115533" w:rsidRPr="00BB29C8" w14:paraId="1C8C9E8A" w14:textId="77777777" w:rsidTr="00453A14">
              <w:tc>
                <w:tcPr>
                  <w:tcW w:w="3202" w:type="dxa"/>
                </w:tcPr>
                <w:p w14:paraId="1545B8D7" w14:textId="5480569B" w:rsidR="00115533" w:rsidRPr="00BB29C8" w:rsidRDefault="00115533" w:rsidP="00E81B14">
                  <w:pPr>
                    <w:framePr w:hSpace="180" w:wrap="around" w:vAnchor="text" w:hAnchor="margin" w:xAlign="center" w:y="149"/>
                    <w:tabs>
                      <w:tab w:val="left" w:pos="720"/>
                      <w:tab w:val="left" w:pos="2127"/>
                      <w:tab w:val="center" w:pos="4153"/>
                      <w:tab w:val="left" w:pos="6096"/>
                      <w:tab w:val="right" w:pos="8306"/>
                    </w:tabs>
                    <w:ind w:right="140"/>
                    <w:jc w:val="right"/>
                    <w:rPr>
                      <w:rFonts w:ascii="Times New Roman" w:hAnsi="Times New Roman"/>
                      <w:sz w:val="20"/>
                      <w:u w:val="single"/>
                    </w:rPr>
                  </w:pPr>
                  <w:r w:rsidRPr="00BB29C8">
                    <w:rPr>
                      <w:rFonts w:ascii="Times New Roman" w:hAnsi="Times New Roman"/>
                      <w:sz w:val="20"/>
                      <w:u w:val="single"/>
                    </w:rPr>
                    <w:t xml:space="preserve">- 400 </w:t>
                  </w:r>
                  <w:proofErr w:type="spellStart"/>
                  <w:r w:rsidR="005A1D33" w:rsidRPr="00BB29C8">
                    <w:rPr>
                      <w:rFonts w:ascii="Times New Roman" w:hAnsi="Times New Roman"/>
                      <w:i/>
                      <w:sz w:val="20"/>
                      <w:u w:val="single"/>
                    </w:rPr>
                    <w:t>euro</w:t>
                  </w:r>
                  <w:proofErr w:type="spellEnd"/>
                  <w:r w:rsidRPr="00BB29C8">
                    <w:rPr>
                      <w:rFonts w:ascii="Times New Roman" w:hAnsi="Times New Roman"/>
                      <w:sz w:val="20"/>
                      <w:u w:val="single"/>
                    </w:rPr>
                    <w:t xml:space="preserve"> (IIN atvieglojums par 2 apgādībā esošām personām)</w:t>
                  </w:r>
                </w:p>
              </w:tc>
              <w:tc>
                <w:tcPr>
                  <w:tcW w:w="3169" w:type="dxa"/>
                </w:tcPr>
                <w:p w14:paraId="2ED0D51E" w14:textId="1372F879" w:rsidR="00115533"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=69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(IIN)</w:t>
                  </w:r>
                </w:p>
              </w:tc>
            </w:tr>
            <w:tr w:rsidR="00115533" w:rsidRPr="00BB29C8" w14:paraId="1B99CAB1" w14:textId="77777777" w:rsidTr="00453A14">
              <w:tc>
                <w:tcPr>
                  <w:tcW w:w="3202" w:type="dxa"/>
                </w:tcPr>
                <w:p w14:paraId="59AAE847" w14:textId="37FAE51C"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223</w:t>
                  </w:r>
                  <w:r w:rsidR="00453A14" w:rsidRPr="00BB29C8">
                    <w:rPr>
                      <w:rFonts w:ascii="Times New Roman" w:hAnsi="Times New Roman"/>
                      <w:sz w:val="20"/>
                      <w:szCs w:val="24"/>
                      <w:u w:val="single"/>
                      <w:lang w:val="lv-LV"/>
                    </w:rPr>
                    <w:t xml:space="preserve"> </w:t>
                  </w:r>
                  <w:proofErr w:type="spellStart"/>
                  <w:r w:rsidR="005A1D33" w:rsidRPr="00BB29C8">
                    <w:rPr>
                      <w:rFonts w:ascii="Times New Roman" w:hAnsi="Times New Roman"/>
                      <w:i/>
                      <w:sz w:val="20"/>
                      <w:szCs w:val="24"/>
                      <w:u w:val="single"/>
                      <w:lang w:val="lv-LV"/>
                    </w:rPr>
                    <w:t>euro</w:t>
                  </w:r>
                  <w:proofErr w:type="spellEnd"/>
                  <w:r w:rsidR="00453A14" w:rsidRPr="00BB29C8">
                    <w:rPr>
                      <w:rFonts w:ascii="Times New Roman" w:hAnsi="Times New Roman"/>
                      <w:sz w:val="20"/>
                      <w:szCs w:val="24"/>
                      <w:u w:val="single"/>
                      <w:lang w:val="lv-LV"/>
                    </w:rPr>
                    <w:t xml:space="preserve"> (apliekamais ienākums)</w:t>
                  </w:r>
                </w:p>
              </w:tc>
              <w:tc>
                <w:tcPr>
                  <w:tcW w:w="3169" w:type="dxa"/>
                </w:tcPr>
                <w:p w14:paraId="0C9DC4F6" w14:textId="77777777"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p>
              </w:tc>
            </w:tr>
            <w:tr w:rsidR="00115533" w:rsidRPr="00BB29C8" w14:paraId="613F43B5" w14:textId="77777777" w:rsidTr="00453A14">
              <w:tc>
                <w:tcPr>
                  <w:tcW w:w="3202" w:type="dxa"/>
                </w:tcPr>
                <w:p w14:paraId="76019A0D" w14:textId="20758054" w:rsidR="00115533"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*20% (IIN likme)</w:t>
                  </w:r>
                </w:p>
              </w:tc>
              <w:tc>
                <w:tcPr>
                  <w:tcW w:w="3169" w:type="dxa"/>
                </w:tcPr>
                <w:p w14:paraId="367FD5F1" w14:textId="77777777" w:rsidR="00115533" w:rsidRPr="00BB29C8" w:rsidRDefault="00115533"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p>
              </w:tc>
            </w:tr>
            <w:tr w:rsidR="00453A14" w:rsidRPr="00BB29C8" w14:paraId="0B0B001C" w14:textId="77777777" w:rsidTr="00453A14">
              <w:tc>
                <w:tcPr>
                  <w:tcW w:w="3202" w:type="dxa"/>
                </w:tcPr>
                <w:p w14:paraId="3C81D5F2" w14:textId="7ED6B322"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=44,60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(IIN)</w:t>
                  </w:r>
                </w:p>
              </w:tc>
              <w:tc>
                <w:tcPr>
                  <w:tcW w:w="3169" w:type="dxa"/>
                </w:tcPr>
                <w:p w14:paraId="5BF96E58" w14:textId="77777777" w:rsidR="00453A14" w:rsidRPr="00BB29C8" w:rsidRDefault="00453A14"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p>
              </w:tc>
            </w:tr>
          </w:tbl>
          <w:p w14:paraId="0B061B41" w14:textId="67EA8963" w:rsidR="00B06905" w:rsidRPr="00BB29C8" w:rsidRDefault="00B06905"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p>
          <w:p w14:paraId="2BA58FB4" w14:textId="4DD52B89" w:rsidR="00453A14" w:rsidRPr="00BB29C8" w:rsidRDefault="00453A1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Pieņemot, ka maksātāja situācija nemainās visu taksācijas gadu:</w:t>
            </w:r>
          </w:p>
          <w:p w14:paraId="05F3FEE4" w14:textId="3904EE86" w:rsidR="00453A14" w:rsidRPr="00BB29C8" w:rsidRDefault="00453A1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p>
          <w:p w14:paraId="0D3F55B0" w14:textId="462F3A0F" w:rsidR="00453A14" w:rsidRPr="00BB29C8" w:rsidRDefault="00453A1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12 000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(gada ienākums)</w:t>
            </w:r>
          </w:p>
          <w:p w14:paraId="2002AC0D" w14:textId="6D1F1CD1" w:rsidR="00CD4174" w:rsidRPr="00BB29C8" w:rsidRDefault="00453A1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- 1 320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(VSAOI</w:t>
            </w:r>
            <w:r w:rsidR="00CD4174" w:rsidRPr="00BB29C8">
              <w:rPr>
                <w:rFonts w:ascii="Times New Roman" w:hAnsi="Times New Roman"/>
                <w:sz w:val="20"/>
                <w:szCs w:val="24"/>
                <w:u w:val="single"/>
                <w:lang w:val="lv-LV"/>
              </w:rPr>
              <w:t xml:space="preserve"> 11%)</w:t>
            </w:r>
          </w:p>
          <w:p w14:paraId="5B588877" w14:textId="17DAE4E1" w:rsidR="00453A1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- 4 800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(atvieglojums par 2 apgādībā esošām personām) </w:t>
            </w:r>
            <w:r w:rsidR="00453A14" w:rsidRPr="00BB29C8">
              <w:rPr>
                <w:rFonts w:ascii="Times New Roman" w:hAnsi="Times New Roman"/>
                <w:sz w:val="20"/>
                <w:szCs w:val="24"/>
                <w:u w:val="single"/>
                <w:lang w:val="lv-LV"/>
              </w:rPr>
              <w:t xml:space="preserve"> </w:t>
            </w:r>
          </w:p>
          <w:p w14:paraId="555EEDF7" w14:textId="501911BF" w:rsidR="00CD417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 5 880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(apliekamais ienākums)</w:t>
            </w:r>
          </w:p>
          <w:p w14:paraId="5AC992DE" w14:textId="33B9CC21" w:rsidR="00115533" w:rsidRPr="00BB29C8" w:rsidRDefault="00115533"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p>
          <w:p w14:paraId="79D8E401" w14:textId="36B3A118" w:rsidR="00CD417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lastRenderedPageBreak/>
              <w:t xml:space="preserve">Tā kā taksācijas gada ienākums nepārsniedz 20 000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visam ienākumam piemēro nodokļa likmi 20% apmērā.</w:t>
            </w:r>
          </w:p>
          <w:p w14:paraId="09F0DF01" w14:textId="4470385A" w:rsidR="00CD417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p>
          <w:p w14:paraId="202E9D9A" w14:textId="10E29324" w:rsidR="00CD417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5 880*20%=1 176 </w:t>
            </w:r>
            <w:proofErr w:type="spellStart"/>
            <w:r w:rsidR="005A1D33"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(IIN)</w:t>
            </w:r>
          </w:p>
          <w:p w14:paraId="5FA10739" w14:textId="58186095" w:rsidR="00CD417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Taksācijas gada laikā avansā samaksātais IIN (44,60+69)*12=1 360,20 </w:t>
            </w:r>
            <w:proofErr w:type="spellStart"/>
            <w:r w:rsidR="005A1D33" w:rsidRPr="00BB29C8">
              <w:rPr>
                <w:rFonts w:ascii="Times New Roman" w:hAnsi="Times New Roman"/>
                <w:i/>
                <w:sz w:val="20"/>
                <w:szCs w:val="24"/>
                <w:u w:val="single"/>
                <w:lang w:val="lv-LV"/>
              </w:rPr>
              <w:t>euro</w:t>
            </w:r>
            <w:proofErr w:type="spellEnd"/>
          </w:p>
          <w:p w14:paraId="244FD81A" w14:textId="79AAB4C3" w:rsidR="00CD4174" w:rsidRPr="00BB29C8" w:rsidRDefault="00CD4174"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BB29C8">
              <w:rPr>
                <w:rFonts w:ascii="Times New Roman" w:hAnsi="Times New Roman"/>
                <w:sz w:val="20"/>
                <w:szCs w:val="24"/>
                <w:u w:val="single"/>
                <w:lang w:val="lv-LV"/>
              </w:rPr>
              <w:t xml:space="preserve">Pārmaksātā IIN atmaksa 1 360,20-1 176 = 187,29 </w:t>
            </w:r>
            <w:proofErr w:type="spellStart"/>
            <w:r w:rsidR="005A1D33" w:rsidRPr="00BB29C8">
              <w:rPr>
                <w:rFonts w:ascii="Times New Roman" w:hAnsi="Times New Roman"/>
                <w:i/>
                <w:sz w:val="20"/>
                <w:szCs w:val="24"/>
                <w:u w:val="single"/>
                <w:lang w:val="lv-LV"/>
              </w:rPr>
              <w:t>euro</w:t>
            </w:r>
            <w:proofErr w:type="spellEnd"/>
          </w:p>
          <w:p w14:paraId="297E5AD1" w14:textId="77777777" w:rsidR="000B412C" w:rsidRDefault="000B412C"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i/>
                <w:sz w:val="20"/>
                <w:szCs w:val="24"/>
                <w:u w:val="single"/>
                <w:lang w:val="lv-LV"/>
              </w:rPr>
            </w:pPr>
          </w:p>
          <w:p w14:paraId="2A40ED5C" w14:textId="592A6E0B" w:rsidR="002F70FF" w:rsidRPr="003F2612" w:rsidRDefault="003F2612"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i/>
                <w:sz w:val="20"/>
                <w:szCs w:val="24"/>
                <w:u w:val="single"/>
                <w:lang w:val="lv-LV"/>
              </w:rPr>
            </w:pPr>
            <w:r w:rsidRPr="003F2612">
              <w:rPr>
                <w:rFonts w:ascii="Times New Roman" w:hAnsi="Times New Roman"/>
                <w:i/>
                <w:sz w:val="20"/>
                <w:szCs w:val="24"/>
                <w:u w:val="single"/>
                <w:lang w:val="lv-LV"/>
              </w:rPr>
              <w:t>4.piemērs (ar visu trīs likmju piemērošanu)</w:t>
            </w:r>
          </w:p>
          <w:p w14:paraId="1619A7DC" w14:textId="55C9B1EA" w:rsidR="003F2612" w:rsidRPr="003F2612" w:rsidRDefault="003F2612"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Maksātāja mēneša alga ir 10 000 </w:t>
            </w:r>
            <w:proofErr w:type="spellStart"/>
            <w:r w:rsidRPr="003F2612">
              <w:rPr>
                <w:rFonts w:ascii="Times New Roman" w:hAnsi="Times New Roman"/>
                <w:i/>
                <w:sz w:val="20"/>
                <w:szCs w:val="24"/>
                <w:u w:val="single"/>
                <w:lang w:val="lv-LV"/>
              </w:rPr>
              <w:t>euro</w:t>
            </w:r>
            <w:proofErr w:type="spellEnd"/>
            <w:r>
              <w:rPr>
                <w:rFonts w:ascii="Times New Roman" w:hAnsi="Times New Roman"/>
                <w:i/>
                <w:sz w:val="20"/>
                <w:szCs w:val="24"/>
                <w:u w:val="single"/>
                <w:lang w:val="lv-LV"/>
              </w:rPr>
              <w:t xml:space="preserve"> </w:t>
            </w:r>
            <w:r w:rsidRPr="003F2612">
              <w:rPr>
                <w:rFonts w:ascii="Times New Roman" w:hAnsi="Times New Roman"/>
                <w:sz w:val="20"/>
                <w:szCs w:val="24"/>
                <w:u w:val="single"/>
                <w:lang w:val="lv-LV"/>
              </w:rPr>
              <w:t>(</w:t>
            </w:r>
            <w:r>
              <w:rPr>
                <w:rFonts w:ascii="Times New Roman" w:hAnsi="Times New Roman"/>
                <w:sz w:val="20"/>
                <w:szCs w:val="24"/>
                <w:u w:val="single"/>
                <w:lang w:val="lv-LV"/>
              </w:rPr>
              <w:t xml:space="preserve">taksācijas gada alga 120 000 </w:t>
            </w:r>
            <w:proofErr w:type="spellStart"/>
            <w:r w:rsidRPr="003F2612">
              <w:rPr>
                <w:rFonts w:ascii="Times New Roman" w:hAnsi="Times New Roman"/>
                <w:i/>
                <w:sz w:val="20"/>
                <w:szCs w:val="24"/>
                <w:u w:val="single"/>
                <w:lang w:val="lv-LV"/>
              </w:rPr>
              <w:t>euro</w:t>
            </w:r>
            <w:proofErr w:type="spellEnd"/>
            <w:r>
              <w:rPr>
                <w:rFonts w:ascii="Times New Roman" w:hAnsi="Times New Roman"/>
                <w:sz w:val="20"/>
                <w:szCs w:val="24"/>
                <w:u w:val="single"/>
                <w:lang w:val="lv-LV"/>
              </w:rPr>
              <w:t xml:space="preserve">) . Maksātājam nav apgādībā esošu personu, maksātājam nav tiesību piemērot taksācijas gada diferencēto neapliekamo minimumu, jo viņa taksācijas gada ienākumi pārsniedz 12 000 </w:t>
            </w:r>
            <w:proofErr w:type="spellStart"/>
            <w:r w:rsidRPr="003F2612">
              <w:rPr>
                <w:rFonts w:ascii="Times New Roman" w:hAnsi="Times New Roman"/>
                <w:i/>
                <w:sz w:val="20"/>
                <w:szCs w:val="24"/>
                <w:u w:val="single"/>
                <w:lang w:val="lv-LV"/>
              </w:rPr>
              <w:t>euro</w:t>
            </w:r>
            <w:proofErr w:type="spellEnd"/>
            <w:r>
              <w:rPr>
                <w:rFonts w:ascii="Times New Roman" w:hAnsi="Times New Roman"/>
                <w:sz w:val="20"/>
                <w:szCs w:val="24"/>
                <w:u w:val="single"/>
                <w:lang w:val="lv-LV"/>
              </w:rPr>
              <w:t>.</w:t>
            </w:r>
          </w:p>
          <w:tbl>
            <w:tblPr>
              <w:tblStyle w:val="TableGrid"/>
              <w:tblW w:w="0" w:type="auto"/>
              <w:tblInd w:w="255" w:type="dxa"/>
              <w:tblLook w:val="04A0" w:firstRow="1" w:lastRow="0" w:firstColumn="1" w:lastColumn="0" w:noHBand="0" w:noVBand="1"/>
            </w:tblPr>
            <w:tblGrid>
              <w:gridCol w:w="3186"/>
              <w:gridCol w:w="3185"/>
            </w:tblGrid>
            <w:tr w:rsidR="003F2612" w:rsidRPr="00BB29C8" w14:paraId="5597D6E5" w14:textId="77777777" w:rsidTr="003F2612">
              <w:tc>
                <w:tcPr>
                  <w:tcW w:w="6371" w:type="dxa"/>
                  <w:gridSpan w:val="2"/>
                </w:tcPr>
                <w:p w14:paraId="7ABB024D"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p w14:paraId="73544885" w14:textId="5E54F308"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4"/>
                      <w:u w:val="single"/>
                      <w:lang w:val="lv-LV"/>
                    </w:rPr>
                  </w:pPr>
                  <w:r>
                    <w:rPr>
                      <w:rFonts w:ascii="Times New Roman" w:hAnsi="Times New Roman"/>
                      <w:sz w:val="20"/>
                      <w:szCs w:val="24"/>
                      <w:u w:val="single"/>
                      <w:lang w:val="lv-LV"/>
                    </w:rPr>
                    <w:t>Mēneša alga 10</w:t>
                  </w:r>
                  <w:r w:rsidRPr="00BB29C8">
                    <w:rPr>
                      <w:rFonts w:ascii="Times New Roman" w:hAnsi="Times New Roman"/>
                      <w:sz w:val="20"/>
                      <w:szCs w:val="24"/>
                      <w:u w:val="single"/>
                      <w:lang w:val="lv-LV"/>
                    </w:rPr>
                    <w:t xml:space="preserve"> 000 </w:t>
                  </w:r>
                  <w:proofErr w:type="spellStart"/>
                  <w:r w:rsidRPr="00BB29C8">
                    <w:rPr>
                      <w:rFonts w:ascii="Times New Roman" w:hAnsi="Times New Roman"/>
                      <w:i/>
                      <w:sz w:val="20"/>
                      <w:szCs w:val="24"/>
                      <w:u w:val="single"/>
                      <w:lang w:val="lv-LV"/>
                    </w:rPr>
                    <w:t>euro</w:t>
                  </w:r>
                  <w:proofErr w:type="spellEnd"/>
                </w:p>
                <w:p w14:paraId="036F0823"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r>
            <w:tr w:rsidR="003F2612" w:rsidRPr="00BB29C8" w14:paraId="03DAFE9C" w14:textId="77777777" w:rsidTr="003F2612">
              <w:trPr>
                <w:trHeight w:val="1840"/>
              </w:trPr>
              <w:tc>
                <w:tcPr>
                  <w:tcW w:w="3186" w:type="dxa"/>
                </w:tcPr>
                <w:p w14:paraId="3D1BE12A"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1 667 </w:t>
                  </w:r>
                  <w:proofErr w:type="spellStart"/>
                  <w:r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(ienākums līdz mēneša ienākumu 1.slieksnim)</w:t>
                  </w:r>
                </w:p>
                <w:p w14:paraId="7199D728" w14:textId="1D8476B0" w:rsidR="003F2612" w:rsidRPr="00BB29C8" w:rsidRDefault="003F2612" w:rsidP="00E81B14">
                  <w:pPr>
                    <w:framePr w:hSpace="180" w:wrap="around" w:vAnchor="text" w:hAnchor="margin" w:xAlign="center" w:y="149"/>
                    <w:tabs>
                      <w:tab w:val="left" w:pos="720"/>
                      <w:tab w:val="left" w:pos="2127"/>
                      <w:tab w:val="center" w:pos="4153"/>
                      <w:tab w:val="left" w:pos="6096"/>
                      <w:tab w:val="right" w:pos="8306"/>
                    </w:tabs>
                    <w:ind w:right="140"/>
                    <w:jc w:val="right"/>
                    <w:rPr>
                      <w:rFonts w:ascii="Times New Roman" w:hAnsi="Times New Roman"/>
                      <w:sz w:val="20"/>
                      <w:u w:val="single"/>
                    </w:rPr>
                  </w:pPr>
                  <w:r w:rsidRPr="00BB29C8">
                    <w:rPr>
                      <w:rFonts w:ascii="Times New Roman" w:hAnsi="Times New Roman"/>
                      <w:sz w:val="20"/>
                      <w:u w:val="single"/>
                    </w:rPr>
                    <w:t xml:space="preserve">- </w:t>
                  </w:r>
                  <w:r>
                    <w:rPr>
                      <w:rFonts w:ascii="Times New Roman" w:hAnsi="Times New Roman"/>
                      <w:sz w:val="20"/>
                      <w:u w:val="single"/>
                    </w:rPr>
                    <w:t>1100</w:t>
                  </w:r>
                  <w:r w:rsidRPr="00BB29C8">
                    <w:rPr>
                      <w:rFonts w:ascii="Times New Roman" w:hAnsi="Times New Roman"/>
                      <w:sz w:val="20"/>
                      <w:u w:val="single"/>
                    </w:rPr>
                    <w:t xml:space="preserve"> </w:t>
                  </w:r>
                  <w:proofErr w:type="spellStart"/>
                  <w:r w:rsidRPr="00BB29C8">
                    <w:rPr>
                      <w:rFonts w:ascii="Times New Roman" w:hAnsi="Times New Roman"/>
                      <w:i/>
                      <w:sz w:val="20"/>
                      <w:u w:val="single"/>
                    </w:rPr>
                    <w:t>euro</w:t>
                  </w:r>
                  <w:proofErr w:type="spellEnd"/>
                  <w:r w:rsidRPr="00BB29C8">
                    <w:rPr>
                      <w:rFonts w:ascii="Times New Roman" w:hAnsi="Times New Roman"/>
                      <w:sz w:val="20"/>
                      <w:u w:val="single"/>
                    </w:rPr>
                    <w:t xml:space="preserve"> (VSAOI 11%)</w:t>
                  </w:r>
                </w:p>
                <w:p w14:paraId="6D122377" w14:textId="00BB1F61"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 </w:t>
                  </w:r>
                  <w:r>
                    <w:rPr>
                      <w:rFonts w:ascii="Times New Roman" w:hAnsi="Times New Roman"/>
                      <w:sz w:val="20"/>
                      <w:szCs w:val="24"/>
                      <w:u w:val="single"/>
                      <w:lang w:val="lv-LV"/>
                    </w:rPr>
                    <w:t>567</w:t>
                  </w:r>
                  <w:r w:rsidRPr="00BB29C8">
                    <w:rPr>
                      <w:rFonts w:ascii="Times New Roman" w:hAnsi="Times New Roman"/>
                      <w:sz w:val="20"/>
                      <w:szCs w:val="24"/>
                      <w:u w:val="single"/>
                      <w:lang w:val="lv-LV"/>
                    </w:rPr>
                    <w:t xml:space="preserve"> </w:t>
                  </w:r>
                  <w:proofErr w:type="spellStart"/>
                  <w:r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(apliekamais ienākums)</w:t>
                  </w:r>
                </w:p>
                <w:p w14:paraId="6BE7707B"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20% (IIN likme)</w:t>
                  </w:r>
                </w:p>
                <w:p w14:paraId="28D32063" w14:textId="0A0A8425"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 xml:space="preserve">= </w:t>
                  </w:r>
                  <w:r>
                    <w:rPr>
                      <w:rFonts w:ascii="Times New Roman" w:hAnsi="Times New Roman"/>
                      <w:sz w:val="20"/>
                      <w:szCs w:val="24"/>
                      <w:u w:val="single"/>
                      <w:lang w:val="lv-LV"/>
                    </w:rPr>
                    <w:t>113,40</w:t>
                  </w:r>
                  <w:r w:rsidRPr="00BB29C8">
                    <w:rPr>
                      <w:rFonts w:ascii="Times New Roman" w:hAnsi="Times New Roman"/>
                      <w:sz w:val="20"/>
                      <w:szCs w:val="24"/>
                      <w:u w:val="single"/>
                      <w:lang w:val="lv-LV"/>
                    </w:rPr>
                    <w:t xml:space="preserve"> </w:t>
                  </w:r>
                  <w:proofErr w:type="spellStart"/>
                  <w:r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(IIN)</w:t>
                  </w:r>
                </w:p>
              </w:tc>
              <w:tc>
                <w:tcPr>
                  <w:tcW w:w="3185" w:type="dxa"/>
                </w:tcPr>
                <w:p w14:paraId="468E39A0" w14:textId="6982E7CE"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Pr>
                      <w:rFonts w:ascii="Times New Roman" w:hAnsi="Times New Roman"/>
                      <w:sz w:val="20"/>
                      <w:szCs w:val="24"/>
                      <w:u w:val="single"/>
                      <w:lang w:val="lv-LV"/>
                    </w:rPr>
                    <w:t xml:space="preserve">8 333 </w:t>
                  </w:r>
                  <w:proofErr w:type="spellStart"/>
                  <w:r w:rsidRPr="00BB29C8">
                    <w:rPr>
                      <w:rFonts w:ascii="Times New Roman" w:hAnsi="Times New Roman"/>
                      <w:i/>
                      <w:sz w:val="20"/>
                      <w:szCs w:val="24"/>
                      <w:u w:val="single"/>
                      <w:lang w:val="lv-LV"/>
                    </w:rPr>
                    <w:t>euro</w:t>
                  </w:r>
                  <w:proofErr w:type="spellEnd"/>
                  <w:r w:rsidRPr="00BB29C8">
                    <w:rPr>
                      <w:rFonts w:ascii="Times New Roman" w:hAnsi="Times New Roman"/>
                      <w:sz w:val="20"/>
                      <w:szCs w:val="24"/>
                      <w:u w:val="single"/>
                      <w:lang w:val="lv-LV"/>
                    </w:rPr>
                    <w:t xml:space="preserve"> (ienākums virs mēneša ienākumu 1.sliekšņa)</w:t>
                  </w:r>
                </w:p>
                <w:p w14:paraId="594589C9"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*23% (IIN likme)</w:t>
                  </w:r>
                </w:p>
                <w:p w14:paraId="5BC3DBFA" w14:textId="206BB81E"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right"/>
                    <w:rPr>
                      <w:rFonts w:ascii="Times New Roman" w:hAnsi="Times New Roman"/>
                      <w:sz w:val="20"/>
                      <w:szCs w:val="24"/>
                      <w:u w:val="single"/>
                      <w:lang w:val="lv-LV"/>
                    </w:rPr>
                  </w:pPr>
                  <w:r w:rsidRPr="00BB29C8">
                    <w:rPr>
                      <w:rFonts w:ascii="Times New Roman" w:hAnsi="Times New Roman"/>
                      <w:sz w:val="20"/>
                      <w:szCs w:val="24"/>
                      <w:u w:val="single"/>
                      <w:lang w:val="lv-LV"/>
                    </w:rPr>
                    <w:t>=</w:t>
                  </w:r>
                  <w:r w:rsidR="00906D7F">
                    <w:rPr>
                      <w:rFonts w:ascii="Times New Roman" w:hAnsi="Times New Roman"/>
                      <w:sz w:val="20"/>
                      <w:szCs w:val="24"/>
                      <w:u w:val="single"/>
                      <w:lang w:val="lv-LV"/>
                    </w:rPr>
                    <w:t>1 916,59</w:t>
                  </w:r>
                  <w:r w:rsidRPr="00BB29C8">
                    <w:rPr>
                      <w:rFonts w:ascii="Times New Roman" w:hAnsi="Times New Roman"/>
                      <w:sz w:val="20"/>
                      <w:szCs w:val="24"/>
                      <w:u w:val="single"/>
                      <w:lang w:val="lv-LV"/>
                    </w:rPr>
                    <w:t xml:space="preserve"> (IIN)</w:t>
                  </w:r>
                </w:p>
              </w:tc>
            </w:tr>
            <w:tr w:rsidR="003F2612" w:rsidRPr="00BB29C8" w14:paraId="291D5A11" w14:textId="77777777" w:rsidTr="003F2612">
              <w:tc>
                <w:tcPr>
                  <w:tcW w:w="6371" w:type="dxa"/>
                  <w:gridSpan w:val="2"/>
                </w:tcPr>
                <w:p w14:paraId="036652A9"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p w14:paraId="077DC26A" w14:textId="0D88D99F" w:rsidR="003F2612"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4"/>
                      <w:u w:val="single"/>
                      <w:lang w:val="lv-LV"/>
                    </w:rPr>
                  </w:pPr>
                  <w:r w:rsidRPr="00BB29C8">
                    <w:rPr>
                      <w:rFonts w:ascii="Times New Roman" w:hAnsi="Times New Roman"/>
                      <w:sz w:val="20"/>
                      <w:szCs w:val="24"/>
                      <w:u w:val="single"/>
                      <w:lang w:val="lv-LV"/>
                    </w:rPr>
                    <w:t xml:space="preserve">IIN </w:t>
                  </w:r>
                  <w:r w:rsidR="00906D7F">
                    <w:rPr>
                      <w:rFonts w:ascii="Times New Roman" w:hAnsi="Times New Roman"/>
                      <w:sz w:val="20"/>
                      <w:szCs w:val="24"/>
                      <w:u w:val="single"/>
                      <w:lang w:val="lv-LV"/>
                    </w:rPr>
                    <w:t xml:space="preserve">mēnesī </w:t>
                  </w:r>
                  <w:r w:rsidRPr="00BB29C8">
                    <w:rPr>
                      <w:rFonts w:ascii="Times New Roman" w:hAnsi="Times New Roman"/>
                      <w:sz w:val="20"/>
                      <w:szCs w:val="24"/>
                      <w:u w:val="single"/>
                      <w:lang w:val="lv-LV"/>
                    </w:rPr>
                    <w:t xml:space="preserve">kopā: </w:t>
                  </w:r>
                  <w:r w:rsidR="00906D7F">
                    <w:rPr>
                      <w:rFonts w:ascii="Times New Roman" w:hAnsi="Times New Roman"/>
                      <w:sz w:val="20"/>
                      <w:szCs w:val="24"/>
                      <w:u w:val="single"/>
                      <w:lang w:val="lv-LV"/>
                    </w:rPr>
                    <w:t xml:space="preserve">113,40+1 916,59 </w:t>
                  </w:r>
                  <w:r w:rsidRPr="00BB29C8">
                    <w:rPr>
                      <w:rFonts w:ascii="Times New Roman" w:hAnsi="Times New Roman"/>
                      <w:sz w:val="20"/>
                      <w:szCs w:val="24"/>
                      <w:u w:val="single"/>
                      <w:lang w:val="lv-LV"/>
                    </w:rPr>
                    <w:t>=</w:t>
                  </w:r>
                  <w:r w:rsidR="00906D7F">
                    <w:rPr>
                      <w:rFonts w:ascii="Times New Roman" w:hAnsi="Times New Roman"/>
                      <w:sz w:val="20"/>
                      <w:szCs w:val="24"/>
                      <w:u w:val="single"/>
                      <w:lang w:val="lv-LV"/>
                    </w:rPr>
                    <w:t xml:space="preserve">2 029,99 </w:t>
                  </w:r>
                  <w:proofErr w:type="spellStart"/>
                  <w:r w:rsidRPr="00BB29C8">
                    <w:rPr>
                      <w:rFonts w:ascii="Times New Roman" w:hAnsi="Times New Roman"/>
                      <w:i/>
                      <w:sz w:val="20"/>
                      <w:szCs w:val="24"/>
                      <w:u w:val="single"/>
                      <w:lang w:val="lv-LV"/>
                    </w:rPr>
                    <w:t>euro</w:t>
                  </w:r>
                  <w:proofErr w:type="spellEnd"/>
                </w:p>
                <w:p w14:paraId="5611514C" w14:textId="6E4305BC"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i/>
                      <w:sz w:val="20"/>
                      <w:szCs w:val="24"/>
                      <w:u w:val="single"/>
                      <w:lang w:val="lv-LV"/>
                    </w:rPr>
                  </w:pPr>
                  <w:r>
                    <w:rPr>
                      <w:rFonts w:ascii="Times New Roman" w:hAnsi="Times New Roman"/>
                      <w:sz w:val="20"/>
                      <w:szCs w:val="24"/>
                      <w:u w:val="single"/>
                      <w:lang w:val="lv-LV"/>
                    </w:rPr>
                    <w:t xml:space="preserve">IIN gadā kopā: 2 029,99 = 24 359,88 </w:t>
                  </w:r>
                  <w:proofErr w:type="spellStart"/>
                  <w:r w:rsidRPr="00906D7F">
                    <w:rPr>
                      <w:rFonts w:ascii="Times New Roman" w:hAnsi="Times New Roman"/>
                      <w:i/>
                      <w:sz w:val="20"/>
                      <w:szCs w:val="24"/>
                      <w:u w:val="single"/>
                      <w:lang w:val="lv-LV"/>
                    </w:rPr>
                    <w:t>euro</w:t>
                  </w:r>
                  <w:proofErr w:type="spellEnd"/>
                </w:p>
                <w:p w14:paraId="1C3FFB67" w14:textId="0A1D7607"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p w14:paraId="2745A750" w14:textId="73337A53"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Darba ņēmēja mēneša VSAOI sadalījums:</w:t>
                  </w:r>
                </w:p>
                <w:tbl>
                  <w:tblPr>
                    <w:tblStyle w:val="TableGrid"/>
                    <w:tblW w:w="0" w:type="auto"/>
                    <w:tblLook w:val="04A0" w:firstRow="1" w:lastRow="0" w:firstColumn="1" w:lastColumn="0" w:noHBand="0" w:noVBand="1"/>
                  </w:tblPr>
                  <w:tblGrid>
                    <w:gridCol w:w="1202"/>
                    <w:gridCol w:w="1204"/>
                    <w:gridCol w:w="1323"/>
                    <w:gridCol w:w="1212"/>
                    <w:gridCol w:w="1204"/>
                  </w:tblGrid>
                  <w:tr w:rsidR="00906D7F" w14:paraId="2DAEC871" w14:textId="77777777" w:rsidTr="00906D7F">
                    <w:tc>
                      <w:tcPr>
                        <w:tcW w:w="1202" w:type="dxa"/>
                      </w:tcPr>
                      <w:p w14:paraId="6CD98824" w14:textId="77777777"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c>
                      <w:tcPr>
                        <w:tcW w:w="1204" w:type="dxa"/>
                      </w:tcPr>
                      <w:p w14:paraId="7048BC32" w14:textId="59A1694F"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VSAOI kopā</w:t>
                        </w:r>
                      </w:p>
                    </w:tc>
                    <w:tc>
                      <w:tcPr>
                        <w:tcW w:w="1323" w:type="dxa"/>
                      </w:tcPr>
                      <w:p w14:paraId="3168B264" w14:textId="2FB77EB5"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IIN</w:t>
                        </w:r>
                      </w:p>
                    </w:tc>
                    <w:tc>
                      <w:tcPr>
                        <w:tcW w:w="1212" w:type="dxa"/>
                      </w:tcPr>
                      <w:p w14:paraId="18907348" w14:textId="00BBEA6F"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Veselība</w:t>
                        </w:r>
                      </w:p>
                    </w:tc>
                    <w:tc>
                      <w:tcPr>
                        <w:tcW w:w="1204" w:type="dxa"/>
                      </w:tcPr>
                      <w:p w14:paraId="78A35989" w14:textId="1C1B53D3"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VSAOI</w:t>
                        </w:r>
                      </w:p>
                    </w:tc>
                  </w:tr>
                  <w:tr w:rsidR="00906D7F" w14:paraId="7CB7C14B" w14:textId="77777777" w:rsidTr="00906D7F">
                    <w:tc>
                      <w:tcPr>
                        <w:tcW w:w="1202" w:type="dxa"/>
                      </w:tcPr>
                      <w:p w14:paraId="254C71A4" w14:textId="6950A5F9"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Mēnesī</w:t>
                        </w:r>
                      </w:p>
                    </w:tc>
                    <w:tc>
                      <w:tcPr>
                        <w:tcW w:w="1204" w:type="dxa"/>
                      </w:tcPr>
                      <w:p w14:paraId="00B06B36" w14:textId="6D978828"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 xml:space="preserve">1 100 </w:t>
                        </w:r>
                        <w:proofErr w:type="spellStart"/>
                        <w:r w:rsidRPr="00906D7F">
                          <w:rPr>
                            <w:rFonts w:ascii="Times New Roman" w:hAnsi="Times New Roman"/>
                            <w:i/>
                            <w:sz w:val="20"/>
                            <w:szCs w:val="24"/>
                            <w:u w:val="single"/>
                            <w:lang w:val="lv-LV"/>
                          </w:rPr>
                          <w:t>euro</w:t>
                        </w:r>
                        <w:proofErr w:type="spellEnd"/>
                      </w:p>
                    </w:tc>
                    <w:tc>
                      <w:tcPr>
                        <w:tcW w:w="1323" w:type="dxa"/>
                      </w:tcPr>
                      <w:p w14:paraId="0B0DA6CD" w14:textId="7CFC5BD7"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 xml:space="preserve">568,75 </w:t>
                        </w:r>
                        <w:proofErr w:type="spellStart"/>
                        <w:r w:rsidRPr="00906D7F">
                          <w:rPr>
                            <w:rFonts w:ascii="Times New Roman" w:hAnsi="Times New Roman"/>
                            <w:i/>
                            <w:sz w:val="20"/>
                            <w:szCs w:val="24"/>
                            <w:u w:val="single"/>
                            <w:lang w:val="lv-LV"/>
                          </w:rPr>
                          <w:t>euro</w:t>
                        </w:r>
                        <w:proofErr w:type="spellEnd"/>
                      </w:p>
                    </w:tc>
                    <w:tc>
                      <w:tcPr>
                        <w:tcW w:w="1212" w:type="dxa"/>
                      </w:tcPr>
                      <w:p w14:paraId="25C4B216" w14:textId="264B148C"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 xml:space="preserve">50 </w:t>
                        </w:r>
                        <w:proofErr w:type="spellStart"/>
                        <w:r w:rsidRPr="00906D7F">
                          <w:rPr>
                            <w:rFonts w:ascii="Times New Roman" w:hAnsi="Times New Roman"/>
                            <w:i/>
                            <w:sz w:val="20"/>
                            <w:szCs w:val="24"/>
                            <w:u w:val="single"/>
                            <w:lang w:val="lv-LV"/>
                          </w:rPr>
                          <w:t>euro</w:t>
                        </w:r>
                        <w:proofErr w:type="spellEnd"/>
                      </w:p>
                    </w:tc>
                    <w:tc>
                      <w:tcPr>
                        <w:tcW w:w="1204" w:type="dxa"/>
                      </w:tcPr>
                      <w:p w14:paraId="05F0AA09" w14:textId="1578704B"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 xml:space="preserve">481,25 </w:t>
                        </w:r>
                        <w:proofErr w:type="spellStart"/>
                        <w:r w:rsidRPr="00906D7F">
                          <w:rPr>
                            <w:rFonts w:ascii="Times New Roman" w:hAnsi="Times New Roman"/>
                            <w:i/>
                            <w:sz w:val="20"/>
                            <w:szCs w:val="24"/>
                            <w:u w:val="single"/>
                            <w:lang w:val="lv-LV"/>
                          </w:rPr>
                          <w:t>euro</w:t>
                        </w:r>
                        <w:proofErr w:type="spellEnd"/>
                      </w:p>
                    </w:tc>
                  </w:tr>
                  <w:tr w:rsidR="00906D7F" w14:paraId="0BE0F03B" w14:textId="77777777" w:rsidTr="00906D7F">
                    <w:tc>
                      <w:tcPr>
                        <w:tcW w:w="1202" w:type="dxa"/>
                      </w:tcPr>
                      <w:p w14:paraId="307F4E46" w14:textId="1BA2CA64"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Gadā</w:t>
                        </w:r>
                      </w:p>
                    </w:tc>
                    <w:tc>
                      <w:tcPr>
                        <w:tcW w:w="1204" w:type="dxa"/>
                      </w:tcPr>
                      <w:p w14:paraId="1EEAA494" w14:textId="5D45625B" w:rsidR="00906D7F" w:rsidRDefault="003E693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 xml:space="preserve">13 200 </w:t>
                        </w:r>
                        <w:proofErr w:type="spellStart"/>
                        <w:r w:rsidRPr="003E693F">
                          <w:rPr>
                            <w:rFonts w:ascii="Times New Roman" w:hAnsi="Times New Roman"/>
                            <w:i/>
                            <w:sz w:val="20"/>
                            <w:szCs w:val="24"/>
                            <w:u w:val="single"/>
                            <w:lang w:val="lv-LV"/>
                          </w:rPr>
                          <w:t>euro</w:t>
                        </w:r>
                        <w:proofErr w:type="spellEnd"/>
                      </w:p>
                    </w:tc>
                    <w:tc>
                      <w:tcPr>
                        <w:tcW w:w="1323" w:type="dxa"/>
                      </w:tcPr>
                      <w:p w14:paraId="2AB890BE" w14:textId="48E0D441" w:rsidR="00906D7F" w:rsidRP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 xml:space="preserve">6 825 </w:t>
                        </w:r>
                        <w:proofErr w:type="spellStart"/>
                        <w:r w:rsidRPr="00906D7F">
                          <w:rPr>
                            <w:rFonts w:ascii="Times New Roman" w:hAnsi="Times New Roman"/>
                            <w:i/>
                            <w:sz w:val="20"/>
                            <w:szCs w:val="24"/>
                            <w:u w:val="single"/>
                            <w:lang w:val="lv-LV"/>
                          </w:rPr>
                          <w:t>euro</w:t>
                        </w:r>
                        <w:proofErr w:type="spellEnd"/>
                        <w:r>
                          <w:rPr>
                            <w:rFonts w:ascii="Times New Roman" w:hAnsi="Times New Roman"/>
                            <w:i/>
                            <w:sz w:val="20"/>
                            <w:szCs w:val="24"/>
                            <w:u w:val="single"/>
                            <w:lang w:val="lv-LV"/>
                          </w:rPr>
                          <w:t xml:space="preserve"> </w:t>
                        </w:r>
                        <w:r>
                          <w:rPr>
                            <w:rFonts w:ascii="Times New Roman" w:hAnsi="Times New Roman"/>
                            <w:sz w:val="20"/>
                            <w:szCs w:val="24"/>
                            <w:u w:val="single"/>
                            <w:lang w:val="lv-LV"/>
                          </w:rPr>
                          <w:t>(IIN kontā kā avansa maksājums)</w:t>
                        </w:r>
                      </w:p>
                    </w:tc>
                    <w:tc>
                      <w:tcPr>
                        <w:tcW w:w="1212" w:type="dxa"/>
                      </w:tcPr>
                      <w:p w14:paraId="05958DBD" w14:textId="77777777"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c>
                      <w:tcPr>
                        <w:tcW w:w="1204" w:type="dxa"/>
                      </w:tcPr>
                      <w:p w14:paraId="556B2E6D" w14:textId="77777777" w:rsid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r>
                </w:tbl>
                <w:p w14:paraId="08A2963E" w14:textId="2F8B4063" w:rsidR="00906D7F" w:rsidRPr="00906D7F" w:rsidRDefault="00906D7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r>
                    <w:rPr>
                      <w:rFonts w:ascii="Times New Roman" w:hAnsi="Times New Roman"/>
                      <w:sz w:val="20"/>
                      <w:szCs w:val="24"/>
                      <w:u w:val="single"/>
                      <w:lang w:val="lv-LV"/>
                    </w:rPr>
                    <w:t>IIN taksācijas gadā avansā kopā samaksāts: 6 825 + 24 359,88 = 31</w:t>
                  </w:r>
                  <w:r w:rsidR="00E13C8F">
                    <w:rPr>
                      <w:rFonts w:ascii="Times New Roman" w:hAnsi="Times New Roman"/>
                      <w:sz w:val="20"/>
                      <w:szCs w:val="24"/>
                      <w:u w:val="single"/>
                      <w:lang w:val="lv-LV"/>
                    </w:rPr>
                    <w:t> </w:t>
                  </w:r>
                  <w:r>
                    <w:rPr>
                      <w:rFonts w:ascii="Times New Roman" w:hAnsi="Times New Roman"/>
                      <w:sz w:val="20"/>
                      <w:szCs w:val="24"/>
                      <w:u w:val="single"/>
                      <w:lang w:val="lv-LV"/>
                    </w:rPr>
                    <w:t>18</w:t>
                  </w:r>
                  <w:r w:rsidR="00E13C8F">
                    <w:rPr>
                      <w:rFonts w:ascii="Times New Roman" w:hAnsi="Times New Roman"/>
                      <w:sz w:val="20"/>
                      <w:szCs w:val="24"/>
                      <w:u w:val="single"/>
                      <w:lang w:val="lv-LV"/>
                    </w:rPr>
                    <w:t>4,88</w:t>
                  </w:r>
                  <w:r>
                    <w:rPr>
                      <w:rFonts w:ascii="Times New Roman" w:hAnsi="Times New Roman"/>
                      <w:sz w:val="20"/>
                      <w:szCs w:val="24"/>
                      <w:u w:val="single"/>
                      <w:lang w:val="lv-LV"/>
                    </w:rPr>
                    <w:t xml:space="preserve"> </w:t>
                  </w:r>
                  <w:proofErr w:type="spellStart"/>
                  <w:r w:rsidRPr="00906D7F">
                    <w:rPr>
                      <w:rFonts w:ascii="Times New Roman" w:hAnsi="Times New Roman"/>
                      <w:i/>
                      <w:sz w:val="20"/>
                      <w:szCs w:val="24"/>
                      <w:u w:val="single"/>
                      <w:lang w:val="lv-LV"/>
                    </w:rPr>
                    <w:t>euro</w:t>
                  </w:r>
                  <w:proofErr w:type="spellEnd"/>
                  <w:r>
                    <w:rPr>
                      <w:rFonts w:ascii="Times New Roman" w:hAnsi="Times New Roman"/>
                      <w:sz w:val="20"/>
                      <w:szCs w:val="24"/>
                      <w:u w:val="single"/>
                      <w:lang w:val="lv-LV"/>
                    </w:rPr>
                    <w:t xml:space="preserve"> (noapaļots rezultāts</w:t>
                  </w:r>
                  <w:r w:rsidR="00E13C8F">
                    <w:rPr>
                      <w:rFonts w:ascii="Times New Roman" w:hAnsi="Times New Roman"/>
                      <w:sz w:val="20"/>
                      <w:szCs w:val="24"/>
                      <w:u w:val="single"/>
                      <w:lang w:val="lv-LV"/>
                    </w:rPr>
                    <w:t xml:space="preserve"> = 31 185 </w:t>
                  </w:r>
                  <w:proofErr w:type="spellStart"/>
                  <w:r w:rsidR="00E13C8F" w:rsidRPr="00E13C8F">
                    <w:rPr>
                      <w:rFonts w:ascii="Times New Roman" w:hAnsi="Times New Roman"/>
                      <w:i/>
                      <w:sz w:val="20"/>
                      <w:szCs w:val="24"/>
                      <w:u w:val="single"/>
                      <w:lang w:val="lv-LV"/>
                    </w:rPr>
                    <w:t>euro</w:t>
                  </w:r>
                  <w:proofErr w:type="spellEnd"/>
                  <w:r>
                    <w:rPr>
                      <w:rFonts w:ascii="Times New Roman" w:hAnsi="Times New Roman"/>
                      <w:sz w:val="20"/>
                      <w:szCs w:val="24"/>
                      <w:u w:val="single"/>
                      <w:lang w:val="lv-LV"/>
                    </w:rPr>
                    <w:t>)</w:t>
                  </w:r>
                </w:p>
                <w:p w14:paraId="7E9805A4" w14:textId="77777777" w:rsidR="003F2612" w:rsidRPr="00BB29C8" w:rsidRDefault="003F2612"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center"/>
                    <w:rPr>
                      <w:rFonts w:ascii="Times New Roman" w:hAnsi="Times New Roman"/>
                      <w:sz w:val="20"/>
                      <w:szCs w:val="24"/>
                      <w:u w:val="single"/>
                      <w:lang w:val="lv-LV"/>
                    </w:rPr>
                  </w:pPr>
                </w:p>
              </w:tc>
            </w:tr>
          </w:tbl>
          <w:p w14:paraId="691E9AB9" w14:textId="18BCE0F4" w:rsidR="009A45A8" w:rsidRPr="009A45A8" w:rsidRDefault="009A45A8"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4"/>
                <w:u w:val="single"/>
                <w:lang w:val="lv-LV"/>
              </w:rPr>
            </w:pPr>
            <w:r w:rsidRPr="009A45A8">
              <w:rPr>
                <w:rFonts w:ascii="Times New Roman" w:hAnsi="Times New Roman"/>
                <w:sz w:val="20"/>
                <w:szCs w:val="24"/>
                <w:u w:val="single"/>
                <w:lang w:val="lv-LV"/>
              </w:rPr>
              <w:t>IIN aprēķins par taksācijas gadu rezumējošā kārtībā</w:t>
            </w:r>
          </w:p>
          <w:tbl>
            <w:tblPr>
              <w:tblStyle w:val="TableGrid"/>
              <w:tblW w:w="0" w:type="auto"/>
              <w:tblInd w:w="255" w:type="dxa"/>
              <w:tblLook w:val="04A0" w:firstRow="1" w:lastRow="0" w:firstColumn="1" w:lastColumn="0" w:noHBand="0" w:noVBand="1"/>
            </w:tblPr>
            <w:tblGrid>
              <w:gridCol w:w="1367"/>
              <w:gridCol w:w="1282"/>
              <w:gridCol w:w="1251"/>
              <w:gridCol w:w="1266"/>
              <w:gridCol w:w="1205"/>
            </w:tblGrid>
            <w:tr w:rsidR="009A45A8" w:rsidRPr="009A45A8" w14:paraId="7FF5B378" w14:textId="77777777" w:rsidTr="009A45A8">
              <w:tc>
                <w:tcPr>
                  <w:tcW w:w="1316" w:type="dxa"/>
                </w:tcPr>
                <w:p w14:paraId="15BE95CA" w14:textId="49888E3D"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sidRPr="009A45A8">
                    <w:rPr>
                      <w:rFonts w:ascii="Times New Roman" w:hAnsi="Times New Roman"/>
                      <w:sz w:val="20"/>
                      <w:szCs w:val="24"/>
                      <w:u w:val="single"/>
                      <w:lang w:val="lv-LV"/>
                    </w:rPr>
                    <w:t>Gada ienākums</w:t>
                  </w:r>
                </w:p>
              </w:tc>
              <w:tc>
                <w:tcPr>
                  <w:tcW w:w="1293" w:type="dxa"/>
                </w:tcPr>
                <w:p w14:paraId="20D2A57E" w14:textId="16AD8123"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sidRPr="009A45A8">
                    <w:rPr>
                      <w:rFonts w:ascii="Times New Roman" w:hAnsi="Times New Roman"/>
                      <w:sz w:val="20"/>
                      <w:szCs w:val="24"/>
                      <w:u w:val="single"/>
                      <w:lang w:val="lv-LV"/>
                    </w:rPr>
                    <w:t>120 000</w:t>
                  </w:r>
                </w:p>
                <w:p w14:paraId="4B852F36" w14:textId="27B689D6"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c>
                <w:tcPr>
                  <w:tcW w:w="1265" w:type="dxa"/>
                </w:tcPr>
                <w:p w14:paraId="4F7119BC" w14:textId="77777777"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c>
                <w:tcPr>
                  <w:tcW w:w="1280" w:type="dxa"/>
                </w:tcPr>
                <w:p w14:paraId="40F52973" w14:textId="77777777"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c>
                <w:tcPr>
                  <w:tcW w:w="1217" w:type="dxa"/>
                </w:tcPr>
                <w:p w14:paraId="1843E6B0" w14:textId="77777777"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r>
            <w:tr w:rsidR="009A45A8" w:rsidRPr="009A45A8" w14:paraId="53BE7BF9" w14:textId="77777777" w:rsidTr="009A45A8">
              <w:tc>
                <w:tcPr>
                  <w:tcW w:w="1316" w:type="dxa"/>
                </w:tcPr>
                <w:p w14:paraId="0FF2F204" w14:textId="74F7215C"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IIN likme</w:t>
                  </w:r>
                </w:p>
              </w:tc>
              <w:tc>
                <w:tcPr>
                  <w:tcW w:w="1293" w:type="dxa"/>
                </w:tcPr>
                <w:p w14:paraId="763B3AD2" w14:textId="2D7C4CA2"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20%</w:t>
                  </w:r>
                </w:p>
              </w:tc>
              <w:tc>
                <w:tcPr>
                  <w:tcW w:w="1265" w:type="dxa"/>
                </w:tcPr>
                <w:p w14:paraId="594C9368" w14:textId="17125401"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23%</w:t>
                  </w:r>
                </w:p>
              </w:tc>
              <w:tc>
                <w:tcPr>
                  <w:tcW w:w="1280" w:type="dxa"/>
                </w:tcPr>
                <w:p w14:paraId="69BFE634" w14:textId="19153D69"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31,4%</w:t>
                  </w:r>
                </w:p>
              </w:tc>
              <w:tc>
                <w:tcPr>
                  <w:tcW w:w="1217" w:type="dxa"/>
                </w:tcPr>
                <w:p w14:paraId="01EF488A" w14:textId="77777777"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r>
            <w:tr w:rsidR="009A45A8" w:rsidRPr="009A45A8" w14:paraId="696AE2A6" w14:textId="77777777" w:rsidTr="009A45A8">
              <w:tc>
                <w:tcPr>
                  <w:tcW w:w="1316" w:type="dxa"/>
                </w:tcPr>
                <w:p w14:paraId="4DA6CEE2" w14:textId="1D3F4BB4"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AI ienākums sadalījumā pa ienākuma sliekšņiem</w:t>
                  </w:r>
                </w:p>
              </w:tc>
              <w:tc>
                <w:tcPr>
                  <w:tcW w:w="1293" w:type="dxa"/>
                </w:tcPr>
                <w:p w14:paraId="135B9343" w14:textId="6C6B4FB1"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20 000 </w:t>
                  </w:r>
                </w:p>
              </w:tc>
              <w:tc>
                <w:tcPr>
                  <w:tcW w:w="1265" w:type="dxa"/>
                </w:tcPr>
                <w:p w14:paraId="3B2D3F0B" w14:textId="49CDC3E8"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35 000 </w:t>
                  </w:r>
                </w:p>
              </w:tc>
              <w:tc>
                <w:tcPr>
                  <w:tcW w:w="1280" w:type="dxa"/>
                </w:tcPr>
                <w:p w14:paraId="51D84A55" w14:textId="6BCA1AF6"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65 000 </w:t>
                  </w:r>
                </w:p>
              </w:tc>
              <w:tc>
                <w:tcPr>
                  <w:tcW w:w="1217" w:type="dxa"/>
                </w:tcPr>
                <w:p w14:paraId="71A887B3" w14:textId="77777777"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r>
            <w:tr w:rsidR="009A45A8" w:rsidRPr="009A45A8" w14:paraId="330E7AEF" w14:textId="77777777" w:rsidTr="009A45A8">
              <w:tc>
                <w:tcPr>
                  <w:tcW w:w="1316" w:type="dxa"/>
                </w:tcPr>
                <w:p w14:paraId="4485E7A0" w14:textId="1FB75162"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Attaisnotie izdevumi (Darba ņēmēja VSAOI – IIN kontā pārskaitītā solidaritātes nodokļa daļa</w:t>
                  </w:r>
                </w:p>
              </w:tc>
              <w:tc>
                <w:tcPr>
                  <w:tcW w:w="1293" w:type="dxa"/>
                </w:tcPr>
                <w:p w14:paraId="6013BF7D" w14:textId="227BCA6F"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13 200 – 6 825 =6 375  </w:t>
                  </w:r>
                </w:p>
              </w:tc>
              <w:tc>
                <w:tcPr>
                  <w:tcW w:w="1265" w:type="dxa"/>
                </w:tcPr>
                <w:p w14:paraId="70A5FA7F" w14:textId="7C6FB314" w:rsidR="009A45A8" w:rsidRPr="009A45A8" w:rsidRDefault="00E13C8F"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X</w:t>
                  </w:r>
                </w:p>
              </w:tc>
              <w:tc>
                <w:tcPr>
                  <w:tcW w:w="1280" w:type="dxa"/>
                </w:tcPr>
                <w:p w14:paraId="2A87BD0B" w14:textId="2E921581"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x</w:t>
                  </w:r>
                </w:p>
              </w:tc>
              <w:tc>
                <w:tcPr>
                  <w:tcW w:w="1217" w:type="dxa"/>
                </w:tcPr>
                <w:p w14:paraId="346C1FD8" w14:textId="77777777"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p>
              </w:tc>
            </w:tr>
            <w:tr w:rsidR="009A45A8" w:rsidRPr="009A45A8" w14:paraId="0ACB2E5A" w14:textId="77777777" w:rsidTr="009A45A8">
              <w:tc>
                <w:tcPr>
                  <w:tcW w:w="1316" w:type="dxa"/>
                </w:tcPr>
                <w:p w14:paraId="4D8EF804" w14:textId="5992296A"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Apliekamais ienākums </w:t>
                  </w:r>
                </w:p>
              </w:tc>
              <w:tc>
                <w:tcPr>
                  <w:tcW w:w="1293" w:type="dxa"/>
                </w:tcPr>
                <w:p w14:paraId="00CD9F74" w14:textId="2EA9D778"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13 625 </w:t>
                  </w:r>
                </w:p>
              </w:tc>
              <w:tc>
                <w:tcPr>
                  <w:tcW w:w="1265" w:type="dxa"/>
                </w:tcPr>
                <w:p w14:paraId="6B6ACB20" w14:textId="34E6EB55"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35 000 </w:t>
                  </w:r>
                </w:p>
              </w:tc>
              <w:tc>
                <w:tcPr>
                  <w:tcW w:w="1280" w:type="dxa"/>
                </w:tcPr>
                <w:p w14:paraId="7AFF8E59" w14:textId="07CCA8D1"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65 000 </w:t>
                  </w:r>
                </w:p>
              </w:tc>
              <w:tc>
                <w:tcPr>
                  <w:tcW w:w="1217" w:type="dxa"/>
                </w:tcPr>
                <w:p w14:paraId="3904DE26" w14:textId="05A9EF0A"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b/>
                      <w:sz w:val="20"/>
                      <w:szCs w:val="24"/>
                      <w:u w:val="single"/>
                      <w:lang w:val="lv-LV"/>
                    </w:rPr>
                  </w:pPr>
                  <w:r w:rsidRPr="009A45A8">
                    <w:rPr>
                      <w:rFonts w:ascii="Times New Roman" w:hAnsi="Times New Roman"/>
                      <w:b/>
                      <w:sz w:val="20"/>
                      <w:szCs w:val="24"/>
                      <w:u w:val="single"/>
                      <w:lang w:val="lv-LV"/>
                    </w:rPr>
                    <w:t>IIN kopā:</w:t>
                  </w:r>
                </w:p>
              </w:tc>
            </w:tr>
            <w:tr w:rsidR="009A45A8" w:rsidRPr="009A45A8" w14:paraId="7128EA8F" w14:textId="77777777" w:rsidTr="009A45A8">
              <w:tc>
                <w:tcPr>
                  <w:tcW w:w="1316" w:type="dxa"/>
                </w:tcPr>
                <w:p w14:paraId="2FBDDE4E" w14:textId="6D84C27C"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IIN</w:t>
                  </w:r>
                </w:p>
              </w:tc>
              <w:tc>
                <w:tcPr>
                  <w:tcW w:w="1293" w:type="dxa"/>
                </w:tcPr>
                <w:p w14:paraId="2206253D" w14:textId="28D9124B"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2 725 </w:t>
                  </w:r>
                </w:p>
              </w:tc>
              <w:tc>
                <w:tcPr>
                  <w:tcW w:w="1265" w:type="dxa"/>
                </w:tcPr>
                <w:p w14:paraId="60CF52E6" w14:textId="34F1D660"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8 050 </w:t>
                  </w:r>
                </w:p>
              </w:tc>
              <w:tc>
                <w:tcPr>
                  <w:tcW w:w="1280" w:type="dxa"/>
                </w:tcPr>
                <w:p w14:paraId="0CAC352C" w14:textId="783446EA"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20 410 </w:t>
                  </w:r>
                </w:p>
              </w:tc>
              <w:tc>
                <w:tcPr>
                  <w:tcW w:w="1217" w:type="dxa"/>
                </w:tcPr>
                <w:p w14:paraId="458096E0" w14:textId="71CDBC96" w:rsidR="009A45A8" w:rsidRPr="009A45A8" w:rsidRDefault="009A45A8" w:rsidP="00E81B14">
                  <w:pPr>
                    <w:pStyle w:val="ListParagraph"/>
                    <w:framePr w:hSpace="180" w:wrap="around" w:vAnchor="text" w:hAnchor="margin" w:xAlign="center" w:y="149"/>
                    <w:tabs>
                      <w:tab w:val="left" w:pos="720"/>
                      <w:tab w:val="left" w:pos="2127"/>
                      <w:tab w:val="center" w:pos="4153"/>
                      <w:tab w:val="left" w:pos="6096"/>
                      <w:tab w:val="right" w:pos="8306"/>
                    </w:tabs>
                    <w:spacing w:after="0" w:line="240" w:lineRule="auto"/>
                    <w:ind w:left="0" w:right="140"/>
                    <w:jc w:val="both"/>
                    <w:rPr>
                      <w:rFonts w:ascii="Times New Roman" w:hAnsi="Times New Roman"/>
                      <w:sz w:val="20"/>
                      <w:szCs w:val="24"/>
                      <w:u w:val="single"/>
                      <w:lang w:val="lv-LV"/>
                    </w:rPr>
                  </w:pPr>
                  <w:r>
                    <w:rPr>
                      <w:rFonts w:ascii="Times New Roman" w:hAnsi="Times New Roman"/>
                      <w:sz w:val="20"/>
                      <w:szCs w:val="24"/>
                      <w:u w:val="single"/>
                      <w:lang w:val="lv-LV"/>
                    </w:rPr>
                    <w:t xml:space="preserve">31 185 </w:t>
                  </w:r>
                </w:p>
              </w:tc>
            </w:tr>
          </w:tbl>
          <w:p w14:paraId="0E5AB93C" w14:textId="78F90BC4" w:rsidR="009A45A8" w:rsidRPr="009A45A8" w:rsidRDefault="009A45A8"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p w14:paraId="054546F5" w14:textId="758E2E70" w:rsidR="009A45A8" w:rsidRPr="009A45A8" w:rsidRDefault="009A45A8"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r w:rsidRPr="009A45A8">
              <w:rPr>
                <w:rFonts w:ascii="Times New Roman" w:hAnsi="Times New Roman"/>
                <w:sz w:val="20"/>
                <w:szCs w:val="20"/>
                <w:u w:val="single"/>
                <w:lang w:val="lv-LV"/>
              </w:rPr>
              <w:lastRenderedPageBreak/>
              <w:t xml:space="preserve">Taksācijas gadā avansā samaksātais IIN un rezumējošā kārtībā aprēķinātais IIN ir vienāds: 31 185 </w:t>
            </w:r>
            <w:proofErr w:type="spellStart"/>
            <w:r w:rsidRPr="009A45A8">
              <w:rPr>
                <w:rFonts w:ascii="Times New Roman" w:hAnsi="Times New Roman"/>
                <w:i/>
                <w:sz w:val="20"/>
                <w:szCs w:val="20"/>
                <w:u w:val="single"/>
                <w:lang w:val="lv-LV"/>
              </w:rPr>
              <w:t>euro</w:t>
            </w:r>
            <w:proofErr w:type="spellEnd"/>
            <w:r w:rsidRPr="009A45A8">
              <w:rPr>
                <w:rFonts w:ascii="Times New Roman" w:hAnsi="Times New Roman"/>
                <w:sz w:val="20"/>
                <w:szCs w:val="20"/>
                <w:u w:val="single"/>
                <w:lang w:val="lv-LV"/>
              </w:rPr>
              <w:t>.</w:t>
            </w:r>
          </w:p>
          <w:p w14:paraId="624EAC8C" w14:textId="77777777" w:rsidR="003F2612" w:rsidRPr="009A45A8" w:rsidRDefault="003F2612"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0"/>
                <w:szCs w:val="20"/>
                <w:u w:val="single"/>
                <w:lang w:val="lv-LV"/>
              </w:rPr>
            </w:pPr>
          </w:p>
          <w:p w14:paraId="4E3FB2FC" w14:textId="2DDE97DA" w:rsidR="00FD613A" w:rsidRPr="00D37BB8" w:rsidRDefault="00FD613A"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u w:val="single"/>
                <w:lang w:val="lv-LV"/>
              </w:rPr>
            </w:pPr>
            <w:r w:rsidRPr="00D37BB8">
              <w:rPr>
                <w:rFonts w:ascii="Times New Roman" w:hAnsi="Times New Roman"/>
                <w:sz w:val="24"/>
                <w:szCs w:val="24"/>
                <w:u w:val="single"/>
                <w:lang w:val="lv-LV"/>
              </w:rPr>
              <w:t>Savukārt specifiskā situācijā, ja nodokļa maksātājs ir persona, kurai ir A1 sertifikāts, ka valsts sociālās apdrošināšanas obligātās iemaksas veic citā valstī, kā arī starpvalstu sociālās droš</w:t>
            </w:r>
            <w:r w:rsidR="0018249C" w:rsidRPr="00D37BB8">
              <w:rPr>
                <w:rFonts w:ascii="Times New Roman" w:hAnsi="Times New Roman"/>
                <w:sz w:val="24"/>
                <w:szCs w:val="24"/>
                <w:u w:val="single"/>
                <w:lang w:val="lv-LV"/>
              </w:rPr>
              <w:t>ī</w:t>
            </w:r>
            <w:r w:rsidRPr="00D37BB8">
              <w:rPr>
                <w:rFonts w:ascii="Times New Roman" w:hAnsi="Times New Roman"/>
                <w:sz w:val="24"/>
                <w:szCs w:val="24"/>
                <w:u w:val="single"/>
                <w:lang w:val="lv-LV"/>
              </w:rPr>
              <w:t xml:space="preserve">bas līgumos norādītajos gadījumos, kad valsts sociālās apdrošināšanas obligātās iemaksas veic citā </w:t>
            </w:r>
            <w:proofErr w:type="spellStart"/>
            <w:r w:rsidRPr="00D37BB8">
              <w:rPr>
                <w:rFonts w:ascii="Times New Roman" w:hAnsi="Times New Roman"/>
                <w:sz w:val="24"/>
                <w:szCs w:val="24"/>
                <w:u w:val="single"/>
                <w:lang w:val="lv-LV"/>
              </w:rPr>
              <w:t>līgumvalstī</w:t>
            </w:r>
            <w:proofErr w:type="spellEnd"/>
            <w:r w:rsidRPr="00D37BB8">
              <w:rPr>
                <w:rFonts w:ascii="Times New Roman" w:hAnsi="Times New Roman"/>
                <w:sz w:val="24"/>
                <w:szCs w:val="24"/>
                <w:u w:val="single"/>
                <w:lang w:val="lv-LV"/>
              </w:rPr>
              <w:t>, un tās gūtais algota darba ienākums mēnesī pārsniedz 4 </w:t>
            </w:r>
            <w:r w:rsidR="00D80D05">
              <w:rPr>
                <w:rFonts w:ascii="Times New Roman" w:hAnsi="Times New Roman"/>
                <w:sz w:val="24"/>
                <w:szCs w:val="24"/>
                <w:u w:val="single"/>
                <w:lang w:val="lv-LV"/>
              </w:rPr>
              <w:t>5</w:t>
            </w:r>
            <w:r w:rsidRPr="00D37BB8">
              <w:rPr>
                <w:rFonts w:ascii="Times New Roman" w:hAnsi="Times New Roman"/>
                <w:sz w:val="24"/>
                <w:szCs w:val="24"/>
                <w:u w:val="single"/>
                <w:lang w:val="lv-LV"/>
              </w:rPr>
              <w:t xml:space="preserve">83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 xml:space="preserve"> mēnesī (~55 000/12), ienākuma izmaksātājs, ieturot nodokli, mēneša ienākuma daļai, kas pārsniedz 4 </w:t>
            </w:r>
            <w:r w:rsidR="008B01AA">
              <w:rPr>
                <w:rFonts w:ascii="Times New Roman" w:hAnsi="Times New Roman"/>
                <w:sz w:val="24"/>
                <w:szCs w:val="24"/>
                <w:u w:val="single"/>
                <w:lang w:val="lv-LV"/>
              </w:rPr>
              <w:t>5</w:t>
            </w:r>
            <w:r w:rsidRPr="00D37BB8">
              <w:rPr>
                <w:rFonts w:ascii="Times New Roman" w:hAnsi="Times New Roman"/>
                <w:sz w:val="24"/>
                <w:szCs w:val="24"/>
                <w:u w:val="single"/>
                <w:lang w:val="lv-LV"/>
              </w:rPr>
              <w:t xml:space="preserve">83 </w:t>
            </w:r>
            <w:proofErr w:type="spellStart"/>
            <w:r w:rsidR="005A1D33" w:rsidRPr="00D37BB8">
              <w:rPr>
                <w:rFonts w:ascii="Times New Roman" w:hAnsi="Times New Roman"/>
                <w:i/>
                <w:sz w:val="24"/>
                <w:szCs w:val="24"/>
                <w:u w:val="single"/>
                <w:lang w:val="lv-LV"/>
              </w:rPr>
              <w:t>euro</w:t>
            </w:r>
            <w:proofErr w:type="spellEnd"/>
            <w:r w:rsidRPr="00D37BB8">
              <w:rPr>
                <w:rFonts w:ascii="Times New Roman" w:hAnsi="Times New Roman"/>
                <w:sz w:val="24"/>
                <w:szCs w:val="24"/>
                <w:u w:val="single"/>
                <w:lang w:val="lv-LV"/>
              </w:rPr>
              <w:t xml:space="preserve">, piemēro nodokļa likmi 31,4% apmērā. Šī regulējuma mērķis ir nodrošināt, lai personām, </w:t>
            </w:r>
            <w:r w:rsidR="001137FC" w:rsidRPr="00D37BB8">
              <w:rPr>
                <w:rFonts w:ascii="Times New Roman" w:hAnsi="Times New Roman"/>
                <w:sz w:val="24"/>
                <w:szCs w:val="24"/>
                <w:u w:val="single"/>
                <w:lang w:val="lv-LV"/>
              </w:rPr>
              <w:t>kas nav s</w:t>
            </w:r>
            <w:r w:rsidRPr="00D37BB8">
              <w:rPr>
                <w:rFonts w:ascii="Times New Roman" w:hAnsi="Times New Roman"/>
                <w:sz w:val="24"/>
                <w:szCs w:val="24"/>
                <w:u w:val="single"/>
                <w:lang w:val="lv-LV"/>
              </w:rPr>
              <w:t xml:space="preserve">olidaritātes nodokļa maksātājas, piemērotais nodokļu slogs </w:t>
            </w:r>
            <w:r w:rsidR="002709D3" w:rsidRPr="00D37BB8">
              <w:rPr>
                <w:rFonts w:ascii="Times New Roman" w:hAnsi="Times New Roman"/>
                <w:sz w:val="24"/>
                <w:szCs w:val="24"/>
                <w:u w:val="single"/>
                <w:lang w:val="lv-LV"/>
              </w:rPr>
              <w:t>nebūtu mazāks</w:t>
            </w:r>
            <w:r w:rsidR="001137FC" w:rsidRPr="00D37BB8">
              <w:rPr>
                <w:rFonts w:ascii="Times New Roman" w:hAnsi="Times New Roman"/>
                <w:sz w:val="24"/>
                <w:szCs w:val="24"/>
                <w:u w:val="single"/>
                <w:lang w:val="lv-LV"/>
              </w:rPr>
              <w:t xml:space="preserve"> personām, kuras ir solidaritātes nodokļa maksātājas.</w:t>
            </w:r>
          </w:p>
          <w:p w14:paraId="3D124BEA" w14:textId="77777777" w:rsidR="00465CA3" w:rsidRPr="00D37BB8" w:rsidRDefault="00465CA3" w:rsidP="0024130A">
            <w:pPr>
              <w:pStyle w:val="ListParagraph"/>
              <w:tabs>
                <w:tab w:val="left" w:pos="720"/>
                <w:tab w:val="left" w:pos="2127"/>
                <w:tab w:val="center" w:pos="4153"/>
                <w:tab w:val="left" w:pos="6096"/>
                <w:tab w:val="right" w:pos="8306"/>
              </w:tabs>
              <w:spacing w:after="0" w:line="240" w:lineRule="auto"/>
              <w:ind w:left="255" w:right="140"/>
              <w:jc w:val="both"/>
              <w:rPr>
                <w:rFonts w:ascii="Times New Roman" w:hAnsi="Times New Roman"/>
                <w:sz w:val="24"/>
                <w:szCs w:val="24"/>
                <w:lang w:val="lv-LV"/>
              </w:rPr>
            </w:pPr>
          </w:p>
          <w:p w14:paraId="5E27922E" w14:textId="77777777" w:rsidR="003D1B81" w:rsidRPr="00D37BB8" w:rsidRDefault="003D1B81" w:rsidP="006B4097">
            <w:pPr>
              <w:tabs>
                <w:tab w:val="left" w:pos="2127"/>
                <w:tab w:val="center" w:pos="4153"/>
                <w:tab w:val="left" w:pos="6096"/>
                <w:tab w:val="right" w:pos="8306"/>
              </w:tabs>
              <w:ind w:left="255" w:right="140"/>
              <w:jc w:val="both"/>
              <w:rPr>
                <w:u w:val="single"/>
              </w:rPr>
            </w:pPr>
            <w:r w:rsidRPr="00D37BB8">
              <w:t>Vienota iedzīvotāju ienākuma nodokļa likme 20% apmērā tiek noteikta kapitāla ienākumam, t.sk., ienākumam no kapitāla pieauguma (agrākās 10% un 15% likmes vietā).</w:t>
            </w:r>
            <w:r w:rsidR="00FF4A1C" w:rsidRPr="00D37BB8">
              <w:t xml:space="preserve"> </w:t>
            </w:r>
            <w:r w:rsidR="00FF4A1C" w:rsidRPr="00D37BB8">
              <w:rPr>
                <w:u w:val="single"/>
              </w:rPr>
              <w:t>Tomēr, lai nodrošinātu tiesiskās paļāvības principu gadījumos, ja maksātājs gūst ienākumu no kapitāla pieauguma (darījums ir jau uzsākts līdz 2017.gada 31.decembrim, kā arī Valsts ieņēmumu dienestam ir iesniegta informācija par šo darījumu, kas uzsākts, bet nav pabeigts vienā taksācijas gadā), piemēro iedzīvotāju ienākuma nodokļa likmi 15% apmērā.</w:t>
            </w:r>
          </w:p>
          <w:p w14:paraId="2F1FD01E" w14:textId="77777777" w:rsidR="003D1B81" w:rsidRPr="00D37BB8" w:rsidRDefault="003D1B81" w:rsidP="006B4097">
            <w:pPr>
              <w:tabs>
                <w:tab w:val="left" w:pos="2127"/>
                <w:tab w:val="center" w:pos="4153"/>
                <w:tab w:val="left" w:pos="6096"/>
                <w:tab w:val="right" w:pos="8306"/>
              </w:tabs>
              <w:ind w:left="255" w:right="140"/>
              <w:jc w:val="both"/>
              <w:rPr>
                <w:u w:val="single"/>
              </w:rPr>
            </w:pPr>
          </w:p>
          <w:p w14:paraId="727FEDD4" w14:textId="3D7326ED" w:rsidR="003D1B81" w:rsidRPr="00D37BB8" w:rsidRDefault="003D1B81" w:rsidP="006B4097">
            <w:pPr>
              <w:tabs>
                <w:tab w:val="left" w:pos="2127"/>
                <w:tab w:val="center" w:pos="4153"/>
                <w:tab w:val="left" w:pos="6096"/>
                <w:tab w:val="right" w:pos="8306"/>
              </w:tabs>
              <w:ind w:left="255" w:right="140"/>
              <w:jc w:val="both"/>
            </w:pPr>
            <w:r w:rsidRPr="00D37BB8">
              <w:t xml:space="preserve">Iedzīvotāju ienākuma nodokļa likme mainās arī patentmaksām, nosakot, ka patentmaksa ir no 50 līdz 100 </w:t>
            </w:r>
            <w:proofErr w:type="spellStart"/>
            <w:r w:rsidR="005A1D33" w:rsidRPr="00D37BB8">
              <w:rPr>
                <w:i/>
              </w:rPr>
              <w:t>euro</w:t>
            </w:r>
            <w:proofErr w:type="spellEnd"/>
            <w:r w:rsidRPr="00D37BB8">
              <w:t xml:space="preserve"> mēnesī</w:t>
            </w:r>
            <w:r w:rsidR="00346569" w:rsidRPr="00D37BB8">
              <w:t xml:space="preserve"> (agrāk – 43 līdz 100 </w:t>
            </w:r>
            <w:proofErr w:type="spellStart"/>
            <w:r w:rsidR="005A1D33" w:rsidRPr="00D37BB8">
              <w:rPr>
                <w:i/>
              </w:rPr>
              <w:t>euro</w:t>
            </w:r>
            <w:proofErr w:type="spellEnd"/>
            <w:r w:rsidR="00346569" w:rsidRPr="00D37BB8">
              <w:t xml:space="preserve"> mēnesī)</w:t>
            </w:r>
            <w:r w:rsidR="00601280" w:rsidRPr="00D37BB8">
              <w:t>.</w:t>
            </w:r>
          </w:p>
          <w:p w14:paraId="30D3E38A" w14:textId="77777777" w:rsidR="003D1B81" w:rsidRPr="00D37BB8" w:rsidRDefault="003D1B81" w:rsidP="006B4097">
            <w:pPr>
              <w:tabs>
                <w:tab w:val="left" w:pos="2127"/>
                <w:tab w:val="center" w:pos="4153"/>
                <w:tab w:val="left" w:pos="6096"/>
                <w:tab w:val="right" w:pos="8306"/>
              </w:tabs>
              <w:ind w:left="255" w:right="140"/>
              <w:jc w:val="both"/>
              <w:rPr>
                <w:u w:val="single"/>
              </w:rPr>
            </w:pPr>
          </w:p>
          <w:p w14:paraId="4BCCF2FC" w14:textId="77777777" w:rsidR="003D1B81" w:rsidRPr="00D37BB8" w:rsidRDefault="00346569" w:rsidP="006B4097">
            <w:pPr>
              <w:tabs>
                <w:tab w:val="left" w:pos="2127"/>
                <w:tab w:val="center" w:pos="4153"/>
                <w:tab w:val="left" w:pos="6096"/>
                <w:tab w:val="right" w:pos="8306"/>
              </w:tabs>
              <w:ind w:left="255" w:right="140"/>
              <w:jc w:val="both"/>
            </w:pPr>
            <w:r w:rsidRPr="00D37BB8">
              <w:t>Pārējos gadījumos iedzīvotāju ienākuma nodokļa likmes netiek mainīta (piemēram, sezonas laukstrādnieku ienākuma nodoklim, nodokļa papildu likme,</w:t>
            </w:r>
            <w:r w:rsidR="003128AB" w:rsidRPr="00D37BB8">
              <w:t xml:space="preserve"> ja maksātājs, būdams aizdevēja </w:t>
            </w:r>
            <w:r w:rsidRPr="00D37BB8">
              <w:t>darbinieks</w:t>
            </w:r>
            <w:r w:rsidR="003128AB" w:rsidRPr="00D37BB8">
              <w:t xml:space="preserve">, </w:t>
            </w:r>
            <w:r w:rsidRPr="00D37BB8">
              <w:t>likumā noteiktajā termiņā nav veicis aizdevuma atmaksu u.c.)</w:t>
            </w:r>
            <w:r w:rsidR="00BC6AA9" w:rsidRPr="00D37BB8">
              <w:t>.</w:t>
            </w:r>
          </w:p>
          <w:p w14:paraId="10927CD3" w14:textId="77777777" w:rsidR="00346569" w:rsidRPr="00D37BB8" w:rsidRDefault="00346569" w:rsidP="006B4097">
            <w:pPr>
              <w:tabs>
                <w:tab w:val="left" w:pos="2127"/>
                <w:tab w:val="center" w:pos="4153"/>
                <w:tab w:val="left" w:pos="6096"/>
                <w:tab w:val="right" w:pos="8306"/>
              </w:tabs>
              <w:ind w:left="255" w:right="140"/>
              <w:jc w:val="both"/>
              <w:rPr>
                <w:u w:val="single"/>
              </w:rPr>
            </w:pPr>
          </w:p>
          <w:p w14:paraId="5ECB64DF" w14:textId="77777777" w:rsidR="00346569" w:rsidRPr="00D37BB8" w:rsidRDefault="00346569" w:rsidP="006B4097">
            <w:pPr>
              <w:tabs>
                <w:tab w:val="left" w:pos="2127"/>
                <w:tab w:val="center" w:pos="4153"/>
                <w:tab w:val="left" w:pos="6096"/>
                <w:tab w:val="right" w:pos="8306"/>
              </w:tabs>
              <w:ind w:left="255" w:right="140"/>
              <w:jc w:val="both"/>
            </w:pPr>
            <w:r w:rsidRPr="00D37BB8">
              <w:t xml:space="preserve">Saistībā ar likuma 15.panta izteikšanu jaunā redakcijā likumprojekts paredz </w:t>
            </w:r>
            <w:r w:rsidR="003128AB" w:rsidRPr="00D37BB8">
              <w:t xml:space="preserve">arī vairākus </w:t>
            </w:r>
            <w:r w:rsidRPr="00D37BB8">
              <w:t>grozījumus</w:t>
            </w:r>
            <w:r w:rsidR="003128AB" w:rsidRPr="00D37BB8">
              <w:t xml:space="preserve"> likumā</w:t>
            </w:r>
            <w:r w:rsidRPr="00D37BB8">
              <w:t>, kur</w:t>
            </w:r>
            <w:r w:rsidR="008D6FBC" w:rsidRPr="00D37BB8">
              <w:t xml:space="preserve"> </w:t>
            </w:r>
            <w:r w:rsidRPr="00D37BB8">
              <w:t>precizētas atsauces uz likuma 15.panta daļām.</w:t>
            </w:r>
          </w:p>
          <w:p w14:paraId="3BE99E05" w14:textId="77777777" w:rsidR="009755D4" w:rsidRPr="00D37BB8" w:rsidRDefault="009755D4" w:rsidP="006B4097">
            <w:pPr>
              <w:tabs>
                <w:tab w:val="left" w:pos="2127"/>
                <w:tab w:val="center" w:pos="4153"/>
                <w:tab w:val="left" w:pos="6096"/>
                <w:tab w:val="right" w:pos="8306"/>
              </w:tabs>
              <w:ind w:left="255" w:right="140"/>
              <w:jc w:val="both"/>
            </w:pPr>
          </w:p>
          <w:p w14:paraId="0C600BF2" w14:textId="77777777" w:rsidR="00026585" w:rsidRPr="00D37BB8" w:rsidRDefault="00026585" w:rsidP="006B4097">
            <w:pPr>
              <w:tabs>
                <w:tab w:val="left" w:pos="2127"/>
                <w:tab w:val="center" w:pos="4153"/>
                <w:tab w:val="left" w:pos="6096"/>
                <w:tab w:val="right" w:pos="8306"/>
              </w:tabs>
              <w:ind w:left="255" w:right="140"/>
              <w:jc w:val="both"/>
            </w:pPr>
            <w:r w:rsidRPr="00D37BB8">
              <w:t>Mainīta 3.panta daļu numerācija un līdzšinējā 3.panta 2.</w:t>
            </w:r>
            <w:r w:rsidR="00BC6AA9" w:rsidRPr="00D37BB8">
              <w:rPr>
                <w:vertAlign w:val="superscript"/>
              </w:rPr>
              <w:t>4</w:t>
            </w:r>
            <w:r w:rsidR="00BC6AA9" w:rsidRPr="00D37BB8">
              <w:t xml:space="preserve"> </w:t>
            </w:r>
            <w:r w:rsidRPr="00D37BB8">
              <w:t>daļa izteikta tajā pašā redakcijā, bet kā 3.panta 2.</w:t>
            </w:r>
            <w:r w:rsidRPr="00D37BB8">
              <w:rPr>
                <w:vertAlign w:val="superscript"/>
              </w:rPr>
              <w:t>6</w:t>
            </w:r>
            <w:r w:rsidRPr="00D37BB8">
              <w:t xml:space="preserve"> daļa.</w:t>
            </w:r>
          </w:p>
          <w:p w14:paraId="5BB70C7E" w14:textId="77777777" w:rsidR="00026585" w:rsidRPr="00D37BB8" w:rsidRDefault="00026585" w:rsidP="006B4097">
            <w:pPr>
              <w:tabs>
                <w:tab w:val="left" w:pos="2127"/>
                <w:tab w:val="center" w:pos="4153"/>
                <w:tab w:val="left" w:pos="6096"/>
                <w:tab w:val="right" w:pos="8306"/>
              </w:tabs>
              <w:ind w:left="255" w:right="140"/>
              <w:jc w:val="both"/>
              <w:rPr>
                <w:i/>
                <w:u w:val="single"/>
              </w:rPr>
            </w:pPr>
          </w:p>
          <w:p w14:paraId="186725DA" w14:textId="77777777" w:rsidR="00026585" w:rsidRPr="00D37BB8" w:rsidRDefault="000A19BA" w:rsidP="006B4097">
            <w:pPr>
              <w:tabs>
                <w:tab w:val="left" w:pos="2127"/>
                <w:tab w:val="center" w:pos="4153"/>
                <w:tab w:val="left" w:pos="6096"/>
                <w:tab w:val="right" w:pos="8306"/>
              </w:tabs>
              <w:ind w:left="255" w:right="140"/>
              <w:jc w:val="center"/>
              <w:rPr>
                <w:b/>
                <w:i/>
              </w:rPr>
            </w:pPr>
            <w:r w:rsidRPr="00D37BB8">
              <w:rPr>
                <w:b/>
                <w:i/>
              </w:rPr>
              <w:t>Saistībā ar jaunā Uzņēmumu ienākuma nodokļa likuma ieviešanu veiktie grozījumi</w:t>
            </w:r>
          </w:p>
          <w:p w14:paraId="4823DB23" w14:textId="77777777" w:rsidR="00430C79" w:rsidRPr="00D37BB8" w:rsidRDefault="00430C79" w:rsidP="006B4097">
            <w:pPr>
              <w:tabs>
                <w:tab w:val="left" w:pos="2127"/>
                <w:tab w:val="center" w:pos="4153"/>
                <w:tab w:val="left" w:pos="6096"/>
                <w:tab w:val="right" w:pos="8306"/>
              </w:tabs>
              <w:ind w:left="255" w:right="140"/>
              <w:jc w:val="both"/>
              <w:rPr>
                <w:b/>
                <w:i/>
                <w:u w:val="single"/>
              </w:rPr>
            </w:pPr>
          </w:p>
          <w:p w14:paraId="229A975F" w14:textId="4AF08E00" w:rsidR="00143134" w:rsidRPr="00D37BB8" w:rsidRDefault="00430C79" w:rsidP="006B4097">
            <w:pPr>
              <w:tabs>
                <w:tab w:val="left" w:pos="2127"/>
                <w:tab w:val="center" w:pos="4153"/>
                <w:tab w:val="left" w:pos="6096"/>
                <w:tab w:val="right" w:pos="8306"/>
              </w:tabs>
              <w:ind w:left="255" w:right="140"/>
              <w:jc w:val="both"/>
              <w:rPr>
                <w:b/>
                <w:i/>
                <w:u w:val="single"/>
              </w:rPr>
            </w:pPr>
            <w:r w:rsidRPr="00D37BB8">
              <w:rPr>
                <w:i/>
                <w:u w:val="single"/>
              </w:rPr>
              <w:t>Grozījumi likuma 3.panta trešās daļas 10. un 10.</w:t>
            </w:r>
            <w:r w:rsidRPr="00D37BB8">
              <w:rPr>
                <w:i/>
                <w:u w:val="single"/>
                <w:vertAlign w:val="superscript"/>
              </w:rPr>
              <w:t>1</w:t>
            </w:r>
            <w:r w:rsidRPr="00D37BB8">
              <w:rPr>
                <w:i/>
                <w:u w:val="single"/>
              </w:rPr>
              <w:t xml:space="preserve"> punkt</w:t>
            </w:r>
            <w:r w:rsidR="00143134" w:rsidRPr="00D37BB8">
              <w:rPr>
                <w:i/>
                <w:u w:val="single"/>
              </w:rPr>
              <w:t>ā</w:t>
            </w:r>
            <w:r w:rsidRPr="00D37BB8">
              <w:rPr>
                <w:i/>
                <w:u w:val="single"/>
              </w:rPr>
              <w:t xml:space="preserve"> un grozījumi piektajā daļā, grozījumi 8.panta trešās daļas 12. un 12.</w:t>
            </w:r>
            <w:r w:rsidRPr="00D37BB8">
              <w:rPr>
                <w:i/>
                <w:u w:val="single"/>
                <w:vertAlign w:val="superscript"/>
              </w:rPr>
              <w:t>1</w:t>
            </w:r>
            <w:r w:rsidRPr="00D37BB8">
              <w:rPr>
                <w:i/>
                <w:u w:val="single"/>
              </w:rPr>
              <w:t xml:space="preserve"> punktā, </w:t>
            </w:r>
            <w:r w:rsidR="00C34BC7" w:rsidRPr="00D37BB8">
              <w:rPr>
                <w:i/>
                <w:u w:val="single"/>
              </w:rPr>
              <w:t xml:space="preserve">likuma </w:t>
            </w:r>
            <w:r w:rsidRPr="00D37BB8">
              <w:rPr>
                <w:i/>
                <w:u w:val="single"/>
              </w:rPr>
              <w:t>9.panta pirmās daļas 2.</w:t>
            </w:r>
            <w:r w:rsidRPr="00D37BB8">
              <w:rPr>
                <w:i/>
                <w:u w:val="single"/>
                <w:vertAlign w:val="superscript"/>
              </w:rPr>
              <w:t>1</w:t>
            </w:r>
            <w:r w:rsidRPr="00D37BB8">
              <w:rPr>
                <w:i/>
                <w:u w:val="single"/>
              </w:rPr>
              <w:t xml:space="preserve"> punkts un 9.panta 3.</w:t>
            </w:r>
            <w:r w:rsidRPr="00D37BB8">
              <w:rPr>
                <w:i/>
                <w:u w:val="single"/>
                <w:vertAlign w:val="superscript"/>
              </w:rPr>
              <w:t>6</w:t>
            </w:r>
            <w:r w:rsidRPr="00D37BB8">
              <w:rPr>
                <w:i/>
                <w:u w:val="single"/>
              </w:rPr>
              <w:t>, 3.</w:t>
            </w:r>
            <w:r w:rsidRPr="00D37BB8">
              <w:rPr>
                <w:i/>
                <w:u w:val="single"/>
                <w:vertAlign w:val="superscript"/>
              </w:rPr>
              <w:t>7</w:t>
            </w:r>
            <w:r w:rsidRPr="00D37BB8">
              <w:rPr>
                <w:i/>
                <w:u w:val="single"/>
              </w:rPr>
              <w:t xml:space="preserve"> un 3</w:t>
            </w:r>
            <w:r w:rsidR="00AD5A38" w:rsidRPr="00D37BB8">
              <w:rPr>
                <w:i/>
                <w:u w:val="single"/>
              </w:rPr>
              <w:t>.</w:t>
            </w:r>
            <w:r w:rsidRPr="00D37BB8">
              <w:rPr>
                <w:i/>
                <w:u w:val="single"/>
                <w:vertAlign w:val="superscript"/>
              </w:rPr>
              <w:t>8</w:t>
            </w:r>
            <w:r w:rsidRPr="00D37BB8">
              <w:rPr>
                <w:i/>
                <w:u w:val="single"/>
              </w:rPr>
              <w:t xml:space="preserve"> daļa,</w:t>
            </w:r>
            <w:r w:rsidR="007626EA" w:rsidRPr="00D37BB8">
              <w:rPr>
                <w:i/>
                <w:u w:val="single"/>
              </w:rPr>
              <w:t xml:space="preserve"> </w:t>
            </w:r>
            <w:r w:rsidR="00C94972" w:rsidRPr="00D37BB8">
              <w:rPr>
                <w:i/>
                <w:u w:val="single"/>
              </w:rPr>
              <w:t xml:space="preserve">grozījums 9.panta trešās daļas 2.punktā, </w:t>
            </w:r>
            <w:r w:rsidRPr="00D37BB8">
              <w:rPr>
                <w:i/>
                <w:u w:val="single"/>
              </w:rPr>
              <w:t>grozījumi 16.</w:t>
            </w:r>
            <w:r w:rsidRPr="00D37BB8">
              <w:rPr>
                <w:i/>
                <w:u w:val="single"/>
                <w:vertAlign w:val="superscript"/>
              </w:rPr>
              <w:t>1</w:t>
            </w:r>
            <w:r w:rsidRPr="00D37BB8">
              <w:rPr>
                <w:i/>
                <w:u w:val="single"/>
              </w:rPr>
              <w:t xml:space="preserve"> panta astotajā daļā,</w:t>
            </w:r>
            <w:r w:rsidR="00143160" w:rsidRPr="00D37BB8">
              <w:rPr>
                <w:rFonts w:eastAsiaTheme="minorHAnsi"/>
                <w:i/>
                <w:u w:val="single"/>
                <w:lang w:eastAsia="en-US"/>
              </w:rPr>
              <w:t xml:space="preserve"> likuma 39.panta vienpadsmitais</w:t>
            </w:r>
            <w:r w:rsidR="0098314B" w:rsidRPr="00D37BB8">
              <w:rPr>
                <w:rFonts w:eastAsiaTheme="minorHAnsi"/>
                <w:i/>
                <w:u w:val="single"/>
                <w:lang w:eastAsia="en-US"/>
              </w:rPr>
              <w:t xml:space="preserve"> </w:t>
            </w:r>
            <w:r w:rsidR="00143160" w:rsidRPr="00D37BB8">
              <w:rPr>
                <w:rFonts w:eastAsiaTheme="minorHAnsi"/>
                <w:i/>
                <w:u w:val="single"/>
                <w:lang w:eastAsia="en-US"/>
              </w:rPr>
              <w:t>punkts</w:t>
            </w:r>
            <w:r w:rsidR="0098314B" w:rsidRPr="00D37BB8">
              <w:rPr>
                <w:rFonts w:eastAsiaTheme="minorHAnsi"/>
                <w:i/>
                <w:u w:val="single"/>
                <w:lang w:eastAsia="en-US"/>
              </w:rPr>
              <w:t xml:space="preserve">, </w:t>
            </w:r>
            <w:r w:rsidRPr="00D37BB8">
              <w:rPr>
                <w:i/>
                <w:u w:val="single"/>
              </w:rPr>
              <w:t xml:space="preserve">pārejas noteikumu </w:t>
            </w:r>
            <w:r w:rsidR="009755D4" w:rsidRPr="00D37BB8">
              <w:rPr>
                <w:i/>
              </w:rPr>
              <w:t xml:space="preserve">130., </w:t>
            </w:r>
            <w:r w:rsidR="006104E2" w:rsidRPr="00D37BB8">
              <w:rPr>
                <w:i/>
              </w:rPr>
              <w:t>131</w:t>
            </w:r>
            <w:r w:rsidR="0098314B" w:rsidRPr="00D37BB8">
              <w:rPr>
                <w:i/>
              </w:rPr>
              <w:t>.</w:t>
            </w:r>
            <w:r w:rsidRPr="00D37BB8">
              <w:rPr>
                <w:i/>
              </w:rPr>
              <w:t xml:space="preserve">, </w:t>
            </w:r>
            <w:r w:rsidR="006104E2" w:rsidRPr="00D37BB8">
              <w:rPr>
                <w:i/>
              </w:rPr>
              <w:t>13</w:t>
            </w:r>
            <w:r w:rsidR="009755D4" w:rsidRPr="00D37BB8">
              <w:rPr>
                <w:i/>
              </w:rPr>
              <w:t>3</w:t>
            </w:r>
            <w:r w:rsidR="0098314B" w:rsidRPr="00D37BB8">
              <w:rPr>
                <w:i/>
              </w:rPr>
              <w:t>.</w:t>
            </w:r>
            <w:r w:rsidR="007E10E9" w:rsidRPr="00D37BB8">
              <w:rPr>
                <w:i/>
              </w:rPr>
              <w:t>,</w:t>
            </w:r>
            <w:r w:rsidRPr="00D37BB8">
              <w:rPr>
                <w:i/>
              </w:rPr>
              <w:t xml:space="preserve"> </w:t>
            </w:r>
            <w:r w:rsidR="006104E2" w:rsidRPr="00D37BB8">
              <w:rPr>
                <w:i/>
              </w:rPr>
              <w:t>13</w:t>
            </w:r>
            <w:r w:rsidR="009755D4" w:rsidRPr="00D37BB8">
              <w:rPr>
                <w:i/>
              </w:rPr>
              <w:t>4</w:t>
            </w:r>
            <w:r w:rsidR="0098314B" w:rsidRPr="00D37BB8">
              <w:rPr>
                <w:i/>
              </w:rPr>
              <w:t>.</w:t>
            </w:r>
            <w:r w:rsidRPr="00D37BB8">
              <w:rPr>
                <w:i/>
              </w:rPr>
              <w:t xml:space="preserve"> </w:t>
            </w:r>
            <w:r w:rsidR="007E10E9" w:rsidRPr="00D37BB8">
              <w:rPr>
                <w:i/>
              </w:rPr>
              <w:t>un 13</w:t>
            </w:r>
            <w:r w:rsidR="009755D4" w:rsidRPr="00D37BB8">
              <w:rPr>
                <w:i/>
              </w:rPr>
              <w:t>5</w:t>
            </w:r>
            <w:r w:rsidR="007E10E9" w:rsidRPr="00D37BB8">
              <w:rPr>
                <w:i/>
              </w:rPr>
              <w:t>.</w:t>
            </w:r>
            <w:r w:rsidRPr="00D37BB8">
              <w:rPr>
                <w:i/>
              </w:rPr>
              <w:t>punkt</w:t>
            </w:r>
            <w:r w:rsidRPr="00D37BB8">
              <w:rPr>
                <w:b/>
                <w:i/>
              </w:rPr>
              <w:t>s</w:t>
            </w:r>
          </w:p>
          <w:p w14:paraId="1FADE032" w14:textId="77777777" w:rsidR="00483A06" w:rsidRPr="00D37BB8" w:rsidRDefault="00483A06" w:rsidP="006B4097">
            <w:pPr>
              <w:pStyle w:val="Default"/>
              <w:tabs>
                <w:tab w:val="left" w:pos="993"/>
              </w:tabs>
              <w:ind w:left="255" w:right="140"/>
              <w:jc w:val="both"/>
              <w:rPr>
                <w:i/>
              </w:rPr>
            </w:pPr>
            <w:r w:rsidRPr="00D37BB8">
              <w:lastRenderedPageBreak/>
              <w:t>(</w:t>
            </w:r>
            <w:r w:rsidRPr="00D37BB8">
              <w:rPr>
                <w:i/>
              </w:rPr>
              <w:t>Valsts nodokļu politikas pamatnostādnēs 2018.-2021.gadam ietvertais</w:t>
            </w:r>
            <w:r w:rsidR="005B2A1F" w:rsidRPr="00D37BB8">
              <w:rPr>
                <w:i/>
              </w:rPr>
              <w:t xml:space="preserve"> 2.1.1. un 2.2.1</w:t>
            </w:r>
            <w:r w:rsidRPr="00D37BB8">
              <w:rPr>
                <w:i/>
              </w:rPr>
              <w:t>. uzdevums)</w:t>
            </w:r>
            <w:r w:rsidR="00C34BC7" w:rsidRPr="00D37BB8">
              <w:rPr>
                <w:i/>
              </w:rPr>
              <w:t>.</w:t>
            </w:r>
          </w:p>
          <w:p w14:paraId="6C7E98FB" w14:textId="77777777" w:rsidR="00430C79" w:rsidRPr="00D37BB8" w:rsidRDefault="00430C79" w:rsidP="006B4097">
            <w:pPr>
              <w:tabs>
                <w:tab w:val="left" w:pos="2127"/>
                <w:tab w:val="center" w:pos="4153"/>
                <w:tab w:val="left" w:pos="6096"/>
                <w:tab w:val="right" w:pos="8306"/>
              </w:tabs>
              <w:ind w:left="255" w:right="140"/>
              <w:jc w:val="both"/>
              <w:rPr>
                <w:u w:val="single"/>
              </w:rPr>
            </w:pPr>
          </w:p>
          <w:p w14:paraId="4FBFC593" w14:textId="77777777" w:rsidR="00216A53" w:rsidRPr="00D37BB8" w:rsidRDefault="00216A53" w:rsidP="006B4097">
            <w:pPr>
              <w:tabs>
                <w:tab w:val="left" w:pos="2127"/>
                <w:tab w:val="center" w:pos="4153"/>
                <w:tab w:val="left" w:pos="6096"/>
                <w:tab w:val="right" w:pos="8306"/>
              </w:tabs>
              <w:ind w:left="255" w:right="140"/>
              <w:jc w:val="both"/>
            </w:pPr>
            <w:r w:rsidRPr="00D37BB8">
              <w:t>Likums “Par uzņēmumu ienākuma nodokli” tiek aizstāts ar jaunu – Uzņēmumu ienākuma nodokļa likumu, kurā mainās vispārējā uzņēmumu ienākuma nodokļa uzlikšanas koncepcija un uzņēmumu ienākuma nodokļa maksātāji. Ņemot vērā, ka iedzīvotāju ienākuma nodoklis un uzņēmumu ienākuma nodoklis veido vienotu sistēmu, nepieciešami arī atbilstoši grozījumi likumā.</w:t>
            </w:r>
          </w:p>
          <w:p w14:paraId="0B0B83EE" w14:textId="77777777" w:rsidR="00216A53" w:rsidRPr="00D37BB8" w:rsidRDefault="00216A53" w:rsidP="006B4097">
            <w:pPr>
              <w:tabs>
                <w:tab w:val="left" w:pos="2127"/>
                <w:tab w:val="center" w:pos="4153"/>
                <w:tab w:val="left" w:pos="6096"/>
                <w:tab w:val="right" w:pos="8306"/>
              </w:tabs>
              <w:ind w:left="255" w:right="140"/>
              <w:jc w:val="both"/>
            </w:pPr>
          </w:p>
          <w:p w14:paraId="53D0E7AC" w14:textId="77777777" w:rsidR="00062B41" w:rsidRPr="00D37BB8" w:rsidRDefault="00216A53" w:rsidP="006B4097">
            <w:pPr>
              <w:tabs>
                <w:tab w:val="left" w:pos="2127"/>
                <w:tab w:val="center" w:pos="4153"/>
                <w:tab w:val="left" w:pos="6096"/>
                <w:tab w:val="right" w:pos="8306"/>
              </w:tabs>
              <w:ind w:left="255" w:right="140"/>
              <w:jc w:val="both"/>
            </w:pPr>
            <w:r w:rsidRPr="00D37BB8">
              <w:t>Līdzšinējā kārtība paredzēja ienākumu divpakāpju aplikšanu ar ienākuma nodokļiem</w:t>
            </w:r>
            <w:r w:rsidR="00062B41" w:rsidRPr="00D37BB8">
              <w:t>:</w:t>
            </w:r>
          </w:p>
          <w:p w14:paraId="1054A3C1" w14:textId="77777777" w:rsidR="00062B41" w:rsidRPr="00D37BB8" w:rsidRDefault="00062B41" w:rsidP="00B64903">
            <w:pPr>
              <w:pStyle w:val="ListParagraph"/>
              <w:numPr>
                <w:ilvl w:val="0"/>
                <w:numId w:val="5"/>
              </w:numPr>
              <w:tabs>
                <w:tab w:val="left" w:pos="538"/>
                <w:tab w:val="center" w:pos="4153"/>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v</w:t>
            </w:r>
            <w:r w:rsidR="003453BB" w:rsidRPr="00D37BB8">
              <w:rPr>
                <w:rFonts w:ascii="Times New Roman" w:hAnsi="Times New Roman"/>
                <w:sz w:val="24"/>
                <w:szCs w:val="24"/>
                <w:lang w:val="lv-LV"/>
              </w:rPr>
              <w:t>ispirms ar uzņēmumu ienākuma nodokli ar 15% likmi tika aplikta uzņēmumu ienākuma nodokļa maksātāja (kapitālsabiedrības, kooperatīvās sabiedrības (izņemot noteiktus kooperatīvos sabiedrību veidus), individuālā uzņēmuma (zemnieka vai zvejnieka saimniecības), ja tā bija uzņēmumu ienākuma nodokļa maksātāja u.c.) peļņa</w:t>
            </w:r>
            <w:r w:rsidR="00C34BC7" w:rsidRPr="00D37BB8">
              <w:rPr>
                <w:rFonts w:ascii="Times New Roman" w:hAnsi="Times New Roman"/>
                <w:sz w:val="24"/>
                <w:szCs w:val="24"/>
                <w:lang w:val="lv-LV"/>
              </w:rPr>
              <w:t>;</w:t>
            </w:r>
          </w:p>
          <w:p w14:paraId="1A1AD6AB" w14:textId="77777777" w:rsidR="00216A53" w:rsidRPr="00D37BB8" w:rsidRDefault="00062B41" w:rsidP="00B64903">
            <w:pPr>
              <w:pStyle w:val="ListParagraph"/>
              <w:numPr>
                <w:ilvl w:val="0"/>
                <w:numId w:val="5"/>
              </w:numPr>
              <w:tabs>
                <w:tab w:val="center" w:pos="538"/>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p</w:t>
            </w:r>
            <w:r w:rsidR="003453BB" w:rsidRPr="00D37BB8">
              <w:rPr>
                <w:rFonts w:ascii="Times New Roman" w:hAnsi="Times New Roman"/>
                <w:sz w:val="24"/>
                <w:szCs w:val="24"/>
                <w:lang w:val="lv-LV"/>
              </w:rPr>
              <w:t>ēc tam iedzīvotāju ienākuma nodokļa līmenī ar iedzīvotāju ienākuma nodokļa 10% likmi aplika uzņēmuma īpašniekam (piemēram, akcionāram, kapitālsabiedrības dalībniekam, kooperatīva biedram) izmaksātās dividendes vai individuālā uzņēmuma (zemnieka vai zvejnieka saimniecības) īpašnieka dividendēm pielīdzināmo ienākumu.</w:t>
            </w:r>
          </w:p>
          <w:p w14:paraId="12AA1067" w14:textId="77777777" w:rsidR="00216A53" w:rsidRPr="00D37BB8" w:rsidRDefault="00216A53" w:rsidP="006B4097">
            <w:pPr>
              <w:tabs>
                <w:tab w:val="center" w:pos="538"/>
                <w:tab w:val="left" w:pos="6096"/>
                <w:tab w:val="right" w:pos="8306"/>
              </w:tabs>
              <w:ind w:left="255" w:right="140"/>
              <w:jc w:val="both"/>
              <w:rPr>
                <w:u w:val="single"/>
              </w:rPr>
            </w:pPr>
          </w:p>
          <w:p w14:paraId="2143EE53" w14:textId="77777777" w:rsidR="004D225C" w:rsidRPr="00D37BB8" w:rsidRDefault="003453BB" w:rsidP="006B4097">
            <w:pPr>
              <w:tabs>
                <w:tab w:val="center" w:pos="538"/>
                <w:tab w:val="left" w:pos="6096"/>
                <w:tab w:val="right" w:pos="8306"/>
              </w:tabs>
              <w:ind w:left="255" w:right="140"/>
              <w:jc w:val="both"/>
            </w:pPr>
            <w:r w:rsidRPr="00D37BB8">
              <w:t>Īpašs uzņēmumu ienākuma nodokļa un iedzīvotāju ienākuma nodokļa uzlikšanas modelis līdz šim tika piemērots</w:t>
            </w:r>
            <w:r w:rsidR="004D225C" w:rsidRPr="00D37BB8">
              <w:t>:</w:t>
            </w:r>
          </w:p>
          <w:p w14:paraId="461AB4C1" w14:textId="77777777" w:rsidR="004D225C" w:rsidRPr="00D37BB8" w:rsidRDefault="003453BB" w:rsidP="00B64903">
            <w:pPr>
              <w:pStyle w:val="ListParagraph"/>
              <w:numPr>
                <w:ilvl w:val="0"/>
                <w:numId w:val="5"/>
              </w:numPr>
              <w:tabs>
                <w:tab w:val="center" w:pos="538"/>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personālsabiedrīb</w:t>
            </w:r>
            <w:r w:rsidR="004D225C" w:rsidRPr="00D37BB8">
              <w:rPr>
                <w:rFonts w:ascii="Times New Roman" w:hAnsi="Times New Roman"/>
                <w:sz w:val="24"/>
                <w:szCs w:val="24"/>
                <w:lang w:val="lv-LV"/>
              </w:rPr>
              <w:t>ām un to biedriem;</w:t>
            </w:r>
          </w:p>
          <w:p w14:paraId="09951859" w14:textId="77777777" w:rsidR="004D225C" w:rsidRPr="00D37BB8" w:rsidRDefault="003453BB" w:rsidP="00B64903">
            <w:pPr>
              <w:pStyle w:val="ListParagraph"/>
              <w:numPr>
                <w:ilvl w:val="0"/>
                <w:numId w:val="5"/>
              </w:numPr>
              <w:tabs>
                <w:tab w:val="center" w:pos="538"/>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 xml:space="preserve">lauksaimniecības pakalpojumu kooperatīvajām sabiedrībām, mežsaimniecības pakalpojumu kooperatīvajām sabiedrībām un to </w:t>
            </w:r>
            <w:r w:rsidR="004D225C" w:rsidRPr="00D37BB8">
              <w:rPr>
                <w:rFonts w:ascii="Times New Roman" w:hAnsi="Times New Roman"/>
                <w:sz w:val="24"/>
                <w:szCs w:val="24"/>
                <w:lang w:val="lv-LV"/>
              </w:rPr>
              <w:t>biedriem;</w:t>
            </w:r>
          </w:p>
          <w:p w14:paraId="37D3C5B4" w14:textId="77777777" w:rsidR="003453BB" w:rsidRPr="00D37BB8" w:rsidRDefault="004D225C" w:rsidP="00B64903">
            <w:pPr>
              <w:pStyle w:val="ListParagraph"/>
              <w:numPr>
                <w:ilvl w:val="0"/>
                <w:numId w:val="5"/>
              </w:numPr>
              <w:tabs>
                <w:tab w:val="center" w:pos="538"/>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dzīvokļu īpašnieku kooperatīvajām sabiedrībām, automašīnu garāžu īpašnieku kooperatīvajām sabiedrībām, laivu garāžu īpašnieku kooperatīvajām sabiedrībām un dārzkopības kooperatīvajām sabiedrībām un to biedriem (</w:t>
            </w:r>
            <w:r w:rsidRPr="00D37BB8">
              <w:rPr>
                <w:rFonts w:ascii="Times New Roman" w:hAnsi="Times New Roman"/>
                <w:i/>
                <w:sz w:val="24"/>
                <w:szCs w:val="24"/>
                <w:lang w:val="lv-LV"/>
              </w:rPr>
              <w:t>skat. – tālāk</w:t>
            </w:r>
            <w:r w:rsidR="00062B41" w:rsidRPr="00D37BB8">
              <w:rPr>
                <w:rFonts w:ascii="Times New Roman" w:hAnsi="Times New Roman"/>
                <w:sz w:val="24"/>
                <w:szCs w:val="24"/>
                <w:lang w:val="lv-LV"/>
              </w:rPr>
              <w:t xml:space="preserve"> </w:t>
            </w:r>
            <w:r w:rsidR="00062B41" w:rsidRPr="00D37BB8">
              <w:rPr>
                <w:rFonts w:ascii="Times New Roman" w:hAnsi="Times New Roman"/>
                <w:i/>
                <w:sz w:val="24"/>
                <w:szCs w:val="24"/>
                <w:lang w:val="lv-LV"/>
              </w:rPr>
              <w:t>detalizētāku paskaidrojumu</w:t>
            </w:r>
            <w:r w:rsidRPr="00D37BB8">
              <w:rPr>
                <w:rFonts w:ascii="Times New Roman" w:hAnsi="Times New Roman"/>
                <w:sz w:val="24"/>
                <w:szCs w:val="24"/>
                <w:lang w:val="lv-LV"/>
              </w:rPr>
              <w:t>)</w:t>
            </w:r>
            <w:r w:rsidR="00062B41" w:rsidRPr="00D37BB8">
              <w:rPr>
                <w:rFonts w:ascii="Times New Roman" w:hAnsi="Times New Roman"/>
                <w:sz w:val="24"/>
                <w:szCs w:val="24"/>
                <w:lang w:val="lv-LV"/>
              </w:rPr>
              <w:t>.</w:t>
            </w:r>
          </w:p>
          <w:p w14:paraId="52546D25" w14:textId="77777777" w:rsidR="003453BB" w:rsidRPr="00D37BB8" w:rsidRDefault="003453BB" w:rsidP="006B4097">
            <w:pPr>
              <w:tabs>
                <w:tab w:val="left" w:pos="2127"/>
                <w:tab w:val="center" w:pos="4153"/>
                <w:tab w:val="left" w:pos="6096"/>
                <w:tab w:val="right" w:pos="8306"/>
              </w:tabs>
              <w:ind w:left="255" w:right="140"/>
              <w:jc w:val="both"/>
              <w:rPr>
                <w:u w:val="single"/>
              </w:rPr>
            </w:pPr>
          </w:p>
          <w:p w14:paraId="0BEC0DB8" w14:textId="77777777" w:rsidR="000F6111" w:rsidRPr="00D37BB8" w:rsidRDefault="00062B41" w:rsidP="006B4097">
            <w:pPr>
              <w:tabs>
                <w:tab w:val="left" w:pos="2127"/>
                <w:tab w:val="center" w:pos="4153"/>
                <w:tab w:val="left" w:pos="6096"/>
                <w:tab w:val="right" w:pos="8306"/>
              </w:tabs>
              <w:ind w:left="255" w:right="140"/>
              <w:jc w:val="both"/>
            </w:pPr>
            <w:r w:rsidRPr="00D37BB8">
              <w:t>Jaun</w:t>
            </w:r>
            <w:r w:rsidR="000F6111" w:rsidRPr="00D37BB8">
              <w:t>o ienākumu nodokļu sistēmu paredzēts veidot šādi:</w:t>
            </w:r>
          </w:p>
          <w:p w14:paraId="79D7072F" w14:textId="77777777" w:rsidR="00430C79" w:rsidRPr="00D37BB8" w:rsidRDefault="000F6111" w:rsidP="00B64903">
            <w:pPr>
              <w:pStyle w:val="ListParagraph"/>
              <w:numPr>
                <w:ilvl w:val="0"/>
                <w:numId w:val="5"/>
              </w:numPr>
              <w:tabs>
                <w:tab w:val="left" w:pos="538"/>
                <w:tab w:val="center" w:pos="4153"/>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 xml:space="preserve">atbilstoši </w:t>
            </w:r>
            <w:r w:rsidR="00062B41" w:rsidRPr="00D37BB8">
              <w:rPr>
                <w:rFonts w:ascii="Times New Roman" w:hAnsi="Times New Roman"/>
                <w:sz w:val="24"/>
                <w:szCs w:val="24"/>
                <w:lang w:val="lv-LV"/>
              </w:rPr>
              <w:t>Uzņēmumu ienākuma nodokļa likum</w:t>
            </w:r>
            <w:r w:rsidRPr="00D37BB8">
              <w:rPr>
                <w:rFonts w:ascii="Times New Roman" w:hAnsi="Times New Roman"/>
                <w:sz w:val="24"/>
                <w:szCs w:val="24"/>
                <w:lang w:val="lv-LV"/>
              </w:rPr>
              <w:t>am,</w:t>
            </w:r>
            <w:r w:rsidR="00062B41" w:rsidRPr="00D37BB8">
              <w:rPr>
                <w:rFonts w:ascii="Times New Roman" w:hAnsi="Times New Roman"/>
                <w:sz w:val="24"/>
                <w:szCs w:val="24"/>
                <w:lang w:val="lv-LV"/>
              </w:rPr>
              <w:t xml:space="preserve"> ar uzņēmumu ienākuma nodokli apliek tikai sadal</w:t>
            </w:r>
            <w:r w:rsidR="00430C79" w:rsidRPr="00D37BB8">
              <w:rPr>
                <w:rFonts w:ascii="Times New Roman" w:hAnsi="Times New Roman"/>
                <w:sz w:val="24"/>
                <w:szCs w:val="24"/>
                <w:lang w:val="lv-LV"/>
              </w:rPr>
              <w:t>āmo</w:t>
            </w:r>
            <w:r w:rsidR="00062B41" w:rsidRPr="00D37BB8">
              <w:rPr>
                <w:rFonts w:ascii="Times New Roman" w:hAnsi="Times New Roman"/>
                <w:sz w:val="24"/>
                <w:szCs w:val="24"/>
                <w:lang w:val="lv-LV"/>
              </w:rPr>
              <w:t xml:space="preserve"> peļņu </w:t>
            </w:r>
            <w:r w:rsidR="004823DD" w:rsidRPr="00D37BB8">
              <w:rPr>
                <w:rFonts w:ascii="Times New Roman" w:hAnsi="Times New Roman"/>
                <w:sz w:val="24"/>
                <w:szCs w:val="24"/>
                <w:lang w:val="lv-LV"/>
              </w:rPr>
              <w:t xml:space="preserve">- </w:t>
            </w:r>
            <w:r w:rsidR="00062B41" w:rsidRPr="00D37BB8">
              <w:rPr>
                <w:rFonts w:ascii="Times New Roman" w:hAnsi="Times New Roman"/>
                <w:sz w:val="24"/>
                <w:szCs w:val="24"/>
                <w:lang w:val="lv-LV"/>
              </w:rPr>
              <w:t>gan dividendes, gan dividendēm pielīdzināmās izmaksas un nosacītās dividendes. Dividendēm pielīdzināmās izmaksas un nosacītās dividendes tiek definētas Uzņ</w:t>
            </w:r>
            <w:r w:rsidR="004823DD" w:rsidRPr="00D37BB8">
              <w:rPr>
                <w:rFonts w:ascii="Times New Roman" w:hAnsi="Times New Roman"/>
                <w:sz w:val="24"/>
                <w:szCs w:val="24"/>
                <w:lang w:val="lv-LV"/>
              </w:rPr>
              <w:t>ēmumu ienākuma nodokļa likumā;</w:t>
            </w:r>
          </w:p>
          <w:p w14:paraId="493B90E2" w14:textId="77777777" w:rsidR="00062B41" w:rsidRPr="00D37BB8" w:rsidRDefault="004823DD" w:rsidP="00B64903">
            <w:pPr>
              <w:pStyle w:val="ListParagraph"/>
              <w:numPr>
                <w:ilvl w:val="0"/>
                <w:numId w:val="5"/>
              </w:numPr>
              <w:tabs>
                <w:tab w:val="left" w:pos="538"/>
                <w:tab w:val="center" w:pos="4153"/>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s</w:t>
            </w:r>
            <w:r w:rsidR="00062B41" w:rsidRPr="00D37BB8">
              <w:rPr>
                <w:rFonts w:ascii="Times New Roman" w:hAnsi="Times New Roman"/>
                <w:sz w:val="24"/>
                <w:szCs w:val="24"/>
                <w:lang w:val="lv-LV"/>
              </w:rPr>
              <w:t>avukārt</w:t>
            </w:r>
            <w:r w:rsidR="00430C79" w:rsidRPr="00D37BB8">
              <w:rPr>
                <w:rFonts w:ascii="Times New Roman" w:hAnsi="Times New Roman"/>
                <w:sz w:val="24"/>
                <w:szCs w:val="24"/>
                <w:lang w:val="lv-LV"/>
              </w:rPr>
              <w:t>, ja sadalāmā peļņa uzņēmumu ienākuma nodokļa maksātāja līmenī ir aplikta ar uzņēmumu ienākuma nodokli, to otrreiz – uzņēmuma īpašnieka (piemēram, akcionāra, kapitālsabiedrības dalībnieka, kooperatīvās sabiedrības biedra) līmenī otrreiz</w:t>
            </w:r>
            <w:r w:rsidR="00062B41" w:rsidRPr="00D37BB8">
              <w:rPr>
                <w:rFonts w:ascii="Times New Roman" w:hAnsi="Times New Roman"/>
                <w:sz w:val="24"/>
                <w:szCs w:val="24"/>
                <w:lang w:val="lv-LV"/>
              </w:rPr>
              <w:t xml:space="preserve"> ar iedzī</w:t>
            </w:r>
            <w:r w:rsidR="00430C79" w:rsidRPr="00D37BB8">
              <w:rPr>
                <w:rFonts w:ascii="Times New Roman" w:hAnsi="Times New Roman"/>
                <w:sz w:val="24"/>
                <w:szCs w:val="24"/>
                <w:lang w:val="lv-LV"/>
              </w:rPr>
              <w:t>votāju ienākuma nodokli vairs neapliek.</w:t>
            </w:r>
          </w:p>
          <w:p w14:paraId="0D31FCDB" w14:textId="77777777" w:rsidR="00062B41" w:rsidRPr="00D37BB8" w:rsidRDefault="00062B41" w:rsidP="006B4097">
            <w:pPr>
              <w:tabs>
                <w:tab w:val="left" w:pos="2127"/>
                <w:tab w:val="center" w:pos="4153"/>
                <w:tab w:val="left" w:pos="6096"/>
                <w:tab w:val="right" w:pos="8306"/>
              </w:tabs>
              <w:ind w:left="255" w:right="140"/>
              <w:jc w:val="both"/>
              <w:rPr>
                <w:u w:val="single"/>
              </w:rPr>
            </w:pPr>
          </w:p>
          <w:p w14:paraId="51BE0D5D" w14:textId="77777777" w:rsidR="00531E58" w:rsidRPr="00D37BB8" w:rsidRDefault="00910808" w:rsidP="006B4097">
            <w:pPr>
              <w:tabs>
                <w:tab w:val="left" w:pos="2127"/>
                <w:tab w:val="center" w:pos="4153"/>
                <w:tab w:val="left" w:pos="6096"/>
                <w:tab w:val="right" w:pos="8306"/>
              </w:tabs>
              <w:ind w:left="255" w:right="140"/>
              <w:jc w:val="both"/>
            </w:pPr>
            <w:r w:rsidRPr="00D37BB8">
              <w:t xml:space="preserve">Vadoties no </w:t>
            </w:r>
            <w:r w:rsidR="004823DD" w:rsidRPr="00D37BB8">
              <w:t>plānotās</w:t>
            </w:r>
            <w:r w:rsidRPr="00D37BB8">
              <w:t xml:space="preserve"> ienākuma nodokļa sistēmas, grozījumi likuma 3.panta trešās daļas 10. un 10.</w:t>
            </w:r>
            <w:r w:rsidRPr="00D37BB8">
              <w:rPr>
                <w:vertAlign w:val="superscript"/>
              </w:rPr>
              <w:t>1</w:t>
            </w:r>
            <w:r w:rsidRPr="00D37BB8">
              <w:t xml:space="preserve"> punktā, kā arī 8.panta </w:t>
            </w:r>
            <w:r w:rsidRPr="00D37BB8">
              <w:lastRenderedPageBreak/>
              <w:t>trešās daļas 12. un 12.</w:t>
            </w:r>
            <w:r w:rsidRPr="00D37BB8">
              <w:rPr>
                <w:vertAlign w:val="superscript"/>
              </w:rPr>
              <w:t>1</w:t>
            </w:r>
            <w:r w:rsidRPr="00D37BB8">
              <w:t xml:space="preserve"> punktā paredz, ka dividendes (arī nosacītās dividendes un dividendēm pielīdzināms ienākums) ir ar iedzīvotāju ienākuma nodokli apliekams ienākums, ja </w:t>
            </w:r>
            <w:r w:rsidR="004823DD" w:rsidRPr="00D37BB8">
              <w:t xml:space="preserve">vien </w:t>
            </w:r>
            <w:r w:rsidRPr="00D37BB8">
              <w:t xml:space="preserve">tās nav </w:t>
            </w:r>
            <w:r w:rsidR="004823DD" w:rsidRPr="00D37BB8">
              <w:t xml:space="preserve">ar nodokli </w:t>
            </w:r>
            <w:r w:rsidRPr="00D37BB8">
              <w:t>neapliekams ienākums saskaņā ar likuma 9.pantu.</w:t>
            </w:r>
          </w:p>
          <w:p w14:paraId="03137E48" w14:textId="77777777" w:rsidR="00910808" w:rsidRPr="00D37BB8" w:rsidRDefault="00910808" w:rsidP="006B4097">
            <w:pPr>
              <w:tabs>
                <w:tab w:val="left" w:pos="2127"/>
                <w:tab w:val="center" w:pos="4153"/>
                <w:tab w:val="left" w:pos="6096"/>
                <w:tab w:val="right" w:pos="8306"/>
              </w:tabs>
              <w:ind w:left="255" w:right="140"/>
              <w:jc w:val="both"/>
            </w:pPr>
            <w:r w:rsidRPr="00D37BB8">
              <w:t>Savukārt likuma 9.panta pirmās daļas papildinājums ar 2.</w:t>
            </w:r>
            <w:r w:rsidRPr="00D37BB8">
              <w:rPr>
                <w:vertAlign w:val="superscript"/>
              </w:rPr>
              <w:t>1</w:t>
            </w:r>
            <w:r w:rsidRPr="00D37BB8">
              <w:t xml:space="preserve"> punktu paredz, ka dividendes (arī nosacītās dividendes un dividendēm pielīdzināms ienākums) ar iedzīvotāju ienākuma nodokli neapliek, ja tās ir apliktas ar uzņēmumu ienākuma nodokli saskaņā ar jauno Uzņēmumu ienākuma nodokļa likumu, kas </w:t>
            </w:r>
            <w:r w:rsidR="008A62AF" w:rsidRPr="00D37BB8">
              <w:t xml:space="preserve">būs </w:t>
            </w:r>
            <w:r w:rsidRPr="00D37BB8">
              <w:t xml:space="preserve">spēkā ar 2018.gada 1.janvāri. </w:t>
            </w:r>
          </w:p>
          <w:p w14:paraId="1DE04D4D" w14:textId="77777777" w:rsidR="00910808" w:rsidRPr="00D37BB8" w:rsidRDefault="00910808" w:rsidP="006B4097">
            <w:pPr>
              <w:tabs>
                <w:tab w:val="left" w:pos="2127"/>
                <w:tab w:val="center" w:pos="4153"/>
                <w:tab w:val="left" w:pos="6096"/>
                <w:tab w:val="right" w:pos="8306"/>
              </w:tabs>
              <w:ind w:left="255" w:right="140"/>
              <w:jc w:val="both"/>
            </w:pPr>
            <w:r w:rsidRPr="00D37BB8">
              <w:t xml:space="preserve">Attiecībā uz dividendēm, kas tiek izmaksātas no peļņas, kura </w:t>
            </w:r>
            <w:r w:rsidR="008A62AF" w:rsidRPr="00D37BB8">
              <w:t xml:space="preserve">aplikta </w:t>
            </w:r>
            <w:r w:rsidRPr="00D37BB8">
              <w:t xml:space="preserve">ar uzņēmumu ienākuma nodokli saskaņā ar likuma “Par uzņēmumu ienākuma nodokli” redakciju, kas bija spēkā līdz 2017.gada 31.decembrim, likumprojekts paredz </w:t>
            </w:r>
            <w:r w:rsidR="009755D4" w:rsidRPr="00D37BB8">
              <w:rPr>
                <w:u w:val="single"/>
              </w:rPr>
              <w:t>divu</w:t>
            </w:r>
            <w:r w:rsidR="009755D4" w:rsidRPr="00D37BB8">
              <w:t xml:space="preserve"> </w:t>
            </w:r>
            <w:r w:rsidRPr="00D37BB8">
              <w:t xml:space="preserve">gadu pārejas periodu – t.i., šādas dividendes ar iedzīvotāju ienākuma nodokli tiks apliktas, piemērojot 10% nodokļa likmi. </w:t>
            </w:r>
            <w:r w:rsidR="009755D4" w:rsidRPr="00D37BB8">
              <w:rPr>
                <w:u w:val="single"/>
              </w:rPr>
              <w:t>Trešajā</w:t>
            </w:r>
            <w:r w:rsidR="009755D4" w:rsidRPr="00D37BB8">
              <w:t xml:space="preserve"> </w:t>
            </w:r>
            <w:r w:rsidRPr="00D37BB8">
              <w:t xml:space="preserve">gadā šādas dividendes ar iedzīvotāju ienākuma nodokli apliks vispārējā kārtībā kā ienākumu no kapitāla – piemērojot 20% nodokļa likmi. </w:t>
            </w:r>
          </w:p>
          <w:p w14:paraId="41023ED8" w14:textId="77777777" w:rsidR="00910808" w:rsidRPr="00D37BB8" w:rsidRDefault="00910808" w:rsidP="006B4097">
            <w:pPr>
              <w:tabs>
                <w:tab w:val="left" w:pos="2127"/>
                <w:tab w:val="center" w:pos="4153"/>
                <w:tab w:val="left" w:pos="6096"/>
                <w:tab w:val="right" w:pos="8306"/>
              </w:tabs>
              <w:ind w:left="255" w:right="140"/>
              <w:jc w:val="both"/>
            </w:pPr>
            <w:r w:rsidRPr="00D37BB8">
              <w:t>Šādu pārejas noteikumu mērķis ir sabalansēt tiesiskās paļāvības principa ievērošanu attiecībā uz peļņu, kas jau iepriekš aplikta ar uzņēmumu ienākuma nodokli, piemērojot zemāku -15% likmi, - kas spēkā līdz 2017.gada 31.decembrim</w:t>
            </w:r>
            <w:r w:rsidR="00710B74" w:rsidRPr="00D37BB8">
              <w:t>, un valsts fiskālajiem mērķiem, lai uzņēmumi un to īpašnieki nākotnē ne tikai izmantotu jaunās ienākumu nodokļu sistēmas priekšrocības, bet arī veiktu nodokļu maksājumus pārskatāmā laika periodā.</w:t>
            </w:r>
          </w:p>
          <w:p w14:paraId="0E31B3F9" w14:textId="77777777" w:rsidR="00216A53" w:rsidRPr="00D37BB8" w:rsidRDefault="007E10E9" w:rsidP="006B4097">
            <w:pPr>
              <w:tabs>
                <w:tab w:val="left" w:pos="2127"/>
                <w:tab w:val="center" w:pos="4153"/>
                <w:tab w:val="left" w:pos="6096"/>
                <w:tab w:val="right" w:pos="8306"/>
              </w:tabs>
              <w:ind w:left="255" w:right="140"/>
              <w:jc w:val="both"/>
            </w:pPr>
            <w:r w:rsidRPr="00D37BB8">
              <w:t xml:space="preserve">Savukārt attiecībā uz dividendēm, kuras izmaksā </w:t>
            </w:r>
            <w:proofErr w:type="spellStart"/>
            <w:r w:rsidRPr="00D37BB8">
              <w:t>mikrouzņēmumu</w:t>
            </w:r>
            <w:proofErr w:type="spellEnd"/>
            <w:r w:rsidRPr="00D37BB8">
              <w:t xml:space="preserve"> ienākuma nodokļa maksātājs, netiek piemēroti pārejas noteikumi, jo </w:t>
            </w:r>
            <w:proofErr w:type="spellStart"/>
            <w:r w:rsidRPr="00D37BB8">
              <w:t>mikrouzņēmumu</w:t>
            </w:r>
            <w:proofErr w:type="spellEnd"/>
            <w:r w:rsidRPr="00D37BB8">
              <w:t xml:space="preserve"> ienākuma nodokļa maksātāju nodokļu slogs jau tāpat ir samazināts un šajā </w:t>
            </w:r>
            <w:proofErr w:type="spellStart"/>
            <w:r w:rsidRPr="00D37BB8">
              <w:t>gadijumā</w:t>
            </w:r>
            <w:proofErr w:type="spellEnd"/>
            <w:r w:rsidRPr="00D37BB8">
              <w:t xml:space="preserve"> nevar runāt par peļņas dubultu aplikšanu ar ienākuma nodokļiem. Tādējādi </w:t>
            </w:r>
            <w:proofErr w:type="spellStart"/>
            <w:r w:rsidRPr="00D37BB8">
              <w:t>mikrouzņēmumu</w:t>
            </w:r>
            <w:proofErr w:type="spellEnd"/>
            <w:r w:rsidRPr="00D37BB8">
              <w:t xml:space="preserve"> nodokļa maksātāju dividendes, kuras izmaksā no peļņas, kas radusies līdz 2017. gada 31. decembrim, tiek apliktas ar 20% iedzīvotāju ienākuma nodokļa likmi jau ar 2018.gada 1.janvāri.</w:t>
            </w:r>
          </w:p>
          <w:p w14:paraId="23D20038" w14:textId="77777777" w:rsidR="007E10E9" w:rsidRPr="00D37BB8" w:rsidRDefault="007E10E9" w:rsidP="006B4097">
            <w:pPr>
              <w:tabs>
                <w:tab w:val="left" w:pos="2127"/>
                <w:tab w:val="center" w:pos="4153"/>
                <w:tab w:val="left" w:pos="6096"/>
                <w:tab w:val="right" w:pos="8306"/>
              </w:tabs>
              <w:ind w:left="255" w:right="140"/>
              <w:jc w:val="both"/>
            </w:pPr>
          </w:p>
          <w:p w14:paraId="4A5F36FD" w14:textId="77777777" w:rsidR="003128AB" w:rsidRPr="00D37BB8" w:rsidRDefault="00710B74" w:rsidP="006B4097">
            <w:pPr>
              <w:tabs>
                <w:tab w:val="left" w:pos="2127"/>
                <w:tab w:val="center" w:pos="4153"/>
                <w:tab w:val="left" w:pos="6096"/>
                <w:tab w:val="right" w:pos="8306"/>
              </w:tabs>
              <w:ind w:left="255" w:right="140"/>
              <w:jc w:val="both"/>
            </w:pPr>
            <w:r w:rsidRPr="00D37BB8">
              <w:t xml:space="preserve">Attiecībā uz dividendēm, kuras iedzīvotāju ienākuma nodokļa maksātāji saņem no ārvalstīm, piemērots </w:t>
            </w:r>
            <w:r w:rsidR="003128AB" w:rsidRPr="00D37BB8">
              <w:t xml:space="preserve">pamatprincips </w:t>
            </w:r>
            <w:r w:rsidR="00783996" w:rsidRPr="00D37BB8">
              <w:t>–</w:t>
            </w:r>
            <w:r w:rsidR="003128AB" w:rsidRPr="00D37BB8">
              <w:t xml:space="preserve"> ja maksātājs var pierādīt, ka par dividendēs sadalāmo peļņu ārvalstī ir samaksāts uzņēmumu ienākuma nodoklis vai tam pielīdzināms nodoklis, vai no dividendēm ieturēts iedzīvotāju ienākuma nodoklis, Latvijā dividendēm iedzīvotāju ienākuma nodoklis vairs netiek uzlikts (attiecībā uz Eiropas Savienības un Eiropas Ekonomikas Zonas valstu uzņēmumu izmaksātajām dividendēm šā likuma piemērošanai pieņem, ka ienākuma nodoklis no dividendēm ir samaksāts). </w:t>
            </w:r>
            <w:r w:rsidR="004823DD" w:rsidRPr="00D37BB8">
              <w:t xml:space="preserve">Tādējādi tiek nodrošināta </w:t>
            </w:r>
            <w:proofErr w:type="spellStart"/>
            <w:r w:rsidR="004823DD" w:rsidRPr="00D37BB8">
              <w:t>nediskriminācijas</w:t>
            </w:r>
            <w:proofErr w:type="spellEnd"/>
            <w:r w:rsidR="004823DD" w:rsidRPr="00D37BB8">
              <w:t xml:space="preserve"> principa ievērošana attiecībā uz ārvalstu uzņēmumu izmaksātajām dividendēm. </w:t>
            </w:r>
            <w:r w:rsidR="003128AB" w:rsidRPr="00D37BB8">
              <w:t>Tomēr minētais princips netiek piemērots attiecībā uz dividendēm, kuras maksātājs saņem no zemu nodokļu un beznodokļu valstīm vai teritorijām. Šajā gadījumā dividendes apliekamas ar iedzīvotāju ien</w:t>
            </w:r>
            <w:r w:rsidR="00B3267E" w:rsidRPr="00D37BB8">
              <w:t xml:space="preserve">ākuma nodokļa likmi 20% apmērā. </w:t>
            </w:r>
          </w:p>
          <w:p w14:paraId="41CD6F29" w14:textId="77777777" w:rsidR="00B3267E" w:rsidRPr="00D37BB8" w:rsidRDefault="00B3267E" w:rsidP="006B4097">
            <w:pPr>
              <w:tabs>
                <w:tab w:val="left" w:pos="2127"/>
                <w:tab w:val="center" w:pos="4153"/>
                <w:tab w:val="left" w:pos="6096"/>
                <w:tab w:val="right" w:pos="8306"/>
              </w:tabs>
              <w:ind w:left="255" w:right="140"/>
              <w:jc w:val="both"/>
            </w:pPr>
          </w:p>
          <w:p w14:paraId="012E5D47" w14:textId="77777777" w:rsidR="004823DD" w:rsidRPr="00D37BB8" w:rsidRDefault="004823DD" w:rsidP="006B4097">
            <w:pPr>
              <w:tabs>
                <w:tab w:val="left" w:pos="2127"/>
                <w:tab w:val="center" w:pos="4153"/>
                <w:tab w:val="left" w:pos="6096"/>
                <w:tab w:val="right" w:pos="8306"/>
              </w:tabs>
              <w:ind w:left="255" w:right="140"/>
              <w:jc w:val="both"/>
            </w:pPr>
            <w:r w:rsidRPr="00D37BB8">
              <w:lastRenderedPageBreak/>
              <w:t>Arī attiecībā uz dividendēm, kuras iedzīvotāju ienākuma nodokļa maksātāji saņem no ārvalstīm, paredzēts arī trīs gadu pārejas periods, kurā ārvalstu uzņēmumu izmaksātās dividendes apliek ar iedzīvotāju ienākuma nodokli, piemērojot 10% likmi. Tomēr, ja maksātājs spēj pierādīt, ka dividendes ir izmaksātas no peļņas, kas radusies pēc 2017.gada 31.decembra, šīs dividendes ar iedzīvotāju ienākuma nodokli neapliek.</w:t>
            </w:r>
          </w:p>
          <w:p w14:paraId="6ABD170D" w14:textId="77777777" w:rsidR="00B3267E" w:rsidRPr="00D37BB8" w:rsidRDefault="00B3267E" w:rsidP="006B4097">
            <w:pPr>
              <w:tabs>
                <w:tab w:val="left" w:pos="2127"/>
                <w:tab w:val="center" w:pos="4153"/>
                <w:tab w:val="left" w:pos="6096"/>
                <w:tab w:val="right" w:pos="8306"/>
              </w:tabs>
              <w:ind w:left="255" w:right="140"/>
              <w:jc w:val="both"/>
              <w:rPr>
                <w:u w:val="single"/>
              </w:rPr>
            </w:pPr>
          </w:p>
          <w:p w14:paraId="732A38A5" w14:textId="77777777" w:rsidR="00531E58" w:rsidRPr="00D37BB8" w:rsidRDefault="00B8256E" w:rsidP="006B4097">
            <w:pPr>
              <w:tabs>
                <w:tab w:val="left" w:pos="2127"/>
                <w:tab w:val="center" w:pos="4153"/>
                <w:tab w:val="left" w:pos="6096"/>
                <w:tab w:val="right" w:pos="8306"/>
              </w:tabs>
              <w:ind w:left="255" w:right="140"/>
              <w:jc w:val="both"/>
            </w:pPr>
            <w:r w:rsidRPr="00D37BB8">
              <w:t xml:space="preserve">Likumprojektā joprojām saglabāts pienākums ieturēt iedzīvotāju ienākuma nodokli no dividendēm, dividendēm pielīdzināma ienākuma un nosacītajām dividendēm, ja tās ir ar nodokli apliekams ienākums. </w:t>
            </w:r>
          </w:p>
          <w:p w14:paraId="35CBFEF7" w14:textId="77777777" w:rsidR="000A19BA" w:rsidRPr="00D37BB8" w:rsidRDefault="000A19BA" w:rsidP="006B4097">
            <w:pPr>
              <w:tabs>
                <w:tab w:val="left" w:pos="2127"/>
                <w:tab w:val="center" w:pos="4153"/>
                <w:tab w:val="left" w:pos="6096"/>
                <w:tab w:val="right" w:pos="8306"/>
              </w:tabs>
              <w:ind w:left="255" w:right="140"/>
              <w:jc w:val="both"/>
              <w:rPr>
                <w:u w:val="single"/>
              </w:rPr>
            </w:pPr>
          </w:p>
          <w:p w14:paraId="6E01084B" w14:textId="50597EF6" w:rsidR="000A19BA" w:rsidRPr="00D37BB8" w:rsidRDefault="00DC72FF" w:rsidP="006B4097">
            <w:pPr>
              <w:tabs>
                <w:tab w:val="left" w:pos="2127"/>
                <w:tab w:val="center" w:pos="4153"/>
                <w:tab w:val="left" w:pos="6096"/>
                <w:tab w:val="right" w:pos="8306"/>
              </w:tabs>
              <w:ind w:left="255" w:right="140"/>
              <w:jc w:val="both"/>
              <w:rPr>
                <w:i/>
                <w:u w:val="single"/>
              </w:rPr>
            </w:pPr>
            <w:r w:rsidRPr="00D37BB8">
              <w:rPr>
                <w:i/>
                <w:u w:val="single"/>
              </w:rPr>
              <w:t>Grozījumi l</w:t>
            </w:r>
            <w:r w:rsidR="000A19BA" w:rsidRPr="00D37BB8">
              <w:rPr>
                <w:i/>
                <w:u w:val="single"/>
              </w:rPr>
              <w:t>ikuma 3.panta trešās daļas 5.</w:t>
            </w:r>
            <w:r w:rsidRPr="00D37BB8">
              <w:rPr>
                <w:i/>
                <w:u w:val="single"/>
              </w:rPr>
              <w:t>punktā</w:t>
            </w:r>
            <w:r w:rsidR="000A19BA" w:rsidRPr="00D37BB8">
              <w:rPr>
                <w:i/>
                <w:u w:val="single"/>
              </w:rPr>
              <w:t xml:space="preserve">, </w:t>
            </w:r>
            <w:r w:rsidRPr="00D37BB8">
              <w:rPr>
                <w:i/>
                <w:u w:val="single"/>
              </w:rPr>
              <w:t xml:space="preserve">3.panta trešās daļas </w:t>
            </w:r>
            <w:r w:rsidR="000A19BA" w:rsidRPr="00D37BB8">
              <w:rPr>
                <w:i/>
                <w:u w:val="single"/>
              </w:rPr>
              <w:t>18. un 19.punkta izslēgums, grozījumi 8.panta trešās daļas 3.punktā, 8.panta trešās daļas 16. un 17.punkta un desmitās daļas izslēgums, grozījumi 8.panta 11.daļā, 11.panta otrās daļas 2.</w:t>
            </w:r>
            <w:r w:rsidR="000A19BA" w:rsidRPr="00D37BB8">
              <w:rPr>
                <w:i/>
                <w:u w:val="single"/>
                <w:vertAlign w:val="superscript"/>
              </w:rPr>
              <w:t>1</w:t>
            </w:r>
            <w:r w:rsidR="000A19BA" w:rsidRPr="00D37BB8">
              <w:rPr>
                <w:i/>
                <w:u w:val="single"/>
              </w:rPr>
              <w:t xml:space="preserve"> punkta izslēgums, grozījumi 11.</w:t>
            </w:r>
            <w:r w:rsidR="000A19BA" w:rsidRPr="00D37BB8">
              <w:rPr>
                <w:i/>
                <w:u w:val="single"/>
                <w:vertAlign w:val="superscript"/>
              </w:rPr>
              <w:t>9</w:t>
            </w:r>
            <w:r w:rsidR="000A19BA" w:rsidRPr="00D37BB8">
              <w:rPr>
                <w:i/>
                <w:u w:val="single"/>
              </w:rPr>
              <w:t xml:space="preserve"> panta vienpadsmitās daļas 1.punktā, </w:t>
            </w:r>
            <w:r w:rsidR="00531E58" w:rsidRPr="00D37BB8">
              <w:rPr>
                <w:i/>
                <w:u w:val="single"/>
              </w:rPr>
              <w:t>grozījumi 16.</w:t>
            </w:r>
            <w:r w:rsidR="00531E58" w:rsidRPr="00D37BB8">
              <w:rPr>
                <w:i/>
                <w:u w:val="single"/>
                <w:vertAlign w:val="superscript"/>
              </w:rPr>
              <w:t>1</w:t>
            </w:r>
            <w:r w:rsidR="00531E58" w:rsidRPr="00D37BB8">
              <w:rPr>
                <w:i/>
                <w:u w:val="single"/>
              </w:rPr>
              <w:t xml:space="preserve"> panta otrajā daļā un 16.</w:t>
            </w:r>
            <w:r w:rsidR="00531E58" w:rsidRPr="00D37BB8">
              <w:rPr>
                <w:i/>
                <w:u w:val="single"/>
                <w:vertAlign w:val="superscript"/>
              </w:rPr>
              <w:t>1</w:t>
            </w:r>
            <w:r w:rsidR="00531E58" w:rsidRPr="00D37BB8">
              <w:rPr>
                <w:i/>
                <w:u w:val="single"/>
              </w:rPr>
              <w:t xml:space="preserve"> panta 8.</w:t>
            </w:r>
            <w:r w:rsidR="00531E58" w:rsidRPr="00D37BB8">
              <w:rPr>
                <w:i/>
                <w:u w:val="single"/>
                <w:vertAlign w:val="superscript"/>
              </w:rPr>
              <w:t>1</w:t>
            </w:r>
            <w:r w:rsidR="00531E58" w:rsidRPr="00D37BB8">
              <w:rPr>
                <w:i/>
                <w:u w:val="single"/>
              </w:rPr>
              <w:t xml:space="preserve"> daļas izslēgums, </w:t>
            </w:r>
            <w:r w:rsidR="00C94972" w:rsidRPr="00D37BB8">
              <w:rPr>
                <w:i/>
                <w:u w:val="single"/>
              </w:rPr>
              <w:t>likuma 17.panta 12.</w:t>
            </w:r>
            <w:r w:rsidR="00C94972" w:rsidRPr="00D37BB8">
              <w:rPr>
                <w:i/>
                <w:u w:val="single"/>
                <w:vertAlign w:val="superscript"/>
              </w:rPr>
              <w:t xml:space="preserve">3 </w:t>
            </w:r>
            <w:r w:rsidR="00C94972" w:rsidRPr="00D37BB8">
              <w:rPr>
                <w:i/>
                <w:u w:val="single"/>
              </w:rPr>
              <w:t>un 12.</w:t>
            </w:r>
            <w:r w:rsidR="00C94972" w:rsidRPr="00D37BB8">
              <w:rPr>
                <w:i/>
                <w:u w:val="single"/>
                <w:vertAlign w:val="superscript"/>
              </w:rPr>
              <w:t xml:space="preserve">4 </w:t>
            </w:r>
            <w:r w:rsidR="00C94972" w:rsidRPr="00D37BB8">
              <w:rPr>
                <w:i/>
                <w:u w:val="single"/>
              </w:rPr>
              <w:t xml:space="preserve">daļas izslēgums, </w:t>
            </w:r>
            <w:r w:rsidR="00531E58" w:rsidRPr="00D37BB8">
              <w:rPr>
                <w:i/>
                <w:u w:val="single"/>
              </w:rPr>
              <w:t xml:space="preserve">pārejas noteikumu </w:t>
            </w:r>
            <w:r w:rsidR="006104E2" w:rsidRPr="00D37BB8">
              <w:rPr>
                <w:i/>
              </w:rPr>
              <w:t>13</w:t>
            </w:r>
            <w:r w:rsidR="009755D4" w:rsidRPr="00D37BB8">
              <w:rPr>
                <w:i/>
              </w:rPr>
              <w:t>2</w:t>
            </w:r>
            <w:r w:rsidR="006104E2" w:rsidRPr="00D37BB8">
              <w:rPr>
                <w:i/>
              </w:rPr>
              <w:t>., 13</w:t>
            </w:r>
            <w:r w:rsidR="009755D4" w:rsidRPr="00D37BB8">
              <w:rPr>
                <w:i/>
              </w:rPr>
              <w:t>3</w:t>
            </w:r>
            <w:r w:rsidR="006104E2" w:rsidRPr="00D37BB8">
              <w:rPr>
                <w:i/>
              </w:rPr>
              <w:t>.</w:t>
            </w:r>
            <w:r w:rsidR="00531E58" w:rsidRPr="00D37BB8">
              <w:rPr>
                <w:i/>
              </w:rPr>
              <w:t xml:space="preserve"> un </w:t>
            </w:r>
            <w:r w:rsidR="006104E2" w:rsidRPr="00D37BB8">
              <w:rPr>
                <w:i/>
              </w:rPr>
              <w:t>13</w:t>
            </w:r>
            <w:r w:rsidR="009755D4" w:rsidRPr="00D37BB8">
              <w:rPr>
                <w:i/>
              </w:rPr>
              <w:t>4</w:t>
            </w:r>
            <w:r w:rsidR="006104E2" w:rsidRPr="00D37BB8">
              <w:rPr>
                <w:i/>
              </w:rPr>
              <w:t>.</w:t>
            </w:r>
            <w:r w:rsidR="00531E58" w:rsidRPr="00D37BB8">
              <w:rPr>
                <w:i/>
              </w:rPr>
              <w:t xml:space="preserve"> punkts</w:t>
            </w:r>
          </w:p>
          <w:p w14:paraId="38A818C9" w14:textId="77777777" w:rsidR="00AA1B6E" w:rsidRPr="00D37BB8" w:rsidRDefault="00AA1B6E" w:rsidP="006B4097">
            <w:pPr>
              <w:pStyle w:val="Default"/>
              <w:tabs>
                <w:tab w:val="left" w:pos="993"/>
              </w:tabs>
              <w:ind w:left="255" w:right="140"/>
              <w:jc w:val="both"/>
              <w:rPr>
                <w:i/>
              </w:rPr>
            </w:pPr>
            <w:r w:rsidRPr="00D37BB8">
              <w:t>(</w:t>
            </w:r>
            <w:r w:rsidRPr="00D37BB8">
              <w:rPr>
                <w:i/>
              </w:rPr>
              <w:t>Valsts nodokļu politikas pamatnostādnēs 2018.-2021.gadam ietvertais</w:t>
            </w:r>
            <w:r w:rsidR="005B2A1F" w:rsidRPr="00D37BB8">
              <w:rPr>
                <w:i/>
              </w:rPr>
              <w:t xml:space="preserve"> 2.1.1. un 2.2.1.</w:t>
            </w:r>
            <w:r w:rsidRPr="00D37BB8">
              <w:rPr>
                <w:i/>
              </w:rPr>
              <w:t xml:space="preserve"> uzdevums)</w:t>
            </w:r>
            <w:r w:rsidR="00B412E9" w:rsidRPr="00D37BB8">
              <w:rPr>
                <w:i/>
              </w:rPr>
              <w:t>.</w:t>
            </w:r>
          </w:p>
          <w:p w14:paraId="23CBB475" w14:textId="77777777" w:rsidR="005A4F99" w:rsidRPr="00D37BB8" w:rsidRDefault="005A4F99" w:rsidP="006B4097">
            <w:pPr>
              <w:tabs>
                <w:tab w:val="left" w:pos="2127"/>
                <w:tab w:val="center" w:pos="4153"/>
                <w:tab w:val="left" w:pos="6096"/>
                <w:tab w:val="right" w:pos="8306"/>
              </w:tabs>
              <w:ind w:left="255" w:right="140"/>
              <w:jc w:val="both"/>
              <w:rPr>
                <w:u w:val="single"/>
              </w:rPr>
            </w:pPr>
          </w:p>
          <w:p w14:paraId="58D6B363" w14:textId="77777777" w:rsidR="00B412E9" w:rsidRPr="00D37BB8" w:rsidRDefault="00FF285D" w:rsidP="006B4097">
            <w:pPr>
              <w:tabs>
                <w:tab w:val="left" w:pos="2127"/>
                <w:tab w:val="center" w:pos="4153"/>
                <w:tab w:val="left" w:pos="6096"/>
                <w:tab w:val="right" w:pos="8306"/>
              </w:tabs>
              <w:ind w:left="255" w:right="140"/>
              <w:jc w:val="both"/>
              <w:rPr>
                <w:i/>
              </w:rPr>
            </w:pPr>
            <w:r w:rsidRPr="00D37BB8">
              <w:rPr>
                <w:i/>
              </w:rPr>
              <w:t>Ienākuma no personālsabiedrības aplikšana ar iedzīvotāju ienākuma nodokli</w:t>
            </w:r>
            <w:r w:rsidR="00B412E9" w:rsidRPr="00D37BB8">
              <w:rPr>
                <w:i/>
              </w:rPr>
              <w:t>.</w:t>
            </w:r>
          </w:p>
          <w:p w14:paraId="3FACB05C" w14:textId="77777777" w:rsidR="005A4F99" w:rsidRPr="00D37BB8" w:rsidRDefault="00253C98" w:rsidP="006B4097">
            <w:pPr>
              <w:tabs>
                <w:tab w:val="left" w:pos="2127"/>
                <w:tab w:val="center" w:pos="4153"/>
                <w:tab w:val="left" w:pos="6096"/>
                <w:tab w:val="right" w:pos="8306"/>
              </w:tabs>
              <w:ind w:left="255" w:right="140"/>
              <w:jc w:val="both"/>
            </w:pPr>
            <w:r w:rsidRPr="00D37BB8">
              <w:t>Līdz šim personālsabiedrības nebija uzņēmumu ienākuma nodokļa maksātājas (bija t.s. fiskāli “caurskatāmie” subjekti), bet personālsabiedrības biedri maksāja iedzīvotāju ienākuma nodokli par uz sevi attiecināmo personālsabiedrības ar uzņēmumu ienākuma nodokli apliekamo ienākumu daļu. Minētajam ienākumam piemēroja iedzīvotāju ienākuma nodokļa likmi 23% apmērā. Izņēmums bija personālsabiedrības biedra caur personālsabiedrību saņemtais ienākums no kapitāla un kapitāla pieauguma, kam tika piemērotas attiecīgi 10% un 15% iedzīvotāju ienākuma nodokļa likmes.</w:t>
            </w:r>
          </w:p>
          <w:p w14:paraId="5EF699A1" w14:textId="77777777" w:rsidR="00253C98" w:rsidRPr="00D37BB8" w:rsidRDefault="00253C98" w:rsidP="006B4097">
            <w:pPr>
              <w:tabs>
                <w:tab w:val="left" w:pos="2127"/>
                <w:tab w:val="center" w:pos="4153"/>
                <w:tab w:val="left" w:pos="6096"/>
                <w:tab w:val="right" w:pos="8306"/>
              </w:tabs>
              <w:ind w:left="255" w:right="140"/>
              <w:jc w:val="both"/>
            </w:pPr>
            <w:r w:rsidRPr="00D37BB8">
              <w:t xml:space="preserve">Tā kā turpmāk paredzēts, ka Latvijas personālsabiedrības būs uzņēmumu ienākuma nodokļa maksātājas, iedzīvotāju ienākuma </w:t>
            </w:r>
            <w:r w:rsidR="00F665F2" w:rsidRPr="00D37BB8">
              <w:t>nodoklī likumpro</w:t>
            </w:r>
            <w:r w:rsidR="00FF285D" w:rsidRPr="00D37BB8">
              <w:t>jekts paredz šādas izmaiņas:</w:t>
            </w:r>
          </w:p>
          <w:p w14:paraId="35709805" w14:textId="77777777" w:rsidR="00FF285D" w:rsidRPr="00D37BB8" w:rsidRDefault="00FF285D" w:rsidP="00B64903">
            <w:pPr>
              <w:pStyle w:val="ListParagraph"/>
              <w:numPr>
                <w:ilvl w:val="0"/>
                <w:numId w:val="6"/>
              </w:numPr>
              <w:tabs>
                <w:tab w:val="left" w:pos="710"/>
                <w:tab w:val="left" w:pos="2127"/>
                <w:tab w:val="center" w:pos="4153"/>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tiek paplašināta dividendēm pielīdzināmā ienākuma definīcija, tajā iekļaujot arī personālsabiedrības biedra saņemto ienākumu no personālsabiedrības;</w:t>
            </w:r>
          </w:p>
          <w:p w14:paraId="3B84CC30" w14:textId="77777777" w:rsidR="00FF285D" w:rsidRPr="00D37BB8" w:rsidRDefault="004D628B" w:rsidP="00B64903">
            <w:pPr>
              <w:pStyle w:val="ListParagraph"/>
              <w:numPr>
                <w:ilvl w:val="0"/>
                <w:numId w:val="6"/>
              </w:numPr>
              <w:tabs>
                <w:tab w:val="left" w:pos="568"/>
                <w:tab w:val="left" w:pos="2127"/>
                <w:tab w:val="center" w:pos="4153"/>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 xml:space="preserve">  </w:t>
            </w:r>
            <w:r w:rsidR="00FF285D" w:rsidRPr="00D37BB8">
              <w:rPr>
                <w:rFonts w:ascii="Times New Roman" w:hAnsi="Times New Roman"/>
                <w:sz w:val="24"/>
                <w:szCs w:val="24"/>
                <w:lang w:val="lv-LV"/>
              </w:rPr>
              <w:t xml:space="preserve">attiecībā uz personālsabiedrības biedra saņemto ienākumu no personālsabiedrības (gan Latvijas personālsabiedrības, gan ārvalsts personālsabiedrības, ja tā ir uzņēmumu ienākuma nodokļa vai tam pielīdzināma nodokļa maksātāja) </w:t>
            </w:r>
            <w:r w:rsidR="001C73AF" w:rsidRPr="00D37BB8">
              <w:rPr>
                <w:rFonts w:ascii="Times New Roman" w:hAnsi="Times New Roman"/>
                <w:sz w:val="24"/>
                <w:szCs w:val="24"/>
                <w:lang w:val="lv-LV"/>
              </w:rPr>
              <w:t xml:space="preserve">turpmāk </w:t>
            </w:r>
            <w:r w:rsidR="00FF285D" w:rsidRPr="00D37BB8">
              <w:rPr>
                <w:rFonts w:ascii="Times New Roman" w:hAnsi="Times New Roman"/>
                <w:sz w:val="24"/>
                <w:szCs w:val="24"/>
                <w:lang w:val="lv-LV"/>
              </w:rPr>
              <w:t>tiek piemērots līdzīgs regulējums kā attiecībā uz dividendēm;</w:t>
            </w:r>
          </w:p>
          <w:p w14:paraId="709A1524" w14:textId="77777777" w:rsidR="00FF285D" w:rsidRPr="00D37BB8" w:rsidRDefault="00FF285D" w:rsidP="00B64903">
            <w:pPr>
              <w:pStyle w:val="ListParagraph"/>
              <w:numPr>
                <w:ilvl w:val="0"/>
                <w:numId w:val="6"/>
              </w:numPr>
              <w:tabs>
                <w:tab w:val="left" w:pos="685"/>
                <w:tab w:val="left" w:pos="2127"/>
                <w:tab w:val="center" w:pos="4153"/>
                <w:tab w:val="left" w:pos="6096"/>
                <w:tab w:val="right" w:pos="8306"/>
              </w:tabs>
              <w:spacing w:after="0" w:line="240" w:lineRule="auto"/>
              <w:ind w:left="255" w:right="140" w:firstLine="0"/>
              <w:jc w:val="both"/>
              <w:rPr>
                <w:rFonts w:ascii="Times New Roman" w:hAnsi="Times New Roman"/>
                <w:sz w:val="24"/>
                <w:szCs w:val="24"/>
                <w:lang w:val="lv-LV"/>
              </w:rPr>
            </w:pPr>
            <w:r w:rsidRPr="00D37BB8">
              <w:rPr>
                <w:rFonts w:ascii="Times New Roman" w:hAnsi="Times New Roman"/>
                <w:sz w:val="24"/>
                <w:szCs w:val="24"/>
                <w:lang w:val="lv-LV"/>
              </w:rPr>
              <w:t>līdzšinējā iedzīvotāju ienākuma nodokļa uzlikšanas kārtība tiek saglabāta ienākumam no personālsabiedrības, kuru izmaksā ārvalsts personālsabiedrība, kas uzskatāma par fiskāli “caurskatāmu” subjektu</w:t>
            </w:r>
            <w:r w:rsidR="00A672D0" w:rsidRPr="00D37BB8">
              <w:rPr>
                <w:rFonts w:ascii="Times New Roman" w:hAnsi="Times New Roman"/>
                <w:sz w:val="24"/>
                <w:szCs w:val="24"/>
                <w:lang w:val="lv-LV"/>
              </w:rPr>
              <w:t xml:space="preserve">, kā arī </w:t>
            </w:r>
            <w:r w:rsidR="00DC72FF" w:rsidRPr="00D37BB8">
              <w:rPr>
                <w:rFonts w:ascii="Times New Roman" w:hAnsi="Times New Roman"/>
                <w:sz w:val="24"/>
                <w:szCs w:val="24"/>
                <w:lang w:val="lv-LV"/>
              </w:rPr>
              <w:t xml:space="preserve">ienākumu no </w:t>
            </w:r>
            <w:r w:rsidR="00A672D0" w:rsidRPr="00D37BB8">
              <w:rPr>
                <w:rFonts w:ascii="Times New Roman" w:hAnsi="Times New Roman"/>
                <w:sz w:val="24"/>
                <w:szCs w:val="24"/>
                <w:lang w:val="lv-LV"/>
              </w:rPr>
              <w:t>ieguldījumu fond</w:t>
            </w:r>
            <w:r w:rsidR="00DC72FF" w:rsidRPr="00D37BB8">
              <w:rPr>
                <w:rFonts w:ascii="Times New Roman" w:hAnsi="Times New Roman"/>
                <w:sz w:val="24"/>
                <w:szCs w:val="24"/>
                <w:lang w:val="lv-LV"/>
              </w:rPr>
              <w:t>a aplikšanā</w:t>
            </w:r>
            <w:r w:rsidRPr="00D37BB8">
              <w:rPr>
                <w:rFonts w:ascii="Times New Roman" w:hAnsi="Times New Roman"/>
                <w:sz w:val="24"/>
                <w:szCs w:val="24"/>
                <w:lang w:val="lv-LV"/>
              </w:rPr>
              <w:t>.</w:t>
            </w:r>
          </w:p>
          <w:p w14:paraId="6229FFC3" w14:textId="77777777" w:rsidR="00253C98" w:rsidRPr="00D37BB8" w:rsidRDefault="0012213E" w:rsidP="006B4097">
            <w:pPr>
              <w:tabs>
                <w:tab w:val="left" w:pos="2127"/>
                <w:tab w:val="center" w:pos="4153"/>
                <w:tab w:val="left" w:pos="6096"/>
                <w:tab w:val="right" w:pos="8306"/>
              </w:tabs>
              <w:ind w:left="255" w:right="140"/>
              <w:jc w:val="both"/>
            </w:pPr>
            <w:r w:rsidRPr="00D37BB8">
              <w:lastRenderedPageBreak/>
              <w:t>Attiecībā uz personālsabiedrības izmaksāto peļņu, kas ar 2018.gada 1.janvāri tiek uzskatīta par dividendēm pielīdzināmu ienākumu, ja tā radusies l</w:t>
            </w:r>
            <w:r w:rsidR="001C73AF" w:rsidRPr="00D37BB8">
              <w:t>īdz 2017.gada 31.decembrim un par to samaksāts iedzīvotāju ienākuma nodoklis, otrreiz ar iedzīvotāju ienākuma nodokli neapliek.</w:t>
            </w:r>
          </w:p>
          <w:p w14:paraId="0045B515" w14:textId="77777777" w:rsidR="0012213E" w:rsidRPr="00D37BB8" w:rsidRDefault="0012213E" w:rsidP="006B4097">
            <w:pPr>
              <w:tabs>
                <w:tab w:val="left" w:pos="2127"/>
                <w:tab w:val="center" w:pos="4153"/>
                <w:tab w:val="left" w:pos="6096"/>
                <w:tab w:val="right" w:pos="8306"/>
              </w:tabs>
              <w:ind w:left="255" w:right="140"/>
              <w:jc w:val="both"/>
              <w:rPr>
                <w:u w:val="single"/>
              </w:rPr>
            </w:pPr>
          </w:p>
          <w:p w14:paraId="0D40A6EC" w14:textId="77777777" w:rsidR="00FF285D" w:rsidRPr="00D37BB8" w:rsidRDefault="00FF285D" w:rsidP="006B4097">
            <w:pPr>
              <w:tabs>
                <w:tab w:val="left" w:pos="2127"/>
                <w:tab w:val="center" w:pos="4153"/>
                <w:tab w:val="left" w:pos="6096"/>
                <w:tab w:val="right" w:pos="8306"/>
              </w:tabs>
              <w:ind w:left="255" w:right="140"/>
              <w:jc w:val="both"/>
              <w:rPr>
                <w:i/>
              </w:rPr>
            </w:pPr>
            <w:r w:rsidRPr="00D37BB8">
              <w:rPr>
                <w:i/>
              </w:rPr>
              <w:t>Ienākumu no kooperatīvās sabiedrības aplikšana ar iedzīvotāju ienākuma nodokli</w:t>
            </w:r>
            <w:r w:rsidR="00B412E9" w:rsidRPr="00D37BB8">
              <w:rPr>
                <w:i/>
              </w:rPr>
              <w:t>.</w:t>
            </w:r>
          </w:p>
          <w:p w14:paraId="0450595F" w14:textId="77777777" w:rsidR="00FF285D" w:rsidRPr="00D37BB8" w:rsidRDefault="00FF285D" w:rsidP="006B4097">
            <w:pPr>
              <w:tabs>
                <w:tab w:val="left" w:pos="2127"/>
                <w:tab w:val="center" w:pos="4153"/>
                <w:tab w:val="left" w:pos="6096"/>
                <w:tab w:val="right" w:pos="8306"/>
              </w:tabs>
              <w:ind w:left="255" w:right="140"/>
              <w:jc w:val="both"/>
            </w:pPr>
            <w:r w:rsidRPr="00D37BB8">
              <w:t>Līdz šim, ja kooperatīvā sabiedrība bija uzņēmumu ienākuma nodokļa maksātāja, kooperatīvās sabiedrības biedriem izmaksātās dividendes tika apliktas ar iedzīvotāju ienākuma nodokli, piemērojot 10% likmi. Savuk</w:t>
            </w:r>
            <w:r w:rsidR="00B3274D" w:rsidRPr="00D37BB8">
              <w:t>ārt, ja kooperatīvās sabiedrības nebija uzņēmumu ienākuma nodokļa maksātājas, ar iedzīvotāju ienākuma nodokli aplik</w:t>
            </w:r>
            <w:r w:rsidR="001C2210" w:rsidRPr="00D37BB8">
              <w:t>a:</w:t>
            </w:r>
          </w:p>
          <w:p w14:paraId="198144C2" w14:textId="77777777" w:rsidR="00B3274D" w:rsidRPr="00D37BB8" w:rsidRDefault="001C2210" w:rsidP="006B4097">
            <w:pPr>
              <w:pStyle w:val="tv213"/>
              <w:spacing w:before="0" w:beforeAutospacing="0" w:after="0" w:afterAutospacing="0"/>
              <w:ind w:left="255" w:right="140"/>
              <w:jc w:val="both"/>
              <w:rPr>
                <w:color w:val="000000" w:themeColor="text1"/>
              </w:rPr>
            </w:pPr>
            <w:r w:rsidRPr="00D37BB8">
              <w:rPr>
                <w:color w:val="000000" w:themeColor="text1"/>
              </w:rPr>
              <w:t xml:space="preserve">- </w:t>
            </w:r>
            <w:r w:rsidR="00B3274D" w:rsidRPr="00D37BB8">
              <w:rPr>
                <w:color w:val="000000" w:themeColor="text1"/>
              </w:rPr>
              <w:t>lauksaimniecības pakalpojumu kooperatīvās sabiedrības un mežsaimniecības pakalpojumu kooperatīvās sabiedrības (kas atbilst noteiktajiem atbilstības kritērijiem) biedram sadalītā pārpalikuma daļ</w:t>
            </w:r>
            <w:r w:rsidRPr="00D37BB8">
              <w:rPr>
                <w:color w:val="000000" w:themeColor="text1"/>
              </w:rPr>
              <w:t>u</w:t>
            </w:r>
            <w:r w:rsidR="00B3274D" w:rsidRPr="00D37BB8">
              <w:rPr>
                <w:color w:val="000000" w:themeColor="text1"/>
              </w:rPr>
              <w:t>, kura ir noteikta saskaņā ar likumu "</w:t>
            </w:r>
            <w:hyperlink r:id="rId8" w:tgtFrame="_blank" w:history="1">
              <w:r w:rsidR="00B3274D" w:rsidRPr="00D37BB8">
                <w:rPr>
                  <w:rStyle w:val="Hyperlink"/>
                  <w:color w:val="000000" w:themeColor="text1"/>
                  <w:u w:val="none"/>
                </w:rPr>
                <w:t>Par uzņēmumu ienākuma nodokli</w:t>
              </w:r>
            </w:hyperlink>
            <w:r w:rsidR="00B3274D" w:rsidRPr="00D37BB8">
              <w:rPr>
                <w:color w:val="000000" w:themeColor="text1"/>
              </w:rPr>
              <w:t>";</w:t>
            </w:r>
          </w:p>
          <w:p w14:paraId="0F3773FD" w14:textId="77777777" w:rsidR="00B3274D" w:rsidRPr="00D37BB8" w:rsidRDefault="001C2210" w:rsidP="006B4097">
            <w:pPr>
              <w:pStyle w:val="tv213"/>
              <w:spacing w:before="0" w:beforeAutospacing="0" w:after="0" w:afterAutospacing="0"/>
              <w:ind w:left="255" w:right="140"/>
              <w:jc w:val="both"/>
              <w:rPr>
                <w:color w:val="000000" w:themeColor="text1"/>
              </w:rPr>
            </w:pPr>
            <w:r w:rsidRPr="00D37BB8">
              <w:rPr>
                <w:color w:val="000000" w:themeColor="text1"/>
              </w:rPr>
              <w:t xml:space="preserve">- </w:t>
            </w:r>
            <w:r w:rsidR="00B3274D" w:rsidRPr="00D37BB8">
              <w:rPr>
                <w:color w:val="000000" w:themeColor="text1"/>
              </w:rPr>
              <w:t>ienākum</w:t>
            </w:r>
            <w:r w:rsidRPr="00D37BB8">
              <w:rPr>
                <w:color w:val="000000" w:themeColor="text1"/>
              </w:rPr>
              <w:t>us</w:t>
            </w:r>
            <w:r w:rsidR="00B3274D" w:rsidRPr="00D37BB8">
              <w:rPr>
                <w:color w:val="000000" w:themeColor="text1"/>
              </w:rPr>
              <w:t xml:space="preserve"> no dzīvokļu īpašnieku kooperatīvās sabiedrības, automašīnu garāžu īpašnieku kooperatīvās sabiedrības, laivu garāžu īpašnieku kooperatīvās sabiedrības un dārzkopības kooperatīv</w:t>
            </w:r>
            <w:r w:rsidRPr="00D37BB8">
              <w:rPr>
                <w:color w:val="000000" w:themeColor="text1"/>
              </w:rPr>
              <w:t>ās sabiedrības sadalītās peļņas.</w:t>
            </w:r>
          </w:p>
          <w:p w14:paraId="5D69759E" w14:textId="77777777" w:rsidR="00FF285D" w:rsidRPr="00D37BB8" w:rsidRDefault="00FF285D" w:rsidP="006B4097">
            <w:pPr>
              <w:tabs>
                <w:tab w:val="left" w:pos="2127"/>
                <w:tab w:val="center" w:pos="4153"/>
                <w:tab w:val="left" w:pos="6096"/>
                <w:tab w:val="right" w:pos="8306"/>
              </w:tabs>
              <w:ind w:left="255" w:right="140"/>
              <w:jc w:val="both"/>
            </w:pPr>
          </w:p>
          <w:p w14:paraId="31D21DE5" w14:textId="77777777" w:rsidR="001C2210" w:rsidRPr="00D37BB8" w:rsidRDefault="001C2210" w:rsidP="006B4097">
            <w:pPr>
              <w:tabs>
                <w:tab w:val="left" w:pos="2127"/>
                <w:tab w:val="center" w:pos="4153"/>
                <w:tab w:val="left" w:pos="6096"/>
                <w:tab w:val="right" w:pos="8306"/>
              </w:tabs>
              <w:ind w:left="255" w:right="140"/>
              <w:jc w:val="both"/>
            </w:pPr>
            <w:r w:rsidRPr="00D37BB8">
              <w:t>Tā kā turpmāk visas kooperatīvās sabiedrības būs uzņēmumu ienākuma nodokļa maksātājas, likumprojekts paredz šādus grozījumus iedzīvotāju ienākuma nodokļa piemērošanā:</w:t>
            </w:r>
          </w:p>
          <w:p w14:paraId="64D19874" w14:textId="77777777" w:rsidR="001C2210" w:rsidRPr="00D37BB8" w:rsidRDefault="001C2210" w:rsidP="00B64903">
            <w:pPr>
              <w:pStyle w:val="ListParagraph"/>
              <w:numPr>
                <w:ilvl w:val="0"/>
                <w:numId w:val="7"/>
              </w:numPr>
              <w:tabs>
                <w:tab w:val="left" w:pos="685"/>
                <w:tab w:val="center" w:pos="4153"/>
                <w:tab w:val="left" w:pos="6096"/>
                <w:tab w:val="right" w:pos="8306"/>
              </w:tabs>
              <w:spacing w:after="0" w:line="240" w:lineRule="auto"/>
              <w:ind w:left="255" w:right="140" w:firstLine="0"/>
              <w:jc w:val="both"/>
              <w:rPr>
                <w:rFonts w:ascii="Times New Roman" w:hAnsi="Times New Roman"/>
                <w:color w:val="000000" w:themeColor="text1"/>
                <w:sz w:val="24"/>
                <w:szCs w:val="24"/>
                <w:lang w:val="lv-LV"/>
              </w:rPr>
            </w:pPr>
            <w:r w:rsidRPr="00D37BB8">
              <w:rPr>
                <w:rFonts w:ascii="Times New Roman" w:hAnsi="Times New Roman"/>
                <w:sz w:val="24"/>
                <w:szCs w:val="24"/>
                <w:lang w:val="lv-LV"/>
              </w:rPr>
              <w:t xml:space="preserve">tiek paplašināta dividendēm pielīdzināma ienākuma definīcija, tajā </w:t>
            </w:r>
            <w:r w:rsidRPr="00D37BB8">
              <w:rPr>
                <w:rFonts w:ascii="Times New Roman" w:hAnsi="Times New Roman"/>
                <w:color w:val="000000" w:themeColor="text1"/>
                <w:sz w:val="24"/>
                <w:szCs w:val="24"/>
                <w:lang w:val="lv-LV"/>
              </w:rPr>
              <w:t>iekļaujot arī pārpalikuma daļu, kuru saņem saskaņā ar Kooperatīvo sabiedrību likumu par atbilstīgu atzītas lauksaimniecības pakalpojumu kooperatīvās sabiedrības vai mežsaimniecības pakalpojumu kooperatīvās sabiedrības biedrs atbilstoši viņa izmantoto kooperatīvās sabiedrības pakalpojumu apjomam, kā arī jebkuru citu ienākumu, kas gūts kooperatīvās sabiedrības peļņas sadales rezultātā;</w:t>
            </w:r>
          </w:p>
          <w:p w14:paraId="57D2982B" w14:textId="77777777" w:rsidR="001C2210" w:rsidRPr="00D37BB8" w:rsidRDefault="001C73AF" w:rsidP="00B64903">
            <w:pPr>
              <w:pStyle w:val="ListParagraph"/>
              <w:numPr>
                <w:ilvl w:val="0"/>
                <w:numId w:val="7"/>
              </w:numPr>
              <w:tabs>
                <w:tab w:val="left" w:pos="685"/>
                <w:tab w:val="center" w:pos="4153"/>
                <w:tab w:val="left" w:pos="6096"/>
                <w:tab w:val="right" w:pos="8306"/>
              </w:tabs>
              <w:spacing w:after="0" w:line="240" w:lineRule="auto"/>
              <w:ind w:left="255" w:right="140" w:firstLine="0"/>
              <w:jc w:val="both"/>
              <w:rPr>
                <w:rFonts w:ascii="Times New Roman" w:hAnsi="Times New Roman"/>
                <w:color w:val="000000" w:themeColor="text1"/>
                <w:sz w:val="24"/>
                <w:szCs w:val="24"/>
                <w:lang w:val="lv-LV"/>
              </w:rPr>
            </w:pPr>
            <w:r w:rsidRPr="00D37BB8">
              <w:rPr>
                <w:rFonts w:ascii="Times New Roman" w:hAnsi="Times New Roman"/>
                <w:color w:val="000000" w:themeColor="text1"/>
                <w:sz w:val="24"/>
                <w:szCs w:val="24"/>
                <w:lang w:val="lv-LV"/>
              </w:rPr>
              <w:t xml:space="preserve">attiecībā uz dividendēm pielīdzināmo ienākumu, kas saņemts no kooperatīvās sabiedrības, </w:t>
            </w:r>
            <w:r w:rsidRPr="00D37BB8">
              <w:rPr>
                <w:rFonts w:ascii="Times New Roman" w:hAnsi="Times New Roman"/>
                <w:sz w:val="24"/>
                <w:szCs w:val="24"/>
                <w:lang w:val="lv-LV"/>
              </w:rPr>
              <w:t>turpmāk tiek piemērots līdzīgs regulējums kā attiecībā uz dividendēm.</w:t>
            </w:r>
          </w:p>
          <w:p w14:paraId="45249764" w14:textId="77777777" w:rsidR="001C73AF" w:rsidRPr="00D37BB8" w:rsidRDefault="001C73AF" w:rsidP="006B4097">
            <w:pPr>
              <w:tabs>
                <w:tab w:val="left" w:pos="2127"/>
                <w:tab w:val="center" w:pos="4153"/>
                <w:tab w:val="left" w:pos="6096"/>
                <w:tab w:val="right" w:pos="8306"/>
              </w:tabs>
              <w:ind w:left="255" w:right="140"/>
              <w:jc w:val="both"/>
            </w:pPr>
            <w:r w:rsidRPr="00D37BB8">
              <w:t>Attiecībā uz kooperatīvās sabiedrības izmaksātajām dividendēm, kas tiek izmaksātas no kooperatīvās sabiedrības peļņas, kas radusies līdz 2017.gada 31.decembrim un kooperatīvā sabiedrība bija uzņēmumu ienākuma nodokļa maksātāja saskaņā ar likumu “Par uzņēmumu ienākuma nodokli”</w:t>
            </w:r>
            <w:r w:rsidR="0071160B" w:rsidRPr="00D37BB8">
              <w:t xml:space="preserve"> (spēkā līdz 2017.gada 31.decembrim), piemēro tādus pašus pārejas noteikumus kā uz kapitālsabiedrību izmaksātajām dividendēm (</w:t>
            </w:r>
            <w:r w:rsidR="0071160B" w:rsidRPr="00D37BB8">
              <w:rPr>
                <w:i/>
              </w:rPr>
              <w:t>skat. iepriekš</w:t>
            </w:r>
            <w:r w:rsidR="0071160B" w:rsidRPr="00D37BB8">
              <w:t>).</w:t>
            </w:r>
          </w:p>
          <w:p w14:paraId="27D0B524" w14:textId="77777777" w:rsidR="0071160B" w:rsidRPr="00D37BB8" w:rsidRDefault="0071160B" w:rsidP="006B4097">
            <w:pPr>
              <w:tabs>
                <w:tab w:val="left" w:pos="2127"/>
                <w:tab w:val="center" w:pos="4153"/>
                <w:tab w:val="left" w:pos="6096"/>
                <w:tab w:val="right" w:pos="8306"/>
              </w:tabs>
              <w:ind w:left="255" w:right="140"/>
              <w:jc w:val="both"/>
            </w:pPr>
            <w:r w:rsidRPr="00D37BB8">
              <w:t>Attiecībā uz lauksaimniecības kooperatīvo sabiedrību un mežsaimniecības kooperatīvo sabiedrību, ka arī</w:t>
            </w:r>
            <w:r w:rsidRPr="00D37BB8">
              <w:rPr>
                <w:color w:val="000000" w:themeColor="text1"/>
              </w:rPr>
              <w:t xml:space="preserve"> dzīvokļu īpašnieku kooperatīvās sabiedrības, automašīnu garāžu īpašnieku kooperatīvās sabiedrības, laivu garāžu īpašnieku kooperatīvās sabiedrības un dārzkopības kooperatīvās sabiedrību pēc 2018.gada 1.janvāra sadalīto peļņu pārejas noteikumi nav </w:t>
            </w:r>
            <w:r w:rsidRPr="00D37BB8">
              <w:rPr>
                <w:color w:val="000000" w:themeColor="text1"/>
              </w:rPr>
              <w:lastRenderedPageBreak/>
              <w:t xml:space="preserve">vajadzīgi, jo šī peļņa iepriekš nav aplikta ne ar iedzīvotāju ienākuma nodokli, ne ar uzņēmumu ienākuma nodokli. </w:t>
            </w:r>
          </w:p>
          <w:p w14:paraId="0CC1E971" w14:textId="77777777" w:rsidR="001C73AF" w:rsidRPr="00D37BB8" w:rsidRDefault="001C73AF" w:rsidP="006B4097">
            <w:pPr>
              <w:tabs>
                <w:tab w:val="left" w:pos="2127"/>
                <w:tab w:val="center" w:pos="4153"/>
                <w:tab w:val="left" w:pos="6096"/>
                <w:tab w:val="right" w:pos="8306"/>
              </w:tabs>
              <w:ind w:left="255" w:right="140"/>
              <w:jc w:val="both"/>
            </w:pPr>
          </w:p>
          <w:p w14:paraId="062552D8" w14:textId="77777777" w:rsidR="00531E58" w:rsidRPr="00D37BB8" w:rsidRDefault="000869D1" w:rsidP="006B4097">
            <w:pPr>
              <w:tabs>
                <w:tab w:val="left" w:pos="2127"/>
                <w:tab w:val="center" w:pos="4153"/>
                <w:tab w:val="left" w:pos="6096"/>
                <w:tab w:val="right" w:pos="8306"/>
              </w:tabs>
              <w:ind w:left="255" w:right="140"/>
              <w:jc w:val="both"/>
            </w:pPr>
            <w:r w:rsidRPr="00D37BB8">
              <w:rPr>
                <w:i/>
              </w:rPr>
              <w:t>Dividendēm pielīdzināmais ienākums no individuālā uzņēmuma (zemnieka vai zvejnieka saimniecības)</w:t>
            </w:r>
            <w:r w:rsidR="00B412E9" w:rsidRPr="00D37BB8">
              <w:t>.</w:t>
            </w:r>
          </w:p>
          <w:p w14:paraId="60E7E42F" w14:textId="77777777" w:rsidR="000869D1" w:rsidRPr="00D37BB8" w:rsidRDefault="00B8256E" w:rsidP="006B4097">
            <w:pPr>
              <w:tabs>
                <w:tab w:val="left" w:pos="2127"/>
                <w:tab w:val="center" w:pos="4153"/>
                <w:tab w:val="left" w:pos="6096"/>
                <w:tab w:val="right" w:pos="8306"/>
              </w:tabs>
              <w:ind w:left="255" w:right="140"/>
              <w:jc w:val="both"/>
            </w:pPr>
            <w:r w:rsidRPr="00D37BB8">
              <w:t xml:space="preserve">Individuālais uzņēmums (zemnieka vai zvejnieka saimniecība), kas ir iedzīvotāju ienākuma nodokļa maksātāja, turpmāk saskaņā ar Uzņēmumu ienākuma nodokļa likumu maksās uzņēmumu ienākuma nodokli par dividendēm pielīdzināmām izmaksām. </w:t>
            </w:r>
            <w:r w:rsidR="00483A06" w:rsidRPr="00D37BB8">
              <w:t>Tādējādi likumprojektā tiek saglabāta pieeja, ka arī dividendēm pielīdzināms ienākums, kuru saņem no individuālā uzņē</w:t>
            </w:r>
            <w:r w:rsidR="00B412E9" w:rsidRPr="00D37BB8">
              <w:t>mu</w:t>
            </w:r>
            <w:r w:rsidR="00483A06" w:rsidRPr="00D37BB8">
              <w:t>ma (zemnieka vai zvejnieka saimniecības), nav apliekams ar iedzīvotāju ienākuma nodokli, ja par to maksā uzņēmumu ienākuma nodokli saskaņā ar Uzņēmumu ienākuma nodokļa likumu. Attiecībā uz dividendēm pielīdzināmo ienākumu, kuru individuālais uzņēmums (zemnieka vai zvejnieka saimniecība) izmaksā no peļņas, kas radusies līdz 2017.gada 31.decembrim, piemēro tādus pašus pārejas noteikumus kā dividendēm (</w:t>
            </w:r>
            <w:r w:rsidR="00483A06" w:rsidRPr="00D37BB8">
              <w:rPr>
                <w:i/>
              </w:rPr>
              <w:t>skat. iepriekš</w:t>
            </w:r>
            <w:r w:rsidR="00483A06" w:rsidRPr="00D37BB8">
              <w:t>).</w:t>
            </w:r>
          </w:p>
          <w:p w14:paraId="3B29D65C" w14:textId="77777777" w:rsidR="00BB1C0A" w:rsidRPr="00D37BB8" w:rsidRDefault="00BB1C0A" w:rsidP="006B4097">
            <w:pPr>
              <w:tabs>
                <w:tab w:val="left" w:pos="2127"/>
                <w:tab w:val="center" w:pos="4153"/>
                <w:tab w:val="left" w:pos="6096"/>
                <w:tab w:val="right" w:pos="8306"/>
              </w:tabs>
              <w:ind w:left="255" w:right="140"/>
              <w:jc w:val="both"/>
            </w:pPr>
          </w:p>
          <w:p w14:paraId="4F1167DB" w14:textId="0A3E8D69" w:rsidR="00BB1C0A" w:rsidRPr="00D37BB8" w:rsidRDefault="00BB1C0A" w:rsidP="006B4097">
            <w:pPr>
              <w:ind w:left="255" w:right="140"/>
              <w:jc w:val="both"/>
              <w:rPr>
                <w:rFonts w:eastAsiaTheme="minorHAnsi"/>
                <w:i/>
                <w:u w:val="single"/>
                <w:lang w:eastAsia="en-US"/>
              </w:rPr>
            </w:pPr>
            <w:r w:rsidRPr="00D37BB8">
              <w:rPr>
                <w:rFonts w:eastAsiaTheme="minorHAnsi"/>
                <w:i/>
                <w:u w:val="single"/>
                <w:lang w:eastAsia="en-US"/>
              </w:rPr>
              <w:t>Grozījumi likuma 11.panta trešās daļas 1., 4.punktā un ceturtajā daļā, 11.</w:t>
            </w:r>
            <w:r w:rsidRPr="00D37BB8">
              <w:rPr>
                <w:rFonts w:eastAsiaTheme="minorHAnsi"/>
                <w:i/>
                <w:u w:val="single"/>
                <w:vertAlign w:val="superscript"/>
                <w:lang w:eastAsia="en-US"/>
              </w:rPr>
              <w:t xml:space="preserve">1 </w:t>
            </w:r>
            <w:r w:rsidRPr="00D37BB8">
              <w:rPr>
                <w:rFonts w:eastAsiaTheme="minorHAnsi"/>
                <w:i/>
                <w:u w:val="single"/>
                <w:lang w:eastAsia="en-US"/>
              </w:rPr>
              <w:t>panta trešajā daļā, ceturtās daļas 1., 3., 7., 11.punktā un piektajā daļā, 11.</w:t>
            </w:r>
            <w:r w:rsidRPr="00D37BB8">
              <w:rPr>
                <w:rFonts w:eastAsiaTheme="minorHAnsi"/>
                <w:i/>
                <w:u w:val="single"/>
                <w:vertAlign w:val="superscript"/>
                <w:lang w:eastAsia="en-US"/>
              </w:rPr>
              <w:t xml:space="preserve">3 </w:t>
            </w:r>
            <w:r w:rsidRPr="00D37BB8">
              <w:rPr>
                <w:rFonts w:eastAsiaTheme="minorHAnsi"/>
                <w:i/>
                <w:u w:val="single"/>
                <w:lang w:eastAsia="en-US"/>
              </w:rPr>
              <w:t>panta pirmās daļas 5.punktā un trešajā daļā, 11.</w:t>
            </w:r>
            <w:r w:rsidRPr="00D37BB8">
              <w:rPr>
                <w:rFonts w:eastAsiaTheme="minorHAnsi"/>
                <w:i/>
                <w:u w:val="single"/>
                <w:vertAlign w:val="superscript"/>
                <w:lang w:eastAsia="en-US"/>
              </w:rPr>
              <w:t xml:space="preserve">5 </w:t>
            </w:r>
            <w:r w:rsidRPr="00D37BB8">
              <w:rPr>
                <w:rFonts w:eastAsiaTheme="minorHAnsi"/>
                <w:i/>
                <w:u w:val="single"/>
                <w:lang w:eastAsia="en-US"/>
              </w:rPr>
              <w:t>panta pirmajā daļā, likuma 11.</w:t>
            </w:r>
            <w:r w:rsidRPr="00D37BB8">
              <w:rPr>
                <w:rFonts w:eastAsiaTheme="minorHAnsi"/>
                <w:i/>
                <w:u w:val="single"/>
                <w:vertAlign w:val="superscript"/>
                <w:lang w:eastAsia="en-US"/>
              </w:rPr>
              <w:t>5</w:t>
            </w:r>
            <w:r w:rsidRPr="00D37BB8">
              <w:rPr>
                <w:rFonts w:eastAsiaTheme="minorHAnsi"/>
                <w:i/>
                <w:u w:val="single"/>
                <w:lang w:eastAsia="en-US"/>
              </w:rPr>
              <w:t xml:space="preserve"> panta 1.</w:t>
            </w:r>
            <w:r w:rsidRPr="00D37BB8">
              <w:rPr>
                <w:rFonts w:eastAsiaTheme="minorHAnsi"/>
                <w:i/>
                <w:u w:val="single"/>
                <w:vertAlign w:val="superscript"/>
                <w:lang w:eastAsia="en-US"/>
              </w:rPr>
              <w:t>1</w:t>
            </w:r>
            <w:r w:rsidRPr="00D37BB8">
              <w:rPr>
                <w:rFonts w:eastAsiaTheme="minorHAnsi"/>
                <w:i/>
                <w:u w:val="single"/>
                <w:lang w:eastAsia="en-US"/>
              </w:rPr>
              <w:t>, 1.</w:t>
            </w:r>
            <w:r w:rsidRPr="00D37BB8">
              <w:rPr>
                <w:rFonts w:eastAsiaTheme="minorHAnsi"/>
                <w:i/>
                <w:u w:val="single"/>
                <w:vertAlign w:val="superscript"/>
                <w:lang w:eastAsia="en-US"/>
              </w:rPr>
              <w:t>2</w:t>
            </w:r>
            <w:r w:rsidRPr="00D37BB8">
              <w:rPr>
                <w:rFonts w:eastAsiaTheme="minorHAnsi"/>
                <w:i/>
                <w:u w:val="single"/>
                <w:lang w:eastAsia="en-US"/>
              </w:rPr>
              <w:t>, 1.</w:t>
            </w:r>
            <w:r w:rsidRPr="00D37BB8">
              <w:rPr>
                <w:rFonts w:eastAsiaTheme="minorHAnsi"/>
                <w:i/>
                <w:u w:val="single"/>
                <w:vertAlign w:val="superscript"/>
                <w:lang w:eastAsia="en-US"/>
              </w:rPr>
              <w:t>3</w:t>
            </w:r>
            <w:r w:rsidR="00D474E4" w:rsidRPr="00D37BB8">
              <w:rPr>
                <w:rFonts w:eastAsiaTheme="minorHAnsi"/>
                <w:i/>
                <w:u w:val="single"/>
                <w:lang w:eastAsia="en-US"/>
              </w:rPr>
              <w:t xml:space="preserve">, </w:t>
            </w:r>
            <w:r w:rsidRPr="00D37BB8">
              <w:rPr>
                <w:rFonts w:eastAsiaTheme="minorHAnsi"/>
                <w:i/>
                <w:u w:val="single"/>
                <w:lang w:eastAsia="en-US"/>
              </w:rPr>
              <w:t xml:space="preserve"> </w:t>
            </w:r>
            <w:r w:rsidR="00D474E4" w:rsidRPr="00D37BB8">
              <w:rPr>
                <w:rFonts w:eastAsiaTheme="minorHAnsi"/>
                <w:i/>
                <w:u w:val="single"/>
                <w:lang w:eastAsia="en-US"/>
              </w:rPr>
              <w:t>1.</w:t>
            </w:r>
            <w:r w:rsidR="00D474E4" w:rsidRPr="00D37BB8">
              <w:rPr>
                <w:rFonts w:eastAsiaTheme="minorHAnsi"/>
                <w:i/>
                <w:u w:val="single"/>
                <w:vertAlign w:val="superscript"/>
                <w:lang w:eastAsia="en-US"/>
              </w:rPr>
              <w:t>4</w:t>
            </w:r>
            <w:r w:rsidR="00D474E4" w:rsidRPr="00D37BB8">
              <w:rPr>
                <w:rFonts w:eastAsiaTheme="minorHAnsi"/>
                <w:i/>
                <w:u w:val="single"/>
                <w:lang w:eastAsia="en-US"/>
              </w:rPr>
              <w:t xml:space="preserve"> </w:t>
            </w:r>
            <w:r w:rsidRPr="00D37BB8">
              <w:rPr>
                <w:rFonts w:eastAsiaTheme="minorHAnsi"/>
                <w:i/>
                <w:u w:val="single"/>
                <w:lang w:eastAsia="en-US"/>
              </w:rPr>
              <w:t>un 1.</w:t>
            </w:r>
            <w:r w:rsidR="00D474E4" w:rsidRPr="00D37BB8">
              <w:rPr>
                <w:rFonts w:eastAsiaTheme="minorHAnsi"/>
                <w:i/>
                <w:u w:val="single"/>
                <w:vertAlign w:val="superscript"/>
                <w:lang w:eastAsia="en-US"/>
              </w:rPr>
              <w:t>5</w:t>
            </w:r>
            <w:r w:rsidRPr="00D37BB8">
              <w:rPr>
                <w:rFonts w:eastAsiaTheme="minorHAnsi"/>
                <w:i/>
                <w:u w:val="single"/>
                <w:lang w:eastAsia="en-US"/>
              </w:rPr>
              <w:t xml:space="preserve"> daļa, grozījumi likuma 11.</w:t>
            </w:r>
            <w:r w:rsidRPr="00D37BB8">
              <w:rPr>
                <w:rFonts w:eastAsiaTheme="minorHAnsi"/>
                <w:i/>
                <w:u w:val="single"/>
                <w:vertAlign w:val="superscript"/>
                <w:lang w:eastAsia="en-US"/>
              </w:rPr>
              <w:t>5</w:t>
            </w:r>
            <w:r w:rsidRPr="00D37BB8">
              <w:rPr>
                <w:rFonts w:eastAsiaTheme="minorHAnsi"/>
                <w:i/>
                <w:u w:val="single"/>
                <w:lang w:eastAsia="en-US"/>
              </w:rPr>
              <w:t xml:space="preserve"> panta astotajā da</w:t>
            </w:r>
            <w:r w:rsidR="00143160" w:rsidRPr="00D37BB8">
              <w:rPr>
                <w:rFonts w:eastAsiaTheme="minorHAnsi"/>
                <w:i/>
                <w:u w:val="single"/>
                <w:lang w:eastAsia="en-US"/>
              </w:rPr>
              <w:t>ļā, likuma 39.panta vienpadsmitais</w:t>
            </w:r>
            <w:r w:rsidRPr="00D37BB8">
              <w:rPr>
                <w:rFonts w:eastAsiaTheme="minorHAnsi"/>
                <w:i/>
                <w:u w:val="single"/>
                <w:lang w:eastAsia="en-US"/>
              </w:rPr>
              <w:t xml:space="preserve"> </w:t>
            </w:r>
            <w:r w:rsidR="00143160" w:rsidRPr="00D37BB8">
              <w:rPr>
                <w:rFonts w:eastAsiaTheme="minorHAnsi"/>
                <w:i/>
                <w:u w:val="single"/>
                <w:lang w:eastAsia="en-US"/>
              </w:rPr>
              <w:t>punkts</w:t>
            </w:r>
            <w:r w:rsidRPr="00D37BB8">
              <w:rPr>
                <w:rFonts w:eastAsiaTheme="minorHAnsi"/>
                <w:i/>
                <w:u w:val="single"/>
                <w:lang w:eastAsia="en-US"/>
              </w:rPr>
              <w:t xml:space="preserve">, pārejas noteikumu </w:t>
            </w:r>
            <w:r w:rsidR="00C94972" w:rsidRPr="00D37BB8">
              <w:rPr>
                <w:rFonts w:eastAsiaTheme="minorHAnsi"/>
                <w:i/>
                <w:u w:val="single"/>
                <w:lang w:eastAsia="en-US"/>
              </w:rPr>
              <w:t>128</w:t>
            </w:r>
            <w:r w:rsidRPr="00D37BB8">
              <w:rPr>
                <w:rFonts w:eastAsiaTheme="minorHAnsi"/>
                <w:i/>
                <w:u w:val="single"/>
                <w:lang w:eastAsia="en-US"/>
              </w:rPr>
              <w:t>.punkts</w:t>
            </w:r>
          </w:p>
          <w:p w14:paraId="69CA0DA1" w14:textId="77777777" w:rsidR="00BB1C0A" w:rsidRPr="00D37BB8" w:rsidRDefault="00BB1C0A" w:rsidP="006B4097">
            <w:pPr>
              <w:ind w:left="255" w:right="140"/>
              <w:jc w:val="both"/>
              <w:rPr>
                <w:rFonts w:eastAsiaTheme="minorHAnsi"/>
                <w:lang w:eastAsia="en-US"/>
              </w:rPr>
            </w:pPr>
            <w:r w:rsidRPr="00D37BB8">
              <w:rPr>
                <w:rFonts w:eastAsiaTheme="minorHAnsi"/>
                <w:lang w:eastAsia="en-US"/>
              </w:rPr>
              <w:t xml:space="preserve">Šobrīd saimnieciskajā darbībā izmantoto pamatlīdzekļu nolietojums tiek noteikts saskaņā ar likumu “Par uzņēmumu ienākuma nodokli”. Jaunajā Uzņēmumu ienākuma nodokļa likumā vairs netiks iekļautas tiesību normas, kas nosaka pamatlīdzekļu nolietojuma noteikšanas un aprēķināšanas  kārtību. </w:t>
            </w:r>
          </w:p>
          <w:p w14:paraId="0779C7DD" w14:textId="77777777" w:rsidR="00BB1C0A" w:rsidRPr="00D37BB8" w:rsidRDefault="00BB1C0A" w:rsidP="006B4097">
            <w:pPr>
              <w:ind w:left="255" w:right="140"/>
              <w:jc w:val="both"/>
              <w:rPr>
                <w:rFonts w:eastAsiaTheme="minorHAnsi"/>
                <w:lang w:eastAsia="en-US"/>
              </w:rPr>
            </w:pPr>
          </w:p>
          <w:p w14:paraId="65F50BC0" w14:textId="77777777" w:rsidR="00BB1C0A" w:rsidRPr="00D37BB8" w:rsidRDefault="00BB1C0A" w:rsidP="006B4097">
            <w:pPr>
              <w:ind w:left="255" w:right="140"/>
              <w:jc w:val="both"/>
              <w:rPr>
                <w:rFonts w:eastAsiaTheme="minorHAnsi"/>
                <w:lang w:eastAsia="en-US"/>
              </w:rPr>
            </w:pPr>
            <w:r w:rsidRPr="00D37BB8">
              <w:rPr>
                <w:rFonts w:eastAsiaTheme="minorHAnsi"/>
                <w:lang w:eastAsia="en-US"/>
              </w:rPr>
              <w:t>Tādējādi ar likumprojektu ir nepieciešams noteikt (integrēt likumā “Par iedzīvotāju ienākuma nodokli”) normatīvo regulējumu attiecībā uz pamatlīdzekļu nolietojuma noteikšanu (likumu “Par uzņēmumu ienākuma nodokli” 13.pants), kā arī saskaņot jau likumā iekļautās atsevišķās tiesību normas ar jaunajā Uzņēmumu ienākuma nodokļa likumā iekļautajām tiesību normām.</w:t>
            </w:r>
          </w:p>
          <w:p w14:paraId="04D0B3DF" w14:textId="77777777" w:rsidR="00BB1C0A" w:rsidRPr="00D37BB8" w:rsidRDefault="00BB1C0A" w:rsidP="006B4097">
            <w:pPr>
              <w:ind w:left="255" w:right="140"/>
              <w:jc w:val="both"/>
              <w:rPr>
                <w:rFonts w:eastAsiaTheme="minorHAnsi"/>
                <w:lang w:eastAsia="en-US"/>
              </w:rPr>
            </w:pPr>
          </w:p>
          <w:p w14:paraId="559133CC" w14:textId="46DC1E4A" w:rsidR="00BB1C0A" w:rsidRPr="00D37BB8" w:rsidRDefault="00BB1C0A" w:rsidP="006B4097">
            <w:pPr>
              <w:ind w:left="255" w:right="140"/>
              <w:jc w:val="both"/>
              <w:rPr>
                <w:rFonts w:eastAsiaTheme="minorHAnsi"/>
                <w:lang w:eastAsia="en-US"/>
              </w:rPr>
            </w:pPr>
            <w:r w:rsidRPr="00D37BB8">
              <w:rPr>
                <w:rFonts w:eastAsiaTheme="minorHAnsi"/>
                <w:lang w:eastAsia="en-US"/>
              </w:rPr>
              <w:t xml:space="preserve">Attiecībā uz pamatlīdzekļu nolietojuma noteikšanu, likumprojekts paredz, ka pamatlīdzekļiem (pamatlīdzekļu nolietojumu noraksta, ja tā iegādes vērtība pārsniedz 1000 </w:t>
            </w:r>
            <w:proofErr w:type="spellStart"/>
            <w:r w:rsidR="005A1D33" w:rsidRPr="00D37BB8">
              <w:rPr>
                <w:rFonts w:eastAsiaTheme="minorHAnsi"/>
                <w:i/>
                <w:lang w:eastAsia="en-US"/>
              </w:rPr>
              <w:t>euro</w:t>
            </w:r>
            <w:proofErr w:type="spellEnd"/>
            <w:r w:rsidRPr="00D37BB8">
              <w:rPr>
                <w:rFonts w:eastAsiaTheme="minorHAnsi"/>
                <w:lang w:eastAsia="en-US"/>
              </w:rPr>
              <w:t xml:space="preserve">), kuri iegādāti pēc 2017.gada 31.decembra, pamatlīdzekļu nolietojumu aprēķina par katru pamatlīdzekli (atsevišķi). Maksātājam šādu pamatlīdzekļu nolietojuma noteikšanai būs tiesības izvēlēties vienu no divām likumā minētajām metodēm – </w:t>
            </w:r>
            <w:proofErr w:type="spellStart"/>
            <w:r w:rsidRPr="00D37BB8">
              <w:rPr>
                <w:rFonts w:eastAsiaTheme="minorHAnsi"/>
                <w:lang w:eastAsia="en-US"/>
              </w:rPr>
              <w:t>degresīvo</w:t>
            </w:r>
            <w:proofErr w:type="spellEnd"/>
            <w:r w:rsidRPr="00D37BB8">
              <w:rPr>
                <w:rFonts w:eastAsiaTheme="minorHAnsi"/>
                <w:lang w:eastAsia="en-US"/>
              </w:rPr>
              <w:t xml:space="preserve"> vai lineāro metodi, kuru tam būs tiesības mainīt ne biežāk kā vienu reizi 10 gados, norādot maiņas nepieciešamības pamatojumu.</w:t>
            </w:r>
          </w:p>
          <w:p w14:paraId="3E7D0562" w14:textId="77777777" w:rsidR="00BB1C0A" w:rsidRPr="00D37BB8" w:rsidRDefault="00BB1C0A" w:rsidP="006B4097">
            <w:pPr>
              <w:ind w:left="255" w:right="140"/>
              <w:jc w:val="both"/>
              <w:rPr>
                <w:rFonts w:eastAsiaTheme="minorHAnsi"/>
                <w:lang w:eastAsia="en-US"/>
              </w:rPr>
            </w:pPr>
          </w:p>
          <w:p w14:paraId="5D444622" w14:textId="77777777" w:rsidR="001442F5" w:rsidRPr="00D37BB8" w:rsidRDefault="00BB1C0A" w:rsidP="006B4097">
            <w:pPr>
              <w:tabs>
                <w:tab w:val="left" w:pos="2127"/>
                <w:tab w:val="center" w:pos="4153"/>
                <w:tab w:val="left" w:pos="6096"/>
                <w:tab w:val="right" w:pos="8306"/>
              </w:tabs>
              <w:ind w:left="255" w:right="140"/>
              <w:jc w:val="both"/>
            </w:pPr>
            <w:r w:rsidRPr="00D37BB8">
              <w:rPr>
                <w:rFonts w:eastAsiaTheme="minorHAnsi"/>
                <w:lang w:eastAsia="en-US"/>
              </w:rPr>
              <w:lastRenderedPageBreak/>
              <w:t>Savukārt par pamatlīdzekļiem, kuri ir iegādāti līdz 2017.gada 31.decembrim, pamatlīdzekļa nolietojuma aprēķināšanai, maksātājs turpina piemērot līdz 2017.gada 31.decembrim piemēroto pamatlīdzekļu nolietojuma noteikšanas kārtību (likuma “Par uzņēmumu ienākuma nodokli” 13.pantā, redakcijā, kas bija spēkā līdz 2017.gada 31.decembrim, noteikto kārtību) vai izvēlas tādu kārtību, kurā līdz 2017.gada 31.decembrim piemērotajai pamatlīdzekļu nolietojuma noteikšanas kārtībai nepiemēro likuma “Par uzņēmumu ienākuma nodokli” 13.panta pirmās daļas 3. un 3.</w:t>
            </w:r>
            <w:r w:rsidRPr="00D37BB8">
              <w:rPr>
                <w:rFonts w:eastAsiaTheme="minorHAnsi"/>
                <w:vertAlign w:val="superscript"/>
                <w:lang w:eastAsia="en-US"/>
              </w:rPr>
              <w:t>1</w:t>
            </w:r>
            <w:r w:rsidRPr="00D37BB8">
              <w:rPr>
                <w:rFonts w:eastAsiaTheme="minorHAnsi"/>
                <w:lang w:eastAsia="en-US"/>
              </w:rPr>
              <w:t xml:space="preserve"> punktā  (redakcijā, kas bija spēkā līdz 2017.gada 31.decembrim) likmei noteikto divkāršo apmēru un koeficientu. Maksātājam līdz 2017.gada 31.decembrim iegādātiem pamatlīdzekļiem, pēc pārejas noteikumos noteiktās metodes izvēles, vairs nebūs tiesības turpmāk mainīt izvēlēto pamatlīdzekļu nolietojuma noteikšanas kārtību.</w:t>
            </w:r>
          </w:p>
          <w:p w14:paraId="1F4375C6" w14:textId="77777777" w:rsidR="00531E58" w:rsidRPr="00D37BB8" w:rsidRDefault="00531E58" w:rsidP="006B4097">
            <w:pPr>
              <w:tabs>
                <w:tab w:val="left" w:pos="2127"/>
                <w:tab w:val="center" w:pos="4153"/>
                <w:tab w:val="left" w:pos="6096"/>
                <w:tab w:val="right" w:pos="8306"/>
              </w:tabs>
              <w:ind w:left="255" w:right="140"/>
              <w:jc w:val="both"/>
              <w:rPr>
                <w:u w:val="single"/>
              </w:rPr>
            </w:pPr>
          </w:p>
          <w:p w14:paraId="7A09E439" w14:textId="38C8D5DA" w:rsidR="00F87279" w:rsidRPr="00D37BB8" w:rsidRDefault="00BA5905" w:rsidP="006B4097">
            <w:pPr>
              <w:tabs>
                <w:tab w:val="left" w:pos="2127"/>
                <w:tab w:val="center" w:pos="4153"/>
                <w:tab w:val="left" w:pos="6096"/>
                <w:tab w:val="right" w:pos="8306"/>
              </w:tabs>
              <w:ind w:left="255" w:right="140"/>
              <w:jc w:val="both"/>
              <w:rPr>
                <w:u w:val="single"/>
              </w:rPr>
            </w:pPr>
            <w:r w:rsidRPr="00D37BB8">
              <w:rPr>
                <w:i/>
                <w:u w:val="single"/>
              </w:rPr>
              <w:t>Grozījumi likuma 3</w:t>
            </w:r>
            <w:r w:rsidR="000E2287" w:rsidRPr="00D37BB8">
              <w:rPr>
                <w:i/>
                <w:u w:val="single"/>
              </w:rPr>
              <w:t xml:space="preserve">.panta </w:t>
            </w:r>
            <w:r w:rsidRPr="00D37BB8">
              <w:rPr>
                <w:i/>
                <w:u w:val="single"/>
              </w:rPr>
              <w:t>otrās</w:t>
            </w:r>
            <w:r w:rsidR="00350066" w:rsidRPr="00D37BB8">
              <w:rPr>
                <w:i/>
                <w:u w:val="single"/>
              </w:rPr>
              <w:t xml:space="preserve"> </w:t>
            </w:r>
            <w:r w:rsidR="000E2287" w:rsidRPr="00D37BB8">
              <w:rPr>
                <w:i/>
                <w:u w:val="single"/>
              </w:rPr>
              <w:t>daļa</w:t>
            </w:r>
            <w:r w:rsidRPr="00D37BB8">
              <w:rPr>
                <w:i/>
                <w:u w:val="single"/>
              </w:rPr>
              <w:t>s 2.punktā</w:t>
            </w:r>
            <w:r w:rsidR="000E2287" w:rsidRPr="00D37BB8">
              <w:rPr>
                <w:i/>
                <w:u w:val="single"/>
              </w:rPr>
              <w:t xml:space="preserve">, </w:t>
            </w:r>
            <w:r w:rsidRPr="00D37BB8">
              <w:rPr>
                <w:i/>
                <w:u w:val="single"/>
              </w:rPr>
              <w:t>12.panta pirmajā un 1.</w:t>
            </w:r>
            <w:r w:rsidRPr="00D37BB8">
              <w:rPr>
                <w:i/>
                <w:u w:val="single"/>
                <w:vertAlign w:val="superscript"/>
              </w:rPr>
              <w:t xml:space="preserve">1 </w:t>
            </w:r>
            <w:r w:rsidRPr="00D37BB8">
              <w:rPr>
                <w:i/>
                <w:u w:val="single"/>
              </w:rPr>
              <w:t>daļā,</w:t>
            </w:r>
            <w:r w:rsidRPr="00D37BB8">
              <w:rPr>
                <w:i/>
                <w:u w:val="single"/>
                <w:vertAlign w:val="superscript"/>
              </w:rPr>
              <w:t xml:space="preserve"> </w:t>
            </w:r>
            <w:r w:rsidRPr="00D37BB8">
              <w:rPr>
                <w:i/>
                <w:u w:val="single"/>
              </w:rPr>
              <w:t>likuma</w:t>
            </w:r>
            <w:r w:rsidRPr="00D37BB8">
              <w:rPr>
                <w:i/>
                <w:u w:val="single"/>
                <w:vertAlign w:val="superscript"/>
              </w:rPr>
              <w:t xml:space="preserve"> </w:t>
            </w:r>
            <w:r w:rsidR="004670CB" w:rsidRPr="00D37BB8">
              <w:rPr>
                <w:i/>
                <w:u w:val="single"/>
              </w:rPr>
              <w:t xml:space="preserve">12.panta </w:t>
            </w:r>
            <w:r w:rsidR="001362A6" w:rsidRPr="00D37BB8">
              <w:rPr>
                <w:i/>
                <w:u w:val="single"/>
              </w:rPr>
              <w:t>1.</w:t>
            </w:r>
            <w:r w:rsidR="001362A6" w:rsidRPr="00D37BB8">
              <w:rPr>
                <w:i/>
                <w:u w:val="single"/>
                <w:vertAlign w:val="superscript"/>
              </w:rPr>
              <w:t>2</w:t>
            </w:r>
            <w:r w:rsidR="001362A6" w:rsidRPr="00D37BB8">
              <w:rPr>
                <w:i/>
                <w:u w:val="single"/>
              </w:rPr>
              <w:t xml:space="preserve">, </w:t>
            </w:r>
            <w:r w:rsidRPr="00D37BB8">
              <w:rPr>
                <w:i/>
                <w:u w:val="single"/>
              </w:rPr>
              <w:t>1.</w:t>
            </w:r>
            <w:r w:rsidRPr="00D37BB8">
              <w:rPr>
                <w:i/>
                <w:u w:val="single"/>
                <w:vertAlign w:val="superscript"/>
              </w:rPr>
              <w:t>4</w:t>
            </w:r>
            <w:r w:rsidRPr="00D37BB8">
              <w:rPr>
                <w:i/>
                <w:u w:val="single"/>
              </w:rPr>
              <w:t>, 1.</w:t>
            </w:r>
            <w:r w:rsidRPr="00D37BB8">
              <w:rPr>
                <w:i/>
                <w:u w:val="single"/>
                <w:vertAlign w:val="superscript"/>
              </w:rPr>
              <w:t>5</w:t>
            </w:r>
            <w:r w:rsidR="00521316" w:rsidRPr="00D37BB8">
              <w:rPr>
                <w:i/>
                <w:u w:val="single"/>
              </w:rPr>
              <w:t xml:space="preserve">, </w:t>
            </w:r>
            <w:r w:rsidRPr="00D37BB8">
              <w:rPr>
                <w:i/>
                <w:u w:val="single"/>
                <w:vertAlign w:val="superscript"/>
              </w:rPr>
              <w:t xml:space="preserve"> </w:t>
            </w:r>
            <w:r w:rsidR="00521316" w:rsidRPr="00D37BB8">
              <w:rPr>
                <w:i/>
                <w:u w:val="single"/>
              </w:rPr>
              <w:t>1.</w:t>
            </w:r>
            <w:r w:rsidR="00521316" w:rsidRPr="00D37BB8">
              <w:rPr>
                <w:i/>
                <w:u w:val="single"/>
                <w:vertAlign w:val="superscript"/>
              </w:rPr>
              <w:t xml:space="preserve">6 </w:t>
            </w:r>
            <w:r w:rsidRPr="00D37BB8">
              <w:rPr>
                <w:i/>
                <w:u w:val="single"/>
              </w:rPr>
              <w:t>un 1.</w:t>
            </w:r>
            <w:r w:rsidR="00521316" w:rsidRPr="00D37BB8">
              <w:rPr>
                <w:i/>
                <w:u w:val="single"/>
                <w:vertAlign w:val="superscript"/>
              </w:rPr>
              <w:t>7</w:t>
            </w:r>
            <w:r w:rsidRPr="00D37BB8">
              <w:rPr>
                <w:i/>
                <w:u w:val="single"/>
                <w:vertAlign w:val="superscript"/>
              </w:rPr>
              <w:t xml:space="preserve"> </w:t>
            </w:r>
            <w:r w:rsidRPr="00D37BB8">
              <w:rPr>
                <w:i/>
                <w:u w:val="single"/>
              </w:rPr>
              <w:t xml:space="preserve">daļa, </w:t>
            </w:r>
            <w:r w:rsidR="000E2287" w:rsidRPr="00D37BB8">
              <w:rPr>
                <w:i/>
                <w:u w:val="single"/>
              </w:rPr>
              <w:t xml:space="preserve">grozījumi </w:t>
            </w:r>
            <w:r w:rsidR="00C819C6" w:rsidRPr="00D37BB8">
              <w:rPr>
                <w:i/>
                <w:u w:val="single"/>
              </w:rPr>
              <w:t xml:space="preserve">likuma </w:t>
            </w:r>
            <w:r w:rsidRPr="00D37BB8">
              <w:rPr>
                <w:i/>
                <w:u w:val="single"/>
              </w:rPr>
              <w:t>17</w:t>
            </w:r>
            <w:r w:rsidR="000E2287" w:rsidRPr="00D37BB8">
              <w:rPr>
                <w:i/>
                <w:u w:val="single"/>
              </w:rPr>
              <w:t xml:space="preserve">.panta </w:t>
            </w:r>
            <w:r w:rsidRPr="00D37BB8">
              <w:rPr>
                <w:i/>
                <w:u w:val="single"/>
              </w:rPr>
              <w:t>trešās daļas 1.punktā,</w:t>
            </w:r>
            <w:r w:rsidR="000E7BB9" w:rsidRPr="00D37BB8">
              <w:rPr>
                <w:i/>
                <w:u w:val="single"/>
              </w:rPr>
              <w:t xml:space="preserve"> 20.panta trešās daļas 3.punktā un ceturtajā daļā, </w:t>
            </w:r>
            <w:r w:rsidRPr="00D37BB8">
              <w:rPr>
                <w:i/>
                <w:u w:val="single"/>
              </w:rPr>
              <w:t>26.panta ceturtajā daļā</w:t>
            </w:r>
            <w:r w:rsidR="004670CB" w:rsidRPr="00D37BB8">
              <w:rPr>
                <w:i/>
                <w:u w:val="single"/>
              </w:rPr>
              <w:t xml:space="preserve"> </w:t>
            </w:r>
          </w:p>
          <w:p w14:paraId="688560DB" w14:textId="77777777" w:rsidR="000E2287" w:rsidRPr="00D37BB8" w:rsidRDefault="002E7E9D" w:rsidP="006B4097">
            <w:pPr>
              <w:tabs>
                <w:tab w:val="left" w:pos="2127"/>
                <w:tab w:val="center" w:pos="4153"/>
                <w:tab w:val="left" w:pos="6096"/>
                <w:tab w:val="right" w:pos="8306"/>
              </w:tabs>
              <w:ind w:left="255" w:right="140"/>
              <w:jc w:val="both"/>
              <w:rPr>
                <w:i/>
              </w:rPr>
            </w:pPr>
            <w:r w:rsidRPr="00D37BB8">
              <w:t>(</w:t>
            </w:r>
            <w:r w:rsidR="00BA5905" w:rsidRPr="00D37BB8">
              <w:rPr>
                <w:i/>
              </w:rPr>
              <w:t>Valsts nodokļu politikas pamatnostād</w:t>
            </w:r>
            <w:r w:rsidRPr="00D37BB8">
              <w:rPr>
                <w:i/>
              </w:rPr>
              <w:t>nēs</w:t>
            </w:r>
            <w:r w:rsidR="00BA5905" w:rsidRPr="00D37BB8">
              <w:rPr>
                <w:i/>
              </w:rPr>
              <w:t xml:space="preserve"> 2018.-2021.gadam </w:t>
            </w:r>
            <w:r w:rsidRPr="00D37BB8">
              <w:rPr>
                <w:i/>
              </w:rPr>
              <w:t>ietvertais</w:t>
            </w:r>
            <w:r w:rsidR="00BA5905" w:rsidRPr="00D37BB8">
              <w:rPr>
                <w:i/>
              </w:rPr>
              <w:t xml:space="preserve"> 1.1.2.</w:t>
            </w:r>
            <w:r w:rsidRPr="00D37BB8">
              <w:rPr>
                <w:i/>
              </w:rPr>
              <w:t xml:space="preserve"> uzdevums)</w:t>
            </w:r>
            <w:r w:rsidR="003B6B36" w:rsidRPr="00D37BB8">
              <w:rPr>
                <w:i/>
              </w:rPr>
              <w:t>.</w:t>
            </w:r>
          </w:p>
          <w:p w14:paraId="5FE19F07" w14:textId="77777777" w:rsidR="009A35C1" w:rsidRPr="00D37BB8" w:rsidRDefault="002E7E9D" w:rsidP="006B4097">
            <w:pPr>
              <w:shd w:val="clear" w:color="auto" w:fill="FFFFFF"/>
              <w:ind w:left="255" w:right="140"/>
              <w:jc w:val="both"/>
              <w:rPr>
                <w:color w:val="000000"/>
              </w:rPr>
            </w:pPr>
            <w:r w:rsidRPr="00D37BB8">
              <w:rPr>
                <w:color w:val="000000"/>
              </w:rPr>
              <w:t xml:space="preserve">Likumprojekts paredz ar 2018.gadu aizstāt minimālo mēneša neapliekamo minimumu ar Valsts ieņēmumu dienesta (turpmāk – VID) prognozēto mēneša neapliekamo minimumu. Tādējādi turpmāk visām personām </w:t>
            </w:r>
            <w:r w:rsidR="009A35C1" w:rsidRPr="00D37BB8">
              <w:rPr>
                <w:color w:val="000000"/>
              </w:rPr>
              <w:t xml:space="preserve">taksācijas gada laikā </w:t>
            </w:r>
            <w:r w:rsidRPr="00D37BB8">
              <w:rPr>
                <w:color w:val="000000"/>
              </w:rPr>
              <w:t xml:space="preserve">tiks piemērots nevis minimālais mēneša neapliekamais minimums, bet gan </w:t>
            </w:r>
            <w:r w:rsidR="009A35C1" w:rsidRPr="00D37BB8">
              <w:rPr>
                <w:color w:val="000000"/>
              </w:rPr>
              <w:t>VID prognozētais mēneša neapliekamais minimums ienākuma gūšanas vietā</w:t>
            </w:r>
            <w:r w:rsidRPr="00D37BB8">
              <w:rPr>
                <w:color w:val="000000"/>
              </w:rPr>
              <w:t xml:space="preserve">, </w:t>
            </w:r>
            <w:r w:rsidR="009A35C1" w:rsidRPr="00D37BB8">
              <w:rPr>
                <w:color w:val="000000"/>
              </w:rPr>
              <w:t xml:space="preserve">kur iesniegta algas nodokļa grāmatiņa (VID </w:t>
            </w:r>
            <w:r w:rsidR="003B6B36" w:rsidRPr="00D37BB8">
              <w:rPr>
                <w:color w:val="000000"/>
              </w:rPr>
              <w:t xml:space="preserve">Elektroniskās deklarēšanas sistēmā (turpmāk – </w:t>
            </w:r>
            <w:r w:rsidR="009A35C1" w:rsidRPr="00D37BB8">
              <w:rPr>
                <w:color w:val="000000"/>
              </w:rPr>
              <w:t>EDS</w:t>
            </w:r>
            <w:r w:rsidR="00140E16" w:rsidRPr="00D37BB8">
              <w:rPr>
                <w:color w:val="000000"/>
              </w:rPr>
              <w:t>)</w:t>
            </w:r>
            <w:r w:rsidR="009A35C1" w:rsidRPr="00D37BB8">
              <w:rPr>
                <w:color w:val="000000"/>
              </w:rPr>
              <w:t xml:space="preserve"> izdarīta atzīme).</w:t>
            </w:r>
          </w:p>
          <w:p w14:paraId="6D9EB7D7" w14:textId="77777777" w:rsidR="000013C1" w:rsidRPr="00D37BB8" w:rsidRDefault="000013C1" w:rsidP="006B4097">
            <w:pPr>
              <w:shd w:val="clear" w:color="auto" w:fill="FFFFFF"/>
              <w:ind w:left="255" w:right="140"/>
              <w:jc w:val="both"/>
              <w:rPr>
                <w:color w:val="000000"/>
              </w:rPr>
            </w:pPr>
            <w:r w:rsidRPr="00D37BB8">
              <w:rPr>
                <w:color w:val="000000"/>
              </w:rPr>
              <w:t>Izmaiņu mērķis – nodrošināt, ka maksātājam piemēro atbilstošu neapliekamo minimumu jau taksācijas gada laikā, nevis veic lielas atmaksas uz gada ienākumu deklarācijas pamata. Šāds risinājums ir īpaši būtisks zemāku ienākumu saņēmējiem, kam lielāks  neapliekamais minimums tiks piemērots jau taksācijas  gada laikā.</w:t>
            </w:r>
          </w:p>
          <w:p w14:paraId="7CFFAD4F" w14:textId="77777777" w:rsidR="00521316" w:rsidRPr="00D37BB8" w:rsidRDefault="009A35C1" w:rsidP="006B4097">
            <w:pPr>
              <w:ind w:left="255" w:right="140"/>
              <w:jc w:val="both"/>
              <w:rPr>
                <w:b/>
              </w:rPr>
            </w:pPr>
            <w:r w:rsidRPr="00D37BB8">
              <w:rPr>
                <w:color w:val="000000"/>
              </w:rPr>
              <w:t>VID prognozēto mēneša neapliekamo minimumu</w:t>
            </w:r>
            <w:r w:rsidR="000013C1" w:rsidRPr="00D37BB8">
              <w:rPr>
                <w:color w:val="000000"/>
              </w:rPr>
              <w:t>, pamatojoties uz VID rīcībā esošajiem datiem par maksātāja ienākumiem,</w:t>
            </w:r>
            <w:r w:rsidRPr="00D37BB8">
              <w:rPr>
                <w:color w:val="000000"/>
              </w:rPr>
              <w:t xml:space="preserve"> aprēķinās VID </w:t>
            </w:r>
            <w:r w:rsidRPr="00D37BB8">
              <w:t>par</w:t>
            </w:r>
            <w:r w:rsidR="00521316" w:rsidRPr="00D37BB8">
              <w:t xml:space="preserve"> taksācijas gada pirmo pusgadu un </w:t>
            </w:r>
            <w:r w:rsidRPr="00D37BB8">
              <w:t>pa</w:t>
            </w:r>
            <w:r w:rsidR="00521316" w:rsidRPr="00D37BB8">
              <w:t>r taksācijas gada otro pusgadu</w:t>
            </w:r>
            <w:r w:rsidR="000E7BB9" w:rsidRPr="00D37BB8">
              <w:t>.</w:t>
            </w:r>
            <w:r w:rsidR="00521316" w:rsidRPr="00D37BB8">
              <w:t xml:space="preserve"> Gadījumā, ja VID </w:t>
            </w:r>
            <w:r w:rsidR="00521316" w:rsidRPr="00D37BB8">
              <w:rPr>
                <w:color w:val="000000"/>
              </w:rPr>
              <w:t xml:space="preserve"> rīcībā nebūs dati par  maksātāja ienākumiem, </w:t>
            </w:r>
            <w:r w:rsidR="00521316" w:rsidRPr="00D37BB8">
              <w:t xml:space="preserve"> </w:t>
            </w:r>
            <w:r w:rsidR="004A3DEF" w:rsidRPr="00D37BB8">
              <w:t>VID</w:t>
            </w:r>
            <w:r w:rsidR="00521316" w:rsidRPr="00D37BB8">
              <w:t xml:space="preserve"> prognozētais mēneša neapliekamais minimums atbildīs vienai divpadsmitajai daļai no Ministru kabineta noteikumos noteiktā maksimālā gada neapliekamā minimuma, dalot to ar 2.</w:t>
            </w:r>
          </w:p>
          <w:p w14:paraId="77A8B9CA" w14:textId="77777777" w:rsidR="00521316" w:rsidRPr="00D37BB8" w:rsidRDefault="00521316" w:rsidP="006B4097">
            <w:pPr>
              <w:ind w:left="255" w:right="140"/>
              <w:jc w:val="both"/>
            </w:pPr>
            <w:r w:rsidRPr="00D37BB8">
              <w:rPr>
                <w:color w:val="000000"/>
              </w:rPr>
              <w:t>VID</w:t>
            </w:r>
            <w:r w:rsidRPr="00D37BB8">
              <w:t xml:space="preserve"> ienākuma izmaksātājam, pie kura ir iesniegta al</w:t>
            </w:r>
            <w:r w:rsidR="001D5BD8" w:rsidRPr="00D37BB8">
              <w:t>gas nodokļa grāmatiņa, nodrošinās</w:t>
            </w:r>
            <w:r w:rsidRPr="00D37BB8">
              <w:t xml:space="preserve"> ierakstu par maksātājam piemērojamo </w:t>
            </w:r>
            <w:r w:rsidR="001D5BD8" w:rsidRPr="00D37BB8">
              <w:rPr>
                <w:color w:val="000000"/>
              </w:rPr>
              <w:t>VID</w:t>
            </w:r>
            <w:r w:rsidRPr="00D37BB8">
              <w:t xml:space="preserve"> prognozēto mēneša neapliekamā minimuma apmēru </w:t>
            </w:r>
            <w:r w:rsidR="001D5BD8" w:rsidRPr="00D37BB8">
              <w:rPr>
                <w:color w:val="000000"/>
              </w:rPr>
              <w:t>VID</w:t>
            </w:r>
            <w:r w:rsidRPr="00D37BB8">
              <w:t xml:space="preserve"> </w:t>
            </w:r>
            <w:r w:rsidR="001D5BD8" w:rsidRPr="00D37BB8">
              <w:t>EDS</w:t>
            </w:r>
            <w:r w:rsidRPr="00D37BB8">
              <w:t xml:space="preserve"> pārskatā “Iesniegto algas nodokļa grāmatiņu dati” šādā kārtībā:</w:t>
            </w:r>
          </w:p>
          <w:p w14:paraId="1EEC7199" w14:textId="77777777" w:rsidR="00521316" w:rsidRPr="00D37BB8" w:rsidRDefault="00521316" w:rsidP="006B4097">
            <w:pPr>
              <w:ind w:left="255" w:right="140"/>
              <w:jc w:val="both"/>
            </w:pPr>
            <w:r w:rsidRPr="00D37BB8">
              <w:t xml:space="preserve">1) līdz taksācijas gada 1.janvārim par mēnesī piemērojamo </w:t>
            </w:r>
            <w:r w:rsidR="001D5BD8" w:rsidRPr="00D37BB8">
              <w:rPr>
                <w:color w:val="000000"/>
              </w:rPr>
              <w:t>VID</w:t>
            </w:r>
            <w:r w:rsidRPr="00D37BB8">
              <w:t xml:space="preserve"> prognozēto mēneša neapliekamā minimuma apmēru taksācijas gad</w:t>
            </w:r>
            <w:r w:rsidR="00206ED2" w:rsidRPr="00D37BB8">
              <w:t>ā no 1.janvāra līdz 31.jūlijam</w:t>
            </w:r>
            <w:r w:rsidRPr="00D37BB8">
              <w:t xml:space="preserve">, pamatojoties uz aprēķinu, kas </w:t>
            </w:r>
            <w:r w:rsidRPr="00D37BB8">
              <w:lastRenderedPageBreak/>
              <w:t xml:space="preserve">veikts, izmantojot </w:t>
            </w:r>
            <w:r w:rsidR="001D5BD8" w:rsidRPr="00D37BB8">
              <w:rPr>
                <w:color w:val="000000"/>
              </w:rPr>
              <w:t>VID</w:t>
            </w:r>
            <w:r w:rsidRPr="00D37BB8">
              <w:t xml:space="preserve"> rīcībā esošos datus pēc stāvokļa uz pirmstaksācijas gada 20.decembri;</w:t>
            </w:r>
          </w:p>
          <w:p w14:paraId="6FCEADC1" w14:textId="77777777" w:rsidR="00521316" w:rsidRPr="00D37BB8" w:rsidRDefault="00521316" w:rsidP="006B4097">
            <w:pPr>
              <w:ind w:left="255" w:right="140"/>
              <w:jc w:val="both"/>
            </w:pPr>
            <w:r w:rsidRPr="00D37BB8">
              <w:t xml:space="preserve">2) līdz taksācijas gada 1.augustam par mēnesī piemērojamo </w:t>
            </w:r>
            <w:r w:rsidR="001D5BD8" w:rsidRPr="00D37BB8">
              <w:rPr>
                <w:color w:val="000000"/>
              </w:rPr>
              <w:t>VID</w:t>
            </w:r>
            <w:r w:rsidRPr="00D37BB8">
              <w:t xml:space="preserve"> prognozēto mēneša neapliekamā minimuma apmēru taksācijas gad</w:t>
            </w:r>
            <w:r w:rsidR="00206ED2" w:rsidRPr="00D37BB8">
              <w:t>ā no 1.augusta līdz 31.decembrim</w:t>
            </w:r>
            <w:r w:rsidRPr="00D37BB8">
              <w:t xml:space="preserve">, pamatojoties uz aprēķinu, kas veikts, izmantojot </w:t>
            </w:r>
            <w:r w:rsidR="001D5BD8" w:rsidRPr="00D37BB8">
              <w:rPr>
                <w:color w:val="000000"/>
              </w:rPr>
              <w:t>VID</w:t>
            </w:r>
            <w:r w:rsidRPr="00D37BB8">
              <w:t xml:space="preserve"> rīcībā esošos datus pēc stāvokļa uz taksācijas gada 20.jūliju.</w:t>
            </w:r>
          </w:p>
          <w:p w14:paraId="66ECC7A3" w14:textId="77777777" w:rsidR="009A35C1" w:rsidRPr="00D37BB8" w:rsidRDefault="009A35C1" w:rsidP="006B4097">
            <w:pPr>
              <w:shd w:val="clear" w:color="auto" w:fill="FFFFFF"/>
              <w:ind w:left="255" w:right="140"/>
              <w:jc w:val="both"/>
              <w:rPr>
                <w:color w:val="000000"/>
              </w:rPr>
            </w:pPr>
            <w:r w:rsidRPr="00D37BB8">
              <w:rPr>
                <w:color w:val="000000"/>
              </w:rPr>
              <w:t xml:space="preserve">Gada diferencētais neapliekamais minimums tiks aprēķināts </w:t>
            </w:r>
            <w:r w:rsidR="00DA7CB6" w:rsidRPr="00D37BB8">
              <w:rPr>
                <w:color w:val="000000"/>
              </w:rPr>
              <w:t xml:space="preserve">saskaņā ar Ministru kabineta noteiktu formulu </w:t>
            </w:r>
            <w:r w:rsidRPr="00D37BB8">
              <w:rPr>
                <w:color w:val="000000"/>
              </w:rPr>
              <w:t>un piemērots rezumējošā kārtībā, maksātājam iesniedzot taksācijas gada ienākumu deklarāciju.</w:t>
            </w:r>
          </w:p>
          <w:p w14:paraId="24B3A23E" w14:textId="77777777" w:rsidR="00DA7CB6" w:rsidRPr="00D37BB8" w:rsidRDefault="00DA7CB6" w:rsidP="006B4097">
            <w:pPr>
              <w:shd w:val="clear" w:color="auto" w:fill="FFFFFF"/>
              <w:ind w:left="255" w:right="140"/>
              <w:jc w:val="both"/>
            </w:pPr>
            <w:r w:rsidRPr="00D37BB8">
              <w:t xml:space="preserve">Atkarībā no maksātājam aprēķinātā taksācijas gada diferencētā neapliekamā minimuma apmēra, maksātajam, iespējams, radīsies </w:t>
            </w:r>
            <w:r w:rsidR="00EF17FF" w:rsidRPr="00D37BB8">
              <w:t>iedzīvotāju ienākuma nodokļa piemaksa un</w:t>
            </w:r>
            <w:r w:rsidRPr="00D37BB8">
              <w:t xml:space="preserve"> pienākums iesniegt VID </w:t>
            </w:r>
            <w:r w:rsidR="00EF17FF" w:rsidRPr="00D37BB8">
              <w:t xml:space="preserve">taksācijas </w:t>
            </w:r>
            <w:r w:rsidRPr="00D37BB8">
              <w:t>gada ienākumu deklarāciju.</w:t>
            </w:r>
          </w:p>
          <w:p w14:paraId="1A63D8D3" w14:textId="77777777" w:rsidR="000E7BB9" w:rsidRPr="00D37BB8" w:rsidRDefault="004D4794" w:rsidP="006B4097">
            <w:pPr>
              <w:pStyle w:val="Default"/>
              <w:tabs>
                <w:tab w:val="left" w:pos="993"/>
              </w:tabs>
              <w:ind w:left="255" w:right="140"/>
              <w:jc w:val="both"/>
              <w:rPr>
                <w:bCs/>
                <w:color w:val="auto"/>
              </w:rPr>
            </w:pPr>
            <w:r w:rsidRPr="00D37BB8">
              <w:t>Paredzēts, ka VID, ne vēlāk kā</w:t>
            </w:r>
            <w:r w:rsidR="00521316" w:rsidRPr="00D37BB8">
              <w:t xml:space="preserve"> </w:t>
            </w:r>
            <w:r w:rsidR="00206ED2" w:rsidRPr="00D37BB8">
              <w:t xml:space="preserve">divu darba </w:t>
            </w:r>
            <w:r w:rsidRPr="00D37BB8">
              <w:t>dienu laikā pēc Valsts sociālās apdrošināšanas aģentūras pieprasījuma saņemšanas, informēs Valsts sociālās apdrošināšanas aģentūru par maksātājam piemērojamo  VID  prognozēto mēneša neapliekamā minimuma apmēru</w:t>
            </w:r>
            <w:r w:rsidR="00A33C2B" w:rsidRPr="00D37BB8">
              <w:t xml:space="preserve"> par tām taksācijas gada kalendāra dienām, par kurām maksātājam ir izsniegta darbnespējas lapa “B”</w:t>
            </w:r>
            <w:r w:rsidRPr="00D37BB8">
              <w:t>.</w:t>
            </w:r>
          </w:p>
          <w:p w14:paraId="0381E841" w14:textId="77777777" w:rsidR="00D1412E" w:rsidRPr="00D37BB8" w:rsidRDefault="00D1412E" w:rsidP="006B4097">
            <w:pPr>
              <w:tabs>
                <w:tab w:val="left" w:pos="2127"/>
                <w:tab w:val="center" w:pos="4153"/>
                <w:tab w:val="left" w:pos="6096"/>
                <w:tab w:val="right" w:pos="8306"/>
              </w:tabs>
              <w:ind w:left="255" w:right="140"/>
              <w:jc w:val="both"/>
            </w:pPr>
          </w:p>
          <w:p w14:paraId="29B7B1AC" w14:textId="7E99C33A" w:rsidR="004458B9" w:rsidRPr="00D37BB8" w:rsidRDefault="004458B9" w:rsidP="006B4097">
            <w:pPr>
              <w:tabs>
                <w:tab w:val="left" w:pos="2127"/>
                <w:tab w:val="center" w:pos="4153"/>
                <w:tab w:val="left" w:pos="6096"/>
                <w:tab w:val="right" w:pos="8306"/>
              </w:tabs>
              <w:ind w:left="255" w:right="140"/>
              <w:jc w:val="both"/>
            </w:pPr>
            <w:r w:rsidRPr="00D37BB8">
              <w:rPr>
                <w:i/>
                <w:u w:val="single"/>
              </w:rPr>
              <w:t>Likuma 3.panta trešās daļa</w:t>
            </w:r>
            <w:r w:rsidR="00C819C6" w:rsidRPr="00D37BB8">
              <w:rPr>
                <w:i/>
                <w:u w:val="single"/>
              </w:rPr>
              <w:t>s 26.punkts</w:t>
            </w:r>
            <w:r w:rsidRPr="00D37BB8">
              <w:rPr>
                <w:i/>
                <w:u w:val="single"/>
              </w:rPr>
              <w:t>, 8.panta trešās daļas 20.</w:t>
            </w:r>
            <w:r w:rsidRPr="00D37BB8">
              <w:rPr>
                <w:i/>
                <w:u w:val="single"/>
                <w:vertAlign w:val="superscript"/>
              </w:rPr>
              <w:t xml:space="preserve">4 </w:t>
            </w:r>
            <w:r w:rsidRPr="00D37BB8">
              <w:rPr>
                <w:i/>
                <w:u w:val="single"/>
              </w:rPr>
              <w:t>punkts, 17.panta desmitās daļas 22.punkts, grozījumi likuma 17.panta divpadsmitajā daļā</w:t>
            </w:r>
            <w:r w:rsidR="001362A6" w:rsidRPr="00D37BB8">
              <w:rPr>
                <w:i/>
                <w:u w:val="single"/>
              </w:rPr>
              <w:t>, pārejas noteikumu 136.punkts</w:t>
            </w:r>
          </w:p>
          <w:p w14:paraId="0727E5D6" w14:textId="77777777" w:rsidR="004458B9" w:rsidRPr="00D37BB8" w:rsidRDefault="004458B9" w:rsidP="006B4097">
            <w:pPr>
              <w:pStyle w:val="Default"/>
              <w:tabs>
                <w:tab w:val="left" w:pos="993"/>
              </w:tabs>
              <w:ind w:left="255" w:right="140"/>
              <w:jc w:val="both"/>
              <w:rPr>
                <w:i/>
              </w:rPr>
            </w:pPr>
            <w:r w:rsidRPr="00D37BB8">
              <w:t>(</w:t>
            </w:r>
            <w:r w:rsidRPr="00D37BB8">
              <w:rPr>
                <w:i/>
              </w:rPr>
              <w:t>Valsts nodokļu politikas pamatnostādnēs 2018.-2021.gadam ietvertais 2.2.7. uzdevums)</w:t>
            </w:r>
            <w:r w:rsidR="00931FB4" w:rsidRPr="00D37BB8">
              <w:rPr>
                <w:i/>
              </w:rPr>
              <w:t>.</w:t>
            </w:r>
          </w:p>
          <w:p w14:paraId="20A8E7C2" w14:textId="77777777" w:rsidR="004458B9" w:rsidRPr="00D37BB8" w:rsidRDefault="004458B9" w:rsidP="006B4097">
            <w:pPr>
              <w:tabs>
                <w:tab w:val="left" w:pos="2127"/>
                <w:tab w:val="center" w:pos="4153"/>
                <w:tab w:val="left" w:pos="6096"/>
                <w:tab w:val="right" w:pos="8306"/>
              </w:tabs>
              <w:ind w:left="255" w:right="140"/>
              <w:jc w:val="both"/>
            </w:pPr>
            <w:r w:rsidRPr="00D37BB8">
              <w:t>Šobrīd  izložu un azartspēļu laimesti ar iedzīvotāju ienākumu nodokli netiek aplikti.</w:t>
            </w:r>
          </w:p>
          <w:p w14:paraId="0ACFCCFB" w14:textId="07ADC64C" w:rsidR="004458B9" w:rsidRPr="00D37BB8" w:rsidRDefault="004458B9" w:rsidP="006B4097">
            <w:pPr>
              <w:tabs>
                <w:tab w:val="left" w:pos="2127"/>
                <w:tab w:val="center" w:pos="4153"/>
                <w:tab w:val="left" w:pos="6096"/>
                <w:tab w:val="right" w:pos="8306"/>
              </w:tabs>
              <w:ind w:left="255" w:right="140"/>
              <w:jc w:val="both"/>
            </w:pPr>
            <w:r w:rsidRPr="00D37BB8">
              <w:rPr>
                <w:bCs/>
              </w:rPr>
              <w:t>Likumprojekts</w:t>
            </w:r>
            <w:r w:rsidRPr="00D37BB8">
              <w:t xml:space="preserve"> paredz aplikt ar  iedzīvotāju ienākumu nodokli  </w:t>
            </w:r>
            <w:r w:rsidR="00A85F97" w:rsidRPr="00D37BB8">
              <w:t>izložu un azartspēļu laimestus</w:t>
            </w:r>
            <w:r w:rsidRPr="00D37BB8">
              <w:t xml:space="preserve">, ja laimests (tā vērtība) pārsniedz 3000 </w:t>
            </w:r>
            <w:proofErr w:type="spellStart"/>
            <w:r w:rsidR="005A1D33" w:rsidRPr="00D37BB8">
              <w:rPr>
                <w:i/>
              </w:rPr>
              <w:t>euro</w:t>
            </w:r>
            <w:proofErr w:type="spellEnd"/>
            <w:r w:rsidRPr="00D37BB8">
              <w:t>, izņemot momentloterijas </w:t>
            </w:r>
            <w:r w:rsidRPr="00D37BB8">
              <w:rPr>
                <w:i/>
              </w:rPr>
              <w:t>Simtgades loterija,</w:t>
            </w:r>
            <w:r w:rsidRPr="00D37BB8">
              <w:t xml:space="preserve"> preču un pakalpojumu loteriju laimestus</w:t>
            </w:r>
            <w:r w:rsidR="00A85F97" w:rsidRPr="00D37BB8">
              <w:t>.</w:t>
            </w:r>
          </w:p>
          <w:p w14:paraId="60F761F1" w14:textId="77777777" w:rsidR="00AA75AC" w:rsidRPr="00D37BB8" w:rsidRDefault="00AA75AC" w:rsidP="006B4097">
            <w:pPr>
              <w:tabs>
                <w:tab w:val="left" w:pos="2127"/>
                <w:tab w:val="center" w:pos="4153"/>
                <w:tab w:val="left" w:pos="6096"/>
                <w:tab w:val="right" w:pos="8306"/>
              </w:tabs>
              <w:ind w:left="255" w:right="140"/>
              <w:jc w:val="both"/>
            </w:pPr>
          </w:p>
          <w:p w14:paraId="0D755390" w14:textId="77777777" w:rsidR="00A85F97" w:rsidRPr="00D37BB8" w:rsidRDefault="00A85F97" w:rsidP="006B4097">
            <w:pPr>
              <w:tabs>
                <w:tab w:val="left" w:pos="2127"/>
                <w:tab w:val="center" w:pos="4153"/>
                <w:tab w:val="left" w:pos="6096"/>
                <w:tab w:val="right" w:pos="8306"/>
              </w:tabs>
              <w:ind w:left="255" w:right="140"/>
              <w:jc w:val="both"/>
              <w:rPr>
                <w:i/>
                <w:u w:val="single"/>
              </w:rPr>
            </w:pPr>
            <w:r w:rsidRPr="00D37BB8">
              <w:rPr>
                <w:i/>
                <w:u w:val="single"/>
              </w:rPr>
              <w:t>Grozījumi likuma 8.panta piektās daļas 1.punktā, 5.</w:t>
            </w:r>
            <w:r w:rsidRPr="00D37BB8">
              <w:rPr>
                <w:i/>
                <w:u w:val="single"/>
                <w:vertAlign w:val="superscript"/>
              </w:rPr>
              <w:t xml:space="preserve">1 </w:t>
            </w:r>
            <w:r w:rsidRPr="00D37BB8">
              <w:rPr>
                <w:i/>
                <w:u w:val="single"/>
              </w:rPr>
              <w:t>daļā, 10.panta sestajā un astotajā daļā, 16.</w:t>
            </w:r>
            <w:r w:rsidRPr="00D37BB8">
              <w:rPr>
                <w:i/>
                <w:u w:val="single"/>
                <w:vertAlign w:val="superscript"/>
              </w:rPr>
              <w:t xml:space="preserve">1 </w:t>
            </w:r>
            <w:r w:rsidRPr="00D37BB8">
              <w:rPr>
                <w:i/>
                <w:u w:val="single"/>
              </w:rPr>
              <w:t>panta 3.</w:t>
            </w:r>
            <w:r w:rsidRPr="00D37BB8">
              <w:rPr>
                <w:i/>
                <w:u w:val="single"/>
                <w:vertAlign w:val="superscript"/>
              </w:rPr>
              <w:t xml:space="preserve">2 </w:t>
            </w:r>
            <w:r w:rsidRPr="00D37BB8">
              <w:rPr>
                <w:i/>
                <w:u w:val="single"/>
              </w:rPr>
              <w:t>daļā, pārejas noteikumu 126.punkts</w:t>
            </w:r>
          </w:p>
          <w:p w14:paraId="69137C33" w14:textId="77777777" w:rsidR="00F021BD" w:rsidRPr="00D37BB8" w:rsidRDefault="00F021BD" w:rsidP="006B4097">
            <w:pPr>
              <w:pStyle w:val="Default"/>
              <w:tabs>
                <w:tab w:val="left" w:pos="993"/>
              </w:tabs>
              <w:ind w:left="255" w:right="140"/>
              <w:jc w:val="both"/>
              <w:rPr>
                <w:i/>
              </w:rPr>
            </w:pPr>
            <w:r w:rsidRPr="00D37BB8">
              <w:rPr>
                <w:i/>
              </w:rPr>
              <w:t>(Valsts nodokļu politikas pamatnostādnēs 2018.-2021.gadam ietvertais 1.1.4. uzdevums)</w:t>
            </w:r>
            <w:r w:rsidR="00931FB4" w:rsidRPr="00D37BB8">
              <w:rPr>
                <w:i/>
              </w:rPr>
              <w:t>.</w:t>
            </w:r>
          </w:p>
          <w:p w14:paraId="2B9095E8" w14:textId="77777777" w:rsidR="003969A4" w:rsidRPr="00D37BB8" w:rsidRDefault="003969A4" w:rsidP="006B4097">
            <w:pPr>
              <w:pStyle w:val="BodyText30"/>
              <w:shd w:val="clear" w:color="auto" w:fill="auto"/>
              <w:spacing w:before="0" w:after="0" w:line="240" w:lineRule="auto"/>
              <w:ind w:left="255" w:right="140"/>
              <w:jc w:val="both"/>
              <w:rPr>
                <w:sz w:val="24"/>
                <w:szCs w:val="24"/>
              </w:rPr>
            </w:pPr>
            <w:r w:rsidRPr="00D37BB8">
              <w:rPr>
                <w:sz w:val="24"/>
                <w:szCs w:val="24"/>
              </w:rPr>
              <w:t>Pēc Latvijas Apdrošinātāju asociācijas sniegtās inform</w:t>
            </w:r>
            <w:r w:rsidR="00F021BD" w:rsidRPr="00D37BB8">
              <w:rPr>
                <w:sz w:val="24"/>
                <w:szCs w:val="24"/>
              </w:rPr>
              <w:t xml:space="preserve">ācijas, </w:t>
            </w:r>
            <w:r w:rsidRPr="00D37BB8">
              <w:rPr>
                <w:sz w:val="24"/>
                <w:szCs w:val="24"/>
              </w:rPr>
              <w:t xml:space="preserve">ilgtermiņa uzkrājumu līmenis Latvijas iedzīvotāju vidū par spīti izaugsmei pēdējos </w:t>
            </w:r>
            <w:r w:rsidR="00F649BF" w:rsidRPr="00D37BB8">
              <w:rPr>
                <w:sz w:val="24"/>
                <w:szCs w:val="24"/>
              </w:rPr>
              <w:t>desmit</w:t>
            </w:r>
            <w:r w:rsidRPr="00D37BB8">
              <w:rPr>
                <w:sz w:val="24"/>
                <w:szCs w:val="24"/>
              </w:rPr>
              <w:t xml:space="preserve"> gados joprojām ir salīdzinoši ļoti zems. Arī iemaksas otrajā pensiju līmenī šobrīd ir pārāk mazas, lai nodrošinātu pienācīgas vecumdienas. Dzīvības apdrošināšana ar līdzekļu uzkrāšanu ir instruments, kas būtiski spēj palielināt iedzīvotāju uzkrājumu līmeni dažādiem mērķiem:</w:t>
            </w:r>
          </w:p>
          <w:p w14:paraId="64D3B5E7" w14:textId="77777777" w:rsidR="003969A4" w:rsidRPr="00D37BB8" w:rsidRDefault="003969A4" w:rsidP="00B64903">
            <w:pPr>
              <w:pStyle w:val="BodyText30"/>
              <w:numPr>
                <w:ilvl w:val="0"/>
                <w:numId w:val="3"/>
              </w:numPr>
              <w:shd w:val="clear" w:color="auto" w:fill="auto"/>
              <w:spacing w:before="0" w:after="0" w:line="240" w:lineRule="auto"/>
              <w:ind w:left="255" w:right="140"/>
              <w:jc w:val="both"/>
              <w:rPr>
                <w:sz w:val="24"/>
                <w:szCs w:val="24"/>
              </w:rPr>
            </w:pPr>
            <w:r w:rsidRPr="00D37BB8">
              <w:rPr>
                <w:sz w:val="24"/>
                <w:szCs w:val="24"/>
              </w:rPr>
              <w:t xml:space="preserve"> veidojot uzkrājumu un apdrošinot dzīvību, pieaug iedzīvotāju atbildība par savu finansiālo nodrošinājumu ilgtermiņā. vienlaikus nodrošinot materiālu aizsardzību savai ģimenei personas nāves vai invaliditātes gadījumā. Veidojot uzkrājumus savas nākotnes (pensijas) nodrošināšanai papildus valsts nodrošinātajai pensijai, iedzīvotāji veicina savas </w:t>
            </w:r>
            <w:r w:rsidRPr="00D37BB8">
              <w:rPr>
                <w:sz w:val="24"/>
                <w:szCs w:val="24"/>
              </w:rPr>
              <w:lastRenderedPageBreak/>
              <w:t>labklājības uzturēšanu vecumdienās un sekojoši lielāku patēriņu un augstāku dzīves līmeni, samazinot atkarību tikai no valsts nodrošinātas pensijas un līdz ar to samazinot potenciālo sociālo spriedzi situācijā, kad valsts pensija nespētu nodrošināt pietiekami augtus ienākumus iedzīvotājiem;</w:t>
            </w:r>
          </w:p>
          <w:p w14:paraId="28F649D8" w14:textId="77777777" w:rsidR="003969A4" w:rsidRPr="00D37BB8" w:rsidRDefault="003969A4" w:rsidP="00B64903">
            <w:pPr>
              <w:pStyle w:val="BodyText30"/>
              <w:numPr>
                <w:ilvl w:val="0"/>
                <w:numId w:val="3"/>
              </w:numPr>
              <w:shd w:val="clear" w:color="auto" w:fill="auto"/>
              <w:spacing w:before="0" w:after="0" w:line="240" w:lineRule="auto"/>
              <w:ind w:left="255" w:right="140"/>
              <w:jc w:val="both"/>
              <w:rPr>
                <w:sz w:val="24"/>
                <w:szCs w:val="24"/>
              </w:rPr>
            </w:pPr>
            <w:r w:rsidRPr="00D37BB8">
              <w:rPr>
                <w:sz w:val="24"/>
                <w:szCs w:val="24"/>
              </w:rPr>
              <w:t xml:space="preserve"> tiek nodrošināta personas dzīvības apdrošināšana vienlaikus uzkrājot līdzekļus, ko iespējams izmantot bērnu izglītībai, studijām, tiek mazināts pēkšņais finansiālais slogs ģimenei un nav nepieciešams kredīts maksājumu par studijām segšanai;</w:t>
            </w:r>
          </w:p>
          <w:p w14:paraId="0B7B9EAA" w14:textId="77777777" w:rsidR="003969A4" w:rsidRPr="00D37BB8" w:rsidRDefault="003969A4" w:rsidP="00B64903">
            <w:pPr>
              <w:pStyle w:val="BodyText30"/>
              <w:numPr>
                <w:ilvl w:val="0"/>
                <w:numId w:val="3"/>
              </w:numPr>
              <w:shd w:val="clear" w:color="auto" w:fill="auto"/>
              <w:spacing w:before="0" w:after="0" w:line="240" w:lineRule="auto"/>
              <w:ind w:left="255" w:right="140"/>
              <w:jc w:val="both"/>
              <w:rPr>
                <w:sz w:val="24"/>
                <w:szCs w:val="24"/>
              </w:rPr>
            </w:pPr>
            <w:r w:rsidRPr="00D37BB8">
              <w:rPr>
                <w:sz w:val="24"/>
                <w:szCs w:val="24"/>
              </w:rPr>
              <w:t xml:space="preserve"> ar uzkrājošā dzīvības apdrošināšanas palīdzību tiek veicinātas darba devēja rūpes par darbinieka ģimenes aizsardzību apgādnieka zaudējuma vai invaliditātes gadījumā;</w:t>
            </w:r>
          </w:p>
          <w:p w14:paraId="2082A645" w14:textId="77777777" w:rsidR="003969A4" w:rsidRPr="00D37BB8" w:rsidRDefault="003969A4" w:rsidP="00B64903">
            <w:pPr>
              <w:pStyle w:val="BodyText30"/>
              <w:numPr>
                <w:ilvl w:val="0"/>
                <w:numId w:val="3"/>
              </w:numPr>
              <w:shd w:val="clear" w:color="auto" w:fill="auto"/>
              <w:spacing w:before="0" w:after="0" w:line="240" w:lineRule="auto"/>
              <w:ind w:left="255" w:right="140"/>
              <w:jc w:val="both"/>
              <w:rPr>
                <w:sz w:val="24"/>
                <w:szCs w:val="24"/>
              </w:rPr>
            </w:pPr>
            <w:r w:rsidRPr="00D37BB8">
              <w:rPr>
                <w:sz w:val="24"/>
                <w:szCs w:val="24"/>
              </w:rPr>
              <w:t xml:space="preserve"> apgādnieka zaudējuma gadījumā finansiāli atkarīgās personas saskaras ar regulāro ienākumu zudumu un attiecīgi ievērojamām finansiālajām grūtībām, kuru pārvarēšanā tiek meklēts atbalsts sociālajos vai pašvaldību attiecīgajos dienestos. Šādos gadījumos pašvaldības nereti sniedz finansiālu atbalstu grūtībās nonākušajiem. Dzīvības apdrošināšanas atlīdzība nodrošina finansiāli vienmērīgāku </w:t>
            </w:r>
            <w:r w:rsidR="00353571" w:rsidRPr="00D37BB8">
              <w:rPr>
                <w:sz w:val="24"/>
                <w:szCs w:val="24"/>
              </w:rPr>
              <w:t>pielāgošanos jaunajiem apstākļiem</w:t>
            </w:r>
            <w:r w:rsidRPr="00D37BB8">
              <w:rPr>
                <w:sz w:val="24"/>
                <w:szCs w:val="24"/>
              </w:rPr>
              <w:t>, neprasot pašvaldības vai sociālā budžeta līdzdalību, kā arī personīgā budžeta pārtēriņu;</w:t>
            </w:r>
          </w:p>
          <w:p w14:paraId="4F31559F" w14:textId="77777777" w:rsidR="003969A4" w:rsidRPr="00D37BB8" w:rsidRDefault="003969A4" w:rsidP="00B64903">
            <w:pPr>
              <w:pStyle w:val="BodyText30"/>
              <w:numPr>
                <w:ilvl w:val="0"/>
                <w:numId w:val="3"/>
              </w:numPr>
              <w:shd w:val="clear" w:color="auto" w:fill="auto"/>
              <w:spacing w:before="0" w:after="0" w:line="240" w:lineRule="auto"/>
              <w:ind w:left="255" w:right="140"/>
              <w:jc w:val="both"/>
              <w:rPr>
                <w:sz w:val="24"/>
                <w:szCs w:val="24"/>
              </w:rPr>
            </w:pPr>
            <w:r w:rsidRPr="00D37BB8">
              <w:rPr>
                <w:sz w:val="24"/>
                <w:szCs w:val="24"/>
              </w:rPr>
              <w:t xml:space="preserve"> apgādnieka un kredītņēmēja zaudējuma vai invaliditātes gadījumā ģimene visbiežāk saskaras ar nespēju finansiāli segt uzņemtās saistības. Nereti ģimene ir spiesta pamest mājokli un izmantot pašvaldības dzīvojamo fondu vai kādu citu atbalsta formu. Dzīvības apdrošināšana nodrošina kredītsaistību dzēšanu, tādējādi nodrošinot ģimenei mājokli, neprasot sabiedrības, valsts vai pašvaldības atbalstu;</w:t>
            </w:r>
          </w:p>
          <w:p w14:paraId="32AE8336" w14:textId="77777777" w:rsidR="00A85F97" w:rsidRPr="00D37BB8" w:rsidRDefault="003969A4" w:rsidP="00B64903">
            <w:pPr>
              <w:pStyle w:val="BodyText30"/>
              <w:numPr>
                <w:ilvl w:val="0"/>
                <w:numId w:val="3"/>
              </w:numPr>
              <w:shd w:val="clear" w:color="auto" w:fill="auto"/>
              <w:spacing w:before="0" w:after="0" w:line="240" w:lineRule="auto"/>
              <w:ind w:left="255" w:right="140"/>
              <w:jc w:val="both"/>
              <w:rPr>
                <w:sz w:val="24"/>
                <w:szCs w:val="24"/>
              </w:rPr>
            </w:pPr>
            <w:r w:rsidRPr="00D37BB8">
              <w:rPr>
                <w:sz w:val="24"/>
                <w:szCs w:val="24"/>
              </w:rPr>
              <w:t xml:space="preserve">apgādnieka invaliditātes, smagas saslimšanas, darbspēju zuduma vai daļēja zuduma un attiecīgi ienākumu zaudēšanas gadījumā nepieciešams finansiāls atbalsts, lai persona atgrieztos nodarbinātā statusā, kurš tiek sniegts no pašvaldību vai sociālā budžeta. Dzīvības apdrošināšanas atlīdzība nodrošina personas ātrāku atgriešanos nodarbinātā un attiecīgi </w:t>
            </w:r>
            <w:r w:rsidR="00B651CF" w:rsidRPr="00D37BB8">
              <w:rPr>
                <w:sz w:val="24"/>
                <w:szCs w:val="24"/>
              </w:rPr>
              <w:t>–</w:t>
            </w:r>
            <w:r w:rsidRPr="00D37BB8">
              <w:rPr>
                <w:sz w:val="24"/>
                <w:szCs w:val="24"/>
              </w:rPr>
              <w:t xml:space="preserve"> nodokļu maksātāja statusā.</w:t>
            </w:r>
          </w:p>
          <w:p w14:paraId="6BEC8F46" w14:textId="77777777" w:rsidR="003969A4" w:rsidRPr="00D37BB8" w:rsidRDefault="003969A4" w:rsidP="006B4097">
            <w:pPr>
              <w:pStyle w:val="BodyText30"/>
              <w:shd w:val="clear" w:color="auto" w:fill="auto"/>
              <w:spacing w:before="0" w:after="0" w:line="240" w:lineRule="auto"/>
              <w:ind w:left="255" w:right="140"/>
              <w:jc w:val="both"/>
              <w:rPr>
                <w:sz w:val="24"/>
                <w:szCs w:val="24"/>
              </w:rPr>
            </w:pPr>
            <w:r w:rsidRPr="00D37BB8">
              <w:rPr>
                <w:sz w:val="24"/>
                <w:szCs w:val="24"/>
              </w:rPr>
              <w:t xml:space="preserve">Ņemot vērā minēto un Latvijas Apdrošinātāju asociācijas sniegto iniciatīvu, </w:t>
            </w:r>
            <w:r w:rsidR="0036070B" w:rsidRPr="00D37BB8">
              <w:rPr>
                <w:sz w:val="24"/>
                <w:szCs w:val="24"/>
              </w:rPr>
              <w:t xml:space="preserve">lai saņemtu likumā noteiktos iedzīvotāju ienākuma nodokļa atvieglojumus attiecībā uz apdrošināšanas prēmiju maksājumiem, </w:t>
            </w:r>
            <w:r w:rsidR="00931FB4" w:rsidRPr="00D37BB8">
              <w:rPr>
                <w:sz w:val="24"/>
                <w:szCs w:val="24"/>
              </w:rPr>
              <w:t xml:space="preserve">likumprojektā </w:t>
            </w:r>
            <w:r w:rsidRPr="00D37BB8">
              <w:rPr>
                <w:sz w:val="24"/>
                <w:szCs w:val="24"/>
              </w:rPr>
              <w:t xml:space="preserve">tiek </w:t>
            </w:r>
            <w:r w:rsidR="00F021BD" w:rsidRPr="00D37BB8">
              <w:rPr>
                <w:sz w:val="24"/>
                <w:szCs w:val="24"/>
              </w:rPr>
              <w:t xml:space="preserve">pagarināts dzīvības apdrošināšanas līguma (ar līdzekļu uzkrāšanu) periods </w:t>
            </w:r>
            <w:r w:rsidR="0036070B" w:rsidRPr="00D37BB8">
              <w:rPr>
                <w:sz w:val="24"/>
                <w:szCs w:val="24"/>
              </w:rPr>
              <w:t>no pieciem uz desmit gadiem.</w:t>
            </w:r>
          </w:p>
          <w:p w14:paraId="6D415668" w14:textId="77777777" w:rsidR="003969A4" w:rsidRPr="00D37BB8" w:rsidRDefault="003969A4" w:rsidP="006B4097">
            <w:pPr>
              <w:pStyle w:val="BodyText30"/>
              <w:shd w:val="clear" w:color="auto" w:fill="auto"/>
              <w:spacing w:before="0" w:after="0" w:line="240" w:lineRule="auto"/>
              <w:ind w:left="255" w:right="140"/>
              <w:jc w:val="both"/>
              <w:rPr>
                <w:sz w:val="24"/>
                <w:szCs w:val="24"/>
              </w:rPr>
            </w:pPr>
          </w:p>
          <w:p w14:paraId="7E9CB5DC" w14:textId="77777777" w:rsidR="003B6B36" w:rsidRPr="00D37BB8" w:rsidRDefault="003B6B36" w:rsidP="006B4097">
            <w:pPr>
              <w:tabs>
                <w:tab w:val="left" w:pos="2127"/>
                <w:tab w:val="center" w:pos="4153"/>
                <w:tab w:val="left" w:pos="6096"/>
                <w:tab w:val="right" w:pos="8306"/>
              </w:tabs>
              <w:ind w:left="255" w:right="140"/>
              <w:jc w:val="both"/>
              <w:rPr>
                <w:i/>
                <w:u w:val="single"/>
              </w:rPr>
            </w:pPr>
            <w:r w:rsidRPr="00D37BB8">
              <w:rPr>
                <w:i/>
                <w:u w:val="single"/>
              </w:rPr>
              <w:t>Grozījumi likuma 9.panta pirmās daļas 14. un 32.</w:t>
            </w:r>
            <w:r w:rsidRPr="00D37BB8">
              <w:rPr>
                <w:i/>
                <w:u w:val="single"/>
                <w:vertAlign w:val="superscript"/>
              </w:rPr>
              <w:t>1</w:t>
            </w:r>
            <w:r w:rsidRPr="00D37BB8">
              <w:rPr>
                <w:i/>
                <w:u w:val="single"/>
              </w:rPr>
              <w:t xml:space="preserve"> punktā</w:t>
            </w:r>
          </w:p>
          <w:p w14:paraId="5CF9B048" w14:textId="515DFE84" w:rsidR="003B6B36" w:rsidRPr="00D37BB8" w:rsidRDefault="003B6B36" w:rsidP="006B4097">
            <w:pPr>
              <w:tabs>
                <w:tab w:val="left" w:pos="2127"/>
                <w:tab w:val="center" w:pos="4153"/>
                <w:tab w:val="left" w:pos="6096"/>
                <w:tab w:val="right" w:pos="8306"/>
              </w:tabs>
              <w:ind w:left="255" w:right="140"/>
              <w:jc w:val="both"/>
            </w:pPr>
            <w:r w:rsidRPr="00D37BB8">
              <w:t xml:space="preserve">Precizēts neapliekamā ienākuma apmērs darba devēja piešķirtajam bēru pabalstam (no 213,43 </w:t>
            </w:r>
            <w:proofErr w:type="spellStart"/>
            <w:r w:rsidR="005A1D33" w:rsidRPr="00D37BB8">
              <w:rPr>
                <w:i/>
              </w:rPr>
              <w:t>euro</w:t>
            </w:r>
            <w:proofErr w:type="spellEnd"/>
            <w:r w:rsidRPr="00D37BB8">
              <w:t xml:space="preserve"> līdz 250 </w:t>
            </w:r>
            <w:proofErr w:type="spellStart"/>
            <w:r w:rsidR="005A1D33" w:rsidRPr="00D37BB8">
              <w:rPr>
                <w:i/>
              </w:rPr>
              <w:t>euro</w:t>
            </w:r>
            <w:proofErr w:type="spellEnd"/>
            <w:r w:rsidRPr="00D37BB8">
              <w:t xml:space="preserve">) un darba devēja dāvanām taksācijas perioda laikā (no 14,23 </w:t>
            </w:r>
            <w:proofErr w:type="spellStart"/>
            <w:r w:rsidR="005A1D33" w:rsidRPr="00D37BB8">
              <w:rPr>
                <w:i/>
              </w:rPr>
              <w:t>euro</w:t>
            </w:r>
            <w:proofErr w:type="spellEnd"/>
            <w:r w:rsidRPr="00D37BB8">
              <w:t xml:space="preserve"> līdz 15 </w:t>
            </w:r>
            <w:proofErr w:type="spellStart"/>
            <w:r w:rsidR="005A1D33" w:rsidRPr="00D37BB8">
              <w:rPr>
                <w:i/>
              </w:rPr>
              <w:t>euro</w:t>
            </w:r>
            <w:proofErr w:type="spellEnd"/>
            <w:r w:rsidRPr="00D37BB8">
              <w:t>).</w:t>
            </w:r>
          </w:p>
          <w:p w14:paraId="71ECA1A1" w14:textId="77777777" w:rsidR="00D44F9D" w:rsidRPr="00D37BB8" w:rsidRDefault="00D44F9D" w:rsidP="006B4097">
            <w:pPr>
              <w:tabs>
                <w:tab w:val="left" w:pos="2127"/>
                <w:tab w:val="center" w:pos="4153"/>
                <w:tab w:val="left" w:pos="6096"/>
                <w:tab w:val="right" w:pos="8306"/>
              </w:tabs>
              <w:ind w:left="255" w:right="140"/>
              <w:jc w:val="both"/>
            </w:pPr>
          </w:p>
          <w:p w14:paraId="1E0197C6" w14:textId="77777777" w:rsidR="00D44F9D" w:rsidRPr="00D37BB8" w:rsidRDefault="00D44F9D"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Grozījumi likuma 9.panta pirmās daļas 35.</w:t>
            </w:r>
            <w:r w:rsidRPr="00D37BB8">
              <w:rPr>
                <w:i/>
                <w:sz w:val="24"/>
                <w:szCs w:val="24"/>
                <w:u w:val="single"/>
                <w:vertAlign w:val="superscript"/>
              </w:rPr>
              <w:t xml:space="preserve">1 </w:t>
            </w:r>
            <w:r w:rsidRPr="00D37BB8">
              <w:rPr>
                <w:i/>
                <w:sz w:val="24"/>
                <w:szCs w:val="24"/>
                <w:u w:val="single"/>
              </w:rPr>
              <w:t>punkta ievaddaļā</w:t>
            </w:r>
          </w:p>
          <w:p w14:paraId="3E284B31" w14:textId="122C8516" w:rsidR="00D44F9D" w:rsidRPr="00D37BB8" w:rsidRDefault="00D44F9D" w:rsidP="006B4097">
            <w:pPr>
              <w:tabs>
                <w:tab w:val="left" w:pos="2127"/>
                <w:tab w:val="center" w:pos="4153"/>
                <w:tab w:val="left" w:pos="6096"/>
                <w:tab w:val="right" w:pos="8306"/>
              </w:tabs>
              <w:ind w:left="255" w:right="140"/>
              <w:jc w:val="both"/>
            </w:pPr>
            <w:r w:rsidRPr="00D37BB8">
              <w:rPr>
                <w:rFonts w:eastAsia="Calibri"/>
                <w:lang w:eastAsia="en-US"/>
              </w:rPr>
              <w:t>Pēc Latvijas Komercbanku asociācijas ierosinājuma tiek pagarināts likuma</w:t>
            </w:r>
            <w:r w:rsidRPr="00D37BB8">
              <w:t xml:space="preserve"> </w:t>
            </w:r>
            <w:r w:rsidRPr="00D37BB8">
              <w:rPr>
                <w:rFonts w:eastAsia="Calibri"/>
                <w:lang w:eastAsia="en-US"/>
              </w:rPr>
              <w:t>9.panta pirmās daļas 35.</w:t>
            </w:r>
            <w:r w:rsidRPr="00D37BB8">
              <w:rPr>
                <w:rFonts w:eastAsia="Calibri"/>
                <w:vertAlign w:val="superscript"/>
                <w:lang w:eastAsia="en-US"/>
              </w:rPr>
              <w:t xml:space="preserve">1 </w:t>
            </w:r>
            <w:r w:rsidRPr="00D37BB8">
              <w:rPr>
                <w:rFonts w:eastAsia="Calibri"/>
                <w:lang w:eastAsia="en-US"/>
              </w:rPr>
              <w:t xml:space="preserve">punkta ievaddaļā minētais normas darbības ierobežojums (līdz 2018.gada </w:t>
            </w:r>
            <w:r w:rsidRPr="00D37BB8">
              <w:rPr>
                <w:rFonts w:eastAsia="Calibri"/>
                <w:lang w:eastAsia="en-US"/>
              </w:rPr>
              <w:lastRenderedPageBreak/>
              <w:t>31.decembrim), jo Latvijas Komercbanku asociācija Saeimas Budžeta un finanšu (nodokļu) komisijai ir nosūtījusi vēstuli, kurā  izteikts viedoklis, ka krīzes sekas ir jūtamas ilgākā laika periodā nekā sākotnēji paredzēts.</w:t>
            </w:r>
          </w:p>
          <w:p w14:paraId="2AD95C7C" w14:textId="77777777" w:rsidR="003B6B36" w:rsidRPr="00D37BB8" w:rsidRDefault="003B6B36" w:rsidP="006B4097">
            <w:pPr>
              <w:pStyle w:val="BodyText30"/>
              <w:shd w:val="clear" w:color="auto" w:fill="auto"/>
              <w:spacing w:before="0" w:after="0" w:line="240" w:lineRule="auto"/>
              <w:ind w:left="255" w:right="140"/>
              <w:jc w:val="both"/>
              <w:rPr>
                <w:sz w:val="24"/>
                <w:szCs w:val="24"/>
              </w:rPr>
            </w:pPr>
          </w:p>
          <w:p w14:paraId="6FBDD809" w14:textId="77777777" w:rsidR="0024130A" w:rsidRPr="00D37BB8" w:rsidRDefault="0024130A"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Grozījumi likuma 9.panta astotajā daļā</w:t>
            </w:r>
          </w:p>
          <w:p w14:paraId="6115CD0D" w14:textId="1F522E6D" w:rsidR="00034373" w:rsidRPr="00D37BB8" w:rsidRDefault="0024130A" w:rsidP="006B4097">
            <w:pPr>
              <w:pStyle w:val="BodyText30"/>
              <w:shd w:val="clear" w:color="auto" w:fill="auto"/>
              <w:spacing w:before="0" w:after="0" w:line="240" w:lineRule="auto"/>
              <w:ind w:left="255" w:right="140"/>
              <w:jc w:val="both"/>
              <w:rPr>
                <w:sz w:val="24"/>
                <w:szCs w:val="24"/>
                <w:u w:val="single"/>
              </w:rPr>
            </w:pPr>
            <w:r w:rsidRPr="00D37BB8">
              <w:rPr>
                <w:sz w:val="24"/>
                <w:szCs w:val="24"/>
                <w:u w:val="single"/>
              </w:rPr>
              <w:t>Praksē bieži sastopamas situācijas, kurās rodas strīdi par to, vai izpildīts kritērijs par nekustamā īpašuma atrašanos maksātāja īpašumā vismaz 60 mēnešus</w:t>
            </w:r>
            <w:r w:rsidR="00034373" w:rsidRPr="00D37BB8">
              <w:rPr>
                <w:sz w:val="24"/>
                <w:szCs w:val="24"/>
                <w:u w:val="single"/>
              </w:rPr>
              <w:t>,</w:t>
            </w:r>
            <w:r w:rsidRPr="00D37BB8">
              <w:rPr>
                <w:sz w:val="24"/>
                <w:szCs w:val="24"/>
                <w:u w:val="single"/>
              </w:rPr>
              <w:t xml:space="preserve"> un attiecīgi</w:t>
            </w:r>
            <w:r w:rsidR="00034373" w:rsidRPr="00D37BB8">
              <w:rPr>
                <w:sz w:val="24"/>
                <w:szCs w:val="24"/>
                <w:u w:val="single"/>
              </w:rPr>
              <w:t>, vai</w:t>
            </w:r>
            <w:r w:rsidRPr="00D37BB8">
              <w:rPr>
                <w:sz w:val="24"/>
                <w:szCs w:val="24"/>
                <w:u w:val="single"/>
              </w:rPr>
              <w:t xml:space="preserve"> maksātāja ienākums no nekustamā īpašuma atsavināšanas atbrīvo</w:t>
            </w:r>
            <w:r w:rsidR="00034373" w:rsidRPr="00D37BB8">
              <w:rPr>
                <w:sz w:val="24"/>
                <w:szCs w:val="24"/>
                <w:u w:val="single"/>
              </w:rPr>
              <w:t>jams</w:t>
            </w:r>
            <w:r w:rsidRPr="00D37BB8">
              <w:rPr>
                <w:sz w:val="24"/>
                <w:szCs w:val="24"/>
                <w:u w:val="single"/>
              </w:rPr>
              <w:t xml:space="preserve"> no nodok</w:t>
            </w:r>
            <w:r w:rsidR="00034373" w:rsidRPr="00D37BB8">
              <w:rPr>
                <w:sz w:val="24"/>
                <w:szCs w:val="24"/>
                <w:u w:val="single"/>
              </w:rPr>
              <w:t xml:space="preserve">ļa. Bieži rodas situācijas, kad maksātājs </w:t>
            </w:r>
            <w:r w:rsidR="008B01AA" w:rsidRPr="00D37BB8">
              <w:rPr>
                <w:sz w:val="24"/>
                <w:szCs w:val="24"/>
                <w:u w:val="single"/>
              </w:rPr>
              <w:t xml:space="preserve">vispirms </w:t>
            </w:r>
            <w:r w:rsidR="00034373" w:rsidRPr="00D37BB8">
              <w:rPr>
                <w:sz w:val="24"/>
                <w:szCs w:val="24"/>
                <w:u w:val="single"/>
              </w:rPr>
              <w:t>īpašum</w:t>
            </w:r>
            <w:r w:rsidR="008B01AA">
              <w:rPr>
                <w:sz w:val="24"/>
                <w:szCs w:val="24"/>
                <w:u w:val="single"/>
              </w:rPr>
              <w:t>ā ir</w:t>
            </w:r>
            <w:r w:rsidR="00034373" w:rsidRPr="00D37BB8">
              <w:rPr>
                <w:sz w:val="24"/>
                <w:szCs w:val="24"/>
                <w:u w:val="single"/>
              </w:rPr>
              <w:t xml:space="preserve"> ieguvis zemi, bet pēc tam uz tās uzcēlis ēku. Tā kā likums izvirza arī otru kritēriju (dzīvesvieta deklarēta vismaz 12 mēnešus), kas liecina par mērķi, ka atbrīvojums primāri orientēts uz maksātāja pamata dzīvesvietas atsavināšanu, pamatota būtu prasība, ka nekustamais īpašums ir izmantojams arī dzīvošanai. Tādējādi likumprojektā iekļauta norma, kas paredz, ka gadījumos, ja vispirms īpašumā iegūta zeme, bet pēc tam ēka, par </w:t>
            </w:r>
            <w:r w:rsidR="008B01AA">
              <w:rPr>
                <w:sz w:val="24"/>
                <w:szCs w:val="24"/>
                <w:u w:val="single"/>
              </w:rPr>
              <w:t xml:space="preserve">visa </w:t>
            </w:r>
            <w:r w:rsidR="00034373" w:rsidRPr="00D37BB8">
              <w:rPr>
                <w:sz w:val="24"/>
                <w:szCs w:val="24"/>
                <w:u w:val="single"/>
              </w:rPr>
              <w:t>nekustamā īpašuma iegādes dienu uzskata dienu, kad ēka ierakstīta zemesgrāmatā.</w:t>
            </w:r>
          </w:p>
          <w:p w14:paraId="1C684843" w14:textId="77777777" w:rsidR="0024130A" w:rsidRPr="00D37BB8" w:rsidRDefault="00034373" w:rsidP="006B4097">
            <w:pPr>
              <w:pStyle w:val="BodyText30"/>
              <w:shd w:val="clear" w:color="auto" w:fill="auto"/>
              <w:spacing w:before="0" w:after="0" w:line="240" w:lineRule="auto"/>
              <w:ind w:left="255" w:right="140"/>
              <w:jc w:val="both"/>
              <w:rPr>
                <w:sz w:val="24"/>
                <w:szCs w:val="24"/>
              </w:rPr>
            </w:pPr>
            <w:r w:rsidRPr="00D37BB8">
              <w:rPr>
                <w:sz w:val="24"/>
                <w:szCs w:val="24"/>
              </w:rPr>
              <w:t xml:space="preserve"> </w:t>
            </w:r>
          </w:p>
          <w:p w14:paraId="67A8F254" w14:textId="77777777" w:rsidR="00931FB4" w:rsidRPr="00D37BB8" w:rsidRDefault="00931FB4" w:rsidP="006B4097">
            <w:pPr>
              <w:tabs>
                <w:tab w:val="left" w:pos="2127"/>
                <w:tab w:val="center" w:pos="4153"/>
                <w:tab w:val="left" w:pos="6096"/>
                <w:tab w:val="right" w:pos="8306"/>
              </w:tabs>
              <w:ind w:left="255" w:right="140"/>
              <w:jc w:val="both"/>
            </w:pPr>
            <w:r w:rsidRPr="00D37BB8">
              <w:rPr>
                <w:i/>
                <w:u w:val="single"/>
              </w:rPr>
              <w:t>Grozījumi likuma 11.panta trešās daļas 7.</w:t>
            </w:r>
            <w:r w:rsidRPr="00D37BB8">
              <w:rPr>
                <w:i/>
                <w:u w:val="single"/>
                <w:vertAlign w:val="superscript"/>
              </w:rPr>
              <w:t>2</w:t>
            </w:r>
            <w:r w:rsidRPr="00D37BB8">
              <w:rPr>
                <w:i/>
                <w:u w:val="single"/>
              </w:rPr>
              <w:t xml:space="preserve"> punktā</w:t>
            </w:r>
          </w:p>
          <w:p w14:paraId="57655F00" w14:textId="77777777" w:rsidR="00931FB4" w:rsidRPr="00D37BB8" w:rsidRDefault="00931FB4" w:rsidP="006B4097">
            <w:pPr>
              <w:pStyle w:val="Default"/>
              <w:tabs>
                <w:tab w:val="left" w:pos="993"/>
              </w:tabs>
              <w:ind w:left="255" w:right="140"/>
              <w:jc w:val="both"/>
              <w:rPr>
                <w:i/>
              </w:rPr>
            </w:pPr>
            <w:r w:rsidRPr="00D37BB8">
              <w:t>(</w:t>
            </w:r>
            <w:r w:rsidRPr="00D37BB8">
              <w:rPr>
                <w:i/>
              </w:rPr>
              <w:t>Valsts nodokļu politikas pamatnostādnēs 2018.-2021.gadam ietvertais 1.2.1. uzdevums).</w:t>
            </w:r>
          </w:p>
          <w:p w14:paraId="66FA5EB6" w14:textId="77777777" w:rsidR="00931FB4" w:rsidRPr="00D37BB8" w:rsidRDefault="00931FB4" w:rsidP="006B4097">
            <w:pPr>
              <w:pStyle w:val="BodyText30"/>
              <w:shd w:val="clear" w:color="auto" w:fill="auto"/>
              <w:spacing w:before="0" w:after="0" w:line="240" w:lineRule="auto"/>
              <w:ind w:left="255" w:right="140"/>
              <w:jc w:val="both"/>
              <w:rPr>
                <w:sz w:val="24"/>
                <w:szCs w:val="24"/>
              </w:rPr>
            </w:pPr>
            <w:r w:rsidRPr="00D37BB8">
              <w:rPr>
                <w:bCs/>
                <w:color w:val="auto"/>
                <w:sz w:val="24"/>
                <w:szCs w:val="24"/>
              </w:rPr>
              <w:t xml:space="preserve">Tā kā </w:t>
            </w:r>
            <w:r w:rsidRPr="00D37BB8">
              <w:rPr>
                <w:i/>
                <w:sz w:val="24"/>
                <w:szCs w:val="24"/>
              </w:rPr>
              <w:t xml:space="preserve"> </w:t>
            </w:r>
            <w:r w:rsidRPr="00D37BB8">
              <w:rPr>
                <w:sz w:val="24"/>
                <w:szCs w:val="24"/>
              </w:rPr>
              <w:t>Valsts nodokļu politikas pamatnostādnēs 2018.-2021.gadam ietvertais 1.2.1. uzdevums paredz atcelt solidaritātes nodokli ar 2018.gadu, no likuma nepieciešams izslēgt solidaritātes nodokli kā attaisnoto izdevumu veidu, kurš šobrīd tiek atskaitīts no maksātāja gada apliekamo ienākumu apjoma.</w:t>
            </w:r>
          </w:p>
          <w:p w14:paraId="2E10528C" w14:textId="77777777" w:rsidR="00931FB4" w:rsidRPr="00D37BB8" w:rsidRDefault="00931FB4" w:rsidP="006B4097">
            <w:pPr>
              <w:pStyle w:val="BodyText30"/>
              <w:shd w:val="clear" w:color="auto" w:fill="auto"/>
              <w:spacing w:before="0" w:after="0" w:line="240" w:lineRule="auto"/>
              <w:ind w:left="255" w:right="140"/>
              <w:jc w:val="both"/>
              <w:rPr>
                <w:sz w:val="24"/>
                <w:szCs w:val="24"/>
              </w:rPr>
            </w:pPr>
          </w:p>
          <w:p w14:paraId="433B83F3" w14:textId="77777777" w:rsidR="00FA2703" w:rsidRPr="00D37BB8" w:rsidRDefault="004B3B76"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Grozījumi likuma 10.panta pirmās daļas 5. un 6.punktā, likuma 10.panta 1.</w:t>
            </w:r>
            <w:r w:rsidRPr="00D37BB8">
              <w:rPr>
                <w:i/>
                <w:sz w:val="24"/>
                <w:szCs w:val="24"/>
                <w:u w:val="single"/>
                <w:vertAlign w:val="superscript"/>
              </w:rPr>
              <w:t xml:space="preserve">9 </w:t>
            </w:r>
            <w:r w:rsidRPr="00D37BB8">
              <w:rPr>
                <w:i/>
                <w:sz w:val="24"/>
                <w:szCs w:val="24"/>
                <w:u w:val="single"/>
              </w:rPr>
              <w:t>daļa</w:t>
            </w:r>
          </w:p>
          <w:p w14:paraId="5D41D8DE" w14:textId="77777777" w:rsidR="00F021BD" w:rsidRPr="00D37BB8" w:rsidRDefault="00F021BD" w:rsidP="006B4097">
            <w:pPr>
              <w:pStyle w:val="Default"/>
              <w:tabs>
                <w:tab w:val="left" w:pos="993"/>
              </w:tabs>
              <w:ind w:left="255" w:right="140"/>
              <w:jc w:val="both"/>
              <w:rPr>
                <w:i/>
              </w:rPr>
            </w:pPr>
            <w:r w:rsidRPr="00D37BB8">
              <w:rPr>
                <w:i/>
              </w:rPr>
              <w:t>(Valsts nodokļu politikas pamatnostādnēs 2018.-2021.gadam ietvertais 1.1.4. uzdevums)</w:t>
            </w:r>
          </w:p>
          <w:p w14:paraId="4229A373" w14:textId="77777777" w:rsidR="00F649BF" w:rsidRPr="00D37BB8" w:rsidRDefault="00F649BF" w:rsidP="006B4097">
            <w:pPr>
              <w:pStyle w:val="BodyText30"/>
              <w:shd w:val="clear" w:color="auto" w:fill="auto"/>
              <w:spacing w:before="0" w:after="0" w:line="240" w:lineRule="auto"/>
              <w:ind w:left="255" w:right="140"/>
              <w:jc w:val="both"/>
              <w:rPr>
                <w:sz w:val="24"/>
                <w:szCs w:val="24"/>
              </w:rPr>
            </w:pPr>
            <w:r w:rsidRPr="00D37BB8">
              <w:rPr>
                <w:sz w:val="24"/>
                <w:szCs w:val="24"/>
              </w:rPr>
              <w:t>Šobrīd  likuma 10.panta 1.</w:t>
            </w:r>
            <w:r w:rsidRPr="00D37BB8">
              <w:rPr>
                <w:sz w:val="24"/>
                <w:szCs w:val="24"/>
                <w:vertAlign w:val="superscript"/>
              </w:rPr>
              <w:t xml:space="preserve">3 </w:t>
            </w:r>
            <w:r w:rsidRPr="00D37BB8">
              <w:rPr>
                <w:sz w:val="24"/>
                <w:szCs w:val="24"/>
              </w:rPr>
              <w:t xml:space="preserve">daļa nosaka, ka likuma </w:t>
            </w:r>
            <w:r w:rsidR="00931FB4" w:rsidRPr="00D37BB8">
              <w:rPr>
                <w:sz w:val="24"/>
                <w:szCs w:val="24"/>
              </w:rPr>
              <w:t>10.</w:t>
            </w:r>
            <w:r w:rsidRPr="00D37BB8">
              <w:rPr>
                <w:sz w:val="24"/>
                <w:szCs w:val="24"/>
              </w:rPr>
              <w:t>panta pirmās daļas 3., 5., 6. un 8.punktā minētie maksātāja attaisnotie izdevumi kopā nedrīkst pārsniegt 20</w:t>
            </w:r>
            <w:r w:rsidR="00931FB4" w:rsidRPr="00D37BB8">
              <w:rPr>
                <w:sz w:val="24"/>
                <w:szCs w:val="24"/>
              </w:rPr>
              <w:t>%</w:t>
            </w:r>
            <w:r w:rsidRPr="00D37BB8">
              <w:rPr>
                <w:sz w:val="24"/>
                <w:szCs w:val="24"/>
              </w:rPr>
              <w:t xml:space="preserve"> no maksātāja apliekamā ienākuma lieluma. Savukārt, attiecībā uz veiktajām iemaksām privātajos pensiju fondos un </w:t>
            </w:r>
            <w:r w:rsidR="00A46CA4" w:rsidRPr="00D37BB8">
              <w:rPr>
                <w:sz w:val="24"/>
                <w:szCs w:val="24"/>
              </w:rPr>
              <w:t xml:space="preserve">apdrošināšanas prēmiju maksājumiem pastāv procentuālais ierobežojums - 10% no maksātāja gada apliekamā ienākuma (uz katru no </w:t>
            </w:r>
            <w:r w:rsidR="00186FE7" w:rsidRPr="00D37BB8">
              <w:rPr>
                <w:sz w:val="24"/>
                <w:szCs w:val="24"/>
              </w:rPr>
              <w:t xml:space="preserve">minētajiem </w:t>
            </w:r>
            <w:r w:rsidR="00A46CA4" w:rsidRPr="00D37BB8">
              <w:rPr>
                <w:sz w:val="24"/>
                <w:szCs w:val="24"/>
              </w:rPr>
              <w:t>attaisnoto izdevumu veidiem).</w:t>
            </w:r>
          </w:p>
          <w:p w14:paraId="527054B5" w14:textId="17D96170" w:rsidR="003969A4" w:rsidRPr="00D37BB8" w:rsidRDefault="00F021BD" w:rsidP="006B4097">
            <w:pPr>
              <w:pStyle w:val="BodyText30"/>
              <w:shd w:val="clear" w:color="auto" w:fill="auto"/>
              <w:spacing w:before="0" w:after="0" w:line="240" w:lineRule="auto"/>
              <w:ind w:left="255" w:right="140"/>
              <w:jc w:val="both"/>
              <w:rPr>
                <w:sz w:val="24"/>
                <w:szCs w:val="24"/>
              </w:rPr>
            </w:pPr>
            <w:r w:rsidRPr="00D37BB8">
              <w:rPr>
                <w:sz w:val="24"/>
                <w:szCs w:val="24"/>
              </w:rPr>
              <w:t>Likumprojekts paredz noteikt gan procentuālu (10% no maksātāja gada apliekamā ienākuma), gan summāru ierobežojumu – 4 000 </w:t>
            </w:r>
            <w:proofErr w:type="spellStart"/>
            <w:r w:rsidR="005A1D33" w:rsidRPr="00D37BB8">
              <w:rPr>
                <w:i/>
                <w:sz w:val="24"/>
                <w:szCs w:val="24"/>
              </w:rPr>
              <w:t>euro</w:t>
            </w:r>
            <w:proofErr w:type="spellEnd"/>
            <w:r w:rsidRPr="00D37BB8">
              <w:rPr>
                <w:sz w:val="24"/>
                <w:szCs w:val="24"/>
              </w:rPr>
              <w:t xml:space="preserve"> gadā – no</w:t>
            </w:r>
            <w:r w:rsidR="00267C4A" w:rsidRPr="00D37BB8">
              <w:rPr>
                <w:sz w:val="24"/>
                <w:szCs w:val="24"/>
              </w:rPr>
              <w:t xml:space="preserve"> maksātāja</w:t>
            </w:r>
            <w:r w:rsidRPr="00D37BB8">
              <w:rPr>
                <w:sz w:val="24"/>
                <w:szCs w:val="24"/>
              </w:rPr>
              <w:t xml:space="preserve"> gada apliekamo ienākumu apjoma atskaitāmo attaisnot</w:t>
            </w:r>
            <w:r w:rsidR="00267C4A" w:rsidRPr="00D37BB8">
              <w:rPr>
                <w:sz w:val="24"/>
                <w:szCs w:val="24"/>
              </w:rPr>
              <w:t>o</w:t>
            </w:r>
            <w:r w:rsidRPr="00D37BB8">
              <w:rPr>
                <w:sz w:val="24"/>
                <w:szCs w:val="24"/>
              </w:rPr>
              <w:t xml:space="preserve"> izdevum</w:t>
            </w:r>
            <w:r w:rsidR="00267C4A" w:rsidRPr="00D37BB8">
              <w:rPr>
                <w:sz w:val="24"/>
                <w:szCs w:val="24"/>
              </w:rPr>
              <w:t>u</w:t>
            </w:r>
            <w:r w:rsidRPr="00D37BB8">
              <w:rPr>
                <w:sz w:val="24"/>
                <w:szCs w:val="24"/>
              </w:rPr>
              <w:t xml:space="preserve"> par iemaksām privātajos pensiju fondos un apdrošināšanas prēmiju maksājumiem</w:t>
            </w:r>
            <w:r w:rsidR="00267C4A" w:rsidRPr="00D37BB8">
              <w:rPr>
                <w:sz w:val="24"/>
                <w:szCs w:val="24"/>
              </w:rPr>
              <w:t xml:space="preserve"> summas</w:t>
            </w:r>
            <w:r w:rsidRPr="00D37BB8">
              <w:rPr>
                <w:sz w:val="24"/>
                <w:szCs w:val="24"/>
              </w:rPr>
              <w:t xml:space="preserve">. </w:t>
            </w:r>
          </w:p>
          <w:p w14:paraId="3A6E8D1B" w14:textId="77777777" w:rsidR="00F021BD" w:rsidRPr="00D37BB8" w:rsidRDefault="00F021BD" w:rsidP="006B4097">
            <w:pPr>
              <w:pStyle w:val="BodyText30"/>
              <w:shd w:val="clear" w:color="auto" w:fill="auto"/>
              <w:spacing w:before="0" w:after="0" w:line="240" w:lineRule="auto"/>
              <w:ind w:left="255" w:right="140"/>
              <w:jc w:val="both"/>
              <w:rPr>
                <w:sz w:val="24"/>
                <w:szCs w:val="24"/>
              </w:rPr>
            </w:pPr>
          </w:p>
          <w:p w14:paraId="3E28071F" w14:textId="77777777" w:rsidR="00267C4A" w:rsidRPr="00D37BB8" w:rsidRDefault="00267C4A"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Grozījumi likuma 10.panta 1.</w:t>
            </w:r>
            <w:r w:rsidRPr="00D37BB8">
              <w:rPr>
                <w:i/>
                <w:sz w:val="24"/>
                <w:szCs w:val="24"/>
                <w:u w:val="single"/>
                <w:vertAlign w:val="superscript"/>
              </w:rPr>
              <w:t xml:space="preserve">3 </w:t>
            </w:r>
            <w:r w:rsidRPr="00D37BB8">
              <w:rPr>
                <w:i/>
                <w:sz w:val="24"/>
                <w:szCs w:val="24"/>
                <w:u w:val="single"/>
              </w:rPr>
              <w:t>daļā</w:t>
            </w:r>
          </w:p>
          <w:p w14:paraId="20A60096" w14:textId="77777777" w:rsidR="00267C4A" w:rsidRPr="00D37BB8" w:rsidRDefault="00267C4A" w:rsidP="006B4097">
            <w:pPr>
              <w:pStyle w:val="Default"/>
              <w:tabs>
                <w:tab w:val="left" w:pos="993"/>
              </w:tabs>
              <w:ind w:left="255" w:right="140"/>
              <w:jc w:val="both"/>
              <w:rPr>
                <w:i/>
              </w:rPr>
            </w:pPr>
            <w:r w:rsidRPr="00D37BB8">
              <w:rPr>
                <w:i/>
              </w:rPr>
              <w:t>(Valsts nodokļu politikas pamatnostādnēs 2018.-2021.gadam ietvertais 1.1.4. uzdevums)</w:t>
            </w:r>
          </w:p>
          <w:p w14:paraId="1B71498B" w14:textId="007CBCF7" w:rsidR="003723D5" w:rsidRPr="00D37BB8" w:rsidRDefault="003723D5" w:rsidP="006B4097">
            <w:pPr>
              <w:pStyle w:val="BodyText30"/>
              <w:shd w:val="clear" w:color="auto" w:fill="auto"/>
              <w:spacing w:before="0" w:after="0" w:line="240" w:lineRule="auto"/>
              <w:ind w:left="255" w:right="140"/>
              <w:jc w:val="both"/>
              <w:rPr>
                <w:sz w:val="24"/>
                <w:szCs w:val="24"/>
              </w:rPr>
            </w:pPr>
            <w:r w:rsidRPr="00D37BB8">
              <w:rPr>
                <w:sz w:val="24"/>
                <w:szCs w:val="24"/>
              </w:rPr>
              <w:t xml:space="preserve">Šobrīd </w:t>
            </w:r>
            <w:r w:rsidRPr="00D37BB8">
              <w:rPr>
                <w:color w:val="414142"/>
                <w:sz w:val="24"/>
                <w:szCs w:val="24"/>
                <w:shd w:val="clear" w:color="auto" w:fill="F1F1F1"/>
              </w:rPr>
              <w:t xml:space="preserve"> </w:t>
            </w:r>
            <w:r w:rsidRPr="00D37BB8">
              <w:rPr>
                <w:sz w:val="24"/>
                <w:szCs w:val="24"/>
              </w:rPr>
              <w:t xml:space="preserve">attaisnotajos izdevumos ietveramā izdevumu - par </w:t>
            </w:r>
            <w:r w:rsidRPr="00D37BB8">
              <w:rPr>
                <w:sz w:val="24"/>
                <w:szCs w:val="24"/>
              </w:rPr>
              <w:lastRenderedPageBreak/>
              <w:t>izglītības un ārstniecisko pakalpojumu izmantošanu - kopējā summa taksācijas gada laikā nedrīkst pārsniegt maksātājam un viņa ģimenes locekļiem 215 </w:t>
            </w:r>
            <w:proofErr w:type="spellStart"/>
            <w:r w:rsidR="005A1D33" w:rsidRPr="00D37BB8">
              <w:rPr>
                <w:i/>
                <w:sz w:val="24"/>
                <w:szCs w:val="24"/>
              </w:rPr>
              <w:t>euro</w:t>
            </w:r>
            <w:proofErr w:type="spellEnd"/>
            <w:r w:rsidRPr="00D37BB8">
              <w:rPr>
                <w:sz w:val="24"/>
                <w:szCs w:val="24"/>
              </w:rPr>
              <w:t> katram. Noteiktais ierobežojums (215 </w:t>
            </w:r>
            <w:proofErr w:type="spellStart"/>
            <w:r w:rsidR="005A1D33" w:rsidRPr="00D37BB8">
              <w:rPr>
                <w:i/>
                <w:sz w:val="24"/>
                <w:szCs w:val="24"/>
              </w:rPr>
              <w:t>euro</w:t>
            </w:r>
            <w:proofErr w:type="spellEnd"/>
            <w:r w:rsidRPr="00D37BB8">
              <w:rPr>
                <w:sz w:val="24"/>
                <w:szCs w:val="24"/>
              </w:rPr>
              <w:t>)  atskaitīšanai no apliekamā ienākuma atļauto izdevumu apmēra neattiecas uz izdevumiem par operācijām, kas ir plānveida veselības aprūpes pakalpojumi, olšūnu punkciju (folikulu iegūšanu, izmantojot punkciju), zobārstniecības pakalpojumiem (ieskaitot zobu protezēšanu), endoprotēžu un citu veidu ar cilvēka organismu savienotu protēžu izgatavošanu un iegādi, ja par to nav samaksāts no Nacionālā veselības dienesta vai citu personu līdzekļiem.</w:t>
            </w:r>
          </w:p>
          <w:p w14:paraId="641F252C" w14:textId="77777777" w:rsidR="00A46CA4" w:rsidRPr="00D37BB8" w:rsidRDefault="00A46CA4" w:rsidP="006B4097">
            <w:pPr>
              <w:pStyle w:val="BodyText30"/>
              <w:shd w:val="clear" w:color="auto" w:fill="auto"/>
              <w:spacing w:before="0" w:after="0" w:line="240" w:lineRule="auto"/>
              <w:ind w:left="255" w:right="140"/>
              <w:jc w:val="both"/>
              <w:rPr>
                <w:sz w:val="24"/>
                <w:szCs w:val="24"/>
              </w:rPr>
            </w:pPr>
            <w:r w:rsidRPr="00D37BB8">
              <w:rPr>
                <w:sz w:val="24"/>
                <w:szCs w:val="24"/>
              </w:rPr>
              <w:t>Šobrīd likuma 10.panta 1.</w:t>
            </w:r>
            <w:r w:rsidRPr="00D37BB8">
              <w:rPr>
                <w:sz w:val="24"/>
                <w:szCs w:val="24"/>
                <w:vertAlign w:val="superscript"/>
              </w:rPr>
              <w:t xml:space="preserve">3 </w:t>
            </w:r>
            <w:r w:rsidRPr="00D37BB8">
              <w:rPr>
                <w:sz w:val="24"/>
                <w:szCs w:val="24"/>
              </w:rPr>
              <w:t xml:space="preserve">daļa nosaka, ka likuma </w:t>
            </w:r>
            <w:r w:rsidR="00F2020B" w:rsidRPr="00D37BB8">
              <w:rPr>
                <w:sz w:val="24"/>
                <w:szCs w:val="24"/>
              </w:rPr>
              <w:t>10.</w:t>
            </w:r>
            <w:r w:rsidRPr="00D37BB8">
              <w:rPr>
                <w:sz w:val="24"/>
                <w:szCs w:val="24"/>
              </w:rPr>
              <w:t>panta pirmās daļas 3., 5., 6. un 8.punktā minētie maksātāja attaisnotie izdevumi kopā nedrīkst pārsniegt 20</w:t>
            </w:r>
            <w:r w:rsidR="00F2020B" w:rsidRPr="00D37BB8">
              <w:rPr>
                <w:sz w:val="24"/>
                <w:szCs w:val="24"/>
              </w:rPr>
              <w:t>%</w:t>
            </w:r>
            <w:r w:rsidRPr="00D37BB8">
              <w:rPr>
                <w:sz w:val="24"/>
                <w:szCs w:val="24"/>
              </w:rPr>
              <w:t xml:space="preserve"> no maksātāja apliekamā ienākuma lieluma.</w:t>
            </w:r>
          </w:p>
          <w:p w14:paraId="19E1F45C" w14:textId="1A0F99AC" w:rsidR="00267C4A" w:rsidRPr="00D37BB8" w:rsidRDefault="00267C4A" w:rsidP="006B4097">
            <w:pPr>
              <w:pStyle w:val="BodyText30"/>
              <w:shd w:val="clear" w:color="auto" w:fill="auto"/>
              <w:spacing w:before="0" w:after="0" w:line="240" w:lineRule="auto"/>
              <w:ind w:left="255" w:right="140"/>
              <w:jc w:val="both"/>
              <w:rPr>
                <w:sz w:val="24"/>
                <w:szCs w:val="24"/>
              </w:rPr>
            </w:pPr>
            <w:r w:rsidRPr="00D37BB8">
              <w:rPr>
                <w:sz w:val="24"/>
                <w:szCs w:val="24"/>
              </w:rPr>
              <w:t xml:space="preserve">Likumprojekts paredz noteikt gan procentuālu (50% no maksātāja gada apliekamā ienākuma), gan summāru ierobežojumu – 600 </w:t>
            </w:r>
            <w:proofErr w:type="spellStart"/>
            <w:r w:rsidR="005A1D33" w:rsidRPr="00D37BB8">
              <w:rPr>
                <w:i/>
                <w:sz w:val="24"/>
                <w:szCs w:val="24"/>
              </w:rPr>
              <w:t>euro</w:t>
            </w:r>
            <w:proofErr w:type="spellEnd"/>
            <w:r w:rsidRPr="00D37BB8">
              <w:rPr>
                <w:sz w:val="24"/>
                <w:szCs w:val="24"/>
              </w:rPr>
              <w:t xml:space="preserve"> gadā (par maksātāju un katru maksātāja ģimenes locekli) – kopējiem attaisnotajiem izdevumiem par ārstniecības un izglītības pakalpojumiem, ziedojumiem, kā arī ziedojumiem politiskajām partijām un bērnu interešu izglītībai (likuma 10.panta 2., 3. un 8.punktā minētie maksātāja attaisnotie izdevumi).</w:t>
            </w:r>
          </w:p>
          <w:p w14:paraId="0C682C11" w14:textId="77777777" w:rsidR="00267C4A" w:rsidRPr="00D37BB8" w:rsidRDefault="00267C4A" w:rsidP="006B4097">
            <w:pPr>
              <w:pStyle w:val="BodyText30"/>
              <w:shd w:val="clear" w:color="auto" w:fill="auto"/>
              <w:spacing w:before="0" w:after="0" w:line="240" w:lineRule="auto"/>
              <w:ind w:left="255" w:right="140"/>
              <w:jc w:val="both"/>
              <w:rPr>
                <w:sz w:val="24"/>
                <w:szCs w:val="24"/>
              </w:rPr>
            </w:pPr>
          </w:p>
          <w:p w14:paraId="136F35F6" w14:textId="77777777" w:rsidR="00863B9D" w:rsidRPr="00D37BB8" w:rsidRDefault="00863B9D"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Likuma 10.panta devītā daļa</w:t>
            </w:r>
          </w:p>
          <w:p w14:paraId="2C75D12C" w14:textId="77777777" w:rsidR="00863B9D" w:rsidRPr="00D37BB8" w:rsidRDefault="00863B9D" w:rsidP="006B4097">
            <w:pPr>
              <w:pStyle w:val="BodyText30"/>
              <w:shd w:val="clear" w:color="auto" w:fill="auto"/>
              <w:spacing w:before="0" w:after="0" w:line="240" w:lineRule="auto"/>
              <w:ind w:left="255" w:right="140"/>
              <w:jc w:val="both"/>
              <w:rPr>
                <w:sz w:val="24"/>
                <w:szCs w:val="24"/>
                <w:u w:val="single"/>
              </w:rPr>
            </w:pPr>
            <w:r w:rsidRPr="00D37BB8">
              <w:rPr>
                <w:sz w:val="24"/>
                <w:szCs w:val="24"/>
                <w:u w:val="single"/>
              </w:rPr>
              <w:t>Agrāk saskaņā ar likumu “Par uzņēmumu ienākuma nodokli” individuāl</w:t>
            </w:r>
            <w:r w:rsidR="00E32A6E" w:rsidRPr="00D37BB8">
              <w:rPr>
                <w:sz w:val="24"/>
                <w:szCs w:val="24"/>
                <w:u w:val="single"/>
              </w:rPr>
              <w:t>ais</w:t>
            </w:r>
            <w:r w:rsidRPr="00D37BB8">
              <w:rPr>
                <w:sz w:val="24"/>
                <w:szCs w:val="24"/>
                <w:u w:val="single"/>
              </w:rPr>
              <w:t xml:space="preserve"> uzņēmum</w:t>
            </w:r>
            <w:r w:rsidR="00E32A6E" w:rsidRPr="00D37BB8">
              <w:rPr>
                <w:sz w:val="24"/>
                <w:szCs w:val="24"/>
                <w:u w:val="single"/>
              </w:rPr>
              <w:t>s</w:t>
            </w:r>
            <w:r w:rsidRPr="00D37BB8">
              <w:rPr>
                <w:sz w:val="24"/>
                <w:szCs w:val="24"/>
                <w:u w:val="single"/>
              </w:rPr>
              <w:t xml:space="preserve"> (zemnieka vai zvejnieka saimniecība</w:t>
            </w:r>
            <w:r w:rsidR="00E32A6E" w:rsidRPr="00D37BB8">
              <w:rPr>
                <w:sz w:val="24"/>
                <w:szCs w:val="24"/>
                <w:u w:val="single"/>
              </w:rPr>
              <w:t xml:space="preserve">), kas bija uzņēmumu ienākuma nodokļa maksātājs, nebija tiesīgs saimnieciskās darbības izdevumos iekļaut valsts sociālās apdrošināšanas obligātās iemaksas, kas veiktas par individuālā uzņēmuma (zemnieka vai zvejnieka saimniecības) īpašnieku kā par </w:t>
            </w:r>
            <w:proofErr w:type="spellStart"/>
            <w:r w:rsidR="00E32A6E" w:rsidRPr="00D37BB8">
              <w:rPr>
                <w:sz w:val="24"/>
                <w:szCs w:val="24"/>
                <w:u w:val="single"/>
              </w:rPr>
              <w:t>pašnodarbinātu</w:t>
            </w:r>
            <w:proofErr w:type="spellEnd"/>
            <w:r w:rsidR="00E32A6E" w:rsidRPr="00D37BB8">
              <w:rPr>
                <w:sz w:val="24"/>
                <w:szCs w:val="24"/>
                <w:u w:val="single"/>
              </w:rPr>
              <w:t xml:space="preserve"> personu.</w:t>
            </w:r>
            <w:r w:rsidR="00454FDD" w:rsidRPr="00D37BB8">
              <w:rPr>
                <w:sz w:val="24"/>
                <w:szCs w:val="24"/>
                <w:u w:val="single"/>
              </w:rPr>
              <w:t xml:space="preserve"> Saskaņā ar jauno Uzņēmumu ienākuma nodokļa likumu individuālais uzņēmums (zemnieka vai zvejnieka saimniecība), kas ir uzņēmumu ienākuma nodokļa maksātājs, saimnieciskās darbības izdevumos varēs iekļaut arī šādus izdevumus. Tas nepieciešams, jo individuālā uzņēmuma īpašniekam var nebūt citi ar iedzīvotāju ienākuma nodokli apliekamie </w:t>
            </w:r>
            <w:r w:rsidR="00942ED1" w:rsidRPr="00D37BB8">
              <w:rPr>
                <w:sz w:val="24"/>
                <w:szCs w:val="24"/>
                <w:u w:val="single"/>
              </w:rPr>
              <w:t xml:space="preserve">taksācijas gada </w:t>
            </w:r>
            <w:r w:rsidR="00454FDD" w:rsidRPr="00D37BB8">
              <w:rPr>
                <w:sz w:val="24"/>
                <w:szCs w:val="24"/>
                <w:u w:val="single"/>
              </w:rPr>
              <w:t xml:space="preserve">ienākumi, kurus tas var samazināt par </w:t>
            </w:r>
            <w:r w:rsidR="00942ED1" w:rsidRPr="00D37BB8">
              <w:rPr>
                <w:sz w:val="24"/>
                <w:szCs w:val="24"/>
                <w:u w:val="single"/>
              </w:rPr>
              <w:t xml:space="preserve">attaisnotajiem izdevumiem - </w:t>
            </w:r>
            <w:r w:rsidR="00454FDD" w:rsidRPr="00D37BB8">
              <w:rPr>
                <w:sz w:val="24"/>
                <w:szCs w:val="24"/>
                <w:u w:val="single"/>
              </w:rPr>
              <w:t xml:space="preserve">valsts sociālās apdrošināšanas </w:t>
            </w:r>
            <w:r w:rsidR="00942ED1" w:rsidRPr="00D37BB8">
              <w:rPr>
                <w:sz w:val="24"/>
                <w:szCs w:val="24"/>
                <w:u w:val="single"/>
              </w:rPr>
              <w:t>obligātajām iemaksām. Tādējādi, lai novērstu, ka minētie izdevumi tiek ņemti vērā divreiz (gan ņemot vērā individuālā uzņēmuma saimnieciskās darbības izdevumos, gan nosakot iedzīvotāju ienākuma nodokļa apliekamo ienākumu), likumprojekts papildināts ar normu, kas neļauj iedzīvotāju ienākuma nodokļa apliekamo ienākumu samazināt par valsts sociālās apdrošināšanas obligātajām iemaksām, kuras jau ņemtas vērā individuālā uzņēmuma (zemnieka vai zvejnieka saimniecības) saimnieciskās darbības izdevumos.</w:t>
            </w:r>
          </w:p>
          <w:p w14:paraId="1B8D4BCC" w14:textId="77777777" w:rsidR="003C2FBB" w:rsidRPr="00D37BB8" w:rsidRDefault="003C2FBB" w:rsidP="006B4097">
            <w:pPr>
              <w:pStyle w:val="BodyText30"/>
              <w:shd w:val="clear" w:color="auto" w:fill="auto"/>
              <w:spacing w:before="0" w:after="0" w:line="240" w:lineRule="auto"/>
              <w:ind w:left="255" w:right="140"/>
              <w:jc w:val="both"/>
              <w:rPr>
                <w:sz w:val="24"/>
                <w:szCs w:val="24"/>
                <w:u w:val="single"/>
              </w:rPr>
            </w:pPr>
          </w:p>
          <w:p w14:paraId="3EE63E4E" w14:textId="048C75BB" w:rsidR="00942ED1" w:rsidRPr="00D37BB8" w:rsidRDefault="00942ED1" w:rsidP="006B4097">
            <w:pPr>
              <w:pStyle w:val="BodyText30"/>
              <w:shd w:val="clear" w:color="auto" w:fill="auto"/>
              <w:spacing w:before="0" w:after="0" w:line="240" w:lineRule="auto"/>
              <w:ind w:left="255" w:right="140"/>
              <w:jc w:val="both"/>
              <w:rPr>
                <w:sz w:val="24"/>
                <w:szCs w:val="24"/>
                <w:u w:val="single"/>
              </w:rPr>
            </w:pPr>
            <w:r w:rsidRPr="00D37BB8">
              <w:rPr>
                <w:sz w:val="24"/>
                <w:szCs w:val="24"/>
                <w:u w:val="single"/>
              </w:rPr>
              <w:t xml:space="preserve">Tāpat likumā veikts precizējums, lai būtu viennozīmīgi skaidrs, ka taksācijas gada ienākumu nedrīkst samazināt par valsts sociālās apdrošināšanas obligātajām iemaksām, kuru iemaksu </w:t>
            </w:r>
            <w:r w:rsidRPr="00D37BB8">
              <w:rPr>
                <w:sz w:val="24"/>
                <w:szCs w:val="24"/>
                <w:u w:val="single"/>
              </w:rPr>
              <w:lastRenderedPageBreak/>
              <w:t xml:space="preserve">objektu Latvijā ar iedzīvotāju ienākuma nodokli neapliek (piemēram, maksātājs kādā no Eiropas Savienības dalībvalstīm </w:t>
            </w:r>
            <w:r w:rsidR="00333EB8" w:rsidRPr="00D37BB8">
              <w:rPr>
                <w:sz w:val="24"/>
                <w:szCs w:val="24"/>
                <w:u w:val="single"/>
              </w:rPr>
              <w:t>gūst algota darba ienākumu, kas tiek aplikts ar iedzīvotāju ienākuma nodokli šajā citā Eiropas Savienības dalībvalstī, bet atbrīvots no nodokļa Latvijā. Attiecīgi arī valsts sociālās apdrošināšanas iemaksas, kas veiktas no šiem ienākumiem, nav iekļaujamas maksātāja attaisnotajos izdevumos).</w:t>
            </w:r>
          </w:p>
          <w:p w14:paraId="21F10E74" w14:textId="77777777" w:rsidR="00863B9D" w:rsidRPr="00D37BB8" w:rsidRDefault="00863B9D" w:rsidP="006B4097">
            <w:pPr>
              <w:pStyle w:val="BodyText30"/>
              <w:shd w:val="clear" w:color="auto" w:fill="auto"/>
              <w:spacing w:before="0" w:after="0" w:line="240" w:lineRule="auto"/>
              <w:ind w:left="255" w:right="140"/>
              <w:jc w:val="both"/>
              <w:rPr>
                <w:sz w:val="24"/>
                <w:szCs w:val="24"/>
              </w:rPr>
            </w:pPr>
          </w:p>
          <w:p w14:paraId="055E94F7" w14:textId="77777777" w:rsidR="00E87824" w:rsidRPr="00D37BB8" w:rsidRDefault="00E87824" w:rsidP="006B4097">
            <w:pPr>
              <w:ind w:left="255" w:right="140"/>
              <w:jc w:val="both"/>
              <w:rPr>
                <w:rFonts w:eastAsiaTheme="minorHAnsi"/>
                <w:i/>
                <w:u w:val="single"/>
                <w:lang w:eastAsia="en-US"/>
              </w:rPr>
            </w:pPr>
            <w:r w:rsidRPr="00D37BB8">
              <w:rPr>
                <w:rFonts w:eastAsiaTheme="minorHAnsi"/>
                <w:i/>
                <w:u w:val="single"/>
                <w:lang w:eastAsia="en-US"/>
              </w:rPr>
              <w:t>Likuma 11.panta 3.</w:t>
            </w:r>
            <w:r w:rsidRPr="00D37BB8">
              <w:rPr>
                <w:rFonts w:eastAsiaTheme="minorHAnsi"/>
                <w:i/>
                <w:u w:val="single"/>
                <w:vertAlign w:val="superscript"/>
                <w:lang w:eastAsia="en-US"/>
              </w:rPr>
              <w:t>1</w:t>
            </w:r>
            <w:r w:rsidRPr="00D37BB8">
              <w:rPr>
                <w:rFonts w:eastAsiaTheme="minorHAnsi"/>
                <w:i/>
                <w:u w:val="single"/>
                <w:lang w:eastAsia="en-US"/>
              </w:rPr>
              <w:t>, 3.</w:t>
            </w:r>
            <w:r w:rsidRPr="00D37BB8">
              <w:rPr>
                <w:rFonts w:eastAsiaTheme="minorHAnsi"/>
                <w:i/>
                <w:u w:val="single"/>
                <w:vertAlign w:val="superscript"/>
                <w:lang w:eastAsia="en-US"/>
              </w:rPr>
              <w:t>2</w:t>
            </w:r>
            <w:r w:rsidRPr="00D37BB8">
              <w:rPr>
                <w:rFonts w:eastAsiaTheme="minorHAnsi"/>
                <w:i/>
                <w:u w:val="single"/>
                <w:lang w:eastAsia="en-US"/>
              </w:rPr>
              <w:t>, 3.</w:t>
            </w:r>
            <w:r w:rsidRPr="00D37BB8">
              <w:rPr>
                <w:rFonts w:eastAsiaTheme="minorHAnsi"/>
                <w:i/>
                <w:u w:val="single"/>
                <w:vertAlign w:val="superscript"/>
                <w:lang w:eastAsia="en-US"/>
              </w:rPr>
              <w:t>3</w:t>
            </w:r>
            <w:r w:rsidRPr="00D37BB8">
              <w:rPr>
                <w:rFonts w:eastAsiaTheme="minorHAnsi"/>
                <w:i/>
                <w:u w:val="single"/>
                <w:lang w:eastAsia="en-US"/>
              </w:rPr>
              <w:t xml:space="preserve"> un 3.</w:t>
            </w:r>
            <w:r w:rsidRPr="00D37BB8">
              <w:rPr>
                <w:rFonts w:eastAsiaTheme="minorHAnsi"/>
                <w:i/>
                <w:u w:val="single"/>
                <w:vertAlign w:val="superscript"/>
                <w:lang w:eastAsia="en-US"/>
              </w:rPr>
              <w:t>4</w:t>
            </w:r>
            <w:r w:rsidRPr="00D37BB8">
              <w:rPr>
                <w:rFonts w:eastAsiaTheme="minorHAnsi"/>
                <w:i/>
                <w:u w:val="single"/>
                <w:lang w:eastAsia="en-US"/>
              </w:rPr>
              <w:t xml:space="preserve"> daļa, grozījumi likuma 11.panta devītajā daļā, likuma 11.</w:t>
            </w:r>
            <w:r w:rsidRPr="00D37BB8">
              <w:rPr>
                <w:rFonts w:eastAsiaTheme="minorHAnsi"/>
                <w:i/>
                <w:u w:val="single"/>
                <w:vertAlign w:val="superscript"/>
                <w:lang w:eastAsia="en-US"/>
              </w:rPr>
              <w:t>1</w:t>
            </w:r>
            <w:r w:rsidRPr="00D37BB8">
              <w:rPr>
                <w:rFonts w:eastAsiaTheme="minorHAnsi"/>
                <w:i/>
                <w:u w:val="single"/>
                <w:lang w:eastAsia="en-US"/>
              </w:rPr>
              <w:t>panta 6.</w:t>
            </w:r>
            <w:r w:rsidRPr="00D37BB8">
              <w:rPr>
                <w:rFonts w:eastAsiaTheme="minorHAnsi"/>
                <w:i/>
                <w:u w:val="single"/>
                <w:vertAlign w:val="superscript"/>
                <w:lang w:eastAsia="en-US"/>
              </w:rPr>
              <w:t>1</w:t>
            </w:r>
            <w:r w:rsidRPr="00D37BB8">
              <w:rPr>
                <w:rFonts w:eastAsiaTheme="minorHAnsi"/>
                <w:i/>
                <w:u w:val="single"/>
                <w:lang w:eastAsia="en-US"/>
              </w:rPr>
              <w:t xml:space="preserve"> daļa, grozījumi likuma 11.</w:t>
            </w:r>
            <w:r w:rsidRPr="00D37BB8">
              <w:rPr>
                <w:rFonts w:eastAsiaTheme="minorHAnsi"/>
                <w:i/>
                <w:u w:val="single"/>
                <w:vertAlign w:val="superscript"/>
                <w:lang w:eastAsia="en-US"/>
              </w:rPr>
              <w:t>1</w:t>
            </w:r>
            <w:r w:rsidRPr="00D37BB8">
              <w:rPr>
                <w:rFonts w:eastAsiaTheme="minorHAnsi"/>
                <w:i/>
                <w:u w:val="single"/>
                <w:lang w:eastAsia="en-US"/>
              </w:rPr>
              <w:t xml:space="preserve">panta astotajā daļā, 19.panta devītajā daļā  </w:t>
            </w:r>
          </w:p>
          <w:p w14:paraId="18856B06" w14:textId="77777777" w:rsidR="00E87824" w:rsidRPr="00D37BB8" w:rsidRDefault="00E87824" w:rsidP="006B4097">
            <w:pPr>
              <w:ind w:left="255" w:right="140"/>
              <w:jc w:val="both"/>
              <w:rPr>
                <w:rFonts w:eastAsiaTheme="minorHAnsi"/>
                <w:i/>
                <w:lang w:eastAsia="en-US"/>
              </w:rPr>
            </w:pPr>
            <w:r w:rsidRPr="00D37BB8">
              <w:rPr>
                <w:rFonts w:eastAsiaTheme="minorHAnsi"/>
                <w:i/>
                <w:lang w:eastAsia="en-US"/>
              </w:rPr>
              <w:t>(Valsts nodokļu politikas pamatnostādnēs 2018.-2021.gadam ietvertais 2.3.1. uzdevums)</w:t>
            </w:r>
            <w:r w:rsidR="00F2020B" w:rsidRPr="00D37BB8">
              <w:rPr>
                <w:rFonts w:eastAsiaTheme="minorHAnsi"/>
                <w:i/>
                <w:lang w:eastAsia="en-US"/>
              </w:rPr>
              <w:t>.</w:t>
            </w:r>
          </w:p>
          <w:p w14:paraId="51678DDC" w14:textId="77777777" w:rsidR="00E87824" w:rsidRPr="00D37BB8" w:rsidRDefault="00E87824" w:rsidP="006B4097">
            <w:pPr>
              <w:ind w:left="255" w:right="140"/>
              <w:jc w:val="both"/>
              <w:rPr>
                <w:rFonts w:eastAsiaTheme="minorHAnsi"/>
                <w:lang w:eastAsia="en-US"/>
              </w:rPr>
            </w:pPr>
            <w:r w:rsidRPr="00D37BB8">
              <w:rPr>
                <w:rFonts w:eastAsiaTheme="minorHAnsi"/>
                <w:lang w:eastAsia="en-US"/>
              </w:rPr>
              <w:t>Šobrīd saimnieciskās darbības veicējs saimnieciskās darbības izdevumos ir tiesīgs iekļaut faktiskos ar saimniecisko darbību saistītos izdevumus, kas nepārsniedz saimnieciskās darbības ieņēmumu apmēru, pārsnieguma daļu uzskatot par saimnieciskās darbības zaudējumiem, kuri sedzami no nākamo trīs taksācijas periodu saimnieciskās darbības ienākumiem.</w:t>
            </w:r>
          </w:p>
          <w:p w14:paraId="0CBA121B" w14:textId="77777777" w:rsidR="00E87824" w:rsidRPr="00D37BB8" w:rsidRDefault="00E87824" w:rsidP="006B4097">
            <w:pPr>
              <w:ind w:left="255" w:right="140"/>
              <w:jc w:val="both"/>
              <w:rPr>
                <w:rFonts w:eastAsiaTheme="minorHAnsi"/>
                <w:lang w:eastAsia="en-US"/>
              </w:rPr>
            </w:pPr>
          </w:p>
          <w:p w14:paraId="59555FD6" w14:textId="77777777" w:rsidR="00E87824" w:rsidRPr="00D37BB8" w:rsidRDefault="00E87824" w:rsidP="006B4097">
            <w:pPr>
              <w:ind w:left="255" w:right="140"/>
              <w:jc w:val="both"/>
              <w:rPr>
                <w:rFonts w:eastAsiaTheme="minorHAnsi"/>
                <w:lang w:eastAsia="en-US"/>
              </w:rPr>
            </w:pPr>
            <w:r w:rsidRPr="00D37BB8">
              <w:rPr>
                <w:rFonts w:eastAsiaTheme="minorHAnsi"/>
                <w:lang w:eastAsia="en-US"/>
              </w:rPr>
              <w:t xml:space="preserve">Likumprojekts paredz, ka turpmāk maksātājs, aprēķinot ar nodokli apliekamo ienākumu no saimnieciskās darbības, saimnieciskās darbības izdevumos būs tiesīgs iekļaut ar saimniecisko darbību saistītos izdevumus tādā apmērā, kas nepārsniedz 80% no fiziskās personas kopējiem saimnieciskās darbības ieņēmumiem, kā arī tiek noteikti atsevišķi saimnieciskās darbības izdevumu veidi, kuri ar saimniecisko darbību saistītajos izdevumos ir iekļaujami pilnā apmērā. </w:t>
            </w:r>
          </w:p>
          <w:p w14:paraId="3B4A8044" w14:textId="77777777" w:rsidR="00E87824" w:rsidRPr="00D37BB8" w:rsidRDefault="00E87824" w:rsidP="006B4097">
            <w:pPr>
              <w:ind w:left="255" w:right="140"/>
              <w:jc w:val="both"/>
              <w:rPr>
                <w:rFonts w:eastAsiaTheme="minorHAnsi"/>
                <w:lang w:eastAsia="en-US"/>
              </w:rPr>
            </w:pPr>
          </w:p>
          <w:p w14:paraId="34277D48" w14:textId="77777777" w:rsidR="00E87824" w:rsidRPr="00D37BB8" w:rsidRDefault="00E87824" w:rsidP="006B4097">
            <w:pPr>
              <w:ind w:left="255" w:right="140"/>
              <w:jc w:val="both"/>
              <w:rPr>
                <w:rFonts w:eastAsiaTheme="minorHAnsi"/>
                <w:lang w:eastAsia="en-US"/>
              </w:rPr>
            </w:pPr>
            <w:r w:rsidRPr="00D37BB8">
              <w:rPr>
                <w:rFonts w:eastAsiaTheme="minorHAnsi"/>
                <w:lang w:eastAsia="en-US"/>
              </w:rPr>
              <w:t>Kārtojot grāmatvedību vienkāršā ieraksta sistēmā, saimnieciskās darbības izdevumos pilnā apmērā ir iekļaujami noteiktie atsevišķie (izņēmuma) izdevumu veidi, savukārt pārējie saimnieciskās darbības izdevumi ir iekļaujami izdevumos tādā apmērā, kas kopā ar noteiktajiem atsevišķajiem (izņēmuma) izdevumu veidiem nepārsniedz 80% apmēru no fiziskās personas kopējiem saimnieciskās darbības ieņēmumiem. Tai pat laikā, maksātāja saimnieciskās darbības zaudējumi (negatīvs saimnieciskās darbības ienākums, neņemot vērā saimnieciskās darbības izdevumu ierobežojuma 80</w:t>
            </w:r>
            <w:r w:rsidR="00F2020B" w:rsidRPr="00D37BB8">
              <w:rPr>
                <w:rFonts w:eastAsiaTheme="minorHAnsi"/>
                <w:lang w:eastAsia="en-US"/>
              </w:rPr>
              <w:t>%</w:t>
            </w:r>
            <w:r w:rsidRPr="00D37BB8">
              <w:rPr>
                <w:rFonts w:eastAsiaTheme="minorHAnsi"/>
                <w:lang w:eastAsia="en-US"/>
              </w:rPr>
              <w:t xml:space="preserve"> apmēru) ir sedzami hronoloģiskā secībā no nākamo triju taksācijas gadu saimnieciskās darbības apliekamā ienākuma, nepārsniedzot likumā noteikto saimnieciskās darbības izdevumu 80% ierobežojuma apmēru.</w:t>
            </w:r>
          </w:p>
          <w:p w14:paraId="69FDFF0E" w14:textId="77777777" w:rsidR="00E87824" w:rsidRPr="00D37BB8" w:rsidRDefault="00E87824" w:rsidP="006B4097">
            <w:pPr>
              <w:ind w:left="255" w:right="140"/>
              <w:jc w:val="both"/>
              <w:rPr>
                <w:rFonts w:eastAsiaTheme="minorHAnsi"/>
                <w:highlight w:val="yellow"/>
                <w:lang w:eastAsia="en-US"/>
              </w:rPr>
            </w:pPr>
          </w:p>
          <w:p w14:paraId="502EBC5D" w14:textId="77777777" w:rsidR="00E87824" w:rsidRPr="00D37BB8" w:rsidRDefault="00E87824" w:rsidP="006B4097">
            <w:pPr>
              <w:ind w:left="255" w:right="140"/>
              <w:jc w:val="both"/>
              <w:rPr>
                <w:rFonts w:eastAsiaTheme="minorHAnsi"/>
                <w:lang w:eastAsia="en-US"/>
              </w:rPr>
            </w:pPr>
            <w:r w:rsidRPr="00D37BB8">
              <w:rPr>
                <w:rFonts w:eastAsiaTheme="minorHAnsi"/>
                <w:lang w:eastAsia="en-US"/>
              </w:rPr>
              <w:t>Savukārt maksātājs, kurš kārto grāmatvedību divkāršā ierakstu sistēmā, pēc likuma 11.</w:t>
            </w:r>
            <w:r w:rsidRPr="00D37BB8">
              <w:rPr>
                <w:rFonts w:eastAsiaTheme="minorHAnsi"/>
                <w:vertAlign w:val="superscript"/>
                <w:lang w:eastAsia="en-US"/>
              </w:rPr>
              <w:t>1</w:t>
            </w:r>
            <w:r w:rsidRPr="00D37BB8">
              <w:rPr>
                <w:rFonts w:eastAsiaTheme="minorHAnsi"/>
                <w:lang w:eastAsia="en-US"/>
              </w:rPr>
              <w:t xml:space="preserve"> pantā noteikto korekciju veikšanas, nodokli aprēķina no summas, kas nav mazāka par 20</w:t>
            </w:r>
            <w:r w:rsidR="00320C1A" w:rsidRPr="00D37BB8">
              <w:rPr>
                <w:rFonts w:eastAsiaTheme="minorHAnsi"/>
                <w:lang w:eastAsia="en-US"/>
              </w:rPr>
              <w:t>%</w:t>
            </w:r>
            <w:r w:rsidRPr="00D37BB8">
              <w:rPr>
                <w:rFonts w:eastAsiaTheme="minorHAnsi"/>
                <w:lang w:eastAsia="en-US"/>
              </w:rPr>
              <w:t xml:space="preserve"> no saimnieciskās darbības ieņēmumiem. Maksātājs taksācijas gada saimnieciskās darbības zaudējumus sedz hronoloģiskā secībā no nākamo triju taksācijas gadu saimnieciskās darbības apliekamā ienākuma, kas tiek noteikts, ievērojot saimnieciskās darbības izdevumu ierobežojuma apmēru.</w:t>
            </w:r>
          </w:p>
          <w:p w14:paraId="2BFD146D" w14:textId="77777777" w:rsidR="00E87824" w:rsidRPr="00D37BB8" w:rsidRDefault="00E87824" w:rsidP="006B4097">
            <w:pPr>
              <w:pStyle w:val="BodyText30"/>
              <w:shd w:val="clear" w:color="auto" w:fill="auto"/>
              <w:spacing w:before="0" w:after="0" w:line="240" w:lineRule="auto"/>
              <w:ind w:left="255" w:right="140"/>
              <w:jc w:val="both"/>
              <w:rPr>
                <w:i/>
                <w:sz w:val="24"/>
                <w:szCs w:val="24"/>
                <w:u w:val="single"/>
              </w:rPr>
            </w:pPr>
          </w:p>
          <w:p w14:paraId="27056EDE" w14:textId="77777777" w:rsidR="001457C4" w:rsidRPr="00D37BB8" w:rsidRDefault="001457C4" w:rsidP="006B4097">
            <w:pPr>
              <w:pStyle w:val="BodyText30"/>
              <w:shd w:val="clear" w:color="auto" w:fill="auto"/>
              <w:spacing w:before="0" w:after="0" w:line="240" w:lineRule="auto"/>
              <w:ind w:left="255" w:right="140"/>
              <w:jc w:val="both"/>
              <w:rPr>
                <w:sz w:val="24"/>
                <w:szCs w:val="24"/>
              </w:rPr>
            </w:pPr>
            <w:r w:rsidRPr="00D37BB8">
              <w:rPr>
                <w:i/>
                <w:sz w:val="24"/>
                <w:szCs w:val="24"/>
                <w:u w:val="single"/>
              </w:rPr>
              <w:t xml:space="preserve">Grozījumi likuma 11.panta divpadsmitajā daļā, </w:t>
            </w:r>
          </w:p>
          <w:p w14:paraId="167B0940" w14:textId="77777777" w:rsidR="00D45EF3" w:rsidRPr="00D37BB8" w:rsidRDefault="003E002B" w:rsidP="006B4097">
            <w:pPr>
              <w:pStyle w:val="BodyText30"/>
              <w:shd w:val="clear" w:color="auto" w:fill="auto"/>
              <w:spacing w:before="0" w:after="0" w:line="240" w:lineRule="auto"/>
              <w:ind w:left="255" w:right="140"/>
              <w:jc w:val="both"/>
              <w:rPr>
                <w:sz w:val="24"/>
                <w:szCs w:val="24"/>
                <w:u w:val="single"/>
              </w:rPr>
            </w:pPr>
            <w:r w:rsidRPr="00D37BB8">
              <w:rPr>
                <w:sz w:val="24"/>
                <w:szCs w:val="24"/>
                <w:u w:val="single"/>
              </w:rPr>
              <w:t>Lai ma</w:t>
            </w:r>
            <w:r w:rsidR="00863B9D" w:rsidRPr="00D37BB8">
              <w:rPr>
                <w:sz w:val="24"/>
                <w:szCs w:val="24"/>
                <w:u w:val="single"/>
              </w:rPr>
              <w:t>zinātu administratīvo slogu maksātājam, likumprojekts paredz, ja maksātājs, kas gūst likuma 11.panta divpadsmitajā daļā minētos ienākumus (piemēram, no nekustamā īpašuma izīrēšanas un iznomāšanas), nereģistrējot saimniecisko darbību, ir tiesīgs saimnieciskās darbības ieņēmumus neuzskaitīt ieņēmumu uzskaites reģistrā, ja saimnieciskās darbības ieņēmumi ir gūti tikai bezskaidras naudas veidā.</w:t>
            </w:r>
          </w:p>
          <w:p w14:paraId="091EA47C" w14:textId="77777777" w:rsidR="003E002B" w:rsidRPr="00D37BB8" w:rsidRDefault="003E002B" w:rsidP="006B4097">
            <w:pPr>
              <w:pStyle w:val="BodyText30"/>
              <w:shd w:val="clear" w:color="auto" w:fill="auto"/>
              <w:spacing w:before="0" w:after="0" w:line="240" w:lineRule="auto"/>
              <w:ind w:left="255" w:right="140"/>
              <w:jc w:val="both"/>
              <w:rPr>
                <w:sz w:val="24"/>
                <w:szCs w:val="24"/>
              </w:rPr>
            </w:pPr>
          </w:p>
          <w:p w14:paraId="7798E06A" w14:textId="77777777" w:rsidR="00D6033A" w:rsidRPr="00D37BB8" w:rsidRDefault="00D6033A" w:rsidP="006B4097">
            <w:pPr>
              <w:ind w:left="255" w:right="140"/>
              <w:jc w:val="both"/>
              <w:rPr>
                <w:rFonts w:eastAsiaTheme="minorHAnsi"/>
                <w:i/>
                <w:u w:val="single"/>
                <w:lang w:eastAsia="en-US"/>
              </w:rPr>
            </w:pPr>
            <w:r w:rsidRPr="00D37BB8">
              <w:rPr>
                <w:rFonts w:eastAsiaTheme="minorHAnsi"/>
                <w:i/>
                <w:u w:val="single"/>
                <w:lang w:eastAsia="en-US"/>
              </w:rPr>
              <w:t xml:space="preserve">Grozījumi </w:t>
            </w:r>
            <w:r w:rsidR="006D55DC" w:rsidRPr="00D37BB8">
              <w:rPr>
                <w:rFonts w:eastAsiaTheme="minorHAnsi"/>
                <w:i/>
                <w:u w:val="single"/>
                <w:lang w:eastAsia="en-US"/>
              </w:rPr>
              <w:t xml:space="preserve">likuma </w:t>
            </w:r>
            <w:r w:rsidRPr="00D37BB8">
              <w:rPr>
                <w:rFonts w:eastAsiaTheme="minorHAnsi"/>
                <w:i/>
                <w:u w:val="single"/>
                <w:lang w:eastAsia="en-US"/>
              </w:rPr>
              <w:t>11.</w:t>
            </w:r>
            <w:r w:rsidRPr="00D37BB8">
              <w:rPr>
                <w:rFonts w:eastAsiaTheme="minorHAnsi"/>
                <w:i/>
                <w:u w:val="single"/>
                <w:vertAlign w:val="superscript"/>
                <w:lang w:eastAsia="en-US"/>
              </w:rPr>
              <w:t>10</w:t>
            </w:r>
            <w:r w:rsidRPr="00D37BB8">
              <w:rPr>
                <w:rFonts w:eastAsiaTheme="minorHAnsi"/>
                <w:i/>
                <w:u w:val="single"/>
                <w:lang w:eastAsia="en-US"/>
              </w:rPr>
              <w:t xml:space="preserve"> panta devītās daļas 1.punktā</w:t>
            </w:r>
          </w:p>
          <w:p w14:paraId="3EE64BA1" w14:textId="77777777" w:rsidR="00D6033A" w:rsidRPr="00D37BB8" w:rsidRDefault="00D6033A" w:rsidP="006B4097">
            <w:pPr>
              <w:ind w:left="255" w:right="140"/>
              <w:jc w:val="both"/>
              <w:rPr>
                <w:rFonts w:eastAsiaTheme="minorHAnsi"/>
                <w:i/>
                <w:lang w:eastAsia="en-US"/>
              </w:rPr>
            </w:pPr>
            <w:r w:rsidRPr="00D37BB8">
              <w:rPr>
                <w:rFonts w:eastAsiaTheme="minorHAnsi"/>
                <w:i/>
                <w:lang w:eastAsia="en-US"/>
              </w:rPr>
              <w:t>(Valsts nodokļu politikas pamatnostādnēs 2018.-2021.gadam ietvertais 2.3.6. uzdevums)</w:t>
            </w:r>
            <w:r w:rsidR="00A66C19" w:rsidRPr="00D37BB8">
              <w:rPr>
                <w:rFonts w:eastAsiaTheme="minorHAnsi"/>
                <w:i/>
                <w:lang w:eastAsia="en-US"/>
              </w:rPr>
              <w:t>.</w:t>
            </w:r>
          </w:p>
          <w:p w14:paraId="23F0228D" w14:textId="224A4DE9" w:rsidR="00D6033A" w:rsidRPr="00D37BB8" w:rsidRDefault="00D6033A" w:rsidP="006B4097">
            <w:pPr>
              <w:ind w:left="255" w:right="140"/>
              <w:jc w:val="both"/>
            </w:pPr>
            <w:r w:rsidRPr="00D37BB8">
              <w:rPr>
                <w:rFonts w:eastAsiaTheme="minorHAnsi"/>
                <w:lang w:eastAsia="en-US"/>
              </w:rPr>
              <w:t xml:space="preserve">Šobrīd iedzīvotāju ienākuma nodokļa vietā samazināto patentmaksu (17 </w:t>
            </w:r>
            <w:proofErr w:type="spellStart"/>
            <w:r w:rsidR="005A1D33" w:rsidRPr="00D37BB8">
              <w:rPr>
                <w:rFonts w:eastAsiaTheme="minorHAnsi"/>
                <w:i/>
                <w:lang w:eastAsia="en-US"/>
              </w:rPr>
              <w:t>euro</w:t>
            </w:r>
            <w:proofErr w:type="spellEnd"/>
            <w:r w:rsidRPr="00D37BB8">
              <w:rPr>
                <w:rFonts w:eastAsiaTheme="minorHAnsi"/>
                <w:lang w:eastAsia="en-US"/>
              </w:rPr>
              <w:t xml:space="preserve"> gadā vai deviņi </w:t>
            </w:r>
            <w:proofErr w:type="spellStart"/>
            <w:r w:rsidR="005A1D33" w:rsidRPr="00D37BB8">
              <w:rPr>
                <w:rFonts w:eastAsiaTheme="minorHAnsi"/>
                <w:i/>
                <w:lang w:eastAsia="en-US"/>
              </w:rPr>
              <w:t>euro</w:t>
            </w:r>
            <w:proofErr w:type="spellEnd"/>
            <w:r w:rsidRPr="00D37BB8">
              <w:rPr>
                <w:rFonts w:eastAsiaTheme="minorHAnsi"/>
                <w:lang w:eastAsia="en-US"/>
              </w:rPr>
              <w:t xml:space="preserve"> pusgadā) ir </w:t>
            </w:r>
            <w:r w:rsidRPr="00D37BB8">
              <w:t>tiesības maksāt personai, ja ir izpildīti šādi nosacījumi:</w:t>
            </w:r>
          </w:p>
          <w:p w14:paraId="4E6A4481" w14:textId="77777777" w:rsidR="00D6033A" w:rsidRPr="00D37BB8" w:rsidRDefault="00D6033A" w:rsidP="006B4097">
            <w:pPr>
              <w:ind w:left="255" w:right="140"/>
              <w:jc w:val="both"/>
            </w:pPr>
            <w:r w:rsidRPr="00D37BB8">
              <w:t xml:space="preserve">1) tai ir piešķirta vecuma pensija (tai skaitā priekšlaicīgi) un tai ir tiesības piemērot pensionāra neapliekamo minimumu; </w:t>
            </w:r>
          </w:p>
          <w:p w14:paraId="5DD2D510" w14:textId="485D2249" w:rsidR="00D6033A" w:rsidRPr="00D37BB8" w:rsidRDefault="00D6033A" w:rsidP="006B4097">
            <w:pPr>
              <w:ind w:left="255" w:right="140"/>
              <w:jc w:val="both"/>
            </w:pPr>
            <w:r w:rsidRPr="00D37BB8">
              <w:t xml:space="preserve">2) tās saimnieciskās darbības ieņēmumi pirmstaksācijas gadā nepārsniedz 3000 </w:t>
            </w:r>
            <w:proofErr w:type="spellStart"/>
            <w:r w:rsidR="005A1D33" w:rsidRPr="00D37BB8">
              <w:rPr>
                <w:i/>
              </w:rPr>
              <w:t>euro</w:t>
            </w:r>
            <w:proofErr w:type="spellEnd"/>
            <w:r w:rsidRPr="00D37BB8">
              <w:t>;</w:t>
            </w:r>
          </w:p>
          <w:p w14:paraId="7C44BC99" w14:textId="77777777" w:rsidR="00D6033A" w:rsidRPr="00D37BB8" w:rsidRDefault="00D6033A" w:rsidP="006B4097">
            <w:pPr>
              <w:ind w:left="255" w:right="140"/>
              <w:jc w:val="both"/>
            </w:pPr>
            <w:r w:rsidRPr="00D37BB8">
              <w:t>3) tā nav citas juridiskās formas saimnieciskās darbības veicēja un nenodarbina citas personas;</w:t>
            </w:r>
          </w:p>
          <w:p w14:paraId="74042819" w14:textId="77777777" w:rsidR="00D6033A" w:rsidRPr="00D37BB8" w:rsidRDefault="00D6033A" w:rsidP="006B4097">
            <w:pPr>
              <w:ind w:left="255" w:right="140"/>
              <w:jc w:val="both"/>
            </w:pPr>
            <w:r w:rsidRPr="00D37BB8">
              <w:t>4) tā nav algas nodokļa maksātājs.</w:t>
            </w:r>
          </w:p>
          <w:p w14:paraId="5E834449" w14:textId="77777777" w:rsidR="00D6033A" w:rsidRPr="00D37BB8" w:rsidRDefault="00D6033A" w:rsidP="006B4097">
            <w:pPr>
              <w:ind w:left="255" w:right="140"/>
              <w:jc w:val="both"/>
            </w:pPr>
          </w:p>
          <w:p w14:paraId="6CDF9270" w14:textId="77777777" w:rsidR="00D6033A" w:rsidRPr="00D37BB8" w:rsidRDefault="00D6033A" w:rsidP="006B4097">
            <w:pPr>
              <w:ind w:left="255" w:right="140"/>
              <w:jc w:val="both"/>
            </w:pPr>
            <w:r w:rsidRPr="00D37BB8">
              <w:t>Likumprojekts paredz, ka sākot ar 2018.gada 1.janvāri, samazināto patentmaksu būs tiesīga maksāt arī persona, kura saskaņā ar normatīvajiem aktiem ir atzīta par personu ar 1. vai 2.grupas invaliditāti un vienlaicīgi izpilda pārējos likumā minētos nosacījumus (izņemot – vecuma pensijas piešķiršanas un</w:t>
            </w:r>
            <w:r w:rsidRPr="00D37BB8">
              <w:rPr>
                <w:rFonts w:eastAsiaTheme="minorHAnsi"/>
                <w:lang w:eastAsia="en-US"/>
              </w:rPr>
              <w:t xml:space="preserve"> </w:t>
            </w:r>
            <w:r w:rsidRPr="00D37BB8">
              <w:t>pensionāra neapliekamā minimuma piemērošanas faktu).</w:t>
            </w:r>
          </w:p>
          <w:p w14:paraId="5801BE6F" w14:textId="77777777" w:rsidR="00D6033A" w:rsidRPr="00D37BB8" w:rsidRDefault="00D6033A" w:rsidP="006B4097">
            <w:pPr>
              <w:pStyle w:val="BodyText30"/>
              <w:shd w:val="clear" w:color="auto" w:fill="auto"/>
              <w:spacing w:before="0" w:after="0" w:line="240" w:lineRule="auto"/>
              <w:ind w:left="255" w:right="140"/>
              <w:jc w:val="both"/>
              <w:rPr>
                <w:sz w:val="24"/>
                <w:szCs w:val="24"/>
              </w:rPr>
            </w:pPr>
          </w:p>
          <w:p w14:paraId="55F389F4" w14:textId="77777777" w:rsidR="006D1FDA" w:rsidRPr="00D37BB8" w:rsidRDefault="008C4E65"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Grozījumi likuma 12.panta piektajā daļā</w:t>
            </w:r>
            <w:r w:rsidR="00DC72FF" w:rsidRPr="00D37BB8">
              <w:rPr>
                <w:i/>
                <w:sz w:val="24"/>
                <w:szCs w:val="24"/>
                <w:u w:val="single"/>
              </w:rPr>
              <w:t xml:space="preserve"> un</w:t>
            </w:r>
            <w:r w:rsidRPr="00D37BB8">
              <w:rPr>
                <w:i/>
                <w:sz w:val="24"/>
                <w:szCs w:val="24"/>
                <w:u w:val="single"/>
              </w:rPr>
              <w:t xml:space="preserve"> </w:t>
            </w:r>
            <w:r w:rsidR="00445C40" w:rsidRPr="00D37BB8">
              <w:rPr>
                <w:i/>
                <w:sz w:val="24"/>
                <w:szCs w:val="24"/>
                <w:u w:val="single"/>
              </w:rPr>
              <w:t xml:space="preserve">pārejas noteikumu </w:t>
            </w:r>
            <w:r w:rsidR="00780EC8" w:rsidRPr="00D37BB8">
              <w:rPr>
                <w:i/>
                <w:sz w:val="24"/>
                <w:szCs w:val="24"/>
                <w:u w:val="single"/>
              </w:rPr>
              <w:t>127.</w:t>
            </w:r>
            <w:r w:rsidR="00445C40" w:rsidRPr="00D37BB8">
              <w:rPr>
                <w:i/>
                <w:sz w:val="24"/>
                <w:szCs w:val="24"/>
                <w:u w:val="single"/>
              </w:rPr>
              <w:t>punkts</w:t>
            </w:r>
          </w:p>
          <w:p w14:paraId="7B00497A" w14:textId="77777777" w:rsidR="00445C40" w:rsidRPr="00D37BB8" w:rsidRDefault="00445C40" w:rsidP="006B4097">
            <w:pPr>
              <w:pStyle w:val="BodyText30"/>
              <w:shd w:val="clear" w:color="auto" w:fill="auto"/>
              <w:spacing w:before="0" w:after="0" w:line="240" w:lineRule="auto"/>
              <w:ind w:left="255" w:right="140"/>
              <w:jc w:val="both"/>
              <w:rPr>
                <w:i/>
                <w:sz w:val="24"/>
                <w:szCs w:val="24"/>
              </w:rPr>
            </w:pPr>
            <w:r w:rsidRPr="00D37BB8">
              <w:rPr>
                <w:i/>
                <w:sz w:val="24"/>
                <w:szCs w:val="24"/>
              </w:rPr>
              <w:t>(Valsts nodokļu politikas pamatnostādnēs 2018.-2021.gadam ietvertais 1.4.1. uzdevums)</w:t>
            </w:r>
            <w:r w:rsidR="00A66C19" w:rsidRPr="00D37BB8">
              <w:rPr>
                <w:i/>
                <w:sz w:val="24"/>
                <w:szCs w:val="24"/>
              </w:rPr>
              <w:t>.</w:t>
            </w:r>
          </w:p>
          <w:p w14:paraId="550FC67A" w14:textId="6BE64FBD" w:rsidR="00780EC8" w:rsidRPr="00D37BB8" w:rsidRDefault="00780EC8" w:rsidP="006B4097">
            <w:pPr>
              <w:pStyle w:val="BodyText30"/>
              <w:shd w:val="clear" w:color="auto" w:fill="auto"/>
              <w:spacing w:before="0" w:after="0" w:line="240" w:lineRule="auto"/>
              <w:ind w:left="255" w:right="140"/>
              <w:jc w:val="both"/>
              <w:rPr>
                <w:sz w:val="24"/>
                <w:szCs w:val="24"/>
              </w:rPr>
            </w:pPr>
            <w:r w:rsidRPr="00D37BB8">
              <w:rPr>
                <w:sz w:val="24"/>
                <w:szCs w:val="24"/>
              </w:rPr>
              <w:t xml:space="preserve">Šobrīd personām, kurām piešķirta pensija (ieskaitot piemaksu pie pensijas par apdrošināšanas stāžu, kas uzkrāts līdz 1995.gada 31.decembrim) vai pārrēķināta pensija pēc 1996.gada 1.janvāra atbilstoši likumam </w:t>
            </w:r>
            <w:r w:rsidR="005E502A" w:rsidRPr="00D37BB8">
              <w:rPr>
                <w:sz w:val="24"/>
                <w:szCs w:val="24"/>
              </w:rPr>
              <w:t>“</w:t>
            </w:r>
            <w:hyperlink r:id="rId9" w:tgtFrame="_blank" w:history="1">
              <w:r w:rsidRPr="00D37BB8">
                <w:rPr>
                  <w:sz w:val="24"/>
                  <w:szCs w:val="24"/>
                </w:rPr>
                <w:t>Par valsts pensijām</w:t>
              </w:r>
            </w:hyperlink>
            <w:r w:rsidR="005E502A" w:rsidRPr="00D37BB8">
              <w:rPr>
                <w:sz w:val="24"/>
                <w:szCs w:val="24"/>
              </w:rPr>
              <w:t>”</w:t>
            </w:r>
            <w:r w:rsidRPr="00D37BB8">
              <w:rPr>
                <w:sz w:val="24"/>
                <w:szCs w:val="24"/>
              </w:rPr>
              <w:t xml:space="preserve"> vai izdienas pensija, vai speciālā valsts pensija atbilstoši Latvijas Republikas normatīvajiem aktiem, vai pensija atbilstoši ārvalsts normatīvajiem aktiem, vai noslēgts mūža pensijas apdrošināšanas līgums (ar uzkrāto </w:t>
            </w:r>
            <w:proofErr w:type="spellStart"/>
            <w:r w:rsidRPr="00D37BB8">
              <w:rPr>
                <w:sz w:val="24"/>
                <w:szCs w:val="24"/>
              </w:rPr>
              <w:t>fondētās</w:t>
            </w:r>
            <w:proofErr w:type="spellEnd"/>
            <w:r w:rsidRPr="00D37BB8">
              <w:rPr>
                <w:sz w:val="24"/>
                <w:szCs w:val="24"/>
              </w:rPr>
              <w:t xml:space="preserve"> pensijas kapitālu atbilstoši </w:t>
            </w:r>
            <w:hyperlink r:id="rId10" w:tgtFrame="_blank" w:history="1">
              <w:r w:rsidRPr="00D37BB8">
                <w:rPr>
                  <w:sz w:val="24"/>
                  <w:szCs w:val="24"/>
                </w:rPr>
                <w:t xml:space="preserve">Valsts </w:t>
              </w:r>
              <w:proofErr w:type="spellStart"/>
              <w:r w:rsidRPr="00D37BB8">
                <w:rPr>
                  <w:sz w:val="24"/>
                  <w:szCs w:val="24"/>
                </w:rPr>
                <w:t>fondēto</w:t>
              </w:r>
              <w:proofErr w:type="spellEnd"/>
              <w:r w:rsidRPr="00D37BB8">
                <w:rPr>
                  <w:sz w:val="24"/>
                  <w:szCs w:val="24"/>
                </w:rPr>
                <w:t xml:space="preserve"> pensiju likumam</w:t>
              </w:r>
            </w:hyperlink>
            <w:r w:rsidRPr="00D37BB8">
              <w:rPr>
                <w:sz w:val="24"/>
                <w:szCs w:val="24"/>
              </w:rPr>
              <w:t>), neapliekamais minimums ir 2820 </w:t>
            </w:r>
            <w:proofErr w:type="spellStart"/>
            <w:r w:rsidR="005A1D33" w:rsidRPr="00D37BB8">
              <w:rPr>
                <w:i/>
                <w:sz w:val="24"/>
                <w:szCs w:val="24"/>
              </w:rPr>
              <w:t>euro</w:t>
            </w:r>
            <w:proofErr w:type="spellEnd"/>
            <w:r w:rsidRPr="00D37BB8">
              <w:rPr>
                <w:sz w:val="24"/>
                <w:szCs w:val="24"/>
              </w:rPr>
              <w:t xml:space="preserve"> gadā. </w:t>
            </w:r>
          </w:p>
          <w:p w14:paraId="593E2B95" w14:textId="6E481FBE" w:rsidR="00445C40" w:rsidRPr="00D37BB8" w:rsidRDefault="00AA54CC" w:rsidP="006B4097">
            <w:pPr>
              <w:pStyle w:val="BodyText30"/>
              <w:shd w:val="clear" w:color="auto" w:fill="auto"/>
              <w:spacing w:before="0" w:after="0" w:line="240" w:lineRule="auto"/>
              <w:ind w:left="255" w:right="140"/>
              <w:jc w:val="both"/>
              <w:rPr>
                <w:sz w:val="24"/>
                <w:szCs w:val="24"/>
              </w:rPr>
            </w:pPr>
            <w:r w:rsidRPr="00D37BB8">
              <w:rPr>
                <w:sz w:val="24"/>
                <w:szCs w:val="24"/>
              </w:rPr>
              <w:t xml:space="preserve">Likumprojekts paredz paaugstināt pensionāra neapliekamo minimumu 2018.gadā līdz </w:t>
            </w:r>
            <w:r w:rsidR="00780EC8" w:rsidRPr="00D37BB8">
              <w:rPr>
                <w:sz w:val="24"/>
                <w:szCs w:val="24"/>
              </w:rPr>
              <w:t xml:space="preserve">3000 </w:t>
            </w:r>
            <w:proofErr w:type="spellStart"/>
            <w:r w:rsidR="005A1D33" w:rsidRPr="00D37BB8">
              <w:rPr>
                <w:i/>
                <w:sz w:val="24"/>
                <w:szCs w:val="24"/>
              </w:rPr>
              <w:t>euro</w:t>
            </w:r>
            <w:proofErr w:type="spellEnd"/>
            <w:r w:rsidR="00780EC8" w:rsidRPr="00D37BB8">
              <w:rPr>
                <w:sz w:val="24"/>
                <w:szCs w:val="24"/>
              </w:rPr>
              <w:t xml:space="preserve"> (</w:t>
            </w:r>
            <w:r w:rsidRPr="00D37BB8">
              <w:rPr>
                <w:sz w:val="24"/>
                <w:szCs w:val="24"/>
              </w:rPr>
              <w:t xml:space="preserve">250 </w:t>
            </w:r>
            <w:proofErr w:type="spellStart"/>
            <w:r w:rsidR="005A1D33" w:rsidRPr="00D37BB8">
              <w:rPr>
                <w:i/>
                <w:sz w:val="24"/>
                <w:szCs w:val="24"/>
              </w:rPr>
              <w:t>euro</w:t>
            </w:r>
            <w:proofErr w:type="spellEnd"/>
            <w:r w:rsidRPr="00D37BB8">
              <w:rPr>
                <w:sz w:val="24"/>
                <w:szCs w:val="24"/>
              </w:rPr>
              <w:t xml:space="preserve"> mēnesī</w:t>
            </w:r>
            <w:r w:rsidR="00780EC8" w:rsidRPr="00D37BB8">
              <w:rPr>
                <w:sz w:val="24"/>
                <w:szCs w:val="24"/>
              </w:rPr>
              <w:t xml:space="preserve">) </w:t>
            </w:r>
            <w:r w:rsidRPr="00D37BB8">
              <w:rPr>
                <w:sz w:val="24"/>
                <w:szCs w:val="24"/>
              </w:rPr>
              <w:t xml:space="preserve">, 2019.gadā – līdz </w:t>
            </w:r>
            <w:r w:rsidR="00780EC8" w:rsidRPr="00D37BB8">
              <w:rPr>
                <w:sz w:val="24"/>
                <w:szCs w:val="24"/>
              </w:rPr>
              <w:t xml:space="preserve">3240 </w:t>
            </w:r>
            <w:proofErr w:type="spellStart"/>
            <w:r w:rsidR="005A1D33" w:rsidRPr="00D37BB8">
              <w:rPr>
                <w:i/>
                <w:sz w:val="24"/>
                <w:szCs w:val="24"/>
              </w:rPr>
              <w:t>euro</w:t>
            </w:r>
            <w:proofErr w:type="spellEnd"/>
            <w:r w:rsidR="00780EC8" w:rsidRPr="00D37BB8">
              <w:rPr>
                <w:sz w:val="24"/>
                <w:szCs w:val="24"/>
              </w:rPr>
              <w:t xml:space="preserve"> (</w:t>
            </w:r>
            <w:r w:rsidRPr="00D37BB8">
              <w:rPr>
                <w:sz w:val="24"/>
                <w:szCs w:val="24"/>
              </w:rPr>
              <w:t xml:space="preserve">270 </w:t>
            </w:r>
            <w:proofErr w:type="spellStart"/>
            <w:r w:rsidR="005A1D33" w:rsidRPr="00D37BB8">
              <w:rPr>
                <w:i/>
                <w:sz w:val="24"/>
                <w:szCs w:val="24"/>
              </w:rPr>
              <w:t>euro</w:t>
            </w:r>
            <w:proofErr w:type="spellEnd"/>
            <w:r w:rsidRPr="00D37BB8">
              <w:rPr>
                <w:sz w:val="24"/>
                <w:szCs w:val="24"/>
              </w:rPr>
              <w:t xml:space="preserve"> mēnesī</w:t>
            </w:r>
            <w:r w:rsidR="00780EC8" w:rsidRPr="00D37BB8">
              <w:rPr>
                <w:sz w:val="24"/>
                <w:szCs w:val="24"/>
              </w:rPr>
              <w:t>)</w:t>
            </w:r>
            <w:r w:rsidRPr="00D37BB8">
              <w:rPr>
                <w:sz w:val="24"/>
                <w:szCs w:val="24"/>
              </w:rPr>
              <w:t xml:space="preserve"> un sākot no 2020.gada – līdz</w:t>
            </w:r>
            <w:r w:rsidR="00D44F9D" w:rsidRPr="00D37BB8">
              <w:rPr>
                <w:sz w:val="24"/>
                <w:szCs w:val="24"/>
              </w:rPr>
              <w:t xml:space="preserve">   3600 </w:t>
            </w:r>
            <w:proofErr w:type="spellStart"/>
            <w:r w:rsidR="005A1D33" w:rsidRPr="00D37BB8">
              <w:rPr>
                <w:i/>
                <w:sz w:val="24"/>
                <w:szCs w:val="24"/>
              </w:rPr>
              <w:t>euro</w:t>
            </w:r>
            <w:proofErr w:type="spellEnd"/>
            <w:r w:rsidRPr="00D37BB8">
              <w:rPr>
                <w:sz w:val="24"/>
                <w:szCs w:val="24"/>
              </w:rPr>
              <w:t xml:space="preserve"> </w:t>
            </w:r>
            <w:r w:rsidR="00780EC8" w:rsidRPr="00D37BB8">
              <w:rPr>
                <w:sz w:val="24"/>
                <w:szCs w:val="24"/>
              </w:rPr>
              <w:t>(</w:t>
            </w:r>
            <w:r w:rsidRPr="00D37BB8">
              <w:rPr>
                <w:sz w:val="24"/>
                <w:szCs w:val="24"/>
              </w:rPr>
              <w:t xml:space="preserve">300 </w:t>
            </w:r>
            <w:proofErr w:type="spellStart"/>
            <w:r w:rsidR="005A1D33" w:rsidRPr="00D37BB8">
              <w:rPr>
                <w:i/>
                <w:sz w:val="24"/>
                <w:szCs w:val="24"/>
              </w:rPr>
              <w:t>euro</w:t>
            </w:r>
            <w:proofErr w:type="spellEnd"/>
            <w:r w:rsidRPr="00D37BB8">
              <w:rPr>
                <w:sz w:val="24"/>
                <w:szCs w:val="24"/>
              </w:rPr>
              <w:t xml:space="preserve"> mēnesī</w:t>
            </w:r>
            <w:r w:rsidR="00780EC8" w:rsidRPr="00D37BB8">
              <w:rPr>
                <w:sz w:val="24"/>
                <w:szCs w:val="24"/>
              </w:rPr>
              <w:t>)</w:t>
            </w:r>
            <w:r w:rsidRPr="00D37BB8">
              <w:rPr>
                <w:sz w:val="24"/>
                <w:szCs w:val="24"/>
              </w:rPr>
              <w:t>.</w:t>
            </w:r>
          </w:p>
          <w:p w14:paraId="3DBFE60C" w14:textId="77777777" w:rsidR="00B750A0" w:rsidRPr="00D37BB8" w:rsidRDefault="00B750A0" w:rsidP="006B4097">
            <w:pPr>
              <w:pStyle w:val="BodyText30"/>
              <w:shd w:val="clear" w:color="auto" w:fill="auto"/>
              <w:spacing w:before="0" w:after="0" w:line="240" w:lineRule="auto"/>
              <w:ind w:left="255" w:right="140"/>
              <w:jc w:val="both"/>
              <w:rPr>
                <w:sz w:val="24"/>
                <w:szCs w:val="24"/>
              </w:rPr>
            </w:pPr>
          </w:p>
          <w:p w14:paraId="05E93E9E" w14:textId="77777777" w:rsidR="003B6B36" w:rsidRPr="00D37BB8" w:rsidRDefault="003B6B36" w:rsidP="006B4097">
            <w:pPr>
              <w:tabs>
                <w:tab w:val="left" w:pos="2127"/>
                <w:tab w:val="center" w:pos="4153"/>
                <w:tab w:val="left" w:pos="6096"/>
                <w:tab w:val="right" w:pos="8306"/>
              </w:tabs>
              <w:ind w:left="255" w:right="140"/>
              <w:jc w:val="both"/>
              <w:rPr>
                <w:i/>
                <w:u w:val="single"/>
              </w:rPr>
            </w:pPr>
            <w:r w:rsidRPr="00D37BB8">
              <w:rPr>
                <w:i/>
                <w:u w:val="single"/>
              </w:rPr>
              <w:t xml:space="preserve">Grozījumi </w:t>
            </w:r>
            <w:r w:rsidR="00140E16" w:rsidRPr="00D37BB8">
              <w:rPr>
                <w:i/>
                <w:u w:val="single"/>
              </w:rPr>
              <w:t xml:space="preserve">likuma </w:t>
            </w:r>
            <w:r w:rsidRPr="00D37BB8">
              <w:rPr>
                <w:i/>
                <w:u w:val="single"/>
              </w:rPr>
              <w:t>17.panta divpadsmitajā daļā</w:t>
            </w:r>
            <w:r w:rsidR="009E4D09" w:rsidRPr="00D37BB8">
              <w:rPr>
                <w:i/>
                <w:u w:val="single"/>
              </w:rPr>
              <w:t xml:space="preserve"> un </w:t>
            </w:r>
          </w:p>
          <w:p w14:paraId="6013E839" w14:textId="77777777" w:rsidR="003B6B36" w:rsidRPr="00D37BB8" w:rsidRDefault="00D44F9D" w:rsidP="006B4097">
            <w:pPr>
              <w:pStyle w:val="BodyText30"/>
              <w:shd w:val="clear" w:color="auto" w:fill="auto"/>
              <w:spacing w:before="0" w:after="0" w:line="240" w:lineRule="auto"/>
              <w:ind w:left="255" w:right="140"/>
              <w:jc w:val="both"/>
              <w:rPr>
                <w:sz w:val="24"/>
                <w:szCs w:val="24"/>
              </w:rPr>
            </w:pPr>
            <w:r w:rsidRPr="00D37BB8">
              <w:rPr>
                <w:sz w:val="24"/>
                <w:szCs w:val="24"/>
              </w:rPr>
              <w:t>Precizēts un papildināts</w:t>
            </w:r>
            <w:r w:rsidR="003B6B36" w:rsidRPr="00D37BB8">
              <w:rPr>
                <w:sz w:val="24"/>
                <w:szCs w:val="24"/>
              </w:rPr>
              <w:t xml:space="preserve"> ienākumu veidu sarakstu, no kuriem </w:t>
            </w:r>
            <w:r w:rsidR="003B6B36" w:rsidRPr="00D37BB8">
              <w:rPr>
                <w:sz w:val="24"/>
                <w:szCs w:val="24"/>
              </w:rPr>
              <w:lastRenderedPageBreak/>
              <w:t>ienākuma izmaksātājs ietur nodokli no nerezidentam izmaksātā ienākuma.</w:t>
            </w:r>
          </w:p>
          <w:p w14:paraId="76C0AEB7" w14:textId="77777777" w:rsidR="000C74A0" w:rsidRPr="00D37BB8" w:rsidRDefault="000C74A0" w:rsidP="006B4097">
            <w:pPr>
              <w:widowControl w:val="0"/>
              <w:ind w:left="255" w:right="140"/>
              <w:jc w:val="both"/>
              <w:outlineLvl w:val="3"/>
              <w:rPr>
                <w:rFonts w:eastAsia="Calibri"/>
                <w:lang w:eastAsia="en-US"/>
              </w:rPr>
            </w:pPr>
          </w:p>
          <w:p w14:paraId="58FBA4C8" w14:textId="77777777" w:rsidR="000C74A0" w:rsidRPr="00D37BB8" w:rsidRDefault="000C74A0" w:rsidP="006B4097">
            <w:pPr>
              <w:ind w:left="255" w:right="140"/>
              <w:jc w:val="both"/>
              <w:rPr>
                <w:rFonts w:eastAsiaTheme="minorHAnsi"/>
                <w:i/>
                <w:u w:val="single"/>
                <w:lang w:eastAsia="en-US"/>
              </w:rPr>
            </w:pPr>
            <w:r w:rsidRPr="00D37BB8">
              <w:rPr>
                <w:rFonts w:eastAsiaTheme="minorHAnsi"/>
                <w:i/>
                <w:u w:val="single"/>
                <w:lang w:eastAsia="en-US"/>
              </w:rPr>
              <w:t>Grozījumi likuma 18.</w:t>
            </w:r>
            <w:r w:rsidR="00D44F9D" w:rsidRPr="00D37BB8">
              <w:rPr>
                <w:rFonts w:eastAsiaTheme="minorHAnsi"/>
                <w:i/>
                <w:u w:val="single"/>
                <w:lang w:eastAsia="en-US"/>
              </w:rPr>
              <w:t xml:space="preserve">panta </w:t>
            </w:r>
            <w:r w:rsidRPr="00D37BB8">
              <w:rPr>
                <w:rFonts w:eastAsiaTheme="minorHAnsi"/>
                <w:i/>
                <w:u w:val="single"/>
                <w:lang w:eastAsia="en-US"/>
              </w:rPr>
              <w:t>pirmajā daļā, likuma 18.panta 1.</w:t>
            </w:r>
            <w:r w:rsidRPr="00D37BB8">
              <w:rPr>
                <w:rFonts w:eastAsiaTheme="minorHAnsi"/>
                <w:i/>
                <w:u w:val="single"/>
                <w:vertAlign w:val="superscript"/>
                <w:lang w:eastAsia="en-US"/>
              </w:rPr>
              <w:t>1</w:t>
            </w:r>
            <w:r w:rsidRPr="00D37BB8">
              <w:rPr>
                <w:rFonts w:eastAsiaTheme="minorHAnsi"/>
                <w:i/>
                <w:u w:val="single"/>
                <w:lang w:eastAsia="en-US"/>
              </w:rPr>
              <w:t xml:space="preserve"> un 2.</w:t>
            </w:r>
            <w:r w:rsidRPr="00D37BB8">
              <w:rPr>
                <w:rFonts w:eastAsiaTheme="minorHAnsi"/>
                <w:i/>
                <w:u w:val="single"/>
                <w:vertAlign w:val="superscript"/>
                <w:lang w:eastAsia="en-US"/>
              </w:rPr>
              <w:t>1</w:t>
            </w:r>
            <w:r w:rsidRPr="00D37BB8">
              <w:rPr>
                <w:rFonts w:eastAsiaTheme="minorHAnsi"/>
                <w:i/>
                <w:u w:val="single"/>
                <w:lang w:eastAsia="en-US"/>
              </w:rPr>
              <w:t xml:space="preserve"> daļa</w:t>
            </w:r>
          </w:p>
          <w:p w14:paraId="48ED61B3" w14:textId="77777777" w:rsidR="000C74A0" w:rsidRPr="00D37BB8" w:rsidRDefault="000C74A0" w:rsidP="006B4097">
            <w:pPr>
              <w:ind w:left="255" w:right="140"/>
              <w:jc w:val="both"/>
              <w:rPr>
                <w:rFonts w:eastAsiaTheme="minorHAnsi"/>
                <w:lang w:eastAsia="en-US"/>
              </w:rPr>
            </w:pPr>
            <w:r w:rsidRPr="00D37BB8">
              <w:rPr>
                <w:rFonts w:eastAsiaTheme="minorHAnsi"/>
                <w:lang w:eastAsia="en-US"/>
              </w:rPr>
              <w:t>Šobrīd maksātājs reizē ar deklarāciju iesniedz VID aprēķinu par nodokļa avansa maksājumu lielumu taksācijas gadā, pamatojoties uz iepriekšējā gada ienākumu.</w:t>
            </w:r>
          </w:p>
          <w:p w14:paraId="55C9F016" w14:textId="77777777" w:rsidR="000C74A0" w:rsidRPr="00D37BB8" w:rsidRDefault="000C74A0" w:rsidP="006B4097">
            <w:pPr>
              <w:ind w:left="255" w:right="140"/>
              <w:jc w:val="both"/>
              <w:rPr>
                <w:rFonts w:eastAsiaTheme="minorHAnsi"/>
                <w:lang w:eastAsia="en-US"/>
              </w:rPr>
            </w:pPr>
          </w:p>
          <w:p w14:paraId="3F0C5096" w14:textId="77777777" w:rsidR="000C74A0" w:rsidRPr="00D37BB8" w:rsidRDefault="000C74A0" w:rsidP="006B4097">
            <w:pPr>
              <w:ind w:left="255" w:right="140"/>
              <w:jc w:val="both"/>
              <w:rPr>
                <w:rFonts w:eastAsiaTheme="minorHAnsi"/>
                <w:lang w:eastAsia="en-US"/>
              </w:rPr>
            </w:pPr>
            <w:r w:rsidRPr="00D37BB8">
              <w:rPr>
                <w:rFonts w:eastAsiaTheme="minorHAnsi"/>
                <w:lang w:eastAsia="en-US"/>
              </w:rPr>
              <w:t>Pēc VID ierosinājuma, administratīvā sloga mazināšanas nolūkos, likumprojektā tiek noteikts, ka avansa maksājumus turpmāk aprēķina VID automātiski, atbilstoši iepriekšējā periodā iesniegtajai iedzīvotāju ienākuma nodokļa gada ienākumu deklarācijai (izņemot gadījumus, kad maksātājs taksācijas gada laikā uzsāk saimniecisko darbību) un par aprēķinātajām nodokļa avansa summām informē nodokļu maksātāju. Nodokļu maksātāji, ja nepieciešams, iesniedz tikai avansa maksājumu precizējumus.</w:t>
            </w:r>
          </w:p>
          <w:p w14:paraId="567C671A" w14:textId="77777777" w:rsidR="000C74A0" w:rsidRPr="00D37BB8" w:rsidRDefault="000C74A0" w:rsidP="006B4097">
            <w:pPr>
              <w:widowControl w:val="0"/>
              <w:ind w:left="255" w:right="140"/>
              <w:jc w:val="both"/>
              <w:outlineLvl w:val="3"/>
              <w:rPr>
                <w:rFonts w:eastAsia="Calibri"/>
                <w:lang w:eastAsia="en-US"/>
              </w:rPr>
            </w:pPr>
          </w:p>
          <w:p w14:paraId="7D8C3DC3" w14:textId="77777777" w:rsidR="00EC714A" w:rsidRPr="00D37BB8" w:rsidRDefault="00EC714A" w:rsidP="006B4097">
            <w:pPr>
              <w:ind w:left="255" w:right="140"/>
              <w:jc w:val="both"/>
              <w:rPr>
                <w:bCs/>
                <w:i/>
                <w:u w:val="single"/>
              </w:rPr>
            </w:pPr>
            <w:r w:rsidRPr="00D37BB8">
              <w:rPr>
                <w:bCs/>
                <w:i/>
                <w:u w:val="single"/>
              </w:rPr>
              <w:t xml:space="preserve">Grozījumi </w:t>
            </w:r>
            <w:r w:rsidR="006D55DC" w:rsidRPr="00D37BB8">
              <w:rPr>
                <w:bCs/>
                <w:i/>
                <w:u w:val="single"/>
              </w:rPr>
              <w:t xml:space="preserve">likuma </w:t>
            </w:r>
            <w:r w:rsidRPr="00D37BB8">
              <w:rPr>
                <w:bCs/>
                <w:i/>
                <w:u w:val="single"/>
              </w:rPr>
              <w:t>19.panta 5.</w:t>
            </w:r>
            <w:r w:rsidRPr="00D37BB8">
              <w:rPr>
                <w:bCs/>
                <w:i/>
                <w:u w:val="single"/>
                <w:vertAlign w:val="superscript"/>
              </w:rPr>
              <w:t>3</w:t>
            </w:r>
            <w:r w:rsidRPr="00D37BB8">
              <w:rPr>
                <w:bCs/>
                <w:i/>
                <w:u w:val="single"/>
              </w:rPr>
              <w:t xml:space="preserve"> daļā</w:t>
            </w:r>
          </w:p>
          <w:p w14:paraId="082A6292" w14:textId="1F2831CB" w:rsidR="00EC714A" w:rsidRPr="00D37BB8" w:rsidRDefault="00EC714A" w:rsidP="006B4097">
            <w:pPr>
              <w:ind w:left="255" w:right="140"/>
              <w:jc w:val="both"/>
              <w:rPr>
                <w:bCs/>
                <w:u w:val="single"/>
              </w:rPr>
            </w:pPr>
            <w:r w:rsidRPr="00D37BB8">
              <w:rPr>
                <w:bCs/>
              </w:rPr>
              <w:t xml:space="preserve">Iedzīvotāju ienākuma nodokļa maksātāju ērtākai lietošanai, kapitāla </w:t>
            </w:r>
            <w:r w:rsidRPr="00D37BB8">
              <w:rPr>
                <w:bCs/>
                <w:u w:val="single"/>
              </w:rPr>
              <w:t>pieaugum</w:t>
            </w:r>
            <w:r w:rsidR="00AD5B63" w:rsidRPr="00D37BB8">
              <w:rPr>
                <w:bCs/>
                <w:u w:val="single"/>
              </w:rPr>
              <w:t>a</w:t>
            </w:r>
            <w:r w:rsidRPr="00D37BB8">
              <w:rPr>
                <w:bCs/>
              </w:rPr>
              <w:t xml:space="preserve"> deklarācijas iesniegšanas termiņa noteikšanai noteiktais ienākumu no kapitāla aktīvu atsavināšanas apmērs ir noapaļots līdz apaļiem skaitļiem</w:t>
            </w:r>
            <w:r w:rsidR="009E4D09" w:rsidRPr="00D37BB8">
              <w:rPr>
                <w:bCs/>
              </w:rPr>
              <w:t xml:space="preserve"> </w:t>
            </w:r>
            <w:r w:rsidR="009E4D09" w:rsidRPr="00D37BB8">
              <w:rPr>
                <w:bCs/>
                <w:u w:val="single"/>
              </w:rPr>
              <w:t xml:space="preserve">(1000 </w:t>
            </w:r>
            <w:proofErr w:type="spellStart"/>
            <w:r w:rsidR="005A1D33" w:rsidRPr="00D37BB8">
              <w:rPr>
                <w:bCs/>
                <w:i/>
                <w:u w:val="single"/>
              </w:rPr>
              <w:t>euro</w:t>
            </w:r>
            <w:proofErr w:type="spellEnd"/>
            <w:r w:rsidR="009E4D09" w:rsidRPr="00D37BB8">
              <w:rPr>
                <w:bCs/>
                <w:u w:val="single"/>
              </w:rPr>
              <w:t>), kā arī mainīt</w:t>
            </w:r>
            <w:r w:rsidR="008B01AA">
              <w:rPr>
                <w:bCs/>
                <w:u w:val="single"/>
              </w:rPr>
              <w:t>i</w:t>
            </w:r>
            <w:r w:rsidR="009E4D09" w:rsidRPr="00D37BB8">
              <w:rPr>
                <w:bCs/>
                <w:u w:val="single"/>
              </w:rPr>
              <w:t xml:space="preserve"> kapitāla pieauguma deklarācijas iesniegšanas termiņi</w:t>
            </w:r>
            <w:r w:rsidRPr="00D37BB8">
              <w:rPr>
                <w:bCs/>
                <w:u w:val="single"/>
              </w:rPr>
              <w:t>.</w:t>
            </w:r>
            <w:r w:rsidR="009E4D09" w:rsidRPr="00D37BB8">
              <w:rPr>
                <w:bCs/>
                <w:u w:val="single"/>
              </w:rPr>
              <w:t xml:space="preserve"> </w:t>
            </w:r>
            <w:r w:rsidR="00AD5B63" w:rsidRPr="00D37BB8">
              <w:rPr>
                <w:bCs/>
                <w:u w:val="single"/>
              </w:rPr>
              <w:t xml:space="preserve">Grozījumi paredz, ka tad, ja maksātāja kopējais kapitāla pieauguma ienākums ceturksnī pārsniedz 1000 </w:t>
            </w:r>
            <w:proofErr w:type="spellStart"/>
            <w:r w:rsidR="005A1D33" w:rsidRPr="00D37BB8">
              <w:rPr>
                <w:bCs/>
                <w:i/>
                <w:u w:val="single"/>
              </w:rPr>
              <w:t>euro</w:t>
            </w:r>
            <w:proofErr w:type="spellEnd"/>
            <w:r w:rsidR="00AD5B63" w:rsidRPr="00D37BB8">
              <w:rPr>
                <w:bCs/>
                <w:u w:val="single"/>
              </w:rPr>
              <w:t xml:space="preserve">, tas deklarāciju par ienākumu no kapitāla pieauguma sniedz līdz ceturksnim sekojošā mēneša 15.datumam. Savukārt, ja maksātāja kopējais kapitāla pieauguma ienākums ceturksnī nepārsniedz 1000 </w:t>
            </w:r>
            <w:proofErr w:type="spellStart"/>
            <w:r w:rsidR="005A1D33" w:rsidRPr="00D37BB8">
              <w:rPr>
                <w:bCs/>
                <w:i/>
                <w:u w:val="single"/>
              </w:rPr>
              <w:t>euro</w:t>
            </w:r>
            <w:proofErr w:type="spellEnd"/>
            <w:r w:rsidR="00AD5B63" w:rsidRPr="00D37BB8">
              <w:rPr>
                <w:bCs/>
                <w:u w:val="single"/>
              </w:rPr>
              <w:t>, tad deklarāciju par ienākumu no kapitāla pieauguma sniedz par taksācijas gadu līdz taksācijas gadam sekojošā gada 15.janvārim.</w:t>
            </w:r>
          </w:p>
          <w:p w14:paraId="5D1430E9" w14:textId="77777777" w:rsidR="00EC714A" w:rsidRPr="00D37BB8" w:rsidRDefault="00EC714A" w:rsidP="006B4097">
            <w:pPr>
              <w:widowControl w:val="0"/>
              <w:ind w:left="255" w:right="140"/>
              <w:jc w:val="both"/>
              <w:outlineLvl w:val="3"/>
              <w:rPr>
                <w:rFonts w:eastAsia="Calibri"/>
                <w:lang w:eastAsia="en-US"/>
              </w:rPr>
            </w:pPr>
          </w:p>
          <w:p w14:paraId="6AA54B7C" w14:textId="77777777" w:rsidR="00AE713B" w:rsidRPr="00D37BB8" w:rsidRDefault="00140E16" w:rsidP="006B4097">
            <w:pPr>
              <w:tabs>
                <w:tab w:val="left" w:pos="2127"/>
                <w:tab w:val="center" w:pos="4153"/>
                <w:tab w:val="left" w:pos="6096"/>
                <w:tab w:val="right" w:pos="8306"/>
              </w:tabs>
              <w:ind w:left="255" w:right="140"/>
              <w:jc w:val="both"/>
              <w:rPr>
                <w:i/>
                <w:u w:val="single"/>
              </w:rPr>
            </w:pPr>
            <w:r w:rsidRPr="00D37BB8">
              <w:rPr>
                <w:i/>
                <w:u w:val="single"/>
              </w:rPr>
              <w:t xml:space="preserve">Likuma </w:t>
            </w:r>
            <w:r w:rsidR="00AE713B" w:rsidRPr="00D37BB8">
              <w:rPr>
                <w:i/>
                <w:u w:val="single"/>
              </w:rPr>
              <w:t>19.panta sestās daļas 8.punkts, 20.panta ceturtā daļa</w:t>
            </w:r>
          </w:p>
          <w:p w14:paraId="624DC304" w14:textId="77777777" w:rsidR="00AE713B" w:rsidRPr="00D37BB8" w:rsidRDefault="00AE713B" w:rsidP="006B4097">
            <w:pPr>
              <w:widowControl w:val="0"/>
              <w:ind w:left="255" w:right="140"/>
              <w:jc w:val="both"/>
              <w:outlineLvl w:val="3"/>
              <w:rPr>
                <w:rFonts w:eastAsia="Calibri"/>
                <w:lang w:eastAsia="en-US"/>
              </w:rPr>
            </w:pPr>
            <w:r w:rsidRPr="00D37BB8">
              <w:t>Izmaiņas deklarēšanas kārtībā saistībā ar progresīvās likmes ieviešanu un izmaiņām kārtībā dividenžu aplikšanai ar nodokli</w:t>
            </w:r>
          </w:p>
          <w:p w14:paraId="5C3F4AAA" w14:textId="77777777" w:rsidR="00EC714A" w:rsidRPr="00D37BB8" w:rsidRDefault="00EC714A" w:rsidP="006B4097">
            <w:pPr>
              <w:widowControl w:val="0"/>
              <w:ind w:left="255" w:right="140"/>
              <w:jc w:val="both"/>
              <w:outlineLvl w:val="3"/>
              <w:rPr>
                <w:rFonts w:eastAsia="Calibri"/>
                <w:lang w:eastAsia="en-US"/>
              </w:rPr>
            </w:pPr>
          </w:p>
          <w:p w14:paraId="03205046" w14:textId="77777777" w:rsidR="00AA75AC" w:rsidRPr="00D37BB8" w:rsidRDefault="00AA75AC" w:rsidP="006B4097">
            <w:pPr>
              <w:pStyle w:val="BodyText30"/>
              <w:shd w:val="clear" w:color="auto" w:fill="auto"/>
              <w:spacing w:before="0" w:after="0" w:line="240" w:lineRule="auto"/>
              <w:ind w:left="255" w:right="140"/>
              <w:jc w:val="both"/>
              <w:rPr>
                <w:i/>
                <w:sz w:val="24"/>
                <w:szCs w:val="24"/>
                <w:u w:val="single"/>
              </w:rPr>
            </w:pPr>
            <w:r w:rsidRPr="00D37BB8">
              <w:rPr>
                <w:i/>
                <w:sz w:val="24"/>
                <w:szCs w:val="24"/>
                <w:u w:val="single"/>
              </w:rPr>
              <w:t xml:space="preserve">Grozījumi </w:t>
            </w:r>
            <w:r w:rsidR="009319AB" w:rsidRPr="00D37BB8">
              <w:rPr>
                <w:i/>
                <w:sz w:val="24"/>
                <w:szCs w:val="24"/>
                <w:u w:val="single"/>
              </w:rPr>
              <w:t xml:space="preserve">likuma </w:t>
            </w:r>
            <w:r w:rsidRPr="00D37BB8">
              <w:rPr>
                <w:i/>
                <w:sz w:val="24"/>
                <w:szCs w:val="24"/>
                <w:u w:val="single"/>
              </w:rPr>
              <w:t>19.panta 10.</w:t>
            </w:r>
            <w:r w:rsidRPr="00D37BB8">
              <w:rPr>
                <w:i/>
                <w:sz w:val="24"/>
                <w:szCs w:val="24"/>
                <w:u w:val="single"/>
                <w:vertAlign w:val="superscript"/>
              </w:rPr>
              <w:t xml:space="preserve">2 </w:t>
            </w:r>
            <w:r w:rsidRPr="00D37BB8">
              <w:rPr>
                <w:i/>
                <w:sz w:val="24"/>
                <w:szCs w:val="24"/>
                <w:u w:val="single"/>
              </w:rPr>
              <w:t>daļā un likuma 28.pant</w:t>
            </w:r>
            <w:r w:rsidR="00D44F9D" w:rsidRPr="00D37BB8">
              <w:rPr>
                <w:i/>
                <w:sz w:val="24"/>
                <w:szCs w:val="24"/>
                <w:u w:val="single"/>
              </w:rPr>
              <w:t>a</w:t>
            </w:r>
            <w:r w:rsidRPr="00D37BB8">
              <w:rPr>
                <w:i/>
                <w:sz w:val="24"/>
                <w:szCs w:val="24"/>
                <w:u w:val="single"/>
              </w:rPr>
              <w:t xml:space="preserve"> 18.punkts</w:t>
            </w:r>
          </w:p>
          <w:p w14:paraId="09B45238" w14:textId="77777777" w:rsidR="0066450D" w:rsidRPr="00D37BB8" w:rsidRDefault="0066450D" w:rsidP="006B4097">
            <w:pPr>
              <w:pStyle w:val="BodyText30"/>
              <w:shd w:val="clear" w:color="auto" w:fill="auto"/>
              <w:spacing w:before="0" w:after="0" w:line="240" w:lineRule="auto"/>
              <w:ind w:left="255" w:right="140"/>
              <w:jc w:val="both"/>
              <w:rPr>
                <w:sz w:val="24"/>
                <w:szCs w:val="24"/>
              </w:rPr>
            </w:pPr>
            <w:r w:rsidRPr="00D37BB8">
              <w:rPr>
                <w:sz w:val="24"/>
                <w:szCs w:val="24"/>
              </w:rPr>
              <w:t>Šobrīd likuma 19.panta 10.</w:t>
            </w:r>
            <w:r w:rsidRPr="00D37BB8">
              <w:rPr>
                <w:sz w:val="24"/>
                <w:szCs w:val="24"/>
                <w:vertAlign w:val="superscript"/>
              </w:rPr>
              <w:t xml:space="preserve">2 </w:t>
            </w:r>
            <w:r w:rsidRPr="00D37BB8">
              <w:rPr>
                <w:sz w:val="24"/>
                <w:szCs w:val="24"/>
              </w:rPr>
              <w:t xml:space="preserve">daļa nosaka, ka vispārējās, profesionālās, augstākās vai speciālās izglītības iestādes vienreiz gadā līdz pēctaksācijas gada 1.februārim </w:t>
            </w:r>
            <w:r w:rsidR="005E502A" w:rsidRPr="00D37BB8">
              <w:rPr>
                <w:sz w:val="24"/>
                <w:szCs w:val="24"/>
              </w:rPr>
              <w:t>VID</w:t>
            </w:r>
            <w:r w:rsidRPr="00D37BB8">
              <w:rPr>
                <w:sz w:val="24"/>
                <w:szCs w:val="24"/>
              </w:rPr>
              <w:t xml:space="preserve"> elektroniski </w:t>
            </w:r>
            <w:proofErr w:type="spellStart"/>
            <w:r w:rsidRPr="00D37BB8">
              <w:rPr>
                <w:sz w:val="24"/>
                <w:szCs w:val="24"/>
              </w:rPr>
              <w:t>nosūta</w:t>
            </w:r>
            <w:proofErr w:type="spellEnd"/>
            <w:r w:rsidRPr="00D37BB8">
              <w:rPr>
                <w:sz w:val="24"/>
                <w:szCs w:val="24"/>
              </w:rPr>
              <w:t xml:space="preserve"> informāciju par visām personām, kuras iegūst vai taksācijas gadā ieguva vispārējo, profesionālo, augstāko vai speciālo izglītību par maksu, norādot personas — izglītojamā — vārdu, uzvārdu, personas kodu, taksācijas gadā par mācībām samaksāto summu, kā arī fiziskās personas kodu vai juridiskās personas reģistrācijas numuru, kura veikusi maksājumu par mācībām.</w:t>
            </w:r>
          </w:p>
          <w:p w14:paraId="65C2D814" w14:textId="77777777" w:rsidR="0066450D" w:rsidRPr="00D37BB8" w:rsidRDefault="005E502A" w:rsidP="006B4097">
            <w:pPr>
              <w:pStyle w:val="BodyText30"/>
              <w:shd w:val="clear" w:color="auto" w:fill="auto"/>
              <w:spacing w:before="0" w:after="0" w:line="240" w:lineRule="auto"/>
              <w:ind w:left="255" w:right="140"/>
              <w:jc w:val="both"/>
              <w:rPr>
                <w:sz w:val="24"/>
                <w:szCs w:val="24"/>
              </w:rPr>
            </w:pPr>
            <w:r w:rsidRPr="00D37BB8">
              <w:rPr>
                <w:sz w:val="24"/>
                <w:szCs w:val="24"/>
              </w:rPr>
              <w:t xml:space="preserve">VID ir konstatējis gadījumus, kad maksātāji  iepriekšējā taksācijas gadā attaisnotajos izdevumos ir iekļāvuši izdevumus par izglītības iegūšanu, savukārt taksācijas gadā kādu daļu no samaksātās mācību maksas ir atmaksājusi vispārējās, profesionālās, augstākās vai speciālās izglītības iestāde. Līdz ar </w:t>
            </w:r>
            <w:r w:rsidRPr="00D37BB8">
              <w:rPr>
                <w:sz w:val="24"/>
                <w:szCs w:val="24"/>
              </w:rPr>
              <w:lastRenderedPageBreak/>
              <w:t xml:space="preserve">to, veidojas situācija, ka maksātājs ir saņēmis lielāku iedzīvotāju ienākuma nodokļa atmaksu nekā </w:t>
            </w:r>
            <w:r w:rsidR="00913C8E" w:rsidRPr="00D37BB8">
              <w:rPr>
                <w:sz w:val="24"/>
                <w:szCs w:val="24"/>
              </w:rPr>
              <w:t>likum</w:t>
            </w:r>
            <w:r w:rsidR="00AD3AAE" w:rsidRPr="00D37BB8">
              <w:rPr>
                <w:sz w:val="24"/>
                <w:szCs w:val="24"/>
              </w:rPr>
              <w:t>s</w:t>
            </w:r>
            <w:r w:rsidRPr="00D37BB8">
              <w:rPr>
                <w:sz w:val="24"/>
                <w:szCs w:val="24"/>
              </w:rPr>
              <w:t xml:space="preserve"> </w:t>
            </w:r>
            <w:r w:rsidR="00AD3AAE" w:rsidRPr="00D37BB8">
              <w:rPr>
                <w:sz w:val="24"/>
                <w:szCs w:val="24"/>
              </w:rPr>
              <w:t>to nosaka</w:t>
            </w:r>
            <w:r w:rsidRPr="00D37BB8">
              <w:rPr>
                <w:sz w:val="24"/>
                <w:szCs w:val="24"/>
              </w:rPr>
              <w:t>.</w:t>
            </w:r>
          </w:p>
          <w:p w14:paraId="7EE86EC3" w14:textId="77777777" w:rsidR="00AA75AC" w:rsidRPr="00D37BB8" w:rsidRDefault="005E502A" w:rsidP="006B4097">
            <w:pPr>
              <w:pStyle w:val="BodyText30"/>
              <w:shd w:val="clear" w:color="auto" w:fill="auto"/>
              <w:spacing w:before="0" w:after="0" w:line="240" w:lineRule="auto"/>
              <w:ind w:left="255" w:right="140"/>
              <w:jc w:val="both"/>
              <w:rPr>
                <w:sz w:val="24"/>
                <w:szCs w:val="24"/>
              </w:rPr>
            </w:pPr>
            <w:r w:rsidRPr="00D37BB8">
              <w:rPr>
                <w:sz w:val="24"/>
                <w:szCs w:val="24"/>
              </w:rPr>
              <w:t>Tādējādi l</w:t>
            </w:r>
            <w:r w:rsidR="00AA75AC" w:rsidRPr="00D37BB8">
              <w:rPr>
                <w:sz w:val="24"/>
                <w:szCs w:val="24"/>
              </w:rPr>
              <w:t xml:space="preserve">ikumprojekts paredz </w:t>
            </w:r>
            <w:r w:rsidR="0066450D" w:rsidRPr="00D37BB8">
              <w:rPr>
                <w:sz w:val="24"/>
                <w:szCs w:val="24"/>
              </w:rPr>
              <w:t xml:space="preserve">turpmāk sniegt informāciju arī par maksātājam atmaksātajām mācību summām, kā arī  pienākumu </w:t>
            </w:r>
            <w:r w:rsidR="00AA75AC" w:rsidRPr="00D37BB8">
              <w:rPr>
                <w:sz w:val="24"/>
                <w:szCs w:val="24"/>
              </w:rPr>
              <w:t xml:space="preserve">maksātājam iesniegt </w:t>
            </w:r>
            <w:r w:rsidRPr="00D37BB8">
              <w:rPr>
                <w:sz w:val="24"/>
                <w:szCs w:val="24"/>
              </w:rPr>
              <w:t xml:space="preserve"> VID </w:t>
            </w:r>
            <w:r w:rsidR="00AA75AC" w:rsidRPr="00D37BB8">
              <w:rPr>
                <w:sz w:val="24"/>
                <w:szCs w:val="24"/>
              </w:rPr>
              <w:t>deklarāciju un palielināt taksācijas gada ar nodokli apliekamo ienākumu par iepriekšējā taksācijas gadā attaisnotajos izdevumos iekļauto izdevumu par izglītības iegūšanu daļu, kuru taksācijas gada laikā ir atmaksājusi vispārējās, profesionālās, augstākās vai speciālās izglītības iestāde.</w:t>
            </w:r>
          </w:p>
          <w:p w14:paraId="35EE3B42" w14:textId="77777777" w:rsidR="00AA75AC" w:rsidRPr="00D37BB8" w:rsidRDefault="00AA75AC" w:rsidP="006B4097">
            <w:pPr>
              <w:pStyle w:val="BodyText30"/>
              <w:shd w:val="clear" w:color="auto" w:fill="auto"/>
              <w:spacing w:before="0" w:after="0" w:line="240" w:lineRule="auto"/>
              <w:ind w:left="255" w:right="140"/>
              <w:jc w:val="both"/>
              <w:rPr>
                <w:sz w:val="24"/>
                <w:szCs w:val="24"/>
              </w:rPr>
            </w:pPr>
          </w:p>
          <w:p w14:paraId="0F6415BE" w14:textId="77777777" w:rsidR="00B750A0" w:rsidRPr="00D37BB8" w:rsidRDefault="00B750A0" w:rsidP="006B4097">
            <w:pPr>
              <w:shd w:val="clear" w:color="auto" w:fill="FFFFFF"/>
              <w:ind w:left="255" w:right="140"/>
              <w:jc w:val="both"/>
              <w:rPr>
                <w:color w:val="000000"/>
                <w:u w:val="single"/>
              </w:rPr>
            </w:pPr>
            <w:r w:rsidRPr="00D37BB8">
              <w:rPr>
                <w:i/>
                <w:iCs/>
                <w:color w:val="000000"/>
                <w:u w:val="single"/>
              </w:rPr>
              <w:t>Likuma pārejas noteikumu 52.punkts</w:t>
            </w:r>
          </w:p>
          <w:p w14:paraId="0DA2C76F" w14:textId="77777777" w:rsidR="00B750A0" w:rsidRPr="00D37BB8" w:rsidRDefault="00B750A0" w:rsidP="006B4097">
            <w:pPr>
              <w:shd w:val="clear" w:color="auto" w:fill="FFFFFF"/>
              <w:ind w:left="255" w:right="140"/>
              <w:jc w:val="both"/>
              <w:rPr>
                <w:color w:val="000000"/>
              </w:rPr>
            </w:pPr>
            <w:r w:rsidRPr="00D37BB8">
              <w:rPr>
                <w:color w:val="000000"/>
              </w:rPr>
              <w:t>Šobrīd likuma pārejas noteikumu 52.punkts nosaka, ka no aplikšanas ar iedzīvotāju ienākuma nodokli atbrīvo atbilstoši </w:t>
            </w:r>
            <w:hyperlink r:id="rId11" w:tgtFrame="_blank" w:history="1">
              <w:r w:rsidRPr="00D37BB8">
                <w:rPr>
                  <w:color w:val="000000"/>
                </w:rPr>
                <w:t>Bezdarbnieku un darba meklētāju atbalsta likumam</w:t>
              </w:r>
            </w:hyperlink>
            <w:r w:rsidRPr="00D37BB8">
              <w:rPr>
                <w:color w:val="000000"/>
              </w:rPr>
              <w:t> bezdarbnieka statusu ieguvušas fiziskās personas 2010., 2011., 2012., 2013., 2014., 2015., 2016. un 2017.gadā gūtos ienākumus no Eiropas Sociālā fonda darbības programmas “Cilvēkresursi un nodarbinātība” vai “Izaugsme un nodarbinātība” vai valsts budžeta līdzekļiem par aktīvajiem nodarbinātības pasākumiem, kurus Nodarbinātības valsts aģentūra kvalificējusi par stipendijām vai atlīdzībām.</w:t>
            </w:r>
          </w:p>
          <w:p w14:paraId="38C9A3A6" w14:textId="77777777" w:rsidR="00B750A0" w:rsidRPr="00D37BB8" w:rsidRDefault="00B750A0" w:rsidP="006B4097">
            <w:pPr>
              <w:shd w:val="clear" w:color="auto" w:fill="FFFFFF"/>
              <w:ind w:left="255" w:right="140"/>
              <w:jc w:val="both"/>
              <w:rPr>
                <w:color w:val="000000"/>
              </w:rPr>
            </w:pPr>
            <w:r w:rsidRPr="00D37BB8">
              <w:rPr>
                <w:color w:val="000000"/>
              </w:rPr>
              <w:t>Ņemot vērā to, ka minēto personu ienākumi no Eiropas Sociālā fonda darbības programmas "Cilvēkresursi un nodarbinātība" vai “Izaugsme un nodarbinātība” vai valsts budžeta līdzekļiem par aktīvajiem nodarbinātības pasākumiem, kurus Nodarbinātības valsts aģentūra kvalificējusi par stipendijām vai atlīdzībām ir zemi, un to aplikšana ar iedzīvotāju ienākuma nodokli esošajā apmērā ievērojami pasliktinātu nabadzīgākās iedzīvotāju daļas situāciju, normas mērķis ir turpināt minētajiem ienākumiem paredzēt atbrīvojumu no aplikšanas ar iedzīvotāju ienākuma nodokli arī 2018., 2019. un 2020.gadā.</w:t>
            </w:r>
          </w:p>
          <w:p w14:paraId="2A97E53B" w14:textId="77777777" w:rsidR="00A43D3D" w:rsidRPr="00D37BB8" w:rsidRDefault="00A43D3D" w:rsidP="006B4097">
            <w:pPr>
              <w:shd w:val="clear" w:color="auto" w:fill="FFFFFF"/>
              <w:ind w:left="255" w:right="140"/>
              <w:jc w:val="both"/>
              <w:rPr>
                <w:color w:val="000000"/>
              </w:rPr>
            </w:pPr>
          </w:p>
          <w:p w14:paraId="2041DEAE" w14:textId="77777777" w:rsidR="00A43D3D" w:rsidRPr="00D37BB8" w:rsidRDefault="00A43D3D" w:rsidP="006B4097">
            <w:pPr>
              <w:ind w:left="255" w:right="140"/>
              <w:jc w:val="both"/>
              <w:rPr>
                <w:rFonts w:eastAsiaTheme="minorHAnsi"/>
                <w:i/>
                <w:u w:val="single"/>
                <w:lang w:eastAsia="en-US"/>
              </w:rPr>
            </w:pPr>
            <w:r w:rsidRPr="00D37BB8">
              <w:rPr>
                <w:rFonts w:eastAsiaTheme="minorHAnsi"/>
                <w:i/>
                <w:u w:val="single"/>
                <w:lang w:eastAsia="en-US"/>
              </w:rPr>
              <w:t>Grozījumi pārejas noteikumu 94.punktā</w:t>
            </w:r>
          </w:p>
          <w:p w14:paraId="1A086F50" w14:textId="77777777" w:rsidR="00FC15F8" w:rsidRPr="00D37BB8" w:rsidRDefault="00FC15F8" w:rsidP="006B4097">
            <w:pPr>
              <w:ind w:left="255" w:right="140"/>
              <w:jc w:val="both"/>
              <w:rPr>
                <w:rFonts w:eastAsiaTheme="minorHAnsi"/>
                <w:lang w:eastAsia="en-US"/>
              </w:rPr>
            </w:pPr>
            <w:r w:rsidRPr="00D37BB8">
              <w:rPr>
                <w:rFonts w:eastAsiaTheme="minorHAnsi"/>
                <w:lang w:eastAsia="en-US"/>
              </w:rPr>
              <w:t>Šobrīd likuma pārejas noteikumu 94.punkts nosaka, ka ar iedzīvotāju ienākuma nodokli apliekamajā ienākumā neiekļauj 2013., 2014., 2015., 2016., 2017. un 2018.gadā saņemtās summas, kas izmaksātas kā valsts atbalsts lauksaimniecībai vai Eiropas Savienības atbalsts lauksaimniecībai un lauku attīstībai.</w:t>
            </w:r>
          </w:p>
          <w:p w14:paraId="50A30915" w14:textId="77777777" w:rsidR="00A43D3D" w:rsidRPr="00D37BB8" w:rsidRDefault="00A43D3D" w:rsidP="006B4097">
            <w:pPr>
              <w:ind w:left="255" w:right="140"/>
              <w:jc w:val="both"/>
              <w:rPr>
                <w:rFonts w:eastAsiaTheme="minorHAnsi"/>
                <w:highlight w:val="yellow"/>
                <w:lang w:eastAsia="en-US"/>
              </w:rPr>
            </w:pPr>
            <w:r w:rsidRPr="00D37BB8">
              <w:rPr>
                <w:rFonts w:eastAsiaTheme="minorHAnsi"/>
                <w:lang w:eastAsia="en-US"/>
              </w:rPr>
              <w:t>Likumprojekts paredz, ka nosacījuma piemērošana par saņemto summu, kas izmaksātas kā valsts atbalsts lauksaimniecībai vai Eiropas Savienības atbalsts lauksaimniecībai un lauku attīstībai, neiekļaušanu ar iedzīvotāju ienākuma nodokli apliekamajā ienākumā tiek pagarināta līdz 2023.gadam (to ieskaitot).</w:t>
            </w:r>
          </w:p>
          <w:p w14:paraId="19A04D3D" w14:textId="77777777" w:rsidR="00A43D3D" w:rsidRPr="00D37BB8" w:rsidRDefault="00A43D3D" w:rsidP="006B4097">
            <w:pPr>
              <w:shd w:val="clear" w:color="auto" w:fill="FFFFFF"/>
              <w:ind w:left="255" w:right="140"/>
              <w:jc w:val="both"/>
              <w:rPr>
                <w:color w:val="000000"/>
              </w:rPr>
            </w:pPr>
          </w:p>
          <w:p w14:paraId="35BFD223" w14:textId="77777777" w:rsidR="00A43D3D" w:rsidRPr="00D37BB8" w:rsidRDefault="00A43D3D" w:rsidP="006B4097">
            <w:pPr>
              <w:ind w:left="255" w:right="140"/>
              <w:jc w:val="both"/>
              <w:rPr>
                <w:rFonts w:eastAsiaTheme="minorHAnsi"/>
                <w:i/>
                <w:u w:val="single"/>
                <w:lang w:eastAsia="en-US"/>
              </w:rPr>
            </w:pPr>
            <w:r w:rsidRPr="00D37BB8">
              <w:rPr>
                <w:rFonts w:eastAsiaTheme="minorHAnsi"/>
                <w:i/>
                <w:u w:val="single"/>
                <w:lang w:eastAsia="en-US"/>
              </w:rPr>
              <w:t>Grozījumi pārejas noteikumu 108.punktā</w:t>
            </w:r>
          </w:p>
          <w:p w14:paraId="1AED4C4E" w14:textId="77777777" w:rsidR="002C101D" w:rsidRPr="00D37BB8" w:rsidRDefault="002C101D" w:rsidP="006B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0"/>
              <w:jc w:val="both"/>
            </w:pPr>
            <w:r w:rsidRPr="00D37BB8">
              <w:rPr>
                <w:rFonts w:eastAsiaTheme="minorHAnsi"/>
                <w:lang w:eastAsia="en-US"/>
              </w:rPr>
              <w:t>Šobrīd likuma pārejas noteikumu 108.punkts nosaka, ka</w:t>
            </w:r>
            <w:r w:rsidRPr="00D37BB8">
              <w:t xml:space="preserve"> likuma 11.</w:t>
            </w:r>
            <w:r w:rsidRPr="00D37BB8">
              <w:rPr>
                <w:vertAlign w:val="superscript"/>
              </w:rPr>
              <w:t>7</w:t>
            </w:r>
            <w:r w:rsidRPr="00D37BB8">
              <w:t xml:space="preserve"> panta trešās daļas 3.punktā noteiktos kritērijus nepiemēro no 2014.gada 1.jūlija līdz 2018.gada 1.jūlijam.</w:t>
            </w:r>
          </w:p>
          <w:p w14:paraId="1C94F9AC" w14:textId="77777777" w:rsidR="002C101D" w:rsidRPr="00D37BB8" w:rsidRDefault="00A43D3D" w:rsidP="006B4097">
            <w:pPr>
              <w:ind w:left="255" w:right="140"/>
              <w:jc w:val="both"/>
              <w:rPr>
                <w:color w:val="000000"/>
              </w:rPr>
            </w:pPr>
            <w:r w:rsidRPr="00D37BB8">
              <w:rPr>
                <w:rFonts w:eastAsiaTheme="minorHAnsi"/>
                <w:lang w:eastAsia="en-US"/>
              </w:rPr>
              <w:t>Likumprojekts paredz, ka likuma 11.</w:t>
            </w:r>
            <w:r w:rsidRPr="00D37BB8">
              <w:rPr>
                <w:rFonts w:eastAsiaTheme="minorHAnsi"/>
                <w:vertAlign w:val="superscript"/>
                <w:lang w:eastAsia="en-US"/>
              </w:rPr>
              <w:t>7</w:t>
            </w:r>
            <w:r w:rsidRPr="00D37BB8">
              <w:rPr>
                <w:rFonts w:eastAsiaTheme="minorHAnsi"/>
                <w:lang w:eastAsia="en-US"/>
              </w:rPr>
              <w:t xml:space="preserve"> panta trešās daļas 3.punktā noteikto kritēriju</w:t>
            </w:r>
            <w:r w:rsidR="00B33351" w:rsidRPr="00D37BB8">
              <w:rPr>
                <w:rFonts w:eastAsiaTheme="minorHAnsi"/>
                <w:lang w:eastAsia="en-US"/>
              </w:rPr>
              <w:t xml:space="preserve"> (</w:t>
            </w:r>
            <w:r w:rsidR="002C101D" w:rsidRPr="00D37BB8">
              <w:rPr>
                <w:rFonts w:eastAsiaTheme="minorHAnsi"/>
                <w:lang w:eastAsia="en-US"/>
              </w:rPr>
              <w:t xml:space="preserve">kas noteikti </w:t>
            </w:r>
            <w:r w:rsidRPr="00D37BB8">
              <w:rPr>
                <w:rFonts w:eastAsiaTheme="minorHAnsi"/>
                <w:lang w:eastAsia="en-US"/>
              </w:rPr>
              <w:t xml:space="preserve">attiecībā uz lauksaimniecības </w:t>
            </w:r>
            <w:r w:rsidRPr="00D37BB8">
              <w:rPr>
                <w:rFonts w:eastAsiaTheme="minorHAnsi"/>
                <w:lang w:eastAsia="en-US"/>
              </w:rPr>
              <w:lastRenderedPageBreak/>
              <w:t>zemes pārdevēju</w:t>
            </w:r>
            <w:r w:rsidR="00B33351" w:rsidRPr="00D37BB8">
              <w:rPr>
                <w:rFonts w:eastAsiaTheme="minorHAnsi"/>
                <w:lang w:eastAsia="en-US"/>
              </w:rPr>
              <w:t>)</w:t>
            </w:r>
            <w:r w:rsidRPr="00D37BB8">
              <w:rPr>
                <w:rFonts w:eastAsiaTheme="minorHAnsi"/>
                <w:lang w:eastAsia="en-US"/>
              </w:rPr>
              <w:t xml:space="preserve"> nepiemērošana tiek pagarināta līdz 2023.gada 1.jūlijam.</w:t>
            </w:r>
          </w:p>
          <w:p w14:paraId="3B0B2E27" w14:textId="77777777" w:rsidR="008078B8" w:rsidRPr="00D37BB8" w:rsidRDefault="00804FD4" w:rsidP="006B4097">
            <w:pPr>
              <w:ind w:left="255" w:right="140"/>
              <w:jc w:val="both"/>
            </w:pPr>
            <w:r w:rsidRPr="00D37BB8">
              <w:t>Likumprojektā veikti arī redakcionāla un tehniska rakstura grozījumi.</w:t>
            </w:r>
          </w:p>
          <w:p w14:paraId="1A3AEAD7" w14:textId="253D484B" w:rsidR="002B129D" w:rsidRPr="00D37BB8" w:rsidRDefault="002B129D" w:rsidP="006B4097">
            <w:pPr>
              <w:ind w:left="255" w:right="140"/>
              <w:jc w:val="both"/>
            </w:pPr>
          </w:p>
        </w:tc>
      </w:tr>
      <w:tr w:rsidR="008078B8" w:rsidRPr="00D37BB8" w14:paraId="40A376E5" w14:textId="77777777" w:rsidTr="00F35490">
        <w:trPr>
          <w:trHeight w:val="476"/>
        </w:trPr>
        <w:tc>
          <w:tcPr>
            <w:tcW w:w="227" w:type="pct"/>
          </w:tcPr>
          <w:p w14:paraId="56EF0A09" w14:textId="77777777" w:rsidR="008078B8" w:rsidRPr="00D37BB8" w:rsidRDefault="008078B8" w:rsidP="002431AC">
            <w:pPr>
              <w:pStyle w:val="naiskr"/>
              <w:spacing w:before="0" w:after="0"/>
              <w:ind w:left="57" w:right="57"/>
              <w:jc w:val="center"/>
            </w:pPr>
            <w:r w:rsidRPr="00D37BB8">
              <w:lastRenderedPageBreak/>
              <w:t>3.</w:t>
            </w:r>
          </w:p>
        </w:tc>
        <w:tc>
          <w:tcPr>
            <w:tcW w:w="1275" w:type="pct"/>
          </w:tcPr>
          <w:p w14:paraId="2B60DB41" w14:textId="77777777" w:rsidR="008078B8" w:rsidRPr="00D37BB8" w:rsidRDefault="008078B8" w:rsidP="002431AC">
            <w:pPr>
              <w:pStyle w:val="naiskr"/>
              <w:spacing w:before="0" w:after="0"/>
              <w:ind w:left="57" w:right="57"/>
            </w:pPr>
            <w:r w:rsidRPr="00D37BB8">
              <w:t>Projekta izstrādē iesaistītās institūcijas</w:t>
            </w:r>
          </w:p>
        </w:tc>
        <w:tc>
          <w:tcPr>
            <w:tcW w:w="3499" w:type="pct"/>
          </w:tcPr>
          <w:p w14:paraId="0876F3B0" w14:textId="77777777" w:rsidR="008078B8" w:rsidRPr="00D37BB8" w:rsidRDefault="00F35490" w:rsidP="006B4097">
            <w:pPr>
              <w:ind w:left="255" w:right="140"/>
              <w:jc w:val="both"/>
              <w:rPr>
                <w:iCs/>
              </w:rPr>
            </w:pPr>
            <w:r w:rsidRPr="00D37BB8">
              <w:rPr>
                <w:iCs/>
              </w:rPr>
              <w:t xml:space="preserve">Valsts ieņēmumu dienests, </w:t>
            </w:r>
            <w:r w:rsidR="001F4FF9" w:rsidRPr="00D37BB8">
              <w:t>Labklājības ministrija</w:t>
            </w:r>
            <w:r w:rsidR="006B4097" w:rsidRPr="00D37BB8">
              <w:t>, Zemkopības ministrija</w:t>
            </w:r>
            <w:r w:rsidR="0063732D" w:rsidRPr="00D37BB8">
              <w:t xml:space="preserve"> un</w:t>
            </w:r>
            <w:r w:rsidR="00B76903" w:rsidRPr="00D37BB8">
              <w:t xml:space="preserve"> </w:t>
            </w:r>
            <w:r w:rsidR="0014080B" w:rsidRPr="00D37BB8">
              <w:t>Ekonomikas</w:t>
            </w:r>
            <w:r w:rsidR="00377097" w:rsidRPr="00D37BB8">
              <w:t xml:space="preserve"> ministrija</w:t>
            </w:r>
            <w:r w:rsidRPr="00D37BB8">
              <w:rPr>
                <w:iCs/>
              </w:rPr>
              <w:t>.</w:t>
            </w:r>
          </w:p>
          <w:p w14:paraId="3DC81A3D" w14:textId="6EB09CA9" w:rsidR="002B129D" w:rsidRPr="00D37BB8" w:rsidRDefault="002B129D" w:rsidP="006B4097">
            <w:pPr>
              <w:ind w:left="255" w:right="140"/>
              <w:jc w:val="both"/>
            </w:pPr>
          </w:p>
        </w:tc>
      </w:tr>
      <w:tr w:rsidR="008078B8" w:rsidRPr="00D37BB8" w14:paraId="09A024A6" w14:textId="77777777" w:rsidTr="00F35490">
        <w:tc>
          <w:tcPr>
            <w:tcW w:w="227" w:type="pct"/>
          </w:tcPr>
          <w:p w14:paraId="5A14F5C6" w14:textId="77777777" w:rsidR="008078B8" w:rsidRPr="00D37BB8" w:rsidRDefault="008078B8" w:rsidP="002431AC">
            <w:pPr>
              <w:pStyle w:val="naiskr"/>
              <w:spacing w:before="0" w:after="0"/>
              <w:ind w:left="57" w:right="57"/>
              <w:jc w:val="center"/>
            </w:pPr>
            <w:r w:rsidRPr="00D37BB8">
              <w:t>4.</w:t>
            </w:r>
          </w:p>
        </w:tc>
        <w:tc>
          <w:tcPr>
            <w:tcW w:w="1275" w:type="pct"/>
          </w:tcPr>
          <w:p w14:paraId="71258AD0" w14:textId="77777777" w:rsidR="008078B8" w:rsidRPr="00D37BB8" w:rsidRDefault="008078B8" w:rsidP="002431AC">
            <w:pPr>
              <w:pStyle w:val="naiskr"/>
              <w:spacing w:before="0" w:after="0"/>
              <w:ind w:left="57" w:right="57"/>
            </w:pPr>
            <w:r w:rsidRPr="00D37BB8">
              <w:t>Cita informācija</w:t>
            </w:r>
          </w:p>
        </w:tc>
        <w:tc>
          <w:tcPr>
            <w:tcW w:w="3499" w:type="pct"/>
          </w:tcPr>
          <w:p w14:paraId="484B3E41" w14:textId="77777777" w:rsidR="008078B8" w:rsidRPr="00D37BB8" w:rsidRDefault="008078B8" w:rsidP="002431AC">
            <w:pPr>
              <w:pStyle w:val="naiskr"/>
              <w:spacing w:before="0" w:after="0"/>
              <w:ind w:right="57"/>
            </w:pPr>
            <w:r w:rsidRPr="00D37BB8">
              <w:t>Nav.</w:t>
            </w:r>
          </w:p>
        </w:tc>
      </w:tr>
    </w:tbl>
    <w:p w14:paraId="5FAAB065" w14:textId="77777777" w:rsidR="008078B8" w:rsidRPr="00D37BB8" w:rsidRDefault="008078B8" w:rsidP="002431AC"/>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8078B8" w:rsidRPr="00D37BB8" w14:paraId="108A8256" w14:textId="77777777" w:rsidTr="006B4097">
        <w:trPr>
          <w:trHeight w:val="419"/>
        </w:trPr>
        <w:tc>
          <w:tcPr>
            <w:tcW w:w="5000" w:type="pct"/>
            <w:gridSpan w:val="3"/>
            <w:vAlign w:val="center"/>
          </w:tcPr>
          <w:p w14:paraId="323E0675" w14:textId="77777777" w:rsidR="008078B8" w:rsidRPr="00D37BB8" w:rsidRDefault="008078B8" w:rsidP="002431AC">
            <w:pPr>
              <w:jc w:val="center"/>
              <w:rPr>
                <w:b/>
              </w:rPr>
            </w:pPr>
            <w:r w:rsidRPr="00D37BB8">
              <w:rPr>
                <w:b/>
                <w:bCs/>
              </w:rPr>
              <w:t>II. Tiesību akta projekta ietekme uz sabiedrību, tautsaimniecības attīstību un administratīvo slogu</w:t>
            </w:r>
          </w:p>
        </w:tc>
      </w:tr>
      <w:tr w:rsidR="008078B8" w:rsidRPr="00D37BB8" w14:paraId="6DB80936" w14:textId="77777777" w:rsidTr="006B4097">
        <w:trPr>
          <w:trHeight w:val="415"/>
        </w:trPr>
        <w:tc>
          <w:tcPr>
            <w:tcW w:w="224" w:type="pct"/>
          </w:tcPr>
          <w:p w14:paraId="2CB6C9D3" w14:textId="77777777" w:rsidR="008078B8" w:rsidRPr="00D37BB8" w:rsidRDefault="008078B8" w:rsidP="002431AC">
            <w:r w:rsidRPr="00D37BB8">
              <w:t>1.</w:t>
            </w:r>
          </w:p>
        </w:tc>
        <w:tc>
          <w:tcPr>
            <w:tcW w:w="1615" w:type="pct"/>
          </w:tcPr>
          <w:p w14:paraId="7B698069" w14:textId="77777777" w:rsidR="008078B8" w:rsidRPr="00D37BB8" w:rsidRDefault="008078B8" w:rsidP="002431AC">
            <w:r w:rsidRPr="00D37BB8">
              <w:t xml:space="preserve">Sabiedrības </w:t>
            </w:r>
            <w:proofErr w:type="spellStart"/>
            <w:r w:rsidRPr="00D37BB8">
              <w:t>mērķgrupas</w:t>
            </w:r>
            <w:proofErr w:type="spellEnd"/>
            <w:r w:rsidRPr="00D37BB8">
              <w:t>, kuras tiesiskais regulējums ietekmē vai varētu ietekmēt</w:t>
            </w:r>
          </w:p>
        </w:tc>
        <w:tc>
          <w:tcPr>
            <w:tcW w:w="3161" w:type="pct"/>
          </w:tcPr>
          <w:p w14:paraId="19703767" w14:textId="77777777" w:rsidR="00E94F6E" w:rsidRPr="00D37BB8" w:rsidRDefault="00E60EB4" w:rsidP="00B64903">
            <w:pPr>
              <w:numPr>
                <w:ilvl w:val="0"/>
                <w:numId w:val="1"/>
              </w:numPr>
              <w:ind w:left="426" w:right="125" w:hanging="284"/>
              <w:jc w:val="both"/>
            </w:pPr>
            <w:r w:rsidRPr="00D37BB8">
              <w:t>f</w:t>
            </w:r>
            <w:r w:rsidR="00F35490" w:rsidRPr="00D37BB8">
              <w:t xml:space="preserve">iziskās personas – </w:t>
            </w:r>
            <w:r w:rsidR="005B2A1F" w:rsidRPr="00D37BB8">
              <w:t xml:space="preserve"> visi </w:t>
            </w:r>
            <w:r w:rsidR="00F35490" w:rsidRPr="00D37BB8">
              <w:t>iedzīvotāju ienākuma nodokļa</w:t>
            </w:r>
          </w:p>
          <w:p w14:paraId="010A3C9E" w14:textId="77777777" w:rsidR="00F35490" w:rsidRPr="00D37BB8" w:rsidRDefault="00F35490" w:rsidP="00542C8C">
            <w:pPr>
              <w:tabs>
                <w:tab w:val="left" w:pos="1380"/>
              </w:tabs>
              <w:ind w:left="426" w:right="125" w:hanging="284"/>
              <w:jc w:val="both"/>
            </w:pPr>
            <w:r w:rsidRPr="00D37BB8">
              <w:t>maksātāji</w:t>
            </w:r>
            <w:r w:rsidR="00E60EB4" w:rsidRPr="00D37BB8">
              <w:t>;</w:t>
            </w:r>
          </w:p>
          <w:p w14:paraId="00C436D8" w14:textId="77777777" w:rsidR="00E60EB4" w:rsidRPr="00D37BB8" w:rsidRDefault="00E60EB4" w:rsidP="00B64903">
            <w:pPr>
              <w:numPr>
                <w:ilvl w:val="0"/>
                <w:numId w:val="1"/>
              </w:numPr>
              <w:ind w:left="426" w:right="125" w:hanging="284"/>
              <w:jc w:val="both"/>
            </w:pPr>
            <w:r w:rsidRPr="00D37BB8">
              <w:t>saimnieciskās darbības veicēji;</w:t>
            </w:r>
          </w:p>
          <w:p w14:paraId="0278ADDA" w14:textId="77777777" w:rsidR="00E94F6E" w:rsidRPr="00D37BB8" w:rsidRDefault="00E94F6E" w:rsidP="00B64903">
            <w:pPr>
              <w:numPr>
                <w:ilvl w:val="0"/>
                <w:numId w:val="1"/>
              </w:numPr>
              <w:ind w:left="426" w:right="125" w:hanging="284"/>
              <w:jc w:val="both"/>
            </w:pPr>
            <w:r w:rsidRPr="00D37BB8">
              <w:t xml:space="preserve">fiziskās personas, kuras piemēros </w:t>
            </w:r>
            <w:r w:rsidRPr="00D37BB8">
              <w:rPr>
                <w:color w:val="000000" w:themeColor="text1"/>
              </w:rPr>
              <w:t xml:space="preserve"> likuma </w:t>
            </w:r>
            <w:r w:rsidRPr="00D37BB8">
              <w:t>“Par iedzīvotāju</w:t>
            </w:r>
          </w:p>
          <w:p w14:paraId="6AB237B4" w14:textId="77777777" w:rsidR="006B4097" w:rsidRPr="00D37BB8" w:rsidRDefault="00E94F6E" w:rsidP="00542C8C">
            <w:pPr>
              <w:ind w:left="426" w:right="125" w:hanging="284"/>
              <w:jc w:val="both"/>
              <w:rPr>
                <w:color w:val="000000" w:themeColor="text1"/>
              </w:rPr>
            </w:pPr>
            <w:r w:rsidRPr="00D37BB8">
              <w:t xml:space="preserve">ienākuma nodokli” </w:t>
            </w:r>
            <w:r w:rsidRPr="00D37BB8">
              <w:rPr>
                <w:color w:val="000000" w:themeColor="text1"/>
              </w:rPr>
              <w:t>10.panta p</w:t>
            </w:r>
            <w:r w:rsidR="006B4097" w:rsidRPr="00D37BB8">
              <w:rPr>
                <w:color w:val="000000" w:themeColor="text1"/>
              </w:rPr>
              <w:t>irmajā daļā minētos attaisnotos</w:t>
            </w:r>
          </w:p>
          <w:p w14:paraId="520FEC19" w14:textId="77777777" w:rsidR="00615BB8" w:rsidRPr="00D37BB8" w:rsidRDefault="00E94F6E" w:rsidP="00542C8C">
            <w:pPr>
              <w:ind w:left="426" w:right="125" w:hanging="284"/>
              <w:jc w:val="both"/>
            </w:pPr>
            <w:r w:rsidRPr="00D37BB8">
              <w:rPr>
                <w:color w:val="000000" w:themeColor="text1"/>
              </w:rPr>
              <w:t>izdevumus</w:t>
            </w:r>
            <w:r w:rsidR="00615BB8" w:rsidRPr="00D37BB8">
              <w:t>;</w:t>
            </w:r>
          </w:p>
          <w:p w14:paraId="47E1578B" w14:textId="77777777" w:rsidR="00CB1012" w:rsidRPr="00D37BB8" w:rsidRDefault="00110D0B" w:rsidP="00B64903">
            <w:pPr>
              <w:numPr>
                <w:ilvl w:val="0"/>
                <w:numId w:val="1"/>
              </w:numPr>
              <w:ind w:left="426" w:right="125" w:hanging="284"/>
              <w:jc w:val="both"/>
            </w:pPr>
            <w:r w:rsidRPr="00D37BB8">
              <w:t xml:space="preserve">fiziskās personas, kuras gūst ienākumu no </w:t>
            </w:r>
            <w:r w:rsidR="00C661C4" w:rsidRPr="00D37BB8">
              <w:t>kapitāla un</w:t>
            </w:r>
          </w:p>
          <w:p w14:paraId="2AE84EE2" w14:textId="77777777" w:rsidR="0064478A" w:rsidRPr="00D37BB8" w:rsidRDefault="00110D0B" w:rsidP="00542C8C">
            <w:pPr>
              <w:ind w:left="426" w:right="125" w:hanging="284"/>
              <w:jc w:val="both"/>
            </w:pPr>
            <w:r w:rsidRPr="00D37BB8">
              <w:t xml:space="preserve">kapitāla </w:t>
            </w:r>
            <w:r w:rsidR="005B2A1F" w:rsidRPr="00D37BB8">
              <w:t>pieauguma;</w:t>
            </w:r>
          </w:p>
          <w:p w14:paraId="2D26F058" w14:textId="77777777" w:rsidR="00E94F6E" w:rsidRPr="00D37BB8" w:rsidRDefault="00E94F6E" w:rsidP="00B64903">
            <w:pPr>
              <w:numPr>
                <w:ilvl w:val="0"/>
                <w:numId w:val="1"/>
              </w:numPr>
              <w:ind w:left="143" w:right="125" w:hanging="1"/>
              <w:jc w:val="both"/>
            </w:pPr>
            <w:r w:rsidRPr="00D37BB8">
              <w:t>fiziskās personas, kuras piemēros pensionāra neapliekamo</w:t>
            </w:r>
            <w:r w:rsidR="006B4097" w:rsidRPr="00D37BB8">
              <w:t xml:space="preserve"> </w:t>
            </w:r>
            <w:r w:rsidRPr="00D37BB8">
              <w:t>minimumu;</w:t>
            </w:r>
          </w:p>
          <w:p w14:paraId="49DF3B4E" w14:textId="77777777" w:rsidR="00CB1012" w:rsidRPr="00D37BB8" w:rsidRDefault="00E94F6E" w:rsidP="00B64903">
            <w:pPr>
              <w:numPr>
                <w:ilvl w:val="0"/>
                <w:numId w:val="1"/>
              </w:numPr>
              <w:ind w:left="426" w:right="125" w:hanging="284"/>
              <w:jc w:val="both"/>
            </w:pPr>
            <w:r w:rsidRPr="00D37BB8">
              <w:t xml:space="preserve">fiziskās personas, kuras gūst </w:t>
            </w:r>
            <w:r w:rsidR="00CB1012" w:rsidRPr="00D37BB8">
              <w:t xml:space="preserve"> ienākumu  no </w:t>
            </w:r>
            <w:r w:rsidRPr="00D37BB8">
              <w:t>izložu un</w:t>
            </w:r>
          </w:p>
          <w:p w14:paraId="6AC0BEF8" w14:textId="77777777" w:rsidR="005B2A1F" w:rsidRPr="00D37BB8" w:rsidRDefault="00E94F6E" w:rsidP="00542C8C">
            <w:pPr>
              <w:ind w:left="426" w:right="125" w:hanging="284"/>
              <w:jc w:val="both"/>
            </w:pPr>
            <w:r w:rsidRPr="00D37BB8">
              <w:t>azartspēļu laimest</w:t>
            </w:r>
            <w:r w:rsidR="00CB1012" w:rsidRPr="00D37BB8">
              <w:t>iem</w:t>
            </w:r>
            <w:r w:rsidR="005B2A1F" w:rsidRPr="00D37BB8">
              <w:t>.</w:t>
            </w:r>
          </w:p>
          <w:p w14:paraId="13F3094A" w14:textId="32470CBF" w:rsidR="002B129D" w:rsidRPr="00D37BB8" w:rsidRDefault="002B129D" w:rsidP="00542C8C">
            <w:pPr>
              <w:ind w:left="426" w:right="125" w:hanging="284"/>
              <w:jc w:val="both"/>
            </w:pPr>
          </w:p>
        </w:tc>
      </w:tr>
      <w:tr w:rsidR="008078B8" w:rsidRPr="00D37BB8" w14:paraId="4D6DBB90" w14:textId="77777777" w:rsidTr="006B4097">
        <w:trPr>
          <w:trHeight w:val="274"/>
        </w:trPr>
        <w:tc>
          <w:tcPr>
            <w:tcW w:w="224" w:type="pct"/>
          </w:tcPr>
          <w:p w14:paraId="484658B3" w14:textId="77777777" w:rsidR="008078B8" w:rsidRPr="00D37BB8" w:rsidRDefault="008078B8" w:rsidP="002431AC">
            <w:r w:rsidRPr="00D37BB8">
              <w:t>2.</w:t>
            </w:r>
          </w:p>
        </w:tc>
        <w:tc>
          <w:tcPr>
            <w:tcW w:w="1615" w:type="pct"/>
          </w:tcPr>
          <w:p w14:paraId="4DC59D13" w14:textId="77777777" w:rsidR="008078B8" w:rsidRPr="00D37BB8" w:rsidRDefault="008078B8" w:rsidP="002431AC">
            <w:r w:rsidRPr="00D37BB8">
              <w:t>Tiesiskā regulējuma ietekme uz tautsaimniecību un administratīvo slogu</w:t>
            </w:r>
          </w:p>
        </w:tc>
        <w:tc>
          <w:tcPr>
            <w:tcW w:w="3161" w:type="pct"/>
          </w:tcPr>
          <w:p w14:paraId="3127B7C5" w14:textId="77777777" w:rsidR="00852C32" w:rsidRPr="00D37BB8" w:rsidRDefault="00852C32" w:rsidP="00765868">
            <w:pPr>
              <w:tabs>
                <w:tab w:val="left" w:pos="2127"/>
                <w:tab w:val="center" w:pos="4153"/>
                <w:tab w:val="left" w:pos="5809"/>
                <w:tab w:val="right" w:pos="8306"/>
              </w:tabs>
              <w:ind w:left="146" w:right="125"/>
              <w:jc w:val="both"/>
            </w:pPr>
            <w:r w:rsidRPr="00D37BB8">
              <w:t>Palielināsies</w:t>
            </w:r>
            <w:r w:rsidR="008C7C19" w:rsidRPr="00D37BB8">
              <w:t xml:space="preserve"> administratīvais slogs </w:t>
            </w:r>
            <w:r w:rsidRPr="00D37BB8">
              <w:t>attiecībā uz  iedzīvotāju ienākuma nodokļa maksātājiem:</w:t>
            </w:r>
          </w:p>
          <w:p w14:paraId="5BC1E08C" w14:textId="7725CFAB" w:rsidR="00852C32" w:rsidRPr="00D37BB8" w:rsidRDefault="00852C32" w:rsidP="00765868">
            <w:pPr>
              <w:pStyle w:val="ListParagraph"/>
              <w:numPr>
                <w:ilvl w:val="0"/>
                <w:numId w:val="4"/>
              </w:numPr>
              <w:tabs>
                <w:tab w:val="left" w:pos="571"/>
                <w:tab w:val="left" w:pos="5809"/>
              </w:tabs>
              <w:spacing w:after="0" w:line="240" w:lineRule="auto"/>
              <w:ind w:left="146" w:right="125" w:firstLine="142"/>
              <w:jc w:val="both"/>
              <w:rPr>
                <w:rFonts w:ascii="Times New Roman" w:eastAsia="Times New Roman" w:hAnsi="Times New Roman"/>
                <w:color w:val="000000" w:themeColor="text1"/>
                <w:sz w:val="24"/>
                <w:szCs w:val="24"/>
                <w:lang w:val="lv-LV" w:eastAsia="lv-LV"/>
              </w:rPr>
            </w:pPr>
            <w:r w:rsidRPr="00D37BB8">
              <w:rPr>
                <w:rFonts w:ascii="Times New Roman" w:hAnsi="Times New Roman"/>
                <w:sz w:val="24"/>
                <w:szCs w:val="24"/>
                <w:lang w:val="lv-LV"/>
              </w:rPr>
              <w:t>kuriem</w:t>
            </w:r>
            <w:r w:rsidRPr="00D37BB8">
              <w:rPr>
                <w:rFonts w:ascii="Times New Roman" w:eastAsia="Times New Roman" w:hAnsi="Times New Roman"/>
                <w:color w:val="000000" w:themeColor="text1"/>
                <w:sz w:val="24"/>
                <w:szCs w:val="24"/>
                <w:lang w:val="lv-LV" w:eastAsia="lv-LV"/>
              </w:rPr>
              <w:t xml:space="preserve"> radīsies pienākums piemaksāt iedzīvotāju ienākuma nodokli saistībā ar likuma </w:t>
            </w:r>
            <w:r w:rsidRPr="00D37BB8">
              <w:rPr>
                <w:rFonts w:ascii="Times New Roman" w:hAnsi="Times New Roman"/>
                <w:sz w:val="24"/>
                <w:szCs w:val="24"/>
                <w:lang w:val="lv-LV"/>
              </w:rPr>
              <w:t xml:space="preserve">“Par iedzīvotāju ienākuma nodokli” </w:t>
            </w:r>
            <w:r w:rsidRPr="00D37BB8">
              <w:rPr>
                <w:rFonts w:ascii="Times New Roman" w:eastAsia="Times New Roman" w:hAnsi="Times New Roman"/>
                <w:color w:val="000000" w:themeColor="text1"/>
                <w:sz w:val="24"/>
                <w:szCs w:val="24"/>
                <w:lang w:val="lv-LV" w:eastAsia="lv-LV"/>
              </w:rPr>
              <w:t>15.panta otrajā daļā minētās progresīvās likmes piemērošanu</w:t>
            </w:r>
            <w:r w:rsidR="003C2FBB" w:rsidRPr="00D37BB8">
              <w:rPr>
                <w:rFonts w:ascii="Times New Roman" w:eastAsia="Times New Roman" w:hAnsi="Times New Roman"/>
                <w:color w:val="000000" w:themeColor="text1"/>
                <w:sz w:val="24"/>
                <w:szCs w:val="24"/>
                <w:u w:val="single"/>
                <w:lang w:val="lv-LV" w:eastAsia="lv-LV"/>
              </w:rPr>
              <w:t xml:space="preserve"> vai iesniegt gada ienākuma nodokļa deklarāciju, lai saņemtu atpakaļ pārmaksāto nodokli</w:t>
            </w:r>
            <w:r w:rsidRPr="00D37BB8">
              <w:rPr>
                <w:rFonts w:ascii="Times New Roman" w:eastAsia="Times New Roman" w:hAnsi="Times New Roman"/>
                <w:color w:val="000000" w:themeColor="text1"/>
                <w:sz w:val="24"/>
                <w:szCs w:val="24"/>
                <w:lang w:val="lv-LV" w:eastAsia="lv-LV"/>
              </w:rPr>
              <w:t>;</w:t>
            </w:r>
          </w:p>
          <w:p w14:paraId="6C75BC92" w14:textId="74E13959" w:rsidR="0015638A" w:rsidRPr="00D37BB8" w:rsidRDefault="00852C32" w:rsidP="00765868">
            <w:pPr>
              <w:pStyle w:val="ListParagraph"/>
              <w:numPr>
                <w:ilvl w:val="0"/>
                <w:numId w:val="4"/>
              </w:numPr>
              <w:tabs>
                <w:tab w:val="left" w:pos="544"/>
                <w:tab w:val="left" w:pos="5809"/>
              </w:tabs>
              <w:spacing w:after="0" w:line="240" w:lineRule="auto"/>
              <w:ind w:left="146" w:right="125" w:firstLine="142"/>
              <w:jc w:val="both"/>
              <w:rPr>
                <w:rFonts w:ascii="Times New Roman" w:hAnsi="Times New Roman"/>
                <w:sz w:val="24"/>
                <w:szCs w:val="24"/>
                <w:lang w:val="lv-LV"/>
              </w:rPr>
            </w:pPr>
            <w:r w:rsidRPr="00D37BB8">
              <w:rPr>
                <w:rFonts w:ascii="Times New Roman" w:eastAsia="Times New Roman" w:hAnsi="Times New Roman"/>
                <w:color w:val="000000" w:themeColor="text1"/>
                <w:sz w:val="24"/>
                <w:szCs w:val="24"/>
                <w:lang w:val="lv-LV" w:eastAsia="lv-LV"/>
              </w:rPr>
              <w:t>kuriem radīsies pienākums piemaksāt iedzīvotāju ienākuma nodokli saistībā ar gada diferencētā neapliekamā minimuma piemērošanu</w:t>
            </w:r>
            <w:r w:rsidR="003C2FBB" w:rsidRPr="00D37BB8">
              <w:rPr>
                <w:rFonts w:ascii="Times New Roman" w:eastAsia="Times New Roman" w:hAnsi="Times New Roman"/>
                <w:color w:val="000000" w:themeColor="text1"/>
                <w:sz w:val="24"/>
                <w:szCs w:val="24"/>
                <w:lang w:val="lv-LV" w:eastAsia="lv-LV"/>
              </w:rPr>
              <w:t xml:space="preserve"> </w:t>
            </w:r>
            <w:r w:rsidR="003C2FBB" w:rsidRPr="00D37BB8">
              <w:rPr>
                <w:rFonts w:ascii="Times New Roman" w:eastAsia="Times New Roman" w:hAnsi="Times New Roman"/>
                <w:color w:val="000000" w:themeColor="text1"/>
                <w:sz w:val="24"/>
                <w:szCs w:val="24"/>
                <w:u w:val="single"/>
                <w:lang w:val="lv-LV" w:eastAsia="lv-LV"/>
              </w:rPr>
              <w:t xml:space="preserve"> vai iesniegt gada ienākuma nodokļa deklarāciju, lai saņemtu atpakaļ pārmaksāto nodokli</w:t>
            </w:r>
            <w:r w:rsidRPr="00D37BB8">
              <w:rPr>
                <w:rFonts w:ascii="Times New Roman" w:eastAsia="Times New Roman" w:hAnsi="Times New Roman"/>
                <w:color w:val="000000" w:themeColor="text1"/>
                <w:sz w:val="24"/>
                <w:szCs w:val="24"/>
                <w:lang w:val="lv-LV" w:eastAsia="lv-LV"/>
              </w:rPr>
              <w:t>.</w:t>
            </w:r>
          </w:p>
          <w:p w14:paraId="37D04ED9" w14:textId="79632B01" w:rsidR="002B129D" w:rsidRPr="00D37BB8" w:rsidRDefault="002B129D" w:rsidP="002B129D">
            <w:pPr>
              <w:pStyle w:val="ListParagraph"/>
              <w:tabs>
                <w:tab w:val="left" w:pos="1134"/>
                <w:tab w:val="left" w:pos="5809"/>
              </w:tabs>
              <w:spacing w:after="0" w:line="240" w:lineRule="auto"/>
              <w:ind w:left="709" w:right="125"/>
              <w:jc w:val="both"/>
              <w:rPr>
                <w:rFonts w:ascii="Times New Roman" w:hAnsi="Times New Roman"/>
                <w:sz w:val="24"/>
                <w:szCs w:val="24"/>
                <w:lang w:val="lv-LV"/>
              </w:rPr>
            </w:pPr>
          </w:p>
        </w:tc>
      </w:tr>
      <w:tr w:rsidR="008078B8" w:rsidRPr="00D37BB8" w14:paraId="67E36911" w14:textId="77777777" w:rsidTr="006B4097">
        <w:trPr>
          <w:trHeight w:val="309"/>
        </w:trPr>
        <w:tc>
          <w:tcPr>
            <w:tcW w:w="224" w:type="pct"/>
          </w:tcPr>
          <w:p w14:paraId="05C17043" w14:textId="77777777" w:rsidR="008078B8" w:rsidRPr="00D37BB8" w:rsidRDefault="008078B8" w:rsidP="002431AC">
            <w:r w:rsidRPr="00D37BB8">
              <w:t>3.</w:t>
            </w:r>
          </w:p>
        </w:tc>
        <w:tc>
          <w:tcPr>
            <w:tcW w:w="1615" w:type="pct"/>
          </w:tcPr>
          <w:p w14:paraId="68FC71DC" w14:textId="77777777" w:rsidR="008078B8" w:rsidRPr="00D37BB8" w:rsidRDefault="008078B8" w:rsidP="002431AC">
            <w:r w:rsidRPr="00D37BB8">
              <w:t>Administratīvo izmaksu monetārs novērtējums</w:t>
            </w:r>
          </w:p>
        </w:tc>
        <w:tc>
          <w:tcPr>
            <w:tcW w:w="3161" w:type="pct"/>
          </w:tcPr>
          <w:p w14:paraId="37A8F59D" w14:textId="77777777" w:rsidR="008078B8" w:rsidRPr="00D37BB8" w:rsidRDefault="0015638A" w:rsidP="006B4097">
            <w:pPr>
              <w:tabs>
                <w:tab w:val="left" w:pos="5809"/>
              </w:tabs>
              <w:ind w:right="125"/>
            </w:pPr>
            <w:r w:rsidRPr="00D37BB8">
              <w:t>Projekts šo jomu neskar.</w:t>
            </w:r>
          </w:p>
        </w:tc>
      </w:tr>
      <w:tr w:rsidR="008078B8" w:rsidRPr="00D37BB8" w14:paraId="15A91A00" w14:textId="77777777" w:rsidTr="006B4097">
        <w:trPr>
          <w:trHeight w:val="242"/>
        </w:trPr>
        <w:tc>
          <w:tcPr>
            <w:tcW w:w="224" w:type="pct"/>
          </w:tcPr>
          <w:p w14:paraId="1A4293A2" w14:textId="77777777" w:rsidR="008078B8" w:rsidRPr="00D37BB8" w:rsidRDefault="008078B8" w:rsidP="002431AC">
            <w:r w:rsidRPr="00D37BB8">
              <w:t>4.</w:t>
            </w:r>
          </w:p>
        </w:tc>
        <w:tc>
          <w:tcPr>
            <w:tcW w:w="1615" w:type="pct"/>
          </w:tcPr>
          <w:p w14:paraId="07267B42" w14:textId="77777777" w:rsidR="008078B8" w:rsidRPr="00D37BB8" w:rsidRDefault="008078B8" w:rsidP="002431AC">
            <w:r w:rsidRPr="00D37BB8">
              <w:t>Cita informācija</w:t>
            </w:r>
          </w:p>
        </w:tc>
        <w:tc>
          <w:tcPr>
            <w:tcW w:w="3161" w:type="pct"/>
          </w:tcPr>
          <w:p w14:paraId="6A533870" w14:textId="77777777" w:rsidR="008078B8" w:rsidRPr="00D37BB8" w:rsidRDefault="008078B8" w:rsidP="002431AC">
            <w:r w:rsidRPr="00D37BB8">
              <w:t>Nav.</w:t>
            </w:r>
          </w:p>
        </w:tc>
      </w:tr>
    </w:tbl>
    <w:p w14:paraId="0C0AB4E2" w14:textId="6F0D7008" w:rsidR="008078B8" w:rsidRPr="00465CA3" w:rsidRDefault="008078B8" w:rsidP="002431AC"/>
    <w:tbl>
      <w:tblPr>
        <w:tblW w:w="9781"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1"/>
        <w:gridCol w:w="2122"/>
        <w:gridCol w:w="972"/>
        <w:gridCol w:w="1559"/>
        <w:gridCol w:w="1365"/>
        <w:gridCol w:w="1362"/>
      </w:tblGrid>
      <w:tr w:rsidR="003300C7" w:rsidRPr="00465CA3" w14:paraId="45DE2BB4" w14:textId="77777777" w:rsidTr="00D50EA7">
        <w:tc>
          <w:tcPr>
            <w:tcW w:w="5000" w:type="pct"/>
            <w:gridSpan w:val="6"/>
            <w:tcBorders>
              <w:top w:val="single" w:sz="4" w:space="0" w:color="auto"/>
              <w:left w:val="single" w:sz="4" w:space="0" w:color="auto"/>
              <w:bottom w:val="single" w:sz="4" w:space="0" w:color="auto"/>
              <w:right w:val="single" w:sz="4" w:space="0" w:color="auto"/>
            </w:tcBorders>
            <w:hideMark/>
          </w:tcPr>
          <w:p w14:paraId="112EA78B" w14:textId="77777777" w:rsidR="003300C7" w:rsidRPr="00465CA3" w:rsidRDefault="003300C7" w:rsidP="002B129D">
            <w:pPr>
              <w:jc w:val="center"/>
              <w:rPr>
                <w:b/>
                <w:bCs/>
                <w:color w:val="000000"/>
              </w:rPr>
            </w:pPr>
            <w:r w:rsidRPr="00465CA3">
              <w:rPr>
                <w:b/>
                <w:bCs/>
                <w:color w:val="000000"/>
              </w:rPr>
              <w:t>III. Tiesību akta projekta ietekme uz valsts budžetu un pašvaldību budžetiem</w:t>
            </w:r>
          </w:p>
        </w:tc>
      </w:tr>
      <w:tr w:rsidR="003300C7" w:rsidRPr="00465CA3" w14:paraId="41EC8031" w14:textId="77777777" w:rsidTr="00D50EA7">
        <w:tc>
          <w:tcPr>
            <w:tcW w:w="1227" w:type="pct"/>
            <w:vMerge w:val="restart"/>
            <w:tcBorders>
              <w:top w:val="single" w:sz="4" w:space="0" w:color="auto"/>
              <w:left w:val="single" w:sz="4" w:space="0" w:color="auto"/>
              <w:bottom w:val="single" w:sz="4" w:space="0" w:color="auto"/>
              <w:right w:val="single" w:sz="4" w:space="0" w:color="auto"/>
            </w:tcBorders>
            <w:hideMark/>
          </w:tcPr>
          <w:p w14:paraId="773F78AC" w14:textId="77777777" w:rsidR="003300C7" w:rsidRPr="00465CA3" w:rsidRDefault="003300C7" w:rsidP="002B129D">
            <w:pPr>
              <w:jc w:val="center"/>
              <w:rPr>
                <w:b/>
                <w:color w:val="000000"/>
              </w:rPr>
            </w:pPr>
            <w:r w:rsidRPr="00465CA3">
              <w:rPr>
                <w:b/>
                <w:color w:val="000000"/>
              </w:rPr>
              <w:t>Rādītāji</w:t>
            </w:r>
          </w:p>
        </w:tc>
        <w:tc>
          <w:tcPr>
            <w:tcW w:w="1582" w:type="pct"/>
            <w:gridSpan w:val="2"/>
            <w:vMerge w:val="restart"/>
            <w:tcBorders>
              <w:top w:val="single" w:sz="4" w:space="0" w:color="auto"/>
              <w:left w:val="single" w:sz="4" w:space="0" w:color="auto"/>
              <w:bottom w:val="single" w:sz="4" w:space="0" w:color="auto"/>
              <w:right w:val="single" w:sz="4" w:space="0" w:color="auto"/>
            </w:tcBorders>
            <w:hideMark/>
          </w:tcPr>
          <w:p w14:paraId="590547FB" w14:textId="77777777" w:rsidR="003300C7" w:rsidRPr="00465CA3" w:rsidRDefault="003300C7" w:rsidP="002B129D">
            <w:pPr>
              <w:jc w:val="center"/>
              <w:rPr>
                <w:b/>
                <w:color w:val="000000"/>
              </w:rPr>
            </w:pPr>
            <w:r w:rsidRPr="00465CA3">
              <w:rPr>
                <w:b/>
                <w:color w:val="000000"/>
              </w:rPr>
              <w:t>2016.</w:t>
            </w:r>
          </w:p>
        </w:tc>
        <w:tc>
          <w:tcPr>
            <w:tcW w:w="2191" w:type="pct"/>
            <w:gridSpan w:val="3"/>
            <w:tcBorders>
              <w:top w:val="single" w:sz="4" w:space="0" w:color="auto"/>
              <w:left w:val="single" w:sz="4" w:space="0" w:color="auto"/>
              <w:bottom w:val="single" w:sz="4" w:space="0" w:color="auto"/>
              <w:right w:val="single" w:sz="4" w:space="0" w:color="auto"/>
            </w:tcBorders>
            <w:hideMark/>
          </w:tcPr>
          <w:p w14:paraId="3AA75ECC" w14:textId="2CC87442" w:rsidR="003300C7" w:rsidRPr="00465CA3" w:rsidRDefault="003300C7" w:rsidP="002B129D">
            <w:pPr>
              <w:jc w:val="center"/>
              <w:rPr>
                <w:color w:val="000000"/>
              </w:rPr>
            </w:pPr>
            <w:r w:rsidRPr="00465CA3">
              <w:rPr>
                <w:color w:val="000000"/>
              </w:rPr>
              <w:t>Turpmākie trīs gadi (</w:t>
            </w:r>
            <w:proofErr w:type="spellStart"/>
            <w:r w:rsidR="005A1D33" w:rsidRPr="005A1D33">
              <w:rPr>
                <w:i/>
                <w:color w:val="000000"/>
              </w:rPr>
              <w:t>euro</w:t>
            </w:r>
            <w:proofErr w:type="spellEnd"/>
            <w:r w:rsidRPr="00465CA3">
              <w:rPr>
                <w:color w:val="000000"/>
              </w:rPr>
              <w:t>)</w:t>
            </w:r>
          </w:p>
        </w:tc>
      </w:tr>
      <w:tr w:rsidR="003300C7" w:rsidRPr="00465CA3" w14:paraId="578BD472" w14:textId="77777777" w:rsidTr="00D50EA7">
        <w:trPr>
          <w:trHeight w:val="96"/>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28FEA79A" w14:textId="77777777" w:rsidR="003300C7" w:rsidRPr="00465CA3" w:rsidRDefault="003300C7" w:rsidP="002B129D">
            <w:pPr>
              <w:rPr>
                <w:b/>
                <w:color w:val="000000"/>
              </w:rPr>
            </w:pPr>
          </w:p>
        </w:tc>
        <w:tc>
          <w:tcPr>
            <w:tcW w:w="1582" w:type="pct"/>
            <w:gridSpan w:val="2"/>
            <w:vMerge/>
            <w:tcBorders>
              <w:top w:val="single" w:sz="4" w:space="0" w:color="auto"/>
              <w:left w:val="single" w:sz="4" w:space="0" w:color="auto"/>
              <w:bottom w:val="single" w:sz="4" w:space="0" w:color="auto"/>
              <w:right w:val="single" w:sz="4" w:space="0" w:color="auto"/>
            </w:tcBorders>
            <w:vAlign w:val="center"/>
            <w:hideMark/>
          </w:tcPr>
          <w:p w14:paraId="4C708394" w14:textId="77777777" w:rsidR="003300C7" w:rsidRPr="00465CA3" w:rsidRDefault="003300C7" w:rsidP="002B129D">
            <w:pPr>
              <w:rPr>
                <w:b/>
                <w:color w:val="000000"/>
              </w:rPr>
            </w:pPr>
          </w:p>
        </w:tc>
        <w:tc>
          <w:tcPr>
            <w:tcW w:w="797" w:type="pct"/>
            <w:tcBorders>
              <w:top w:val="single" w:sz="4" w:space="0" w:color="auto"/>
              <w:left w:val="single" w:sz="4" w:space="0" w:color="auto"/>
              <w:bottom w:val="single" w:sz="4" w:space="0" w:color="auto"/>
              <w:right w:val="single" w:sz="4" w:space="0" w:color="auto"/>
            </w:tcBorders>
            <w:hideMark/>
          </w:tcPr>
          <w:p w14:paraId="1374AD4B" w14:textId="77777777" w:rsidR="003300C7" w:rsidRPr="00465CA3" w:rsidRDefault="003300C7" w:rsidP="002B129D">
            <w:pPr>
              <w:jc w:val="center"/>
              <w:rPr>
                <w:b/>
                <w:color w:val="000000"/>
              </w:rPr>
            </w:pPr>
            <w:r w:rsidRPr="00465CA3">
              <w:rPr>
                <w:b/>
                <w:color w:val="000000"/>
              </w:rPr>
              <w:t>2018.</w:t>
            </w:r>
          </w:p>
        </w:tc>
        <w:tc>
          <w:tcPr>
            <w:tcW w:w="698" w:type="pct"/>
            <w:tcBorders>
              <w:top w:val="single" w:sz="4" w:space="0" w:color="auto"/>
              <w:left w:val="single" w:sz="4" w:space="0" w:color="auto"/>
              <w:bottom w:val="single" w:sz="4" w:space="0" w:color="auto"/>
              <w:right w:val="single" w:sz="4" w:space="0" w:color="auto"/>
            </w:tcBorders>
            <w:hideMark/>
          </w:tcPr>
          <w:p w14:paraId="7E28D8A1" w14:textId="77777777" w:rsidR="003300C7" w:rsidRPr="00465CA3" w:rsidRDefault="003300C7" w:rsidP="002B129D">
            <w:pPr>
              <w:jc w:val="center"/>
              <w:rPr>
                <w:b/>
                <w:color w:val="000000"/>
              </w:rPr>
            </w:pPr>
            <w:r w:rsidRPr="00465CA3">
              <w:rPr>
                <w:b/>
                <w:color w:val="000000"/>
              </w:rPr>
              <w:t>2019.</w:t>
            </w:r>
          </w:p>
        </w:tc>
        <w:tc>
          <w:tcPr>
            <w:tcW w:w="696" w:type="pct"/>
            <w:tcBorders>
              <w:top w:val="single" w:sz="4" w:space="0" w:color="auto"/>
              <w:left w:val="single" w:sz="4" w:space="0" w:color="auto"/>
              <w:bottom w:val="single" w:sz="4" w:space="0" w:color="auto"/>
              <w:right w:val="single" w:sz="4" w:space="0" w:color="auto"/>
            </w:tcBorders>
            <w:hideMark/>
          </w:tcPr>
          <w:p w14:paraId="000B9626" w14:textId="77777777" w:rsidR="003300C7" w:rsidRPr="00465CA3" w:rsidRDefault="003300C7" w:rsidP="002B129D">
            <w:pPr>
              <w:jc w:val="center"/>
              <w:rPr>
                <w:b/>
                <w:color w:val="000000"/>
              </w:rPr>
            </w:pPr>
            <w:r w:rsidRPr="00465CA3">
              <w:rPr>
                <w:b/>
                <w:color w:val="000000"/>
              </w:rPr>
              <w:t>2020.</w:t>
            </w:r>
          </w:p>
        </w:tc>
      </w:tr>
      <w:tr w:rsidR="003300C7" w:rsidRPr="00465CA3" w14:paraId="386A2646" w14:textId="77777777" w:rsidTr="00D50EA7">
        <w:trPr>
          <w:trHeight w:val="96"/>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2A61EC70" w14:textId="77777777" w:rsidR="003300C7" w:rsidRPr="00465CA3" w:rsidRDefault="003300C7" w:rsidP="002B129D">
            <w:pPr>
              <w:rPr>
                <w:b/>
                <w:color w:val="000000"/>
              </w:rPr>
            </w:pPr>
          </w:p>
        </w:tc>
        <w:tc>
          <w:tcPr>
            <w:tcW w:w="1085" w:type="pct"/>
            <w:tcBorders>
              <w:top w:val="single" w:sz="4" w:space="0" w:color="auto"/>
              <w:left w:val="single" w:sz="4" w:space="0" w:color="auto"/>
              <w:bottom w:val="single" w:sz="4" w:space="0" w:color="auto"/>
              <w:right w:val="single" w:sz="4" w:space="0" w:color="auto"/>
            </w:tcBorders>
            <w:hideMark/>
          </w:tcPr>
          <w:p w14:paraId="09B84FB2" w14:textId="77777777" w:rsidR="003300C7" w:rsidRPr="00465CA3" w:rsidRDefault="003300C7" w:rsidP="002B129D">
            <w:pPr>
              <w:jc w:val="center"/>
              <w:rPr>
                <w:color w:val="000000"/>
              </w:rPr>
            </w:pPr>
            <w:r w:rsidRPr="00465CA3">
              <w:rPr>
                <w:color w:val="000000"/>
              </w:rPr>
              <w:t>Saskaņā ar valsts budžetu kārtējam gadam</w:t>
            </w:r>
          </w:p>
        </w:tc>
        <w:tc>
          <w:tcPr>
            <w:tcW w:w="497" w:type="pct"/>
            <w:tcBorders>
              <w:top w:val="single" w:sz="4" w:space="0" w:color="auto"/>
              <w:left w:val="single" w:sz="4" w:space="0" w:color="auto"/>
              <w:bottom w:val="single" w:sz="4" w:space="0" w:color="auto"/>
              <w:right w:val="single" w:sz="4" w:space="0" w:color="auto"/>
            </w:tcBorders>
            <w:hideMark/>
          </w:tcPr>
          <w:p w14:paraId="7ED60C51" w14:textId="77777777" w:rsidR="003300C7" w:rsidRPr="00465CA3" w:rsidRDefault="003300C7" w:rsidP="002B129D">
            <w:pPr>
              <w:jc w:val="center"/>
              <w:rPr>
                <w:color w:val="000000"/>
                <w:spacing w:val="-6"/>
              </w:rPr>
            </w:pPr>
            <w:r w:rsidRPr="00465CA3">
              <w:rPr>
                <w:color w:val="000000"/>
                <w:spacing w:val="-6"/>
              </w:rPr>
              <w:t xml:space="preserve">Izmaiņas kārtējā gadā, salīdzinot ar budžetu </w:t>
            </w:r>
            <w:r w:rsidRPr="00465CA3">
              <w:rPr>
                <w:color w:val="000000"/>
                <w:spacing w:val="-6"/>
              </w:rPr>
              <w:lastRenderedPageBreak/>
              <w:t>kārtējam gadam</w:t>
            </w:r>
          </w:p>
        </w:tc>
        <w:tc>
          <w:tcPr>
            <w:tcW w:w="797" w:type="pct"/>
            <w:tcBorders>
              <w:top w:val="single" w:sz="4" w:space="0" w:color="auto"/>
              <w:left w:val="single" w:sz="4" w:space="0" w:color="auto"/>
              <w:bottom w:val="single" w:sz="4" w:space="0" w:color="auto"/>
              <w:right w:val="single" w:sz="4" w:space="0" w:color="auto"/>
            </w:tcBorders>
            <w:hideMark/>
          </w:tcPr>
          <w:p w14:paraId="74A38984" w14:textId="77777777" w:rsidR="003300C7" w:rsidRPr="00465CA3" w:rsidRDefault="003300C7" w:rsidP="002B129D">
            <w:pPr>
              <w:jc w:val="center"/>
              <w:rPr>
                <w:color w:val="000000"/>
              </w:rPr>
            </w:pPr>
            <w:r w:rsidRPr="00465CA3">
              <w:rPr>
                <w:color w:val="000000"/>
              </w:rPr>
              <w:lastRenderedPageBreak/>
              <w:t>Izmaiņas, salīdzinot ar kārtējo (n) gadu</w:t>
            </w:r>
          </w:p>
        </w:tc>
        <w:tc>
          <w:tcPr>
            <w:tcW w:w="698" w:type="pct"/>
            <w:tcBorders>
              <w:top w:val="single" w:sz="4" w:space="0" w:color="auto"/>
              <w:left w:val="single" w:sz="4" w:space="0" w:color="auto"/>
              <w:bottom w:val="single" w:sz="4" w:space="0" w:color="auto"/>
              <w:right w:val="single" w:sz="4" w:space="0" w:color="auto"/>
            </w:tcBorders>
            <w:hideMark/>
          </w:tcPr>
          <w:p w14:paraId="40DF842A" w14:textId="77777777" w:rsidR="003300C7" w:rsidRPr="00465CA3" w:rsidRDefault="003300C7" w:rsidP="002B129D">
            <w:pPr>
              <w:jc w:val="center"/>
              <w:rPr>
                <w:color w:val="000000"/>
              </w:rPr>
            </w:pPr>
            <w:r w:rsidRPr="00465CA3">
              <w:rPr>
                <w:color w:val="000000"/>
              </w:rPr>
              <w:t>Izmaiņas, salīdzinot ar kārtējo (n) gadu</w:t>
            </w:r>
          </w:p>
        </w:tc>
        <w:tc>
          <w:tcPr>
            <w:tcW w:w="696" w:type="pct"/>
            <w:tcBorders>
              <w:top w:val="single" w:sz="4" w:space="0" w:color="auto"/>
              <w:left w:val="single" w:sz="4" w:space="0" w:color="auto"/>
              <w:bottom w:val="single" w:sz="4" w:space="0" w:color="auto"/>
              <w:right w:val="single" w:sz="4" w:space="0" w:color="auto"/>
            </w:tcBorders>
            <w:hideMark/>
          </w:tcPr>
          <w:p w14:paraId="59DE18CC" w14:textId="77777777" w:rsidR="003300C7" w:rsidRPr="00465CA3" w:rsidRDefault="003300C7" w:rsidP="002B129D">
            <w:pPr>
              <w:jc w:val="center"/>
              <w:rPr>
                <w:color w:val="000000"/>
              </w:rPr>
            </w:pPr>
            <w:r w:rsidRPr="00465CA3">
              <w:rPr>
                <w:color w:val="000000"/>
              </w:rPr>
              <w:t>Izmaiņas, salīdzinot ar kārtējo (n) gadu</w:t>
            </w:r>
          </w:p>
        </w:tc>
      </w:tr>
      <w:tr w:rsidR="003300C7" w:rsidRPr="00465CA3" w14:paraId="3725EDE7" w14:textId="77777777"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14:paraId="5B4B0EF0" w14:textId="77777777" w:rsidR="003300C7" w:rsidRPr="00465CA3" w:rsidRDefault="003300C7" w:rsidP="002B129D">
            <w:pPr>
              <w:jc w:val="center"/>
              <w:rPr>
                <w:color w:val="000000"/>
              </w:rPr>
            </w:pPr>
            <w:r w:rsidRPr="00465CA3">
              <w:rPr>
                <w:color w:val="000000"/>
              </w:rPr>
              <w:t>1</w:t>
            </w:r>
          </w:p>
        </w:tc>
        <w:tc>
          <w:tcPr>
            <w:tcW w:w="1085" w:type="pct"/>
            <w:tcBorders>
              <w:top w:val="single" w:sz="4" w:space="0" w:color="auto"/>
              <w:left w:val="single" w:sz="4" w:space="0" w:color="auto"/>
              <w:bottom w:val="single" w:sz="4" w:space="0" w:color="auto"/>
              <w:right w:val="single" w:sz="4" w:space="0" w:color="auto"/>
            </w:tcBorders>
            <w:hideMark/>
          </w:tcPr>
          <w:p w14:paraId="69890046" w14:textId="77777777" w:rsidR="003300C7" w:rsidRPr="00465CA3" w:rsidRDefault="003300C7" w:rsidP="002B129D">
            <w:pPr>
              <w:jc w:val="center"/>
              <w:rPr>
                <w:color w:val="000000"/>
              </w:rPr>
            </w:pPr>
            <w:r w:rsidRPr="00465CA3">
              <w:rPr>
                <w:color w:val="000000"/>
              </w:rPr>
              <w:t>2</w:t>
            </w:r>
          </w:p>
        </w:tc>
        <w:tc>
          <w:tcPr>
            <w:tcW w:w="497" w:type="pct"/>
            <w:tcBorders>
              <w:top w:val="single" w:sz="4" w:space="0" w:color="auto"/>
              <w:left w:val="single" w:sz="4" w:space="0" w:color="auto"/>
              <w:bottom w:val="single" w:sz="4" w:space="0" w:color="auto"/>
              <w:right w:val="single" w:sz="4" w:space="0" w:color="auto"/>
            </w:tcBorders>
            <w:hideMark/>
          </w:tcPr>
          <w:p w14:paraId="47DC7DA2" w14:textId="77777777" w:rsidR="003300C7" w:rsidRPr="00465CA3" w:rsidRDefault="003300C7" w:rsidP="002B129D">
            <w:pPr>
              <w:jc w:val="center"/>
              <w:rPr>
                <w:color w:val="000000"/>
              </w:rPr>
            </w:pPr>
            <w:r w:rsidRPr="00465CA3">
              <w:rPr>
                <w:color w:val="000000"/>
              </w:rPr>
              <w:t>3</w:t>
            </w:r>
          </w:p>
        </w:tc>
        <w:tc>
          <w:tcPr>
            <w:tcW w:w="797" w:type="pct"/>
            <w:tcBorders>
              <w:top w:val="single" w:sz="4" w:space="0" w:color="auto"/>
              <w:left w:val="single" w:sz="4" w:space="0" w:color="auto"/>
              <w:bottom w:val="single" w:sz="4" w:space="0" w:color="auto"/>
              <w:right w:val="single" w:sz="4" w:space="0" w:color="auto"/>
            </w:tcBorders>
            <w:hideMark/>
          </w:tcPr>
          <w:p w14:paraId="70CC8185" w14:textId="77777777" w:rsidR="003300C7" w:rsidRPr="00465CA3" w:rsidRDefault="003300C7" w:rsidP="002B129D">
            <w:pPr>
              <w:jc w:val="center"/>
              <w:rPr>
                <w:color w:val="000000"/>
              </w:rPr>
            </w:pPr>
            <w:r w:rsidRPr="00465CA3">
              <w:rPr>
                <w:color w:val="000000"/>
              </w:rPr>
              <w:t>4</w:t>
            </w:r>
          </w:p>
        </w:tc>
        <w:tc>
          <w:tcPr>
            <w:tcW w:w="698" w:type="pct"/>
            <w:tcBorders>
              <w:top w:val="single" w:sz="4" w:space="0" w:color="auto"/>
              <w:left w:val="single" w:sz="4" w:space="0" w:color="auto"/>
              <w:bottom w:val="single" w:sz="4" w:space="0" w:color="auto"/>
              <w:right w:val="single" w:sz="4" w:space="0" w:color="auto"/>
            </w:tcBorders>
            <w:hideMark/>
          </w:tcPr>
          <w:p w14:paraId="7091CB11" w14:textId="77777777" w:rsidR="003300C7" w:rsidRPr="00465CA3" w:rsidRDefault="003300C7" w:rsidP="002B129D">
            <w:pPr>
              <w:jc w:val="center"/>
              <w:rPr>
                <w:color w:val="000000"/>
              </w:rPr>
            </w:pPr>
            <w:r w:rsidRPr="00465CA3">
              <w:rPr>
                <w:color w:val="000000"/>
              </w:rPr>
              <w:t>5</w:t>
            </w:r>
          </w:p>
        </w:tc>
        <w:tc>
          <w:tcPr>
            <w:tcW w:w="696" w:type="pct"/>
            <w:tcBorders>
              <w:top w:val="single" w:sz="4" w:space="0" w:color="auto"/>
              <w:left w:val="single" w:sz="4" w:space="0" w:color="auto"/>
              <w:bottom w:val="single" w:sz="4" w:space="0" w:color="auto"/>
              <w:right w:val="single" w:sz="4" w:space="0" w:color="auto"/>
            </w:tcBorders>
            <w:hideMark/>
          </w:tcPr>
          <w:p w14:paraId="24283FD7" w14:textId="77777777" w:rsidR="003300C7" w:rsidRPr="00465CA3" w:rsidRDefault="003300C7" w:rsidP="002B129D">
            <w:pPr>
              <w:jc w:val="center"/>
              <w:rPr>
                <w:color w:val="000000"/>
              </w:rPr>
            </w:pPr>
            <w:r w:rsidRPr="00465CA3">
              <w:rPr>
                <w:color w:val="000000"/>
              </w:rPr>
              <w:t>6</w:t>
            </w:r>
          </w:p>
        </w:tc>
      </w:tr>
      <w:tr w:rsidR="003300C7" w:rsidRPr="00465CA3" w14:paraId="279B9FA0" w14:textId="77777777"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14:paraId="452485BE" w14:textId="77777777" w:rsidR="003300C7" w:rsidRPr="00465CA3" w:rsidRDefault="003300C7" w:rsidP="002B129D">
            <w:pPr>
              <w:ind w:left="254" w:hanging="254"/>
              <w:jc w:val="both"/>
              <w:rPr>
                <w:color w:val="000000"/>
              </w:rPr>
            </w:pPr>
            <w:r w:rsidRPr="00465CA3">
              <w:rPr>
                <w:color w:val="000000"/>
              </w:rPr>
              <w:t>1.</w:t>
            </w:r>
            <w:r w:rsidRPr="00465CA3">
              <w:rPr>
                <w:color w:val="000000"/>
                <w:sz w:val="14"/>
                <w:szCs w:val="14"/>
              </w:rPr>
              <w:t xml:space="preserve">   </w:t>
            </w:r>
            <w:r w:rsidRPr="00465CA3">
              <w:rPr>
                <w:color w:val="000000"/>
              </w:rPr>
              <w:t>Budžeta ieņēmumi:</w:t>
            </w:r>
          </w:p>
        </w:tc>
        <w:tc>
          <w:tcPr>
            <w:tcW w:w="1085" w:type="pct"/>
            <w:tcBorders>
              <w:top w:val="single" w:sz="4" w:space="0" w:color="auto"/>
              <w:left w:val="single" w:sz="4" w:space="0" w:color="auto"/>
              <w:bottom w:val="single" w:sz="4" w:space="0" w:color="auto"/>
              <w:right w:val="single" w:sz="4" w:space="0" w:color="auto"/>
            </w:tcBorders>
          </w:tcPr>
          <w:p w14:paraId="252BA729" w14:textId="77777777" w:rsidR="003300C7" w:rsidRPr="00465CA3" w:rsidRDefault="003300C7" w:rsidP="002B129D">
            <w:pPr>
              <w:jc w:val="center"/>
              <w:rPr>
                <w:color w:val="000000"/>
              </w:rPr>
            </w:pPr>
            <w:r w:rsidRPr="00465CA3">
              <w:rPr>
                <w:color w:val="000000"/>
              </w:rPr>
              <w:t>3 884 313 598</w:t>
            </w:r>
          </w:p>
          <w:p w14:paraId="16B8A145" w14:textId="77777777" w:rsidR="003300C7" w:rsidRPr="00465CA3" w:rsidRDefault="003300C7" w:rsidP="002B129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14:paraId="440F9195"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2450DFD7" w14:textId="77777777" w:rsidR="003300C7" w:rsidRPr="00465CA3" w:rsidRDefault="003300C7" w:rsidP="002B129D">
            <w:pPr>
              <w:jc w:val="center"/>
              <w:rPr>
                <w:color w:val="000000"/>
                <w:u w:val="single"/>
              </w:rPr>
            </w:pPr>
            <w:r w:rsidRPr="00465CA3">
              <w:rPr>
                <w:color w:val="000000"/>
                <w:u w:val="single"/>
              </w:rPr>
              <w:t>-153 600 000</w:t>
            </w:r>
          </w:p>
        </w:tc>
        <w:tc>
          <w:tcPr>
            <w:tcW w:w="698" w:type="pct"/>
            <w:tcBorders>
              <w:top w:val="single" w:sz="4" w:space="0" w:color="auto"/>
              <w:left w:val="single" w:sz="4" w:space="0" w:color="auto"/>
              <w:bottom w:val="single" w:sz="4" w:space="0" w:color="auto"/>
              <w:right w:val="single" w:sz="4" w:space="0" w:color="auto"/>
            </w:tcBorders>
            <w:vAlign w:val="center"/>
          </w:tcPr>
          <w:p w14:paraId="4DA8055C" w14:textId="77777777" w:rsidR="003300C7" w:rsidRPr="00465CA3" w:rsidRDefault="003300C7" w:rsidP="002B129D">
            <w:pPr>
              <w:jc w:val="center"/>
              <w:rPr>
                <w:color w:val="000000"/>
                <w:u w:val="single"/>
              </w:rPr>
            </w:pPr>
            <w:r w:rsidRPr="00465CA3">
              <w:rPr>
                <w:color w:val="000000"/>
                <w:u w:val="single"/>
              </w:rPr>
              <w:t>-202 500 000</w:t>
            </w:r>
          </w:p>
        </w:tc>
        <w:tc>
          <w:tcPr>
            <w:tcW w:w="696" w:type="pct"/>
            <w:tcBorders>
              <w:top w:val="single" w:sz="4" w:space="0" w:color="auto"/>
              <w:left w:val="single" w:sz="4" w:space="0" w:color="auto"/>
              <w:bottom w:val="single" w:sz="4" w:space="0" w:color="auto"/>
              <w:right w:val="single" w:sz="4" w:space="0" w:color="auto"/>
            </w:tcBorders>
            <w:vAlign w:val="center"/>
          </w:tcPr>
          <w:p w14:paraId="41E2747C" w14:textId="77777777" w:rsidR="003300C7" w:rsidRPr="00465CA3" w:rsidRDefault="003300C7" w:rsidP="002B129D">
            <w:pPr>
              <w:jc w:val="center"/>
              <w:rPr>
                <w:color w:val="000000"/>
                <w:u w:val="single"/>
              </w:rPr>
            </w:pPr>
            <w:r w:rsidRPr="00465CA3">
              <w:rPr>
                <w:color w:val="000000"/>
                <w:u w:val="single"/>
              </w:rPr>
              <w:t>-266 400 000</w:t>
            </w:r>
          </w:p>
        </w:tc>
      </w:tr>
      <w:tr w:rsidR="003300C7" w:rsidRPr="00465CA3" w14:paraId="40F01BF4"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18478A27" w14:textId="77777777" w:rsidR="003300C7" w:rsidRPr="00465CA3" w:rsidRDefault="003300C7" w:rsidP="002B129D">
            <w:pPr>
              <w:rPr>
                <w:color w:val="000000"/>
              </w:rPr>
            </w:pPr>
            <w:r w:rsidRPr="00465CA3">
              <w:rPr>
                <w:color w:val="000000"/>
              </w:rPr>
              <w:t>1</w:t>
            </w:r>
            <w:r w:rsidRPr="00465CA3">
              <w:rPr>
                <w:color w:val="000000"/>
                <w:spacing w:val="-6"/>
              </w:rPr>
              <w:t>.1. valsts pamatbudžets, tai skaitā ieņēmumi no maksas pakalpojumiem un citi pašu ieņēmumi, t.sk.,</w:t>
            </w:r>
          </w:p>
        </w:tc>
        <w:tc>
          <w:tcPr>
            <w:tcW w:w="1085" w:type="pct"/>
            <w:tcBorders>
              <w:top w:val="single" w:sz="4" w:space="0" w:color="auto"/>
              <w:left w:val="single" w:sz="4" w:space="0" w:color="auto"/>
              <w:bottom w:val="single" w:sz="4" w:space="0" w:color="auto"/>
              <w:right w:val="single" w:sz="4" w:space="0" w:color="auto"/>
            </w:tcBorders>
          </w:tcPr>
          <w:p w14:paraId="0B8BC985" w14:textId="77777777" w:rsidR="003300C7" w:rsidRPr="00465CA3" w:rsidRDefault="003300C7" w:rsidP="002B129D">
            <w:pPr>
              <w:jc w:val="center"/>
              <w:rPr>
                <w:color w:val="000000"/>
              </w:rPr>
            </w:pPr>
            <w:r w:rsidRPr="00465CA3">
              <w:rPr>
                <w:color w:val="000000"/>
              </w:rPr>
              <w:t>328 047 191</w:t>
            </w:r>
          </w:p>
        </w:tc>
        <w:tc>
          <w:tcPr>
            <w:tcW w:w="497" w:type="pct"/>
            <w:tcBorders>
              <w:top w:val="single" w:sz="4" w:space="0" w:color="auto"/>
              <w:left w:val="single" w:sz="4" w:space="0" w:color="auto"/>
              <w:bottom w:val="single" w:sz="4" w:space="0" w:color="auto"/>
              <w:right w:val="single" w:sz="4" w:space="0" w:color="auto"/>
            </w:tcBorders>
          </w:tcPr>
          <w:p w14:paraId="0CBEB482"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0B1F93C1" w14:textId="77777777" w:rsidR="003300C7" w:rsidRPr="00465CA3" w:rsidRDefault="003300C7" w:rsidP="002B129D">
            <w:pPr>
              <w:jc w:val="center"/>
              <w:rPr>
                <w:color w:val="000000"/>
                <w:u w:val="single"/>
              </w:rPr>
            </w:pPr>
            <w:r w:rsidRPr="00465CA3">
              <w:rPr>
                <w:color w:val="000000"/>
                <w:u w:val="single"/>
              </w:rPr>
              <w:t>-32 320 000</w:t>
            </w:r>
          </w:p>
        </w:tc>
        <w:tc>
          <w:tcPr>
            <w:tcW w:w="698" w:type="pct"/>
            <w:tcBorders>
              <w:top w:val="single" w:sz="4" w:space="0" w:color="auto"/>
              <w:left w:val="single" w:sz="4" w:space="0" w:color="auto"/>
              <w:bottom w:val="single" w:sz="4" w:space="0" w:color="auto"/>
              <w:right w:val="single" w:sz="4" w:space="0" w:color="auto"/>
            </w:tcBorders>
            <w:vAlign w:val="center"/>
          </w:tcPr>
          <w:p w14:paraId="55741340" w14:textId="77777777" w:rsidR="003300C7" w:rsidRPr="00465CA3" w:rsidRDefault="003300C7" w:rsidP="002B129D">
            <w:pPr>
              <w:jc w:val="center"/>
              <w:rPr>
                <w:color w:val="000000"/>
                <w:u w:val="single"/>
              </w:rPr>
            </w:pPr>
            <w:r w:rsidRPr="00465CA3">
              <w:rPr>
                <w:color w:val="000000"/>
                <w:u w:val="single"/>
              </w:rPr>
              <w:t>-42 100 000</w:t>
            </w:r>
          </w:p>
        </w:tc>
        <w:tc>
          <w:tcPr>
            <w:tcW w:w="696" w:type="pct"/>
            <w:tcBorders>
              <w:top w:val="single" w:sz="4" w:space="0" w:color="auto"/>
              <w:left w:val="single" w:sz="4" w:space="0" w:color="auto"/>
              <w:bottom w:val="single" w:sz="4" w:space="0" w:color="auto"/>
              <w:right w:val="single" w:sz="4" w:space="0" w:color="auto"/>
            </w:tcBorders>
            <w:vAlign w:val="center"/>
          </w:tcPr>
          <w:p w14:paraId="61136AAB" w14:textId="77777777" w:rsidR="003300C7" w:rsidRPr="00465CA3" w:rsidRDefault="003300C7" w:rsidP="002B129D">
            <w:pPr>
              <w:jc w:val="center"/>
              <w:rPr>
                <w:color w:val="000000"/>
                <w:u w:val="single"/>
              </w:rPr>
            </w:pPr>
            <w:r w:rsidRPr="00465CA3">
              <w:rPr>
                <w:color w:val="000000"/>
                <w:u w:val="single"/>
              </w:rPr>
              <w:t>-54 880 000</w:t>
            </w:r>
          </w:p>
        </w:tc>
      </w:tr>
      <w:tr w:rsidR="003300C7" w:rsidRPr="00465CA3" w14:paraId="508630C0" w14:textId="77777777" w:rsidTr="00D50EA7">
        <w:tc>
          <w:tcPr>
            <w:tcW w:w="1227" w:type="pct"/>
            <w:tcBorders>
              <w:top w:val="single" w:sz="4" w:space="0" w:color="auto"/>
              <w:left w:val="single" w:sz="4" w:space="0" w:color="auto"/>
              <w:bottom w:val="single" w:sz="4" w:space="0" w:color="auto"/>
              <w:right w:val="single" w:sz="4" w:space="0" w:color="auto"/>
            </w:tcBorders>
          </w:tcPr>
          <w:p w14:paraId="566D46D1" w14:textId="77777777" w:rsidR="003300C7" w:rsidRPr="00465CA3" w:rsidRDefault="003300C7" w:rsidP="002B129D">
            <w:pPr>
              <w:jc w:val="right"/>
              <w:rPr>
                <w:color w:val="000000"/>
                <w:sz w:val="22"/>
              </w:rPr>
            </w:pPr>
            <w:r w:rsidRPr="00465CA3">
              <w:rPr>
                <w:color w:val="000000"/>
                <w:sz w:val="22"/>
              </w:rPr>
              <w:t>Iedzīvotāju ienākuma nodoklis</w:t>
            </w:r>
          </w:p>
        </w:tc>
        <w:tc>
          <w:tcPr>
            <w:tcW w:w="1085" w:type="pct"/>
            <w:tcBorders>
              <w:top w:val="single" w:sz="4" w:space="0" w:color="auto"/>
              <w:left w:val="single" w:sz="4" w:space="0" w:color="auto"/>
              <w:bottom w:val="single" w:sz="4" w:space="0" w:color="auto"/>
              <w:right w:val="single" w:sz="4" w:space="0" w:color="auto"/>
            </w:tcBorders>
          </w:tcPr>
          <w:p w14:paraId="39429E56" w14:textId="77777777" w:rsidR="003300C7" w:rsidRPr="00465CA3" w:rsidRDefault="003300C7" w:rsidP="002B129D">
            <w:pPr>
              <w:jc w:val="center"/>
              <w:rPr>
                <w:color w:val="000000"/>
              </w:rPr>
            </w:pPr>
            <w:r w:rsidRPr="00465CA3">
              <w:rPr>
                <w:color w:val="000000"/>
              </w:rPr>
              <w:t>328 047 191</w:t>
            </w:r>
          </w:p>
        </w:tc>
        <w:tc>
          <w:tcPr>
            <w:tcW w:w="497" w:type="pct"/>
            <w:tcBorders>
              <w:top w:val="single" w:sz="4" w:space="0" w:color="auto"/>
              <w:left w:val="single" w:sz="4" w:space="0" w:color="auto"/>
              <w:bottom w:val="single" w:sz="4" w:space="0" w:color="auto"/>
              <w:right w:val="single" w:sz="4" w:space="0" w:color="auto"/>
            </w:tcBorders>
          </w:tcPr>
          <w:p w14:paraId="4BC11DFC"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4AA83718" w14:textId="77777777" w:rsidR="003300C7" w:rsidRPr="00465CA3" w:rsidRDefault="003300C7" w:rsidP="002B129D">
            <w:pPr>
              <w:jc w:val="center"/>
              <w:rPr>
                <w:color w:val="000000"/>
                <w:u w:val="single"/>
              </w:rPr>
            </w:pPr>
            <w:r w:rsidRPr="00465CA3">
              <w:rPr>
                <w:color w:val="000000"/>
                <w:u w:val="single"/>
              </w:rPr>
              <w:t>-32 320 000</w:t>
            </w:r>
          </w:p>
        </w:tc>
        <w:tc>
          <w:tcPr>
            <w:tcW w:w="698" w:type="pct"/>
            <w:tcBorders>
              <w:top w:val="single" w:sz="4" w:space="0" w:color="auto"/>
              <w:left w:val="single" w:sz="4" w:space="0" w:color="auto"/>
              <w:bottom w:val="single" w:sz="4" w:space="0" w:color="auto"/>
              <w:right w:val="single" w:sz="4" w:space="0" w:color="auto"/>
            </w:tcBorders>
            <w:vAlign w:val="center"/>
          </w:tcPr>
          <w:p w14:paraId="325678CC" w14:textId="77777777" w:rsidR="003300C7" w:rsidRPr="00465CA3" w:rsidRDefault="003300C7" w:rsidP="002B129D">
            <w:pPr>
              <w:jc w:val="center"/>
              <w:rPr>
                <w:color w:val="000000"/>
                <w:u w:val="single"/>
              </w:rPr>
            </w:pPr>
            <w:r w:rsidRPr="00465CA3">
              <w:rPr>
                <w:color w:val="000000"/>
                <w:u w:val="single"/>
              </w:rPr>
              <w:t>-42 100 000</w:t>
            </w:r>
          </w:p>
        </w:tc>
        <w:tc>
          <w:tcPr>
            <w:tcW w:w="696" w:type="pct"/>
            <w:tcBorders>
              <w:top w:val="single" w:sz="4" w:space="0" w:color="auto"/>
              <w:left w:val="single" w:sz="4" w:space="0" w:color="auto"/>
              <w:bottom w:val="single" w:sz="4" w:space="0" w:color="auto"/>
              <w:right w:val="single" w:sz="4" w:space="0" w:color="auto"/>
            </w:tcBorders>
            <w:vAlign w:val="center"/>
          </w:tcPr>
          <w:p w14:paraId="3A650539" w14:textId="77777777" w:rsidR="003300C7" w:rsidRPr="00465CA3" w:rsidRDefault="003300C7" w:rsidP="002B129D">
            <w:pPr>
              <w:jc w:val="center"/>
              <w:rPr>
                <w:color w:val="000000"/>
                <w:u w:val="single"/>
              </w:rPr>
            </w:pPr>
            <w:r w:rsidRPr="00465CA3">
              <w:rPr>
                <w:color w:val="000000"/>
                <w:u w:val="single"/>
              </w:rPr>
              <w:t>-54 880 000</w:t>
            </w:r>
          </w:p>
        </w:tc>
      </w:tr>
      <w:tr w:rsidR="003300C7" w:rsidRPr="00465CA3" w14:paraId="4D8D8AD0" w14:textId="77777777" w:rsidTr="00D50EA7">
        <w:tc>
          <w:tcPr>
            <w:tcW w:w="1227" w:type="pct"/>
            <w:tcBorders>
              <w:top w:val="single" w:sz="4" w:space="0" w:color="auto"/>
              <w:left w:val="single" w:sz="4" w:space="0" w:color="auto"/>
              <w:bottom w:val="single" w:sz="4" w:space="0" w:color="auto"/>
              <w:right w:val="single" w:sz="4" w:space="0" w:color="auto"/>
            </w:tcBorders>
          </w:tcPr>
          <w:p w14:paraId="470915CF" w14:textId="77777777" w:rsidR="003300C7" w:rsidRPr="00465CA3" w:rsidRDefault="003300C7" w:rsidP="002B129D">
            <w:pPr>
              <w:rPr>
                <w:color w:val="000000"/>
                <w:sz w:val="22"/>
              </w:rPr>
            </w:pPr>
            <w:r w:rsidRPr="00465CA3">
              <w:rPr>
                <w:color w:val="000000"/>
              </w:rPr>
              <w:t>1.2. valsts speciālais budžets</w:t>
            </w:r>
          </w:p>
        </w:tc>
        <w:tc>
          <w:tcPr>
            <w:tcW w:w="1085" w:type="pct"/>
            <w:tcBorders>
              <w:top w:val="single" w:sz="4" w:space="0" w:color="auto"/>
              <w:left w:val="single" w:sz="4" w:space="0" w:color="auto"/>
              <w:bottom w:val="single" w:sz="4" w:space="0" w:color="auto"/>
              <w:right w:val="single" w:sz="4" w:space="0" w:color="auto"/>
            </w:tcBorders>
          </w:tcPr>
          <w:p w14:paraId="42967ACB" w14:textId="77777777" w:rsidR="003300C7" w:rsidRPr="00465CA3" w:rsidRDefault="003300C7" w:rsidP="002B129D">
            <w:pPr>
              <w:jc w:val="center"/>
              <w:rPr>
                <w:color w:val="000000"/>
              </w:rPr>
            </w:pPr>
            <w:r w:rsidRPr="00465CA3">
              <w:rPr>
                <w:color w:val="000000"/>
              </w:rPr>
              <w:t>2 244 077 642</w:t>
            </w:r>
          </w:p>
        </w:tc>
        <w:tc>
          <w:tcPr>
            <w:tcW w:w="497" w:type="pct"/>
            <w:tcBorders>
              <w:top w:val="single" w:sz="4" w:space="0" w:color="auto"/>
              <w:left w:val="single" w:sz="4" w:space="0" w:color="auto"/>
              <w:bottom w:val="single" w:sz="4" w:space="0" w:color="auto"/>
              <w:right w:val="single" w:sz="4" w:space="0" w:color="auto"/>
            </w:tcBorders>
          </w:tcPr>
          <w:p w14:paraId="21F19A5C"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4CBB8261" w14:textId="77777777" w:rsidR="003300C7" w:rsidRPr="00465CA3" w:rsidRDefault="003300C7" w:rsidP="002B129D">
            <w:pPr>
              <w:jc w:val="center"/>
              <w:rPr>
                <w:color w:val="000000"/>
                <w:u w:val="single"/>
              </w:rPr>
            </w:pPr>
            <w:r w:rsidRPr="00465CA3">
              <w:rPr>
                <w:color w:val="000000"/>
                <w:u w:val="single"/>
              </w:rPr>
              <w:t>+7 670 000</w:t>
            </w:r>
          </w:p>
        </w:tc>
        <w:tc>
          <w:tcPr>
            <w:tcW w:w="698" w:type="pct"/>
            <w:tcBorders>
              <w:top w:val="single" w:sz="4" w:space="0" w:color="auto"/>
              <w:left w:val="single" w:sz="4" w:space="0" w:color="auto"/>
              <w:bottom w:val="single" w:sz="4" w:space="0" w:color="auto"/>
              <w:right w:val="single" w:sz="4" w:space="0" w:color="auto"/>
            </w:tcBorders>
            <w:vAlign w:val="center"/>
          </w:tcPr>
          <w:p w14:paraId="50859D9A" w14:textId="77777777" w:rsidR="003300C7" w:rsidRPr="00465CA3" w:rsidRDefault="003300C7" w:rsidP="002B129D">
            <w:pPr>
              <w:jc w:val="center"/>
              <w:rPr>
                <w:color w:val="000000"/>
                <w:u w:val="single"/>
              </w:rPr>
            </w:pPr>
            <w:r w:rsidRPr="00465CA3">
              <w:rPr>
                <w:color w:val="000000"/>
                <w:u w:val="single"/>
              </w:rPr>
              <w:t>+7 670 000</w:t>
            </w:r>
          </w:p>
        </w:tc>
        <w:tc>
          <w:tcPr>
            <w:tcW w:w="696" w:type="pct"/>
            <w:tcBorders>
              <w:top w:val="single" w:sz="4" w:space="0" w:color="auto"/>
              <w:left w:val="single" w:sz="4" w:space="0" w:color="auto"/>
              <w:bottom w:val="single" w:sz="4" w:space="0" w:color="auto"/>
              <w:right w:val="single" w:sz="4" w:space="0" w:color="auto"/>
            </w:tcBorders>
            <w:vAlign w:val="center"/>
          </w:tcPr>
          <w:p w14:paraId="30FBF909" w14:textId="77777777" w:rsidR="003300C7" w:rsidRPr="00465CA3" w:rsidRDefault="003300C7" w:rsidP="002B129D">
            <w:pPr>
              <w:jc w:val="center"/>
              <w:rPr>
                <w:color w:val="000000"/>
                <w:u w:val="single"/>
              </w:rPr>
            </w:pPr>
            <w:r w:rsidRPr="00465CA3">
              <w:rPr>
                <w:color w:val="000000"/>
                <w:u w:val="single"/>
              </w:rPr>
              <w:t>+7 670 000</w:t>
            </w:r>
          </w:p>
        </w:tc>
      </w:tr>
      <w:tr w:rsidR="003300C7" w:rsidRPr="00465CA3" w14:paraId="5B8CCF2B"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4A131E69" w14:textId="77777777" w:rsidR="003300C7" w:rsidRPr="00465CA3" w:rsidRDefault="003300C7" w:rsidP="002B129D">
            <w:pPr>
              <w:rPr>
                <w:color w:val="000000"/>
              </w:rPr>
            </w:pPr>
            <w:r w:rsidRPr="00465CA3">
              <w:rPr>
                <w:color w:val="000000"/>
              </w:rPr>
              <w:t>1.3. pašvaldību budžets, t.sk.,</w:t>
            </w:r>
          </w:p>
        </w:tc>
        <w:tc>
          <w:tcPr>
            <w:tcW w:w="1085" w:type="pct"/>
            <w:tcBorders>
              <w:top w:val="single" w:sz="4" w:space="0" w:color="auto"/>
              <w:left w:val="single" w:sz="4" w:space="0" w:color="auto"/>
              <w:bottom w:val="single" w:sz="4" w:space="0" w:color="auto"/>
              <w:right w:val="single" w:sz="4" w:space="0" w:color="auto"/>
            </w:tcBorders>
            <w:vAlign w:val="center"/>
          </w:tcPr>
          <w:p w14:paraId="5A827B9C" w14:textId="77777777" w:rsidR="003300C7" w:rsidRPr="00465CA3" w:rsidRDefault="003300C7" w:rsidP="002B129D">
            <w:pPr>
              <w:jc w:val="center"/>
              <w:rPr>
                <w:color w:val="000000"/>
              </w:rPr>
            </w:pPr>
            <w:r w:rsidRPr="00465CA3">
              <w:rPr>
                <w:color w:val="000000"/>
              </w:rPr>
              <w:t>1 312 188 765</w:t>
            </w:r>
          </w:p>
          <w:p w14:paraId="5ACCE4DD" w14:textId="77777777" w:rsidR="003300C7" w:rsidRPr="00465CA3" w:rsidRDefault="003300C7" w:rsidP="002B129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0174E049"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7BCCF681" w14:textId="77777777" w:rsidR="003300C7" w:rsidRPr="00465CA3" w:rsidRDefault="003300C7" w:rsidP="002B129D">
            <w:pPr>
              <w:jc w:val="center"/>
              <w:rPr>
                <w:color w:val="000000"/>
                <w:u w:val="single"/>
              </w:rPr>
            </w:pPr>
            <w:r w:rsidRPr="00465CA3">
              <w:rPr>
                <w:color w:val="000000"/>
                <w:u w:val="single"/>
              </w:rPr>
              <w:t>-128 950 000</w:t>
            </w:r>
          </w:p>
        </w:tc>
        <w:tc>
          <w:tcPr>
            <w:tcW w:w="698" w:type="pct"/>
            <w:tcBorders>
              <w:top w:val="single" w:sz="4" w:space="0" w:color="auto"/>
              <w:left w:val="single" w:sz="4" w:space="0" w:color="auto"/>
              <w:bottom w:val="single" w:sz="4" w:space="0" w:color="auto"/>
              <w:right w:val="single" w:sz="4" w:space="0" w:color="auto"/>
            </w:tcBorders>
            <w:vAlign w:val="center"/>
          </w:tcPr>
          <w:p w14:paraId="0119B698" w14:textId="77777777" w:rsidR="003300C7" w:rsidRPr="00465CA3" w:rsidRDefault="003300C7" w:rsidP="002B129D">
            <w:pPr>
              <w:jc w:val="center"/>
              <w:rPr>
                <w:color w:val="000000"/>
                <w:u w:val="single"/>
              </w:rPr>
            </w:pPr>
            <w:r w:rsidRPr="00465CA3">
              <w:rPr>
                <w:color w:val="000000"/>
                <w:u w:val="single"/>
              </w:rPr>
              <w:t>-168 070 000</w:t>
            </w:r>
          </w:p>
        </w:tc>
        <w:tc>
          <w:tcPr>
            <w:tcW w:w="696" w:type="pct"/>
            <w:tcBorders>
              <w:top w:val="single" w:sz="4" w:space="0" w:color="auto"/>
              <w:left w:val="single" w:sz="4" w:space="0" w:color="auto"/>
              <w:bottom w:val="single" w:sz="4" w:space="0" w:color="auto"/>
              <w:right w:val="single" w:sz="4" w:space="0" w:color="auto"/>
            </w:tcBorders>
            <w:vAlign w:val="center"/>
          </w:tcPr>
          <w:p w14:paraId="527E8A4F" w14:textId="77777777" w:rsidR="003300C7" w:rsidRPr="00465CA3" w:rsidRDefault="003300C7" w:rsidP="002B129D">
            <w:pPr>
              <w:jc w:val="center"/>
              <w:rPr>
                <w:color w:val="000000"/>
                <w:u w:val="single"/>
              </w:rPr>
            </w:pPr>
            <w:r w:rsidRPr="00465CA3">
              <w:rPr>
                <w:color w:val="000000"/>
                <w:u w:val="single"/>
              </w:rPr>
              <w:t>-219 190 000</w:t>
            </w:r>
          </w:p>
        </w:tc>
      </w:tr>
      <w:tr w:rsidR="003300C7" w:rsidRPr="00465CA3" w14:paraId="528FE1BF"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43F47B17" w14:textId="77777777" w:rsidR="003300C7" w:rsidRPr="00465CA3" w:rsidRDefault="003300C7" w:rsidP="002B129D">
            <w:pPr>
              <w:rPr>
                <w:color w:val="000000"/>
              </w:rPr>
            </w:pPr>
            <w:r w:rsidRPr="00465CA3">
              <w:rPr>
                <w:color w:val="000000"/>
                <w:sz w:val="22"/>
              </w:rPr>
              <w:t>Iedzīvotāju ienākuma nodoklis</w:t>
            </w:r>
          </w:p>
        </w:tc>
        <w:tc>
          <w:tcPr>
            <w:tcW w:w="1085" w:type="pct"/>
            <w:tcBorders>
              <w:top w:val="single" w:sz="4" w:space="0" w:color="auto"/>
              <w:left w:val="single" w:sz="4" w:space="0" w:color="auto"/>
              <w:bottom w:val="single" w:sz="4" w:space="0" w:color="auto"/>
              <w:right w:val="single" w:sz="4" w:space="0" w:color="auto"/>
            </w:tcBorders>
          </w:tcPr>
          <w:p w14:paraId="1522EC5D" w14:textId="77777777" w:rsidR="003300C7" w:rsidRPr="00465CA3" w:rsidRDefault="003300C7" w:rsidP="002B129D">
            <w:pPr>
              <w:jc w:val="center"/>
              <w:rPr>
                <w:color w:val="000000"/>
              </w:rPr>
            </w:pPr>
            <w:r w:rsidRPr="00465CA3">
              <w:rPr>
                <w:color w:val="000000"/>
              </w:rPr>
              <w:t>1 312 188 765</w:t>
            </w:r>
          </w:p>
          <w:p w14:paraId="77D25870" w14:textId="77777777" w:rsidR="003300C7" w:rsidRPr="00465CA3" w:rsidRDefault="003300C7" w:rsidP="002B129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14:paraId="5B97CAC7"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694B2B80" w14:textId="77777777" w:rsidR="003300C7" w:rsidRPr="00465CA3" w:rsidRDefault="003300C7" w:rsidP="002B129D">
            <w:pPr>
              <w:jc w:val="center"/>
              <w:rPr>
                <w:color w:val="000000"/>
                <w:u w:val="single"/>
              </w:rPr>
            </w:pPr>
            <w:r w:rsidRPr="00465CA3">
              <w:rPr>
                <w:color w:val="000000"/>
                <w:u w:val="single"/>
              </w:rPr>
              <w:t>-128 950 000</w:t>
            </w:r>
          </w:p>
        </w:tc>
        <w:tc>
          <w:tcPr>
            <w:tcW w:w="698" w:type="pct"/>
            <w:tcBorders>
              <w:top w:val="single" w:sz="4" w:space="0" w:color="auto"/>
              <w:left w:val="single" w:sz="4" w:space="0" w:color="auto"/>
              <w:bottom w:val="single" w:sz="4" w:space="0" w:color="auto"/>
              <w:right w:val="single" w:sz="4" w:space="0" w:color="auto"/>
            </w:tcBorders>
            <w:vAlign w:val="center"/>
          </w:tcPr>
          <w:p w14:paraId="03D0CD55" w14:textId="77777777" w:rsidR="003300C7" w:rsidRPr="00465CA3" w:rsidRDefault="003300C7" w:rsidP="002B129D">
            <w:pPr>
              <w:jc w:val="center"/>
              <w:rPr>
                <w:color w:val="000000"/>
                <w:u w:val="single"/>
              </w:rPr>
            </w:pPr>
            <w:r w:rsidRPr="00465CA3">
              <w:rPr>
                <w:color w:val="000000"/>
                <w:u w:val="single"/>
              </w:rPr>
              <w:t>-168 070 000</w:t>
            </w:r>
          </w:p>
        </w:tc>
        <w:tc>
          <w:tcPr>
            <w:tcW w:w="696" w:type="pct"/>
            <w:tcBorders>
              <w:top w:val="single" w:sz="4" w:space="0" w:color="auto"/>
              <w:left w:val="single" w:sz="4" w:space="0" w:color="auto"/>
              <w:bottom w:val="single" w:sz="4" w:space="0" w:color="auto"/>
              <w:right w:val="single" w:sz="4" w:space="0" w:color="auto"/>
            </w:tcBorders>
            <w:vAlign w:val="center"/>
          </w:tcPr>
          <w:p w14:paraId="7C61E4B5" w14:textId="77777777" w:rsidR="003300C7" w:rsidRPr="00465CA3" w:rsidRDefault="003300C7" w:rsidP="002B129D">
            <w:pPr>
              <w:jc w:val="center"/>
              <w:rPr>
                <w:color w:val="000000"/>
                <w:u w:val="single"/>
              </w:rPr>
            </w:pPr>
            <w:r w:rsidRPr="00465CA3">
              <w:rPr>
                <w:color w:val="000000"/>
                <w:u w:val="single"/>
              </w:rPr>
              <w:t>-219 190 000</w:t>
            </w:r>
          </w:p>
        </w:tc>
      </w:tr>
      <w:tr w:rsidR="003300C7" w:rsidRPr="00465CA3" w14:paraId="10E855EE" w14:textId="77777777" w:rsidTr="00D50EA7">
        <w:trPr>
          <w:trHeight w:val="96"/>
        </w:trPr>
        <w:tc>
          <w:tcPr>
            <w:tcW w:w="1227" w:type="pct"/>
            <w:tcBorders>
              <w:top w:val="single" w:sz="4" w:space="0" w:color="auto"/>
              <w:left w:val="single" w:sz="4" w:space="0" w:color="auto"/>
              <w:bottom w:val="single" w:sz="4" w:space="0" w:color="auto"/>
              <w:right w:val="single" w:sz="4" w:space="0" w:color="auto"/>
            </w:tcBorders>
          </w:tcPr>
          <w:p w14:paraId="74D44F19" w14:textId="77777777" w:rsidR="003300C7" w:rsidRPr="00465CA3" w:rsidRDefault="003300C7" w:rsidP="002B129D">
            <w:pPr>
              <w:ind w:left="254" w:hanging="254"/>
              <w:jc w:val="right"/>
              <w:rPr>
                <w:color w:val="000000"/>
              </w:rPr>
            </w:pPr>
            <w:r w:rsidRPr="00465CA3">
              <w:rPr>
                <w:color w:val="000000"/>
              </w:rPr>
              <w:t>2.</w:t>
            </w:r>
            <w:r w:rsidRPr="00465CA3">
              <w:rPr>
                <w:color w:val="000000"/>
                <w:sz w:val="14"/>
                <w:szCs w:val="14"/>
              </w:rPr>
              <w:t xml:space="preserve">   </w:t>
            </w:r>
            <w:r w:rsidRPr="00465CA3">
              <w:rPr>
                <w:color w:val="000000"/>
              </w:rPr>
              <w:t>Budžeta izdevumi:</w:t>
            </w:r>
          </w:p>
        </w:tc>
        <w:tc>
          <w:tcPr>
            <w:tcW w:w="1085" w:type="pct"/>
            <w:tcBorders>
              <w:top w:val="single" w:sz="4" w:space="0" w:color="auto"/>
              <w:left w:val="single" w:sz="4" w:space="0" w:color="auto"/>
              <w:bottom w:val="single" w:sz="4" w:space="0" w:color="auto"/>
              <w:right w:val="single" w:sz="4" w:space="0" w:color="auto"/>
            </w:tcBorders>
          </w:tcPr>
          <w:p w14:paraId="0FEB75CF"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57134643"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197B5DCC"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2CCA0C57"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5E48260B" w14:textId="77777777" w:rsidR="003300C7" w:rsidRPr="00465CA3" w:rsidRDefault="003300C7" w:rsidP="002B129D">
            <w:pPr>
              <w:jc w:val="center"/>
              <w:rPr>
                <w:color w:val="000000"/>
              </w:rPr>
            </w:pPr>
            <w:r w:rsidRPr="00465CA3">
              <w:rPr>
                <w:color w:val="000000"/>
              </w:rPr>
              <w:t>0</w:t>
            </w:r>
          </w:p>
        </w:tc>
      </w:tr>
      <w:tr w:rsidR="003300C7" w:rsidRPr="00465CA3" w14:paraId="48A08DA8" w14:textId="77777777"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14:paraId="3C354E73" w14:textId="77777777" w:rsidR="003300C7" w:rsidRPr="00465CA3" w:rsidRDefault="003300C7" w:rsidP="002B129D">
            <w:pPr>
              <w:ind w:left="254" w:hanging="254"/>
              <w:jc w:val="both"/>
              <w:rPr>
                <w:color w:val="000000"/>
              </w:rPr>
            </w:pPr>
            <w:r w:rsidRPr="00465CA3">
              <w:rPr>
                <w:color w:val="000000"/>
              </w:rPr>
              <w:t>2.1. valsts pamatbudžets</w:t>
            </w:r>
          </w:p>
        </w:tc>
        <w:tc>
          <w:tcPr>
            <w:tcW w:w="1085" w:type="pct"/>
            <w:tcBorders>
              <w:top w:val="single" w:sz="4" w:space="0" w:color="auto"/>
              <w:left w:val="single" w:sz="4" w:space="0" w:color="auto"/>
              <w:bottom w:val="single" w:sz="4" w:space="0" w:color="auto"/>
              <w:right w:val="single" w:sz="4" w:space="0" w:color="auto"/>
            </w:tcBorders>
          </w:tcPr>
          <w:p w14:paraId="640F5416"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3B19C6AE"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66E7D042"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662D6604"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76AF92D3" w14:textId="77777777" w:rsidR="003300C7" w:rsidRPr="00465CA3" w:rsidRDefault="003300C7" w:rsidP="002B129D">
            <w:pPr>
              <w:jc w:val="center"/>
              <w:rPr>
                <w:color w:val="000000"/>
              </w:rPr>
            </w:pPr>
            <w:r w:rsidRPr="00465CA3">
              <w:rPr>
                <w:color w:val="000000"/>
              </w:rPr>
              <w:t>0</w:t>
            </w:r>
          </w:p>
        </w:tc>
      </w:tr>
      <w:tr w:rsidR="003300C7" w:rsidRPr="00465CA3" w14:paraId="747F6948"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52673A2D" w14:textId="77777777" w:rsidR="003300C7" w:rsidRPr="00465CA3" w:rsidRDefault="003300C7" w:rsidP="002B129D">
            <w:pPr>
              <w:rPr>
                <w:color w:val="000000"/>
              </w:rPr>
            </w:pPr>
            <w:r w:rsidRPr="00465CA3">
              <w:rPr>
                <w:color w:val="000000"/>
              </w:rPr>
              <w:t>2.2. valsts speciālais budžets</w:t>
            </w:r>
          </w:p>
        </w:tc>
        <w:tc>
          <w:tcPr>
            <w:tcW w:w="1085" w:type="pct"/>
            <w:tcBorders>
              <w:top w:val="single" w:sz="4" w:space="0" w:color="auto"/>
              <w:left w:val="single" w:sz="4" w:space="0" w:color="auto"/>
              <w:bottom w:val="single" w:sz="4" w:space="0" w:color="auto"/>
              <w:right w:val="single" w:sz="4" w:space="0" w:color="auto"/>
            </w:tcBorders>
          </w:tcPr>
          <w:p w14:paraId="5D2FA983"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0886E647"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3A3CE38C"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4CF23CB6"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040FFD91" w14:textId="77777777" w:rsidR="003300C7" w:rsidRPr="00465CA3" w:rsidRDefault="003300C7" w:rsidP="002B129D">
            <w:pPr>
              <w:jc w:val="center"/>
              <w:rPr>
                <w:color w:val="000000"/>
              </w:rPr>
            </w:pPr>
            <w:r w:rsidRPr="00465CA3">
              <w:rPr>
                <w:color w:val="000000"/>
              </w:rPr>
              <w:t>0</w:t>
            </w:r>
          </w:p>
        </w:tc>
      </w:tr>
      <w:tr w:rsidR="003300C7" w:rsidRPr="00465CA3" w14:paraId="7B98D3FE"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56F6E58B" w14:textId="77777777" w:rsidR="003300C7" w:rsidRPr="00465CA3" w:rsidRDefault="003300C7" w:rsidP="002B129D">
            <w:pPr>
              <w:rPr>
                <w:color w:val="000000"/>
              </w:rPr>
            </w:pPr>
            <w:r w:rsidRPr="00465CA3">
              <w:rPr>
                <w:color w:val="000000"/>
              </w:rPr>
              <w:t>2.3. pašvaldību budžets</w:t>
            </w:r>
          </w:p>
        </w:tc>
        <w:tc>
          <w:tcPr>
            <w:tcW w:w="1085" w:type="pct"/>
            <w:tcBorders>
              <w:top w:val="single" w:sz="4" w:space="0" w:color="auto"/>
              <w:left w:val="single" w:sz="4" w:space="0" w:color="auto"/>
              <w:bottom w:val="single" w:sz="4" w:space="0" w:color="auto"/>
              <w:right w:val="single" w:sz="4" w:space="0" w:color="auto"/>
            </w:tcBorders>
          </w:tcPr>
          <w:p w14:paraId="58D0DF09"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6009386E"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5CC6BDD5"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4F6D8778"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37F2E06F" w14:textId="77777777" w:rsidR="003300C7" w:rsidRPr="00465CA3" w:rsidRDefault="003300C7" w:rsidP="002B129D">
            <w:pPr>
              <w:jc w:val="center"/>
              <w:rPr>
                <w:color w:val="000000"/>
              </w:rPr>
            </w:pPr>
            <w:r w:rsidRPr="00465CA3">
              <w:rPr>
                <w:color w:val="000000"/>
              </w:rPr>
              <w:t>0</w:t>
            </w:r>
          </w:p>
        </w:tc>
      </w:tr>
      <w:tr w:rsidR="003300C7" w:rsidRPr="00465CA3" w14:paraId="4B24D524"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3109B707" w14:textId="77777777" w:rsidR="003300C7" w:rsidRPr="00465CA3" w:rsidRDefault="003300C7" w:rsidP="002B129D">
            <w:pPr>
              <w:rPr>
                <w:color w:val="000000"/>
              </w:rPr>
            </w:pPr>
            <w:r w:rsidRPr="00465CA3">
              <w:rPr>
                <w:color w:val="000000"/>
              </w:rPr>
              <w:t>3.</w:t>
            </w:r>
            <w:r w:rsidRPr="00465CA3">
              <w:rPr>
                <w:color w:val="000000"/>
                <w:sz w:val="14"/>
                <w:szCs w:val="14"/>
              </w:rPr>
              <w:t xml:space="preserve">   </w:t>
            </w:r>
            <w:r w:rsidRPr="00465CA3">
              <w:rPr>
                <w:color w:val="000000"/>
              </w:rPr>
              <w:t>Finansiālā ietekme:</w:t>
            </w:r>
          </w:p>
        </w:tc>
        <w:tc>
          <w:tcPr>
            <w:tcW w:w="1085" w:type="pct"/>
            <w:tcBorders>
              <w:top w:val="single" w:sz="4" w:space="0" w:color="auto"/>
              <w:left w:val="single" w:sz="4" w:space="0" w:color="auto"/>
              <w:bottom w:val="single" w:sz="4" w:space="0" w:color="auto"/>
              <w:right w:val="single" w:sz="4" w:space="0" w:color="auto"/>
            </w:tcBorders>
            <w:vAlign w:val="center"/>
          </w:tcPr>
          <w:p w14:paraId="5CBF55D7" w14:textId="77777777" w:rsidR="003300C7" w:rsidRPr="00465CA3" w:rsidRDefault="003300C7" w:rsidP="002B129D">
            <w:pPr>
              <w:jc w:val="center"/>
              <w:rPr>
                <w:color w:val="000000"/>
              </w:rPr>
            </w:pPr>
            <w:r w:rsidRPr="00465CA3">
              <w:rPr>
                <w:color w:val="000000"/>
              </w:rPr>
              <w:t>3 884 313 598</w:t>
            </w:r>
          </w:p>
        </w:tc>
        <w:tc>
          <w:tcPr>
            <w:tcW w:w="497" w:type="pct"/>
            <w:tcBorders>
              <w:top w:val="single" w:sz="4" w:space="0" w:color="auto"/>
              <w:left w:val="single" w:sz="4" w:space="0" w:color="auto"/>
              <w:bottom w:val="single" w:sz="4" w:space="0" w:color="auto"/>
              <w:right w:val="single" w:sz="4" w:space="0" w:color="auto"/>
            </w:tcBorders>
          </w:tcPr>
          <w:p w14:paraId="334D1231"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2EBFA9A9" w14:textId="77777777" w:rsidR="003300C7" w:rsidRPr="00465CA3" w:rsidRDefault="003300C7" w:rsidP="002B129D">
            <w:pPr>
              <w:jc w:val="center"/>
              <w:rPr>
                <w:color w:val="000000"/>
                <w:u w:val="single"/>
              </w:rPr>
            </w:pPr>
            <w:r w:rsidRPr="00465CA3">
              <w:rPr>
                <w:color w:val="000000"/>
                <w:u w:val="single"/>
              </w:rPr>
              <w:t>-161 270 000</w:t>
            </w:r>
          </w:p>
        </w:tc>
        <w:tc>
          <w:tcPr>
            <w:tcW w:w="698" w:type="pct"/>
            <w:tcBorders>
              <w:top w:val="single" w:sz="4" w:space="0" w:color="auto"/>
              <w:left w:val="single" w:sz="4" w:space="0" w:color="auto"/>
              <w:bottom w:val="single" w:sz="4" w:space="0" w:color="auto"/>
              <w:right w:val="single" w:sz="4" w:space="0" w:color="auto"/>
            </w:tcBorders>
            <w:vAlign w:val="center"/>
          </w:tcPr>
          <w:p w14:paraId="09DC734B" w14:textId="77777777" w:rsidR="003300C7" w:rsidRPr="00465CA3" w:rsidRDefault="003300C7" w:rsidP="002B129D">
            <w:pPr>
              <w:jc w:val="center"/>
              <w:rPr>
                <w:color w:val="000000"/>
                <w:u w:val="single"/>
              </w:rPr>
            </w:pPr>
            <w:r w:rsidRPr="00465CA3">
              <w:rPr>
                <w:color w:val="000000"/>
                <w:u w:val="single"/>
              </w:rPr>
              <w:t>-210 170 000</w:t>
            </w:r>
          </w:p>
        </w:tc>
        <w:tc>
          <w:tcPr>
            <w:tcW w:w="696" w:type="pct"/>
            <w:tcBorders>
              <w:top w:val="single" w:sz="4" w:space="0" w:color="auto"/>
              <w:left w:val="single" w:sz="4" w:space="0" w:color="auto"/>
              <w:bottom w:val="single" w:sz="4" w:space="0" w:color="auto"/>
              <w:right w:val="single" w:sz="4" w:space="0" w:color="auto"/>
            </w:tcBorders>
            <w:vAlign w:val="center"/>
          </w:tcPr>
          <w:p w14:paraId="693FAEE1" w14:textId="77777777" w:rsidR="003300C7" w:rsidRPr="00465CA3" w:rsidRDefault="003300C7" w:rsidP="002B129D">
            <w:pPr>
              <w:jc w:val="center"/>
              <w:rPr>
                <w:color w:val="000000"/>
                <w:u w:val="single"/>
              </w:rPr>
            </w:pPr>
            <w:r w:rsidRPr="00465CA3">
              <w:rPr>
                <w:color w:val="000000"/>
                <w:u w:val="single"/>
              </w:rPr>
              <w:t>-274 070 000</w:t>
            </w:r>
          </w:p>
        </w:tc>
      </w:tr>
      <w:tr w:rsidR="003300C7" w:rsidRPr="00465CA3" w14:paraId="6DA07BA0" w14:textId="77777777"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14:paraId="5F119307" w14:textId="77777777" w:rsidR="003300C7" w:rsidRPr="00465CA3" w:rsidRDefault="003300C7" w:rsidP="002B129D">
            <w:pPr>
              <w:ind w:left="254" w:hanging="254"/>
              <w:jc w:val="both"/>
              <w:rPr>
                <w:color w:val="000000"/>
              </w:rPr>
            </w:pPr>
            <w:r w:rsidRPr="00465CA3">
              <w:rPr>
                <w:color w:val="000000"/>
              </w:rPr>
              <w:t>3.1. valsts pamatbudžets</w:t>
            </w:r>
          </w:p>
        </w:tc>
        <w:tc>
          <w:tcPr>
            <w:tcW w:w="1085" w:type="pct"/>
            <w:tcBorders>
              <w:top w:val="single" w:sz="4" w:space="0" w:color="auto"/>
              <w:left w:val="single" w:sz="4" w:space="0" w:color="auto"/>
              <w:bottom w:val="single" w:sz="4" w:space="0" w:color="auto"/>
              <w:right w:val="single" w:sz="4" w:space="0" w:color="auto"/>
            </w:tcBorders>
            <w:vAlign w:val="center"/>
          </w:tcPr>
          <w:p w14:paraId="4042624A" w14:textId="77777777" w:rsidR="003300C7" w:rsidRPr="00465CA3" w:rsidRDefault="003300C7" w:rsidP="002B129D">
            <w:pPr>
              <w:jc w:val="center"/>
              <w:rPr>
                <w:color w:val="000000"/>
              </w:rPr>
            </w:pPr>
            <w:r w:rsidRPr="00465CA3">
              <w:rPr>
                <w:color w:val="000000"/>
              </w:rPr>
              <w:t>328 047 191</w:t>
            </w:r>
          </w:p>
        </w:tc>
        <w:tc>
          <w:tcPr>
            <w:tcW w:w="497" w:type="pct"/>
            <w:tcBorders>
              <w:top w:val="single" w:sz="4" w:space="0" w:color="auto"/>
              <w:left w:val="single" w:sz="4" w:space="0" w:color="auto"/>
              <w:bottom w:val="single" w:sz="4" w:space="0" w:color="auto"/>
              <w:right w:val="single" w:sz="4" w:space="0" w:color="auto"/>
            </w:tcBorders>
          </w:tcPr>
          <w:p w14:paraId="4DC17631"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11E01051" w14:textId="77777777" w:rsidR="003300C7" w:rsidRPr="00465CA3" w:rsidRDefault="003300C7" w:rsidP="002B129D">
            <w:pPr>
              <w:jc w:val="center"/>
              <w:rPr>
                <w:color w:val="000000"/>
                <w:u w:val="single"/>
              </w:rPr>
            </w:pPr>
            <w:r w:rsidRPr="00465CA3">
              <w:rPr>
                <w:color w:val="000000"/>
                <w:u w:val="single"/>
              </w:rPr>
              <w:t>-32 320 000</w:t>
            </w:r>
          </w:p>
        </w:tc>
        <w:tc>
          <w:tcPr>
            <w:tcW w:w="698" w:type="pct"/>
            <w:tcBorders>
              <w:top w:val="single" w:sz="4" w:space="0" w:color="auto"/>
              <w:left w:val="single" w:sz="4" w:space="0" w:color="auto"/>
              <w:bottom w:val="single" w:sz="4" w:space="0" w:color="auto"/>
              <w:right w:val="single" w:sz="4" w:space="0" w:color="auto"/>
            </w:tcBorders>
            <w:vAlign w:val="center"/>
          </w:tcPr>
          <w:p w14:paraId="5BDEB716" w14:textId="77777777" w:rsidR="003300C7" w:rsidRPr="00465CA3" w:rsidRDefault="003300C7" w:rsidP="002B129D">
            <w:pPr>
              <w:jc w:val="center"/>
              <w:rPr>
                <w:color w:val="000000"/>
                <w:u w:val="single"/>
              </w:rPr>
            </w:pPr>
            <w:r w:rsidRPr="00465CA3">
              <w:rPr>
                <w:color w:val="000000"/>
                <w:u w:val="single"/>
              </w:rPr>
              <w:t>-42 100 000</w:t>
            </w:r>
          </w:p>
        </w:tc>
        <w:tc>
          <w:tcPr>
            <w:tcW w:w="696" w:type="pct"/>
            <w:tcBorders>
              <w:top w:val="single" w:sz="4" w:space="0" w:color="auto"/>
              <w:left w:val="single" w:sz="4" w:space="0" w:color="auto"/>
              <w:bottom w:val="single" w:sz="4" w:space="0" w:color="auto"/>
              <w:right w:val="single" w:sz="4" w:space="0" w:color="auto"/>
            </w:tcBorders>
            <w:vAlign w:val="center"/>
          </w:tcPr>
          <w:p w14:paraId="0A22A1A9" w14:textId="77777777" w:rsidR="003300C7" w:rsidRPr="00465CA3" w:rsidRDefault="003300C7" w:rsidP="002B129D">
            <w:pPr>
              <w:jc w:val="center"/>
              <w:rPr>
                <w:color w:val="000000"/>
                <w:u w:val="single"/>
              </w:rPr>
            </w:pPr>
            <w:r w:rsidRPr="00465CA3">
              <w:rPr>
                <w:color w:val="000000"/>
                <w:u w:val="single"/>
              </w:rPr>
              <w:t>-54 880 000</w:t>
            </w:r>
          </w:p>
        </w:tc>
      </w:tr>
      <w:tr w:rsidR="003300C7" w:rsidRPr="00465CA3" w14:paraId="46908228"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40B3A1E9" w14:textId="77777777" w:rsidR="003300C7" w:rsidRPr="00465CA3" w:rsidRDefault="003300C7" w:rsidP="002B129D">
            <w:pPr>
              <w:rPr>
                <w:color w:val="000000"/>
              </w:rPr>
            </w:pPr>
            <w:r w:rsidRPr="00465CA3">
              <w:rPr>
                <w:color w:val="000000"/>
              </w:rPr>
              <w:t>3.2. speciālais budžets</w:t>
            </w:r>
          </w:p>
        </w:tc>
        <w:tc>
          <w:tcPr>
            <w:tcW w:w="1085" w:type="pct"/>
            <w:tcBorders>
              <w:top w:val="single" w:sz="4" w:space="0" w:color="auto"/>
              <w:left w:val="single" w:sz="4" w:space="0" w:color="auto"/>
              <w:bottom w:val="single" w:sz="4" w:space="0" w:color="auto"/>
              <w:right w:val="single" w:sz="4" w:space="0" w:color="auto"/>
            </w:tcBorders>
            <w:vAlign w:val="center"/>
          </w:tcPr>
          <w:p w14:paraId="465739FE" w14:textId="77777777" w:rsidR="003300C7" w:rsidRPr="00465CA3" w:rsidRDefault="003300C7" w:rsidP="002B129D">
            <w:pPr>
              <w:jc w:val="center"/>
              <w:rPr>
                <w:color w:val="000000"/>
              </w:rPr>
            </w:pPr>
            <w:r w:rsidRPr="00465CA3">
              <w:rPr>
                <w:color w:val="000000"/>
              </w:rPr>
              <w:t>2 244 077 642</w:t>
            </w:r>
          </w:p>
        </w:tc>
        <w:tc>
          <w:tcPr>
            <w:tcW w:w="497" w:type="pct"/>
            <w:tcBorders>
              <w:top w:val="single" w:sz="4" w:space="0" w:color="auto"/>
              <w:left w:val="single" w:sz="4" w:space="0" w:color="auto"/>
              <w:bottom w:val="single" w:sz="4" w:space="0" w:color="auto"/>
              <w:right w:val="single" w:sz="4" w:space="0" w:color="auto"/>
            </w:tcBorders>
          </w:tcPr>
          <w:p w14:paraId="1B5890A7"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vAlign w:val="center"/>
          </w:tcPr>
          <w:p w14:paraId="2FB2262B" w14:textId="77777777" w:rsidR="003300C7" w:rsidRPr="00465CA3" w:rsidRDefault="003300C7" w:rsidP="002B129D">
            <w:pPr>
              <w:jc w:val="center"/>
              <w:rPr>
                <w:color w:val="000000"/>
                <w:u w:val="single"/>
              </w:rPr>
            </w:pPr>
            <w:r w:rsidRPr="00465CA3">
              <w:rPr>
                <w:color w:val="000000"/>
                <w:u w:val="single"/>
              </w:rPr>
              <w:t>+7 670 000</w:t>
            </w:r>
          </w:p>
        </w:tc>
        <w:tc>
          <w:tcPr>
            <w:tcW w:w="698" w:type="pct"/>
            <w:tcBorders>
              <w:top w:val="single" w:sz="4" w:space="0" w:color="auto"/>
              <w:left w:val="single" w:sz="4" w:space="0" w:color="auto"/>
              <w:bottom w:val="single" w:sz="4" w:space="0" w:color="auto"/>
              <w:right w:val="single" w:sz="4" w:space="0" w:color="auto"/>
            </w:tcBorders>
            <w:vAlign w:val="center"/>
          </w:tcPr>
          <w:p w14:paraId="606F0EBE" w14:textId="77777777" w:rsidR="003300C7" w:rsidRPr="00465CA3" w:rsidRDefault="003300C7" w:rsidP="002B129D">
            <w:pPr>
              <w:jc w:val="center"/>
              <w:rPr>
                <w:color w:val="000000"/>
                <w:u w:val="single"/>
              </w:rPr>
            </w:pPr>
            <w:r w:rsidRPr="00465CA3">
              <w:rPr>
                <w:color w:val="000000"/>
                <w:u w:val="single"/>
              </w:rPr>
              <w:t>+7 670 000</w:t>
            </w:r>
          </w:p>
        </w:tc>
        <w:tc>
          <w:tcPr>
            <w:tcW w:w="696" w:type="pct"/>
            <w:tcBorders>
              <w:top w:val="single" w:sz="4" w:space="0" w:color="auto"/>
              <w:left w:val="single" w:sz="4" w:space="0" w:color="auto"/>
              <w:bottom w:val="single" w:sz="4" w:space="0" w:color="auto"/>
              <w:right w:val="single" w:sz="4" w:space="0" w:color="auto"/>
            </w:tcBorders>
            <w:vAlign w:val="center"/>
          </w:tcPr>
          <w:p w14:paraId="1F958809" w14:textId="77777777" w:rsidR="003300C7" w:rsidRPr="00465CA3" w:rsidRDefault="003300C7" w:rsidP="002B129D">
            <w:pPr>
              <w:jc w:val="center"/>
              <w:rPr>
                <w:color w:val="000000"/>
                <w:u w:val="single"/>
              </w:rPr>
            </w:pPr>
            <w:r w:rsidRPr="00465CA3">
              <w:rPr>
                <w:color w:val="000000"/>
                <w:u w:val="single"/>
              </w:rPr>
              <w:t>+7 670 000</w:t>
            </w:r>
          </w:p>
        </w:tc>
      </w:tr>
      <w:tr w:rsidR="003300C7" w:rsidRPr="00465CA3" w14:paraId="2A469B50"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30DE1DE9" w14:textId="77777777" w:rsidR="003300C7" w:rsidRPr="00465CA3" w:rsidRDefault="003300C7" w:rsidP="002B129D">
            <w:pPr>
              <w:rPr>
                <w:color w:val="000000"/>
              </w:rPr>
            </w:pPr>
            <w:r w:rsidRPr="00465CA3">
              <w:rPr>
                <w:color w:val="000000"/>
              </w:rPr>
              <w:t>3.3. pašvaldību budžets</w:t>
            </w:r>
          </w:p>
        </w:tc>
        <w:tc>
          <w:tcPr>
            <w:tcW w:w="1085" w:type="pct"/>
            <w:tcBorders>
              <w:top w:val="single" w:sz="4" w:space="0" w:color="auto"/>
              <w:left w:val="single" w:sz="4" w:space="0" w:color="auto"/>
              <w:bottom w:val="single" w:sz="4" w:space="0" w:color="auto"/>
              <w:right w:val="single" w:sz="4" w:space="0" w:color="auto"/>
            </w:tcBorders>
            <w:vAlign w:val="center"/>
          </w:tcPr>
          <w:p w14:paraId="542E4444" w14:textId="77777777" w:rsidR="003300C7" w:rsidRPr="00465CA3" w:rsidRDefault="003300C7" w:rsidP="002B129D">
            <w:pPr>
              <w:jc w:val="center"/>
              <w:rPr>
                <w:color w:val="000000"/>
              </w:rPr>
            </w:pPr>
            <w:r w:rsidRPr="00465CA3">
              <w:rPr>
                <w:color w:val="000000"/>
              </w:rPr>
              <w:t>1 312 188 765</w:t>
            </w:r>
          </w:p>
        </w:tc>
        <w:tc>
          <w:tcPr>
            <w:tcW w:w="497" w:type="pct"/>
            <w:tcBorders>
              <w:top w:val="single" w:sz="4" w:space="0" w:color="auto"/>
              <w:left w:val="single" w:sz="4" w:space="0" w:color="auto"/>
              <w:bottom w:val="single" w:sz="4" w:space="0" w:color="auto"/>
              <w:right w:val="single" w:sz="4" w:space="0" w:color="auto"/>
            </w:tcBorders>
          </w:tcPr>
          <w:p w14:paraId="0DFDCFA1" w14:textId="77777777" w:rsidR="003300C7" w:rsidRPr="00465CA3" w:rsidRDefault="003300C7" w:rsidP="002B129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14:paraId="5D130EAE" w14:textId="77777777" w:rsidR="003300C7" w:rsidRPr="00465CA3" w:rsidRDefault="003300C7" w:rsidP="002B129D">
            <w:pPr>
              <w:jc w:val="center"/>
              <w:rPr>
                <w:color w:val="000000"/>
                <w:u w:val="single"/>
              </w:rPr>
            </w:pPr>
            <w:r w:rsidRPr="00465CA3">
              <w:rPr>
                <w:color w:val="000000"/>
                <w:u w:val="single"/>
              </w:rPr>
              <w:t>-128 950 000</w:t>
            </w:r>
          </w:p>
        </w:tc>
        <w:tc>
          <w:tcPr>
            <w:tcW w:w="698" w:type="pct"/>
            <w:tcBorders>
              <w:top w:val="single" w:sz="4" w:space="0" w:color="auto"/>
              <w:left w:val="single" w:sz="4" w:space="0" w:color="auto"/>
              <w:bottom w:val="single" w:sz="4" w:space="0" w:color="auto"/>
              <w:right w:val="single" w:sz="4" w:space="0" w:color="auto"/>
            </w:tcBorders>
            <w:vAlign w:val="center"/>
          </w:tcPr>
          <w:p w14:paraId="3F271615" w14:textId="77777777" w:rsidR="003300C7" w:rsidRPr="00465CA3" w:rsidRDefault="003300C7" w:rsidP="002B129D">
            <w:pPr>
              <w:jc w:val="center"/>
              <w:rPr>
                <w:color w:val="000000"/>
                <w:u w:val="single"/>
              </w:rPr>
            </w:pPr>
            <w:r w:rsidRPr="00465CA3">
              <w:rPr>
                <w:color w:val="000000"/>
                <w:u w:val="single"/>
              </w:rPr>
              <w:t>-168 070 000</w:t>
            </w:r>
          </w:p>
        </w:tc>
        <w:tc>
          <w:tcPr>
            <w:tcW w:w="696" w:type="pct"/>
            <w:tcBorders>
              <w:top w:val="single" w:sz="4" w:space="0" w:color="auto"/>
              <w:left w:val="single" w:sz="4" w:space="0" w:color="auto"/>
              <w:bottom w:val="single" w:sz="4" w:space="0" w:color="auto"/>
              <w:right w:val="single" w:sz="4" w:space="0" w:color="auto"/>
            </w:tcBorders>
            <w:vAlign w:val="center"/>
          </w:tcPr>
          <w:p w14:paraId="5986FA8B" w14:textId="77777777" w:rsidR="003300C7" w:rsidRPr="00465CA3" w:rsidRDefault="003300C7" w:rsidP="002B129D">
            <w:pPr>
              <w:jc w:val="center"/>
              <w:rPr>
                <w:color w:val="000000"/>
                <w:u w:val="single"/>
              </w:rPr>
            </w:pPr>
            <w:r w:rsidRPr="00465CA3">
              <w:rPr>
                <w:color w:val="000000"/>
                <w:u w:val="single"/>
              </w:rPr>
              <w:t>-219 190 000</w:t>
            </w:r>
          </w:p>
        </w:tc>
      </w:tr>
      <w:tr w:rsidR="003300C7" w:rsidRPr="00465CA3" w14:paraId="18FF4226" w14:textId="77777777" w:rsidTr="00D50EA7">
        <w:tc>
          <w:tcPr>
            <w:tcW w:w="1227" w:type="pct"/>
            <w:tcBorders>
              <w:top w:val="single" w:sz="4" w:space="0" w:color="auto"/>
              <w:left w:val="single" w:sz="4" w:space="0" w:color="auto"/>
              <w:bottom w:val="single" w:sz="4" w:space="0" w:color="auto"/>
              <w:right w:val="single" w:sz="4" w:space="0" w:color="auto"/>
            </w:tcBorders>
          </w:tcPr>
          <w:p w14:paraId="71C1065B" w14:textId="77777777" w:rsidR="003300C7" w:rsidRPr="00465CA3" w:rsidRDefault="003300C7" w:rsidP="002B129D">
            <w:pPr>
              <w:rPr>
                <w:color w:val="000000"/>
              </w:rPr>
            </w:pPr>
            <w:r w:rsidRPr="00465CA3">
              <w:rPr>
                <w:color w:val="000000"/>
              </w:rPr>
              <w:t>4</w:t>
            </w:r>
            <w:r w:rsidRPr="00465CA3">
              <w:rPr>
                <w:color w:val="000000"/>
                <w:spacing w:val="-6"/>
              </w:rPr>
              <w:t>.Finanšu līdzekļi papildu izdevumu finansēšanai (kompensējošu izdevumu samazinājumu norāda ar "+" zīmi)</w:t>
            </w:r>
          </w:p>
        </w:tc>
        <w:tc>
          <w:tcPr>
            <w:tcW w:w="1085" w:type="pct"/>
            <w:tcBorders>
              <w:top w:val="single" w:sz="4" w:space="0" w:color="auto"/>
              <w:left w:val="single" w:sz="4" w:space="0" w:color="auto"/>
              <w:bottom w:val="single" w:sz="4" w:space="0" w:color="auto"/>
              <w:right w:val="single" w:sz="4" w:space="0" w:color="auto"/>
            </w:tcBorders>
          </w:tcPr>
          <w:p w14:paraId="151DB70A"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3003B65A"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19776B9F"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15686CD6"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6223F873" w14:textId="77777777" w:rsidR="003300C7" w:rsidRPr="00465CA3" w:rsidRDefault="003300C7" w:rsidP="002B129D">
            <w:pPr>
              <w:jc w:val="center"/>
              <w:rPr>
                <w:color w:val="000000"/>
              </w:rPr>
            </w:pPr>
            <w:r w:rsidRPr="00465CA3">
              <w:rPr>
                <w:color w:val="000000"/>
              </w:rPr>
              <w:t>0</w:t>
            </w:r>
          </w:p>
        </w:tc>
      </w:tr>
      <w:tr w:rsidR="003300C7" w:rsidRPr="00465CA3" w14:paraId="01CF0B93"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139974A3" w14:textId="77777777" w:rsidR="003300C7" w:rsidRPr="00465CA3" w:rsidRDefault="003300C7" w:rsidP="002B129D">
            <w:pPr>
              <w:jc w:val="both"/>
              <w:rPr>
                <w:color w:val="000000"/>
              </w:rPr>
            </w:pPr>
            <w:r w:rsidRPr="00465CA3">
              <w:rPr>
                <w:color w:val="000000"/>
              </w:rPr>
              <w:t>5.</w:t>
            </w:r>
            <w:r w:rsidRPr="00465CA3">
              <w:rPr>
                <w:color w:val="000000"/>
                <w:sz w:val="14"/>
                <w:szCs w:val="14"/>
              </w:rPr>
              <w:t xml:space="preserve">   </w:t>
            </w:r>
            <w:r w:rsidRPr="00465CA3">
              <w:rPr>
                <w:color w:val="000000"/>
              </w:rPr>
              <w:t>Precizēta finansiālā ietekme:</w:t>
            </w:r>
          </w:p>
        </w:tc>
        <w:tc>
          <w:tcPr>
            <w:tcW w:w="1085" w:type="pct"/>
            <w:tcBorders>
              <w:top w:val="single" w:sz="4" w:space="0" w:color="auto"/>
              <w:left w:val="single" w:sz="4" w:space="0" w:color="auto"/>
              <w:bottom w:val="single" w:sz="4" w:space="0" w:color="auto"/>
              <w:right w:val="single" w:sz="4" w:space="0" w:color="auto"/>
            </w:tcBorders>
          </w:tcPr>
          <w:p w14:paraId="011C59F9"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37B4673F"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1EE9A1CC"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03F0E01C"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4AD25336" w14:textId="77777777" w:rsidR="003300C7" w:rsidRPr="00465CA3" w:rsidRDefault="003300C7" w:rsidP="002B129D">
            <w:pPr>
              <w:jc w:val="center"/>
              <w:rPr>
                <w:color w:val="000000"/>
              </w:rPr>
            </w:pPr>
            <w:r w:rsidRPr="00465CA3">
              <w:rPr>
                <w:color w:val="000000"/>
              </w:rPr>
              <w:t>0</w:t>
            </w:r>
          </w:p>
        </w:tc>
      </w:tr>
      <w:tr w:rsidR="003300C7" w:rsidRPr="00465CA3" w14:paraId="64536182"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7EFBA86B" w14:textId="77777777" w:rsidR="003300C7" w:rsidRPr="00465CA3" w:rsidRDefault="003300C7" w:rsidP="002B129D">
            <w:pPr>
              <w:ind w:left="255" w:hanging="255"/>
              <w:jc w:val="both"/>
              <w:rPr>
                <w:color w:val="000000"/>
              </w:rPr>
            </w:pPr>
            <w:r w:rsidRPr="00465CA3">
              <w:rPr>
                <w:color w:val="000000"/>
              </w:rPr>
              <w:t>5.1. valsts pamatbudžets</w:t>
            </w:r>
          </w:p>
        </w:tc>
        <w:tc>
          <w:tcPr>
            <w:tcW w:w="1085" w:type="pct"/>
            <w:tcBorders>
              <w:top w:val="single" w:sz="4" w:space="0" w:color="auto"/>
              <w:left w:val="single" w:sz="4" w:space="0" w:color="auto"/>
              <w:bottom w:val="single" w:sz="4" w:space="0" w:color="auto"/>
              <w:right w:val="single" w:sz="4" w:space="0" w:color="auto"/>
            </w:tcBorders>
          </w:tcPr>
          <w:p w14:paraId="1778FC8C"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177D5204"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3DC01E0C"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0E4D8DDA"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50478F5A" w14:textId="77777777" w:rsidR="003300C7" w:rsidRPr="00465CA3" w:rsidRDefault="003300C7" w:rsidP="002B129D">
            <w:pPr>
              <w:jc w:val="center"/>
              <w:rPr>
                <w:color w:val="000000"/>
              </w:rPr>
            </w:pPr>
            <w:r w:rsidRPr="00465CA3">
              <w:rPr>
                <w:color w:val="000000"/>
              </w:rPr>
              <w:t>0</w:t>
            </w:r>
          </w:p>
        </w:tc>
      </w:tr>
      <w:tr w:rsidR="003300C7" w:rsidRPr="00465CA3" w14:paraId="5B7BCB9C"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6DD0B50E" w14:textId="77777777" w:rsidR="003300C7" w:rsidRPr="00465CA3" w:rsidRDefault="003300C7" w:rsidP="002B129D">
            <w:pPr>
              <w:rPr>
                <w:color w:val="000000"/>
              </w:rPr>
            </w:pPr>
            <w:r w:rsidRPr="00465CA3">
              <w:rPr>
                <w:color w:val="000000"/>
              </w:rPr>
              <w:t>5.2. speciālais budžets</w:t>
            </w:r>
          </w:p>
        </w:tc>
        <w:tc>
          <w:tcPr>
            <w:tcW w:w="1085" w:type="pct"/>
            <w:tcBorders>
              <w:top w:val="single" w:sz="4" w:space="0" w:color="auto"/>
              <w:left w:val="single" w:sz="4" w:space="0" w:color="auto"/>
              <w:bottom w:val="single" w:sz="4" w:space="0" w:color="auto"/>
              <w:right w:val="single" w:sz="4" w:space="0" w:color="auto"/>
            </w:tcBorders>
          </w:tcPr>
          <w:p w14:paraId="7ABECB73"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048FF43D"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21998C92"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1AB290A9"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4F647225" w14:textId="77777777" w:rsidR="003300C7" w:rsidRPr="00465CA3" w:rsidRDefault="003300C7" w:rsidP="002B129D">
            <w:pPr>
              <w:jc w:val="center"/>
              <w:rPr>
                <w:color w:val="000000"/>
              </w:rPr>
            </w:pPr>
            <w:r w:rsidRPr="00465CA3">
              <w:rPr>
                <w:color w:val="000000"/>
              </w:rPr>
              <w:t>0</w:t>
            </w:r>
          </w:p>
        </w:tc>
      </w:tr>
      <w:tr w:rsidR="003300C7" w:rsidRPr="00465CA3" w14:paraId="3A9C20DD"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373EF52A" w14:textId="77777777" w:rsidR="003300C7" w:rsidRPr="00465CA3" w:rsidRDefault="003300C7" w:rsidP="002B129D">
            <w:pPr>
              <w:rPr>
                <w:color w:val="000000"/>
              </w:rPr>
            </w:pPr>
            <w:r w:rsidRPr="00465CA3">
              <w:rPr>
                <w:color w:val="000000"/>
              </w:rPr>
              <w:t>5.3. pašvaldību budžets</w:t>
            </w:r>
          </w:p>
        </w:tc>
        <w:tc>
          <w:tcPr>
            <w:tcW w:w="1085" w:type="pct"/>
            <w:tcBorders>
              <w:top w:val="single" w:sz="4" w:space="0" w:color="auto"/>
              <w:left w:val="single" w:sz="4" w:space="0" w:color="auto"/>
              <w:bottom w:val="single" w:sz="4" w:space="0" w:color="auto"/>
              <w:right w:val="single" w:sz="4" w:space="0" w:color="auto"/>
            </w:tcBorders>
          </w:tcPr>
          <w:p w14:paraId="05502FC4" w14:textId="77777777" w:rsidR="003300C7" w:rsidRPr="00465CA3" w:rsidRDefault="003300C7" w:rsidP="002B129D">
            <w:pPr>
              <w:jc w:val="center"/>
              <w:rPr>
                <w:color w:val="000000"/>
              </w:rPr>
            </w:pPr>
            <w:r w:rsidRPr="00465CA3">
              <w:rPr>
                <w:color w:val="000000"/>
              </w:rPr>
              <w:t>0</w:t>
            </w:r>
          </w:p>
        </w:tc>
        <w:tc>
          <w:tcPr>
            <w:tcW w:w="497" w:type="pct"/>
            <w:tcBorders>
              <w:top w:val="single" w:sz="4" w:space="0" w:color="auto"/>
              <w:left w:val="single" w:sz="4" w:space="0" w:color="auto"/>
              <w:bottom w:val="single" w:sz="4" w:space="0" w:color="auto"/>
              <w:right w:val="single" w:sz="4" w:space="0" w:color="auto"/>
            </w:tcBorders>
          </w:tcPr>
          <w:p w14:paraId="70452E11" w14:textId="77777777" w:rsidR="003300C7" w:rsidRPr="00465CA3" w:rsidRDefault="003300C7" w:rsidP="002B129D">
            <w:pPr>
              <w:jc w:val="center"/>
              <w:rPr>
                <w:color w:val="000000"/>
              </w:rPr>
            </w:pPr>
            <w:r w:rsidRPr="00465CA3">
              <w:rPr>
                <w:color w:val="000000"/>
              </w:rPr>
              <w:t>0</w:t>
            </w:r>
          </w:p>
        </w:tc>
        <w:tc>
          <w:tcPr>
            <w:tcW w:w="797" w:type="pct"/>
            <w:tcBorders>
              <w:top w:val="single" w:sz="4" w:space="0" w:color="auto"/>
              <w:left w:val="single" w:sz="4" w:space="0" w:color="auto"/>
              <w:bottom w:val="single" w:sz="4" w:space="0" w:color="auto"/>
              <w:right w:val="single" w:sz="4" w:space="0" w:color="auto"/>
            </w:tcBorders>
          </w:tcPr>
          <w:p w14:paraId="29054766" w14:textId="77777777" w:rsidR="003300C7" w:rsidRPr="00465CA3" w:rsidRDefault="003300C7" w:rsidP="002B129D">
            <w:pPr>
              <w:jc w:val="center"/>
              <w:rPr>
                <w:color w:val="000000"/>
              </w:rPr>
            </w:pPr>
            <w:r w:rsidRPr="00465CA3">
              <w:rPr>
                <w:color w:val="000000"/>
              </w:rPr>
              <w:t>0</w:t>
            </w:r>
          </w:p>
        </w:tc>
        <w:tc>
          <w:tcPr>
            <w:tcW w:w="698" w:type="pct"/>
            <w:tcBorders>
              <w:top w:val="single" w:sz="4" w:space="0" w:color="auto"/>
              <w:left w:val="single" w:sz="4" w:space="0" w:color="auto"/>
              <w:bottom w:val="single" w:sz="4" w:space="0" w:color="auto"/>
              <w:right w:val="single" w:sz="4" w:space="0" w:color="auto"/>
            </w:tcBorders>
          </w:tcPr>
          <w:p w14:paraId="4A90EC65" w14:textId="77777777" w:rsidR="003300C7" w:rsidRPr="00465CA3" w:rsidRDefault="003300C7" w:rsidP="002B129D">
            <w:pPr>
              <w:jc w:val="center"/>
              <w:rPr>
                <w:color w:val="000000"/>
              </w:rPr>
            </w:pPr>
            <w:r w:rsidRPr="00465CA3">
              <w:rPr>
                <w:color w:val="000000"/>
              </w:rPr>
              <w:t>0</w:t>
            </w:r>
          </w:p>
        </w:tc>
        <w:tc>
          <w:tcPr>
            <w:tcW w:w="696" w:type="pct"/>
            <w:tcBorders>
              <w:top w:val="single" w:sz="4" w:space="0" w:color="auto"/>
              <w:left w:val="single" w:sz="4" w:space="0" w:color="auto"/>
              <w:bottom w:val="single" w:sz="4" w:space="0" w:color="auto"/>
              <w:right w:val="single" w:sz="4" w:space="0" w:color="auto"/>
            </w:tcBorders>
          </w:tcPr>
          <w:p w14:paraId="34C9BE73" w14:textId="77777777" w:rsidR="003300C7" w:rsidRPr="00465CA3" w:rsidRDefault="003300C7" w:rsidP="002B129D">
            <w:pPr>
              <w:jc w:val="center"/>
              <w:rPr>
                <w:color w:val="000000"/>
              </w:rPr>
            </w:pPr>
            <w:r w:rsidRPr="00465CA3">
              <w:rPr>
                <w:color w:val="000000"/>
              </w:rPr>
              <w:t>0</w:t>
            </w:r>
          </w:p>
        </w:tc>
      </w:tr>
      <w:tr w:rsidR="003300C7" w:rsidRPr="00465CA3" w14:paraId="02E523E2" w14:textId="77777777" w:rsidTr="00D50EA7">
        <w:tc>
          <w:tcPr>
            <w:tcW w:w="1227" w:type="pct"/>
            <w:tcBorders>
              <w:top w:val="single" w:sz="4" w:space="0" w:color="auto"/>
              <w:left w:val="single" w:sz="4" w:space="0" w:color="auto"/>
              <w:bottom w:val="single" w:sz="4" w:space="0" w:color="auto"/>
              <w:right w:val="single" w:sz="4" w:space="0" w:color="auto"/>
            </w:tcBorders>
          </w:tcPr>
          <w:p w14:paraId="12A58505" w14:textId="77777777" w:rsidR="003300C7" w:rsidRPr="00465CA3" w:rsidRDefault="003300C7" w:rsidP="002B129D">
            <w:pPr>
              <w:rPr>
                <w:color w:val="000000"/>
              </w:rPr>
            </w:pPr>
            <w:r w:rsidRPr="00465CA3">
              <w:rPr>
                <w:color w:val="000000"/>
                <w:spacing w:val="-6"/>
              </w:rPr>
              <w:t>6. Detalizēts ieņēmumu un izdevumu aprēķins (ja nepieciešams, detalizētu ieņēmumu un izdevumu aprēķinu var pievienot anotācijas pielikumā):</w:t>
            </w:r>
          </w:p>
        </w:tc>
        <w:tc>
          <w:tcPr>
            <w:tcW w:w="3773" w:type="pct"/>
            <w:gridSpan w:val="5"/>
            <w:tcBorders>
              <w:top w:val="single" w:sz="4" w:space="0" w:color="auto"/>
              <w:left w:val="single" w:sz="4" w:space="0" w:color="auto"/>
              <w:bottom w:val="single" w:sz="4" w:space="0" w:color="auto"/>
              <w:right w:val="single" w:sz="4" w:space="0" w:color="auto"/>
            </w:tcBorders>
            <w:shd w:val="clear" w:color="auto" w:fill="auto"/>
          </w:tcPr>
          <w:p w14:paraId="72ECD646" w14:textId="77777777" w:rsidR="003300C7" w:rsidRPr="00465CA3" w:rsidRDefault="003300C7" w:rsidP="002B129D">
            <w:pPr>
              <w:pStyle w:val="tv213"/>
              <w:spacing w:before="0" w:beforeAutospacing="0" w:after="0" w:afterAutospacing="0" w:line="293" w:lineRule="atLeast"/>
              <w:ind w:firstLine="300"/>
              <w:jc w:val="both"/>
              <w:rPr>
                <w:color w:val="000000"/>
              </w:rPr>
            </w:pPr>
          </w:p>
        </w:tc>
      </w:tr>
      <w:tr w:rsidR="003300C7" w:rsidRPr="00465CA3" w14:paraId="74246856"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2B9E50AC" w14:textId="77777777" w:rsidR="003300C7" w:rsidRPr="00465CA3" w:rsidRDefault="003300C7" w:rsidP="002B129D">
            <w:pPr>
              <w:jc w:val="both"/>
              <w:rPr>
                <w:color w:val="000000"/>
                <w:spacing w:val="-6"/>
              </w:rPr>
            </w:pPr>
            <w:r w:rsidRPr="00465CA3">
              <w:rPr>
                <w:color w:val="000000"/>
              </w:rPr>
              <w:t>6.1. detalizēts ieņēmumu aprēķins</w:t>
            </w:r>
          </w:p>
        </w:tc>
        <w:tc>
          <w:tcPr>
            <w:tcW w:w="3773" w:type="pct"/>
            <w:gridSpan w:val="5"/>
            <w:tcBorders>
              <w:top w:val="single" w:sz="4" w:space="0" w:color="auto"/>
              <w:left w:val="single" w:sz="4" w:space="0" w:color="auto"/>
              <w:bottom w:val="single" w:sz="4" w:space="0" w:color="auto"/>
              <w:right w:val="single" w:sz="4" w:space="0" w:color="auto"/>
            </w:tcBorders>
          </w:tcPr>
          <w:p w14:paraId="73899978" w14:textId="77777777" w:rsidR="003300C7" w:rsidRPr="00465CA3" w:rsidRDefault="003300C7" w:rsidP="002B129D">
            <w:pPr>
              <w:jc w:val="both"/>
            </w:pPr>
            <w:r w:rsidRPr="00465CA3">
              <w:t xml:space="preserve">     </w:t>
            </w:r>
            <w:r w:rsidRPr="00465CA3">
              <w:rPr>
                <w:u w:val="single"/>
              </w:rPr>
              <w:t>Ieviest  iedzīvotāju ienākuma nodokļa progresīvo likmi</w:t>
            </w:r>
            <w:r w:rsidRPr="00465CA3">
              <w:t xml:space="preserve"> (pašreiz pamatlikme ir 23%): </w:t>
            </w:r>
          </w:p>
          <w:p w14:paraId="00D19047" w14:textId="0145517D" w:rsidR="003300C7" w:rsidRPr="00465CA3" w:rsidRDefault="003300C7" w:rsidP="002B129D">
            <w:pPr>
              <w:pStyle w:val="ListParagraph"/>
              <w:numPr>
                <w:ilvl w:val="0"/>
                <w:numId w:val="9"/>
              </w:numPr>
              <w:spacing w:after="0" w:line="240" w:lineRule="auto"/>
              <w:ind w:left="455" w:hanging="284"/>
              <w:jc w:val="both"/>
              <w:rPr>
                <w:rFonts w:ascii="Times New Roman" w:hAnsi="Times New Roman"/>
                <w:sz w:val="24"/>
                <w:szCs w:val="24"/>
                <w:lang w:val="lv-LV"/>
              </w:rPr>
            </w:pPr>
            <w:r w:rsidRPr="00465CA3">
              <w:rPr>
                <w:rFonts w:ascii="Times New Roman" w:hAnsi="Times New Roman"/>
                <w:sz w:val="24"/>
                <w:szCs w:val="24"/>
                <w:lang w:val="lv-LV"/>
              </w:rPr>
              <w:t xml:space="preserve">20% gada ienākumiem līdz 20 000 </w:t>
            </w:r>
            <w:proofErr w:type="spellStart"/>
            <w:r w:rsidR="005A1D33" w:rsidRPr="005A1D33">
              <w:rPr>
                <w:rFonts w:ascii="Times New Roman" w:hAnsi="Times New Roman"/>
                <w:i/>
                <w:sz w:val="24"/>
                <w:szCs w:val="24"/>
                <w:lang w:val="lv-LV"/>
              </w:rPr>
              <w:t>euro</w:t>
            </w:r>
            <w:proofErr w:type="spellEnd"/>
            <w:r w:rsidRPr="00465CA3">
              <w:rPr>
                <w:rFonts w:ascii="Times New Roman" w:hAnsi="Times New Roman"/>
                <w:sz w:val="24"/>
                <w:szCs w:val="24"/>
                <w:lang w:val="lv-LV"/>
              </w:rPr>
              <w:t>;</w:t>
            </w:r>
          </w:p>
          <w:p w14:paraId="029894B1" w14:textId="56698112" w:rsidR="003300C7" w:rsidRPr="00465CA3" w:rsidRDefault="003300C7" w:rsidP="002B129D">
            <w:pPr>
              <w:pStyle w:val="ListParagraph"/>
              <w:numPr>
                <w:ilvl w:val="0"/>
                <w:numId w:val="9"/>
              </w:numPr>
              <w:spacing w:after="0" w:line="240" w:lineRule="auto"/>
              <w:ind w:left="455" w:hanging="284"/>
              <w:jc w:val="both"/>
              <w:rPr>
                <w:rFonts w:ascii="Times New Roman" w:hAnsi="Times New Roman"/>
                <w:sz w:val="24"/>
                <w:szCs w:val="24"/>
                <w:u w:val="single"/>
                <w:lang w:val="lv-LV"/>
              </w:rPr>
            </w:pPr>
            <w:r w:rsidRPr="00465CA3">
              <w:rPr>
                <w:rFonts w:ascii="Times New Roman" w:hAnsi="Times New Roman"/>
                <w:sz w:val="24"/>
                <w:szCs w:val="24"/>
                <w:u w:val="single"/>
                <w:lang w:val="lv-LV"/>
              </w:rPr>
              <w:lastRenderedPageBreak/>
              <w:t xml:space="preserve">23% gada ienākumiem, kas pārsniedz 20 000 </w:t>
            </w:r>
            <w:proofErr w:type="spellStart"/>
            <w:r w:rsidR="005A1D33" w:rsidRPr="005A1D33">
              <w:rPr>
                <w:rFonts w:ascii="Times New Roman" w:hAnsi="Times New Roman"/>
                <w:i/>
                <w:sz w:val="24"/>
                <w:szCs w:val="24"/>
                <w:u w:val="single"/>
                <w:lang w:val="lv-LV"/>
              </w:rPr>
              <w:t>euro</w:t>
            </w:r>
            <w:proofErr w:type="spellEnd"/>
            <w:r w:rsidRPr="00465CA3">
              <w:rPr>
                <w:rFonts w:ascii="Times New Roman" w:hAnsi="Times New Roman"/>
                <w:sz w:val="24"/>
                <w:szCs w:val="24"/>
                <w:u w:val="single"/>
                <w:lang w:val="lv-LV"/>
              </w:rPr>
              <w:t>, bet nepārsniedz 55 000 </w:t>
            </w:r>
            <w:proofErr w:type="spellStart"/>
            <w:r w:rsidR="005A1D33" w:rsidRPr="005A1D33">
              <w:rPr>
                <w:rFonts w:ascii="Times New Roman" w:hAnsi="Times New Roman"/>
                <w:i/>
                <w:sz w:val="24"/>
                <w:szCs w:val="24"/>
                <w:u w:val="single"/>
                <w:lang w:val="lv-LV"/>
              </w:rPr>
              <w:t>euro</w:t>
            </w:r>
            <w:proofErr w:type="spellEnd"/>
            <w:r w:rsidRPr="00465CA3">
              <w:rPr>
                <w:rFonts w:ascii="Times New Roman" w:hAnsi="Times New Roman"/>
                <w:sz w:val="24"/>
                <w:szCs w:val="24"/>
                <w:u w:val="single"/>
                <w:lang w:val="lv-LV"/>
              </w:rPr>
              <w:t xml:space="preserve">; </w:t>
            </w:r>
          </w:p>
          <w:p w14:paraId="328CF3D0" w14:textId="3268B0DE" w:rsidR="003300C7" w:rsidRPr="00465CA3" w:rsidRDefault="003300C7" w:rsidP="002B129D">
            <w:pPr>
              <w:pStyle w:val="ListParagraph"/>
              <w:numPr>
                <w:ilvl w:val="0"/>
                <w:numId w:val="9"/>
              </w:numPr>
              <w:spacing w:after="0" w:line="240" w:lineRule="auto"/>
              <w:ind w:left="455" w:hanging="284"/>
              <w:jc w:val="both"/>
              <w:rPr>
                <w:rFonts w:ascii="Times New Roman" w:hAnsi="Times New Roman"/>
                <w:sz w:val="24"/>
                <w:szCs w:val="24"/>
                <w:u w:val="single"/>
                <w:lang w:val="lv-LV"/>
              </w:rPr>
            </w:pPr>
            <w:r w:rsidRPr="00465CA3">
              <w:rPr>
                <w:rFonts w:ascii="Times New Roman" w:hAnsi="Times New Roman"/>
                <w:sz w:val="24"/>
                <w:szCs w:val="24"/>
                <w:u w:val="single"/>
                <w:lang w:val="lv-LV"/>
              </w:rPr>
              <w:t xml:space="preserve">31,4% gada ienākumiem virs 55 000 </w:t>
            </w:r>
            <w:proofErr w:type="spellStart"/>
            <w:r w:rsidR="005A1D33" w:rsidRPr="005A1D33">
              <w:rPr>
                <w:rFonts w:ascii="Times New Roman" w:hAnsi="Times New Roman"/>
                <w:i/>
                <w:sz w:val="24"/>
                <w:szCs w:val="24"/>
                <w:u w:val="single"/>
                <w:lang w:val="lv-LV"/>
              </w:rPr>
              <w:t>euro</w:t>
            </w:r>
            <w:proofErr w:type="spellEnd"/>
            <w:r w:rsidRPr="00465CA3">
              <w:rPr>
                <w:rFonts w:ascii="Times New Roman" w:hAnsi="Times New Roman"/>
                <w:sz w:val="24"/>
                <w:szCs w:val="24"/>
                <w:u w:val="single"/>
                <w:lang w:val="lv-LV"/>
              </w:rPr>
              <w:t xml:space="preserve"> - nodokļa likmi 31,4% apmērā nepiemēros algotā darba ienākumiem taksācijas gada laikā. Ienākuma izmaksātājs, no visiem ienākumiem, kas pārsniedz 1 666,67 </w:t>
            </w:r>
            <w:proofErr w:type="spellStart"/>
            <w:r w:rsidR="005A1D33" w:rsidRPr="005A1D33">
              <w:rPr>
                <w:rFonts w:ascii="Times New Roman" w:hAnsi="Times New Roman"/>
                <w:i/>
                <w:sz w:val="24"/>
                <w:szCs w:val="24"/>
                <w:u w:val="single"/>
                <w:lang w:val="lv-LV"/>
              </w:rPr>
              <w:t>euro</w:t>
            </w:r>
            <w:proofErr w:type="spellEnd"/>
            <w:r w:rsidRPr="00465CA3">
              <w:rPr>
                <w:rFonts w:ascii="Times New Roman" w:hAnsi="Times New Roman"/>
                <w:sz w:val="24"/>
                <w:szCs w:val="24"/>
                <w:u w:val="single"/>
                <w:lang w:val="lv-LV"/>
              </w:rPr>
              <w:t xml:space="preserve"> mēnesī ieturēs nodokli 23% apmērā, bet nodoklis no taksācijas gada ienākuma (izņemot likuma 9.pantā minētos neapliekamos ienākumus), kas pārsniedz 55 000 </w:t>
            </w:r>
            <w:proofErr w:type="spellStart"/>
            <w:r w:rsidR="005A1D33" w:rsidRPr="005A1D33">
              <w:rPr>
                <w:rFonts w:ascii="Times New Roman" w:hAnsi="Times New Roman"/>
                <w:i/>
                <w:sz w:val="24"/>
                <w:szCs w:val="24"/>
                <w:u w:val="single"/>
                <w:lang w:val="lv-LV"/>
              </w:rPr>
              <w:t>euro</w:t>
            </w:r>
            <w:proofErr w:type="spellEnd"/>
            <w:r w:rsidRPr="00465CA3">
              <w:rPr>
                <w:rFonts w:ascii="Times New Roman" w:hAnsi="Times New Roman"/>
                <w:sz w:val="24"/>
                <w:szCs w:val="24"/>
                <w:u w:val="single"/>
                <w:lang w:val="lv-LV"/>
              </w:rPr>
              <w:t xml:space="preserve"> taksācijas gadā tiks aprēķināts un maksāts rezumējošā kārtībā. Par taksācijas gada laikā gūto ienākumu samaksātajā nodoklī tiks ieskaitīta arī solidaritātes nodokļa daļa, kas normatīvajos aktos noteiktajā kārtībā pārskaitīta kā ieņēmumi no iedzīvotāju ienākuma nodokļa. </w:t>
            </w:r>
          </w:p>
          <w:p w14:paraId="647249AA" w14:textId="77777777" w:rsidR="003300C7" w:rsidRPr="00465CA3" w:rsidRDefault="003300C7" w:rsidP="002B129D">
            <w:pPr>
              <w:pStyle w:val="ListParagraph"/>
              <w:spacing w:after="0" w:line="240" w:lineRule="auto"/>
              <w:ind w:left="455"/>
              <w:jc w:val="both"/>
              <w:rPr>
                <w:rFonts w:ascii="Times New Roman" w:hAnsi="Times New Roman"/>
                <w:sz w:val="24"/>
                <w:szCs w:val="24"/>
                <w:lang w:val="lv-LV"/>
              </w:rPr>
            </w:pPr>
          </w:p>
          <w:p w14:paraId="0F80DACF" w14:textId="078DD29A" w:rsidR="003300C7" w:rsidRPr="00465CA3" w:rsidRDefault="003300C7" w:rsidP="002B129D">
            <w:pPr>
              <w:pStyle w:val="tv213"/>
              <w:spacing w:before="0" w:beforeAutospacing="0" w:after="0" w:afterAutospacing="0" w:line="293" w:lineRule="atLeast"/>
              <w:ind w:firstLine="300"/>
              <w:jc w:val="both"/>
              <w:rPr>
                <w:u w:val="single"/>
              </w:rPr>
            </w:pPr>
            <w:r w:rsidRPr="00465CA3">
              <w:rPr>
                <w:u w:val="single"/>
              </w:rPr>
              <w:t>Fiskālā ietekme uz iedzīvotāju ienākuma nodokļa ieņēmumiem no progresīvās iedzīvotāju ienākuma nodokļa likmes ieviešanas 2018. gadā -126,0 milj. </w:t>
            </w:r>
            <w:proofErr w:type="spellStart"/>
            <w:r w:rsidR="005A1D33" w:rsidRPr="005A1D33">
              <w:rPr>
                <w:i/>
                <w:u w:val="single"/>
              </w:rPr>
              <w:t>euro</w:t>
            </w:r>
            <w:proofErr w:type="spellEnd"/>
            <w:r w:rsidRPr="00465CA3">
              <w:rPr>
                <w:u w:val="single"/>
              </w:rPr>
              <w:t xml:space="preserve"> (t.sk., valsts pamatbudžetā -25,2 milj. </w:t>
            </w:r>
            <w:proofErr w:type="spellStart"/>
            <w:r w:rsidR="005A1D33" w:rsidRPr="005A1D33">
              <w:rPr>
                <w:i/>
                <w:u w:val="single"/>
              </w:rPr>
              <w:t>euro</w:t>
            </w:r>
            <w:proofErr w:type="spellEnd"/>
            <w:r w:rsidRPr="00465CA3">
              <w:rPr>
                <w:u w:val="single"/>
              </w:rPr>
              <w:t xml:space="preserve"> un pašvaldību budžetā -100,8 milj. </w:t>
            </w:r>
            <w:proofErr w:type="spellStart"/>
            <w:r w:rsidR="005A1D33" w:rsidRPr="005A1D33">
              <w:rPr>
                <w:i/>
                <w:u w:val="single"/>
              </w:rPr>
              <w:t>euro</w:t>
            </w:r>
            <w:proofErr w:type="spellEnd"/>
            <w:r w:rsidRPr="00465CA3">
              <w:rPr>
                <w:u w:val="single"/>
              </w:rPr>
              <w:t>), 2019. gadā -124,7 milj. </w:t>
            </w:r>
            <w:proofErr w:type="spellStart"/>
            <w:r w:rsidR="005A1D33" w:rsidRPr="005A1D33">
              <w:rPr>
                <w:i/>
                <w:u w:val="single"/>
              </w:rPr>
              <w:t>euro</w:t>
            </w:r>
            <w:proofErr w:type="spellEnd"/>
            <w:r w:rsidRPr="00465CA3">
              <w:rPr>
                <w:u w:val="single"/>
              </w:rPr>
              <w:t xml:space="preserve"> (t.sk., valsts pamatbudžetā -24,94 milj. </w:t>
            </w:r>
            <w:proofErr w:type="spellStart"/>
            <w:r w:rsidR="005A1D33" w:rsidRPr="005A1D33">
              <w:rPr>
                <w:i/>
                <w:u w:val="single"/>
              </w:rPr>
              <w:t>euro</w:t>
            </w:r>
            <w:proofErr w:type="spellEnd"/>
            <w:r w:rsidRPr="00465CA3">
              <w:rPr>
                <w:u w:val="single"/>
              </w:rPr>
              <w:t xml:space="preserve"> un pašvaldību budžetā -99,76 milj. </w:t>
            </w:r>
            <w:proofErr w:type="spellStart"/>
            <w:r w:rsidR="005A1D33" w:rsidRPr="005A1D33">
              <w:rPr>
                <w:i/>
                <w:u w:val="single"/>
              </w:rPr>
              <w:t>euro</w:t>
            </w:r>
            <w:proofErr w:type="spellEnd"/>
            <w:r w:rsidRPr="00465CA3">
              <w:rPr>
                <w:u w:val="single"/>
              </w:rPr>
              <w:t>), 2020. gadā -136,2 milj. </w:t>
            </w:r>
            <w:proofErr w:type="spellStart"/>
            <w:r w:rsidR="005A1D33" w:rsidRPr="005A1D33">
              <w:rPr>
                <w:i/>
                <w:u w:val="single"/>
              </w:rPr>
              <w:t>euro</w:t>
            </w:r>
            <w:proofErr w:type="spellEnd"/>
            <w:r w:rsidRPr="00465CA3">
              <w:rPr>
                <w:u w:val="single"/>
              </w:rPr>
              <w:t xml:space="preserve"> (t.sk., valsts pamatbudžetā -27,24 milj. </w:t>
            </w:r>
            <w:proofErr w:type="spellStart"/>
            <w:r w:rsidR="005A1D33" w:rsidRPr="005A1D33">
              <w:rPr>
                <w:i/>
                <w:u w:val="single"/>
              </w:rPr>
              <w:t>euro</w:t>
            </w:r>
            <w:proofErr w:type="spellEnd"/>
            <w:r w:rsidRPr="00465CA3">
              <w:rPr>
                <w:u w:val="single"/>
              </w:rPr>
              <w:t xml:space="preserve"> un pašvaldību budžetā -108,96 milj. </w:t>
            </w:r>
            <w:proofErr w:type="spellStart"/>
            <w:r w:rsidR="005A1D33" w:rsidRPr="005A1D33">
              <w:rPr>
                <w:i/>
                <w:u w:val="single"/>
              </w:rPr>
              <w:t>euro</w:t>
            </w:r>
            <w:proofErr w:type="spellEnd"/>
            <w:r w:rsidRPr="00465CA3">
              <w:rPr>
                <w:u w:val="single"/>
              </w:rPr>
              <w:t>).</w:t>
            </w:r>
          </w:p>
          <w:p w14:paraId="5D57037A" w14:textId="77777777" w:rsidR="003300C7" w:rsidRPr="00465CA3" w:rsidRDefault="003300C7" w:rsidP="002B129D">
            <w:pPr>
              <w:pStyle w:val="tv213"/>
              <w:spacing w:before="0" w:beforeAutospacing="0" w:after="0" w:afterAutospacing="0" w:line="293" w:lineRule="atLeast"/>
              <w:ind w:firstLine="300"/>
              <w:jc w:val="both"/>
            </w:pPr>
          </w:p>
          <w:p w14:paraId="6E2D35B6" w14:textId="77777777" w:rsidR="003300C7" w:rsidRPr="00465CA3" w:rsidRDefault="003300C7" w:rsidP="002B129D">
            <w:pPr>
              <w:ind w:firstLine="376"/>
              <w:jc w:val="both"/>
              <w:rPr>
                <w:rFonts w:eastAsia="Calibri"/>
                <w:szCs w:val="22"/>
                <w:lang w:eastAsia="en-US"/>
              </w:rPr>
            </w:pPr>
            <w:r w:rsidRPr="00465CA3">
              <w:rPr>
                <w:rFonts w:eastAsia="Calibri"/>
                <w:szCs w:val="22"/>
                <w:u w:val="single"/>
                <w:lang w:eastAsia="en-US"/>
              </w:rPr>
              <w:t>Paaugstināt ar iedzīvotāju ienākuma nodokli neapliekamo diferencēto minimumu</w:t>
            </w:r>
            <w:r w:rsidRPr="00465CA3">
              <w:rPr>
                <w:rFonts w:eastAsia="Calibri"/>
                <w:sz w:val="32"/>
                <w:szCs w:val="28"/>
                <w:lang w:eastAsia="en-US"/>
              </w:rPr>
              <w:t xml:space="preserve"> </w:t>
            </w:r>
            <w:r w:rsidRPr="00465CA3">
              <w:rPr>
                <w:rFonts w:eastAsia="Calibri"/>
                <w:szCs w:val="22"/>
                <w:lang w:eastAsia="en-US"/>
              </w:rPr>
              <w:t>(atsakoties no neapliekamā minimuma atmaksas nākamajā gadā, to piemērojot pilnā apmērā tekošajā gadā):</w:t>
            </w:r>
          </w:p>
          <w:p w14:paraId="57727184" w14:textId="1A89484E" w:rsidR="003300C7" w:rsidRPr="00465CA3" w:rsidRDefault="003300C7" w:rsidP="002B129D">
            <w:pPr>
              <w:numPr>
                <w:ilvl w:val="0"/>
                <w:numId w:val="11"/>
              </w:numPr>
              <w:ind w:left="455" w:hanging="284"/>
              <w:contextualSpacing/>
              <w:jc w:val="both"/>
              <w:rPr>
                <w:rFonts w:eastAsia="Calibri"/>
                <w:szCs w:val="22"/>
                <w:u w:val="single"/>
                <w:lang w:eastAsia="en-US"/>
              </w:rPr>
            </w:pPr>
            <w:r w:rsidRPr="00465CA3">
              <w:rPr>
                <w:rFonts w:eastAsia="Calibri"/>
                <w:szCs w:val="22"/>
                <w:u w:val="single"/>
                <w:lang w:eastAsia="en-US"/>
              </w:rPr>
              <w:t xml:space="preserve">0 - 200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2018.gadā (200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ienākumiem līdz 440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ienākumiem no 440 līdz 1 000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 neapliekamais minimums atbilstoši formulai pakāpeniski samazinās, līdz pie ienākuma virs 1 000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 tas sasniedz 0);</w:t>
            </w:r>
          </w:p>
          <w:p w14:paraId="5C79AC18" w14:textId="2F991C95" w:rsidR="003300C7" w:rsidRPr="00465CA3" w:rsidRDefault="003300C7" w:rsidP="002B129D">
            <w:pPr>
              <w:numPr>
                <w:ilvl w:val="0"/>
                <w:numId w:val="11"/>
              </w:numPr>
              <w:ind w:left="455" w:hanging="284"/>
              <w:contextualSpacing/>
              <w:jc w:val="both"/>
              <w:rPr>
                <w:rFonts w:eastAsia="Calibri"/>
                <w:szCs w:val="22"/>
                <w:u w:val="single"/>
                <w:lang w:eastAsia="en-US"/>
              </w:rPr>
            </w:pPr>
            <w:r w:rsidRPr="00465CA3">
              <w:rPr>
                <w:rFonts w:eastAsia="Calibri"/>
                <w:szCs w:val="22"/>
                <w:u w:val="single"/>
                <w:lang w:eastAsia="en-US"/>
              </w:rPr>
              <w:t xml:space="preserve">0 - 230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2019. gadā (230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ienākumiem līdz 440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ienākumiem no 440 līdz 1 100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 neapliekamais minimums atbilstoši formulai pakāpeniski samazinās, līdz pie ienākuma virs 1 100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 tas sasniedz 0);</w:t>
            </w:r>
          </w:p>
          <w:p w14:paraId="42CBF813" w14:textId="04044F5C" w:rsidR="003300C7" w:rsidRPr="00465CA3" w:rsidRDefault="003300C7" w:rsidP="002B129D">
            <w:pPr>
              <w:numPr>
                <w:ilvl w:val="0"/>
                <w:numId w:val="11"/>
              </w:numPr>
              <w:ind w:left="455" w:hanging="284"/>
              <w:contextualSpacing/>
              <w:jc w:val="both"/>
              <w:rPr>
                <w:rFonts w:eastAsia="Calibri"/>
                <w:szCs w:val="22"/>
                <w:u w:val="single"/>
                <w:lang w:eastAsia="en-US"/>
              </w:rPr>
            </w:pPr>
            <w:r w:rsidRPr="00465CA3">
              <w:rPr>
                <w:rFonts w:eastAsia="Calibri"/>
                <w:szCs w:val="22"/>
                <w:u w:val="single"/>
                <w:lang w:eastAsia="en-US"/>
              </w:rPr>
              <w:t xml:space="preserve">0 - 250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2020. gadā (250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ienākumiem līdz 440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ienākumiem no 440 līdz 1 200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 neapliekamais minimums atbilstoši formulai pakāpeniski samazinās, līdz pie ienākuma virs 1 200 </w:t>
            </w:r>
            <w:proofErr w:type="spellStart"/>
            <w:r w:rsidR="005A1D33" w:rsidRPr="005A1D33">
              <w:rPr>
                <w:rFonts w:eastAsia="Calibri"/>
                <w:i/>
                <w:szCs w:val="22"/>
                <w:u w:val="single"/>
                <w:lang w:eastAsia="en-US"/>
              </w:rPr>
              <w:t>euro</w:t>
            </w:r>
            <w:proofErr w:type="spellEnd"/>
            <w:r w:rsidRPr="00465CA3">
              <w:rPr>
                <w:rFonts w:eastAsia="Calibri"/>
                <w:szCs w:val="22"/>
                <w:u w:val="single"/>
                <w:lang w:eastAsia="en-US"/>
              </w:rPr>
              <w:t xml:space="preserve"> mēnesī – tas sasniedz 0).</w:t>
            </w:r>
          </w:p>
          <w:p w14:paraId="25F8C533" w14:textId="18E55F68" w:rsidR="003300C7" w:rsidRPr="00465CA3" w:rsidRDefault="003300C7" w:rsidP="002B129D">
            <w:pPr>
              <w:pStyle w:val="tv213"/>
              <w:spacing w:before="0" w:beforeAutospacing="0" w:after="0" w:afterAutospacing="0" w:line="293" w:lineRule="atLeast"/>
              <w:ind w:firstLine="300"/>
              <w:jc w:val="both"/>
              <w:rPr>
                <w:u w:val="single"/>
              </w:rPr>
            </w:pPr>
            <w:r w:rsidRPr="00465CA3">
              <w:rPr>
                <w:u w:val="single"/>
              </w:rPr>
              <w:t>Fiskālā ietekme uz iedzīvotāju ienākuma nodokļa ieņēmumiem no diferencētā neapliekamā minimuma 2018. gadā -35,5 milj. </w:t>
            </w:r>
            <w:proofErr w:type="spellStart"/>
            <w:r w:rsidR="005A1D33" w:rsidRPr="005A1D33">
              <w:rPr>
                <w:i/>
                <w:u w:val="single"/>
              </w:rPr>
              <w:t>euro</w:t>
            </w:r>
            <w:proofErr w:type="spellEnd"/>
            <w:r w:rsidRPr="00465CA3">
              <w:rPr>
                <w:u w:val="single"/>
              </w:rPr>
              <w:t xml:space="preserve"> (t.sk., valsts pamatbudžetā -7,1 milj. </w:t>
            </w:r>
            <w:proofErr w:type="spellStart"/>
            <w:r w:rsidR="005A1D33" w:rsidRPr="005A1D33">
              <w:rPr>
                <w:i/>
                <w:u w:val="single"/>
              </w:rPr>
              <w:t>euro</w:t>
            </w:r>
            <w:proofErr w:type="spellEnd"/>
            <w:r w:rsidRPr="00465CA3">
              <w:rPr>
                <w:u w:val="single"/>
              </w:rPr>
              <w:t xml:space="preserve"> un pašvaldību budžetā -28,4 milj. </w:t>
            </w:r>
            <w:proofErr w:type="spellStart"/>
            <w:r w:rsidR="005A1D33" w:rsidRPr="005A1D33">
              <w:rPr>
                <w:i/>
                <w:u w:val="single"/>
              </w:rPr>
              <w:t>euro</w:t>
            </w:r>
            <w:proofErr w:type="spellEnd"/>
            <w:r w:rsidRPr="00465CA3">
              <w:rPr>
                <w:u w:val="single"/>
              </w:rPr>
              <w:t>), 2019. gadā -59,1 milj. </w:t>
            </w:r>
            <w:proofErr w:type="spellStart"/>
            <w:r w:rsidR="005A1D33" w:rsidRPr="005A1D33">
              <w:rPr>
                <w:i/>
                <w:u w:val="single"/>
              </w:rPr>
              <w:t>euro</w:t>
            </w:r>
            <w:proofErr w:type="spellEnd"/>
            <w:r w:rsidRPr="00465CA3">
              <w:rPr>
                <w:u w:val="single"/>
              </w:rPr>
              <w:t xml:space="preserve"> (t.sk., valsts pamatbudžetā -11,82 milj. </w:t>
            </w:r>
            <w:proofErr w:type="spellStart"/>
            <w:r w:rsidR="005A1D33" w:rsidRPr="005A1D33">
              <w:rPr>
                <w:i/>
                <w:u w:val="single"/>
              </w:rPr>
              <w:t>euro</w:t>
            </w:r>
            <w:proofErr w:type="spellEnd"/>
            <w:r w:rsidRPr="00465CA3">
              <w:rPr>
                <w:u w:val="single"/>
              </w:rPr>
              <w:t xml:space="preserve"> un pašvaldību budžetā -47,28 milj. </w:t>
            </w:r>
            <w:proofErr w:type="spellStart"/>
            <w:r w:rsidR="005A1D33" w:rsidRPr="005A1D33">
              <w:rPr>
                <w:i/>
                <w:u w:val="single"/>
              </w:rPr>
              <w:t>euro</w:t>
            </w:r>
            <w:proofErr w:type="spellEnd"/>
            <w:r w:rsidRPr="00465CA3">
              <w:rPr>
                <w:u w:val="single"/>
              </w:rPr>
              <w:t>), 2020. gadā -84,7 milj. </w:t>
            </w:r>
            <w:proofErr w:type="spellStart"/>
            <w:r w:rsidR="005A1D33" w:rsidRPr="005A1D33">
              <w:rPr>
                <w:i/>
                <w:u w:val="single"/>
              </w:rPr>
              <w:t>euro</w:t>
            </w:r>
            <w:proofErr w:type="spellEnd"/>
            <w:r w:rsidRPr="00465CA3">
              <w:rPr>
                <w:u w:val="single"/>
              </w:rPr>
              <w:t xml:space="preserve"> (t.sk., valsts pamatbudžetā -16,94 milj. </w:t>
            </w:r>
            <w:proofErr w:type="spellStart"/>
            <w:r w:rsidR="005A1D33" w:rsidRPr="005A1D33">
              <w:rPr>
                <w:i/>
                <w:u w:val="single"/>
              </w:rPr>
              <w:t>euro</w:t>
            </w:r>
            <w:proofErr w:type="spellEnd"/>
            <w:r w:rsidRPr="00465CA3">
              <w:rPr>
                <w:u w:val="single"/>
              </w:rPr>
              <w:t xml:space="preserve"> un pašvaldību budžetā -67,76 milj. </w:t>
            </w:r>
            <w:proofErr w:type="spellStart"/>
            <w:r w:rsidR="005A1D33" w:rsidRPr="005A1D33">
              <w:rPr>
                <w:i/>
                <w:u w:val="single"/>
              </w:rPr>
              <w:t>euro</w:t>
            </w:r>
            <w:proofErr w:type="spellEnd"/>
            <w:r w:rsidRPr="00465CA3">
              <w:rPr>
                <w:u w:val="single"/>
              </w:rPr>
              <w:t>).</w:t>
            </w:r>
          </w:p>
          <w:p w14:paraId="53B1F644" w14:textId="77777777" w:rsidR="003300C7" w:rsidRPr="00465CA3" w:rsidRDefault="003300C7" w:rsidP="002B129D">
            <w:pPr>
              <w:pStyle w:val="tv213"/>
              <w:spacing w:before="0" w:beforeAutospacing="0" w:after="0" w:afterAutospacing="0" w:line="293" w:lineRule="atLeast"/>
              <w:ind w:firstLine="300"/>
              <w:jc w:val="both"/>
              <w:rPr>
                <w:sz w:val="22"/>
                <w:u w:val="single"/>
              </w:rPr>
            </w:pPr>
          </w:p>
          <w:p w14:paraId="6D416624" w14:textId="6E5EEFC3" w:rsidR="003300C7" w:rsidRPr="00465CA3" w:rsidRDefault="003300C7" w:rsidP="002B129D">
            <w:pPr>
              <w:pStyle w:val="tv213"/>
              <w:spacing w:before="0" w:beforeAutospacing="0" w:after="0" w:afterAutospacing="0" w:line="293" w:lineRule="atLeast"/>
              <w:ind w:firstLine="300"/>
              <w:jc w:val="both"/>
            </w:pPr>
            <w:r w:rsidRPr="00465CA3">
              <w:rPr>
                <w:u w:val="single"/>
              </w:rPr>
              <w:t xml:space="preserve">Paaugstināt atvieglojumu par apgādībā esošām personām </w:t>
            </w:r>
            <w:r w:rsidRPr="00465CA3">
              <w:t>(pašreiz 175 </w:t>
            </w:r>
            <w:proofErr w:type="spellStart"/>
            <w:r w:rsidR="005A1D33" w:rsidRPr="005A1D33">
              <w:rPr>
                <w:i/>
              </w:rPr>
              <w:t>euro</w:t>
            </w:r>
            <w:proofErr w:type="spellEnd"/>
            <w:r w:rsidRPr="00465CA3">
              <w:t xml:space="preserve"> mēnesī):</w:t>
            </w:r>
          </w:p>
          <w:p w14:paraId="00F87250" w14:textId="4CF1DE17" w:rsidR="003300C7" w:rsidRPr="00465CA3" w:rsidRDefault="003300C7" w:rsidP="002B129D">
            <w:pPr>
              <w:pStyle w:val="tv213"/>
              <w:numPr>
                <w:ilvl w:val="0"/>
                <w:numId w:val="23"/>
              </w:numPr>
              <w:spacing w:before="0" w:beforeAutospacing="0" w:after="0" w:afterAutospacing="0" w:line="293" w:lineRule="atLeast"/>
              <w:ind w:left="365" w:hanging="142"/>
              <w:jc w:val="both"/>
              <w:rPr>
                <w:u w:val="single"/>
              </w:rPr>
            </w:pPr>
            <w:r w:rsidRPr="00465CA3">
              <w:rPr>
                <w:u w:val="single"/>
              </w:rPr>
              <w:t xml:space="preserve">2018. gadā 200 </w:t>
            </w:r>
            <w:proofErr w:type="spellStart"/>
            <w:r w:rsidR="005A1D33" w:rsidRPr="005A1D33">
              <w:rPr>
                <w:i/>
                <w:u w:val="single"/>
              </w:rPr>
              <w:t>euro</w:t>
            </w:r>
            <w:proofErr w:type="spellEnd"/>
            <w:r w:rsidRPr="00465CA3">
              <w:rPr>
                <w:u w:val="single"/>
              </w:rPr>
              <w:t xml:space="preserve"> mēnesī;</w:t>
            </w:r>
          </w:p>
          <w:p w14:paraId="564604A8" w14:textId="76B9697B" w:rsidR="003300C7" w:rsidRPr="00465CA3" w:rsidRDefault="003300C7" w:rsidP="002B129D">
            <w:pPr>
              <w:pStyle w:val="tv213"/>
              <w:numPr>
                <w:ilvl w:val="0"/>
                <w:numId w:val="23"/>
              </w:numPr>
              <w:spacing w:before="0" w:beforeAutospacing="0" w:after="0" w:afterAutospacing="0" w:line="293" w:lineRule="atLeast"/>
              <w:ind w:left="365" w:hanging="142"/>
              <w:jc w:val="both"/>
              <w:rPr>
                <w:u w:val="single"/>
              </w:rPr>
            </w:pPr>
            <w:r w:rsidRPr="00465CA3">
              <w:rPr>
                <w:u w:val="single"/>
              </w:rPr>
              <w:t>2019. gadā 230 </w:t>
            </w:r>
            <w:proofErr w:type="spellStart"/>
            <w:r w:rsidR="005A1D33" w:rsidRPr="005A1D33">
              <w:rPr>
                <w:i/>
                <w:u w:val="single"/>
              </w:rPr>
              <w:t>euro</w:t>
            </w:r>
            <w:proofErr w:type="spellEnd"/>
            <w:r w:rsidRPr="00465CA3">
              <w:rPr>
                <w:u w:val="single"/>
              </w:rPr>
              <w:t xml:space="preserve"> mēnesī;</w:t>
            </w:r>
          </w:p>
          <w:p w14:paraId="572D9791" w14:textId="10F4FDFE" w:rsidR="003300C7" w:rsidRPr="00465CA3" w:rsidRDefault="003300C7" w:rsidP="002B129D">
            <w:pPr>
              <w:pStyle w:val="tv213"/>
              <w:numPr>
                <w:ilvl w:val="0"/>
                <w:numId w:val="23"/>
              </w:numPr>
              <w:spacing w:before="0" w:beforeAutospacing="0" w:after="0" w:afterAutospacing="0" w:line="293" w:lineRule="atLeast"/>
              <w:ind w:left="365" w:hanging="142"/>
              <w:jc w:val="both"/>
              <w:rPr>
                <w:u w:val="single"/>
              </w:rPr>
            </w:pPr>
            <w:r w:rsidRPr="00465CA3">
              <w:rPr>
                <w:u w:val="single"/>
              </w:rPr>
              <w:t>2020. gadā 250 </w:t>
            </w:r>
            <w:proofErr w:type="spellStart"/>
            <w:r w:rsidR="005A1D33" w:rsidRPr="005A1D33">
              <w:rPr>
                <w:i/>
                <w:u w:val="single"/>
              </w:rPr>
              <w:t>euro</w:t>
            </w:r>
            <w:proofErr w:type="spellEnd"/>
            <w:r w:rsidRPr="00465CA3">
              <w:rPr>
                <w:u w:val="single"/>
              </w:rPr>
              <w:t xml:space="preserve"> mēnesī.</w:t>
            </w:r>
          </w:p>
          <w:p w14:paraId="0B1C889F" w14:textId="52204510" w:rsidR="003300C7" w:rsidRPr="00465CA3" w:rsidRDefault="003300C7" w:rsidP="002B129D">
            <w:pPr>
              <w:pStyle w:val="tv213"/>
              <w:spacing w:before="0" w:beforeAutospacing="0" w:after="0" w:afterAutospacing="0" w:line="293" w:lineRule="atLeast"/>
              <w:ind w:firstLine="300"/>
              <w:jc w:val="both"/>
              <w:rPr>
                <w:u w:val="single"/>
              </w:rPr>
            </w:pPr>
            <w:r w:rsidRPr="00465CA3">
              <w:rPr>
                <w:u w:val="single"/>
              </w:rPr>
              <w:t>Fiskālā ietekme uz iedzīvotāju ienākuma nodokļa ieņēmumiem no atvieglojuma paaugstināšanas par apgādībā esošām personām 2018. gadā -</w:t>
            </w:r>
            <w:r w:rsidRPr="00465CA3">
              <w:rPr>
                <w:u w:val="single"/>
              </w:rPr>
              <w:lastRenderedPageBreak/>
              <w:t>14,3 milj. </w:t>
            </w:r>
            <w:proofErr w:type="spellStart"/>
            <w:r w:rsidR="005A1D33" w:rsidRPr="005A1D33">
              <w:rPr>
                <w:i/>
                <w:u w:val="single"/>
              </w:rPr>
              <w:t>euro</w:t>
            </w:r>
            <w:proofErr w:type="spellEnd"/>
            <w:r w:rsidRPr="00465CA3">
              <w:rPr>
                <w:u w:val="single"/>
              </w:rPr>
              <w:t xml:space="preserve"> (t.sk., valsts pamatbudžetā -2,86 milj. </w:t>
            </w:r>
            <w:proofErr w:type="spellStart"/>
            <w:r w:rsidR="005A1D33" w:rsidRPr="005A1D33">
              <w:rPr>
                <w:i/>
                <w:u w:val="single"/>
              </w:rPr>
              <w:t>euro</w:t>
            </w:r>
            <w:proofErr w:type="spellEnd"/>
            <w:r w:rsidRPr="00465CA3">
              <w:rPr>
                <w:u w:val="single"/>
              </w:rPr>
              <w:t xml:space="preserve"> un pašvaldību budžetā -11,44 milj. </w:t>
            </w:r>
            <w:proofErr w:type="spellStart"/>
            <w:r w:rsidR="005A1D33" w:rsidRPr="005A1D33">
              <w:rPr>
                <w:i/>
                <w:u w:val="single"/>
              </w:rPr>
              <w:t>euro</w:t>
            </w:r>
            <w:proofErr w:type="spellEnd"/>
            <w:r w:rsidRPr="00465CA3">
              <w:rPr>
                <w:u w:val="single"/>
              </w:rPr>
              <w:t>), 2019. gadā -31,4 milj. </w:t>
            </w:r>
            <w:proofErr w:type="spellStart"/>
            <w:r w:rsidR="005A1D33" w:rsidRPr="005A1D33">
              <w:rPr>
                <w:i/>
                <w:u w:val="single"/>
              </w:rPr>
              <w:t>euro</w:t>
            </w:r>
            <w:proofErr w:type="spellEnd"/>
            <w:r w:rsidRPr="00465CA3">
              <w:rPr>
                <w:u w:val="single"/>
              </w:rPr>
              <w:t xml:space="preserve"> (t.sk., valsts pamatbudžetā -6,28 milj. </w:t>
            </w:r>
            <w:proofErr w:type="spellStart"/>
            <w:r w:rsidR="005A1D33" w:rsidRPr="005A1D33">
              <w:rPr>
                <w:i/>
                <w:u w:val="single"/>
              </w:rPr>
              <w:t>euro</w:t>
            </w:r>
            <w:proofErr w:type="spellEnd"/>
            <w:r w:rsidRPr="00465CA3">
              <w:rPr>
                <w:u w:val="single"/>
              </w:rPr>
              <w:t xml:space="preserve"> un pašvaldību budžetā -25,12 milj. </w:t>
            </w:r>
            <w:proofErr w:type="spellStart"/>
            <w:r w:rsidR="005A1D33" w:rsidRPr="005A1D33">
              <w:rPr>
                <w:i/>
                <w:u w:val="single"/>
              </w:rPr>
              <w:t>euro</w:t>
            </w:r>
            <w:proofErr w:type="spellEnd"/>
            <w:r w:rsidRPr="00465CA3">
              <w:rPr>
                <w:u w:val="single"/>
              </w:rPr>
              <w:t>) un 2020. gadā -46,7 milj. </w:t>
            </w:r>
            <w:proofErr w:type="spellStart"/>
            <w:r w:rsidR="005A1D33" w:rsidRPr="005A1D33">
              <w:rPr>
                <w:i/>
                <w:u w:val="single"/>
              </w:rPr>
              <w:t>euro</w:t>
            </w:r>
            <w:proofErr w:type="spellEnd"/>
            <w:r w:rsidRPr="00465CA3">
              <w:rPr>
                <w:u w:val="single"/>
              </w:rPr>
              <w:t xml:space="preserve"> (t.sk., valsts pamatbudžetā -9,34 milj. </w:t>
            </w:r>
            <w:proofErr w:type="spellStart"/>
            <w:r w:rsidR="005A1D33" w:rsidRPr="005A1D33">
              <w:rPr>
                <w:i/>
                <w:u w:val="single"/>
              </w:rPr>
              <w:t>euro</w:t>
            </w:r>
            <w:proofErr w:type="spellEnd"/>
            <w:r w:rsidRPr="00465CA3">
              <w:rPr>
                <w:u w:val="single"/>
              </w:rPr>
              <w:t xml:space="preserve"> un pašvaldību budžetā -37,36 milj. </w:t>
            </w:r>
            <w:proofErr w:type="spellStart"/>
            <w:r w:rsidR="005A1D33" w:rsidRPr="005A1D33">
              <w:rPr>
                <w:i/>
                <w:u w:val="single"/>
              </w:rPr>
              <w:t>euro</w:t>
            </w:r>
            <w:proofErr w:type="spellEnd"/>
            <w:r w:rsidRPr="00465CA3">
              <w:rPr>
                <w:u w:val="single"/>
              </w:rPr>
              <w:t>).</w:t>
            </w:r>
          </w:p>
          <w:p w14:paraId="60B1E14D" w14:textId="77777777" w:rsidR="003300C7" w:rsidRPr="00465CA3" w:rsidRDefault="003300C7" w:rsidP="002B129D">
            <w:pPr>
              <w:pStyle w:val="tv213"/>
              <w:spacing w:before="0" w:beforeAutospacing="0" w:after="0" w:afterAutospacing="0" w:line="293" w:lineRule="atLeast"/>
              <w:ind w:firstLine="300"/>
              <w:jc w:val="both"/>
            </w:pPr>
          </w:p>
          <w:p w14:paraId="231D20E4" w14:textId="77777777" w:rsidR="003300C7" w:rsidRPr="00465CA3" w:rsidRDefault="003300C7" w:rsidP="002B129D">
            <w:pPr>
              <w:ind w:firstLine="376"/>
              <w:jc w:val="both"/>
              <w:rPr>
                <w:rFonts w:eastAsia="Calibri"/>
                <w:lang w:eastAsia="en-US"/>
              </w:rPr>
            </w:pPr>
            <w:r w:rsidRPr="00465CA3">
              <w:rPr>
                <w:rFonts w:eastAsia="Calibri"/>
                <w:color w:val="000000"/>
                <w:szCs w:val="22"/>
                <w:lang w:eastAsia="en-US"/>
              </w:rPr>
              <w:t>Iedzīvotāju ienākuma nodokļa</w:t>
            </w:r>
            <w:r w:rsidRPr="00465CA3">
              <w:rPr>
                <w:rFonts w:eastAsia="Calibri"/>
                <w:lang w:eastAsia="en-US"/>
              </w:rPr>
              <w:t xml:space="preserve"> likmju, ar </w:t>
            </w:r>
            <w:r w:rsidRPr="00465CA3">
              <w:t xml:space="preserve">iedzīvotāju ienākuma </w:t>
            </w:r>
            <w:r w:rsidRPr="00465CA3">
              <w:rPr>
                <w:rFonts w:eastAsia="Calibri"/>
                <w:lang w:eastAsia="en-US"/>
              </w:rPr>
              <w:t xml:space="preserve">nodokli neapliekamā minimuma izmaiņu un atvieglojuma par apgādībā esošu personu fiskālās ietekmes novērtējumam izmantoti dati par nodarbināto gada ienākumu un izmantoto gada atvieglojumu apmēru, kas iegūti no paziņojumiem par fiziskajām personām izmaksātajām summām 2014. gadā. No iegūtajiem datiem nodarbinātās personas (neiekļaujot </w:t>
            </w:r>
            <w:proofErr w:type="spellStart"/>
            <w:r w:rsidRPr="00465CA3">
              <w:rPr>
                <w:rFonts w:eastAsia="Calibri"/>
                <w:lang w:eastAsia="en-US"/>
              </w:rPr>
              <w:t>mikrouzņēmumos</w:t>
            </w:r>
            <w:proofErr w:type="spellEnd"/>
            <w:r w:rsidRPr="00465CA3">
              <w:rPr>
                <w:rFonts w:eastAsia="Calibri"/>
                <w:lang w:eastAsia="en-US"/>
              </w:rPr>
              <w:t xml:space="preserve"> strādājošos) atbilstoši ienākumiem tika sadalītas pa algu intervāliem. Piemērojot nodarbinātības pieaugumu par 1,6% un darba samaksas pieaugumu vidēji par 30%, tika izveidota 2018. gada iedzīvotāju ienākuma nodokļa bāze, no kuras tika aprēķināta fiskālā ietekme. </w:t>
            </w:r>
            <w:r w:rsidRPr="00465CA3">
              <w:t>Pēc līdzīga algoritma fiskālā ietekme tika aprēķināta arī 2019. gadam.</w:t>
            </w:r>
          </w:p>
          <w:p w14:paraId="2F837D1B" w14:textId="77777777" w:rsidR="003300C7" w:rsidRPr="00465CA3" w:rsidRDefault="003300C7" w:rsidP="002B129D">
            <w:pPr>
              <w:pStyle w:val="tv213"/>
              <w:spacing w:before="0" w:beforeAutospacing="0" w:after="0" w:afterAutospacing="0" w:line="293" w:lineRule="atLeast"/>
              <w:ind w:firstLine="300"/>
              <w:jc w:val="both"/>
            </w:pPr>
          </w:p>
          <w:p w14:paraId="62634A13" w14:textId="77777777" w:rsidR="003300C7" w:rsidRPr="00465CA3" w:rsidRDefault="003300C7" w:rsidP="002B129D">
            <w:pPr>
              <w:pStyle w:val="tv213"/>
              <w:spacing w:before="0" w:beforeAutospacing="0" w:after="0" w:afterAutospacing="0" w:line="293" w:lineRule="atLeast"/>
              <w:ind w:firstLine="300"/>
              <w:jc w:val="both"/>
            </w:pPr>
            <w:r w:rsidRPr="00465CA3">
              <w:rPr>
                <w:u w:val="single"/>
              </w:rPr>
              <w:t>Noteikt ierobežojumus iedzīvotāju ienākuma nodokļa attaisnotajiem izdevumiem</w:t>
            </w:r>
            <w:r w:rsidRPr="00465CA3">
              <w:t xml:space="preserve">, tai skaitā: </w:t>
            </w:r>
          </w:p>
          <w:p w14:paraId="161DAFDE" w14:textId="7CB863AE" w:rsidR="003300C7" w:rsidRPr="00465CA3" w:rsidRDefault="003300C7" w:rsidP="002B129D">
            <w:pPr>
              <w:pStyle w:val="tv213"/>
              <w:spacing w:before="0" w:beforeAutospacing="0" w:after="0" w:afterAutospacing="0" w:line="293" w:lineRule="atLeast"/>
              <w:ind w:firstLine="300"/>
              <w:jc w:val="both"/>
            </w:pPr>
            <w:r w:rsidRPr="00465CA3">
              <w:t>-</w:t>
            </w:r>
            <w:r w:rsidRPr="00465CA3">
              <w:tab/>
              <w:t xml:space="preserve">noteikt gan procentuālu (50% no apliekamā ienākuma), gan summāru ierobežojumu – 600 </w:t>
            </w:r>
            <w:proofErr w:type="spellStart"/>
            <w:r w:rsidR="005A1D33" w:rsidRPr="005A1D33">
              <w:rPr>
                <w:i/>
              </w:rPr>
              <w:t>euro</w:t>
            </w:r>
            <w:proofErr w:type="spellEnd"/>
            <w:r w:rsidRPr="00465CA3">
              <w:t xml:space="preserve"> gadā (par sevi un katru savu ģimenes locekli)</w:t>
            </w:r>
          </w:p>
          <w:p w14:paraId="0BF09FE2" w14:textId="30AF8E3D" w:rsidR="003300C7" w:rsidRPr="00465CA3" w:rsidRDefault="003300C7" w:rsidP="002B129D">
            <w:pPr>
              <w:pStyle w:val="tv213"/>
              <w:spacing w:before="0" w:beforeAutospacing="0" w:after="0" w:afterAutospacing="0" w:line="293" w:lineRule="atLeast"/>
              <w:ind w:firstLine="300"/>
              <w:jc w:val="both"/>
            </w:pPr>
            <w:r w:rsidRPr="00465CA3">
              <w:t>-</w:t>
            </w:r>
            <w:r w:rsidRPr="00465CA3">
              <w:tab/>
              <w:t xml:space="preserve">noteikt gan procentuālu (10% no gada apliekamā ienākuma), gan summāru ierobežojumu – 4 000 </w:t>
            </w:r>
            <w:proofErr w:type="spellStart"/>
            <w:r w:rsidR="005A1D33" w:rsidRPr="005A1D33">
              <w:rPr>
                <w:i/>
              </w:rPr>
              <w:t>euro</w:t>
            </w:r>
            <w:proofErr w:type="spellEnd"/>
            <w:r w:rsidRPr="00465CA3">
              <w:t xml:space="preserve"> gadā – attaisnotajiem izdevumiem par iemaksām privātajos pensiju fondos un apdrošināšanas prēmiju maksājumiem. </w:t>
            </w:r>
          </w:p>
          <w:p w14:paraId="2932587A" w14:textId="460E3345" w:rsidR="003300C7" w:rsidRPr="00465CA3" w:rsidRDefault="003300C7" w:rsidP="002B129D">
            <w:pPr>
              <w:pStyle w:val="tv213"/>
              <w:spacing w:before="0" w:beforeAutospacing="0" w:after="0" w:afterAutospacing="0" w:line="293" w:lineRule="atLeast"/>
              <w:ind w:firstLine="300"/>
              <w:jc w:val="both"/>
            </w:pPr>
            <w:r w:rsidRPr="00465CA3">
              <w:t>Fiskālā ietekme uz iedzīvotāju ienākuma nodokļa ieņēmumiem no iedzīvotāju ienākuma nodokļa attaisnoto izdevumu ierobežojuma ieviešanas 2018. gadā un turpmāk ik gadu +9,40 milj. </w:t>
            </w:r>
            <w:proofErr w:type="spellStart"/>
            <w:r w:rsidR="005A1D33" w:rsidRPr="005A1D33">
              <w:rPr>
                <w:i/>
              </w:rPr>
              <w:t>euro</w:t>
            </w:r>
            <w:proofErr w:type="spellEnd"/>
            <w:r w:rsidRPr="00465CA3">
              <w:t xml:space="preserve"> (t.sk., valsts pamatbudžetā +1,88 milj. </w:t>
            </w:r>
            <w:proofErr w:type="spellStart"/>
            <w:r w:rsidR="005A1D33" w:rsidRPr="005A1D33">
              <w:rPr>
                <w:i/>
              </w:rPr>
              <w:t>euro</w:t>
            </w:r>
            <w:proofErr w:type="spellEnd"/>
            <w:r w:rsidRPr="00465CA3">
              <w:t xml:space="preserve"> un pašvaldību budžetā +7,52 milj. </w:t>
            </w:r>
            <w:proofErr w:type="spellStart"/>
            <w:r w:rsidR="005A1D33" w:rsidRPr="005A1D33">
              <w:rPr>
                <w:i/>
              </w:rPr>
              <w:t>euro</w:t>
            </w:r>
            <w:proofErr w:type="spellEnd"/>
            <w:r w:rsidRPr="00465CA3">
              <w:t>).</w:t>
            </w:r>
          </w:p>
          <w:p w14:paraId="0B78FCB7" w14:textId="77777777" w:rsidR="003300C7" w:rsidRPr="00465CA3" w:rsidRDefault="003300C7" w:rsidP="002B129D">
            <w:pPr>
              <w:pStyle w:val="tv213"/>
              <w:spacing w:before="0" w:beforeAutospacing="0" w:after="0" w:afterAutospacing="0" w:line="293" w:lineRule="atLeast"/>
              <w:ind w:firstLine="300"/>
              <w:jc w:val="both"/>
              <w:rPr>
                <w:u w:val="single"/>
              </w:rPr>
            </w:pPr>
          </w:p>
          <w:p w14:paraId="3B83BB64" w14:textId="3E7F4D40" w:rsidR="003300C7" w:rsidRPr="00465CA3" w:rsidRDefault="003300C7" w:rsidP="002B129D">
            <w:pPr>
              <w:pStyle w:val="tv213"/>
              <w:spacing w:before="0" w:beforeAutospacing="0" w:after="0" w:afterAutospacing="0" w:line="293" w:lineRule="atLeast"/>
              <w:ind w:firstLine="300"/>
              <w:jc w:val="both"/>
            </w:pPr>
            <w:r w:rsidRPr="00465CA3">
              <w:rPr>
                <w:u w:val="single"/>
              </w:rPr>
              <w:t>Paaugstināt neapliekamo minimumu pensionāriem</w:t>
            </w:r>
            <w:r w:rsidRPr="00465CA3">
              <w:t xml:space="preserve"> 2018. gadā līdz 250 </w:t>
            </w:r>
            <w:proofErr w:type="spellStart"/>
            <w:r w:rsidR="005A1D33" w:rsidRPr="005A1D33">
              <w:rPr>
                <w:i/>
              </w:rPr>
              <w:t>euro</w:t>
            </w:r>
            <w:proofErr w:type="spellEnd"/>
            <w:r w:rsidRPr="00465CA3">
              <w:t xml:space="preserve"> mēnesī, 2019. gadā – līdz 270 </w:t>
            </w:r>
            <w:proofErr w:type="spellStart"/>
            <w:r w:rsidR="005A1D33" w:rsidRPr="005A1D33">
              <w:rPr>
                <w:i/>
              </w:rPr>
              <w:t>euro</w:t>
            </w:r>
            <w:proofErr w:type="spellEnd"/>
            <w:r w:rsidRPr="00465CA3">
              <w:t xml:space="preserve"> mēnesī un 2020. gadā – līdz 300 </w:t>
            </w:r>
            <w:proofErr w:type="spellStart"/>
            <w:r w:rsidR="005A1D33" w:rsidRPr="005A1D33">
              <w:rPr>
                <w:i/>
              </w:rPr>
              <w:t>euro</w:t>
            </w:r>
            <w:proofErr w:type="spellEnd"/>
            <w:r w:rsidRPr="00465CA3">
              <w:t xml:space="preserve"> mēnesī (pašlaik 235 </w:t>
            </w:r>
            <w:proofErr w:type="spellStart"/>
            <w:r w:rsidR="005A1D33" w:rsidRPr="005A1D33">
              <w:rPr>
                <w:i/>
              </w:rPr>
              <w:t>euro</w:t>
            </w:r>
            <w:proofErr w:type="spellEnd"/>
            <w:r w:rsidRPr="00465CA3">
              <w:t xml:space="preserve"> mēnesī).</w:t>
            </w:r>
          </w:p>
          <w:p w14:paraId="47B8CD09" w14:textId="77777777" w:rsidR="003300C7" w:rsidRPr="00465CA3" w:rsidRDefault="003300C7" w:rsidP="002B129D">
            <w:pPr>
              <w:pStyle w:val="tv213"/>
              <w:spacing w:before="0" w:beforeAutospacing="0" w:after="0" w:afterAutospacing="0" w:line="293" w:lineRule="atLeast"/>
              <w:ind w:firstLine="300"/>
              <w:jc w:val="both"/>
            </w:pPr>
            <w:r w:rsidRPr="00465CA3">
              <w:t xml:space="preserve">Fiskālās ietekmes noteikšanai tika izveidots modelis ar pensiju apmēra intervāliem, izmantojot Valsts sociālās apdrošināšanas aģentūras un Aizsardzības ministrijas datus par pensiju saņēmēju skaitu un kopējo vidējo pensijas apmēru visu veidu pensijām, kas piešķirtas pēc jaunā likuma (pēc vecā likuma - saskaņā ar likuma “Par iedzīvotāju ienākuma nodokli” Pārejas noteikumu 48. punktu - personām, kurām pensija piešķirta līdz 1996. gada 1. janvārim atbilstoši likumam “Par valsts pensijām” un pensijas (kopā ar piemaksu pie pensijas par apdrošināšanas stāžu, kas uzkrāts līdz 1995. gada 31. decembrim) apmērs pārsniedz 12. panta piektajā daļā noteikto neapliekamā minimuma apmēru, neapliekamais minimums ir šīs pensijas (kopā ar piemaksu par uzkrāto apdrošināšanas stāžu) apmērā). </w:t>
            </w:r>
          </w:p>
          <w:p w14:paraId="179EA6B7" w14:textId="6C7F39A8" w:rsidR="003300C7" w:rsidRPr="00465CA3" w:rsidRDefault="003300C7" w:rsidP="002B129D">
            <w:pPr>
              <w:pStyle w:val="tv213"/>
              <w:spacing w:before="0" w:beforeAutospacing="0" w:after="0" w:afterAutospacing="0" w:line="293" w:lineRule="atLeast"/>
              <w:ind w:firstLine="300"/>
              <w:jc w:val="both"/>
            </w:pPr>
            <w:r w:rsidRPr="00465CA3">
              <w:t xml:space="preserve"> 2015. gadā bija 397,6 tūkst. pensionāru, kam pensijas piešķirtas pēc jaunā likuma, no tiem 220,6 tūkst pensionāru jeb 55,5% tika piemērots mēneša neapliekamais minimums 235 </w:t>
            </w:r>
            <w:proofErr w:type="spellStart"/>
            <w:r w:rsidR="005A1D33" w:rsidRPr="005A1D33">
              <w:rPr>
                <w:i/>
              </w:rPr>
              <w:t>euro</w:t>
            </w:r>
            <w:proofErr w:type="spellEnd"/>
            <w:r w:rsidRPr="00465CA3">
              <w:t xml:space="preserve"> pilnā apmērā. Palielinot pensiju mēneša neapliekamo minimumu no 235 līdz 300 </w:t>
            </w:r>
            <w:proofErr w:type="spellStart"/>
            <w:r w:rsidR="005A1D33" w:rsidRPr="005A1D33">
              <w:rPr>
                <w:i/>
              </w:rPr>
              <w:t>euro</w:t>
            </w:r>
            <w:proofErr w:type="spellEnd"/>
            <w:r w:rsidRPr="00465CA3">
              <w:t xml:space="preserve"> (2018. gadā līdz 250 </w:t>
            </w:r>
            <w:proofErr w:type="spellStart"/>
            <w:r w:rsidR="005A1D33" w:rsidRPr="005A1D33">
              <w:rPr>
                <w:i/>
              </w:rPr>
              <w:t>euro</w:t>
            </w:r>
            <w:proofErr w:type="spellEnd"/>
            <w:r w:rsidRPr="00465CA3">
              <w:t xml:space="preserve">, 2019. gadā līdz 270 </w:t>
            </w:r>
            <w:proofErr w:type="spellStart"/>
            <w:r w:rsidR="005A1D33" w:rsidRPr="005A1D33">
              <w:rPr>
                <w:i/>
              </w:rPr>
              <w:t>euro</w:t>
            </w:r>
            <w:proofErr w:type="spellEnd"/>
            <w:r w:rsidRPr="00465CA3">
              <w:t xml:space="preserve"> un 2020. gadā līdz 300 </w:t>
            </w:r>
            <w:proofErr w:type="spellStart"/>
            <w:r w:rsidR="005A1D33" w:rsidRPr="005A1D33">
              <w:rPr>
                <w:i/>
              </w:rPr>
              <w:t>euro</w:t>
            </w:r>
            <w:proofErr w:type="spellEnd"/>
            <w:r w:rsidRPr="00465CA3">
              <w:t xml:space="preserve">) un samazinot </w:t>
            </w:r>
            <w:r w:rsidRPr="00465CA3">
              <w:lastRenderedPageBreak/>
              <w:t xml:space="preserve">iedzīvotāju ienākuma nodokļa likmi no 23% līdz 20%, pensionāru skaits, kam tiktu piemērots neapliekamais minimums, samazinātos par 40,1 procentu. Līdz ar to 132,1 tūkst. pensionāru piemērotu mēneša neapliekamo minimumu 300 </w:t>
            </w:r>
            <w:proofErr w:type="spellStart"/>
            <w:r w:rsidR="005A1D33" w:rsidRPr="005A1D33">
              <w:rPr>
                <w:i/>
              </w:rPr>
              <w:t>euro</w:t>
            </w:r>
            <w:proofErr w:type="spellEnd"/>
            <w:r w:rsidRPr="00465CA3">
              <w:t xml:space="preserve"> apmērā.</w:t>
            </w:r>
          </w:p>
          <w:p w14:paraId="3C6E8928" w14:textId="39FAA9A6" w:rsidR="003300C7" w:rsidRPr="00465CA3" w:rsidRDefault="003300C7" w:rsidP="002B129D">
            <w:pPr>
              <w:pStyle w:val="tv213"/>
              <w:spacing w:before="0" w:beforeAutospacing="0" w:after="0" w:afterAutospacing="0" w:line="293" w:lineRule="atLeast"/>
              <w:ind w:firstLine="300"/>
              <w:jc w:val="both"/>
            </w:pPr>
            <w:r w:rsidRPr="00465CA3">
              <w:t>Fiskālā ietekme uz iedzīvotāju ienākuma nodokļa ieņēmumiem no pensionāru neapliekamā minimuma palielināšanas 2018. gadā - 22,10 milj. </w:t>
            </w:r>
            <w:proofErr w:type="spellStart"/>
            <w:r w:rsidR="005A1D33" w:rsidRPr="005A1D33">
              <w:rPr>
                <w:i/>
              </w:rPr>
              <w:t>euro</w:t>
            </w:r>
            <w:proofErr w:type="spellEnd"/>
            <w:r w:rsidRPr="00465CA3">
              <w:t xml:space="preserve"> (t.sk., valsts pamatbudžetā -4,42 milj. </w:t>
            </w:r>
            <w:proofErr w:type="spellStart"/>
            <w:r w:rsidR="005A1D33" w:rsidRPr="005A1D33">
              <w:rPr>
                <w:i/>
              </w:rPr>
              <w:t>euro</w:t>
            </w:r>
            <w:proofErr w:type="spellEnd"/>
            <w:r w:rsidRPr="00465CA3">
              <w:t xml:space="preserve"> un pašvaldību budžetā -17,68 milj. </w:t>
            </w:r>
            <w:proofErr w:type="spellStart"/>
            <w:r w:rsidR="005A1D33" w:rsidRPr="005A1D33">
              <w:rPr>
                <w:i/>
              </w:rPr>
              <w:t>euro</w:t>
            </w:r>
            <w:proofErr w:type="spellEnd"/>
            <w:r w:rsidRPr="00465CA3">
              <w:t xml:space="preserve">), 2019. gadā -31,60 milj. </w:t>
            </w:r>
            <w:proofErr w:type="spellStart"/>
            <w:r w:rsidR="005A1D33" w:rsidRPr="005A1D33">
              <w:rPr>
                <w:i/>
              </w:rPr>
              <w:t>euro</w:t>
            </w:r>
            <w:proofErr w:type="spellEnd"/>
            <w:r w:rsidRPr="00465CA3">
              <w:t xml:space="preserve"> (t.sk., valsts pamatbudžetā -6,32 milj. </w:t>
            </w:r>
            <w:proofErr w:type="spellStart"/>
            <w:r w:rsidR="005A1D33" w:rsidRPr="005A1D33">
              <w:rPr>
                <w:i/>
              </w:rPr>
              <w:t>euro</w:t>
            </w:r>
            <w:proofErr w:type="spellEnd"/>
            <w:r w:rsidRPr="00465CA3">
              <w:t xml:space="preserve"> un pašvaldību budžetā -25,28 milj. </w:t>
            </w:r>
            <w:proofErr w:type="spellStart"/>
            <w:r w:rsidR="005A1D33" w:rsidRPr="005A1D33">
              <w:rPr>
                <w:i/>
              </w:rPr>
              <w:t>euro</w:t>
            </w:r>
            <w:proofErr w:type="spellEnd"/>
            <w:r w:rsidRPr="00465CA3">
              <w:t xml:space="preserve">), 2020. gadā -43,10 milj. </w:t>
            </w:r>
            <w:proofErr w:type="spellStart"/>
            <w:r w:rsidR="005A1D33" w:rsidRPr="005A1D33">
              <w:rPr>
                <w:i/>
              </w:rPr>
              <w:t>euro</w:t>
            </w:r>
            <w:proofErr w:type="spellEnd"/>
            <w:r w:rsidRPr="00465CA3">
              <w:t xml:space="preserve"> (t.sk., valsts pamatbudžetā -8,62 milj. </w:t>
            </w:r>
            <w:proofErr w:type="spellStart"/>
            <w:r w:rsidR="005A1D33" w:rsidRPr="005A1D33">
              <w:rPr>
                <w:i/>
              </w:rPr>
              <w:t>euro</w:t>
            </w:r>
            <w:proofErr w:type="spellEnd"/>
            <w:r w:rsidRPr="00465CA3">
              <w:t xml:space="preserve"> un pašvaldību budžetā -34,48 milj. </w:t>
            </w:r>
            <w:proofErr w:type="spellStart"/>
            <w:r w:rsidR="005A1D33" w:rsidRPr="005A1D33">
              <w:rPr>
                <w:i/>
              </w:rPr>
              <w:t>euro</w:t>
            </w:r>
            <w:proofErr w:type="spellEnd"/>
            <w:r w:rsidRPr="00465CA3">
              <w:t>).</w:t>
            </w:r>
          </w:p>
          <w:p w14:paraId="779092BA" w14:textId="77777777" w:rsidR="003300C7" w:rsidRPr="00465CA3" w:rsidRDefault="003300C7" w:rsidP="002B129D">
            <w:pPr>
              <w:pStyle w:val="tv213"/>
              <w:spacing w:before="0" w:beforeAutospacing="0" w:after="0" w:afterAutospacing="0" w:line="293" w:lineRule="atLeast"/>
              <w:ind w:firstLine="300"/>
              <w:jc w:val="both"/>
            </w:pPr>
          </w:p>
          <w:p w14:paraId="0059E98D" w14:textId="77777777" w:rsidR="003300C7" w:rsidRPr="00465CA3" w:rsidRDefault="003300C7" w:rsidP="002B129D">
            <w:pPr>
              <w:pStyle w:val="tv213"/>
              <w:spacing w:before="0" w:beforeAutospacing="0" w:after="0" w:afterAutospacing="0" w:line="293" w:lineRule="atLeast"/>
              <w:ind w:firstLine="376"/>
              <w:jc w:val="both"/>
            </w:pPr>
            <w:r w:rsidRPr="00465CA3">
              <w:rPr>
                <w:u w:val="single"/>
              </w:rPr>
              <w:t xml:space="preserve">Vienādot nodokļa likmes </w:t>
            </w:r>
            <w:r w:rsidRPr="00465CA3">
              <w:rPr>
                <w:iCs/>
                <w:u w:val="single"/>
              </w:rPr>
              <w:t>kapitālam un kapitāla pieaugumam</w:t>
            </w:r>
            <w:r w:rsidRPr="00465CA3">
              <w:t xml:space="preserve"> (pašreiz iedzīvotāju ienākuma nodokļa likme </w:t>
            </w:r>
            <w:r w:rsidRPr="00465CA3">
              <w:rPr>
                <w:spacing w:val="5"/>
              </w:rPr>
              <w:t xml:space="preserve">no kapitāla, kas nav kapitāla pieaugums (piemēram, dividendēm, procentu ienākumam), ir 10%, bet ienākumam no kapitāla pieauguma – 15%) – nosakot to 20% apmērā (izņemot par dividendēm, ja tās jau ir apliktas uzņēmuma līmenī ar </w:t>
            </w:r>
            <w:r w:rsidRPr="00465CA3">
              <w:t xml:space="preserve">ienākuma nodokļa 20% likmi peļņas sadales brīdī). </w:t>
            </w:r>
          </w:p>
          <w:p w14:paraId="146182FE" w14:textId="4AC08476" w:rsidR="003300C7" w:rsidRPr="00465CA3" w:rsidRDefault="003300C7" w:rsidP="002B129D">
            <w:pPr>
              <w:jc w:val="both"/>
            </w:pPr>
            <w:r w:rsidRPr="00465CA3">
              <w:t xml:space="preserve">Fiskālo ietekmju aprēķini balstīti uz </w:t>
            </w:r>
            <w:r w:rsidRPr="00465CA3">
              <w:rPr>
                <w:rFonts w:eastAsiaTheme="minorHAnsi"/>
              </w:rPr>
              <w:t xml:space="preserve">2015. gada datiem </w:t>
            </w:r>
            <w:r w:rsidRPr="00465CA3">
              <w:t>no paziņojumiem par fiziskai personai izmaksātajām summām un no ienākumu no kapitāla deklarācijas 1.daļas - Ienākums no kapitāla pieauguma. 2015. gadā ienākumi no kapitāla pieauguma bija 480,4 milj. </w:t>
            </w:r>
            <w:proofErr w:type="spellStart"/>
            <w:r w:rsidR="005A1D33" w:rsidRPr="005A1D33">
              <w:rPr>
                <w:i/>
              </w:rPr>
              <w:t>euro</w:t>
            </w:r>
            <w:proofErr w:type="spellEnd"/>
            <w:r w:rsidRPr="00465CA3">
              <w:rPr>
                <w:i/>
              </w:rPr>
              <w:t xml:space="preserve"> </w:t>
            </w:r>
            <w:r w:rsidRPr="00465CA3">
              <w:t>un ieturētais iedzīvotāju ienākuma nodoklis bija 18,5 milj. </w:t>
            </w:r>
            <w:proofErr w:type="spellStart"/>
            <w:r w:rsidR="005A1D33" w:rsidRPr="005A1D33">
              <w:rPr>
                <w:i/>
              </w:rPr>
              <w:t>euro</w:t>
            </w:r>
            <w:proofErr w:type="spellEnd"/>
            <w:r w:rsidRPr="00465CA3">
              <w:t>. Ienākumi no procentiem 2015. gadā sastādīja 29,2 milj. </w:t>
            </w:r>
            <w:proofErr w:type="spellStart"/>
            <w:r w:rsidR="005A1D33" w:rsidRPr="005A1D33">
              <w:rPr>
                <w:i/>
              </w:rPr>
              <w:t>euro</w:t>
            </w:r>
            <w:proofErr w:type="spellEnd"/>
            <w:r w:rsidRPr="00465CA3">
              <w:rPr>
                <w:i/>
              </w:rPr>
              <w:t>,</w:t>
            </w:r>
            <w:r w:rsidRPr="00465CA3">
              <w:t xml:space="preserve"> un ieturētais iedzīvotāju ienākuma nodoklis bija 2,9 milj. </w:t>
            </w:r>
            <w:proofErr w:type="spellStart"/>
            <w:r w:rsidR="005A1D33" w:rsidRPr="005A1D33">
              <w:rPr>
                <w:i/>
              </w:rPr>
              <w:t>euro</w:t>
            </w:r>
            <w:proofErr w:type="spellEnd"/>
            <w:r w:rsidRPr="00465CA3">
              <w:t>.</w:t>
            </w:r>
          </w:p>
          <w:p w14:paraId="7BEB09A9" w14:textId="4383A5D3" w:rsidR="003300C7" w:rsidRPr="00465CA3" w:rsidRDefault="003300C7" w:rsidP="002B129D">
            <w:pPr>
              <w:pStyle w:val="tv213"/>
              <w:spacing w:before="0" w:beforeAutospacing="0" w:after="0" w:afterAutospacing="0" w:line="293" w:lineRule="atLeast"/>
              <w:ind w:firstLine="300"/>
              <w:jc w:val="both"/>
            </w:pPr>
            <w:r w:rsidRPr="00465CA3">
              <w:t>Fiskālā ietekme no iedzīvotāju ienākuma nodokļa ieņēmumiem no iedzīvotāju ienākuma nodokļa likmes vienādošanas kapitālam un kapitāla pieaugumam 2018. gadā un turpmāk ik gadu +11,30 milj. </w:t>
            </w:r>
            <w:proofErr w:type="spellStart"/>
            <w:r w:rsidR="005A1D33" w:rsidRPr="005A1D33">
              <w:rPr>
                <w:i/>
              </w:rPr>
              <w:t>euro</w:t>
            </w:r>
            <w:proofErr w:type="spellEnd"/>
            <w:r w:rsidRPr="00465CA3">
              <w:t xml:space="preserve"> (t.sk., valsts pamatbudžetā +2,26 milj. </w:t>
            </w:r>
            <w:proofErr w:type="spellStart"/>
            <w:r w:rsidR="005A1D33" w:rsidRPr="005A1D33">
              <w:rPr>
                <w:i/>
              </w:rPr>
              <w:t>euro</w:t>
            </w:r>
            <w:proofErr w:type="spellEnd"/>
            <w:r w:rsidRPr="00465CA3">
              <w:t xml:space="preserve"> un pašvaldību budžetā +9,04 milj. </w:t>
            </w:r>
            <w:proofErr w:type="spellStart"/>
            <w:r w:rsidR="005A1D33" w:rsidRPr="005A1D33">
              <w:rPr>
                <w:i/>
              </w:rPr>
              <w:t>euro</w:t>
            </w:r>
            <w:proofErr w:type="spellEnd"/>
            <w:r w:rsidRPr="00465CA3">
              <w:t>).</w:t>
            </w:r>
          </w:p>
          <w:p w14:paraId="02DE9A3B" w14:textId="77777777" w:rsidR="003300C7" w:rsidRPr="00465CA3" w:rsidRDefault="003300C7" w:rsidP="002B129D">
            <w:pPr>
              <w:pStyle w:val="tv213"/>
              <w:spacing w:before="0" w:beforeAutospacing="0" w:after="0" w:afterAutospacing="0" w:line="293" w:lineRule="atLeast"/>
              <w:ind w:firstLine="300"/>
              <w:jc w:val="both"/>
            </w:pPr>
          </w:p>
          <w:p w14:paraId="30CF7C76" w14:textId="77777777" w:rsidR="003300C7" w:rsidRPr="00465CA3" w:rsidRDefault="003300C7" w:rsidP="002B129D">
            <w:pPr>
              <w:ind w:firstLine="376"/>
              <w:jc w:val="both"/>
              <w:rPr>
                <w:rFonts w:eastAsia="Calibri"/>
                <w:lang w:eastAsia="en-US"/>
              </w:rPr>
            </w:pPr>
            <w:r w:rsidRPr="00465CA3">
              <w:rPr>
                <w:rFonts w:eastAsia="Calibri"/>
                <w:lang w:eastAsia="en-US"/>
              </w:rPr>
              <w:t xml:space="preserve">Noteikt valsts sociālās apdrošināšanas obligāto iemaksu likmi un objektu </w:t>
            </w:r>
            <w:r w:rsidRPr="00465CA3">
              <w:rPr>
                <w:rFonts w:eastAsia="Calibri"/>
                <w:u w:val="single"/>
                <w:lang w:eastAsia="en-US"/>
              </w:rPr>
              <w:t>saimnieciskās darbības apliekamajam ienākumam</w:t>
            </w:r>
            <w:r w:rsidRPr="00465CA3">
              <w:rPr>
                <w:rFonts w:eastAsia="Calibri"/>
                <w:lang w:eastAsia="en-US"/>
              </w:rPr>
              <w:t>:</w:t>
            </w:r>
          </w:p>
          <w:p w14:paraId="22E68919" w14:textId="64D43AF5" w:rsidR="003300C7" w:rsidRPr="00465CA3" w:rsidRDefault="003300C7" w:rsidP="002B129D">
            <w:pPr>
              <w:ind w:firstLine="376"/>
              <w:contextualSpacing/>
              <w:jc w:val="both"/>
              <w:rPr>
                <w:rFonts w:eastAsia="Calibri"/>
                <w:lang w:eastAsia="en-US"/>
              </w:rPr>
            </w:pPr>
            <w:r w:rsidRPr="00465CA3">
              <w:rPr>
                <w:rFonts w:eastAsia="Calibri"/>
                <w:lang w:eastAsia="en-US"/>
              </w:rPr>
              <w:t xml:space="preserve">- ja tas pārsniedz 430 </w:t>
            </w:r>
            <w:proofErr w:type="spellStart"/>
            <w:r w:rsidR="005A1D33" w:rsidRPr="005A1D33">
              <w:rPr>
                <w:rFonts w:eastAsia="Calibri"/>
                <w:i/>
                <w:lang w:eastAsia="en-US"/>
              </w:rPr>
              <w:t>euro</w:t>
            </w:r>
            <w:proofErr w:type="spellEnd"/>
            <w:r w:rsidRPr="00465CA3">
              <w:rPr>
                <w:rFonts w:eastAsia="Calibri"/>
                <w:lang w:eastAsia="en-US"/>
              </w:rPr>
              <w:t xml:space="preserve"> mēnesī – līdzšinējā kārtībā, t.i., brīvi noteikts iemaksu objekts, bet ne mazāks kā vismaz minimālās algas apmērā un likme – līdzšinējā (atkarībā no </w:t>
            </w:r>
            <w:proofErr w:type="spellStart"/>
            <w:r w:rsidRPr="00465CA3">
              <w:rPr>
                <w:rFonts w:eastAsia="Calibri"/>
                <w:lang w:eastAsia="en-US"/>
              </w:rPr>
              <w:t>pašnodarbinātās</w:t>
            </w:r>
            <w:proofErr w:type="spellEnd"/>
            <w:r w:rsidRPr="00465CA3">
              <w:rPr>
                <w:rFonts w:eastAsia="Calibri"/>
                <w:lang w:eastAsia="en-US"/>
              </w:rPr>
              <w:t xml:space="preserve"> personas statusa), bet par starpību starp brīvi izraudzīto iemaksu objektu un faktisko saimnieciskās darbības apliekamo ienākumu maksā valsts sociālās apdrošināšanas obligātās iemaksas 5% apmērā (pensijas apdrošināšanai);</w:t>
            </w:r>
          </w:p>
          <w:p w14:paraId="0126407A" w14:textId="79DC294A" w:rsidR="003300C7" w:rsidRPr="00465CA3" w:rsidRDefault="003300C7" w:rsidP="002B129D">
            <w:pPr>
              <w:pStyle w:val="tv213"/>
              <w:spacing w:before="0" w:beforeAutospacing="0" w:after="0" w:afterAutospacing="0" w:line="293" w:lineRule="atLeast"/>
              <w:ind w:firstLine="376"/>
              <w:jc w:val="both"/>
              <w:rPr>
                <w:rFonts w:eastAsia="Calibri"/>
                <w:lang w:eastAsia="en-US"/>
              </w:rPr>
            </w:pPr>
            <w:r w:rsidRPr="00465CA3">
              <w:rPr>
                <w:rFonts w:eastAsia="Calibri"/>
                <w:lang w:eastAsia="en-US"/>
              </w:rPr>
              <w:t xml:space="preserve">- no apliekamā ienākuma, kas nepārsniedz 430 </w:t>
            </w:r>
            <w:proofErr w:type="spellStart"/>
            <w:r w:rsidR="005A1D33" w:rsidRPr="005A1D33">
              <w:rPr>
                <w:rFonts w:eastAsia="Calibri"/>
                <w:i/>
                <w:lang w:eastAsia="en-US"/>
              </w:rPr>
              <w:t>euro</w:t>
            </w:r>
            <w:proofErr w:type="spellEnd"/>
            <w:r w:rsidRPr="00465CA3">
              <w:rPr>
                <w:rFonts w:eastAsia="Calibri"/>
                <w:lang w:eastAsia="en-US"/>
              </w:rPr>
              <w:t xml:space="preserve"> mēnesī, veic iemaksas privātajā pensiju fondā (3. pensiju līmenis) vismaz 5% apmērā. </w:t>
            </w:r>
          </w:p>
          <w:p w14:paraId="33844B3B" w14:textId="071BF8F5" w:rsidR="003300C7" w:rsidRPr="00465CA3" w:rsidRDefault="003300C7" w:rsidP="002B129D">
            <w:pPr>
              <w:pStyle w:val="tv213"/>
              <w:spacing w:before="0" w:beforeAutospacing="0" w:after="0" w:afterAutospacing="0" w:line="293" w:lineRule="atLeast"/>
              <w:ind w:firstLine="300"/>
              <w:jc w:val="both"/>
            </w:pPr>
            <w:r w:rsidRPr="00465CA3">
              <w:t xml:space="preserve">Fiskālās ietekmes aprēķinā izmantota informācija uz 2015.gadu par 90,7 tūkst. iedzīvotāju ienākuma nodokļa maksātājiem (89,0 tūkst. iedzīvotāju ienākuma nodokļa maksātājiem, kas kārto grāmatvedību vienkāršā ieraksta sistēmā un 1,7 tūkst. Iedzīvotāju ienākuma nodokļa maksātājiem, kas kārto grāmatvedību divkāršā ieraksta sistēmā), no tiem 12,2 tūkst. bija reģistrējušās kā </w:t>
            </w:r>
            <w:proofErr w:type="spellStart"/>
            <w:r w:rsidRPr="00465CA3">
              <w:t>pašnodarbinātās</w:t>
            </w:r>
            <w:proofErr w:type="spellEnd"/>
            <w:r w:rsidRPr="00465CA3">
              <w:t xml:space="preserve"> personas. Kopējie ienākumi (apgrozījums) no saimnieciskās darbības 2015. gadā bija 709,7 milj. </w:t>
            </w:r>
            <w:proofErr w:type="spellStart"/>
            <w:r w:rsidR="005A1D33" w:rsidRPr="005A1D33">
              <w:rPr>
                <w:i/>
              </w:rPr>
              <w:t>euro</w:t>
            </w:r>
            <w:proofErr w:type="spellEnd"/>
            <w:r w:rsidRPr="00465CA3">
              <w:t xml:space="preserve"> un izdevumi 575,2 milj. </w:t>
            </w:r>
            <w:proofErr w:type="spellStart"/>
            <w:r w:rsidR="005A1D33" w:rsidRPr="005A1D33">
              <w:rPr>
                <w:i/>
              </w:rPr>
              <w:t>euro</w:t>
            </w:r>
            <w:proofErr w:type="spellEnd"/>
            <w:r w:rsidRPr="00465CA3">
              <w:t xml:space="preserve">. Fiskālās ietekmes aprēķinos nav ņemts vērā pieauguma temps, jo saimnieciskās darbības rādītāji nav atkarīgi tikai no ekonomiskās izaugsmes, tos arī ietekmē citi ārējie faktori, piemēram, </w:t>
            </w:r>
            <w:r w:rsidRPr="00465CA3">
              <w:lastRenderedPageBreak/>
              <w:t xml:space="preserve">laikapstākļi, sezonalitāte un citi faktori. Aprēķinos ņemts vērā ierobežojums, ka saimnieciskās darbības izdevumos atļauts iekļaut summu, kas nepārsniedz 80% no saimnieciskās darbības ieņēmumiem un no apliekamā ienākuma, ja tas nepārsniedz 430 </w:t>
            </w:r>
            <w:proofErr w:type="spellStart"/>
            <w:r w:rsidR="005A1D33" w:rsidRPr="005A1D33">
              <w:rPr>
                <w:i/>
              </w:rPr>
              <w:t>euro</w:t>
            </w:r>
            <w:proofErr w:type="spellEnd"/>
            <w:r w:rsidRPr="00465CA3">
              <w:t xml:space="preserve"> mēnesī, veic iemaksas privātajā pensiju fondā (3. pensiju līmenis) vismaz 5% apmērā. Apliekamajam ienākumam, kas pārsniedz 430 </w:t>
            </w:r>
            <w:proofErr w:type="spellStart"/>
            <w:r w:rsidR="005A1D33" w:rsidRPr="005A1D33">
              <w:rPr>
                <w:i/>
              </w:rPr>
              <w:t>euro</w:t>
            </w:r>
            <w:proofErr w:type="spellEnd"/>
            <w:r w:rsidRPr="00465CA3">
              <w:t xml:space="preserve"> mēnesī – līdzšinējā kārtība, t.i., brīvi noteikts iemaksu objekts, bet ne mazāks kā vismaz minimālās algas apmērā, likme par 430 </w:t>
            </w:r>
            <w:proofErr w:type="spellStart"/>
            <w:r w:rsidR="005A1D33" w:rsidRPr="005A1D33">
              <w:rPr>
                <w:i/>
              </w:rPr>
              <w:t>euro</w:t>
            </w:r>
            <w:proofErr w:type="spellEnd"/>
            <w:r w:rsidRPr="00465CA3">
              <w:t xml:space="preserve"> – līdzšinējā (atkarībā no </w:t>
            </w:r>
            <w:proofErr w:type="spellStart"/>
            <w:r w:rsidRPr="00465CA3">
              <w:t>pašnodarbinātās</w:t>
            </w:r>
            <w:proofErr w:type="spellEnd"/>
            <w:r w:rsidRPr="00465CA3">
              <w:t xml:space="preserve"> personas statusa), pārsniegumam – 5 procenti.</w:t>
            </w:r>
          </w:p>
          <w:p w14:paraId="7546F823" w14:textId="301AF04D" w:rsidR="003300C7" w:rsidRPr="00465CA3" w:rsidRDefault="003300C7" w:rsidP="002B129D">
            <w:pPr>
              <w:pStyle w:val="tv213"/>
              <w:spacing w:before="0" w:beforeAutospacing="0" w:after="0" w:afterAutospacing="0" w:line="293" w:lineRule="atLeast"/>
              <w:ind w:firstLine="300"/>
              <w:jc w:val="both"/>
            </w:pPr>
            <w:r w:rsidRPr="00465CA3">
              <w:t>Fiskālā ietekme 2018. gadā un turpmāk ik gadu būtu +20,00 milj. </w:t>
            </w:r>
            <w:proofErr w:type="spellStart"/>
            <w:r w:rsidR="005A1D33" w:rsidRPr="005A1D33">
              <w:rPr>
                <w:i/>
              </w:rPr>
              <w:t>euro</w:t>
            </w:r>
            <w:proofErr w:type="spellEnd"/>
            <w:r w:rsidRPr="00465CA3">
              <w:t xml:space="preserve"> (t.sk., iedzīvotāju ienākuma nodokļa ieņēmumiem +13,00 milj. </w:t>
            </w:r>
            <w:proofErr w:type="spellStart"/>
            <w:r w:rsidR="005A1D33" w:rsidRPr="005A1D33">
              <w:rPr>
                <w:i/>
              </w:rPr>
              <w:t>euro</w:t>
            </w:r>
            <w:proofErr w:type="spellEnd"/>
            <w:r w:rsidRPr="00465CA3">
              <w:t xml:space="preserve"> (t.sk., valsts budžetā +2,60 milj. </w:t>
            </w:r>
            <w:proofErr w:type="spellStart"/>
            <w:r w:rsidR="005A1D33" w:rsidRPr="005A1D33">
              <w:rPr>
                <w:i/>
              </w:rPr>
              <w:t>euro</w:t>
            </w:r>
            <w:proofErr w:type="spellEnd"/>
            <w:r w:rsidRPr="00465CA3">
              <w:rPr>
                <w:i/>
              </w:rPr>
              <w:t xml:space="preserve"> </w:t>
            </w:r>
            <w:r w:rsidRPr="00465CA3">
              <w:t>un pašvaldību budžetā +10,40 milj. </w:t>
            </w:r>
            <w:proofErr w:type="spellStart"/>
            <w:r w:rsidR="005A1D33" w:rsidRPr="005A1D33">
              <w:rPr>
                <w:i/>
              </w:rPr>
              <w:t>euro</w:t>
            </w:r>
            <w:proofErr w:type="spellEnd"/>
            <w:r w:rsidRPr="00465CA3">
              <w:t>). un valsts sociālās apdrošināšanas obligātajām iemaksām +7,00 milj. </w:t>
            </w:r>
            <w:proofErr w:type="spellStart"/>
            <w:r w:rsidR="005A1D33" w:rsidRPr="005A1D33">
              <w:rPr>
                <w:i/>
              </w:rPr>
              <w:t>euro</w:t>
            </w:r>
            <w:proofErr w:type="spellEnd"/>
            <w:r w:rsidRPr="00465CA3">
              <w:t xml:space="preserve"> (t.sk., valsts speciālais budžets +7,00 milj. </w:t>
            </w:r>
            <w:proofErr w:type="spellStart"/>
            <w:r w:rsidR="005A1D33" w:rsidRPr="005A1D33">
              <w:rPr>
                <w:i/>
              </w:rPr>
              <w:t>euro</w:t>
            </w:r>
            <w:proofErr w:type="spellEnd"/>
            <w:r w:rsidRPr="00465CA3">
              <w:t>).</w:t>
            </w:r>
          </w:p>
          <w:p w14:paraId="3EAA5D06" w14:textId="77777777" w:rsidR="003300C7" w:rsidRPr="00465CA3" w:rsidRDefault="003300C7" w:rsidP="002B129D">
            <w:pPr>
              <w:pStyle w:val="tv213"/>
              <w:spacing w:before="0" w:beforeAutospacing="0" w:after="0" w:afterAutospacing="0" w:line="293" w:lineRule="atLeast"/>
              <w:ind w:firstLine="300"/>
              <w:jc w:val="both"/>
            </w:pPr>
          </w:p>
          <w:p w14:paraId="28BF8C9E" w14:textId="77777777" w:rsidR="003300C7" w:rsidRPr="00465CA3" w:rsidRDefault="003300C7" w:rsidP="002B129D">
            <w:pPr>
              <w:ind w:firstLine="376"/>
              <w:jc w:val="both"/>
              <w:rPr>
                <w:rFonts w:eastAsia="Calibri"/>
                <w:lang w:eastAsia="en-US"/>
              </w:rPr>
            </w:pPr>
            <w:r w:rsidRPr="00465CA3">
              <w:rPr>
                <w:rFonts w:eastAsia="Calibri"/>
                <w:lang w:eastAsia="en-US"/>
              </w:rPr>
              <w:t xml:space="preserve">Saglabāt iepriekšējo nodokļu piemērošanas kārtību iedzīvotāju ienākuma nodokļa maksātājiem, kas gūst </w:t>
            </w:r>
            <w:r w:rsidRPr="00465CA3">
              <w:rPr>
                <w:rFonts w:eastAsia="Calibri"/>
                <w:i/>
                <w:u w:val="single"/>
                <w:lang w:eastAsia="en-US"/>
              </w:rPr>
              <w:t>ienākumus uz uzņēmumu līguma pamata</w:t>
            </w:r>
            <w:r w:rsidRPr="00465CA3">
              <w:rPr>
                <w:rFonts w:eastAsia="Calibri"/>
                <w:u w:val="single"/>
                <w:lang w:eastAsia="en-US"/>
              </w:rPr>
              <w:t xml:space="preserve">, </w:t>
            </w:r>
            <w:r w:rsidRPr="00465CA3">
              <w:rPr>
                <w:rFonts w:eastAsia="Calibri"/>
                <w:i/>
                <w:u w:val="single"/>
                <w:lang w:eastAsia="en-US"/>
              </w:rPr>
              <w:t>bet nav reģistrējuši saimniecisko darbību</w:t>
            </w:r>
            <w:r w:rsidRPr="00465CA3">
              <w:rPr>
                <w:rFonts w:eastAsia="Calibri"/>
                <w:i/>
                <w:lang w:eastAsia="en-US"/>
              </w:rPr>
              <w:t xml:space="preserve">, </w:t>
            </w:r>
            <w:r w:rsidRPr="00465CA3">
              <w:rPr>
                <w:rFonts w:eastAsia="Calibri"/>
                <w:lang w:eastAsia="en-US"/>
              </w:rPr>
              <w:t>pielīdzinot tos algas nodokļa maksātājiem, t.i., iedzīvotāju ienākuma nodokļa likme tiek noteikta:</w:t>
            </w:r>
          </w:p>
          <w:p w14:paraId="57825048" w14:textId="46D7695A" w:rsidR="003300C7" w:rsidRPr="00465CA3" w:rsidRDefault="003300C7" w:rsidP="002B129D">
            <w:pPr>
              <w:numPr>
                <w:ilvl w:val="0"/>
                <w:numId w:val="10"/>
              </w:numPr>
              <w:ind w:left="455" w:hanging="284"/>
              <w:contextualSpacing/>
              <w:jc w:val="both"/>
              <w:rPr>
                <w:rFonts w:eastAsia="Calibri"/>
                <w:lang w:eastAsia="en-US"/>
              </w:rPr>
            </w:pPr>
            <w:r w:rsidRPr="00465CA3">
              <w:rPr>
                <w:rFonts w:eastAsia="Calibri"/>
                <w:lang w:eastAsia="en-US"/>
              </w:rPr>
              <w:t xml:space="preserve">20% apliekamajam ienākumam līdz 45 000 </w:t>
            </w:r>
            <w:proofErr w:type="spellStart"/>
            <w:r w:rsidR="005A1D33" w:rsidRPr="005A1D33">
              <w:rPr>
                <w:rFonts w:eastAsia="Calibri"/>
                <w:i/>
                <w:lang w:eastAsia="en-US"/>
              </w:rPr>
              <w:t>euro</w:t>
            </w:r>
            <w:proofErr w:type="spellEnd"/>
            <w:r w:rsidRPr="00465CA3">
              <w:rPr>
                <w:rFonts w:eastAsia="Calibri"/>
                <w:lang w:eastAsia="en-US"/>
              </w:rPr>
              <w:t xml:space="preserve"> gadā;</w:t>
            </w:r>
          </w:p>
          <w:p w14:paraId="3D4EAD8D" w14:textId="5A11B478" w:rsidR="003300C7" w:rsidRPr="00465CA3" w:rsidRDefault="003300C7" w:rsidP="002B129D">
            <w:pPr>
              <w:numPr>
                <w:ilvl w:val="0"/>
                <w:numId w:val="10"/>
              </w:numPr>
              <w:ind w:left="455" w:hanging="284"/>
              <w:contextualSpacing/>
              <w:jc w:val="both"/>
              <w:rPr>
                <w:rFonts w:eastAsia="Calibri"/>
                <w:lang w:eastAsia="en-US"/>
              </w:rPr>
            </w:pPr>
            <w:r w:rsidRPr="00465CA3">
              <w:rPr>
                <w:rFonts w:eastAsia="Calibri"/>
                <w:lang w:eastAsia="en-US"/>
              </w:rPr>
              <w:t>23% apliekamajam ienākumam virs 45 000</w:t>
            </w:r>
            <w:r w:rsidRPr="00465CA3">
              <w:rPr>
                <w:rFonts w:eastAsia="Calibri"/>
                <w:i/>
                <w:lang w:eastAsia="en-US"/>
              </w:rPr>
              <w:t xml:space="preserve"> </w:t>
            </w:r>
            <w:proofErr w:type="spellStart"/>
            <w:r w:rsidR="005A1D33" w:rsidRPr="005A1D33">
              <w:rPr>
                <w:rFonts w:eastAsia="Calibri"/>
                <w:i/>
                <w:lang w:eastAsia="en-US"/>
              </w:rPr>
              <w:t>euro</w:t>
            </w:r>
            <w:proofErr w:type="spellEnd"/>
            <w:r w:rsidRPr="00465CA3">
              <w:rPr>
                <w:rFonts w:eastAsia="Calibri"/>
                <w:lang w:eastAsia="en-US"/>
              </w:rPr>
              <w:t xml:space="preserve"> gadā.</w:t>
            </w:r>
          </w:p>
          <w:p w14:paraId="0E64DA6F" w14:textId="77777777" w:rsidR="003300C7" w:rsidRPr="00465CA3" w:rsidRDefault="003300C7" w:rsidP="002B129D">
            <w:pPr>
              <w:jc w:val="both"/>
              <w:rPr>
                <w:rFonts w:eastAsia="Calibri"/>
                <w:lang w:eastAsia="en-US"/>
              </w:rPr>
            </w:pPr>
            <w:r w:rsidRPr="00465CA3">
              <w:rPr>
                <w:rFonts w:eastAsia="Calibri"/>
                <w:lang w:eastAsia="en-US"/>
              </w:rPr>
              <w:t>Valsts sociālās apdrošināšanas obligāto iemaksu likme – tāda pati kā algas nodokļa maksātājiem</w:t>
            </w:r>
          </w:p>
          <w:p w14:paraId="4E1C907E" w14:textId="77777777" w:rsidR="003300C7" w:rsidRPr="00465CA3" w:rsidRDefault="003300C7" w:rsidP="002B129D">
            <w:pPr>
              <w:pStyle w:val="tv213"/>
              <w:spacing w:before="0" w:beforeAutospacing="0" w:after="0" w:afterAutospacing="0" w:line="293" w:lineRule="atLeast"/>
              <w:ind w:firstLine="300"/>
              <w:jc w:val="both"/>
            </w:pPr>
            <w:r w:rsidRPr="00465CA3">
              <w:t>Fiskālās ietekmes aprēķini ietverti Valsts nodokļu politikas pamatnostādnes 2018.-2021. gadam 1.1. uzdevumā</w:t>
            </w:r>
            <w:r w:rsidRPr="00465CA3">
              <w:rPr>
                <w:b/>
                <w:i/>
              </w:rPr>
              <w:t>.</w:t>
            </w:r>
          </w:p>
          <w:p w14:paraId="38E00625" w14:textId="77777777" w:rsidR="003300C7" w:rsidRPr="00465CA3" w:rsidRDefault="003300C7" w:rsidP="002B129D">
            <w:pPr>
              <w:ind w:firstLine="376"/>
              <w:jc w:val="both"/>
              <w:rPr>
                <w:sz w:val="22"/>
                <w:u w:val="single"/>
              </w:rPr>
            </w:pPr>
          </w:p>
          <w:p w14:paraId="05588127" w14:textId="1E998A6C" w:rsidR="003300C7" w:rsidRPr="00465CA3" w:rsidRDefault="003300C7" w:rsidP="002B129D">
            <w:pPr>
              <w:ind w:firstLine="376"/>
              <w:jc w:val="both"/>
            </w:pPr>
            <w:r w:rsidRPr="00465CA3">
              <w:rPr>
                <w:u w:val="single"/>
              </w:rPr>
              <w:t>Aplikt ar iedzīvotāju ienākuma nodokli, piemērojot nodokļa likmi 20%</w:t>
            </w:r>
            <w:r w:rsidRPr="00465CA3">
              <w:t xml:space="preserve"> (pašreiz neapliek) </w:t>
            </w:r>
            <w:r w:rsidRPr="00465CA3">
              <w:rPr>
                <w:u w:val="single"/>
              </w:rPr>
              <w:t>izložu vai azartspēļu laimestus</w:t>
            </w:r>
            <w:r w:rsidRPr="00465CA3">
              <w:t xml:space="preserve">, kas pārsniedz 3000 </w:t>
            </w:r>
            <w:proofErr w:type="spellStart"/>
            <w:r w:rsidR="005A1D33" w:rsidRPr="005A1D33">
              <w:rPr>
                <w:i/>
              </w:rPr>
              <w:t>euro</w:t>
            </w:r>
            <w:proofErr w:type="spellEnd"/>
            <w:r w:rsidRPr="00465CA3">
              <w:t xml:space="preserve">.  </w:t>
            </w:r>
          </w:p>
          <w:p w14:paraId="2F5F6220" w14:textId="4D90F957" w:rsidR="003300C7" w:rsidRPr="00465CA3" w:rsidRDefault="003300C7" w:rsidP="002B129D">
            <w:pPr>
              <w:pStyle w:val="tv213"/>
              <w:spacing w:before="0" w:beforeAutospacing="0" w:after="0" w:afterAutospacing="0" w:line="293" w:lineRule="atLeast"/>
              <w:ind w:firstLine="300"/>
              <w:jc w:val="both"/>
            </w:pPr>
            <w:r w:rsidRPr="00465CA3">
              <w:t>Fiskālā ietekme uz iedzīvotāju ienākuma nodokļa ieņēmumiem 2018. gadā un turpmāk ik gadu +2,60 milj. </w:t>
            </w:r>
            <w:proofErr w:type="spellStart"/>
            <w:r w:rsidR="005A1D33" w:rsidRPr="005A1D33">
              <w:rPr>
                <w:i/>
              </w:rPr>
              <w:t>euro</w:t>
            </w:r>
            <w:proofErr w:type="spellEnd"/>
            <w:r w:rsidRPr="00465CA3">
              <w:t xml:space="preserve"> (t.sk., valsts budžetā +0,52 milj. </w:t>
            </w:r>
            <w:proofErr w:type="spellStart"/>
            <w:r w:rsidR="005A1D33" w:rsidRPr="005A1D33">
              <w:rPr>
                <w:i/>
              </w:rPr>
              <w:t>euro</w:t>
            </w:r>
            <w:proofErr w:type="spellEnd"/>
            <w:r w:rsidRPr="00465CA3">
              <w:rPr>
                <w:i/>
              </w:rPr>
              <w:t xml:space="preserve"> </w:t>
            </w:r>
            <w:r w:rsidRPr="00465CA3">
              <w:t>un pašvaldību budžetā +2,08 milj. </w:t>
            </w:r>
            <w:proofErr w:type="spellStart"/>
            <w:r w:rsidR="005A1D33" w:rsidRPr="005A1D33">
              <w:rPr>
                <w:i/>
              </w:rPr>
              <w:t>euro</w:t>
            </w:r>
            <w:proofErr w:type="spellEnd"/>
            <w:r w:rsidRPr="00465CA3">
              <w:t>).</w:t>
            </w:r>
          </w:p>
          <w:p w14:paraId="79443EDD" w14:textId="77777777" w:rsidR="003300C7" w:rsidRPr="00465CA3" w:rsidRDefault="003300C7" w:rsidP="002B129D">
            <w:pPr>
              <w:pStyle w:val="tv213"/>
              <w:spacing w:before="0" w:beforeAutospacing="0" w:after="0" w:afterAutospacing="0" w:line="293" w:lineRule="atLeast"/>
              <w:ind w:firstLine="300"/>
              <w:jc w:val="both"/>
            </w:pPr>
          </w:p>
          <w:p w14:paraId="4A2C8AF0" w14:textId="4E3457E1" w:rsidR="003300C7" w:rsidRPr="00465CA3" w:rsidRDefault="003300C7" w:rsidP="002B129D">
            <w:pPr>
              <w:pStyle w:val="tv213"/>
              <w:spacing w:before="0" w:beforeAutospacing="0" w:after="0" w:afterAutospacing="0" w:line="293" w:lineRule="atLeast"/>
              <w:ind w:firstLine="300"/>
              <w:jc w:val="both"/>
              <w:rPr>
                <w:sz w:val="28"/>
              </w:rPr>
            </w:pPr>
            <w:r w:rsidRPr="00465CA3">
              <w:rPr>
                <w:color w:val="000000" w:themeColor="text1"/>
                <w:u w:val="single"/>
              </w:rPr>
              <w:t>Uzlabot patentmaksas režīmu</w:t>
            </w:r>
            <w:r w:rsidRPr="00465CA3">
              <w:rPr>
                <w:color w:val="000000" w:themeColor="text1"/>
              </w:rPr>
              <w:t xml:space="preserve">, nosakot </w:t>
            </w:r>
            <w:r w:rsidRPr="00465CA3">
              <w:t>vienotu patentmaksas apmēru 50 </w:t>
            </w:r>
            <w:proofErr w:type="spellStart"/>
            <w:r w:rsidR="005A1D33" w:rsidRPr="005A1D33">
              <w:rPr>
                <w:i/>
              </w:rPr>
              <w:t>euro</w:t>
            </w:r>
            <w:proofErr w:type="spellEnd"/>
            <w:r w:rsidRPr="00465CA3">
              <w:rPr>
                <w:color w:val="000000" w:themeColor="text1"/>
              </w:rPr>
              <w:t xml:space="preserve"> un 100 </w:t>
            </w:r>
            <w:proofErr w:type="spellStart"/>
            <w:r w:rsidR="005A1D33" w:rsidRPr="005A1D33">
              <w:rPr>
                <w:i/>
                <w:color w:val="000000" w:themeColor="text1"/>
              </w:rPr>
              <w:t>euro</w:t>
            </w:r>
            <w:proofErr w:type="spellEnd"/>
            <w:r w:rsidRPr="00465CA3">
              <w:rPr>
                <w:color w:val="000000" w:themeColor="text1"/>
              </w:rPr>
              <w:t xml:space="preserve"> (pašreiz patentmaksas ir noteiktas no 43 līdz 100 </w:t>
            </w:r>
            <w:proofErr w:type="spellStart"/>
            <w:r w:rsidR="005A1D33" w:rsidRPr="005A1D33">
              <w:rPr>
                <w:i/>
                <w:color w:val="000000" w:themeColor="text1"/>
              </w:rPr>
              <w:t>euro</w:t>
            </w:r>
            <w:proofErr w:type="spellEnd"/>
            <w:r w:rsidRPr="00465CA3">
              <w:rPr>
                <w:color w:val="000000" w:themeColor="text1"/>
              </w:rPr>
              <w:t xml:space="preserve"> atkarībā no sadalījuma pa reģioniem un profesijām), atsakoties no pārāk detalizēta saimnieciskās darbības veidu sadalījuma, kā arī vienkāršojot to samaksu. Piemērot samazinātās patentmaksas režīmu arī personām ar I. un II. grupas invaliditāti.</w:t>
            </w:r>
          </w:p>
          <w:p w14:paraId="29DAED55" w14:textId="7D20F49F" w:rsidR="003300C7" w:rsidRPr="00465CA3" w:rsidRDefault="003300C7" w:rsidP="002B129D">
            <w:pPr>
              <w:pStyle w:val="tv213"/>
              <w:spacing w:before="0" w:beforeAutospacing="0" w:after="0" w:afterAutospacing="0" w:line="293" w:lineRule="atLeast"/>
              <w:ind w:firstLine="300"/>
              <w:jc w:val="both"/>
            </w:pPr>
            <w:r w:rsidRPr="00465CA3">
              <w:t xml:space="preserve">Fiskālās ietekmes aprēķins balstīts uz 2016.gada informāciju par 3,4 tūkst. </w:t>
            </w:r>
            <w:proofErr w:type="spellStart"/>
            <w:r w:rsidRPr="00465CA3">
              <w:t>patentmaksātājiem</w:t>
            </w:r>
            <w:proofErr w:type="spellEnd"/>
            <w:r w:rsidRPr="00465CA3">
              <w:t>, kuru iemaksātā patentmaksa sastādīja 0,9 milj. </w:t>
            </w:r>
            <w:proofErr w:type="spellStart"/>
            <w:r w:rsidR="005A1D33" w:rsidRPr="005A1D33">
              <w:rPr>
                <w:i/>
              </w:rPr>
              <w:t>euro</w:t>
            </w:r>
            <w:proofErr w:type="spellEnd"/>
            <w:r w:rsidRPr="00465CA3">
              <w:t>. Salīdzinot ar 2015. gadu, 2016. gadā ieņēmumi no patentmaksas palielinājušies par 0,2 milj. </w:t>
            </w:r>
            <w:proofErr w:type="spellStart"/>
            <w:r w:rsidR="005A1D33" w:rsidRPr="005A1D33">
              <w:rPr>
                <w:i/>
              </w:rPr>
              <w:t>euro</w:t>
            </w:r>
            <w:proofErr w:type="spellEnd"/>
            <w:r w:rsidRPr="00465CA3">
              <w:t xml:space="preserve"> jeb 38,9% un </w:t>
            </w:r>
            <w:proofErr w:type="spellStart"/>
            <w:r w:rsidRPr="00465CA3">
              <w:t>patentmaksātāju</w:t>
            </w:r>
            <w:proofErr w:type="spellEnd"/>
            <w:r w:rsidRPr="00465CA3">
              <w:t xml:space="preserve"> skaits palielinājies par 1,1 tūkst. jeb 49,3%. Aprēķinos ņemts vērā, ka patentmaksa 2018. gadā un turpmāk būs 50 </w:t>
            </w:r>
            <w:proofErr w:type="spellStart"/>
            <w:r w:rsidR="005A1D33" w:rsidRPr="005A1D33">
              <w:rPr>
                <w:i/>
              </w:rPr>
              <w:t>euro</w:t>
            </w:r>
            <w:proofErr w:type="spellEnd"/>
            <w:r w:rsidRPr="00465CA3">
              <w:t xml:space="preserve"> un 100 </w:t>
            </w:r>
            <w:proofErr w:type="spellStart"/>
            <w:r w:rsidR="005A1D33" w:rsidRPr="005A1D33">
              <w:rPr>
                <w:i/>
              </w:rPr>
              <w:t>euro</w:t>
            </w:r>
            <w:proofErr w:type="spellEnd"/>
            <w:r w:rsidRPr="00465CA3">
              <w:t xml:space="preserve"> mēnesī.</w:t>
            </w:r>
          </w:p>
          <w:p w14:paraId="4ECFAF0B" w14:textId="2F3DBC14" w:rsidR="003300C7" w:rsidRPr="00465CA3" w:rsidRDefault="003300C7" w:rsidP="002B129D">
            <w:pPr>
              <w:pStyle w:val="tv213"/>
              <w:spacing w:before="0" w:beforeAutospacing="0" w:after="0" w:afterAutospacing="0" w:line="293" w:lineRule="atLeast"/>
              <w:ind w:firstLine="300"/>
              <w:jc w:val="both"/>
            </w:pPr>
            <w:r w:rsidRPr="00465CA3">
              <w:t>Fiskālā ietekme 2018. gadā un turpmāk ik gadu +1,0 milj. </w:t>
            </w:r>
            <w:proofErr w:type="spellStart"/>
            <w:r w:rsidR="005A1D33" w:rsidRPr="005A1D33">
              <w:rPr>
                <w:i/>
              </w:rPr>
              <w:t>euro</w:t>
            </w:r>
            <w:proofErr w:type="spellEnd"/>
            <w:r w:rsidRPr="00465CA3">
              <w:t xml:space="preserve"> (t.sk., pašvaldību budžetā +0,33 milj. </w:t>
            </w:r>
            <w:proofErr w:type="spellStart"/>
            <w:r w:rsidR="005A1D33" w:rsidRPr="005A1D33">
              <w:rPr>
                <w:i/>
              </w:rPr>
              <w:t>euro</w:t>
            </w:r>
            <w:proofErr w:type="spellEnd"/>
            <w:r w:rsidRPr="00465CA3">
              <w:rPr>
                <w:i/>
              </w:rPr>
              <w:t xml:space="preserve"> </w:t>
            </w:r>
            <w:r w:rsidRPr="00465CA3">
              <w:t>un valsts speciālajā budžetā +0,67 milj. </w:t>
            </w:r>
            <w:proofErr w:type="spellStart"/>
            <w:r w:rsidR="005A1D33" w:rsidRPr="005A1D33">
              <w:rPr>
                <w:i/>
              </w:rPr>
              <w:t>euro</w:t>
            </w:r>
            <w:proofErr w:type="spellEnd"/>
            <w:r w:rsidRPr="00465CA3">
              <w:t>).</w:t>
            </w:r>
          </w:p>
          <w:p w14:paraId="107B18AF" w14:textId="77777777" w:rsidR="003300C7" w:rsidRPr="00465CA3" w:rsidRDefault="003300C7" w:rsidP="002B129D">
            <w:pPr>
              <w:pStyle w:val="tv213"/>
              <w:spacing w:before="0" w:beforeAutospacing="0" w:after="0" w:afterAutospacing="0" w:line="293" w:lineRule="atLeast"/>
              <w:ind w:firstLine="300"/>
              <w:jc w:val="both"/>
            </w:pPr>
          </w:p>
          <w:p w14:paraId="5D6EA353" w14:textId="77777777" w:rsidR="003300C7" w:rsidRPr="00465CA3" w:rsidRDefault="003300C7" w:rsidP="002B129D">
            <w:pPr>
              <w:pStyle w:val="tv213"/>
              <w:spacing w:before="0" w:beforeAutospacing="0" w:after="0" w:afterAutospacing="0" w:line="293" w:lineRule="atLeast"/>
              <w:ind w:firstLine="300"/>
              <w:jc w:val="both"/>
            </w:pPr>
            <w:r w:rsidRPr="00465CA3">
              <w:t xml:space="preserve">Fiskālās ietekmes no iedzīvotāju ienākuma nodokļa likmes piemērošanas 20% apmērā </w:t>
            </w:r>
            <w:r w:rsidRPr="00465CA3">
              <w:rPr>
                <w:iCs/>
              </w:rPr>
              <w:t xml:space="preserve">dividendēm </w:t>
            </w:r>
            <w:r w:rsidRPr="00465CA3">
              <w:t>ietverta l</w:t>
            </w:r>
            <w:r w:rsidRPr="00465CA3">
              <w:rPr>
                <w:rFonts w:eastAsia="Calibri"/>
                <w:bCs/>
                <w:lang w:eastAsia="x-none"/>
              </w:rPr>
              <w:t xml:space="preserve">ikumprojekta „Grozījumi likumā „Par </w:t>
            </w:r>
            <w:r w:rsidRPr="00465CA3">
              <w:rPr>
                <w:rFonts w:eastAsia="Calibri"/>
                <w:bCs/>
                <w:lang w:eastAsia="x-none"/>
              </w:rPr>
              <w:lastRenderedPageBreak/>
              <w:t>uzņēmumu ienākuma nodokli”” sākotnējās ietekmes novērtējuma ziņojumā (anotācijā)</w:t>
            </w:r>
            <w:r w:rsidRPr="00465CA3">
              <w:t>).</w:t>
            </w:r>
          </w:p>
          <w:p w14:paraId="787C985E" w14:textId="77777777" w:rsidR="003300C7" w:rsidRPr="00465CA3" w:rsidRDefault="003300C7" w:rsidP="002B129D">
            <w:pPr>
              <w:pStyle w:val="tv213"/>
              <w:spacing w:before="0" w:beforeAutospacing="0" w:after="0" w:afterAutospacing="0" w:line="293" w:lineRule="atLeast"/>
              <w:ind w:firstLine="300"/>
              <w:jc w:val="both"/>
              <w:rPr>
                <w:rFonts w:eastAsiaTheme="minorHAnsi"/>
              </w:rPr>
            </w:pPr>
          </w:p>
          <w:p w14:paraId="5EEE3998" w14:textId="3DF51E9F" w:rsidR="00765868" w:rsidRPr="00465CA3" w:rsidRDefault="003300C7" w:rsidP="00BB29C8">
            <w:pPr>
              <w:pStyle w:val="tv213"/>
              <w:spacing w:before="0" w:beforeAutospacing="0" w:after="0" w:afterAutospacing="0" w:line="293" w:lineRule="atLeast"/>
              <w:ind w:firstLine="300"/>
              <w:jc w:val="both"/>
            </w:pPr>
            <w:r w:rsidRPr="00465CA3">
              <w:rPr>
                <w:rFonts w:eastAsiaTheme="minorHAnsi"/>
              </w:rPr>
              <w:t>Fiskālā ietekme tiks iekļauta nodokļu ieņēmumu prognozēs, sagatavojot likumprojektu “Par vidēja termiņa budžeta ietvaru 2018., 2019. un 2020. gadam”.</w:t>
            </w:r>
          </w:p>
        </w:tc>
      </w:tr>
      <w:tr w:rsidR="003300C7" w:rsidRPr="00465CA3" w14:paraId="453DD31C"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33C3AF91" w14:textId="77777777" w:rsidR="003300C7" w:rsidRPr="00465CA3" w:rsidRDefault="003300C7" w:rsidP="002B129D">
            <w:pPr>
              <w:rPr>
                <w:color w:val="000000"/>
              </w:rPr>
            </w:pPr>
            <w:r w:rsidRPr="00465CA3">
              <w:rPr>
                <w:color w:val="000000"/>
              </w:rPr>
              <w:lastRenderedPageBreak/>
              <w:t>6.2. detalizēts izdevumu aprēķins</w:t>
            </w:r>
          </w:p>
        </w:tc>
        <w:tc>
          <w:tcPr>
            <w:tcW w:w="3773" w:type="pct"/>
            <w:gridSpan w:val="5"/>
            <w:tcBorders>
              <w:top w:val="single" w:sz="4" w:space="0" w:color="auto"/>
              <w:left w:val="single" w:sz="4" w:space="0" w:color="auto"/>
              <w:bottom w:val="single" w:sz="4" w:space="0" w:color="auto"/>
              <w:right w:val="single" w:sz="4" w:space="0" w:color="auto"/>
            </w:tcBorders>
          </w:tcPr>
          <w:p w14:paraId="75331F1F" w14:textId="77777777" w:rsidR="003300C7" w:rsidRPr="00465CA3" w:rsidRDefault="003300C7" w:rsidP="002B129D">
            <w:pPr>
              <w:jc w:val="both"/>
              <w:rPr>
                <w:color w:val="000000"/>
              </w:rPr>
            </w:pPr>
            <w:r w:rsidRPr="00465CA3">
              <w:rPr>
                <w:color w:val="000000"/>
              </w:rPr>
              <w:t>Projekts šo jomu neskar.</w:t>
            </w:r>
          </w:p>
        </w:tc>
      </w:tr>
      <w:tr w:rsidR="003300C7" w:rsidRPr="00465CA3" w14:paraId="425EC195" w14:textId="77777777" w:rsidTr="00D50EA7">
        <w:tc>
          <w:tcPr>
            <w:tcW w:w="1227" w:type="pct"/>
            <w:tcBorders>
              <w:top w:val="single" w:sz="4" w:space="0" w:color="auto"/>
              <w:left w:val="single" w:sz="4" w:space="0" w:color="auto"/>
              <w:bottom w:val="single" w:sz="4" w:space="0" w:color="auto"/>
              <w:right w:val="single" w:sz="4" w:space="0" w:color="auto"/>
            </w:tcBorders>
            <w:hideMark/>
          </w:tcPr>
          <w:p w14:paraId="6FD8B3E8" w14:textId="77777777" w:rsidR="003300C7" w:rsidRPr="00465CA3" w:rsidRDefault="003300C7" w:rsidP="002B129D">
            <w:pPr>
              <w:rPr>
                <w:color w:val="000000"/>
              </w:rPr>
            </w:pPr>
            <w:r w:rsidRPr="00465CA3">
              <w:rPr>
                <w:color w:val="000000"/>
              </w:rPr>
              <w:t>7. Cita informācija</w:t>
            </w:r>
          </w:p>
        </w:tc>
        <w:tc>
          <w:tcPr>
            <w:tcW w:w="3773" w:type="pct"/>
            <w:gridSpan w:val="5"/>
            <w:tcBorders>
              <w:top w:val="single" w:sz="4" w:space="0" w:color="auto"/>
              <w:left w:val="single" w:sz="4" w:space="0" w:color="auto"/>
              <w:bottom w:val="single" w:sz="4" w:space="0" w:color="auto"/>
              <w:right w:val="single" w:sz="4" w:space="0" w:color="auto"/>
            </w:tcBorders>
          </w:tcPr>
          <w:p w14:paraId="677ACA35" w14:textId="3239FF0A" w:rsidR="003300C7" w:rsidRPr="00465CA3" w:rsidRDefault="003300C7" w:rsidP="002B129D">
            <w:pPr>
              <w:jc w:val="both"/>
              <w:rPr>
                <w:u w:val="single"/>
              </w:rPr>
            </w:pPr>
            <w:r w:rsidRPr="00465CA3">
              <w:rPr>
                <w:u w:val="single"/>
              </w:rPr>
              <w:t>Papildus informējam, ka, ieviešot Valsts nodokļu politikas pamatnostādnēs 2018.-2021. gadam, paredzētās darba spēka nodokļu un uzņēmuma ienākuma nodokļa reformas, tiek prognozēts, ka iepriekš minētās reformas radīs atgriezenisko efektu un veicinās ekonomisko izaugsmi. 2018. gadā +75,750 milj. </w:t>
            </w:r>
            <w:proofErr w:type="spellStart"/>
            <w:r w:rsidR="005A1D33" w:rsidRPr="005A1D33">
              <w:rPr>
                <w:i/>
                <w:u w:val="single"/>
              </w:rPr>
              <w:t>euro</w:t>
            </w:r>
            <w:proofErr w:type="spellEnd"/>
            <w:r w:rsidRPr="00465CA3">
              <w:rPr>
                <w:u w:val="single"/>
              </w:rPr>
              <w:t xml:space="preserve"> (t.sk., valsts pamatbudžetā +36,100 milj. </w:t>
            </w:r>
            <w:proofErr w:type="spellStart"/>
            <w:r w:rsidR="005A1D33" w:rsidRPr="005A1D33">
              <w:rPr>
                <w:i/>
                <w:u w:val="single"/>
              </w:rPr>
              <w:t>euro</w:t>
            </w:r>
            <w:proofErr w:type="spellEnd"/>
            <w:r w:rsidRPr="00465CA3">
              <w:rPr>
                <w:i/>
                <w:u w:val="single"/>
              </w:rPr>
              <w:t>,</w:t>
            </w:r>
            <w:r w:rsidRPr="00465CA3">
              <w:rPr>
                <w:u w:val="single"/>
              </w:rPr>
              <w:t xml:space="preserve"> pašvaldību budžetā +12,200 milj. </w:t>
            </w:r>
            <w:proofErr w:type="spellStart"/>
            <w:r w:rsidR="005A1D33" w:rsidRPr="005A1D33">
              <w:rPr>
                <w:i/>
                <w:u w:val="single"/>
              </w:rPr>
              <w:t>euro</w:t>
            </w:r>
            <w:proofErr w:type="spellEnd"/>
            <w:r w:rsidRPr="00465CA3">
              <w:rPr>
                <w:i/>
                <w:u w:val="single"/>
              </w:rPr>
              <w:t xml:space="preserve">, </w:t>
            </w:r>
            <w:r w:rsidRPr="00465CA3">
              <w:rPr>
                <w:u w:val="single"/>
              </w:rPr>
              <w:t>valsts speciālajā budžetā +22,619 milj. </w:t>
            </w:r>
            <w:proofErr w:type="spellStart"/>
            <w:r w:rsidR="005A1D33" w:rsidRPr="005A1D33">
              <w:rPr>
                <w:i/>
                <w:u w:val="single"/>
              </w:rPr>
              <w:t>euro</w:t>
            </w:r>
            <w:proofErr w:type="spellEnd"/>
            <w:r w:rsidRPr="00465CA3">
              <w:rPr>
                <w:u w:val="single"/>
              </w:rPr>
              <w:t xml:space="preserve"> un valsts </w:t>
            </w:r>
            <w:proofErr w:type="spellStart"/>
            <w:r w:rsidRPr="00465CA3">
              <w:rPr>
                <w:u w:val="single"/>
              </w:rPr>
              <w:t>fondēto</w:t>
            </w:r>
            <w:proofErr w:type="spellEnd"/>
            <w:r w:rsidRPr="00465CA3">
              <w:rPr>
                <w:u w:val="single"/>
              </w:rPr>
              <w:t xml:space="preserve"> pensiju shēmā +4,831 milj. </w:t>
            </w:r>
            <w:proofErr w:type="spellStart"/>
            <w:r w:rsidR="005A1D33" w:rsidRPr="005A1D33">
              <w:rPr>
                <w:i/>
                <w:u w:val="single"/>
              </w:rPr>
              <w:t>euro</w:t>
            </w:r>
            <w:proofErr w:type="spellEnd"/>
            <w:r w:rsidRPr="00465CA3">
              <w:rPr>
                <w:u w:val="single"/>
              </w:rPr>
              <w:t>), 2019. gadā +118,460 milj. </w:t>
            </w:r>
            <w:proofErr w:type="spellStart"/>
            <w:r w:rsidR="005A1D33" w:rsidRPr="005A1D33">
              <w:rPr>
                <w:i/>
                <w:u w:val="single"/>
              </w:rPr>
              <w:t>euro</w:t>
            </w:r>
            <w:proofErr w:type="spellEnd"/>
            <w:r w:rsidRPr="00465CA3">
              <w:rPr>
                <w:u w:val="single"/>
              </w:rPr>
              <w:t xml:space="preserve"> (t.sk., valsts pamatbudžetā +59,300 milj. </w:t>
            </w:r>
            <w:proofErr w:type="spellStart"/>
            <w:r w:rsidR="005A1D33" w:rsidRPr="005A1D33">
              <w:rPr>
                <w:i/>
                <w:u w:val="single"/>
              </w:rPr>
              <w:t>euro</w:t>
            </w:r>
            <w:proofErr w:type="spellEnd"/>
            <w:r w:rsidRPr="00465CA3">
              <w:rPr>
                <w:i/>
                <w:u w:val="single"/>
              </w:rPr>
              <w:t>,</w:t>
            </w:r>
            <w:r w:rsidRPr="00465CA3">
              <w:rPr>
                <w:u w:val="single"/>
              </w:rPr>
              <w:t xml:space="preserve"> pašvaldību budžetā +18,900 milj. </w:t>
            </w:r>
            <w:proofErr w:type="spellStart"/>
            <w:r w:rsidR="005A1D33" w:rsidRPr="005A1D33">
              <w:rPr>
                <w:i/>
                <w:u w:val="single"/>
              </w:rPr>
              <w:t>euro</w:t>
            </w:r>
            <w:proofErr w:type="spellEnd"/>
            <w:r w:rsidRPr="00465CA3">
              <w:rPr>
                <w:i/>
                <w:u w:val="single"/>
              </w:rPr>
              <w:t xml:space="preserve"> </w:t>
            </w:r>
            <w:r w:rsidRPr="00465CA3">
              <w:rPr>
                <w:u w:val="single"/>
              </w:rPr>
              <w:t>valsts speciālajā budžetā +33,174 milj. </w:t>
            </w:r>
            <w:proofErr w:type="spellStart"/>
            <w:r w:rsidR="005A1D33" w:rsidRPr="005A1D33">
              <w:rPr>
                <w:i/>
                <w:u w:val="single"/>
              </w:rPr>
              <w:t>euro</w:t>
            </w:r>
            <w:proofErr w:type="spellEnd"/>
            <w:r w:rsidRPr="00465CA3">
              <w:rPr>
                <w:u w:val="single"/>
              </w:rPr>
              <w:t xml:space="preserve"> un valsts </w:t>
            </w:r>
            <w:proofErr w:type="spellStart"/>
            <w:r w:rsidRPr="00465CA3">
              <w:rPr>
                <w:u w:val="single"/>
              </w:rPr>
              <w:t>fondēto</w:t>
            </w:r>
            <w:proofErr w:type="spellEnd"/>
            <w:r w:rsidRPr="00465CA3">
              <w:rPr>
                <w:u w:val="single"/>
              </w:rPr>
              <w:t xml:space="preserve"> pensiju shēmā +7,086 milj. </w:t>
            </w:r>
            <w:proofErr w:type="spellStart"/>
            <w:r w:rsidR="005A1D33" w:rsidRPr="005A1D33">
              <w:rPr>
                <w:i/>
                <w:u w:val="single"/>
              </w:rPr>
              <w:t>euro</w:t>
            </w:r>
            <w:proofErr w:type="spellEnd"/>
            <w:r w:rsidRPr="00465CA3">
              <w:rPr>
                <w:u w:val="single"/>
              </w:rPr>
              <w:t>), 2020. gadā +233,456 milj. </w:t>
            </w:r>
            <w:proofErr w:type="spellStart"/>
            <w:r w:rsidR="005A1D33" w:rsidRPr="005A1D33">
              <w:rPr>
                <w:i/>
                <w:u w:val="single"/>
              </w:rPr>
              <w:t>euro</w:t>
            </w:r>
            <w:proofErr w:type="spellEnd"/>
            <w:r w:rsidRPr="00465CA3">
              <w:rPr>
                <w:u w:val="single"/>
              </w:rPr>
              <w:t xml:space="preserve"> (t.sk., valsts pamatbudžetā +113,600 milj. </w:t>
            </w:r>
            <w:proofErr w:type="spellStart"/>
            <w:r w:rsidR="005A1D33" w:rsidRPr="005A1D33">
              <w:rPr>
                <w:i/>
                <w:u w:val="single"/>
              </w:rPr>
              <w:t>euro</w:t>
            </w:r>
            <w:proofErr w:type="spellEnd"/>
            <w:r w:rsidRPr="00465CA3">
              <w:rPr>
                <w:i/>
                <w:u w:val="single"/>
              </w:rPr>
              <w:t>,</w:t>
            </w:r>
            <w:r w:rsidRPr="00465CA3">
              <w:rPr>
                <w:u w:val="single"/>
              </w:rPr>
              <w:t xml:space="preserve"> pašvaldību budžetā +37,500 milj. </w:t>
            </w:r>
            <w:proofErr w:type="spellStart"/>
            <w:r w:rsidR="005A1D33" w:rsidRPr="005A1D33">
              <w:rPr>
                <w:i/>
                <w:u w:val="single"/>
              </w:rPr>
              <w:t>euro</w:t>
            </w:r>
            <w:proofErr w:type="spellEnd"/>
            <w:r w:rsidRPr="00465CA3">
              <w:rPr>
                <w:i/>
                <w:u w:val="single"/>
              </w:rPr>
              <w:t xml:space="preserve"> </w:t>
            </w:r>
            <w:r w:rsidRPr="00465CA3">
              <w:rPr>
                <w:u w:val="single"/>
              </w:rPr>
              <w:t>valsts speciālajā budžetā +67,856 milj. </w:t>
            </w:r>
            <w:proofErr w:type="spellStart"/>
            <w:r w:rsidR="005A1D33" w:rsidRPr="005A1D33">
              <w:rPr>
                <w:i/>
                <w:u w:val="single"/>
              </w:rPr>
              <w:t>euro</w:t>
            </w:r>
            <w:proofErr w:type="spellEnd"/>
            <w:r w:rsidRPr="00465CA3">
              <w:rPr>
                <w:u w:val="single"/>
              </w:rPr>
              <w:t xml:space="preserve"> un valsts </w:t>
            </w:r>
            <w:proofErr w:type="spellStart"/>
            <w:r w:rsidRPr="00465CA3">
              <w:rPr>
                <w:u w:val="single"/>
              </w:rPr>
              <w:t>fondēto</w:t>
            </w:r>
            <w:proofErr w:type="spellEnd"/>
            <w:r w:rsidRPr="00465CA3">
              <w:rPr>
                <w:u w:val="single"/>
              </w:rPr>
              <w:t xml:space="preserve"> pensiju shēmā +14,500 milj. </w:t>
            </w:r>
            <w:proofErr w:type="spellStart"/>
            <w:r w:rsidR="005A1D33" w:rsidRPr="005A1D33">
              <w:rPr>
                <w:i/>
                <w:u w:val="single"/>
              </w:rPr>
              <w:t>euro</w:t>
            </w:r>
            <w:proofErr w:type="spellEnd"/>
            <w:r w:rsidRPr="00465CA3">
              <w:rPr>
                <w:u w:val="single"/>
              </w:rPr>
              <w:t>).</w:t>
            </w:r>
          </w:p>
          <w:p w14:paraId="6CAC4811" w14:textId="77777777" w:rsidR="003300C7" w:rsidRPr="00465CA3" w:rsidRDefault="003300C7" w:rsidP="002B129D">
            <w:pPr>
              <w:jc w:val="both"/>
              <w:rPr>
                <w:u w:val="single"/>
              </w:rPr>
            </w:pPr>
          </w:p>
          <w:p w14:paraId="285594D6" w14:textId="77777777" w:rsidR="003300C7" w:rsidRPr="00465CA3" w:rsidRDefault="003300C7" w:rsidP="002B129D">
            <w:pPr>
              <w:pStyle w:val="tv213"/>
              <w:spacing w:before="0" w:beforeAutospacing="0" w:after="0" w:afterAutospacing="0" w:line="293" w:lineRule="atLeast"/>
              <w:ind w:firstLine="301"/>
              <w:jc w:val="both"/>
            </w:pPr>
            <w:r w:rsidRPr="00465CA3">
              <w:t xml:space="preserve">        Nepieciešamo izmaiņu iestrādei Valsts ieņēmumu dienesta informācijas sistēmās 2018.gadā nepieciešams finansējums Finanšu ministrijas budžeta programmā 33.00.00 “Valsts ieņēmumu un muitas politikas nodrošināšana” 354 286 EUR apjomā, tajā skaitā:</w:t>
            </w:r>
          </w:p>
          <w:p w14:paraId="763B9581" w14:textId="11A267C8" w:rsidR="003300C7" w:rsidRPr="00465CA3" w:rsidRDefault="003300C7" w:rsidP="002B129D">
            <w:pPr>
              <w:pStyle w:val="tv213"/>
              <w:spacing w:before="0" w:beforeAutospacing="0" w:after="0" w:afterAutospacing="0" w:line="293" w:lineRule="atLeast"/>
              <w:ind w:firstLine="301"/>
              <w:jc w:val="both"/>
            </w:pPr>
            <w:r w:rsidRPr="00465CA3">
              <w:t>•</w:t>
            </w:r>
            <w:r w:rsidRPr="00465CA3">
              <w:tab/>
              <w:t>Nodokļu informācijas sistēmā – 190</w:t>
            </w:r>
            <w:r w:rsidR="00A810BA">
              <w:t> </w:t>
            </w:r>
            <w:r w:rsidRPr="00465CA3">
              <w:t>541</w:t>
            </w:r>
            <w:r w:rsidR="00A810BA">
              <w:t xml:space="preserve"> </w:t>
            </w:r>
            <w:proofErr w:type="spellStart"/>
            <w:r w:rsidR="005A1D33" w:rsidRPr="005A1D33">
              <w:rPr>
                <w:i/>
              </w:rPr>
              <w:t>euro</w:t>
            </w:r>
            <w:proofErr w:type="spellEnd"/>
            <w:r w:rsidRPr="00465CA3">
              <w:t>;</w:t>
            </w:r>
          </w:p>
          <w:p w14:paraId="66E365CE" w14:textId="6543D50F" w:rsidR="003300C7" w:rsidRPr="00465CA3" w:rsidRDefault="003300C7" w:rsidP="002B129D">
            <w:pPr>
              <w:pStyle w:val="tv213"/>
              <w:spacing w:before="0" w:beforeAutospacing="0" w:after="0" w:afterAutospacing="0" w:line="293" w:lineRule="atLeast"/>
              <w:ind w:firstLine="301"/>
              <w:jc w:val="both"/>
            </w:pPr>
            <w:r w:rsidRPr="00465CA3">
              <w:t>•</w:t>
            </w:r>
            <w:r w:rsidRPr="00465CA3">
              <w:tab/>
              <w:t>Elektroniskās deklarēšanas sistēmā – 56</w:t>
            </w:r>
            <w:r w:rsidR="00A810BA">
              <w:t> </w:t>
            </w:r>
            <w:r w:rsidRPr="00465CA3">
              <w:t>042</w:t>
            </w:r>
            <w:r w:rsidR="00A810BA">
              <w:t xml:space="preserve"> </w:t>
            </w:r>
            <w:proofErr w:type="spellStart"/>
            <w:r w:rsidR="005A1D33" w:rsidRPr="005A1D33">
              <w:rPr>
                <w:i/>
              </w:rPr>
              <w:t>euro</w:t>
            </w:r>
            <w:proofErr w:type="spellEnd"/>
            <w:r w:rsidRPr="00465CA3">
              <w:t>;</w:t>
            </w:r>
          </w:p>
          <w:p w14:paraId="3CC57810" w14:textId="3093661F" w:rsidR="003300C7" w:rsidRPr="00465CA3" w:rsidRDefault="003300C7" w:rsidP="002B129D">
            <w:pPr>
              <w:pStyle w:val="tv213"/>
              <w:spacing w:before="0" w:beforeAutospacing="0" w:after="0" w:afterAutospacing="0" w:line="293" w:lineRule="atLeast"/>
              <w:ind w:firstLine="301"/>
              <w:jc w:val="both"/>
            </w:pPr>
            <w:r w:rsidRPr="00465CA3">
              <w:t>•</w:t>
            </w:r>
            <w:r w:rsidRPr="00465CA3">
              <w:tab/>
              <w:t xml:space="preserve">Datu noliktavas sistēmā – 74 722 </w:t>
            </w:r>
            <w:proofErr w:type="spellStart"/>
            <w:r w:rsidR="005A1D33" w:rsidRPr="005A1D33">
              <w:rPr>
                <w:i/>
              </w:rPr>
              <w:t>euro</w:t>
            </w:r>
            <w:proofErr w:type="spellEnd"/>
            <w:r w:rsidRPr="00465CA3">
              <w:t>;</w:t>
            </w:r>
          </w:p>
          <w:p w14:paraId="7E9BCAAF" w14:textId="1965EF16" w:rsidR="003300C7" w:rsidRPr="00465CA3" w:rsidRDefault="003300C7" w:rsidP="002B129D">
            <w:pPr>
              <w:pStyle w:val="tv213"/>
              <w:spacing w:before="0" w:beforeAutospacing="0" w:after="0" w:afterAutospacing="0" w:line="293" w:lineRule="atLeast"/>
              <w:ind w:firstLine="301"/>
              <w:jc w:val="both"/>
            </w:pPr>
            <w:r w:rsidRPr="00465CA3">
              <w:t>•</w:t>
            </w:r>
            <w:r w:rsidRPr="00465CA3">
              <w:tab/>
              <w:t xml:space="preserve">Audita atbalsta informācijas sistēmā – 18 681 </w:t>
            </w:r>
            <w:proofErr w:type="spellStart"/>
            <w:r w:rsidR="005A1D33" w:rsidRPr="005A1D33">
              <w:rPr>
                <w:i/>
              </w:rPr>
              <w:t>euro</w:t>
            </w:r>
            <w:proofErr w:type="spellEnd"/>
            <w:r w:rsidRPr="00465CA3">
              <w:t>;</w:t>
            </w:r>
          </w:p>
          <w:p w14:paraId="39BBA9B7" w14:textId="5401CEBB" w:rsidR="003300C7" w:rsidRPr="00465CA3" w:rsidRDefault="003300C7" w:rsidP="002B129D">
            <w:pPr>
              <w:jc w:val="both"/>
              <w:rPr>
                <w:color w:val="000000"/>
                <w:u w:val="single"/>
              </w:rPr>
            </w:pPr>
            <w:r w:rsidRPr="00465CA3">
              <w:t>•</w:t>
            </w:r>
            <w:r w:rsidRPr="00465CA3">
              <w:tab/>
              <w:t xml:space="preserve">VID informācijas sistēmu </w:t>
            </w:r>
            <w:proofErr w:type="spellStart"/>
            <w:r w:rsidRPr="00465CA3">
              <w:t>savietotājā</w:t>
            </w:r>
            <w:proofErr w:type="spellEnd"/>
            <w:r w:rsidRPr="00465CA3">
              <w:t xml:space="preserve"> – 14 300 </w:t>
            </w:r>
            <w:proofErr w:type="spellStart"/>
            <w:r w:rsidR="005A1D33" w:rsidRPr="005A1D33">
              <w:rPr>
                <w:i/>
              </w:rPr>
              <w:t>euro</w:t>
            </w:r>
            <w:proofErr w:type="spellEnd"/>
            <w:r w:rsidRPr="00465CA3">
              <w:rPr>
                <w:u w:val="single"/>
              </w:rPr>
              <w:t>.</w:t>
            </w:r>
          </w:p>
          <w:p w14:paraId="6F6A9AFC" w14:textId="77777777" w:rsidR="003300C7" w:rsidRPr="00465CA3" w:rsidRDefault="003300C7" w:rsidP="002B129D">
            <w:pPr>
              <w:jc w:val="both"/>
              <w:rPr>
                <w:color w:val="000000"/>
              </w:rPr>
            </w:pPr>
            <w:r w:rsidRPr="00465CA3">
              <w:rPr>
                <w:color w:val="000000"/>
              </w:rPr>
              <w:t xml:space="preserve">Finanšu ministrija ir iesniegusi prioritārā pasākuma pieteikumu “Valsts nodokļu politikas pamatnostādņu 2018.-2021.gadam ieviešana Valsts ieņēmumu dienestā”, kura finansējuma ietvaros tiktu nodrošinātas nepieciešamās izmaiņas Valsts ieņēmumu dienesta informācijas sistēmās. </w:t>
            </w:r>
          </w:p>
          <w:p w14:paraId="67C896A7" w14:textId="77777777" w:rsidR="003300C7" w:rsidRPr="00465CA3" w:rsidRDefault="003300C7" w:rsidP="002B129D">
            <w:pPr>
              <w:jc w:val="both"/>
              <w:rPr>
                <w:color w:val="000000"/>
              </w:rPr>
            </w:pPr>
            <w:r w:rsidRPr="00465CA3">
              <w:rPr>
                <w:color w:val="000000"/>
              </w:rPr>
              <w:t>Jautājums par papildu finansējumu izmaiņu realizācijai Valsts ieņēmumu dienesta informācijas sistēmās skatāms likumprojekta “Par valsts budžetu 2018.gadam” un likumprojekta “Par vidējā termiņa budžeta ietvaru 2018., 2019. un 2020.gadam” sagatavošanas procesā, ņemot vērā budžeta finansiālās iespējas.</w:t>
            </w:r>
          </w:p>
          <w:p w14:paraId="15486E18" w14:textId="77777777" w:rsidR="003300C7" w:rsidRPr="00465CA3" w:rsidRDefault="003300C7" w:rsidP="002B129D">
            <w:pPr>
              <w:pStyle w:val="tv213"/>
              <w:spacing w:before="0" w:beforeAutospacing="0" w:after="0" w:afterAutospacing="0"/>
              <w:jc w:val="both"/>
              <w:rPr>
                <w:color w:val="000000"/>
              </w:rPr>
            </w:pPr>
          </w:p>
          <w:p w14:paraId="16B45800" w14:textId="77777777" w:rsidR="003300C7" w:rsidRPr="00465CA3" w:rsidRDefault="003300C7" w:rsidP="002B129D">
            <w:pPr>
              <w:pStyle w:val="tv213"/>
              <w:tabs>
                <w:tab w:val="left" w:pos="0"/>
              </w:tabs>
              <w:spacing w:before="0" w:beforeAutospacing="0" w:after="0" w:afterAutospacing="0"/>
              <w:jc w:val="both"/>
              <w:rPr>
                <w:rFonts w:eastAsia="Calibri"/>
              </w:rPr>
            </w:pPr>
            <w:r w:rsidRPr="00465CA3">
              <w:rPr>
                <w:color w:val="000000"/>
              </w:rPr>
              <w:t xml:space="preserve">Labklājības ministrija norāda, ka </w:t>
            </w:r>
            <w:r w:rsidRPr="00465CA3">
              <w:rPr>
                <w:rFonts w:eastAsia="Calibri"/>
              </w:rPr>
              <w:t xml:space="preserve">likumprojektā paredzētās izmaiņas VSAA varēs realizēt trīs mēnešu laikā pēc normu spēkā stāšanās, bet attiecībā par maksātājam piemērojamo prognozēto mēneša neapliekamā minimumu slimības pabalstam – trīs mēnešu laikā pēc vienošanās ar Valsts ieņēmumu dienestu. </w:t>
            </w:r>
          </w:p>
          <w:p w14:paraId="1FA0C434" w14:textId="77777777" w:rsidR="003300C7" w:rsidRPr="00465CA3" w:rsidRDefault="003300C7" w:rsidP="002B129D">
            <w:pPr>
              <w:jc w:val="both"/>
            </w:pPr>
            <w:r w:rsidRPr="00465CA3">
              <w:t>Šo grozījumu rezultātā papildus izdevumi informāciju sistēmu izmaiņām sastāda 27 000 eiro, kas 2017.gadā nepieciešami VSAA budžetā, jo pašlaik 2017.gadā izstrādei pieejamie līdzekļi ir pilnībā saplānoti.</w:t>
            </w:r>
          </w:p>
          <w:p w14:paraId="7593CE50" w14:textId="6550622C" w:rsidR="00765868" w:rsidRPr="00465CA3" w:rsidRDefault="003300C7" w:rsidP="00BB29C8">
            <w:pPr>
              <w:jc w:val="both"/>
              <w:rPr>
                <w:color w:val="000000"/>
              </w:rPr>
            </w:pPr>
            <w:r w:rsidRPr="00465CA3">
              <w:lastRenderedPageBreak/>
              <w:t xml:space="preserve">Lai nodrošinātu izmaiņu veikšanu Valsts sociālās apdrošināšanas aģentūras informāciju sistēmā, Labklājības ministrija iesniegs Finanšu ministrijā priekšlikumu par apropriācijas palielināšanu 2017.gadam Labklājības ministrijas speciālā budžeta apakšprogrammā 04.05.00. “Valsts sociālās apdrošināšanas speciālais budžets” 27 000 </w:t>
            </w:r>
            <w:proofErr w:type="spellStart"/>
            <w:r w:rsidR="005A1D33" w:rsidRPr="005A1D33">
              <w:rPr>
                <w:i/>
              </w:rPr>
              <w:t>euro</w:t>
            </w:r>
            <w:proofErr w:type="spellEnd"/>
            <w:r w:rsidRPr="00465CA3">
              <w:t xml:space="preserve"> apmērā, to finansēšanai novirzot valsts speciālā budžeta naudas līdzekļu atlikumu uz 2017.gada 1.janvāri.</w:t>
            </w:r>
          </w:p>
        </w:tc>
      </w:tr>
    </w:tbl>
    <w:p w14:paraId="59064827" w14:textId="77777777" w:rsidR="003300C7" w:rsidRPr="00465CA3" w:rsidRDefault="003300C7" w:rsidP="002431AC"/>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465CA3" w14:paraId="0D886D4D" w14:textId="77777777" w:rsidTr="006D11E3">
        <w:trPr>
          <w:trHeight w:val="419"/>
        </w:trPr>
        <w:tc>
          <w:tcPr>
            <w:tcW w:w="5000" w:type="pct"/>
            <w:gridSpan w:val="3"/>
            <w:vAlign w:val="center"/>
          </w:tcPr>
          <w:p w14:paraId="11CA00AB" w14:textId="77777777" w:rsidR="008078B8" w:rsidRPr="00465CA3" w:rsidRDefault="008078B8" w:rsidP="002431AC">
            <w:pPr>
              <w:jc w:val="center"/>
              <w:rPr>
                <w:b/>
              </w:rPr>
            </w:pPr>
            <w:r w:rsidRPr="00465CA3">
              <w:rPr>
                <w:b/>
                <w:bCs/>
              </w:rPr>
              <w:t>IV. Tiesību akta projekta ietekme uz spēkā esošo tiesību normu sistēmu</w:t>
            </w:r>
          </w:p>
        </w:tc>
      </w:tr>
      <w:tr w:rsidR="008078B8" w:rsidRPr="00465CA3" w14:paraId="6B8D4831" w14:textId="77777777" w:rsidTr="0089784A">
        <w:trPr>
          <w:trHeight w:val="415"/>
        </w:trPr>
        <w:tc>
          <w:tcPr>
            <w:tcW w:w="227" w:type="pct"/>
          </w:tcPr>
          <w:p w14:paraId="45D5D9E5" w14:textId="77777777" w:rsidR="008078B8" w:rsidRPr="00465CA3" w:rsidRDefault="008078B8" w:rsidP="002431AC">
            <w:r w:rsidRPr="00465CA3">
              <w:t>1.</w:t>
            </w:r>
          </w:p>
        </w:tc>
        <w:tc>
          <w:tcPr>
            <w:tcW w:w="1566" w:type="pct"/>
          </w:tcPr>
          <w:p w14:paraId="38150580" w14:textId="77777777" w:rsidR="008078B8" w:rsidRPr="00465CA3" w:rsidRDefault="008078B8" w:rsidP="002431AC">
            <w:r w:rsidRPr="00465CA3">
              <w:t>Nepieciešamie saistītie tiesību aktu projekti</w:t>
            </w:r>
          </w:p>
        </w:tc>
        <w:tc>
          <w:tcPr>
            <w:tcW w:w="3207" w:type="pct"/>
            <w:shd w:val="clear" w:color="auto" w:fill="auto"/>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5"/>
            </w:tblGrid>
            <w:tr w:rsidR="005563EC" w:rsidRPr="00465CA3" w14:paraId="77C3AA7A" w14:textId="77777777" w:rsidTr="005563EC">
              <w:trPr>
                <w:tblCellSpacing w:w="0" w:type="dxa"/>
              </w:trPr>
              <w:tc>
                <w:tcPr>
                  <w:tcW w:w="6959" w:type="dxa"/>
                  <w:tcBorders>
                    <w:top w:val="outset" w:sz="6" w:space="0" w:color="auto"/>
                    <w:left w:val="outset" w:sz="6" w:space="0" w:color="auto"/>
                    <w:bottom w:val="outset" w:sz="6" w:space="0" w:color="auto"/>
                    <w:right w:val="outset" w:sz="6" w:space="0" w:color="auto"/>
                  </w:tcBorders>
                  <w:hideMark/>
                </w:tcPr>
                <w:p w14:paraId="1980DB24" w14:textId="77777777" w:rsidR="00542B06" w:rsidRPr="00465CA3" w:rsidRDefault="009123FA" w:rsidP="00E81B14">
                  <w:pPr>
                    <w:framePr w:hSpace="180" w:wrap="around" w:vAnchor="text" w:hAnchor="margin" w:xAlign="center" w:y="149"/>
                    <w:ind w:left="139" w:right="125"/>
                    <w:jc w:val="both"/>
                    <w:rPr>
                      <w:spacing w:val="-6"/>
                    </w:rPr>
                  </w:pPr>
                  <w:r w:rsidRPr="00465CA3">
                    <w:rPr>
                      <w:spacing w:val="-6"/>
                    </w:rPr>
                    <w:t xml:space="preserve">Pēc </w:t>
                  </w:r>
                  <w:r w:rsidR="00D44F9D" w:rsidRPr="00465CA3">
                    <w:rPr>
                      <w:spacing w:val="-6"/>
                    </w:rPr>
                    <w:t>likumprojekta</w:t>
                  </w:r>
                  <w:r w:rsidRPr="00465CA3">
                    <w:rPr>
                      <w:spacing w:val="-6"/>
                    </w:rPr>
                    <w:t xml:space="preserve"> spēkā stāšanās nepieciešams veikt grozījumus</w:t>
                  </w:r>
                  <w:r w:rsidR="00542B06" w:rsidRPr="00465CA3">
                    <w:rPr>
                      <w:spacing w:val="-6"/>
                    </w:rPr>
                    <w:t>:</w:t>
                  </w:r>
                </w:p>
                <w:p w14:paraId="7F63AD2C" w14:textId="77777777" w:rsidR="002F045D" w:rsidRPr="00465CA3" w:rsidRDefault="00037FAF" w:rsidP="00E81B14">
                  <w:pPr>
                    <w:pStyle w:val="ListParagraph"/>
                    <w:framePr w:hSpace="180" w:wrap="around" w:vAnchor="text" w:hAnchor="margin" w:xAlign="center" w:y="149"/>
                    <w:numPr>
                      <w:ilvl w:val="0"/>
                      <w:numId w:val="2"/>
                    </w:numPr>
                    <w:spacing w:after="0" w:line="240" w:lineRule="auto"/>
                    <w:ind w:left="139" w:right="125" w:hanging="357"/>
                    <w:jc w:val="both"/>
                    <w:rPr>
                      <w:rFonts w:ascii="Times New Roman" w:hAnsi="Times New Roman"/>
                      <w:spacing w:val="-6"/>
                      <w:sz w:val="24"/>
                      <w:szCs w:val="24"/>
                      <w:lang w:val="lv-LV"/>
                    </w:rPr>
                  </w:pPr>
                  <w:r w:rsidRPr="00465CA3">
                    <w:rPr>
                      <w:rFonts w:ascii="Times New Roman" w:hAnsi="Times New Roman"/>
                      <w:spacing w:val="-6"/>
                      <w:sz w:val="24"/>
                      <w:szCs w:val="24"/>
                      <w:lang w:val="lv-LV"/>
                    </w:rPr>
                    <w:t xml:space="preserve">Ministru kabineta 2010.gada </w:t>
                  </w:r>
                  <w:r w:rsidR="002F045D" w:rsidRPr="00465CA3">
                    <w:rPr>
                      <w:rFonts w:ascii="Times New Roman" w:hAnsi="Times New Roman"/>
                      <w:spacing w:val="-6"/>
                      <w:sz w:val="24"/>
                      <w:szCs w:val="24"/>
                      <w:lang w:val="lv-LV"/>
                    </w:rPr>
                    <w:t>2</w:t>
                  </w:r>
                  <w:r w:rsidRPr="00465CA3">
                    <w:rPr>
                      <w:rFonts w:ascii="Times New Roman" w:hAnsi="Times New Roman"/>
                      <w:spacing w:val="-6"/>
                      <w:sz w:val="24"/>
                      <w:szCs w:val="24"/>
                      <w:lang w:val="lv-LV"/>
                    </w:rPr>
                    <w:t>1.</w:t>
                  </w:r>
                  <w:r w:rsidR="002F045D" w:rsidRPr="00465CA3">
                    <w:rPr>
                      <w:rFonts w:ascii="Times New Roman" w:hAnsi="Times New Roman"/>
                      <w:spacing w:val="-6"/>
                      <w:sz w:val="24"/>
                      <w:szCs w:val="24"/>
                      <w:lang w:val="lv-LV"/>
                    </w:rPr>
                    <w:t>septembra</w:t>
                  </w:r>
                  <w:r w:rsidRPr="00465CA3">
                    <w:rPr>
                      <w:rFonts w:ascii="Times New Roman" w:hAnsi="Times New Roman"/>
                      <w:spacing w:val="-6"/>
                      <w:sz w:val="24"/>
                      <w:szCs w:val="24"/>
                      <w:lang w:val="lv-LV"/>
                    </w:rPr>
                    <w:t xml:space="preserve"> noteikumos</w:t>
                  </w:r>
                </w:p>
                <w:p w14:paraId="2DF75A8F" w14:textId="77777777" w:rsidR="00037FAF" w:rsidRPr="00465CA3" w:rsidRDefault="00037FAF" w:rsidP="00E81B14">
                  <w:pPr>
                    <w:framePr w:hSpace="180" w:wrap="around" w:vAnchor="text" w:hAnchor="margin" w:xAlign="center" w:y="149"/>
                    <w:ind w:left="139" w:right="125"/>
                    <w:jc w:val="both"/>
                    <w:rPr>
                      <w:spacing w:val="-6"/>
                    </w:rPr>
                  </w:pPr>
                  <w:r w:rsidRPr="00465CA3">
                    <w:rPr>
                      <w:spacing w:val="-6"/>
                    </w:rPr>
                    <w:t>Nr.</w:t>
                  </w:r>
                  <w:r w:rsidR="002F045D" w:rsidRPr="00465CA3">
                    <w:rPr>
                      <w:spacing w:val="-6"/>
                    </w:rPr>
                    <w:t>899 “</w:t>
                  </w:r>
                  <w:r w:rsidR="002F045D" w:rsidRPr="00465CA3">
                    <w:rPr>
                      <w:bCs/>
                      <w:shd w:val="clear" w:color="auto" w:fill="FFFFFF"/>
                    </w:rPr>
                    <w:t>Likuma "</w:t>
                  </w:r>
                  <w:hyperlink r:id="rId12" w:tgtFrame="_blank" w:history="1">
                    <w:r w:rsidR="002F045D" w:rsidRPr="00465CA3">
                      <w:rPr>
                        <w:bCs/>
                        <w:shd w:val="clear" w:color="auto" w:fill="FFFFFF"/>
                      </w:rPr>
                      <w:t>Par iedzīvotāju ienākuma nodokli</w:t>
                    </w:r>
                  </w:hyperlink>
                  <w:r w:rsidR="002F045D" w:rsidRPr="00465CA3">
                    <w:rPr>
                      <w:bCs/>
                      <w:shd w:val="clear" w:color="auto" w:fill="FFFFFF"/>
                    </w:rPr>
                    <w:t>" normu piemērošanas kārtība”</w:t>
                  </w:r>
                  <w:r w:rsidR="00353571" w:rsidRPr="00465CA3">
                    <w:rPr>
                      <w:bCs/>
                      <w:shd w:val="clear" w:color="auto" w:fill="FFFFFF"/>
                    </w:rPr>
                    <w:t xml:space="preserve"> – paredzēts mainīt un papildināt normas, kas saistītas ar atsevišķu jauno likuma norma piemērošanu, kā arī, atbilstoši likumprojektā ietvertajam deleģējumam Ministru kabinetam noteikt saimnieciskajā darbībā izmantoto pamatlīdzekļu noteikšanas un pamatlīdzekļu nolietojuma aprēķināšanas un norakstīšanas kārtību, kā arī atrunāt pamatlīdzekļu nolietojuma norakstīšanas dažādās saimnieciskas darbības situācijās</w:t>
                  </w:r>
                  <w:r w:rsidR="00F15532" w:rsidRPr="00465CA3">
                    <w:rPr>
                      <w:bCs/>
                      <w:shd w:val="clear" w:color="auto" w:fill="FFFFFF"/>
                    </w:rPr>
                    <w:t xml:space="preserve"> (līdz 01.12.2017)</w:t>
                  </w:r>
                  <w:r w:rsidR="002F045D" w:rsidRPr="00465CA3">
                    <w:rPr>
                      <w:bCs/>
                      <w:shd w:val="clear" w:color="auto" w:fill="FFFFFF"/>
                    </w:rPr>
                    <w:t>;</w:t>
                  </w:r>
                </w:p>
                <w:p w14:paraId="0559F73F" w14:textId="7FDA578A" w:rsidR="00403F02" w:rsidRPr="00465CA3" w:rsidRDefault="00403F02" w:rsidP="00E81B14">
                  <w:pPr>
                    <w:pStyle w:val="ListParagraph"/>
                    <w:framePr w:hSpace="180" w:wrap="around" w:vAnchor="text" w:hAnchor="margin" w:xAlign="center" w:y="149"/>
                    <w:numPr>
                      <w:ilvl w:val="0"/>
                      <w:numId w:val="2"/>
                    </w:numPr>
                    <w:spacing w:after="0" w:line="240" w:lineRule="auto"/>
                    <w:ind w:left="139" w:right="125" w:hanging="357"/>
                    <w:jc w:val="both"/>
                    <w:rPr>
                      <w:rFonts w:ascii="Times New Roman" w:hAnsi="Times New Roman"/>
                      <w:spacing w:val="-6"/>
                      <w:sz w:val="24"/>
                      <w:szCs w:val="24"/>
                      <w:lang w:val="lv-LV"/>
                    </w:rPr>
                  </w:pPr>
                  <w:r w:rsidRPr="00465CA3">
                    <w:rPr>
                      <w:rFonts w:ascii="Times New Roman" w:hAnsi="Times New Roman"/>
                      <w:spacing w:val="-6"/>
                      <w:sz w:val="24"/>
                      <w:szCs w:val="24"/>
                      <w:lang w:val="lv-LV"/>
                    </w:rPr>
                    <w:t>Ministru kabineta 2016.gada 5.janvāra noteikumos Nr.1</w:t>
                  </w:r>
                  <w:r w:rsidR="002B129D" w:rsidRPr="00465CA3">
                    <w:rPr>
                      <w:rFonts w:ascii="Times New Roman" w:hAnsi="Times New Roman"/>
                      <w:spacing w:val="-6"/>
                      <w:sz w:val="24"/>
                      <w:szCs w:val="24"/>
                      <w:lang w:val="lv-LV"/>
                    </w:rPr>
                    <w:t xml:space="preserve"> </w:t>
                  </w:r>
                </w:p>
                <w:p w14:paraId="676ED073" w14:textId="77777777" w:rsidR="00403F02" w:rsidRPr="00465CA3" w:rsidRDefault="00403F02" w:rsidP="00E81B14">
                  <w:pPr>
                    <w:framePr w:hSpace="180" w:wrap="around" w:vAnchor="text" w:hAnchor="margin" w:xAlign="center" w:y="149"/>
                    <w:ind w:left="139" w:right="125"/>
                    <w:jc w:val="both"/>
                    <w:rPr>
                      <w:spacing w:val="-6"/>
                    </w:rPr>
                  </w:pPr>
                  <w:r w:rsidRPr="00465CA3">
                    <w:rPr>
                      <w:spacing w:val="-6"/>
                    </w:rPr>
                    <w:t>“</w:t>
                  </w:r>
                  <w:r w:rsidRPr="00465CA3">
                    <w:rPr>
                      <w:bCs/>
                      <w:shd w:val="clear" w:color="auto" w:fill="FFFFFF"/>
                    </w:rPr>
                    <w:t>Noteikumi par neapliekamā minimuma un nodokļa atvieglojuma apmēru iedzīvotāju ienākuma nodokļa aprēķināšanai”</w:t>
                  </w:r>
                  <w:r w:rsidR="00353571" w:rsidRPr="00465CA3">
                    <w:rPr>
                      <w:bCs/>
                      <w:shd w:val="clear" w:color="auto" w:fill="FFFFFF"/>
                    </w:rPr>
                    <w:t xml:space="preserve"> </w:t>
                  </w:r>
                  <w:r w:rsidR="00E52225" w:rsidRPr="00465CA3">
                    <w:rPr>
                      <w:bCs/>
                      <w:shd w:val="clear" w:color="auto" w:fill="FFFFFF"/>
                    </w:rPr>
                    <w:t>– atbilstoši likumprojektā iekļautajam regulējumam nepieciešams mainīt Ministru kabineta noteikumos izmantoto terminoloģiju, to papildinot ar terminu “Valsts ieņēmumu dienesta prognozētais neapliekamais minimums”, kā arī izslēdzot terminu “minimālais mēneša neapliekamais minimums”. Tāpat saskaņā ar Valsts nodokļu politikas pamatnostādnēs 2018.-2021.gadam ietvertajiem uzdevumiem nepieciešams mainīt maksimālā gada neapliekamā minimuma apmēru un noteikt gada apliekamā ienākuma apmēru, virs kura nepiemēro diferencēto gada neapliekamo minimumu, kā arī papildināt noteikumus ar kārtību Valsts ieņēmumu dienesta prognozētā neapliekamā minimuma noteikšanai</w:t>
                  </w:r>
                  <w:r w:rsidR="00F15532" w:rsidRPr="00465CA3">
                    <w:rPr>
                      <w:bCs/>
                      <w:shd w:val="clear" w:color="auto" w:fill="FFFFFF"/>
                    </w:rPr>
                    <w:t xml:space="preserve"> (līdz 01.12.2017)</w:t>
                  </w:r>
                  <w:r w:rsidRPr="00465CA3">
                    <w:rPr>
                      <w:bCs/>
                      <w:shd w:val="clear" w:color="auto" w:fill="FFFFFF"/>
                    </w:rPr>
                    <w:t>;</w:t>
                  </w:r>
                </w:p>
                <w:p w14:paraId="213FBE32" w14:textId="77777777" w:rsidR="002F045D" w:rsidRPr="00465CA3" w:rsidRDefault="002F045D" w:rsidP="00E81B14">
                  <w:pPr>
                    <w:pStyle w:val="ListParagraph"/>
                    <w:framePr w:hSpace="180" w:wrap="around" w:vAnchor="text" w:hAnchor="margin" w:xAlign="center" w:y="149"/>
                    <w:numPr>
                      <w:ilvl w:val="0"/>
                      <w:numId w:val="2"/>
                    </w:numPr>
                    <w:spacing w:after="0" w:line="240" w:lineRule="auto"/>
                    <w:ind w:left="139" w:right="125" w:hanging="357"/>
                    <w:jc w:val="both"/>
                    <w:rPr>
                      <w:rFonts w:ascii="Times New Roman" w:hAnsi="Times New Roman"/>
                      <w:spacing w:val="-6"/>
                      <w:sz w:val="24"/>
                      <w:szCs w:val="24"/>
                      <w:lang w:val="lv-LV"/>
                    </w:rPr>
                  </w:pPr>
                  <w:r w:rsidRPr="00465CA3">
                    <w:rPr>
                      <w:rFonts w:ascii="Times New Roman" w:hAnsi="Times New Roman"/>
                      <w:spacing w:val="-6"/>
                      <w:sz w:val="24"/>
                      <w:szCs w:val="24"/>
                      <w:lang w:val="lv-LV"/>
                    </w:rPr>
                    <w:t>Ministru kabineta 2012.gada 21.augusta noteikumos</w:t>
                  </w:r>
                </w:p>
                <w:p w14:paraId="257045A7" w14:textId="77777777" w:rsidR="002F045D" w:rsidRPr="00465CA3" w:rsidRDefault="002F045D" w:rsidP="00E81B14">
                  <w:pPr>
                    <w:framePr w:hSpace="180" w:wrap="around" w:vAnchor="text" w:hAnchor="margin" w:xAlign="center" w:y="149"/>
                    <w:ind w:left="139" w:right="125"/>
                    <w:jc w:val="both"/>
                    <w:rPr>
                      <w:spacing w:val="-6"/>
                    </w:rPr>
                  </w:pPr>
                  <w:r w:rsidRPr="00465CA3">
                    <w:rPr>
                      <w:spacing w:val="-6"/>
                    </w:rPr>
                    <w:t>Nr.568 “</w:t>
                  </w:r>
                  <w:r w:rsidRPr="00465CA3">
                    <w:rPr>
                      <w:bCs/>
                      <w:shd w:val="clear" w:color="auto" w:fill="FFFFFF"/>
                    </w:rPr>
                    <w:t>Noteikumi par iedzīvotāju ienākuma nodokļa deklarācijām un to aizpildīšanas kārtību”</w:t>
                  </w:r>
                  <w:r w:rsidR="00E52225" w:rsidRPr="00465CA3">
                    <w:rPr>
                      <w:bCs/>
                      <w:shd w:val="clear" w:color="auto" w:fill="FFFFFF"/>
                    </w:rPr>
                    <w:t xml:space="preserve"> – nepieciešams mainīt gan deklarācijas veidlapu, gan deklarācijas aizpildīšanas kārtību, ņemot vērā likumprojektā ietverto regulējumu, t.sk. attiecībā uz attaisnoto izdevumu jauno ierobežojumu piemērošanu, saimnieciskās darbības apliekamā ienākuma noteikšanas kārtību u.c.</w:t>
                  </w:r>
                  <w:r w:rsidR="00F15532" w:rsidRPr="00465CA3">
                    <w:rPr>
                      <w:bCs/>
                      <w:shd w:val="clear" w:color="auto" w:fill="FFFFFF"/>
                    </w:rPr>
                    <w:t>(līdz 01.07.2018)</w:t>
                  </w:r>
                  <w:r w:rsidRPr="00465CA3">
                    <w:rPr>
                      <w:bCs/>
                      <w:shd w:val="clear" w:color="auto" w:fill="FFFFFF"/>
                    </w:rPr>
                    <w:t>;</w:t>
                  </w:r>
                </w:p>
                <w:p w14:paraId="5F2CE810" w14:textId="77777777" w:rsidR="004B6EEE" w:rsidRPr="00465CA3" w:rsidRDefault="004B6EEE" w:rsidP="00E81B14">
                  <w:pPr>
                    <w:pStyle w:val="ListParagraph"/>
                    <w:framePr w:hSpace="180" w:wrap="around" w:vAnchor="text" w:hAnchor="margin" w:xAlign="center" w:y="149"/>
                    <w:numPr>
                      <w:ilvl w:val="0"/>
                      <w:numId w:val="2"/>
                    </w:numPr>
                    <w:spacing w:after="0" w:line="240" w:lineRule="auto"/>
                    <w:ind w:left="139" w:right="125" w:hanging="357"/>
                    <w:jc w:val="both"/>
                    <w:rPr>
                      <w:rFonts w:ascii="Times New Roman" w:hAnsi="Times New Roman"/>
                      <w:spacing w:val="-6"/>
                      <w:sz w:val="24"/>
                      <w:szCs w:val="24"/>
                      <w:lang w:val="lv-LV"/>
                    </w:rPr>
                  </w:pPr>
                  <w:r w:rsidRPr="00465CA3">
                    <w:rPr>
                      <w:rFonts w:ascii="Times New Roman" w:hAnsi="Times New Roman"/>
                      <w:spacing w:val="-6"/>
                      <w:sz w:val="24"/>
                      <w:szCs w:val="24"/>
                      <w:lang w:val="lv-LV"/>
                    </w:rPr>
                    <w:t>Ministru kabineta 2001.gada 31.jūlija noteikumos Nr.336</w:t>
                  </w:r>
                </w:p>
                <w:p w14:paraId="58CFAA31" w14:textId="77777777" w:rsidR="00542B06" w:rsidRPr="00465CA3" w:rsidRDefault="004B6EEE" w:rsidP="00E81B14">
                  <w:pPr>
                    <w:framePr w:hSpace="180" w:wrap="around" w:vAnchor="text" w:hAnchor="margin" w:xAlign="center" w:y="149"/>
                    <w:ind w:left="139" w:right="125"/>
                    <w:jc w:val="both"/>
                    <w:rPr>
                      <w:spacing w:val="-6"/>
                    </w:rPr>
                  </w:pPr>
                  <w:r w:rsidRPr="00465CA3">
                    <w:rPr>
                      <w:spacing w:val="-6"/>
                    </w:rPr>
                    <w:t>„</w:t>
                  </w:r>
                  <w:r w:rsidRPr="00465CA3">
                    <w:rPr>
                      <w:bCs/>
                      <w:shd w:val="clear" w:color="auto" w:fill="FFFFFF"/>
                    </w:rPr>
                    <w:t>Noteikumi par attaisnotajiem izdevumiem par izglītību un ārstnieciskajiem pakalpojumiem</w:t>
                  </w:r>
                  <w:r w:rsidRPr="00465CA3">
                    <w:rPr>
                      <w:spacing w:val="-6"/>
                    </w:rPr>
                    <w:t>”</w:t>
                  </w:r>
                  <w:r w:rsidR="00E52225" w:rsidRPr="00465CA3">
                    <w:rPr>
                      <w:spacing w:val="-6"/>
                    </w:rPr>
                    <w:t xml:space="preserve"> – nepieciešamas izmaiņas, saistībā ar likumprojekta normām, kas paredz jaunus </w:t>
                  </w:r>
                  <w:r w:rsidR="00E52225" w:rsidRPr="00465CA3">
                    <w:rPr>
                      <w:spacing w:val="-6"/>
                    </w:rPr>
                    <w:lastRenderedPageBreak/>
                    <w:t>nosacījumus un ierobežojumus medicīnas un ārstniecības pakalpojumu iekļaušanai attaisnotajos izdevumos, t.sk., izslēgt normu, kas paredz attaisnotajos izdevumos bez ierobežojumiem iekļaut izdevumus par operācijām un zobārstniecību u.c.</w:t>
                  </w:r>
                  <w:r w:rsidR="00F15532" w:rsidRPr="00465CA3">
                    <w:rPr>
                      <w:spacing w:val="-6"/>
                    </w:rPr>
                    <w:t xml:space="preserve"> </w:t>
                  </w:r>
                  <w:r w:rsidR="00F15532" w:rsidRPr="00465CA3">
                    <w:rPr>
                      <w:bCs/>
                      <w:shd w:val="clear" w:color="auto" w:fill="FFFFFF"/>
                    </w:rPr>
                    <w:t>(līdz 31.12.2017)</w:t>
                  </w:r>
                  <w:r w:rsidRPr="00465CA3">
                    <w:rPr>
                      <w:spacing w:val="-6"/>
                    </w:rPr>
                    <w:t>;</w:t>
                  </w:r>
                </w:p>
                <w:p w14:paraId="31C107B9" w14:textId="77777777" w:rsidR="002F045D" w:rsidRPr="00465CA3" w:rsidRDefault="002F045D" w:rsidP="00E81B14">
                  <w:pPr>
                    <w:pStyle w:val="ListParagraph"/>
                    <w:framePr w:hSpace="180" w:wrap="around" w:vAnchor="text" w:hAnchor="margin" w:xAlign="center" w:y="149"/>
                    <w:numPr>
                      <w:ilvl w:val="0"/>
                      <w:numId w:val="2"/>
                    </w:numPr>
                    <w:spacing w:after="0" w:line="240" w:lineRule="auto"/>
                    <w:ind w:left="139" w:right="125"/>
                    <w:jc w:val="both"/>
                    <w:rPr>
                      <w:rFonts w:ascii="Times New Roman" w:hAnsi="Times New Roman"/>
                      <w:spacing w:val="-6"/>
                      <w:sz w:val="24"/>
                      <w:szCs w:val="24"/>
                      <w:lang w:val="lv-LV"/>
                    </w:rPr>
                  </w:pPr>
                  <w:r w:rsidRPr="00465CA3">
                    <w:rPr>
                      <w:rFonts w:ascii="Times New Roman" w:hAnsi="Times New Roman"/>
                      <w:bCs/>
                      <w:sz w:val="24"/>
                      <w:szCs w:val="24"/>
                      <w:shd w:val="clear" w:color="auto" w:fill="FFFFFF"/>
                      <w:lang w:val="lv-LV"/>
                    </w:rPr>
                    <w:t xml:space="preserve">Ministru kabineta </w:t>
                  </w:r>
                  <w:r w:rsidRPr="00465CA3">
                    <w:rPr>
                      <w:rFonts w:ascii="Times New Roman" w:hAnsi="Times New Roman"/>
                      <w:spacing w:val="-6"/>
                      <w:sz w:val="24"/>
                      <w:szCs w:val="24"/>
                      <w:lang w:val="lv-LV"/>
                    </w:rPr>
                    <w:t>2013.gada 17.decembra noteikumos</w:t>
                  </w:r>
                </w:p>
                <w:p w14:paraId="55520997" w14:textId="77777777" w:rsidR="002F045D" w:rsidRPr="00465CA3" w:rsidRDefault="002F045D" w:rsidP="00E81B14">
                  <w:pPr>
                    <w:framePr w:hSpace="180" w:wrap="around" w:vAnchor="text" w:hAnchor="margin" w:xAlign="center" w:y="149"/>
                    <w:ind w:left="139" w:right="125"/>
                    <w:jc w:val="both"/>
                    <w:rPr>
                      <w:spacing w:val="-6"/>
                    </w:rPr>
                  </w:pPr>
                  <w:r w:rsidRPr="00465CA3">
                    <w:rPr>
                      <w:spacing w:val="-6"/>
                    </w:rPr>
                    <w:t>Nr.1531 “</w:t>
                  </w:r>
                  <w:r w:rsidRPr="00465CA3">
                    <w:rPr>
                      <w:bCs/>
                      <w:shd w:val="clear" w:color="auto" w:fill="FFFFFF"/>
                    </w:rPr>
                    <w:t>Kārtība, kādā piemērojama patentmaksa un tās apmēri fiziskās personas saimnieciskajai darbībai noteiktā profesijā”</w:t>
                  </w:r>
                  <w:r w:rsidR="00E52225" w:rsidRPr="00465CA3">
                    <w:rPr>
                      <w:bCs/>
                      <w:shd w:val="clear" w:color="auto" w:fill="FFFFFF"/>
                    </w:rPr>
                    <w:t xml:space="preserve"> – nepieciešams atsevišķām patentmaksas maksātāju grupām pārskatīt noteikto patentmaksas lielumu saskaņā ar likumprojektā ietverto regulējumu, kā arī Valsts nodokļu politikas pamatnostādnēs 2018.-2021.gadam ietvertajiem uzdevumiem</w:t>
                  </w:r>
                  <w:r w:rsidR="00F15532" w:rsidRPr="00465CA3">
                    <w:rPr>
                      <w:bCs/>
                      <w:shd w:val="clear" w:color="auto" w:fill="FFFFFF"/>
                    </w:rPr>
                    <w:t xml:space="preserve"> (līdz 31.12.2017);</w:t>
                  </w:r>
                </w:p>
                <w:p w14:paraId="4746C756" w14:textId="77777777" w:rsidR="004B6EEE" w:rsidRPr="00465CA3" w:rsidRDefault="009123FA" w:rsidP="00E81B14">
                  <w:pPr>
                    <w:pStyle w:val="ListParagraph"/>
                    <w:framePr w:hSpace="180" w:wrap="around" w:vAnchor="text" w:hAnchor="margin" w:xAlign="center" w:y="149"/>
                    <w:numPr>
                      <w:ilvl w:val="0"/>
                      <w:numId w:val="2"/>
                    </w:numPr>
                    <w:spacing w:after="0" w:line="240" w:lineRule="auto"/>
                    <w:ind w:left="139" w:right="125"/>
                    <w:jc w:val="both"/>
                    <w:rPr>
                      <w:spacing w:val="-6"/>
                      <w:lang w:val="lv-LV"/>
                    </w:rPr>
                  </w:pPr>
                  <w:r w:rsidRPr="00465CA3">
                    <w:rPr>
                      <w:rFonts w:ascii="Times New Roman" w:hAnsi="Times New Roman"/>
                      <w:spacing w:val="-6"/>
                      <w:sz w:val="24"/>
                      <w:szCs w:val="24"/>
                      <w:lang w:val="lv-LV"/>
                    </w:rPr>
                    <w:t xml:space="preserve">Ministru kabineta </w:t>
                  </w:r>
                  <w:r w:rsidR="004B6EEE" w:rsidRPr="00465CA3">
                    <w:rPr>
                      <w:rFonts w:ascii="Times New Roman" w:hAnsi="Times New Roman"/>
                      <w:spacing w:val="-6"/>
                      <w:sz w:val="24"/>
                      <w:szCs w:val="24"/>
                      <w:lang w:val="lv-LV"/>
                    </w:rPr>
                    <w:t>2008.gada 25.augusta noteikumos</w:t>
                  </w:r>
                </w:p>
                <w:p w14:paraId="015A1426" w14:textId="5BBCD044" w:rsidR="002B129D" w:rsidRPr="00465CA3" w:rsidRDefault="009123FA" w:rsidP="00E81B14">
                  <w:pPr>
                    <w:framePr w:hSpace="180" w:wrap="around" w:vAnchor="text" w:hAnchor="margin" w:xAlign="center" w:y="149"/>
                    <w:ind w:left="139" w:right="125"/>
                    <w:jc w:val="both"/>
                    <w:rPr>
                      <w:spacing w:val="-6"/>
                    </w:rPr>
                  </w:pPr>
                  <w:r w:rsidRPr="00465CA3">
                    <w:rPr>
                      <w:spacing w:val="-6"/>
                    </w:rPr>
                    <w:t>Nr.677 „</w:t>
                  </w:r>
                  <w:r w:rsidRPr="00465CA3">
                    <w:rPr>
                      <w:bCs/>
                    </w:rPr>
                    <w:t>Noteikumi par iedzīvotāju ienākuma nodokļa paziņojumiem</w:t>
                  </w:r>
                  <w:r w:rsidRPr="00465CA3">
                    <w:rPr>
                      <w:spacing w:val="-6"/>
                    </w:rPr>
                    <w:t>”</w:t>
                  </w:r>
                  <w:r w:rsidR="00E52225" w:rsidRPr="00465CA3">
                    <w:rPr>
                      <w:spacing w:val="-6"/>
                    </w:rPr>
                    <w:t xml:space="preserve"> – nepieciešams </w:t>
                  </w:r>
                  <w:r w:rsidR="00274AF0" w:rsidRPr="00465CA3">
                    <w:rPr>
                      <w:spacing w:val="-6"/>
                    </w:rPr>
                    <w:t>precizēt dažādu ienākuma veidu kodus saistībā ar likumprojektā ietverto regul</w:t>
                  </w:r>
                  <w:r w:rsidR="00BD46FF" w:rsidRPr="00465CA3">
                    <w:rPr>
                      <w:spacing w:val="-6"/>
                    </w:rPr>
                    <w:t>ējumu, papildinot ar jauniem ienākumu veidiem – nosacītajām dividendēm u.c., kā arī precizējot esošos</w:t>
                  </w:r>
                  <w:r w:rsidR="00F15532" w:rsidRPr="00465CA3">
                    <w:rPr>
                      <w:spacing w:val="-6"/>
                    </w:rPr>
                    <w:t xml:space="preserve"> </w:t>
                  </w:r>
                  <w:r w:rsidR="00F15532" w:rsidRPr="00465CA3">
                    <w:rPr>
                      <w:bCs/>
                      <w:shd w:val="clear" w:color="auto" w:fill="FFFFFF"/>
                    </w:rPr>
                    <w:t>(līdz 31.12.2017)</w:t>
                  </w:r>
                  <w:r w:rsidR="00BD46FF" w:rsidRPr="00465CA3">
                    <w:rPr>
                      <w:spacing w:val="-6"/>
                    </w:rPr>
                    <w:t>.</w:t>
                  </w:r>
                </w:p>
              </w:tc>
            </w:tr>
          </w:tbl>
          <w:p w14:paraId="286FFEC3" w14:textId="77777777" w:rsidR="00166434" w:rsidRPr="00465CA3" w:rsidRDefault="00166434" w:rsidP="006B4097">
            <w:pPr>
              <w:ind w:left="139" w:right="125"/>
              <w:jc w:val="both"/>
              <w:rPr>
                <w:b/>
              </w:rPr>
            </w:pPr>
          </w:p>
        </w:tc>
      </w:tr>
      <w:tr w:rsidR="008078B8" w:rsidRPr="00465CA3" w14:paraId="2828F2F6" w14:textId="77777777" w:rsidTr="006D11E3">
        <w:trPr>
          <w:trHeight w:val="472"/>
        </w:trPr>
        <w:tc>
          <w:tcPr>
            <w:tcW w:w="227" w:type="pct"/>
          </w:tcPr>
          <w:p w14:paraId="26177956" w14:textId="77777777" w:rsidR="008078B8" w:rsidRPr="00465CA3" w:rsidRDefault="008078B8" w:rsidP="002431AC">
            <w:r w:rsidRPr="00465CA3">
              <w:lastRenderedPageBreak/>
              <w:t>2.</w:t>
            </w:r>
          </w:p>
        </w:tc>
        <w:tc>
          <w:tcPr>
            <w:tcW w:w="1566" w:type="pct"/>
          </w:tcPr>
          <w:p w14:paraId="6D96A3B1" w14:textId="77777777" w:rsidR="008078B8" w:rsidRPr="00465CA3" w:rsidRDefault="008078B8" w:rsidP="002431AC">
            <w:r w:rsidRPr="00465CA3">
              <w:t>Atbildīgā institūcija</w:t>
            </w:r>
          </w:p>
        </w:tc>
        <w:tc>
          <w:tcPr>
            <w:tcW w:w="3207" w:type="pct"/>
          </w:tcPr>
          <w:p w14:paraId="4712BA22" w14:textId="77777777" w:rsidR="00403F02" w:rsidRPr="00465CA3" w:rsidRDefault="00403F02" w:rsidP="006B4097">
            <w:pPr>
              <w:ind w:left="139" w:right="125"/>
              <w:jc w:val="both"/>
              <w:rPr>
                <w:spacing w:val="-6"/>
              </w:rPr>
            </w:pPr>
            <w:r w:rsidRPr="00465CA3">
              <w:rPr>
                <w:spacing w:val="-6"/>
              </w:rPr>
              <w:t>Ministru kabineta 2010.gada 21.septembra noteikumi</w:t>
            </w:r>
            <w:r w:rsidR="00B94FFC" w:rsidRPr="00465CA3">
              <w:rPr>
                <w:spacing w:val="-6"/>
              </w:rPr>
              <w:t xml:space="preserve"> </w:t>
            </w:r>
            <w:r w:rsidRPr="00465CA3">
              <w:rPr>
                <w:spacing w:val="-6"/>
              </w:rPr>
              <w:t>Nr.899 “</w:t>
            </w:r>
            <w:r w:rsidRPr="00465CA3">
              <w:rPr>
                <w:bCs/>
                <w:shd w:val="clear" w:color="auto" w:fill="FFFFFF"/>
              </w:rPr>
              <w:t>Likuma "</w:t>
            </w:r>
            <w:hyperlink r:id="rId13" w:tgtFrame="_blank" w:history="1">
              <w:r w:rsidRPr="00465CA3">
                <w:rPr>
                  <w:bCs/>
                  <w:shd w:val="clear" w:color="auto" w:fill="FFFFFF"/>
                </w:rPr>
                <w:t>Par iedzīvotāju ienākuma nodokli</w:t>
              </w:r>
            </w:hyperlink>
            <w:r w:rsidRPr="00465CA3">
              <w:rPr>
                <w:bCs/>
                <w:shd w:val="clear" w:color="auto" w:fill="FFFFFF"/>
              </w:rPr>
              <w:t xml:space="preserve">" normu piemērošanas kārtība” - </w:t>
            </w:r>
            <w:r w:rsidRPr="00465CA3">
              <w:rPr>
                <w:szCs w:val="20"/>
              </w:rPr>
              <w:t>Finanšu ministrija</w:t>
            </w:r>
            <w:r w:rsidRPr="00465CA3">
              <w:rPr>
                <w:bCs/>
                <w:shd w:val="clear" w:color="auto" w:fill="FFFFFF"/>
              </w:rPr>
              <w:t>.</w:t>
            </w:r>
          </w:p>
          <w:p w14:paraId="347B7581" w14:textId="77777777" w:rsidR="00403F02" w:rsidRPr="00465CA3" w:rsidRDefault="00403F02" w:rsidP="006B4097">
            <w:pPr>
              <w:ind w:left="139" w:right="125"/>
              <w:jc w:val="both"/>
              <w:rPr>
                <w:spacing w:val="-6"/>
              </w:rPr>
            </w:pPr>
            <w:r w:rsidRPr="00465CA3">
              <w:rPr>
                <w:spacing w:val="-6"/>
              </w:rPr>
              <w:t>Ministru kabineta 2016.gada 5.janvāra noteikumi Nr.1</w:t>
            </w:r>
            <w:r w:rsidR="00B94FFC" w:rsidRPr="00465CA3">
              <w:rPr>
                <w:spacing w:val="-6"/>
              </w:rPr>
              <w:t xml:space="preserve"> </w:t>
            </w:r>
            <w:r w:rsidRPr="00465CA3">
              <w:rPr>
                <w:spacing w:val="-6"/>
              </w:rPr>
              <w:t>“</w:t>
            </w:r>
            <w:r w:rsidRPr="00465CA3">
              <w:rPr>
                <w:bCs/>
                <w:shd w:val="clear" w:color="auto" w:fill="FFFFFF"/>
              </w:rPr>
              <w:t xml:space="preserve">Noteikumi par neapliekamā minimuma un nodokļa atvieglojuma apmēru iedzīvotāju ienākuma nodokļa aprēķināšanai” - </w:t>
            </w:r>
            <w:r w:rsidRPr="00465CA3">
              <w:rPr>
                <w:szCs w:val="20"/>
              </w:rPr>
              <w:t>Finanšu ministrija</w:t>
            </w:r>
            <w:r w:rsidRPr="00465CA3">
              <w:rPr>
                <w:bCs/>
                <w:shd w:val="clear" w:color="auto" w:fill="FFFFFF"/>
              </w:rPr>
              <w:t>.</w:t>
            </w:r>
          </w:p>
          <w:p w14:paraId="7F57B6D1" w14:textId="77777777" w:rsidR="00403F02" w:rsidRPr="00465CA3" w:rsidRDefault="00403F02" w:rsidP="006B4097">
            <w:pPr>
              <w:ind w:left="139" w:right="125"/>
              <w:jc w:val="both"/>
              <w:rPr>
                <w:spacing w:val="-6"/>
              </w:rPr>
            </w:pPr>
            <w:r w:rsidRPr="00465CA3">
              <w:rPr>
                <w:spacing w:val="-6"/>
              </w:rPr>
              <w:t>Ministru kabineta 2012.gada 21.augusta noteikumi</w:t>
            </w:r>
            <w:r w:rsidR="00B94FFC" w:rsidRPr="00465CA3">
              <w:rPr>
                <w:spacing w:val="-6"/>
              </w:rPr>
              <w:t xml:space="preserve"> </w:t>
            </w:r>
            <w:r w:rsidRPr="00465CA3">
              <w:rPr>
                <w:spacing w:val="-6"/>
              </w:rPr>
              <w:t>Nr.568 “</w:t>
            </w:r>
            <w:r w:rsidRPr="00465CA3">
              <w:rPr>
                <w:bCs/>
                <w:shd w:val="clear" w:color="auto" w:fill="FFFFFF"/>
              </w:rPr>
              <w:t xml:space="preserve">Noteikumi par iedzīvotāju ienākuma nodokļa deklarācijām un to aizpildīšanas kārtību” - </w:t>
            </w:r>
            <w:r w:rsidRPr="00465CA3">
              <w:rPr>
                <w:szCs w:val="20"/>
              </w:rPr>
              <w:t>Finanšu ministrija (Valsts ieņēmumu dienests)</w:t>
            </w:r>
            <w:r w:rsidRPr="00465CA3">
              <w:rPr>
                <w:bCs/>
                <w:shd w:val="clear" w:color="auto" w:fill="FFFFFF"/>
              </w:rPr>
              <w:t>.</w:t>
            </w:r>
          </w:p>
          <w:p w14:paraId="630D71C6" w14:textId="77777777" w:rsidR="00403F02" w:rsidRPr="00465CA3" w:rsidRDefault="00403F02" w:rsidP="006B4097">
            <w:pPr>
              <w:ind w:left="139" w:right="125"/>
              <w:jc w:val="both"/>
              <w:rPr>
                <w:spacing w:val="-6"/>
              </w:rPr>
            </w:pPr>
            <w:r w:rsidRPr="00465CA3">
              <w:rPr>
                <w:spacing w:val="-6"/>
              </w:rPr>
              <w:t>Ministru kabineta 2001.gada 31.jūlija noteikumi Nr.336</w:t>
            </w:r>
            <w:r w:rsidR="00B94FFC" w:rsidRPr="00465CA3">
              <w:rPr>
                <w:spacing w:val="-6"/>
              </w:rPr>
              <w:t xml:space="preserve"> </w:t>
            </w:r>
            <w:r w:rsidRPr="00465CA3">
              <w:rPr>
                <w:spacing w:val="-6"/>
              </w:rPr>
              <w:t>„</w:t>
            </w:r>
            <w:r w:rsidRPr="00465CA3">
              <w:rPr>
                <w:bCs/>
                <w:shd w:val="clear" w:color="auto" w:fill="FFFFFF"/>
              </w:rPr>
              <w:t>Noteikumi par attaisnotajiem izdevumiem par izglītību un ārstnieciskajiem pakalpojumiem</w:t>
            </w:r>
            <w:r w:rsidRPr="00465CA3">
              <w:rPr>
                <w:spacing w:val="-6"/>
              </w:rPr>
              <w:t xml:space="preserve">” - </w:t>
            </w:r>
            <w:r w:rsidRPr="00465CA3">
              <w:rPr>
                <w:szCs w:val="20"/>
              </w:rPr>
              <w:t>Finanšu ministrija</w:t>
            </w:r>
            <w:r w:rsidRPr="00465CA3">
              <w:rPr>
                <w:spacing w:val="-6"/>
              </w:rPr>
              <w:t>.</w:t>
            </w:r>
          </w:p>
          <w:p w14:paraId="15D2B0E5" w14:textId="77777777" w:rsidR="00403F02" w:rsidRPr="00465CA3" w:rsidRDefault="00403F02" w:rsidP="006B4097">
            <w:pPr>
              <w:ind w:left="139" w:right="125"/>
              <w:jc w:val="both"/>
              <w:rPr>
                <w:spacing w:val="-6"/>
              </w:rPr>
            </w:pPr>
            <w:r w:rsidRPr="00465CA3">
              <w:rPr>
                <w:bCs/>
                <w:shd w:val="clear" w:color="auto" w:fill="FFFFFF"/>
              </w:rPr>
              <w:t xml:space="preserve">Ministru kabineta </w:t>
            </w:r>
            <w:r w:rsidRPr="00465CA3">
              <w:rPr>
                <w:spacing w:val="-6"/>
              </w:rPr>
              <w:t>2013.gada 17.decembra noteikumi</w:t>
            </w:r>
            <w:r w:rsidR="00B94FFC" w:rsidRPr="00465CA3">
              <w:rPr>
                <w:spacing w:val="-6"/>
              </w:rPr>
              <w:t xml:space="preserve"> </w:t>
            </w:r>
            <w:r w:rsidRPr="00465CA3">
              <w:rPr>
                <w:spacing w:val="-6"/>
              </w:rPr>
              <w:t>Nr.1531 “</w:t>
            </w:r>
            <w:r w:rsidRPr="00465CA3">
              <w:rPr>
                <w:bCs/>
                <w:shd w:val="clear" w:color="auto" w:fill="FFFFFF"/>
              </w:rPr>
              <w:t>Kārtība, kādā piemērojama patentmaksa un tās apmēri fiziskās personas saimnieciskajai darbībai noteiktā profesijā”</w:t>
            </w:r>
            <w:r w:rsidRPr="00465CA3">
              <w:rPr>
                <w:spacing w:val="-6"/>
              </w:rPr>
              <w:t xml:space="preserve"> - </w:t>
            </w:r>
            <w:r w:rsidRPr="00465CA3">
              <w:rPr>
                <w:szCs w:val="20"/>
              </w:rPr>
              <w:t>Ekonomikas ministrija, Finanšu ministrija</w:t>
            </w:r>
            <w:r w:rsidRPr="00465CA3">
              <w:rPr>
                <w:bCs/>
                <w:shd w:val="clear" w:color="auto" w:fill="FFFFFF"/>
              </w:rPr>
              <w:t>.</w:t>
            </w:r>
          </w:p>
          <w:p w14:paraId="73128298" w14:textId="327F8A16" w:rsidR="00B64903" w:rsidRPr="00465CA3" w:rsidRDefault="00403F02" w:rsidP="00BB29C8">
            <w:pPr>
              <w:ind w:left="139" w:right="125"/>
              <w:jc w:val="both"/>
            </w:pPr>
            <w:r w:rsidRPr="00465CA3">
              <w:rPr>
                <w:spacing w:val="-6"/>
              </w:rPr>
              <w:t>Ministru kabineta 2008.gada 25.augusta noteikumi Nr.677 „</w:t>
            </w:r>
            <w:r w:rsidRPr="00465CA3">
              <w:rPr>
                <w:bCs/>
              </w:rPr>
              <w:t>Noteikumi par iedzīvotāju ienākuma nodokļa paziņojumiem</w:t>
            </w:r>
            <w:r w:rsidRPr="00465CA3">
              <w:rPr>
                <w:spacing w:val="-6"/>
              </w:rPr>
              <w:t xml:space="preserve">” - </w:t>
            </w:r>
            <w:r w:rsidRPr="00465CA3">
              <w:rPr>
                <w:szCs w:val="20"/>
              </w:rPr>
              <w:t xml:space="preserve"> Finanšu ministrija (Valsts ieņēmumu dienests)</w:t>
            </w:r>
            <w:r w:rsidRPr="00465CA3">
              <w:rPr>
                <w:spacing w:val="-6"/>
              </w:rPr>
              <w:t>.</w:t>
            </w:r>
          </w:p>
        </w:tc>
      </w:tr>
      <w:tr w:rsidR="008078B8" w:rsidRPr="00465CA3" w14:paraId="74372E0E" w14:textId="77777777" w:rsidTr="006D11E3">
        <w:tc>
          <w:tcPr>
            <w:tcW w:w="227" w:type="pct"/>
          </w:tcPr>
          <w:p w14:paraId="45FD9704" w14:textId="77777777" w:rsidR="008078B8" w:rsidRPr="00465CA3" w:rsidRDefault="008078B8" w:rsidP="002431AC">
            <w:r w:rsidRPr="00465CA3">
              <w:t>3.</w:t>
            </w:r>
          </w:p>
        </w:tc>
        <w:tc>
          <w:tcPr>
            <w:tcW w:w="1566" w:type="pct"/>
          </w:tcPr>
          <w:p w14:paraId="2C975184" w14:textId="77777777" w:rsidR="008078B8" w:rsidRPr="00465CA3" w:rsidRDefault="008078B8" w:rsidP="002431AC">
            <w:r w:rsidRPr="00465CA3">
              <w:t>Cita informācija</w:t>
            </w:r>
          </w:p>
        </w:tc>
        <w:tc>
          <w:tcPr>
            <w:tcW w:w="3207" w:type="pct"/>
          </w:tcPr>
          <w:p w14:paraId="441EFF5B" w14:textId="77777777" w:rsidR="008078B8" w:rsidRPr="00465CA3" w:rsidRDefault="008078B8" w:rsidP="002431AC">
            <w:r w:rsidRPr="00465CA3">
              <w:t>Nav.</w:t>
            </w:r>
          </w:p>
        </w:tc>
      </w:tr>
    </w:tbl>
    <w:p w14:paraId="03EED3CA" w14:textId="77777777" w:rsidR="003E7787" w:rsidRPr="00465CA3" w:rsidRDefault="003E7787" w:rsidP="002431AC">
      <w:pPr>
        <w:rPr>
          <w:sz w:val="28"/>
          <w:szCs w:val="28"/>
        </w:rPr>
      </w:pPr>
    </w:p>
    <w:tbl>
      <w:tblPr>
        <w:tblW w:w="9776"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76"/>
      </w:tblGrid>
      <w:tr w:rsidR="006566DB" w:rsidRPr="00465CA3" w14:paraId="2E18A14A" w14:textId="77777777"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F93DE" w14:textId="77777777" w:rsidR="006566DB" w:rsidRPr="00465CA3" w:rsidRDefault="006566DB">
            <w:pPr>
              <w:pStyle w:val="tvhtml"/>
              <w:spacing w:line="293" w:lineRule="atLeast"/>
              <w:jc w:val="center"/>
              <w:rPr>
                <w:b/>
                <w:bCs/>
              </w:rPr>
            </w:pPr>
            <w:r w:rsidRPr="00465CA3">
              <w:rPr>
                <w:b/>
                <w:bCs/>
              </w:rPr>
              <w:t>V. Tiesību akta projekta atbilstība Latvijas Republikas starptautiskajām saistībām</w:t>
            </w:r>
          </w:p>
        </w:tc>
      </w:tr>
      <w:tr w:rsidR="009123FA" w:rsidRPr="00465CA3" w14:paraId="7AF6DA31" w14:textId="77777777"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hideMark/>
          </w:tcPr>
          <w:p w14:paraId="01F04E42" w14:textId="77777777" w:rsidR="009123FA" w:rsidRPr="00465CA3" w:rsidRDefault="009123FA" w:rsidP="009123FA">
            <w:pPr>
              <w:jc w:val="center"/>
            </w:pPr>
            <w:r w:rsidRPr="00465CA3">
              <w:t>Projekts šo jomu neskar.</w:t>
            </w:r>
          </w:p>
        </w:tc>
      </w:tr>
    </w:tbl>
    <w:p w14:paraId="6B1D8E0D" w14:textId="77777777" w:rsidR="00F76D8A" w:rsidRPr="00465CA3" w:rsidRDefault="00F76D8A" w:rsidP="002431AC">
      <w:pPr>
        <w:rPr>
          <w:sz w:val="28"/>
          <w:szCs w:val="28"/>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8078B8" w:rsidRPr="00465CA3" w14:paraId="00F47321" w14:textId="77777777" w:rsidTr="00B64903">
        <w:trPr>
          <w:trHeight w:val="381"/>
          <w:jc w:val="center"/>
        </w:trPr>
        <w:tc>
          <w:tcPr>
            <w:tcW w:w="9613" w:type="dxa"/>
            <w:gridSpan w:val="3"/>
            <w:vAlign w:val="center"/>
          </w:tcPr>
          <w:p w14:paraId="67DF6A0D" w14:textId="77777777" w:rsidR="008078B8" w:rsidRPr="00465CA3" w:rsidRDefault="008078B8" w:rsidP="002431AC">
            <w:pPr>
              <w:jc w:val="center"/>
            </w:pPr>
            <w:r w:rsidRPr="00465CA3">
              <w:rPr>
                <w:b/>
              </w:rPr>
              <w:t>VI. Tiesību akta projekta izpildes nodrošināšana un tās ietekme uz institūcijām</w:t>
            </w:r>
          </w:p>
        </w:tc>
      </w:tr>
      <w:tr w:rsidR="008078B8" w:rsidRPr="00465CA3" w14:paraId="0A1F43F0" w14:textId="77777777" w:rsidTr="00B64903">
        <w:trPr>
          <w:trHeight w:val="427"/>
          <w:jc w:val="center"/>
        </w:trPr>
        <w:tc>
          <w:tcPr>
            <w:tcW w:w="421" w:type="dxa"/>
          </w:tcPr>
          <w:p w14:paraId="3CF17CE0" w14:textId="77777777" w:rsidR="008078B8" w:rsidRPr="00465CA3" w:rsidRDefault="008078B8" w:rsidP="002431AC">
            <w:r w:rsidRPr="00465CA3">
              <w:t>1.</w:t>
            </w:r>
          </w:p>
        </w:tc>
        <w:tc>
          <w:tcPr>
            <w:tcW w:w="3118" w:type="dxa"/>
          </w:tcPr>
          <w:p w14:paraId="17506695" w14:textId="77777777" w:rsidR="008078B8" w:rsidRPr="00465CA3" w:rsidRDefault="008078B8" w:rsidP="002431AC">
            <w:r w:rsidRPr="00465CA3">
              <w:t>Plānotās sabiedrības līdzdalības un komunikācijas aktivitātes saistībā ar projektu</w:t>
            </w:r>
          </w:p>
        </w:tc>
        <w:tc>
          <w:tcPr>
            <w:tcW w:w="6074" w:type="dxa"/>
          </w:tcPr>
          <w:p w14:paraId="71B6BA8A" w14:textId="46EC5275" w:rsidR="00B64903" w:rsidRPr="00465CA3" w:rsidRDefault="002B34A8" w:rsidP="002B129D">
            <w:pPr>
              <w:ind w:left="82" w:right="82"/>
              <w:jc w:val="both"/>
            </w:pPr>
            <w:r w:rsidRPr="00465CA3">
              <w:t xml:space="preserve">Latvijas Brīvo arodbiedrību savienība, Latvijas Darba devēju konfederācija, Latvijas Pašvaldību savienība, Latvijas Tirdzniecības un rūpniecības kamera, </w:t>
            </w:r>
            <w:r w:rsidRPr="00465CA3">
              <w:rPr>
                <w:rFonts w:eastAsiaTheme="minorHAnsi" w:cstheme="minorBidi"/>
                <w:lang w:eastAsia="en-US"/>
              </w:rPr>
              <w:t xml:space="preserve">Latvijas Komercbanku </w:t>
            </w:r>
            <w:r w:rsidRPr="00465CA3">
              <w:rPr>
                <w:rFonts w:eastAsiaTheme="minorHAnsi" w:cstheme="minorBidi"/>
                <w:lang w:eastAsia="en-US"/>
              </w:rPr>
              <w:lastRenderedPageBreak/>
              <w:t xml:space="preserve">asociācija, Latvijas Apdrošinātāju asociācija, Latvijas Nodokļu konsultantu asociācija, </w:t>
            </w:r>
            <w:r w:rsidR="004D628B" w:rsidRPr="00465CA3">
              <w:rPr>
                <w:rFonts w:eastAsiaTheme="minorHAnsi" w:cstheme="minorBidi"/>
                <w:lang w:eastAsia="en-US"/>
              </w:rPr>
              <w:t xml:space="preserve">Latvijas Nodokļu maksātāju tiesību asociācija, </w:t>
            </w:r>
            <w:r w:rsidRPr="00465CA3">
              <w:rPr>
                <w:rFonts w:eastAsiaTheme="minorHAnsi" w:cstheme="minorBidi"/>
                <w:lang w:eastAsia="en-US"/>
              </w:rPr>
              <w:t xml:space="preserve">biedrība “Zemnieku saeima”, biedrība “Latvijas Spēļu biznesa asociācija”, </w:t>
            </w:r>
            <w:r w:rsidRPr="00465CA3">
              <w:t>Latvijas Meža īpašnieku biedrība, Latvijas Kokrūpniecības federācija</w:t>
            </w:r>
            <w:r w:rsidRPr="00465CA3">
              <w:rPr>
                <w:rFonts w:eastAsiaTheme="minorHAnsi" w:cstheme="minorBidi"/>
                <w:lang w:eastAsia="en-US"/>
              </w:rPr>
              <w:t>.</w:t>
            </w:r>
            <w:r w:rsidRPr="00465CA3" w:rsidDel="002B34A8">
              <w:t xml:space="preserve"> </w:t>
            </w:r>
            <w:r w:rsidRPr="00465CA3">
              <w:t xml:space="preserve"> u.c. nevalstiskās organizācijas bija iesaistītas Valsts nodokļu politikas pamatnostādņu 2018.-2021.gadam apspriešanā. Tika rīkotas sanāksmes ar atsevišķu nozaru (piemēram, lauksaimniecības) organizācijām, kā arī dažādu uzņēmēju grupas (piemēram, mazo uzņēmumus) pārstāvošajām organizācijām. Diskusiju dalībnieki tika iepazīstināti gan ar īpaši sagatavotām prezentācijām par dažādiem </w:t>
            </w:r>
            <w:proofErr w:type="spellStart"/>
            <w:r w:rsidRPr="00465CA3">
              <w:t>problēmjautājumiem</w:t>
            </w:r>
            <w:proofErr w:type="spellEnd"/>
            <w:r w:rsidRPr="00465CA3">
              <w:t>, gan ar Valsts nodokļu politikas pamatnostādņu 2018.-2021.gadam</w:t>
            </w:r>
            <w:r w:rsidR="00CC5C71" w:rsidRPr="00465CA3">
              <w:t xml:space="preserve"> projektu pirms tā iesniegšanas Ministru kabinetā.</w:t>
            </w:r>
            <w:r w:rsidRPr="00465CA3">
              <w:t xml:space="preserve"> Valsts nodokļu politikas pamatnostādnēs 2018.-2021.gadam ietvertie uzdevumi ir pamats likumprojekta izstrādei.</w:t>
            </w:r>
            <w:r w:rsidR="00B730C9" w:rsidRPr="00465CA3">
              <w:t xml:space="preserve"> Valsts nodokļu politikas pamatnostādnes 2018.-2021.gadam ir apstiprinātas ar Ministru kabineta 2017.gada 24.maija rīkojumu Nr.245 “Par Valsts nodokļu politikas pamatnostādnē</w:t>
            </w:r>
            <w:r w:rsidR="00AE6E7B">
              <w:t>m</w:t>
            </w:r>
            <w:r w:rsidR="00B730C9" w:rsidRPr="00465CA3">
              <w:t>, 2018.-2021.gadam”.</w:t>
            </w:r>
          </w:p>
        </w:tc>
      </w:tr>
      <w:tr w:rsidR="008078B8" w:rsidRPr="00465CA3" w14:paraId="460C7E6A" w14:textId="77777777" w:rsidTr="00B64903">
        <w:trPr>
          <w:trHeight w:val="463"/>
          <w:jc w:val="center"/>
        </w:trPr>
        <w:tc>
          <w:tcPr>
            <w:tcW w:w="421" w:type="dxa"/>
          </w:tcPr>
          <w:p w14:paraId="6C7E05B5" w14:textId="77777777" w:rsidR="008078B8" w:rsidRPr="00465CA3" w:rsidRDefault="008078B8" w:rsidP="002431AC">
            <w:r w:rsidRPr="00465CA3">
              <w:lastRenderedPageBreak/>
              <w:t>2.</w:t>
            </w:r>
          </w:p>
        </w:tc>
        <w:tc>
          <w:tcPr>
            <w:tcW w:w="3118" w:type="dxa"/>
          </w:tcPr>
          <w:p w14:paraId="39ADE172" w14:textId="77777777" w:rsidR="008078B8" w:rsidRPr="00465CA3" w:rsidRDefault="008078B8" w:rsidP="002431AC">
            <w:r w:rsidRPr="00465CA3">
              <w:t>Sabiedrības līdzdalība projekta izstrādē</w:t>
            </w:r>
          </w:p>
        </w:tc>
        <w:tc>
          <w:tcPr>
            <w:tcW w:w="6074" w:type="dxa"/>
          </w:tcPr>
          <w:p w14:paraId="5EAEB372" w14:textId="26E7C2E6" w:rsidR="008078B8" w:rsidRPr="00465CA3" w:rsidRDefault="0038216D" w:rsidP="006B4097">
            <w:pPr>
              <w:ind w:left="82" w:right="82"/>
              <w:jc w:val="both"/>
            </w:pPr>
            <w:r w:rsidRPr="00465CA3">
              <w:t>Latvijas Brīvo arodbiedrību savienība, Latvijas Darba devēju konfederācija, Latvijas Pašvaldību savienība, Latvijas Tird</w:t>
            </w:r>
            <w:r w:rsidR="00542B06" w:rsidRPr="00465CA3">
              <w:t xml:space="preserve">zniecības un rūpniecības kamera, </w:t>
            </w:r>
            <w:r w:rsidR="00C22BA0" w:rsidRPr="00465CA3">
              <w:rPr>
                <w:rFonts w:eastAsiaTheme="minorHAnsi" w:cstheme="minorBidi"/>
                <w:lang w:eastAsia="en-US"/>
              </w:rPr>
              <w:t>Latvijas Komercbanku asociācija</w:t>
            </w:r>
            <w:r w:rsidR="00542B06" w:rsidRPr="00465CA3">
              <w:rPr>
                <w:rFonts w:eastAsiaTheme="minorHAnsi" w:cstheme="minorBidi"/>
                <w:lang w:eastAsia="en-US"/>
              </w:rPr>
              <w:t>, Latvijas Apdrošinātāju asociācija, Latvijas Nodokļu konsultantu asociācija</w:t>
            </w:r>
            <w:r w:rsidR="000B2D7B" w:rsidRPr="00465CA3">
              <w:rPr>
                <w:rFonts w:eastAsiaTheme="minorHAnsi" w:cstheme="minorBidi"/>
                <w:lang w:eastAsia="en-US"/>
              </w:rPr>
              <w:t xml:space="preserve">, </w:t>
            </w:r>
            <w:r w:rsidR="004D628B" w:rsidRPr="00465CA3">
              <w:rPr>
                <w:rFonts w:eastAsiaTheme="minorHAnsi" w:cstheme="minorBidi"/>
                <w:lang w:eastAsia="en-US"/>
              </w:rPr>
              <w:t xml:space="preserve">Latvijas Nodokļu maksātāju tiesību asociācija, </w:t>
            </w:r>
            <w:r w:rsidR="000B2D7B" w:rsidRPr="00465CA3">
              <w:rPr>
                <w:rFonts w:eastAsiaTheme="minorHAnsi" w:cstheme="minorBidi"/>
                <w:lang w:eastAsia="en-US"/>
              </w:rPr>
              <w:t>biedrība “Zemnieku saeima”, biedrība “Latvijas Spēļu biznesa asociācija”</w:t>
            </w:r>
            <w:r w:rsidR="007A4206" w:rsidRPr="00465CA3">
              <w:rPr>
                <w:rFonts w:eastAsiaTheme="minorHAnsi" w:cstheme="minorBidi"/>
                <w:lang w:eastAsia="en-US"/>
              </w:rPr>
              <w:t xml:space="preserve">, </w:t>
            </w:r>
            <w:r w:rsidR="007A4206" w:rsidRPr="00465CA3">
              <w:t>Latvijas Meža īpašnieku biedrība, Latvijas Kokrūpniecības federācija</w:t>
            </w:r>
            <w:r w:rsidR="00CC5C71" w:rsidRPr="00465CA3">
              <w:rPr>
                <w:rFonts w:eastAsiaTheme="minorHAnsi" w:cstheme="minorBidi"/>
                <w:lang w:eastAsia="en-US"/>
              </w:rPr>
              <w:t xml:space="preserve"> izteica savus priekšlikumus un ierosinājumus, sniedza atzinumus par </w:t>
            </w:r>
            <w:r w:rsidR="00CC5C71" w:rsidRPr="00465CA3">
              <w:t>Valsts nodokļu politikas pamatnostādņu 2018.-2021.gadam saturu un plānotajiem grozījumiem nodokļu likumos.</w:t>
            </w:r>
            <w:r w:rsidR="00D77A98" w:rsidRPr="00465CA3">
              <w:t xml:space="preserve"> </w:t>
            </w:r>
            <w:r w:rsidR="00D77A98" w:rsidRPr="00465CA3">
              <w:rPr>
                <w:u w:val="single"/>
              </w:rPr>
              <w:t>Likumprojektā paredzētie precizējumi prezentēti Nacionālās trīspusējās sadarbības padomes š.g. 29.jūnija sēdē.</w:t>
            </w:r>
          </w:p>
          <w:p w14:paraId="6F26FEDE" w14:textId="77777777" w:rsidR="00B64903" w:rsidRPr="00465CA3" w:rsidRDefault="00B64903" w:rsidP="006B4097">
            <w:pPr>
              <w:ind w:left="82" w:right="82"/>
              <w:jc w:val="both"/>
            </w:pPr>
          </w:p>
        </w:tc>
      </w:tr>
      <w:tr w:rsidR="007A4206" w:rsidRPr="00465CA3" w14:paraId="3B70EDAC" w14:textId="77777777" w:rsidTr="00B64903">
        <w:trPr>
          <w:trHeight w:val="283"/>
          <w:jc w:val="center"/>
        </w:trPr>
        <w:tc>
          <w:tcPr>
            <w:tcW w:w="421" w:type="dxa"/>
            <w:tcBorders>
              <w:top w:val="single" w:sz="4" w:space="0" w:color="auto"/>
              <w:left w:val="single" w:sz="4" w:space="0" w:color="auto"/>
              <w:bottom w:val="single" w:sz="4" w:space="0" w:color="auto"/>
              <w:right w:val="single" w:sz="4" w:space="0" w:color="auto"/>
            </w:tcBorders>
          </w:tcPr>
          <w:p w14:paraId="685A7468" w14:textId="77777777" w:rsidR="007A4206" w:rsidRPr="00465CA3" w:rsidRDefault="007A4206" w:rsidP="007A4206">
            <w:r w:rsidRPr="00465CA3">
              <w:t>3.</w:t>
            </w:r>
          </w:p>
        </w:tc>
        <w:tc>
          <w:tcPr>
            <w:tcW w:w="3118" w:type="dxa"/>
            <w:tcBorders>
              <w:top w:val="single" w:sz="4" w:space="0" w:color="auto"/>
              <w:left w:val="single" w:sz="4" w:space="0" w:color="auto"/>
              <w:bottom w:val="single" w:sz="4" w:space="0" w:color="auto"/>
              <w:right w:val="single" w:sz="4" w:space="0" w:color="auto"/>
            </w:tcBorders>
          </w:tcPr>
          <w:p w14:paraId="7130BA0E" w14:textId="77777777" w:rsidR="007A4206" w:rsidRPr="00465CA3" w:rsidRDefault="007A4206" w:rsidP="007A4206">
            <w:r w:rsidRPr="00465CA3">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14:paraId="4BB009B3" w14:textId="552A46E4" w:rsidR="002B129D" w:rsidRPr="00465CA3" w:rsidRDefault="007A4206" w:rsidP="0091755A">
            <w:pPr>
              <w:ind w:left="82" w:right="82"/>
              <w:jc w:val="both"/>
            </w:pPr>
            <w:r w:rsidRPr="00465CA3">
              <w:t>Likumprojekta izstrādē tika izvērtēti un analizēti Latvijas Brīvo arodbiedrību savienība</w:t>
            </w:r>
            <w:r w:rsidR="00D44F9D" w:rsidRPr="00465CA3">
              <w:t>s</w:t>
            </w:r>
            <w:r w:rsidRPr="00465CA3">
              <w:t>, Latvijas Darba devēju konfederācija</w:t>
            </w:r>
            <w:r w:rsidR="00D44F9D" w:rsidRPr="00465CA3">
              <w:t>s</w:t>
            </w:r>
            <w:r w:rsidRPr="00465CA3">
              <w:t>, Latvijas Pašvaldību savienība</w:t>
            </w:r>
            <w:r w:rsidR="00D44F9D" w:rsidRPr="00465CA3">
              <w:t>s</w:t>
            </w:r>
            <w:r w:rsidRPr="00465CA3">
              <w:t>, Latvijas Tirdzniecības un rūpniecības kamera</w:t>
            </w:r>
            <w:r w:rsidR="00D44F9D" w:rsidRPr="00465CA3">
              <w:t>s</w:t>
            </w:r>
            <w:r w:rsidRPr="00465CA3">
              <w:t xml:space="preserve">, </w:t>
            </w:r>
            <w:r w:rsidRPr="00465CA3">
              <w:rPr>
                <w:rFonts w:eastAsiaTheme="minorHAnsi" w:cstheme="minorBidi"/>
                <w:lang w:eastAsia="en-US"/>
              </w:rPr>
              <w:t>Latvijas Komercbanku asociācija</w:t>
            </w:r>
            <w:r w:rsidR="00D44F9D" w:rsidRPr="00465CA3">
              <w:rPr>
                <w:rFonts w:eastAsiaTheme="minorHAnsi" w:cstheme="minorBidi"/>
                <w:lang w:eastAsia="en-US"/>
              </w:rPr>
              <w:t>s</w:t>
            </w:r>
            <w:r w:rsidRPr="00465CA3">
              <w:rPr>
                <w:rFonts w:eastAsiaTheme="minorHAnsi" w:cstheme="minorBidi"/>
                <w:lang w:eastAsia="en-US"/>
              </w:rPr>
              <w:t>, Latvijas Apdrošinātāju asociācija</w:t>
            </w:r>
            <w:r w:rsidR="00D44F9D" w:rsidRPr="00465CA3">
              <w:rPr>
                <w:rFonts w:eastAsiaTheme="minorHAnsi" w:cstheme="minorBidi"/>
                <w:lang w:eastAsia="en-US"/>
              </w:rPr>
              <w:t>s</w:t>
            </w:r>
            <w:r w:rsidRPr="00465CA3">
              <w:rPr>
                <w:rFonts w:eastAsiaTheme="minorHAnsi" w:cstheme="minorBidi"/>
                <w:lang w:eastAsia="en-US"/>
              </w:rPr>
              <w:t xml:space="preserve">, Latvijas Nodokļu konsultantu asociācijas, </w:t>
            </w:r>
            <w:r w:rsidR="004D628B" w:rsidRPr="00465CA3">
              <w:rPr>
                <w:rFonts w:eastAsiaTheme="minorHAnsi" w:cstheme="minorBidi"/>
                <w:lang w:eastAsia="en-US"/>
              </w:rPr>
              <w:t xml:space="preserve">Latvijas Nodokļu maksātāju tiesību asociācijas, </w:t>
            </w:r>
            <w:r w:rsidRPr="00465CA3">
              <w:rPr>
                <w:rFonts w:eastAsiaTheme="minorHAnsi" w:cstheme="minorBidi"/>
                <w:lang w:eastAsia="en-US"/>
              </w:rPr>
              <w:t xml:space="preserve">biedrības “Zemnieku saeima”, biedrības “Latvijas Spēļu biznesa asociācija”, </w:t>
            </w:r>
            <w:r w:rsidRPr="00465CA3">
              <w:t>Latvijas Meža īpašnieku biedrības, Latvijas Kokrūpniecības federācijas priekšlikum</w:t>
            </w:r>
            <w:r w:rsidR="00B730C9" w:rsidRPr="00465CA3">
              <w:t>i.</w:t>
            </w:r>
            <w:r w:rsidR="00CC5C71" w:rsidRPr="00465CA3">
              <w:t xml:space="preserve"> </w:t>
            </w:r>
            <w:r w:rsidR="00B730C9" w:rsidRPr="00465CA3">
              <w:t>L</w:t>
            </w:r>
            <w:r w:rsidR="00CC5C71" w:rsidRPr="00465CA3">
              <w:t xml:space="preserve">ielākā daļa </w:t>
            </w:r>
            <w:r w:rsidR="00B730C9" w:rsidRPr="00465CA3">
              <w:t xml:space="preserve">priekšlikumu ir </w:t>
            </w:r>
            <w:r w:rsidR="00CC5C71" w:rsidRPr="00465CA3">
              <w:t xml:space="preserve">ņemta vērā likumprojekta izstrādē. </w:t>
            </w:r>
            <w:r w:rsidR="002B129D" w:rsidRPr="00465CA3">
              <w:rPr>
                <w:u w:val="single"/>
              </w:rPr>
              <w:t xml:space="preserve">Likumprojektā paredzētie precizējumi akceptēti Nacionālās trīspusējās sadarbības padomes š.g. 29.jūnija sēdē. </w:t>
            </w:r>
            <w:r w:rsidR="00CC5C71" w:rsidRPr="00465CA3">
              <w:t xml:space="preserve">Nav panākta vienošanās par atsevišķiem jautājumiem – piemēram, </w:t>
            </w:r>
            <w:r w:rsidR="00DC72FF" w:rsidRPr="00465CA3">
              <w:t>par biedrības “Latvijas Spēļu biznesa asociācija” iebildumu pret laimest</w:t>
            </w:r>
            <w:r w:rsidR="00821FCB" w:rsidRPr="00465CA3">
              <w:t>a</w:t>
            </w:r>
            <w:r w:rsidR="00DC72FF" w:rsidRPr="00465CA3">
              <w:t xml:space="preserve"> aplikšanu ar iedzīvotāju ienākuma nodokli, ja laimest</w:t>
            </w:r>
            <w:r w:rsidR="00821FCB" w:rsidRPr="00465CA3">
              <w:t>a</w:t>
            </w:r>
            <w:r w:rsidR="00DC72FF" w:rsidRPr="00465CA3">
              <w:t xml:space="preserve"> apmērs pārsniedz 3 000 </w:t>
            </w:r>
            <w:proofErr w:type="spellStart"/>
            <w:r w:rsidR="005A1D33" w:rsidRPr="005A1D33">
              <w:rPr>
                <w:i/>
              </w:rPr>
              <w:t>euro</w:t>
            </w:r>
            <w:proofErr w:type="spellEnd"/>
            <w:r w:rsidR="004D628B" w:rsidRPr="00465CA3">
              <w:t>.</w:t>
            </w:r>
          </w:p>
        </w:tc>
      </w:tr>
      <w:tr w:rsidR="007A4206" w:rsidRPr="00465CA3" w14:paraId="206DDA26" w14:textId="77777777" w:rsidTr="00B64903">
        <w:trPr>
          <w:trHeight w:val="279"/>
          <w:jc w:val="center"/>
        </w:trPr>
        <w:tc>
          <w:tcPr>
            <w:tcW w:w="421" w:type="dxa"/>
          </w:tcPr>
          <w:p w14:paraId="765AAA8F" w14:textId="77777777" w:rsidR="007A4206" w:rsidRPr="00465CA3" w:rsidRDefault="007A4206" w:rsidP="007A4206">
            <w:r w:rsidRPr="00465CA3">
              <w:lastRenderedPageBreak/>
              <w:t>4.</w:t>
            </w:r>
          </w:p>
        </w:tc>
        <w:tc>
          <w:tcPr>
            <w:tcW w:w="3118" w:type="dxa"/>
          </w:tcPr>
          <w:p w14:paraId="0F4E304E" w14:textId="77777777" w:rsidR="007A4206" w:rsidRPr="00465CA3" w:rsidRDefault="007A4206" w:rsidP="007A4206">
            <w:r w:rsidRPr="00465CA3">
              <w:t>Cita informācija</w:t>
            </w:r>
          </w:p>
        </w:tc>
        <w:tc>
          <w:tcPr>
            <w:tcW w:w="6074" w:type="dxa"/>
          </w:tcPr>
          <w:p w14:paraId="459FD9A8" w14:textId="77777777" w:rsidR="007A4206" w:rsidRPr="00465CA3" w:rsidRDefault="007A4206" w:rsidP="007A4206">
            <w:r w:rsidRPr="00465CA3">
              <w:t>Nav.</w:t>
            </w:r>
          </w:p>
        </w:tc>
      </w:tr>
    </w:tbl>
    <w:p w14:paraId="3156AEA9" w14:textId="77777777" w:rsidR="008078B8" w:rsidRPr="00465CA3"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606"/>
        <w:gridCol w:w="6647"/>
      </w:tblGrid>
      <w:tr w:rsidR="008078B8" w:rsidRPr="00465CA3" w14:paraId="2D0A8A4B" w14:textId="77777777" w:rsidTr="0098659D">
        <w:trPr>
          <w:trHeight w:val="381"/>
          <w:jc w:val="center"/>
        </w:trPr>
        <w:tc>
          <w:tcPr>
            <w:tcW w:w="9720" w:type="dxa"/>
            <w:gridSpan w:val="3"/>
            <w:vAlign w:val="center"/>
          </w:tcPr>
          <w:p w14:paraId="65774E7A" w14:textId="77777777" w:rsidR="008078B8" w:rsidRPr="00465CA3" w:rsidRDefault="008078B8" w:rsidP="002431AC">
            <w:pPr>
              <w:pStyle w:val="naisnod"/>
              <w:spacing w:before="0" w:after="0"/>
              <w:ind w:left="57" w:right="57"/>
              <w:rPr>
                <w:lang w:val="lv-LV"/>
              </w:rPr>
            </w:pPr>
            <w:r w:rsidRPr="00465CA3">
              <w:rPr>
                <w:lang w:val="lv-LV"/>
              </w:rPr>
              <w:t>VII. Tiesību akta projekta izpildes nodrošināšana un tās ietekme uz institūcijām</w:t>
            </w:r>
          </w:p>
        </w:tc>
      </w:tr>
      <w:tr w:rsidR="008078B8" w:rsidRPr="00465CA3" w14:paraId="51E47E77" w14:textId="77777777" w:rsidTr="0098659D">
        <w:trPr>
          <w:trHeight w:val="427"/>
          <w:jc w:val="center"/>
        </w:trPr>
        <w:tc>
          <w:tcPr>
            <w:tcW w:w="467" w:type="dxa"/>
          </w:tcPr>
          <w:p w14:paraId="08682F46" w14:textId="77777777" w:rsidR="008078B8" w:rsidRPr="00465CA3" w:rsidRDefault="008078B8" w:rsidP="002431AC">
            <w:pPr>
              <w:pStyle w:val="naisnod"/>
              <w:spacing w:before="0" w:after="0"/>
              <w:ind w:left="57" w:right="57"/>
              <w:jc w:val="both"/>
              <w:rPr>
                <w:b w:val="0"/>
                <w:lang w:val="lv-LV"/>
              </w:rPr>
            </w:pPr>
            <w:r w:rsidRPr="00465CA3">
              <w:rPr>
                <w:b w:val="0"/>
                <w:lang w:val="lv-LV"/>
              </w:rPr>
              <w:t>1.</w:t>
            </w:r>
          </w:p>
        </w:tc>
        <w:tc>
          <w:tcPr>
            <w:tcW w:w="2606" w:type="dxa"/>
          </w:tcPr>
          <w:p w14:paraId="1FEA439C" w14:textId="77777777" w:rsidR="008078B8" w:rsidRPr="00465CA3" w:rsidRDefault="008078B8" w:rsidP="00C22BA0">
            <w:pPr>
              <w:pStyle w:val="naisf"/>
              <w:spacing w:before="0" w:after="0"/>
              <w:ind w:left="57" w:right="57" w:firstLine="0"/>
            </w:pPr>
            <w:r w:rsidRPr="00465CA3">
              <w:t>Projekta izpildē iesaistītās institūcijas</w:t>
            </w:r>
          </w:p>
        </w:tc>
        <w:tc>
          <w:tcPr>
            <w:tcW w:w="6647" w:type="dxa"/>
          </w:tcPr>
          <w:p w14:paraId="79306D78" w14:textId="77777777" w:rsidR="008078B8" w:rsidRPr="00465CA3" w:rsidRDefault="005563EC" w:rsidP="005563EC">
            <w:pPr>
              <w:shd w:val="clear" w:color="auto" w:fill="FFFFFF"/>
              <w:jc w:val="both"/>
            </w:pPr>
            <w:r w:rsidRPr="00465CA3">
              <w:rPr>
                <w:iCs/>
              </w:rPr>
              <w:t>Valsts ieņēmumu dienests.</w:t>
            </w:r>
          </w:p>
        </w:tc>
      </w:tr>
      <w:tr w:rsidR="008078B8" w:rsidRPr="00465CA3" w14:paraId="2758FC6A" w14:textId="77777777" w:rsidTr="0098659D">
        <w:trPr>
          <w:trHeight w:val="463"/>
          <w:jc w:val="center"/>
        </w:trPr>
        <w:tc>
          <w:tcPr>
            <w:tcW w:w="467" w:type="dxa"/>
          </w:tcPr>
          <w:p w14:paraId="45D48E65" w14:textId="77777777" w:rsidR="008078B8" w:rsidRPr="00465CA3" w:rsidRDefault="008078B8" w:rsidP="002431AC">
            <w:pPr>
              <w:pStyle w:val="naisnod"/>
              <w:spacing w:before="0" w:after="0"/>
              <w:ind w:left="57" w:right="57"/>
              <w:jc w:val="both"/>
              <w:rPr>
                <w:b w:val="0"/>
                <w:lang w:val="lv-LV"/>
              </w:rPr>
            </w:pPr>
            <w:r w:rsidRPr="00465CA3">
              <w:rPr>
                <w:b w:val="0"/>
                <w:lang w:val="lv-LV"/>
              </w:rPr>
              <w:t>2.</w:t>
            </w:r>
          </w:p>
        </w:tc>
        <w:tc>
          <w:tcPr>
            <w:tcW w:w="2606" w:type="dxa"/>
          </w:tcPr>
          <w:p w14:paraId="06679981" w14:textId="77777777" w:rsidR="008078B8" w:rsidRPr="00465CA3" w:rsidRDefault="008078B8" w:rsidP="00C22BA0">
            <w:pPr>
              <w:pStyle w:val="naisf"/>
              <w:spacing w:before="0" w:after="0"/>
              <w:ind w:left="57" w:right="57" w:firstLine="0"/>
            </w:pPr>
            <w:r w:rsidRPr="00465CA3">
              <w:t>Projekta izpildes ietekme uz pār</w:t>
            </w:r>
            <w:r w:rsidRPr="00465CA3">
              <w:softHyphen/>
              <w:t>valdes funkcijām un institucionālo struktūru.</w:t>
            </w:r>
          </w:p>
          <w:p w14:paraId="4F78910D" w14:textId="77777777" w:rsidR="008078B8" w:rsidRPr="00465CA3" w:rsidRDefault="008078B8" w:rsidP="00C22BA0">
            <w:pPr>
              <w:pStyle w:val="naisf"/>
              <w:spacing w:before="0" w:after="0"/>
              <w:ind w:left="57" w:right="57" w:firstLine="0"/>
            </w:pPr>
            <w:r w:rsidRPr="00465CA3">
              <w:t>Jaunu institūciju izveide, esošu institūciju likvidācija vai reorga</w:t>
            </w:r>
            <w:r w:rsidRPr="00465CA3">
              <w:softHyphen/>
              <w:t>nizācija, to ietekme uz institūcijas cilvēkresursiem</w:t>
            </w:r>
          </w:p>
        </w:tc>
        <w:tc>
          <w:tcPr>
            <w:tcW w:w="6647" w:type="dxa"/>
          </w:tcPr>
          <w:p w14:paraId="5F61797C" w14:textId="77777777" w:rsidR="001F4FF9" w:rsidRPr="00465CA3" w:rsidRDefault="001F4FF9" w:rsidP="002431AC">
            <w:pPr>
              <w:shd w:val="clear" w:color="auto" w:fill="FFFFFF"/>
              <w:jc w:val="both"/>
            </w:pPr>
            <w:r w:rsidRPr="00465CA3">
              <w:t>Funkcijas un uzdevumi netiek grozīti.</w:t>
            </w:r>
          </w:p>
          <w:p w14:paraId="397E7B1D" w14:textId="77777777" w:rsidR="001F4FF9" w:rsidRPr="00465CA3" w:rsidRDefault="001F4FF9" w:rsidP="002431AC">
            <w:pPr>
              <w:shd w:val="clear" w:color="auto" w:fill="FFFFFF"/>
              <w:jc w:val="both"/>
            </w:pPr>
            <w:r w:rsidRPr="00465CA3">
              <w:rPr>
                <w:rFonts w:eastAsia="Calibri"/>
                <w:lang w:eastAsia="en-US"/>
              </w:rPr>
              <w:t>Jaunas institūcijas nav nepieciešams izveidot.</w:t>
            </w:r>
          </w:p>
          <w:p w14:paraId="4445E50C" w14:textId="77777777" w:rsidR="001F4FF9" w:rsidRPr="00465CA3" w:rsidRDefault="001F4FF9" w:rsidP="002431AC">
            <w:pPr>
              <w:shd w:val="clear" w:color="auto" w:fill="FFFFFF"/>
              <w:jc w:val="both"/>
            </w:pPr>
            <w:r w:rsidRPr="00465CA3">
              <w:rPr>
                <w:rFonts w:eastAsia="Calibri"/>
                <w:lang w:eastAsia="en-US"/>
              </w:rPr>
              <w:t>Nav plānota esošu institūciju likvidācija vai reorganizācija.</w:t>
            </w:r>
          </w:p>
          <w:p w14:paraId="4870CB36" w14:textId="77777777" w:rsidR="008078B8" w:rsidRPr="00465CA3" w:rsidRDefault="008078B8" w:rsidP="002431AC">
            <w:pPr>
              <w:shd w:val="clear" w:color="auto" w:fill="FFFFFF"/>
              <w:jc w:val="both"/>
            </w:pPr>
          </w:p>
          <w:p w14:paraId="2A30A5E5" w14:textId="77777777" w:rsidR="008078B8" w:rsidRPr="00465CA3" w:rsidRDefault="008078B8" w:rsidP="002431AC">
            <w:pPr>
              <w:shd w:val="clear" w:color="auto" w:fill="FFFFFF"/>
              <w:jc w:val="both"/>
            </w:pPr>
          </w:p>
        </w:tc>
      </w:tr>
      <w:tr w:rsidR="008078B8" w:rsidRPr="00465CA3" w14:paraId="72386383" w14:textId="77777777" w:rsidTr="0098659D">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1BD82728" w14:textId="77777777" w:rsidR="008078B8" w:rsidRPr="00465CA3" w:rsidRDefault="008078B8" w:rsidP="002431AC">
            <w:pPr>
              <w:pStyle w:val="naisnod"/>
              <w:spacing w:before="0" w:after="0"/>
              <w:ind w:left="57" w:right="57"/>
              <w:jc w:val="both"/>
              <w:rPr>
                <w:b w:val="0"/>
                <w:lang w:val="lv-LV"/>
              </w:rPr>
            </w:pPr>
            <w:r w:rsidRPr="00465CA3">
              <w:rPr>
                <w:b w:val="0"/>
                <w:lang w:val="lv-LV"/>
              </w:rPr>
              <w:t>3.</w:t>
            </w:r>
          </w:p>
        </w:tc>
        <w:tc>
          <w:tcPr>
            <w:tcW w:w="2606" w:type="dxa"/>
            <w:tcBorders>
              <w:top w:val="single" w:sz="4" w:space="0" w:color="auto"/>
              <w:left w:val="single" w:sz="4" w:space="0" w:color="auto"/>
              <w:bottom w:val="single" w:sz="4" w:space="0" w:color="auto"/>
              <w:right w:val="single" w:sz="4" w:space="0" w:color="auto"/>
            </w:tcBorders>
          </w:tcPr>
          <w:p w14:paraId="4E62E94B" w14:textId="77777777" w:rsidR="008078B8" w:rsidRPr="00465CA3" w:rsidRDefault="008078B8" w:rsidP="004A2D80">
            <w:pPr>
              <w:pStyle w:val="naisf"/>
              <w:spacing w:before="0" w:after="0"/>
              <w:ind w:right="57" w:firstLine="0"/>
            </w:pPr>
            <w:r w:rsidRPr="00465CA3">
              <w:t>Cita informācija</w:t>
            </w:r>
          </w:p>
        </w:tc>
        <w:tc>
          <w:tcPr>
            <w:tcW w:w="6647" w:type="dxa"/>
            <w:tcBorders>
              <w:top w:val="single" w:sz="4" w:space="0" w:color="auto"/>
              <w:left w:val="single" w:sz="4" w:space="0" w:color="auto"/>
              <w:bottom w:val="single" w:sz="4" w:space="0" w:color="auto"/>
              <w:right w:val="single" w:sz="4" w:space="0" w:color="auto"/>
            </w:tcBorders>
          </w:tcPr>
          <w:p w14:paraId="439CD230" w14:textId="77777777" w:rsidR="008078B8" w:rsidRPr="00465CA3" w:rsidRDefault="008078B8" w:rsidP="002431AC">
            <w:pPr>
              <w:ind w:right="57"/>
              <w:jc w:val="both"/>
            </w:pPr>
            <w:r w:rsidRPr="00465CA3">
              <w:t>Nav.</w:t>
            </w:r>
          </w:p>
        </w:tc>
      </w:tr>
    </w:tbl>
    <w:p w14:paraId="784E7DE4" w14:textId="3ED75556" w:rsidR="00A43FDF" w:rsidRDefault="00A43FDF" w:rsidP="009A35C1">
      <w:pPr>
        <w:pStyle w:val="naisf"/>
        <w:tabs>
          <w:tab w:val="right" w:pos="9000"/>
        </w:tabs>
        <w:spacing w:before="0" w:after="0"/>
        <w:ind w:firstLine="709"/>
        <w:rPr>
          <w:sz w:val="28"/>
          <w:szCs w:val="28"/>
        </w:rPr>
      </w:pPr>
    </w:p>
    <w:p w14:paraId="65F18C2C" w14:textId="77777777" w:rsidR="00A56001" w:rsidRPr="00465CA3" w:rsidRDefault="00A56001" w:rsidP="009A35C1">
      <w:pPr>
        <w:pStyle w:val="naisf"/>
        <w:tabs>
          <w:tab w:val="right" w:pos="9000"/>
        </w:tabs>
        <w:spacing w:before="0" w:after="0"/>
        <w:ind w:firstLine="709"/>
        <w:rPr>
          <w:sz w:val="28"/>
          <w:szCs w:val="28"/>
        </w:rPr>
      </w:pPr>
    </w:p>
    <w:p w14:paraId="764083D8" w14:textId="77777777" w:rsidR="00A43FDF" w:rsidRPr="00465CA3" w:rsidRDefault="000B2D7B" w:rsidP="009A35C1">
      <w:pPr>
        <w:tabs>
          <w:tab w:val="left" w:pos="6521"/>
          <w:tab w:val="right" w:pos="8820"/>
        </w:tabs>
        <w:ind w:firstLine="709"/>
      </w:pPr>
      <w:r w:rsidRPr="00465CA3">
        <w:t>Finanšu ministre</w:t>
      </w:r>
      <w:r w:rsidRPr="00465CA3">
        <w:tab/>
        <w:t xml:space="preserve">D. </w:t>
      </w:r>
      <w:r w:rsidR="00A43FDF" w:rsidRPr="00465CA3">
        <w:t>Reizniece-Ozola</w:t>
      </w:r>
    </w:p>
    <w:p w14:paraId="6A6436B7" w14:textId="59284E57" w:rsidR="00B64903" w:rsidRDefault="00B64903" w:rsidP="002431AC">
      <w:pPr>
        <w:rPr>
          <w:iCs/>
          <w:sz w:val="20"/>
          <w:szCs w:val="20"/>
        </w:rPr>
      </w:pPr>
    </w:p>
    <w:p w14:paraId="7A52522B" w14:textId="4F43F644" w:rsidR="00A56001" w:rsidRDefault="00A56001" w:rsidP="002431AC">
      <w:pPr>
        <w:rPr>
          <w:iCs/>
          <w:sz w:val="20"/>
          <w:szCs w:val="20"/>
        </w:rPr>
      </w:pPr>
    </w:p>
    <w:p w14:paraId="7D4B6E62" w14:textId="38A6043E" w:rsidR="00A56001" w:rsidRDefault="00A56001" w:rsidP="002431AC">
      <w:pPr>
        <w:rPr>
          <w:iCs/>
          <w:sz w:val="20"/>
          <w:szCs w:val="20"/>
        </w:rPr>
      </w:pPr>
    </w:p>
    <w:p w14:paraId="53FD8A46" w14:textId="7561DD5A" w:rsidR="00A56001" w:rsidRDefault="00A56001" w:rsidP="002431AC">
      <w:pPr>
        <w:rPr>
          <w:iCs/>
          <w:sz w:val="20"/>
          <w:szCs w:val="20"/>
        </w:rPr>
      </w:pPr>
    </w:p>
    <w:p w14:paraId="4675C5F9" w14:textId="47B62B1B" w:rsidR="00A56001" w:rsidRDefault="00A56001" w:rsidP="002431AC">
      <w:pPr>
        <w:rPr>
          <w:iCs/>
          <w:sz w:val="20"/>
          <w:szCs w:val="20"/>
        </w:rPr>
      </w:pPr>
    </w:p>
    <w:p w14:paraId="32A09090" w14:textId="77777777" w:rsidR="00A56001" w:rsidRPr="00465CA3" w:rsidRDefault="00A56001" w:rsidP="002431AC">
      <w:pPr>
        <w:rPr>
          <w:iCs/>
          <w:sz w:val="20"/>
          <w:szCs w:val="20"/>
        </w:rPr>
      </w:pPr>
    </w:p>
    <w:p w14:paraId="4579639F" w14:textId="77777777" w:rsidR="003128AB" w:rsidRPr="00465CA3" w:rsidRDefault="003128AB" w:rsidP="002431AC">
      <w:pPr>
        <w:rPr>
          <w:iCs/>
          <w:sz w:val="20"/>
          <w:szCs w:val="20"/>
        </w:rPr>
      </w:pPr>
      <w:r w:rsidRPr="00465CA3">
        <w:rPr>
          <w:iCs/>
          <w:sz w:val="20"/>
          <w:szCs w:val="20"/>
        </w:rPr>
        <w:t>Orehova 67095494</w:t>
      </w:r>
    </w:p>
    <w:p w14:paraId="5CEF9431" w14:textId="77777777" w:rsidR="003128AB" w:rsidRPr="00465CA3" w:rsidRDefault="000C5F53" w:rsidP="002431AC">
      <w:pPr>
        <w:rPr>
          <w:iCs/>
          <w:sz w:val="20"/>
          <w:szCs w:val="20"/>
        </w:rPr>
      </w:pPr>
      <w:hyperlink r:id="rId14" w:history="1">
        <w:r w:rsidR="003128AB" w:rsidRPr="00465CA3">
          <w:rPr>
            <w:rStyle w:val="Hyperlink"/>
            <w:sz w:val="20"/>
            <w:szCs w:val="20"/>
          </w:rPr>
          <w:t>Anda.Orehova@fm.gov.lv</w:t>
        </w:r>
      </w:hyperlink>
      <w:r w:rsidR="003128AB" w:rsidRPr="00465CA3">
        <w:rPr>
          <w:iCs/>
          <w:sz w:val="20"/>
          <w:szCs w:val="20"/>
        </w:rPr>
        <w:t xml:space="preserve"> </w:t>
      </w:r>
    </w:p>
    <w:p w14:paraId="6E14F5F0" w14:textId="77777777" w:rsidR="003128AB" w:rsidRPr="00465CA3" w:rsidRDefault="003128AB" w:rsidP="002431AC">
      <w:pPr>
        <w:rPr>
          <w:iCs/>
          <w:sz w:val="20"/>
          <w:szCs w:val="20"/>
        </w:rPr>
      </w:pPr>
    </w:p>
    <w:p w14:paraId="352BE5BC" w14:textId="77777777" w:rsidR="00EE3D21" w:rsidRPr="00465CA3" w:rsidRDefault="00EE3D21" w:rsidP="002431AC">
      <w:pPr>
        <w:rPr>
          <w:sz w:val="20"/>
          <w:szCs w:val="16"/>
          <w:lang w:eastAsia="en-US"/>
        </w:rPr>
      </w:pPr>
      <w:r w:rsidRPr="00465CA3">
        <w:rPr>
          <w:sz w:val="20"/>
        </w:rPr>
        <w:t>Veinberga 67083848</w:t>
      </w:r>
    </w:p>
    <w:p w14:paraId="70192659" w14:textId="77777777" w:rsidR="00A43FDF" w:rsidRPr="00465CA3" w:rsidRDefault="000C5F53" w:rsidP="002431AC">
      <w:pPr>
        <w:jc w:val="both"/>
        <w:rPr>
          <w:color w:val="0000FF"/>
          <w:sz w:val="20"/>
          <w:u w:val="single"/>
        </w:rPr>
      </w:pPr>
      <w:hyperlink r:id="rId15" w:history="1">
        <w:r w:rsidR="00EE3D21" w:rsidRPr="00465CA3">
          <w:rPr>
            <w:color w:val="0000FF"/>
            <w:sz w:val="20"/>
            <w:u w:val="single"/>
          </w:rPr>
          <w:t>Inese.Veinberga@fm.gov.lv</w:t>
        </w:r>
      </w:hyperlink>
    </w:p>
    <w:sectPr w:rsidR="00A43FDF" w:rsidRPr="00465CA3" w:rsidSect="002E4EAC">
      <w:headerReference w:type="even" r:id="rId16"/>
      <w:headerReference w:type="default" r:id="rId17"/>
      <w:footerReference w:type="even" r:id="rId18"/>
      <w:footerReference w:type="default" r:id="rId19"/>
      <w:footerReference w:type="first" r:id="rId20"/>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F8A2" w14:textId="77777777" w:rsidR="000C5F53" w:rsidRDefault="000C5F53">
      <w:r>
        <w:separator/>
      </w:r>
    </w:p>
  </w:endnote>
  <w:endnote w:type="continuationSeparator" w:id="0">
    <w:p w14:paraId="381AD96A" w14:textId="77777777" w:rsidR="000C5F53" w:rsidRDefault="000C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C5E" w14:textId="77777777" w:rsidR="00A03D70" w:rsidRDefault="00A03D70"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A7CF2C" w14:textId="77777777" w:rsidR="00A03D70" w:rsidRDefault="00A03D70"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544A" w14:textId="6231F916" w:rsidR="00A03D70" w:rsidRPr="003424AC" w:rsidRDefault="00A03D70"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FMAnot_050717_IINgroz.docx</w:t>
    </w:r>
    <w:r>
      <w:rPr>
        <w:sz w:val="20"/>
        <w:szCs w:val="20"/>
      </w:rPr>
      <w:fldChar w:fldCharType="end"/>
    </w:r>
    <w:r w:rsidRPr="001E4890">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410A" w14:textId="1D0F32BB" w:rsidR="00A03D70" w:rsidRPr="003424AC" w:rsidRDefault="00A03D70" w:rsidP="004B3A7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FMAnot_050717_IINgroz.docx</w:t>
    </w:r>
    <w:r>
      <w:rPr>
        <w:sz w:val="20"/>
        <w:szCs w:val="20"/>
      </w:rPr>
      <w:fldChar w:fldCharType="end"/>
    </w:r>
    <w:r w:rsidRPr="001E4890">
      <w:rPr>
        <w:sz w:val="20"/>
        <w:szCs w:val="20"/>
      </w:rPr>
      <w:t xml:space="preserve"> </w:t>
    </w:r>
  </w:p>
  <w:p w14:paraId="1144096F" w14:textId="77777777" w:rsidR="00A03D70" w:rsidRPr="003424AC" w:rsidRDefault="00A03D70" w:rsidP="003424AC">
    <w:pPr>
      <w:tabs>
        <w:tab w:val="left" w:pos="709"/>
      </w:tab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DF81" w14:textId="77777777" w:rsidR="000C5F53" w:rsidRDefault="000C5F53">
      <w:r>
        <w:separator/>
      </w:r>
    </w:p>
  </w:footnote>
  <w:footnote w:type="continuationSeparator" w:id="0">
    <w:p w14:paraId="3F3B1691" w14:textId="77777777" w:rsidR="000C5F53" w:rsidRDefault="000C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4996" w14:textId="77777777" w:rsidR="00A03D70" w:rsidRDefault="00A03D70"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AF73B" w14:textId="77777777" w:rsidR="00A03D70" w:rsidRDefault="00A0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FBFD" w14:textId="7405C50F" w:rsidR="00A03D70" w:rsidRDefault="00A03D70"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B14">
      <w:rPr>
        <w:rStyle w:val="PageNumber"/>
        <w:noProof/>
      </w:rPr>
      <w:t>21</w:t>
    </w:r>
    <w:r>
      <w:rPr>
        <w:rStyle w:val="PageNumber"/>
      </w:rPr>
      <w:fldChar w:fldCharType="end"/>
    </w:r>
  </w:p>
  <w:p w14:paraId="0F1DE32B" w14:textId="77777777" w:rsidR="00A03D70" w:rsidRPr="004F7101" w:rsidRDefault="00A03D70"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8151C"/>
    <w:multiLevelType w:val="hybridMultilevel"/>
    <w:tmpl w:val="1C6802E8"/>
    <w:lvl w:ilvl="0" w:tplc="BDAE70D6">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946003"/>
    <w:multiLevelType w:val="hybridMultilevel"/>
    <w:tmpl w:val="4E244110"/>
    <w:lvl w:ilvl="0" w:tplc="04260011">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9"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0"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0"/>
  </w:num>
  <w:num w:numId="6">
    <w:abstractNumId w:val="5"/>
  </w:num>
  <w:num w:numId="7">
    <w:abstractNumId w:val="3"/>
  </w:num>
  <w:num w:numId="8">
    <w:abstractNumId w:val="7"/>
  </w:num>
  <w:num w:numId="9">
    <w:abstractNumId w:val="11"/>
  </w:num>
  <w:num w:numId="10">
    <w:abstractNumId w:val="12"/>
  </w:num>
  <w:num w:numId="11">
    <w:abstractNumId w:val="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952"/>
    <w:rsid w:val="00002C14"/>
    <w:rsid w:val="00003633"/>
    <w:rsid w:val="00010698"/>
    <w:rsid w:val="00011432"/>
    <w:rsid w:val="00011ED2"/>
    <w:rsid w:val="00012DFA"/>
    <w:rsid w:val="0001378E"/>
    <w:rsid w:val="000142E6"/>
    <w:rsid w:val="00014CDC"/>
    <w:rsid w:val="00016A43"/>
    <w:rsid w:val="0001718B"/>
    <w:rsid w:val="0002043D"/>
    <w:rsid w:val="000215CC"/>
    <w:rsid w:val="00021B0B"/>
    <w:rsid w:val="0002317F"/>
    <w:rsid w:val="00023D4B"/>
    <w:rsid w:val="00026585"/>
    <w:rsid w:val="00026B38"/>
    <w:rsid w:val="00026C4D"/>
    <w:rsid w:val="00027D92"/>
    <w:rsid w:val="00030430"/>
    <w:rsid w:val="0003067D"/>
    <w:rsid w:val="00031178"/>
    <w:rsid w:val="00031574"/>
    <w:rsid w:val="0003205A"/>
    <w:rsid w:val="00032913"/>
    <w:rsid w:val="0003342F"/>
    <w:rsid w:val="00034373"/>
    <w:rsid w:val="00035354"/>
    <w:rsid w:val="00036312"/>
    <w:rsid w:val="00037B40"/>
    <w:rsid w:val="00037DA3"/>
    <w:rsid w:val="00037FAF"/>
    <w:rsid w:val="00040E0A"/>
    <w:rsid w:val="0004140E"/>
    <w:rsid w:val="00042338"/>
    <w:rsid w:val="000458F3"/>
    <w:rsid w:val="00047364"/>
    <w:rsid w:val="00047D53"/>
    <w:rsid w:val="00051A01"/>
    <w:rsid w:val="00052654"/>
    <w:rsid w:val="00052B2C"/>
    <w:rsid w:val="00053620"/>
    <w:rsid w:val="00054CDF"/>
    <w:rsid w:val="00055235"/>
    <w:rsid w:val="000554C1"/>
    <w:rsid w:val="0005558D"/>
    <w:rsid w:val="00056D4F"/>
    <w:rsid w:val="0005736C"/>
    <w:rsid w:val="00060EB8"/>
    <w:rsid w:val="0006132B"/>
    <w:rsid w:val="00062165"/>
    <w:rsid w:val="000622AA"/>
    <w:rsid w:val="00062337"/>
    <w:rsid w:val="00062AC3"/>
    <w:rsid w:val="00062B41"/>
    <w:rsid w:val="00063764"/>
    <w:rsid w:val="00065A07"/>
    <w:rsid w:val="00066F29"/>
    <w:rsid w:val="00067B4D"/>
    <w:rsid w:val="0007105F"/>
    <w:rsid w:val="000714CA"/>
    <w:rsid w:val="000728B0"/>
    <w:rsid w:val="000733D6"/>
    <w:rsid w:val="0007487C"/>
    <w:rsid w:val="00074981"/>
    <w:rsid w:val="000751F5"/>
    <w:rsid w:val="00075321"/>
    <w:rsid w:val="0008187B"/>
    <w:rsid w:val="000818A1"/>
    <w:rsid w:val="000829E3"/>
    <w:rsid w:val="000830FB"/>
    <w:rsid w:val="00085B64"/>
    <w:rsid w:val="000865BC"/>
    <w:rsid w:val="000869D1"/>
    <w:rsid w:val="00091B35"/>
    <w:rsid w:val="000961DA"/>
    <w:rsid w:val="00097A82"/>
    <w:rsid w:val="000A19BA"/>
    <w:rsid w:val="000A346E"/>
    <w:rsid w:val="000A3518"/>
    <w:rsid w:val="000A3996"/>
    <w:rsid w:val="000A3E14"/>
    <w:rsid w:val="000A441E"/>
    <w:rsid w:val="000A4727"/>
    <w:rsid w:val="000A4BC1"/>
    <w:rsid w:val="000A5131"/>
    <w:rsid w:val="000A716C"/>
    <w:rsid w:val="000A77FB"/>
    <w:rsid w:val="000A7E6D"/>
    <w:rsid w:val="000B07AB"/>
    <w:rsid w:val="000B0ABF"/>
    <w:rsid w:val="000B11E0"/>
    <w:rsid w:val="000B161F"/>
    <w:rsid w:val="000B1E04"/>
    <w:rsid w:val="000B2853"/>
    <w:rsid w:val="000B2D7B"/>
    <w:rsid w:val="000B393B"/>
    <w:rsid w:val="000B412C"/>
    <w:rsid w:val="000B4230"/>
    <w:rsid w:val="000B4897"/>
    <w:rsid w:val="000B7E86"/>
    <w:rsid w:val="000C104E"/>
    <w:rsid w:val="000C29F6"/>
    <w:rsid w:val="000C52B4"/>
    <w:rsid w:val="000C5DBA"/>
    <w:rsid w:val="000C5F53"/>
    <w:rsid w:val="000C74A0"/>
    <w:rsid w:val="000C7791"/>
    <w:rsid w:val="000C7F8E"/>
    <w:rsid w:val="000D001D"/>
    <w:rsid w:val="000D1D93"/>
    <w:rsid w:val="000D56AA"/>
    <w:rsid w:val="000D6B22"/>
    <w:rsid w:val="000E0A41"/>
    <w:rsid w:val="000E0D5D"/>
    <w:rsid w:val="000E1E93"/>
    <w:rsid w:val="000E2287"/>
    <w:rsid w:val="000E2426"/>
    <w:rsid w:val="000E5345"/>
    <w:rsid w:val="000E638B"/>
    <w:rsid w:val="000E65AB"/>
    <w:rsid w:val="000E6C5A"/>
    <w:rsid w:val="000E7BB9"/>
    <w:rsid w:val="000F01C4"/>
    <w:rsid w:val="000F06E2"/>
    <w:rsid w:val="000F092F"/>
    <w:rsid w:val="000F29E0"/>
    <w:rsid w:val="000F4C09"/>
    <w:rsid w:val="000F52CA"/>
    <w:rsid w:val="000F6111"/>
    <w:rsid w:val="000F758B"/>
    <w:rsid w:val="00102F39"/>
    <w:rsid w:val="001036E5"/>
    <w:rsid w:val="001044CC"/>
    <w:rsid w:val="00104785"/>
    <w:rsid w:val="0010525A"/>
    <w:rsid w:val="00106249"/>
    <w:rsid w:val="00106600"/>
    <w:rsid w:val="00106919"/>
    <w:rsid w:val="0010798A"/>
    <w:rsid w:val="0011030F"/>
    <w:rsid w:val="00110D0B"/>
    <w:rsid w:val="00110D8A"/>
    <w:rsid w:val="00111789"/>
    <w:rsid w:val="00112D08"/>
    <w:rsid w:val="001137FC"/>
    <w:rsid w:val="00113EB6"/>
    <w:rsid w:val="0011486D"/>
    <w:rsid w:val="00114E98"/>
    <w:rsid w:val="00115101"/>
    <w:rsid w:val="00115533"/>
    <w:rsid w:val="001171F3"/>
    <w:rsid w:val="001173E0"/>
    <w:rsid w:val="0012134D"/>
    <w:rsid w:val="001215EE"/>
    <w:rsid w:val="0012213E"/>
    <w:rsid w:val="001237BA"/>
    <w:rsid w:val="00123A37"/>
    <w:rsid w:val="00123E1D"/>
    <w:rsid w:val="00126754"/>
    <w:rsid w:val="00126D5D"/>
    <w:rsid w:val="00127C9A"/>
    <w:rsid w:val="00130051"/>
    <w:rsid w:val="00130CC4"/>
    <w:rsid w:val="00131B06"/>
    <w:rsid w:val="00131B96"/>
    <w:rsid w:val="00132CB8"/>
    <w:rsid w:val="001344E7"/>
    <w:rsid w:val="00135026"/>
    <w:rsid w:val="00135B91"/>
    <w:rsid w:val="001362A6"/>
    <w:rsid w:val="001368B1"/>
    <w:rsid w:val="001376DD"/>
    <w:rsid w:val="00137B07"/>
    <w:rsid w:val="0014080B"/>
    <w:rsid w:val="00140E16"/>
    <w:rsid w:val="001419B1"/>
    <w:rsid w:val="00142A8D"/>
    <w:rsid w:val="00142BE6"/>
    <w:rsid w:val="0014307B"/>
    <w:rsid w:val="00143134"/>
    <w:rsid w:val="00143160"/>
    <w:rsid w:val="001442F5"/>
    <w:rsid w:val="001457C4"/>
    <w:rsid w:val="001459D3"/>
    <w:rsid w:val="00150D1D"/>
    <w:rsid w:val="00150E04"/>
    <w:rsid w:val="00153BB8"/>
    <w:rsid w:val="0015638A"/>
    <w:rsid w:val="001565AC"/>
    <w:rsid w:val="001601D0"/>
    <w:rsid w:val="001604B9"/>
    <w:rsid w:val="00164F5B"/>
    <w:rsid w:val="00165D83"/>
    <w:rsid w:val="00166434"/>
    <w:rsid w:val="001677C6"/>
    <w:rsid w:val="00170EC6"/>
    <w:rsid w:val="00171776"/>
    <w:rsid w:val="00174445"/>
    <w:rsid w:val="00177FE8"/>
    <w:rsid w:val="0018249C"/>
    <w:rsid w:val="001828B1"/>
    <w:rsid w:val="00182C02"/>
    <w:rsid w:val="00182FC9"/>
    <w:rsid w:val="0018309B"/>
    <w:rsid w:val="00186FE7"/>
    <w:rsid w:val="0018701E"/>
    <w:rsid w:val="00187CFB"/>
    <w:rsid w:val="001929B1"/>
    <w:rsid w:val="00194389"/>
    <w:rsid w:val="00194520"/>
    <w:rsid w:val="00194B48"/>
    <w:rsid w:val="001975E8"/>
    <w:rsid w:val="001A19D3"/>
    <w:rsid w:val="001A3A0B"/>
    <w:rsid w:val="001A7657"/>
    <w:rsid w:val="001A7780"/>
    <w:rsid w:val="001A7D5F"/>
    <w:rsid w:val="001B0236"/>
    <w:rsid w:val="001B10E7"/>
    <w:rsid w:val="001B19BF"/>
    <w:rsid w:val="001B2461"/>
    <w:rsid w:val="001B409B"/>
    <w:rsid w:val="001C1EF5"/>
    <w:rsid w:val="001C2210"/>
    <w:rsid w:val="001C25B8"/>
    <w:rsid w:val="001C290F"/>
    <w:rsid w:val="001C386F"/>
    <w:rsid w:val="001C61F2"/>
    <w:rsid w:val="001C73AF"/>
    <w:rsid w:val="001D12DE"/>
    <w:rsid w:val="001D4AB0"/>
    <w:rsid w:val="001D548C"/>
    <w:rsid w:val="001D5BD8"/>
    <w:rsid w:val="001D6232"/>
    <w:rsid w:val="001D6249"/>
    <w:rsid w:val="001D669E"/>
    <w:rsid w:val="001D7CF8"/>
    <w:rsid w:val="001E01F9"/>
    <w:rsid w:val="001E24AF"/>
    <w:rsid w:val="001E393D"/>
    <w:rsid w:val="001E4890"/>
    <w:rsid w:val="001E58E9"/>
    <w:rsid w:val="001F0349"/>
    <w:rsid w:val="001F089C"/>
    <w:rsid w:val="001F0A71"/>
    <w:rsid w:val="001F103E"/>
    <w:rsid w:val="001F1366"/>
    <w:rsid w:val="001F18C3"/>
    <w:rsid w:val="001F21CB"/>
    <w:rsid w:val="001F27CD"/>
    <w:rsid w:val="001F3583"/>
    <w:rsid w:val="001F4FF9"/>
    <w:rsid w:val="001F55C0"/>
    <w:rsid w:val="001F57AE"/>
    <w:rsid w:val="001F6166"/>
    <w:rsid w:val="001F7156"/>
    <w:rsid w:val="001F722B"/>
    <w:rsid w:val="00201F67"/>
    <w:rsid w:val="00203870"/>
    <w:rsid w:val="002067F2"/>
    <w:rsid w:val="0020694F"/>
    <w:rsid w:val="00206ED2"/>
    <w:rsid w:val="00207B9B"/>
    <w:rsid w:val="00210ABF"/>
    <w:rsid w:val="00211693"/>
    <w:rsid w:val="0021185E"/>
    <w:rsid w:val="00211DF6"/>
    <w:rsid w:val="00212CDB"/>
    <w:rsid w:val="00213125"/>
    <w:rsid w:val="0021342B"/>
    <w:rsid w:val="00213464"/>
    <w:rsid w:val="002144A3"/>
    <w:rsid w:val="00214DEB"/>
    <w:rsid w:val="00215892"/>
    <w:rsid w:val="0021660A"/>
    <w:rsid w:val="00216A53"/>
    <w:rsid w:val="002211AE"/>
    <w:rsid w:val="00222601"/>
    <w:rsid w:val="002237E8"/>
    <w:rsid w:val="00227472"/>
    <w:rsid w:val="002319F9"/>
    <w:rsid w:val="00232290"/>
    <w:rsid w:val="00232FC7"/>
    <w:rsid w:val="00235696"/>
    <w:rsid w:val="00236243"/>
    <w:rsid w:val="002370B3"/>
    <w:rsid w:val="0024130A"/>
    <w:rsid w:val="002431AC"/>
    <w:rsid w:val="00243783"/>
    <w:rsid w:val="00243CC7"/>
    <w:rsid w:val="002450A3"/>
    <w:rsid w:val="002461F5"/>
    <w:rsid w:val="00246735"/>
    <w:rsid w:val="00246F28"/>
    <w:rsid w:val="0025017B"/>
    <w:rsid w:val="00253C98"/>
    <w:rsid w:val="002551B8"/>
    <w:rsid w:val="00255A73"/>
    <w:rsid w:val="00255D47"/>
    <w:rsid w:val="002560E4"/>
    <w:rsid w:val="0026006B"/>
    <w:rsid w:val="00260957"/>
    <w:rsid w:val="00260F92"/>
    <w:rsid w:val="002624DE"/>
    <w:rsid w:val="00262E83"/>
    <w:rsid w:val="00262F54"/>
    <w:rsid w:val="0026359B"/>
    <w:rsid w:val="00264CAA"/>
    <w:rsid w:val="00266827"/>
    <w:rsid w:val="00267C4A"/>
    <w:rsid w:val="00270489"/>
    <w:rsid w:val="002709D3"/>
    <w:rsid w:val="00273FA2"/>
    <w:rsid w:val="00274AF0"/>
    <w:rsid w:val="002750D9"/>
    <w:rsid w:val="00277C88"/>
    <w:rsid w:val="00277DE4"/>
    <w:rsid w:val="0028218C"/>
    <w:rsid w:val="00285008"/>
    <w:rsid w:val="00290393"/>
    <w:rsid w:val="00290EA6"/>
    <w:rsid w:val="0029187F"/>
    <w:rsid w:val="00291CD8"/>
    <w:rsid w:val="00293A01"/>
    <w:rsid w:val="0029422E"/>
    <w:rsid w:val="0029515B"/>
    <w:rsid w:val="00296E93"/>
    <w:rsid w:val="002A1586"/>
    <w:rsid w:val="002A171D"/>
    <w:rsid w:val="002A1A91"/>
    <w:rsid w:val="002A2389"/>
    <w:rsid w:val="002A4871"/>
    <w:rsid w:val="002A5373"/>
    <w:rsid w:val="002A5615"/>
    <w:rsid w:val="002A5B80"/>
    <w:rsid w:val="002A6F46"/>
    <w:rsid w:val="002A7800"/>
    <w:rsid w:val="002B129D"/>
    <w:rsid w:val="002B190C"/>
    <w:rsid w:val="002B1E4F"/>
    <w:rsid w:val="002B3016"/>
    <w:rsid w:val="002B34A8"/>
    <w:rsid w:val="002B426F"/>
    <w:rsid w:val="002C0042"/>
    <w:rsid w:val="002C04C1"/>
    <w:rsid w:val="002C0AF0"/>
    <w:rsid w:val="002C101D"/>
    <w:rsid w:val="002C2881"/>
    <w:rsid w:val="002C2F59"/>
    <w:rsid w:val="002C66F4"/>
    <w:rsid w:val="002C72CC"/>
    <w:rsid w:val="002C7D5E"/>
    <w:rsid w:val="002D083D"/>
    <w:rsid w:val="002D0F75"/>
    <w:rsid w:val="002D211C"/>
    <w:rsid w:val="002D47FC"/>
    <w:rsid w:val="002D49DC"/>
    <w:rsid w:val="002D4D84"/>
    <w:rsid w:val="002D69F9"/>
    <w:rsid w:val="002D73BB"/>
    <w:rsid w:val="002E23CC"/>
    <w:rsid w:val="002E3501"/>
    <w:rsid w:val="002E41D7"/>
    <w:rsid w:val="002E4EAC"/>
    <w:rsid w:val="002E5ACF"/>
    <w:rsid w:val="002E6603"/>
    <w:rsid w:val="002E6F2E"/>
    <w:rsid w:val="002E79ED"/>
    <w:rsid w:val="002E7E9D"/>
    <w:rsid w:val="002F045D"/>
    <w:rsid w:val="002F081D"/>
    <w:rsid w:val="002F58EC"/>
    <w:rsid w:val="002F70FF"/>
    <w:rsid w:val="003004DA"/>
    <w:rsid w:val="00300B43"/>
    <w:rsid w:val="00301308"/>
    <w:rsid w:val="003013B7"/>
    <w:rsid w:val="00301AE4"/>
    <w:rsid w:val="003023A3"/>
    <w:rsid w:val="00302614"/>
    <w:rsid w:val="00303B38"/>
    <w:rsid w:val="00310FF2"/>
    <w:rsid w:val="0031230B"/>
    <w:rsid w:val="003128AB"/>
    <w:rsid w:val="00313950"/>
    <w:rsid w:val="00314F97"/>
    <w:rsid w:val="00317116"/>
    <w:rsid w:val="00320C1A"/>
    <w:rsid w:val="00323639"/>
    <w:rsid w:val="0032418A"/>
    <w:rsid w:val="00324B52"/>
    <w:rsid w:val="00327F83"/>
    <w:rsid w:val="003300C7"/>
    <w:rsid w:val="00331977"/>
    <w:rsid w:val="00332137"/>
    <w:rsid w:val="00333EB8"/>
    <w:rsid w:val="003359F1"/>
    <w:rsid w:val="00336E3A"/>
    <w:rsid w:val="003424A8"/>
    <w:rsid w:val="003424AC"/>
    <w:rsid w:val="003435BC"/>
    <w:rsid w:val="00343685"/>
    <w:rsid w:val="00343C43"/>
    <w:rsid w:val="0034414E"/>
    <w:rsid w:val="003441B7"/>
    <w:rsid w:val="003442F7"/>
    <w:rsid w:val="00344387"/>
    <w:rsid w:val="00344C93"/>
    <w:rsid w:val="003451C7"/>
    <w:rsid w:val="003453BB"/>
    <w:rsid w:val="00345E59"/>
    <w:rsid w:val="003462C7"/>
    <w:rsid w:val="00346569"/>
    <w:rsid w:val="00346D36"/>
    <w:rsid w:val="003470D3"/>
    <w:rsid w:val="00350066"/>
    <w:rsid w:val="00350E4B"/>
    <w:rsid w:val="0035132A"/>
    <w:rsid w:val="00352224"/>
    <w:rsid w:val="003533D7"/>
    <w:rsid w:val="00353571"/>
    <w:rsid w:val="003544F9"/>
    <w:rsid w:val="003545C2"/>
    <w:rsid w:val="00356BA3"/>
    <w:rsid w:val="0035791D"/>
    <w:rsid w:val="0036070B"/>
    <w:rsid w:val="00360A6D"/>
    <w:rsid w:val="00363543"/>
    <w:rsid w:val="003659F6"/>
    <w:rsid w:val="0036668E"/>
    <w:rsid w:val="003723D5"/>
    <w:rsid w:val="00373E65"/>
    <w:rsid w:val="00373E97"/>
    <w:rsid w:val="0037521D"/>
    <w:rsid w:val="0037584D"/>
    <w:rsid w:val="00375EC0"/>
    <w:rsid w:val="00376F87"/>
    <w:rsid w:val="00377097"/>
    <w:rsid w:val="0038216D"/>
    <w:rsid w:val="00382C20"/>
    <w:rsid w:val="0039325D"/>
    <w:rsid w:val="00393ACC"/>
    <w:rsid w:val="00395E7A"/>
    <w:rsid w:val="003969A4"/>
    <w:rsid w:val="00397B99"/>
    <w:rsid w:val="00397E45"/>
    <w:rsid w:val="003A0D5C"/>
    <w:rsid w:val="003A1388"/>
    <w:rsid w:val="003A499D"/>
    <w:rsid w:val="003A4BE0"/>
    <w:rsid w:val="003A6B4E"/>
    <w:rsid w:val="003A6DDE"/>
    <w:rsid w:val="003A7F83"/>
    <w:rsid w:val="003B5012"/>
    <w:rsid w:val="003B54F2"/>
    <w:rsid w:val="003B6B36"/>
    <w:rsid w:val="003B7212"/>
    <w:rsid w:val="003C1378"/>
    <w:rsid w:val="003C2FBB"/>
    <w:rsid w:val="003C3CF8"/>
    <w:rsid w:val="003C3F1B"/>
    <w:rsid w:val="003C462F"/>
    <w:rsid w:val="003C5BEE"/>
    <w:rsid w:val="003C608C"/>
    <w:rsid w:val="003C62DB"/>
    <w:rsid w:val="003C72C5"/>
    <w:rsid w:val="003C78E6"/>
    <w:rsid w:val="003C7C57"/>
    <w:rsid w:val="003D07E3"/>
    <w:rsid w:val="003D105B"/>
    <w:rsid w:val="003D170A"/>
    <w:rsid w:val="003D1B81"/>
    <w:rsid w:val="003D26AA"/>
    <w:rsid w:val="003D5BCD"/>
    <w:rsid w:val="003D6272"/>
    <w:rsid w:val="003E002B"/>
    <w:rsid w:val="003E0577"/>
    <w:rsid w:val="003E0D8D"/>
    <w:rsid w:val="003E2622"/>
    <w:rsid w:val="003E27D3"/>
    <w:rsid w:val="003E50C0"/>
    <w:rsid w:val="003E558B"/>
    <w:rsid w:val="003E5F47"/>
    <w:rsid w:val="003E693F"/>
    <w:rsid w:val="003E74C1"/>
    <w:rsid w:val="003E7787"/>
    <w:rsid w:val="003E7C26"/>
    <w:rsid w:val="003F0227"/>
    <w:rsid w:val="003F08FA"/>
    <w:rsid w:val="003F10DD"/>
    <w:rsid w:val="003F12FD"/>
    <w:rsid w:val="003F14B5"/>
    <w:rsid w:val="003F15C8"/>
    <w:rsid w:val="003F1647"/>
    <w:rsid w:val="003F18E0"/>
    <w:rsid w:val="003F2612"/>
    <w:rsid w:val="003F48CE"/>
    <w:rsid w:val="00400BE9"/>
    <w:rsid w:val="004011A4"/>
    <w:rsid w:val="00401CF6"/>
    <w:rsid w:val="00401D34"/>
    <w:rsid w:val="0040277D"/>
    <w:rsid w:val="004034A8"/>
    <w:rsid w:val="004035C4"/>
    <w:rsid w:val="00403F02"/>
    <w:rsid w:val="00405CC8"/>
    <w:rsid w:val="004073D8"/>
    <w:rsid w:val="004074DD"/>
    <w:rsid w:val="0041110C"/>
    <w:rsid w:val="004135AF"/>
    <w:rsid w:val="004179A3"/>
    <w:rsid w:val="00422134"/>
    <w:rsid w:val="004229A7"/>
    <w:rsid w:val="00423C3D"/>
    <w:rsid w:val="00425A8E"/>
    <w:rsid w:val="00425E94"/>
    <w:rsid w:val="004276AB"/>
    <w:rsid w:val="0043042E"/>
    <w:rsid w:val="00430C79"/>
    <w:rsid w:val="00432B8E"/>
    <w:rsid w:val="00432ECC"/>
    <w:rsid w:val="004330C2"/>
    <w:rsid w:val="004331F8"/>
    <w:rsid w:val="0043362E"/>
    <w:rsid w:val="004356F9"/>
    <w:rsid w:val="00436CCF"/>
    <w:rsid w:val="00442A67"/>
    <w:rsid w:val="0044321F"/>
    <w:rsid w:val="004452D0"/>
    <w:rsid w:val="004458B9"/>
    <w:rsid w:val="00445C40"/>
    <w:rsid w:val="004472E4"/>
    <w:rsid w:val="00450663"/>
    <w:rsid w:val="0045075A"/>
    <w:rsid w:val="0045165B"/>
    <w:rsid w:val="00452463"/>
    <w:rsid w:val="00453834"/>
    <w:rsid w:val="00453A14"/>
    <w:rsid w:val="00453C10"/>
    <w:rsid w:val="004548A3"/>
    <w:rsid w:val="00454FDD"/>
    <w:rsid w:val="004611DC"/>
    <w:rsid w:val="00461283"/>
    <w:rsid w:val="004629F6"/>
    <w:rsid w:val="00463998"/>
    <w:rsid w:val="00465C89"/>
    <w:rsid w:val="00465CA3"/>
    <w:rsid w:val="0046641F"/>
    <w:rsid w:val="00466837"/>
    <w:rsid w:val="00466CBF"/>
    <w:rsid w:val="004670CB"/>
    <w:rsid w:val="00467C04"/>
    <w:rsid w:val="00470322"/>
    <w:rsid w:val="004703DB"/>
    <w:rsid w:val="0047049C"/>
    <w:rsid w:val="004713F8"/>
    <w:rsid w:val="00471831"/>
    <w:rsid w:val="00472123"/>
    <w:rsid w:val="00472716"/>
    <w:rsid w:val="00474007"/>
    <w:rsid w:val="00477528"/>
    <w:rsid w:val="00480261"/>
    <w:rsid w:val="0048079D"/>
    <w:rsid w:val="00480ACA"/>
    <w:rsid w:val="00481CEC"/>
    <w:rsid w:val="004823DD"/>
    <w:rsid w:val="0048335E"/>
    <w:rsid w:val="00483A06"/>
    <w:rsid w:val="00485C53"/>
    <w:rsid w:val="00486DBE"/>
    <w:rsid w:val="00487128"/>
    <w:rsid w:val="00487218"/>
    <w:rsid w:val="00487EB8"/>
    <w:rsid w:val="0049016E"/>
    <w:rsid w:val="00490F9F"/>
    <w:rsid w:val="004912EA"/>
    <w:rsid w:val="00492E21"/>
    <w:rsid w:val="00493C47"/>
    <w:rsid w:val="004942F9"/>
    <w:rsid w:val="0049461E"/>
    <w:rsid w:val="00496F2A"/>
    <w:rsid w:val="004A1218"/>
    <w:rsid w:val="004A16F4"/>
    <w:rsid w:val="004A2D80"/>
    <w:rsid w:val="004A333B"/>
    <w:rsid w:val="004A3721"/>
    <w:rsid w:val="004A38DF"/>
    <w:rsid w:val="004A3DEF"/>
    <w:rsid w:val="004A5E4A"/>
    <w:rsid w:val="004A6555"/>
    <w:rsid w:val="004A6DCA"/>
    <w:rsid w:val="004B0EAF"/>
    <w:rsid w:val="004B2A68"/>
    <w:rsid w:val="004B3A7C"/>
    <w:rsid w:val="004B3B76"/>
    <w:rsid w:val="004B3F04"/>
    <w:rsid w:val="004B6D0A"/>
    <w:rsid w:val="004B6EEE"/>
    <w:rsid w:val="004B72DF"/>
    <w:rsid w:val="004C0D5F"/>
    <w:rsid w:val="004C2EB6"/>
    <w:rsid w:val="004C35A2"/>
    <w:rsid w:val="004C644F"/>
    <w:rsid w:val="004C7556"/>
    <w:rsid w:val="004C78E8"/>
    <w:rsid w:val="004D0D34"/>
    <w:rsid w:val="004D225C"/>
    <w:rsid w:val="004D2863"/>
    <w:rsid w:val="004D2C5F"/>
    <w:rsid w:val="004D370E"/>
    <w:rsid w:val="004D3B13"/>
    <w:rsid w:val="004D4794"/>
    <w:rsid w:val="004D628B"/>
    <w:rsid w:val="004D6A54"/>
    <w:rsid w:val="004E03A9"/>
    <w:rsid w:val="004E08EF"/>
    <w:rsid w:val="004E0EB8"/>
    <w:rsid w:val="004E2FFD"/>
    <w:rsid w:val="004E4520"/>
    <w:rsid w:val="004E4C27"/>
    <w:rsid w:val="004E4F4C"/>
    <w:rsid w:val="004E51A9"/>
    <w:rsid w:val="004E5E7C"/>
    <w:rsid w:val="004F2E1C"/>
    <w:rsid w:val="004F3408"/>
    <w:rsid w:val="004F3B9B"/>
    <w:rsid w:val="004F3CC6"/>
    <w:rsid w:val="004F4114"/>
    <w:rsid w:val="004F4651"/>
    <w:rsid w:val="004F4A5C"/>
    <w:rsid w:val="004F7101"/>
    <w:rsid w:val="005002B2"/>
    <w:rsid w:val="0050190F"/>
    <w:rsid w:val="00501F00"/>
    <w:rsid w:val="00502677"/>
    <w:rsid w:val="0050307E"/>
    <w:rsid w:val="00503B57"/>
    <w:rsid w:val="00504B2B"/>
    <w:rsid w:val="00507031"/>
    <w:rsid w:val="0050797E"/>
    <w:rsid w:val="005103B8"/>
    <w:rsid w:val="005124BF"/>
    <w:rsid w:val="00512FDF"/>
    <w:rsid w:val="00514D3F"/>
    <w:rsid w:val="005163C8"/>
    <w:rsid w:val="005167CC"/>
    <w:rsid w:val="00516CE1"/>
    <w:rsid w:val="00516F03"/>
    <w:rsid w:val="00520A66"/>
    <w:rsid w:val="005212D3"/>
    <w:rsid w:val="00521316"/>
    <w:rsid w:val="00521416"/>
    <w:rsid w:val="00523CC5"/>
    <w:rsid w:val="0052453E"/>
    <w:rsid w:val="00524B1C"/>
    <w:rsid w:val="005252A2"/>
    <w:rsid w:val="00525572"/>
    <w:rsid w:val="005275FC"/>
    <w:rsid w:val="00530611"/>
    <w:rsid w:val="005307FA"/>
    <w:rsid w:val="00531855"/>
    <w:rsid w:val="005318CE"/>
    <w:rsid w:val="00531E58"/>
    <w:rsid w:val="00531FC6"/>
    <w:rsid w:val="00532B88"/>
    <w:rsid w:val="00533466"/>
    <w:rsid w:val="0053506D"/>
    <w:rsid w:val="00535F50"/>
    <w:rsid w:val="00535FED"/>
    <w:rsid w:val="00536BCD"/>
    <w:rsid w:val="005411D0"/>
    <w:rsid w:val="00541711"/>
    <w:rsid w:val="005423DF"/>
    <w:rsid w:val="00542502"/>
    <w:rsid w:val="00542B06"/>
    <w:rsid w:val="00542C8C"/>
    <w:rsid w:val="00543A1A"/>
    <w:rsid w:val="0054527A"/>
    <w:rsid w:val="005460B5"/>
    <w:rsid w:val="00552D19"/>
    <w:rsid w:val="00555784"/>
    <w:rsid w:val="005563EC"/>
    <w:rsid w:val="00556A32"/>
    <w:rsid w:val="00556FF2"/>
    <w:rsid w:val="005577C0"/>
    <w:rsid w:val="00560892"/>
    <w:rsid w:val="00560A28"/>
    <w:rsid w:val="00561863"/>
    <w:rsid w:val="00562110"/>
    <w:rsid w:val="00562349"/>
    <w:rsid w:val="0056357D"/>
    <w:rsid w:val="005638AC"/>
    <w:rsid w:val="0056528F"/>
    <w:rsid w:val="00570FD4"/>
    <w:rsid w:val="005714EF"/>
    <w:rsid w:val="0057184C"/>
    <w:rsid w:val="005732DB"/>
    <w:rsid w:val="0057433C"/>
    <w:rsid w:val="00574824"/>
    <w:rsid w:val="00574A86"/>
    <w:rsid w:val="005750FA"/>
    <w:rsid w:val="005754BF"/>
    <w:rsid w:val="005762FA"/>
    <w:rsid w:val="005764CD"/>
    <w:rsid w:val="00580F14"/>
    <w:rsid w:val="00582D05"/>
    <w:rsid w:val="00584C77"/>
    <w:rsid w:val="00585C73"/>
    <w:rsid w:val="00585C9D"/>
    <w:rsid w:val="00585D0E"/>
    <w:rsid w:val="0058741B"/>
    <w:rsid w:val="00590599"/>
    <w:rsid w:val="00590603"/>
    <w:rsid w:val="005912D4"/>
    <w:rsid w:val="0059174F"/>
    <w:rsid w:val="00592270"/>
    <w:rsid w:val="00592648"/>
    <w:rsid w:val="00592F11"/>
    <w:rsid w:val="00593217"/>
    <w:rsid w:val="00595EAD"/>
    <w:rsid w:val="00596AF9"/>
    <w:rsid w:val="00596E04"/>
    <w:rsid w:val="005A055C"/>
    <w:rsid w:val="005A1D33"/>
    <w:rsid w:val="005A342A"/>
    <w:rsid w:val="005A4F99"/>
    <w:rsid w:val="005A5033"/>
    <w:rsid w:val="005A7F8B"/>
    <w:rsid w:val="005B02EC"/>
    <w:rsid w:val="005B03D4"/>
    <w:rsid w:val="005B05E5"/>
    <w:rsid w:val="005B2A1F"/>
    <w:rsid w:val="005B4BAB"/>
    <w:rsid w:val="005B6E41"/>
    <w:rsid w:val="005C0816"/>
    <w:rsid w:val="005C560B"/>
    <w:rsid w:val="005C6264"/>
    <w:rsid w:val="005C6C4A"/>
    <w:rsid w:val="005C708F"/>
    <w:rsid w:val="005C7CCD"/>
    <w:rsid w:val="005C7CEE"/>
    <w:rsid w:val="005D192E"/>
    <w:rsid w:val="005D25B1"/>
    <w:rsid w:val="005D2E99"/>
    <w:rsid w:val="005D340F"/>
    <w:rsid w:val="005D4043"/>
    <w:rsid w:val="005D4084"/>
    <w:rsid w:val="005D52F3"/>
    <w:rsid w:val="005D57D5"/>
    <w:rsid w:val="005D7AAD"/>
    <w:rsid w:val="005D7B1D"/>
    <w:rsid w:val="005E09A0"/>
    <w:rsid w:val="005E1532"/>
    <w:rsid w:val="005E3AE4"/>
    <w:rsid w:val="005E4391"/>
    <w:rsid w:val="005E4627"/>
    <w:rsid w:val="005E502A"/>
    <w:rsid w:val="005E641B"/>
    <w:rsid w:val="005E6A02"/>
    <w:rsid w:val="005E7852"/>
    <w:rsid w:val="005F04D3"/>
    <w:rsid w:val="005F0502"/>
    <w:rsid w:val="005F13AC"/>
    <w:rsid w:val="005F327C"/>
    <w:rsid w:val="005F35C7"/>
    <w:rsid w:val="005F514E"/>
    <w:rsid w:val="005F51A5"/>
    <w:rsid w:val="005F588E"/>
    <w:rsid w:val="005F6059"/>
    <w:rsid w:val="005F70AF"/>
    <w:rsid w:val="005F78C5"/>
    <w:rsid w:val="00600AC4"/>
    <w:rsid w:val="00601280"/>
    <w:rsid w:val="00601DD7"/>
    <w:rsid w:val="0060478D"/>
    <w:rsid w:val="006058AD"/>
    <w:rsid w:val="00605FC9"/>
    <w:rsid w:val="00606BF1"/>
    <w:rsid w:val="00606F67"/>
    <w:rsid w:val="00607946"/>
    <w:rsid w:val="00607C7C"/>
    <w:rsid w:val="006104E2"/>
    <w:rsid w:val="00611FA7"/>
    <w:rsid w:val="0061480C"/>
    <w:rsid w:val="00615A60"/>
    <w:rsid w:val="00615BB8"/>
    <w:rsid w:val="00616477"/>
    <w:rsid w:val="00616624"/>
    <w:rsid w:val="006241FB"/>
    <w:rsid w:val="00625FE7"/>
    <w:rsid w:val="00626CE6"/>
    <w:rsid w:val="006303BD"/>
    <w:rsid w:val="00632354"/>
    <w:rsid w:val="00632989"/>
    <w:rsid w:val="00635219"/>
    <w:rsid w:val="00636BCC"/>
    <w:rsid w:val="0063732D"/>
    <w:rsid w:val="00637384"/>
    <w:rsid w:val="00637414"/>
    <w:rsid w:val="00637A14"/>
    <w:rsid w:val="00640C01"/>
    <w:rsid w:val="0064478A"/>
    <w:rsid w:val="00644C38"/>
    <w:rsid w:val="00646861"/>
    <w:rsid w:val="00646C6C"/>
    <w:rsid w:val="0064729F"/>
    <w:rsid w:val="006476B6"/>
    <w:rsid w:val="00647EAF"/>
    <w:rsid w:val="00650506"/>
    <w:rsid w:val="00650F9F"/>
    <w:rsid w:val="0065162C"/>
    <w:rsid w:val="00651670"/>
    <w:rsid w:val="0065254F"/>
    <w:rsid w:val="00653ECB"/>
    <w:rsid w:val="006566DB"/>
    <w:rsid w:val="00656ECE"/>
    <w:rsid w:val="00660AA4"/>
    <w:rsid w:val="00660FDC"/>
    <w:rsid w:val="006639A0"/>
    <w:rsid w:val="00663B21"/>
    <w:rsid w:val="0066450D"/>
    <w:rsid w:val="006671DA"/>
    <w:rsid w:val="006710DC"/>
    <w:rsid w:val="0067182F"/>
    <w:rsid w:val="00671C00"/>
    <w:rsid w:val="006728A1"/>
    <w:rsid w:val="006732C7"/>
    <w:rsid w:val="0067354B"/>
    <w:rsid w:val="00673ECF"/>
    <w:rsid w:val="0067450E"/>
    <w:rsid w:val="0067478E"/>
    <w:rsid w:val="0067588F"/>
    <w:rsid w:val="0067646F"/>
    <w:rsid w:val="0067765A"/>
    <w:rsid w:val="00681C5D"/>
    <w:rsid w:val="00682FD4"/>
    <w:rsid w:val="0068317E"/>
    <w:rsid w:val="006838D3"/>
    <w:rsid w:val="00684B19"/>
    <w:rsid w:val="00685996"/>
    <w:rsid w:val="00687587"/>
    <w:rsid w:val="006907C1"/>
    <w:rsid w:val="00690C51"/>
    <w:rsid w:val="006912BE"/>
    <w:rsid w:val="00694F0C"/>
    <w:rsid w:val="00695894"/>
    <w:rsid w:val="00695B1A"/>
    <w:rsid w:val="006A0404"/>
    <w:rsid w:val="006A05F6"/>
    <w:rsid w:val="006A1588"/>
    <w:rsid w:val="006A38F7"/>
    <w:rsid w:val="006A3989"/>
    <w:rsid w:val="006A4A47"/>
    <w:rsid w:val="006A4A57"/>
    <w:rsid w:val="006A4B2E"/>
    <w:rsid w:val="006A4E19"/>
    <w:rsid w:val="006A52E0"/>
    <w:rsid w:val="006A5EEA"/>
    <w:rsid w:val="006A6259"/>
    <w:rsid w:val="006A7BCB"/>
    <w:rsid w:val="006A7C37"/>
    <w:rsid w:val="006B27B3"/>
    <w:rsid w:val="006B4097"/>
    <w:rsid w:val="006B50D9"/>
    <w:rsid w:val="006B540B"/>
    <w:rsid w:val="006B621D"/>
    <w:rsid w:val="006B74BB"/>
    <w:rsid w:val="006B75C3"/>
    <w:rsid w:val="006B781E"/>
    <w:rsid w:val="006C014B"/>
    <w:rsid w:val="006C061B"/>
    <w:rsid w:val="006C07E6"/>
    <w:rsid w:val="006C0989"/>
    <w:rsid w:val="006C111B"/>
    <w:rsid w:val="006C21BB"/>
    <w:rsid w:val="006C4157"/>
    <w:rsid w:val="006C449F"/>
    <w:rsid w:val="006C58E4"/>
    <w:rsid w:val="006C6060"/>
    <w:rsid w:val="006C7160"/>
    <w:rsid w:val="006D0450"/>
    <w:rsid w:val="006D0849"/>
    <w:rsid w:val="006D10B2"/>
    <w:rsid w:val="006D11E3"/>
    <w:rsid w:val="006D1FDA"/>
    <w:rsid w:val="006D55DC"/>
    <w:rsid w:val="006D6199"/>
    <w:rsid w:val="006D666B"/>
    <w:rsid w:val="006D687E"/>
    <w:rsid w:val="006D68A6"/>
    <w:rsid w:val="006E0200"/>
    <w:rsid w:val="006E0C55"/>
    <w:rsid w:val="006E3999"/>
    <w:rsid w:val="006E453C"/>
    <w:rsid w:val="006E4728"/>
    <w:rsid w:val="006E524E"/>
    <w:rsid w:val="006E5808"/>
    <w:rsid w:val="006E5B8A"/>
    <w:rsid w:val="006E6E6C"/>
    <w:rsid w:val="006F1984"/>
    <w:rsid w:val="006F1EAE"/>
    <w:rsid w:val="006F2E92"/>
    <w:rsid w:val="006F428C"/>
    <w:rsid w:val="006F4383"/>
    <w:rsid w:val="006F6D63"/>
    <w:rsid w:val="007011AD"/>
    <w:rsid w:val="007023D0"/>
    <w:rsid w:val="007032E3"/>
    <w:rsid w:val="007051F0"/>
    <w:rsid w:val="0070661F"/>
    <w:rsid w:val="007068EA"/>
    <w:rsid w:val="00706C4E"/>
    <w:rsid w:val="007075A2"/>
    <w:rsid w:val="00710B74"/>
    <w:rsid w:val="00710EE3"/>
    <w:rsid w:val="007110D7"/>
    <w:rsid w:val="0071160B"/>
    <w:rsid w:val="00711B38"/>
    <w:rsid w:val="00712B4D"/>
    <w:rsid w:val="00713029"/>
    <w:rsid w:val="00721BB1"/>
    <w:rsid w:val="007224C3"/>
    <w:rsid w:val="0072363D"/>
    <w:rsid w:val="00724ADC"/>
    <w:rsid w:val="007263E4"/>
    <w:rsid w:val="007272D8"/>
    <w:rsid w:val="007309A9"/>
    <w:rsid w:val="00730FC0"/>
    <w:rsid w:val="0073143B"/>
    <w:rsid w:val="00735B17"/>
    <w:rsid w:val="00735ECE"/>
    <w:rsid w:val="0074034C"/>
    <w:rsid w:val="00740780"/>
    <w:rsid w:val="00740CCA"/>
    <w:rsid w:val="00742BEE"/>
    <w:rsid w:val="00743311"/>
    <w:rsid w:val="007442A7"/>
    <w:rsid w:val="0074526A"/>
    <w:rsid w:val="007452FB"/>
    <w:rsid w:val="00745587"/>
    <w:rsid w:val="0074597A"/>
    <w:rsid w:val="00750AAC"/>
    <w:rsid w:val="00751CD3"/>
    <w:rsid w:val="00752305"/>
    <w:rsid w:val="00754952"/>
    <w:rsid w:val="00755C2E"/>
    <w:rsid w:val="007579C6"/>
    <w:rsid w:val="00761D65"/>
    <w:rsid w:val="007626EA"/>
    <w:rsid w:val="00762756"/>
    <w:rsid w:val="00764D00"/>
    <w:rsid w:val="00765868"/>
    <w:rsid w:val="00765A04"/>
    <w:rsid w:val="00767BB2"/>
    <w:rsid w:val="00767CE0"/>
    <w:rsid w:val="00772036"/>
    <w:rsid w:val="0077222B"/>
    <w:rsid w:val="00772BB4"/>
    <w:rsid w:val="007742E8"/>
    <w:rsid w:val="00774C1E"/>
    <w:rsid w:val="007750A6"/>
    <w:rsid w:val="00775D5E"/>
    <w:rsid w:val="00777848"/>
    <w:rsid w:val="00780BC3"/>
    <w:rsid w:val="00780EC8"/>
    <w:rsid w:val="00783996"/>
    <w:rsid w:val="007860A9"/>
    <w:rsid w:val="00786342"/>
    <w:rsid w:val="007874FD"/>
    <w:rsid w:val="0079018F"/>
    <w:rsid w:val="0079094C"/>
    <w:rsid w:val="007923BC"/>
    <w:rsid w:val="007929B2"/>
    <w:rsid w:val="007938A4"/>
    <w:rsid w:val="00793E3E"/>
    <w:rsid w:val="007957F8"/>
    <w:rsid w:val="00795CFC"/>
    <w:rsid w:val="00796C48"/>
    <w:rsid w:val="007A05CB"/>
    <w:rsid w:val="007A08BD"/>
    <w:rsid w:val="007A0B82"/>
    <w:rsid w:val="007A0C1C"/>
    <w:rsid w:val="007A0F0C"/>
    <w:rsid w:val="007A17D3"/>
    <w:rsid w:val="007A1852"/>
    <w:rsid w:val="007A3028"/>
    <w:rsid w:val="007A3400"/>
    <w:rsid w:val="007A3A88"/>
    <w:rsid w:val="007A3E0D"/>
    <w:rsid w:val="007A4206"/>
    <w:rsid w:val="007A436B"/>
    <w:rsid w:val="007A5ACD"/>
    <w:rsid w:val="007A6633"/>
    <w:rsid w:val="007A726D"/>
    <w:rsid w:val="007B1958"/>
    <w:rsid w:val="007B1DDA"/>
    <w:rsid w:val="007B3A4D"/>
    <w:rsid w:val="007C0D5C"/>
    <w:rsid w:val="007C12BD"/>
    <w:rsid w:val="007C1E6D"/>
    <w:rsid w:val="007C5128"/>
    <w:rsid w:val="007C5AEB"/>
    <w:rsid w:val="007C5D29"/>
    <w:rsid w:val="007D16F0"/>
    <w:rsid w:val="007D51C7"/>
    <w:rsid w:val="007D6145"/>
    <w:rsid w:val="007D61DC"/>
    <w:rsid w:val="007D6576"/>
    <w:rsid w:val="007D72CD"/>
    <w:rsid w:val="007E0492"/>
    <w:rsid w:val="007E10E9"/>
    <w:rsid w:val="007E243E"/>
    <w:rsid w:val="007E2CE0"/>
    <w:rsid w:val="007E423C"/>
    <w:rsid w:val="007E43A2"/>
    <w:rsid w:val="007E53A9"/>
    <w:rsid w:val="007E59FC"/>
    <w:rsid w:val="007E6E9D"/>
    <w:rsid w:val="007F06F6"/>
    <w:rsid w:val="007F1A28"/>
    <w:rsid w:val="007F3BBD"/>
    <w:rsid w:val="007F40B6"/>
    <w:rsid w:val="007F40F0"/>
    <w:rsid w:val="007F74B1"/>
    <w:rsid w:val="00800110"/>
    <w:rsid w:val="00802A1D"/>
    <w:rsid w:val="008036A6"/>
    <w:rsid w:val="00804822"/>
    <w:rsid w:val="00804FD4"/>
    <w:rsid w:val="00805245"/>
    <w:rsid w:val="00806CE4"/>
    <w:rsid w:val="0080706A"/>
    <w:rsid w:val="008078B8"/>
    <w:rsid w:val="00810011"/>
    <w:rsid w:val="00811FA5"/>
    <w:rsid w:val="00816B9D"/>
    <w:rsid w:val="0082159A"/>
    <w:rsid w:val="00821FCB"/>
    <w:rsid w:val="008228FB"/>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6AAD"/>
    <w:rsid w:val="008374A6"/>
    <w:rsid w:val="00841121"/>
    <w:rsid w:val="00841243"/>
    <w:rsid w:val="00842077"/>
    <w:rsid w:val="00842D8D"/>
    <w:rsid w:val="008434E2"/>
    <w:rsid w:val="00844132"/>
    <w:rsid w:val="00845744"/>
    <w:rsid w:val="0084747F"/>
    <w:rsid w:val="00847EE9"/>
    <w:rsid w:val="00850D6E"/>
    <w:rsid w:val="00850DC2"/>
    <w:rsid w:val="00850E76"/>
    <w:rsid w:val="008517DE"/>
    <w:rsid w:val="0085181D"/>
    <w:rsid w:val="00851CA9"/>
    <w:rsid w:val="008522BC"/>
    <w:rsid w:val="008524B5"/>
    <w:rsid w:val="00852905"/>
    <w:rsid w:val="00852C32"/>
    <w:rsid w:val="00853F80"/>
    <w:rsid w:val="00854F86"/>
    <w:rsid w:val="008555AC"/>
    <w:rsid w:val="00855690"/>
    <w:rsid w:val="0085630D"/>
    <w:rsid w:val="008572AA"/>
    <w:rsid w:val="00857D7B"/>
    <w:rsid w:val="00860361"/>
    <w:rsid w:val="00860E83"/>
    <w:rsid w:val="00863B9D"/>
    <w:rsid w:val="008641F4"/>
    <w:rsid w:val="00866955"/>
    <w:rsid w:val="00867428"/>
    <w:rsid w:val="0087205C"/>
    <w:rsid w:val="00872866"/>
    <w:rsid w:val="0087292C"/>
    <w:rsid w:val="0087402B"/>
    <w:rsid w:val="0087443C"/>
    <w:rsid w:val="00874A94"/>
    <w:rsid w:val="00874E43"/>
    <w:rsid w:val="00875858"/>
    <w:rsid w:val="00875CFD"/>
    <w:rsid w:val="00880A15"/>
    <w:rsid w:val="008811F0"/>
    <w:rsid w:val="008822E4"/>
    <w:rsid w:val="00883455"/>
    <w:rsid w:val="0088448D"/>
    <w:rsid w:val="00884E29"/>
    <w:rsid w:val="00885D90"/>
    <w:rsid w:val="00887529"/>
    <w:rsid w:val="00891871"/>
    <w:rsid w:val="00895BA6"/>
    <w:rsid w:val="0089784A"/>
    <w:rsid w:val="00897E91"/>
    <w:rsid w:val="008A017A"/>
    <w:rsid w:val="008A072A"/>
    <w:rsid w:val="008A405A"/>
    <w:rsid w:val="008A40EB"/>
    <w:rsid w:val="008A4959"/>
    <w:rsid w:val="008A62AF"/>
    <w:rsid w:val="008A6CB0"/>
    <w:rsid w:val="008A7887"/>
    <w:rsid w:val="008B01AA"/>
    <w:rsid w:val="008B0CC6"/>
    <w:rsid w:val="008B24E2"/>
    <w:rsid w:val="008B28D7"/>
    <w:rsid w:val="008B56E3"/>
    <w:rsid w:val="008B7F54"/>
    <w:rsid w:val="008B7FB9"/>
    <w:rsid w:val="008C15B3"/>
    <w:rsid w:val="008C2018"/>
    <w:rsid w:val="008C2174"/>
    <w:rsid w:val="008C30A6"/>
    <w:rsid w:val="008C4106"/>
    <w:rsid w:val="008C4341"/>
    <w:rsid w:val="008C4E30"/>
    <w:rsid w:val="008C4E65"/>
    <w:rsid w:val="008C5273"/>
    <w:rsid w:val="008C53D7"/>
    <w:rsid w:val="008C555E"/>
    <w:rsid w:val="008C5870"/>
    <w:rsid w:val="008C6095"/>
    <w:rsid w:val="008C6309"/>
    <w:rsid w:val="008C7C19"/>
    <w:rsid w:val="008D0B9C"/>
    <w:rsid w:val="008D1902"/>
    <w:rsid w:val="008D2D31"/>
    <w:rsid w:val="008D3694"/>
    <w:rsid w:val="008D6FBC"/>
    <w:rsid w:val="008E0FEB"/>
    <w:rsid w:val="008E21D5"/>
    <w:rsid w:val="008E3E67"/>
    <w:rsid w:val="008E422D"/>
    <w:rsid w:val="008E4EC4"/>
    <w:rsid w:val="008E680F"/>
    <w:rsid w:val="008E7793"/>
    <w:rsid w:val="008F0170"/>
    <w:rsid w:val="008F0C79"/>
    <w:rsid w:val="008F1589"/>
    <w:rsid w:val="008F166D"/>
    <w:rsid w:val="008F18CF"/>
    <w:rsid w:val="008F28A2"/>
    <w:rsid w:val="008F48D3"/>
    <w:rsid w:val="008F4BDA"/>
    <w:rsid w:val="008F765C"/>
    <w:rsid w:val="0090042C"/>
    <w:rsid w:val="009017B5"/>
    <w:rsid w:val="00902568"/>
    <w:rsid w:val="0090388B"/>
    <w:rsid w:val="00906008"/>
    <w:rsid w:val="00906247"/>
    <w:rsid w:val="00906D7F"/>
    <w:rsid w:val="0090777A"/>
    <w:rsid w:val="00907F2A"/>
    <w:rsid w:val="0091000E"/>
    <w:rsid w:val="00910808"/>
    <w:rsid w:val="009123ED"/>
    <w:rsid w:val="009123FA"/>
    <w:rsid w:val="00913455"/>
    <w:rsid w:val="00913C8E"/>
    <w:rsid w:val="00914D90"/>
    <w:rsid w:val="00915BDA"/>
    <w:rsid w:val="00916CC9"/>
    <w:rsid w:val="0091755A"/>
    <w:rsid w:val="009217CF"/>
    <w:rsid w:val="00921B51"/>
    <w:rsid w:val="0092366B"/>
    <w:rsid w:val="009246D6"/>
    <w:rsid w:val="00924D09"/>
    <w:rsid w:val="009259D3"/>
    <w:rsid w:val="009265AC"/>
    <w:rsid w:val="0092720E"/>
    <w:rsid w:val="0092757F"/>
    <w:rsid w:val="009300DC"/>
    <w:rsid w:val="009308AD"/>
    <w:rsid w:val="009319AB"/>
    <w:rsid w:val="00931FB4"/>
    <w:rsid w:val="009320D0"/>
    <w:rsid w:val="00932365"/>
    <w:rsid w:val="00932CEF"/>
    <w:rsid w:val="0093357E"/>
    <w:rsid w:val="00933E3B"/>
    <w:rsid w:val="0093415B"/>
    <w:rsid w:val="009372D9"/>
    <w:rsid w:val="0094067B"/>
    <w:rsid w:val="0094088C"/>
    <w:rsid w:val="00940F12"/>
    <w:rsid w:val="009414D4"/>
    <w:rsid w:val="009421BE"/>
    <w:rsid w:val="009426B9"/>
    <w:rsid w:val="00942929"/>
    <w:rsid w:val="00942CCC"/>
    <w:rsid w:val="00942ED1"/>
    <w:rsid w:val="009431E6"/>
    <w:rsid w:val="009439B5"/>
    <w:rsid w:val="00944F61"/>
    <w:rsid w:val="00946903"/>
    <w:rsid w:val="009472E5"/>
    <w:rsid w:val="009474EF"/>
    <w:rsid w:val="00951B93"/>
    <w:rsid w:val="00952CB4"/>
    <w:rsid w:val="00954769"/>
    <w:rsid w:val="00954BE4"/>
    <w:rsid w:val="00956992"/>
    <w:rsid w:val="00957AAA"/>
    <w:rsid w:val="00961B55"/>
    <w:rsid w:val="009637F5"/>
    <w:rsid w:val="00964BC1"/>
    <w:rsid w:val="00964F65"/>
    <w:rsid w:val="00964FB5"/>
    <w:rsid w:val="009658EC"/>
    <w:rsid w:val="00970558"/>
    <w:rsid w:val="009708F5"/>
    <w:rsid w:val="00971FD0"/>
    <w:rsid w:val="00972779"/>
    <w:rsid w:val="0097289B"/>
    <w:rsid w:val="00972A0B"/>
    <w:rsid w:val="00973A46"/>
    <w:rsid w:val="009744B5"/>
    <w:rsid w:val="00974C0A"/>
    <w:rsid w:val="00975012"/>
    <w:rsid w:val="009755D4"/>
    <w:rsid w:val="00975A9E"/>
    <w:rsid w:val="009773BC"/>
    <w:rsid w:val="009802BA"/>
    <w:rsid w:val="009816B5"/>
    <w:rsid w:val="00981FF9"/>
    <w:rsid w:val="009824C0"/>
    <w:rsid w:val="009825BB"/>
    <w:rsid w:val="00982F36"/>
    <w:rsid w:val="0098314B"/>
    <w:rsid w:val="00984EE9"/>
    <w:rsid w:val="00985129"/>
    <w:rsid w:val="00985B79"/>
    <w:rsid w:val="0098659D"/>
    <w:rsid w:val="0098681C"/>
    <w:rsid w:val="00991768"/>
    <w:rsid w:val="0099189B"/>
    <w:rsid w:val="0099194A"/>
    <w:rsid w:val="00992E1E"/>
    <w:rsid w:val="00994337"/>
    <w:rsid w:val="00995105"/>
    <w:rsid w:val="00995346"/>
    <w:rsid w:val="0099539A"/>
    <w:rsid w:val="009965DB"/>
    <w:rsid w:val="0099699E"/>
    <w:rsid w:val="00996A03"/>
    <w:rsid w:val="00997515"/>
    <w:rsid w:val="00997FA3"/>
    <w:rsid w:val="009A0C45"/>
    <w:rsid w:val="009A185C"/>
    <w:rsid w:val="009A1C94"/>
    <w:rsid w:val="009A30DD"/>
    <w:rsid w:val="009A35BF"/>
    <w:rsid w:val="009A35C1"/>
    <w:rsid w:val="009A45A8"/>
    <w:rsid w:val="009A4CC1"/>
    <w:rsid w:val="009A5537"/>
    <w:rsid w:val="009A6E72"/>
    <w:rsid w:val="009B0C6C"/>
    <w:rsid w:val="009B20EB"/>
    <w:rsid w:val="009B2349"/>
    <w:rsid w:val="009B5322"/>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2A22"/>
    <w:rsid w:val="009D47CF"/>
    <w:rsid w:val="009D654A"/>
    <w:rsid w:val="009D6DD3"/>
    <w:rsid w:val="009E34E5"/>
    <w:rsid w:val="009E4D09"/>
    <w:rsid w:val="009E5FF5"/>
    <w:rsid w:val="009E6295"/>
    <w:rsid w:val="009E6889"/>
    <w:rsid w:val="009E6DBE"/>
    <w:rsid w:val="009E794E"/>
    <w:rsid w:val="009F020E"/>
    <w:rsid w:val="009F3456"/>
    <w:rsid w:val="009F3DE4"/>
    <w:rsid w:val="009F6088"/>
    <w:rsid w:val="00A0109B"/>
    <w:rsid w:val="00A01FA2"/>
    <w:rsid w:val="00A036A3"/>
    <w:rsid w:val="00A03D70"/>
    <w:rsid w:val="00A03F5C"/>
    <w:rsid w:val="00A04BD7"/>
    <w:rsid w:val="00A06CE0"/>
    <w:rsid w:val="00A0737E"/>
    <w:rsid w:val="00A075C4"/>
    <w:rsid w:val="00A076A4"/>
    <w:rsid w:val="00A12469"/>
    <w:rsid w:val="00A12EC1"/>
    <w:rsid w:val="00A12F2D"/>
    <w:rsid w:val="00A15465"/>
    <w:rsid w:val="00A17930"/>
    <w:rsid w:val="00A20A4B"/>
    <w:rsid w:val="00A263A2"/>
    <w:rsid w:val="00A264E8"/>
    <w:rsid w:val="00A30A5D"/>
    <w:rsid w:val="00A32D07"/>
    <w:rsid w:val="00A33C2B"/>
    <w:rsid w:val="00A33FF3"/>
    <w:rsid w:val="00A3476A"/>
    <w:rsid w:val="00A34E50"/>
    <w:rsid w:val="00A34E6F"/>
    <w:rsid w:val="00A351FF"/>
    <w:rsid w:val="00A3572E"/>
    <w:rsid w:val="00A3750D"/>
    <w:rsid w:val="00A42B1B"/>
    <w:rsid w:val="00A431C6"/>
    <w:rsid w:val="00A4351A"/>
    <w:rsid w:val="00A43D3D"/>
    <w:rsid w:val="00A43FDF"/>
    <w:rsid w:val="00A4430F"/>
    <w:rsid w:val="00A46369"/>
    <w:rsid w:val="00A4641F"/>
    <w:rsid w:val="00A466A9"/>
    <w:rsid w:val="00A46B6B"/>
    <w:rsid w:val="00A46CA4"/>
    <w:rsid w:val="00A50D58"/>
    <w:rsid w:val="00A522B9"/>
    <w:rsid w:val="00A52B67"/>
    <w:rsid w:val="00A55CB6"/>
    <w:rsid w:val="00A56001"/>
    <w:rsid w:val="00A56727"/>
    <w:rsid w:val="00A5684A"/>
    <w:rsid w:val="00A6183D"/>
    <w:rsid w:val="00A61F1B"/>
    <w:rsid w:val="00A62D24"/>
    <w:rsid w:val="00A63C25"/>
    <w:rsid w:val="00A64AC7"/>
    <w:rsid w:val="00A65DDA"/>
    <w:rsid w:val="00A6672B"/>
    <w:rsid w:val="00A66C19"/>
    <w:rsid w:val="00A672D0"/>
    <w:rsid w:val="00A67735"/>
    <w:rsid w:val="00A67BE4"/>
    <w:rsid w:val="00A721EA"/>
    <w:rsid w:val="00A72958"/>
    <w:rsid w:val="00A73C5A"/>
    <w:rsid w:val="00A74423"/>
    <w:rsid w:val="00A7447F"/>
    <w:rsid w:val="00A762CC"/>
    <w:rsid w:val="00A80AE0"/>
    <w:rsid w:val="00A80C31"/>
    <w:rsid w:val="00A80DC1"/>
    <w:rsid w:val="00A810BA"/>
    <w:rsid w:val="00A8136E"/>
    <w:rsid w:val="00A82ACE"/>
    <w:rsid w:val="00A84595"/>
    <w:rsid w:val="00A84E82"/>
    <w:rsid w:val="00A8517D"/>
    <w:rsid w:val="00A85CF2"/>
    <w:rsid w:val="00A85F97"/>
    <w:rsid w:val="00A91789"/>
    <w:rsid w:val="00A919F6"/>
    <w:rsid w:val="00A91B4A"/>
    <w:rsid w:val="00A96344"/>
    <w:rsid w:val="00A96E60"/>
    <w:rsid w:val="00A97C4F"/>
    <w:rsid w:val="00AA1B6E"/>
    <w:rsid w:val="00AA1FCE"/>
    <w:rsid w:val="00AA2FBE"/>
    <w:rsid w:val="00AA4B94"/>
    <w:rsid w:val="00AA4D9B"/>
    <w:rsid w:val="00AA54CC"/>
    <w:rsid w:val="00AA591F"/>
    <w:rsid w:val="00AA75AC"/>
    <w:rsid w:val="00AB134B"/>
    <w:rsid w:val="00AB2342"/>
    <w:rsid w:val="00AB252B"/>
    <w:rsid w:val="00AB3D9A"/>
    <w:rsid w:val="00AB405C"/>
    <w:rsid w:val="00AB47CE"/>
    <w:rsid w:val="00AB575B"/>
    <w:rsid w:val="00AB5F49"/>
    <w:rsid w:val="00AC2D12"/>
    <w:rsid w:val="00AC38E8"/>
    <w:rsid w:val="00AC4F51"/>
    <w:rsid w:val="00AC7BC2"/>
    <w:rsid w:val="00AD0371"/>
    <w:rsid w:val="00AD13DC"/>
    <w:rsid w:val="00AD151F"/>
    <w:rsid w:val="00AD3AAE"/>
    <w:rsid w:val="00AD4813"/>
    <w:rsid w:val="00AD5291"/>
    <w:rsid w:val="00AD54C5"/>
    <w:rsid w:val="00AD5522"/>
    <w:rsid w:val="00AD5A38"/>
    <w:rsid w:val="00AD5A97"/>
    <w:rsid w:val="00AD5B63"/>
    <w:rsid w:val="00AD5FAA"/>
    <w:rsid w:val="00AD72B7"/>
    <w:rsid w:val="00AD7C5A"/>
    <w:rsid w:val="00AE407F"/>
    <w:rsid w:val="00AE53F8"/>
    <w:rsid w:val="00AE6312"/>
    <w:rsid w:val="00AE659A"/>
    <w:rsid w:val="00AE69A9"/>
    <w:rsid w:val="00AE6D63"/>
    <w:rsid w:val="00AE6E7B"/>
    <w:rsid w:val="00AE713B"/>
    <w:rsid w:val="00AE72F9"/>
    <w:rsid w:val="00AF06DA"/>
    <w:rsid w:val="00AF1207"/>
    <w:rsid w:val="00AF211B"/>
    <w:rsid w:val="00AF4C35"/>
    <w:rsid w:val="00AF6518"/>
    <w:rsid w:val="00AF6E5F"/>
    <w:rsid w:val="00B009D4"/>
    <w:rsid w:val="00B02B90"/>
    <w:rsid w:val="00B0314B"/>
    <w:rsid w:val="00B03809"/>
    <w:rsid w:val="00B04864"/>
    <w:rsid w:val="00B06836"/>
    <w:rsid w:val="00B06905"/>
    <w:rsid w:val="00B0737E"/>
    <w:rsid w:val="00B074FA"/>
    <w:rsid w:val="00B13774"/>
    <w:rsid w:val="00B13A8A"/>
    <w:rsid w:val="00B14120"/>
    <w:rsid w:val="00B15C76"/>
    <w:rsid w:val="00B16573"/>
    <w:rsid w:val="00B16B2E"/>
    <w:rsid w:val="00B16C29"/>
    <w:rsid w:val="00B17555"/>
    <w:rsid w:val="00B17FFC"/>
    <w:rsid w:val="00B2169D"/>
    <w:rsid w:val="00B23623"/>
    <w:rsid w:val="00B25B35"/>
    <w:rsid w:val="00B2755E"/>
    <w:rsid w:val="00B30640"/>
    <w:rsid w:val="00B3069C"/>
    <w:rsid w:val="00B3267E"/>
    <w:rsid w:val="00B3274D"/>
    <w:rsid w:val="00B33351"/>
    <w:rsid w:val="00B33DD7"/>
    <w:rsid w:val="00B35767"/>
    <w:rsid w:val="00B36A01"/>
    <w:rsid w:val="00B372A8"/>
    <w:rsid w:val="00B40531"/>
    <w:rsid w:val="00B412E9"/>
    <w:rsid w:val="00B43332"/>
    <w:rsid w:val="00B438CF"/>
    <w:rsid w:val="00B45596"/>
    <w:rsid w:val="00B45C39"/>
    <w:rsid w:val="00B46EE7"/>
    <w:rsid w:val="00B50D25"/>
    <w:rsid w:val="00B51340"/>
    <w:rsid w:val="00B51C6A"/>
    <w:rsid w:val="00B51D85"/>
    <w:rsid w:val="00B5206E"/>
    <w:rsid w:val="00B52543"/>
    <w:rsid w:val="00B53FDE"/>
    <w:rsid w:val="00B54AE8"/>
    <w:rsid w:val="00B54DED"/>
    <w:rsid w:val="00B559A4"/>
    <w:rsid w:val="00B56748"/>
    <w:rsid w:val="00B56DDC"/>
    <w:rsid w:val="00B5724D"/>
    <w:rsid w:val="00B577BB"/>
    <w:rsid w:val="00B6057E"/>
    <w:rsid w:val="00B60D59"/>
    <w:rsid w:val="00B6117A"/>
    <w:rsid w:val="00B63281"/>
    <w:rsid w:val="00B648C9"/>
    <w:rsid w:val="00B64903"/>
    <w:rsid w:val="00B651CF"/>
    <w:rsid w:val="00B71741"/>
    <w:rsid w:val="00B722B6"/>
    <w:rsid w:val="00B72C79"/>
    <w:rsid w:val="00B730C9"/>
    <w:rsid w:val="00B73B01"/>
    <w:rsid w:val="00B750A0"/>
    <w:rsid w:val="00B764B0"/>
    <w:rsid w:val="00B76903"/>
    <w:rsid w:val="00B8030D"/>
    <w:rsid w:val="00B80A99"/>
    <w:rsid w:val="00B80BDF"/>
    <w:rsid w:val="00B81EB4"/>
    <w:rsid w:val="00B8256E"/>
    <w:rsid w:val="00B8321D"/>
    <w:rsid w:val="00B836B7"/>
    <w:rsid w:val="00B83A0D"/>
    <w:rsid w:val="00B83E25"/>
    <w:rsid w:val="00B84083"/>
    <w:rsid w:val="00B86AE2"/>
    <w:rsid w:val="00B903B6"/>
    <w:rsid w:val="00B9058C"/>
    <w:rsid w:val="00B90950"/>
    <w:rsid w:val="00B9143A"/>
    <w:rsid w:val="00B9219A"/>
    <w:rsid w:val="00B94C5A"/>
    <w:rsid w:val="00B94F12"/>
    <w:rsid w:val="00B94FFC"/>
    <w:rsid w:val="00B96FEE"/>
    <w:rsid w:val="00B97120"/>
    <w:rsid w:val="00B97FFC"/>
    <w:rsid w:val="00BA0702"/>
    <w:rsid w:val="00BA0926"/>
    <w:rsid w:val="00BA0A4E"/>
    <w:rsid w:val="00BA0DE7"/>
    <w:rsid w:val="00BA260B"/>
    <w:rsid w:val="00BA3D78"/>
    <w:rsid w:val="00BA406A"/>
    <w:rsid w:val="00BA4567"/>
    <w:rsid w:val="00BA4C6D"/>
    <w:rsid w:val="00BA53C0"/>
    <w:rsid w:val="00BA5905"/>
    <w:rsid w:val="00BA6533"/>
    <w:rsid w:val="00BA74B2"/>
    <w:rsid w:val="00BA767C"/>
    <w:rsid w:val="00BB10B0"/>
    <w:rsid w:val="00BB1220"/>
    <w:rsid w:val="00BB1A61"/>
    <w:rsid w:val="00BB1B35"/>
    <w:rsid w:val="00BB1C0A"/>
    <w:rsid w:val="00BB27B1"/>
    <w:rsid w:val="00BB29C8"/>
    <w:rsid w:val="00BB47A5"/>
    <w:rsid w:val="00BB6CC6"/>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F8B"/>
    <w:rsid w:val="00BD3F2E"/>
    <w:rsid w:val="00BD45F9"/>
    <w:rsid w:val="00BD46FF"/>
    <w:rsid w:val="00BD4EE5"/>
    <w:rsid w:val="00BD56EF"/>
    <w:rsid w:val="00BD6DCF"/>
    <w:rsid w:val="00BD77BE"/>
    <w:rsid w:val="00BD796B"/>
    <w:rsid w:val="00BE044B"/>
    <w:rsid w:val="00BE0593"/>
    <w:rsid w:val="00BE2A35"/>
    <w:rsid w:val="00BE3A13"/>
    <w:rsid w:val="00BE4545"/>
    <w:rsid w:val="00BE629D"/>
    <w:rsid w:val="00BE6428"/>
    <w:rsid w:val="00BE651A"/>
    <w:rsid w:val="00BF17F3"/>
    <w:rsid w:val="00BF2B04"/>
    <w:rsid w:val="00BF323C"/>
    <w:rsid w:val="00BF49A5"/>
    <w:rsid w:val="00BF5627"/>
    <w:rsid w:val="00BF5DAA"/>
    <w:rsid w:val="00BF5EBC"/>
    <w:rsid w:val="00BF7DFF"/>
    <w:rsid w:val="00BF7F74"/>
    <w:rsid w:val="00C0099F"/>
    <w:rsid w:val="00C016B5"/>
    <w:rsid w:val="00C03399"/>
    <w:rsid w:val="00C048E4"/>
    <w:rsid w:val="00C04CD5"/>
    <w:rsid w:val="00C057A9"/>
    <w:rsid w:val="00C073FC"/>
    <w:rsid w:val="00C117D6"/>
    <w:rsid w:val="00C13854"/>
    <w:rsid w:val="00C1515E"/>
    <w:rsid w:val="00C15B05"/>
    <w:rsid w:val="00C1645C"/>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3404E"/>
    <w:rsid w:val="00C34BC7"/>
    <w:rsid w:val="00C404BD"/>
    <w:rsid w:val="00C41A6F"/>
    <w:rsid w:val="00C41EE7"/>
    <w:rsid w:val="00C43D55"/>
    <w:rsid w:val="00C43F96"/>
    <w:rsid w:val="00C4409E"/>
    <w:rsid w:val="00C44B81"/>
    <w:rsid w:val="00C4515D"/>
    <w:rsid w:val="00C50D4E"/>
    <w:rsid w:val="00C52A9C"/>
    <w:rsid w:val="00C52AC7"/>
    <w:rsid w:val="00C555CB"/>
    <w:rsid w:val="00C562E9"/>
    <w:rsid w:val="00C606CF"/>
    <w:rsid w:val="00C609C2"/>
    <w:rsid w:val="00C60D39"/>
    <w:rsid w:val="00C64553"/>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1442"/>
    <w:rsid w:val="00C8186D"/>
    <w:rsid w:val="00C819C6"/>
    <w:rsid w:val="00C82363"/>
    <w:rsid w:val="00C83997"/>
    <w:rsid w:val="00C84A05"/>
    <w:rsid w:val="00C87114"/>
    <w:rsid w:val="00C901F4"/>
    <w:rsid w:val="00C9083E"/>
    <w:rsid w:val="00C91DE5"/>
    <w:rsid w:val="00C9240F"/>
    <w:rsid w:val="00C93239"/>
    <w:rsid w:val="00C94042"/>
    <w:rsid w:val="00C94972"/>
    <w:rsid w:val="00C959C8"/>
    <w:rsid w:val="00C97315"/>
    <w:rsid w:val="00CA0305"/>
    <w:rsid w:val="00CA1F58"/>
    <w:rsid w:val="00CA3670"/>
    <w:rsid w:val="00CA5C36"/>
    <w:rsid w:val="00CA5DB0"/>
    <w:rsid w:val="00CA5F9C"/>
    <w:rsid w:val="00CA67D8"/>
    <w:rsid w:val="00CA7002"/>
    <w:rsid w:val="00CA71CF"/>
    <w:rsid w:val="00CB1012"/>
    <w:rsid w:val="00CB30B7"/>
    <w:rsid w:val="00CB56DC"/>
    <w:rsid w:val="00CB5D27"/>
    <w:rsid w:val="00CB721C"/>
    <w:rsid w:val="00CB73D8"/>
    <w:rsid w:val="00CC15F4"/>
    <w:rsid w:val="00CC1D67"/>
    <w:rsid w:val="00CC23FF"/>
    <w:rsid w:val="00CC358C"/>
    <w:rsid w:val="00CC5C71"/>
    <w:rsid w:val="00CC7359"/>
    <w:rsid w:val="00CD0592"/>
    <w:rsid w:val="00CD12DA"/>
    <w:rsid w:val="00CD179E"/>
    <w:rsid w:val="00CD4174"/>
    <w:rsid w:val="00CD431A"/>
    <w:rsid w:val="00CD5918"/>
    <w:rsid w:val="00CD6DDB"/>
    <w:rsid w:val="00CE4113"/>
    <w:rsid w:val="00CE543A"/>
    <w:rsid w:val="00CE644F"/>
    <w:rsid w:val="00CF01F4"/>
    <w:rsid w:val="00CF0822"/>
    <w:rsid w:val="00CF27BE"/>
    <w:rsid w:val="00CF458D"/>
    <w:rsid w:val="00CF5CD2"/>
    <w:rsid w:val="00CF6AC1"/>
    <w:rsid w:val="00D004BC"/>
    <w:rsid w:val="00D0099C"/>
    <w:rsid w:val="00D0159F"/>
    <w:rsid w:val="00D02D56"/>
    <w:rsid w:val="00D02E14"/>
    <w:rsid w:val="00D03313"/>
    <w:rsid w:val="00D03633"/>
    <w:rsid w:val="00D03B89"/>
    <w:rsid w:val="00D047FA"/>
    <w:rsid w:val="00D051F3"/>
    <w:rsid w:val="00D10893"/>
    <w:rsid w:val="00D128BC"/>
    <w:rsid w:val="00D1412E"/>
    <w:rsid w:val="00D14E3A"/>
    <w:rsid w:val="00D16640"/>
    <w:rsid w:val="00D20EFD"/>
    <w:rsid w:val="00D214E6"/>
    <w:rsid w:val="00D21F25"/>
    <w:rsid w:val="00D236B8"/>
    <w:rsid w:val="00D239BC"/>
    <w:rsid w:val="00D24544"/>
    <w:rsid w:val="00D24CB1"/>
    <w:rsid w:val="00D26382"/>
    <w:rsid w:val="00D31432"/>
    <w:rsid w:val="00D33D2F"/>
    <w:rsid w:val="00D342D4"/>
    <w:rsid w:val="00D344F1"/>
    <w:rsid w:val="00D347C2"/>
    <w:rsid w:val="00D35467"/>
    <w:rsid w:val="00D3708D"/>
    <w:rsid w:val="00D37BB8"/>
    <w:rsid w:val="00D4113E"/>
    <w:rsid w:val="00D4186C"/>
    <w:rsid w:val="00D41E35"/>
    <w:rsid w:val="00D41FD8"/>
    <w:rsid w:val="00D44628"/>
    <w:rsid w:val="00D44B3D"/>
    <w:rsid w:val="00D44F9D"/>
    <w:rsid w:val="00D455A7"/>
    <w:rsid w:val="00D45671"/>
    <w:rsid w:val="00D45A54"/>
    <w:rsid w:val="00D45AC4"/>
    <w:rsid w:val="00D45DF4"/>
    <w:rsid w:val="00D45EF3"/>
    <w:rsid w:val="00D46085"/>
    <w:rsid w:val="00D474E4"/>
    <w:rsid w:val="00D475E8"/>
    <w:rsid w:val="00D47BAE"/>
    <w:rsid w:val="00D47D05"/>
    <w:rsid w:val="00D503DB"/>
    <w:rsid w:val="00D505D1"/>
    <w:rsid w:val="00D50896"/>
    <w:rsid w:val="00D50CC9"/>
    <w:rsid w:val="00D50D1C"/>
    <w:rsid w:val="00D50EA7"/>
    <w:rsid w:val="00D5184C"/>
    <w:rsid w:val="00D52335"/>
    <w:rsid w:val="00D53E7C"/>
    <w:rsid w:val="00D54DCB"/>
    <w:rsid w:val="00D55903"/>
    <w:rsid w:val="00D56C60"/>
    <w:rsid w:val="00D57437"/>
    <w:rsid w:val="00D57F73"/>
    <w:rsid w:val="00D6004C"/>
    <w:rsid w:val="00D60318"/>
    <w:rsid w:val="00D6033A"/>
    <w:rsid w:val="00D61963"/>
    <w:rsid w:val="00D62426"/>
    <w:rsid w:val="00D633EC"/>
    <w:rsid w:val="00D64C04"/>
    <w:rsid w:val="00D67822"/>
    <w:rsid w:val="00D67CDE"/>
    <w:rsid w:val="00D67D34"/>
    <w:rsid w:val="00D7026A"/>
    <w:rsid w:val="00D71033"/>
    <w:rsid w:val="00D725F4"/>
    <w:rsid w:val="00D73681"/>
    <w:rsid w:val="00D7383B"/>
    <w:rsid w:val="00D75DE4"/>
    <w:rsid w:val="00D77056"/>
    <w:rsid w:val="00D77A98"/>
    <w:rsid w:val="00D80BBB"/>
    <w:rsid w:val="00D80D05"/>
    <w:rsid w:val="00D80ED8"/>
    <w:rsid w:val="00D81D34"/>
    <w:rsid w:val="00D82CBE"/>
    <w:rsid w:val="00D83170"/>
    <w:rsid w:val="00D85178"/>
    <w:rsid w:val="00D85317"/>
    <w:rsid w:val="00D855C8"/>
    <w:rsid w:val="00D86C0A"/>
    <w:rsid w:val="00D87960"/>
    <w:rsid w:val="00D87ADD"/>
    <w:rsid w:val="00D90E27"/>
    <w:rsid w:val="00D915DF"/>
    <w:rsid w:val="00D916B3"/>
    <w:rsid w:val="00D94C80"/>
    <w:rsid w:val="00D95641"/>
    <w:rsid w:val="00D959F8"/>
    <w:rsid w:val="00D95E78"/>
    <w:rsid w:val="00D9611A"/>
    <w:rsid w:val="00D96372"/>
    <w:rsid w:val="00D966A1"/>
    <w:rsid w:val="00D96918"/>
    <w:rsid w:val="00D96A86"/>
    <w:rsid w:val="00D97656"/>
    <w:rsid w:val="00D977D4"/>
    <w:rsid w:val="00DA029F"/>
    <w:rsid w:val="00DA1385"/>
    <w:rsid w:val="00DA1F9C"/>
    <w:rsid w:val="00DA2E91"/>
    <w:rsid w:val="00DA3752"/>
    <w:rsid w:val="00DA3B88"/>
    <w:rsid w:val="00DA451A"/>
    <w:rsid w:val="00DA5AEE"/>
    <w:rsid w:val="00DA607C"/>
    <w:rsid w:val="00DA608A"/>
    <w:rsid w:val="00DA6E9E"/>
    <w:rsid w:val="00DA7CB6"/>
    <w:rsid w:val="00DB0357"/>
    <w:rsid w:val="00DB2AD6"/>
    <w:rsid w:val="00DB2B2B"/>
    <w:rsid w:val="00DB31F7"/>
    <w:rsid w:val="00DB4413"/>
    <w:rsid w:val="00DB5B6B"/>
    <w:rsid w:val="00DC3E3B"/>
    <w:rsid w:val="00DC3E3E"/>
    <w:rsid w:val="00DC4815"/>
    <w:rsid w:val="00DC4E71"/>
    <w:rsid w:val="00DC51B2"/>
    <w:rsid w:val="00DC7107"/>
    <w:rsid w:val="00DC72FF"/>
    <w:rsid w:val="00DC7720"/>
    <w:rsid w:val="00DD143E"/>
    <w:rsid w:val="00DD38E9"/>
    <w:rsid w:val="00DD3CBF"/>
    <w:rsid w:val="00DD7EE3"/>
    <w:rsid w:val="00DE6C30"/>
    <w:rsid w:val="00DE721C"/>
    <w:rsid w:val="00DE75B4"/>
    <w:rsid w:val="00DF01D5"/>
    <w:rsid w:val="00DF0EBB"/>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413A"/>
    <w:rsid w:val="00E04470"/>
    <w:rsid w:val="00E0679E"/>
    <w:rsid w:val="00E06B50"/>
    <w:rsid w:val="00E1000D"/>
    <w:rsid w:val="00E111A7"/>
    <w:rsid w:val="00E123D3"/>
    <w:rsid w:val="00E12AD5"/>
    <w:rsid w:val="00E13C8F"/>
    <w:rsid w:val="00E14189"/>
    <w:rsid w:val="00E1593C"/>
    <w:rsid w:val="00E162E5"/>
    <w:rsid w:val="00E169F4"/>
    <w:rsid w:val="00E203F5"/>
    <w:rsid w:val="00E20556"/>
    <w:rsid w:val="00E21E20"/>
    <w:rsid w:val="00E242FF"/>
    <w:rsid w:val="00E24C33"/>
    <w:rsid w:val="00E25691"/>
    <w:rsid w:val="00E26933"/>
    <w:rsid w:val="00E31018"/>
    <w:rsid w:val="00E32436"/>
    <w:rsid w:val="00E32A6E"/>
    <w:rsid w:val="00E36491"/>
    <w:rsid w:val="00E367D4"/>
    <w:rsid w:val="00E375E5"/>
    <w:rsid w:val="00E4003E"/>
    <w:rsid w:val="00E4116B"/>
    <w:rsid w:val="00E43890"/>
    <w:rsid w:val="00E43F9C"/>
    <w:rsid w:val="00E4493F"/>
    <w:rsid w:val="00E44E5F"/>
    <w:rsid w:val="00E4557F"/>
    <w:rsid w:val="00E459BB"/>
    <w:rsid w:val="00E47377"/>
    <w:rsid w:val="00E47BCA"/>
    <w:rsid w:val="00E52225"/>
    <w:rsid w:val="00E541C1"/>
    <w:rsid w:val="00E55B8E"/>
    <w:rsid w:val="00E55D6F"/>
    <w:rsid w:val="00E55E54"/>
    <w:rsid w:val="00E60D5C"/>
    <w:rsid w:val="00E60EB4"/>
    <w:rsid w:val="00E62E63"/>
    <w:rsid w:val="00E639A0"/>
    <w:rsid w:val="00E63CD5"/>
    <w:rsid w:val="00E64284"/>
    <w:rsid w:val="00E657E6"/>
    <w:rsid w:val="00E66253"/>
    <w:rsid w:val="00E672CF"/>
    <w:rsid w:val="00E70484"/>
    <w:rsid w:val="00E72C14"/>
    <w:rsid w:val="00E72E9D"/>
    <w:rsid w:val="00E7338C"/>
    <w:rsid w:val="00E7421A"/>
    <w:rsid w:val="00E75264"/>
    <w:rsid w:val="00E7623E"/>
    <w:rsid w:val="00E76D6F"/>
    <w:rsid w:val="00E80771"/>
    <w:rsid w:val="00E81B14"/>
    <w:rsid w:val="00E81F84"/>
    <w:rsid w:val="00E83F26"/>
    <w:rsid w:val="00E84A9A"/>
    <w:rsid w:val="00E862C6"/>
    <w:rsid w:val="00E8779B"/>
    <w:rsid w:val="00E87824"/>
    <w:rsid w:val="00E91AB8"/>
    <w:rsid w:val="00E91F50"/>
    <w:rsid w:val="00E94F6E"/>
    <w:rsid w:val="00E957D9"/>
    <w:rsid w:val="00E96511"/>
    <w:rsid w:val="00EA0EEC"/>
    <w:rsid w:val="00EA0FAF"/>
    <w:rsid w:val="00EA3C8E"/>
    <w:rsid w:val="00EA5D63"/>
    <w:rsid w:val="00EA5F6D"/>
    <w:rsid w:val="00EB37ED"/>
    <w:rsid w:val="00EB79F4"/>
    <w:rsid w:val="00EB7CD4"/>
    <w:rsid w:val="00EC0D2F"/>
    <w:rsid w:val="00EC117A"/>
    <w:rsid w:val="00EC238D"/>
    <w:rsid w:val="00EC377A"/>
    <w:rsid w:val="00EC3C6A"/>
    <w:rsid w:val="00EC53E7"/>
    <w:rsid w:val="00EC5904"/>
    <w:rsid w:val="00EC5E63"/>
    <w:rsid w:val="00EC64E7"/>
    <w:rsid w:val="00EC6642"/>
    <w:rsid w:val="00EC714A"/>
    <w:rsid w:val="00EC723D"/>
    <w:rsid w:val="00EC789A"/>
    <w:rsid w:val="00EC789C"/>
    <w:rsid w:val="00ED2149"/>
    <w:rsid w:val="00ED4A9C"/>
    <w:rsid w:val="00ED641B"/>
    <w:rsid w:val="00EE027D"/>
    <w:rsid w:val="00EE0567"/>
    <w:rsid w:val="00EE3D21"/>
    <w:rsid w:val="00EE467E"/>
    <w:rsid w:val="00EE4C8F"/>
    <w:rsid w:val="00EE59B8"/>
    <w:rsid w:val="00EE6120"/>
    <w:rsid w:val="00EE648E"/>
    <w:rsid w:val="00EE7466"/>
    <w:rsid w:val="00EE7C9C"/>
    <w:rsid w:val="00EF0A1B"/>
    <w:rsid w:val="00EF17FF"/>
    <w:rsid w:val="00EF1EC2"/>
    <w:rsid w:val="00EF2766"/>
    <w:rsid w:val="00EF509F"/>
    <w:rsid w:val="00EF74EB"/>
    <w:rsid w:val="00F00E55"/>
    <w:rsid w:val="00F021BD"/>
    <w:rsid w:val="00F033A7"/>
    <w:rsid w:val="00F05993"/>
    <w:rsid w:val="00F05B81"/>
    <w:rsid w:val="00F07361"/>
    <w:rsid w:val="00F07E72"/>
    <w:rsid w:val="00F10710"/>
    <w:rsid w:val="00F1126E"/>
    <w:rsid w:val="00F115DB"/>
    <w:rsid w:val="00F118FD"/>
    <w:rsid w:val="00F11D8F"/>
    <w:rsid w:val="00F145F1"/>
    <w:rsid w:val="00F15107"/>
    <w:rsid w:val="00F15532"/>
    <w:rsid w:val="00F16B72"/>
    <w:rsid w:val="00F2020B"/>
    <w:rsid w:val="00F20DA3"/>
    <w:rsid w:val="00F210B8"/>
    <w:rsid w:val="00F210F7"/>
    <w:rsid w:val="00F237D1"/>
    <w:rsid w:val="00F24893"/>
    <w:rsid w:val="00F252C0"/>
    <w:rsid w:val="00F255D4"/>
    <w:rsid w:val="00F2718D"/>
    <w:rsid w:val="00F27955"/>
    <w:rsid w:val="00F30F16"/>
    <w:rsid w:val="00F30F1F"/>
    <w:rsid w:val="00F31CE8"/>
    <w:rsid w:val="00F31D99"/>
    <w:rsid w:val="00F35490"/>
    <w:rsid w:val="00F36E89"/>
    <w:rsid w:val="00F37B4F"/>
    <w:rsid w:val="00F40351"/>
    <w:rsid w:val="00F40AC4"/>
    <w:rsid w:val="00F43D37"/>
    <w:rsid w:val="00F44BE8"/>
    <w:rsid w:val="00F47996"/>
    <w:rsid w:val="00F515F5"/>
    <w:rsid w:val="00F5664F"/>
    <w:rsid w:val="00F604BD"/>
    <w:rsid w:val="00F61585"/>
    <w:rsid w:val="00F622F9"/>
    <w:rsid w:val="00F649BF"/>
    <w:rsid w:val="00F656F0"/>
    <w:rsid w:val="00F65E3D"/>
    <w:rsid w:val="00F665F2"/>
    <w:rsid w:val="00F6676B"/>
    <w:rsid w:val="00F66E3D"/>
    <w:rsid w:val="00F70195"/>
    <w:rsid w:val="00F703FE"/>
    <w:rsid w:val="00F7183B"/>
    <w:rsid w:val="00F71BDA"/>
    <w:rsid w:val="00F7262A"/>
    <w:rsid w:val="00F74697"/>
    <w:rsid w:val="00F76D8A"/>
    <w:rsid w:val="00F77FD0"/>
    <w:rsid w:val="00F800CD"/>
    <w:rsid w:val="00F812D0"/>
    <w:rsid w:val="00F83083"/>
    <w:rsid w:val="00F83FB8"/>
    <w:rsid w:val="00F86845"/>
    <w:rsid w:val="00F86A44"/>
    <w:rsid w:val="00F87279"/>
    <w:rsid w:val="00F87600"/>
    <w:rsid w:val="00F87D69"/>
    <w:rsid w:val="00F909F9"/>
    <w:rsid w:val="00F938F6"/>
    <w:rsid w:val="00F94A0B"/>
    <w:rsid w:val="00F94FE1"/>
    <w:rsid w:val="00F96E0C"/>
    <w:rsid w:val="00F97918"/>
    <w:rsid w:val="00F97B4F"/>
    <w:rsid w:val="00F97F26"/>
    <w:rsid w:val="00FA205F"/>
    <w:rsid w:val="00FA2556"/>
    <w:rsid w:val="00FA2703"/>
    <w:rsid w:val="00FA29F2"/>
    <w:rsid w:val="00FA43C2"/>
    <w:rsid w:val="00FA4B59"/>
    <w:rsid w:val="00FB18AE"/>
    <w:rsid w:val="00FB1C13"/>
    <w:rsid w:val="00FB1CF1"/>
    <w:rsid w:val="00FB1E7E"/>
    <w:rsid w:val="00FB1F9D"/>
    <w:rsid w:val="00FB4121"/>
    <w:rsid w:val="00FB48F1"/>
    <w:rsid w:val="00FB65A8"/>
    <w:rsid w:val="00FB67E7"/>
    <w:rsid w:val="00FB6973"/>
    <w:rsid w:val="00FC15F8"/>
    <w:rsid w:val="00FC1B9D"/>
    <w:rsid w:val="00FC1F32"/>
    <w:rsid w:val="00FC5CD4"/>
    <w:rsid w:val="00FC75E9"/>
    <w:rsid w:val="00FD36B5"/>
    <w:rsid w:val="00FD37C1"/>
    <w:rsid w:val="00FD3AED"/>
    <w:rsid w:val="00FD43F3"/>
    <w:rsid w:val="00FD4EBB"/>
    <w:rsid w:val="00FD5B7C"/>
    <w:rsid w:val="00FD613A"/>
    <w:rsid w:val="00FD6D35"/>
    <w:rsid w:val="00FE3FA1"/>
    <w:rsid w:val="00FE42ED"/>
    <w:rsid w:val="00FE4390"/>
    <w:rsid w:val="00FE5F4B"/>
    <w:rsid w:val="00FE64BC"/>
    <w:rsid w:val="00FE67A7"/>
    <w:rsid w:val="00FE6BC4"/>
    <w:rsid w:val="00FE6FCC"/>
    <w:rsid w:val="00FE76D5"/>
    <w:rsid w:val="00FE7A14"/>
    <w:rsid w:val="00FF0FD3"/>
    <w:rsid w:val="00FF285D"/>
    <w:rsid w:val="00FF3203"/>
    <w:rsid w:val="00FF4A1C"/>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CE96"/>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E534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56880-par-iedzivotaju-ienakuma-nod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2539-bezdarbnieku-un-darba-mekletaju-atbalsta-likums" TargetMode="External"/><Relationship Id="rId5" Type="http://schemas.openxmlformats.org/officeDocument/2006/relationships/webSettings" Target="webSettings.xml"/><Relationship Id="rId15" Type="http://schemas.openxmlformats.org/officeDocument/2006/relationships/hyperlink" Target="mailto:Inese.Veinberga@fm.gov.lv" TargetMode="External"/><Relationship Id="rId10" Type="http://schemas.openxmlformats.org/officeDocument/2006/relationships/hyperlink" Target="https://likumi.lv/ta/id/2341-valsts-fondeto-pensiju-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38048-par-valsts-pensijam" TargetMode="External"/><Relationship Id="rId14" Type="http://schemas.openxmlformats.org/officeDocument/2006/relationships/hyperlink" Target="mailto:Anda.Orehova@f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D06F-12FC-4D21-A9FC-E77F892F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31</Pages>
  <Words>50506</Words>
  <Characters>28789</Characters>
  <Application>Microsoft Office Word</Application>
  <DocSecurity>0</DocSecurity>
  <Lines>239</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iedzīvotāju ienākuma nodokli"" sākotnējās ietekmes novērtējuma ziņojums (anotācija)</vt:lpstr>
      <vt:lpstr>Projekta sākotnējās ietekmes novērtējuma ziņojums (anotācija"</vt:lpstr>
    </vt:vector>
  </TitlesOfParts>
  <Company>FM</Company>
  <LinksUpToDate>false</LinksUpToDate>
  <CharactersWithSpaces>79137</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Inese Veinberga</dc:creator>
  <dc:description>Finanšu ministrijas Tiešo nodokļu departamenta
Īpašuma un iedzīvotāju ienākuma 
nodokļu nodaļas vadītājas vietniece
Veinberga 67083848, faksa Nr.67095421
Inese.Veinberga@fm.gov.lv</dc:description>
  <cp:lastModifiedBy>Anda Orehova</cp:lastModifiedBy>
  <cp:revision>27</cp:revision>
  <cp:lastPrinted>2017-07-05T11:24:00Z</cp:lastPrinted>
  <dcterms:created xsi:type="dcterms:W3CDTF">2017-07-05T06:13:00Z</dcterms:created>
  <dcterms:modified xsi:type="dcterms:W3CDTF">2017-07-06T09:44:00Z</dcterms:modified>
</cp:coreProperties>
</file>