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15" w:rsidRPr="00012515" w:rsidRDefault="00EE7502" w:rsidP="003D4FFB">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Ministru kabineta noteikumu projekt</w:t>
      </w:r>
      <w:r w:rsidR="00D63DC9">
        <w:rPr>
          <w:rFonts w:ascii="Times New Roman" w:eastAsia="Times New Roman" w:hAnsi="Times New Roman" w:cs="Times New Roman"/>
          <w:b/>
          <w:sz w:val="30"/>
          <w:szCs w:val="30"/>
        </w:rPr>
        <w:t>a</w:t>
      </w:r>
      <w:r w:rsidR="00D63DC9" w:rsidRPr="00D63DC9">
        <w:rPr>
          <w:rFonts w:ascii="Times New Roman" w:eastAsia="Times New Roman" w:hAnsi="Times New Roman" w:cs="Times New Roman"/>
          <w:b/>
          <w:bCs/>
          <w:sz w:val="30"/>
          <w:szCs w:val="30"/>
        </w:rPr>
        <w:t xml:space="preserve"> </w:t>
      </w:r>
      <w:r w:rsidR="00D63DC9">
        <w:rPr>
          <w:rFonts w:ascii="Times New Roman" w:eastAsia="Times New Roman" w:hAnsi="Times New Roman" w:cs="Times New Roman"/>
          <w:b/>
          <w:bCs/>
          <w:sz w:val="30"/>
          <w:szCs w:val="30"/>
        </w:rPr>
        <w:t>“</w:t>
      </w:r>
      <w:r w:rsidR="00D63DC9" w:rsidRPr="00D63DC9">
        <w:rPr>
          <w:rFonts w:ascii="Times New Roman" w:eastAsia="Times New Roman" w:hAnsi="Times New Roman" w:cs="Times New Roman"/>
          <w:b/>
          <w:bCs/>
          <w:sz w:val="30"/>
          <w:szCs w:val="30"/>
        </w:rPr>
        <w:t>Starptautisk</w:t>
      </w:r>
      <w:r w:rsidR="000C59F7">
        <w:rPr>
          <w:rFonts w:ascii="Times New Roman" w:eastAsia="Times New Roman" w:hAnsi="Times New Roman" w:cs="Times New Roman"/>
          <w:b/>
          <w:bCs/>
          <w:sz w:val="30"/>
          <w:szCs w:val="30"/>
        </w:rPr>
        <w:t>as</w:t>
      </w:r>
      <w:r w:rsidR="00D63DC9" w:rsidRPr="00D63DC9">
        <w:rPr>
          <w:rFonts w:ascii="Times New Roman" w:eastAsia="Times New Roman" w:hAnsi="Times New Roman" w:cs="Times New Roman"/>
          <w:b/>
          <w:bCs/>
          <w:sz w:val="30"/>
          <w:szCs w:val="30"/>
        </w:rPr>
        <w:t xml:space="preserve"> uzņēmumu grupas pārskata</w:t>
      </w:r>
      <w:r w:rsidR="003D4FFB">
        <w:rPr>
          <w:rFonts w:ascii="Times New Roman" w:eastAsia="Times New Roman" w:hAnsi="Times New Roman" w:cs="Times New Roman"/>
          <w:b/>
          <w:bCs/>
          <w:sz w:val="30"/>
          <w:szCs w:val="30"/>
        </w:rPr>
        <w:t xml:space="preserve"> par katru valsti</w:t>
      </w:r>
      <w:r w:rsidR="00D63DC9" w:rsidRPr="00D63DC9">
        <w:rPr>
          <w:rFonts w:ascii="Times New Roman" w:eastAsia="Times New Roman" w:hAnsi="Times New Roman" w:cs="Times New Roman"/>
          <w:b/>
          <w:bCs/>
          <w:sz w:val="30"/>
          <w:szCs w:val="30"/>
        </w:rPr>
        <w:t xml:space="preserve"> </w:t>
      </w:r>
      <w:r w:rsidR="0020203B">
        <w:rPr>
          <w:rFonts w:ascii="Times New Roman" w:eastAsia="Times New Roman" w:hAnsi="Times New Roman" w:cs="Times New Roman"/>
          <w:b/>
          <w:bCs/>
          <w:sz w:val="30"/>
          <w:szCs w:val="30"/>
        </w:rPr>
        <w:t>noteikumi</w:t>
      </w:r>
      <w:r w:rsidR="00D63DC9">
        <w:rPr>
          <w:rFonts w:ascii="Times New Roman" w:eastAsia="Times New Roman" w:hAnsi="Times New Roman" w:cs="Times New Roman"/>
          <w:b/>
          <w:bCs/>
          <w:sz w:val="30"/>
          <w:szCs w:val="30"/>
        </w:rPr>
        <w:t>”</w:t>
      </w:r>
      <w:r w:rsidR="003D4FFB">
        <w:rPr>
          <w:rFonts w:ascii="Times New Roman" w:eastAsia="Times New Roman" w:hAnsi="Times New Roman" w:cs="Times New Roman"/>
          <w:b/>
          <w:sz w:val="30"/>
          <w:szCs w:val="30"/>
        </w:rPr>
        <w:t xml:space="preserve"> s</w:t>
      </w:r>
      <w:r w:rsidR="00012515" w:rsidRPr="00012515">
        <w:rPr>
          <w:rFonts w:ascii="Times New Roman" w:eastAsia="Times New Roman" w:hAnsi="Times New Roman" w:cs="Times New Roman"/>
          <w:b/>
          <w:sz w:val="30"/>
          <w:szCs w:val="30"/>
        </w:rPr>
        <w:t>ākotnējās ietekmes novērtējuma ziņojums (anotācija)</w:t>
      </w:r>
    </w:p>
    <w:p w:rsidR="00012515" w:rsidRPr="00012515" w:rsidRDefault="00012515" w:rsidP="00012515">
      <w:pPr>
        <w:spacing w:after="0" w:line="240" w:lineRule="auto"/>
        <w:rPr>
          <w:rFonts w:ascii="Times New Roman" w:eastAsia="Times New Roman" w:hAnsi="Times New Roman" w:cs="Times New Roman"/>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28"/>
        <w:gridCol w:w="6259"/>
      </w:tblGrid>
      <w:tr w:rsidR="00012515" w:rsidRPr="00012515" w:rsidTr="00012515">
        <w:trPr>
          <w:trHeight w:val="262"/>
        </w:trPr>
        <w:tc>
          <w:tcPr>
            <w:tcW w:w="9245"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b/>
                <w:bCs/>
                <w:sz w:val="26"/>
                <w:szCs w:val="26"/>
                <w:lang w:eastAsia="lv-LV"/>
              </w:rPr>
              <w:t>I. Tiesību akta projekta izstrādes nepieciešamība</w:t>
            </w:r>
          </w:p>
        </w:tc>
      </w:tr>
      <w:tr w:rsidR="00623379" w:rsidRPr="00012515" w:rsidTr="00012515">
        <w:trPr>
          <w:trHeight w:val="630"/>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Pamatojums</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ind w:firstLine="317"/>
              <w:jc w:val="both"/>
              <w:rPr>
                <w:rFonts w:ascii="Times New Roman" w:eastAsia="Times New Roman" w:hAnsi="Times New Roman" w:cs="Times New Roman"/>
                <w:bCs/>
                <w:iCs/>
                <w:sz w:val="26"/>
                <w:szCs w:val="26"/>
              </w:rPr>
            </w:pPr>
            <w:r w:rsidRPr="00012515">
              <w:rPr>
                <w:rFonts w:ascii="Times New Roman" w:eastAsia="Times New Roman" w:hAnsi="Times New Roman" w:cs="Times New Roman"/>
                <w:bCs/>
                <w:iCs/>
                <w:sz w:val="26"/>
                <w:szCs w:val="26"/>
              </w:rPr>
              <w:t xml:space="preserve">1) Padomes </w:t>
            </w:r>
            <w:r w:rsidR="008D4E14">
              <w:rPr>
                <w:rFonts w:ascii="Times New Roman" w:eastAsia="Times New Roman" w:hAnsi="Times New Roman" w:cs="Times New Roman"/>
                <w:bCs/>
                <w:iCs/>
                <w:sz w:val="26"/>
                <w:szCs w:val="26"/>
              </w:rPr>
              <w:t xml:space="preserve">2016.gada 25.maija </w:t>
            </w:r>
            <w:r w:rsidRPr="00012515">
              <w:rPr>
                <w:rFonts w:ascii="Times New Roman" w:eastAsia="Times New Roman" w:hAnsi="Times New Roman" w:cs="Times New Roman"/>
                <w:bCs/>
                <w:iCs/>
                <w:sz w:val="26"/>
                <w:szCs w:val="26"/>
              </w:rPr>
              <w:t>direktīvas (ES) 2016/881, ar ko Direktīvu 2011/16/ES groza attiecībā uz obligātu automātisku informācijas apmaiņu nodokļu jomā</w:t>
            </w:r>
            <w:r w:rsidR="008D4E14">
              <w:rPr>
                <w:rFonts w:ascii="Times New Roman" w:eastAsia="Times New Roman" w:hAnsi="Times New Roman" w:cs="Times New Roman"/>
                <w:bCs/>
                <w:iCs/>
                <w:sz w:val="26"/>
                <w:szCs w:val="26"/>
              </w:rPr>
              <w:t xml:space="preserve"> (turpmāk – Direktīva),</w:t>
            </w:r>
            <w:r w:rsidRPr="00012515">
              <w:rPr>
                <w:rFonts w:ascii="Times New Roman" w:eastAsia="Times New Roman" w:hAnsi="Times New Roman" w:cs="Times New Roman"/>
                <w:bCs/>
                <w:iCs/>
                <w:sz w:val="26"/>
                <w:szCs w:val="26"/>
              </w:rPr>
              <w:t xml:space="preserve"> ieviešana</w:t>
            </w:r>
            <w:r w:rsidR="008D4E14">
              <w:rPr>
                <w:rFonts w:ascii="Times New Roman" w:eastAsia="Times New Roman" w:hAnsi="Times New Roman" w:cs="Times New Roman"/>
                <w:bCs/>
                <w:iCs/>
                <w:sz w:val="26"/>
                <w:szCs w:val="26"/>
              </w:rPr>
              <w:t>;</w:t>
            </w:r>
          </w:p>
          <w:p w:rsidR="004E6E7D" w:rsidRDefault="008D4E14" w:rsidP="00012515">
            <w:pPr>
              <w:spacing w:after="0" w:line="240" w:lineRule="auto"/>
              <w:ind w:firstLine="317"/>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2) Daudzpusējā</w:t>
            </w:r>
            <w:r w:rsidR="00012515" w:rsidRPr="00012515">
              <w:rPr>
                <w:rFonts w:ascii="Times New Roman" w:eastAsia="Times New Roman" w:hAnsi="Times New Roman" w:cs="Times New Roman"/>
                <w:bCs/>
                <w:iCs/>
                <w:sz w:val="26"/>
                <w:szCs w:val="26"/>
              </w:rPr>
              <w:t xml:space="preserve"> kompetento iestāžu vienošanās par automātisko informācijas apmaiņu ar ziņojumiem par katru valsti</w:t>
            </w:r>
            <w:r w:rsidR="004E6E7D">
              <w:rPr>
                <w:rFonts w:ascii="Times New Roman" w:eastAsia="Times New Roman" w:hAnsi="Times New Roman" w:cs="Times New Roman"/>
                <w:bCs/>
                <w:iCs/>
                <w:sz w:val="26"/>
                <w:szCs w:val="26"/>
              </w:rPr>
              <w:t>;</w:t>
            </w:r>
          </w:p>
          <w:p w:rsidR="00012515" w:rsidRDefault="004E6E7D" w:rsidP="00DE62C6">
            <w:pPr>
              <w:spacing w:after="0" w:line="240" w:lineRule="auto"/>
              <w:ind w:firstLine="317"/>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3) </w:t>
            </w:r>
            <w:r w:rsidR="00AE5B6A">
              <w:rPr>
                <w:rFonts w:ascii="Times New Roman" w:eastAsia="Times New Roman" w:hAnsi="Times New Roman" w:cs="Times New Roman"/>
                <w:bCs/>
                <w:iCs/>
                <w:sz w:val="26"/>
                <w:szCs w:val="26"/>
              </w:rPr>
              <w:t xml:space="preserve">2017.gada 8.jūnija </w:t>
            </w:r>
            <w:r>
              <w:rPr>
                <w:rFonts w:ascii="Times New Roman" w:eastAsia="Times New Roman" w:hAnsi="Times New Roman" w:cs="Times New Roman"/>
                <w:bCs/>
                <w:iCs/>
                <w:sz w:val="26"/>
                <w:szCs w:val="26"/>
              </w:rPr>
              <w:t xml:space="preserve">likuma “Grozījumi likumā “Par nodokļiem un nodevām” </w:t>
            </w:r>
            <w:r w:rsidR="00315EC9">
              <w:rPr>
                <w:rFonts w:ascii="Times New Roman" w:eastAsia="Times New Roman" w:hAnsi="Times New Roman" w:cs="Times New Roman"/>
                <w:bCs/>
                <w:iCs/>
                <w:sz w:val="26"/>
                <w:szCs w:val="26"/>
              </w:rPr>
              <w:t>15.</w:t>
            </w:r>
            <w:r>
              <w:rPr>
                <w:rFonts w:ascii="Times New Roman" w:eastAsia="Times New Roman" w:hAnsi="Times New Roman" w:cs="Times New Roman"/>
                <w:bCs/>
                <w:iCs/>
                <w:sz w:val="26"/>
                <w:szCs w:val="26"/>
              </w:rPr>
              <w:t>pant</w:t>
            </w:r>
            <w:r w:rsidR="00315EC9">
              <w:rPr>
                <w:rFonts w:ascii="Times New Roman" w:eastAsia="Times New Roman" w:hAnsi="Times New Roman" w:cs="Times New Roman"/>
                <w:bCs/>
                <w:iCs/>
                <w:sz w:val="26"/>
                <w:szCs w:val="26"/>
              </w:rPr>
              <w:t>a devītā daļa</w:t>
            </w:r>
            <w:r w:rsidR="00DE62C6">
              <w:rPr>
                <w:rFonts w:ascii="Times New Roman" w:eastAsia="Times New Roman" w:hAnsi="Times New Roman" w:cs="Times New Roman"/>
                <w:bCs/>
                <w:iCs/>
                <w:sz w:val="26"/>
                <w:szCs w:val="26"/>
              </w:rPr>
              <w:t>;</w:t>
            </w:r>
          </w:p>
          <w:p w:rsidR="00DE62C6" w:rsidRPr="00012515" w:rsidRDefault="00DE62C6" w:rsidP="00DE62C6">
            <w:pPr>
              <w:spacing w:after="0" w:line="240" w:lineRule="auto"/>
              <w:ind w:firstLine="317"/>
              <w:jc w:val="both"/>
              <w:rPr>
                <w:rFonts w:ascii="Times New Roman" w:eastAsia="Times New Roman" w:hAnsi="Times New Roman" w:cs="Times New Roman"/>
                <w:bCs/>
                <w:sz w:val="26"/>
                <w:szCs w:val="26"/>
              </w:rPr>
            </w:pPr>
            <w:r>
              <w:rPr>
                <w:rFonts w:ascii="Times New Roman" w:eastAsia="Times New Roman" w:hAnsi="Times New Roman" w:cs="Times New Roman"/>
                <w:bCs/>
                <w:iCs/>
                <w:sz w:val="26"/>
                <w:szCs w:val="26"/>
              </w:rPr>
              <w:t>4)  Ministru kabineta 2017.gada 28.marta sēdes protokols Nr.16, 66.§, TA-556-IP, 4.4.punkts.</w:t>
            </w:r>
          </w:p>
        </w:tc>
      </w:tr>
      <w:tr w:rsidR="00623379" w:rsidRPr="00012515" w:rsidTr="00012515">
        <w:trPr>
          <w:trHeight w:val="472"/>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2.</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443" w:type="dxa"/>
            <w:tcBorders>
              <w:top w:val="single" w:sz="4" w:space="0" w:color="000000"/>
              <w:left w:val="single" w:sz="4" w:space="0" w:color="000000"/>
              <w:bottom w:val="single" w:sz="4" w:space="0" w:color="000000"/>
              <w:right w:val="single" w:sz="4" w:space="0" w:color="000000"/>
            </w:tcBorders>
            <w:hideMark/>
          </w:tcPr>
          <w:p w:rsidR="00844C81" w:rsidRDefault="00844C81" w:rsidP="008D4E14">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Pēdējos gados ir ievērojami pieaugusi krāpšana nodokļu jomā un izvairīšanās no nodokļu maksāšanas, un to novēršanai arvien vairāk uzmanības velt</w:t>
            </w:r>
            <w:r w:rsidR="007E5488">
              <w:rPr>
                <w:rFonts w:ascii="Times New Roman" w:eastAsia="Times New Roman" w:hAnsi="Times New Roman" w:cs="Times New Roman"/>
                <w:iCs/>
                <w:sz w:val="26"/>
                <w:szCs w:val="26"/>
              </w:rPr>
              <w:t>a</w:t>
            </w:r>
            <w:r w:rsidRPr="00012515">
              <w:rPr>
                <w:rFonts w:ascii="Times New Roman" w:eastAsia="Times New Roman" w:hAnsi="Times New Roman" w:cs="Times New Roman"/>
                <w:iCs/>
                <w:sz w:val="26"/>
                <w:szCs w:val="26"/>
              </w:rPr>
              <w:t xml:space="preserve"> gan Eiropas Savienības (turpmāk – ES), gan pasaules līmenī</w:t>
            </w:r>
            <w:r>
              <w:rPr>
                <w:rFonts w:ascii="Times New Roman" w:eastAsia="Times New Roman" w:hAnsi="Times New Roman" w:cs="Times New Roman"/>
                <w:iCs/>
                <w:sz w:val="26"/>
                <w:szCs w:val="26"/>
              </w:rPr>
              <w:t>.</w:t>
            </w:r>
          </w:p>
          <w:p w:rsidR="00012515" w:rsidRPr="00012515" w:rsidRDefault="008D4E14" w:rsidP="00844C81">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Tieši automātiska informācijas apmaiņa ir atzīta kā svarīgs instruments cīņā pret pār</w:t>
            </w:r>
            <w:r w:rsidR="00844C81">
              <w:rPr>
                <w:rFonts w:ascii="Times New Roman" w:eastAsia="Times New Roman" w:hAnsi="Times New Roman" w:cs="Times New Roman"/>
                <w:iCs/>
                <w:sz w:val="26"/>
                <w:szCs w:val="26"/>
              </w:rPr>
              <w:t xml:space="preserve">robežu krāpšanu nodokļu jomā, </w:t>
            </w:r>
            <w:r w:rsidRPr="00012515">
              <w:rPr>
                <w:rFonts w:ascii="Times New Roman" w:eastAsia="Times New Roman" w:hAnsi="Times New Roman" w:cs="Times New Roman"/>
                <w:iCs/>
                <w:sz w:val="26"/>
                <w:szCs w:val="26"/>
              </w:rPr>
              <w:t>izva</w:t>
            </w:r>
            <w:r w:rsidR="00844C81">
              <w:rPr>
                <w:rFonts w:ascii="Times New Roman" w:eastAsia="Times New Roman" w:hAnsi="Times New Roman" w:cs="Times New Roman"/>
                <w:iCs/>
                <w:sz w:val="26"/>
                <w:szCs w:val="26"/>
              </w:rPr>
              <w:t>irīšanos no nodokļu maksāšanas, kā arī agresīvu nodokļu plānošanu.</w:t>
            </w:r>
          </w:p>
          <w:p w:rsidR="00012515" w:rsidRDefault="00844C81" w:rsidP="00012515">
            <w:pPr>
              <w:spacing w:after="0" w:line="240" w:lineRule="auto"/>
              <w:ind w:firstLine="363"/>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Direktīva i</w:t>
            </w:r>
            <w:r w:rsidR="00012515" w:rsidRPr="00012515">
              <w:rPr>
                <w:rFonts w:ascii="Times New Roman" w:eastAsia="Times New Roman" w:hAnsi="Times New Roman" w:cs="Times New Roman"/>
                <w:iCs/>
                <w:sz w:val="26"/>
                <w:szCs w:val="26"/>
              </w:rPr>
              <w:t>r daļa no Eiropas Komisijas nodokļu apiešanas novēršanas tiesību aktu kopuma, un tās mērķis</w:t>
            </w:r>
            <w:r w:rsidR="00012515" w:rsidRPr="00012515">
              <w:rPr>
                <w:rFonts w:ascii="Times New Roman" w:eastAsia="Times New Roman" w:hAnsi="Times New Roman" w:cs="Times New Roman"/>
                <w:sz w:val="26"/>
                <w:szCs w:val="26"/>
              </w:rPr>
              <w:t xml:space="preserve"> ir paplašināt automātisko informācijas apmaiņu starp ES dalībvalstu kompetentajām iestādēm starptautisk</w:t>
            </w:r>
            <w:r w:rsidR="00591FC9">
              <w:rPr>
                <w:rFonts w:ascii="Times New Roman" w:eastAsia="Times New Roman" w:hAnsi="Times New Roman" w:cs="Times New Roman"/>
                <w:sz w:val="26"/>
                <w:szCs w:val="26"/>
              </w:rPr>
              <w:t>as</w:t>
            </w:r>
            <w:r w:rsidR="00012515" w:rsidRPr="00012515">
              <w:rPr>
                <w:rFonts w:ascii="Times New Roman" w:eastAsia="Times New Roman" w:hAnsi="Times New Roman" w:cs="Times New Roman"/>
                <w:sz w:val="26"/>
                <w:szCs w:val="26"/>
              </w:rPr>
              <w:t xml:space="preserve"> uzņēmumu grupas darbības pārskatāmības veicināšanai.</w:t>
            </w:r>
          </w:p>
          <w:p w:rsidR="001A2FC3" w:rsidRDefault="00012515" w:rsidP="00012515">
            <w:pPr>
              <w:spacing w:after="0" w:line="240" w:lineRule="auto"/>
              <w:ind w:firstLine="363"/>
              <w:jc w:val="both"/>
              <w:rPr>
                <w:rFonts w:ascii="Times New Roman" w:eastAsia="Times New Roman" w:hAnsi="Times New Roman" w:cs="Times New Roman"/>
                <w:sz w:val="26"/>
                <w:szCs w:val="26"/>
              </w:rPr>
            </w:pPr>
            <w:r w:rsidRPr="00012515">
              <w:rPr>
                <w:rFonts w:ascii="Times New Roman" w:eastAsia="Times New Roman" w:hAnsi="Times New Roman" w:cs="Times New Roman"/>
                <w:iCs/>
                <w:sz w:val="26"/>
                <w:szCs w:val="26"/>
              </w:rPr>
              <w:t xml:space="preserve">Turklāt tā atbilst starptautiskajām norisēm Ekonomiskās sadarbības un attīstības organizācijas (turpmāk - ESAO) līmenī </w:t>
            </w:r>
            <w:r w:rsidR="00C74EE3">
              <w:rPr>
                <w:rFonts w:ascii="Times New Roman" w:eastAsia="Times New Roman" w:hAnsi="Times New Roman" w:cs="Times New Roman"/>
                <w:iCs/>
                <w:sz w:val="26"/>
                <w:szCs w:val="26"/>
              </w:rPr>
              <w:t>(</w:t>
            </w:r>
            <w:r w:rsidRPr="00012515">
              <w:rPr>
                <w:rFonts w:ascii="Times New Roman" w:eastAsia="Times New Roman" w:hAnsi="Times New Roman" w:cs="Times New Roman"/>
                <w:sz w:val="26"/>
                <w:szCs w:val="26"/>
              </w:rPr>
              <w:t>ESAO Rīcības plāna par nodokļu bāzes samazināšanu un peļņas novirzīšanu (BEPS) 13.</w:t>
            </w:r>
            <w:r w:rsidR="000A39D1">
              <w:rPr>
                <w:rFonts w:ascii="Times New Roman" w:eastAsia="Times New Roman" w:hAnsi="Times New Roman" w:cs="Times New Roman"/>
                <w:sz w:val="26"/>
                <w:szCs w:val="26"/>
              </w:rPr>
              <w:t>aktivitāt</w:t>
            </w:r>
            <w:r w:rsidR="000A39D1" w:rsidRPr="00E23BAD">
              <w:rPr>
                <w:rFonts w:ascii="Times New Roman" w:eastAsia="Times New Roman" w:hAnsi="Times New Roman" w:cs="Times New Roman"/>
                <w:sz w:val="26"/>
                <w:szCs w:val="26"/>
              </w:rPr>
              <w:t>e</w:t>
            </w:r>
            <w:r w:rsidRPr="00012515">
              <w:rPr>
                <w:rFonts w:ascii="Times New Roman" w:eastAsia="Times New Roman" w:hAnsi="Times New Roman" w:cs="Times New Roman"/>
                <w:sz w:val="26"/>
                <w:szCs w:val="26"/>
              </w:rPr>
              <w:t>, kas paredz standartu kopumu attiecībā uz informācijas apmaiņu starptautisku uzņēmumu grupu darbības pārskatāmības veicināšanai).</w:t>
            </w:r>
          </w:p>
          <w:p w:rsidR="00012515" w:rsidRPr="00012515" w:rsidRDefault="007E5488" w:rsidP="00012515">
            <w:pPr>
              <w:spacing w:after="0" w:line="240" w:lineRule="auto"/>
              <w:ind w:firstLine="36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Starptautisku </w:t>
            </w:r>
            <w:r w:rsidR="0066259B">
              <w:rPr>
                <w:rFonts w:ascii="Times New Roman" w:eastAsia="Times New Roman" w:hAnsi="Times New Roman" w:cs="Times New Roman"/>
                <w:sz w:val="26"/>
                <w:szCs w:val="26"/>
              </w:rPr>
              <w:t xml:space="preserve">uzņēmumu </w:t>
            </w:r>
            <w:r>
              <w:rPr>
                <w:rFonts w:ascii="Times New Roman" w:eastAsia="Times New Roman" w:hAnsi="Times New Roman" w:cs="Times New Roman"/>
                <w:sz w:val="26"/>
                <w:szCs w:val="26"/>
              </w:rPr>
              <w:t xml:space="preserve">grupu </w:t>
            </w:r>
            <w:r w:rsidR="00591FC9">
              <w:rPr>
                <w:rFonts w:ascii="Times New Roman" w:eastAsia="Times New Roman" w:hAnsi="Times New Roman" w:cs="Times New Roman"/>
                <w:sz w:val="26"/>
                <w:szCs w:val="26"/>
              </w:rPr>
              <w:t>Direktīvas ietvaros</w:t>
            </w:r>
            <w:r w:rsidR="0066259B">
              <w:rPr>
                <w:rFonts w:ascii="Times New Roman" w:eastAsia="Times New Roman" w:hAnsi="Times New Roman" w:cs="Times New Roman"/>
                <w:sz w:val="26"/>
                <w:szCs w:val="26"/>
              </w:rPr>
              <w:t xml:space="preserve"> </w:t>
            </w:r>
            <w:r w:rsidR="00591FC9" w:rsidRPr="00E23BAD">
              <w:rPr>
                <w:rFonts w:ascii="Times New Roman" w:eastAsia="Times New Roman" w:hAnsi="Times New Roman" w:cs="Times New Roman"/>
                <w:sz w:val="26"/>
                <w:szCs w:val="26"/>
              </w:rPr>
              <w:t>definē</w:t>
            </w:r>
            <w:r w:rsidR="00591FC9">
              <w:rPr>
                <w:rFonts w:ascii="Times New Roman" w:eastAsia="Times New Roman" w:hAnsi="Times New Roman" w:cs="Times New Roman"/>
                <w:sz w:val="26"/>
                <w:szCs w:val="26"/>
              </w:rPr>
              <w:t xml:space="preserve"> kā ar</w:t>
            </w:r>
            <w:r w:rsidR="00635AEF">
              <w:rPr>
                <w:rFonts w:ascii="Times New Roman" w:eastAsia="Times New Roman" w:hAnsi="Times New Roman" w:cs="Times New Roman"/>
                <w:sz w:val="26"/>
                <w:szCs w:val="26"/>
              </w:rPr>
              <w:t xml:space="preserve"> īpašumtiesībām vai kontroli saistītu uzņēmumu </w:t>
            </w:r>
            <w:r>
              <w:rPr>
                <w:rFonts w:ascii="Times New Roman" w:eastAsia="Times New Roman" w:hAnsi="Times New Roman" w:cs="Times New Roman"/>
                <w:sz w:val="26"/>
                <w:szCs w:val="26"/>
              </w:rPr>
              <w:t>kopumu</w:t>
            </w:r>
            <w:r w:rsidR="00635AEF">
              <w:rPr>
                <w:rFonts w:ascii="Times New Roman" w:eastAsia="Times New Roman" w:hAnsi="Times New Roman" w:cs="Times New Roman"/>
                <w:sz w:val="26"/>
                <w:szCs w:val="26"/>
              </w:rPr>
              <w:t xml:space="preserve">, kas ietver divus vai vairākus uzņēmumus, kuru rezidence nodokļu vajadzībām atrodas dažādās </w:t>
            </w:r>
            <w:r w:rsidR="00E11D8B">
              <w:rPr>
                <w:rFonts w:ascii="Times New Roman" w:eastAsia="Times New Roman" w:hAnsi="Times New Roman" w:cs="Times New Roman"/>
                <w:sz w:val="26"/>
                <w:szCs w:val="26"/>
              </w:rPr>
              <w:t>valstīs vai teritorijās</w:t>
            </w:r>
            <w:r w:rsidR="00635AEF">
              <w:rPr>
                <w:rFonts w:ascii="Times New Roman" w:eastAsia="Times New Roman" w:hAnsi="Times New Roman" w:cs="Times New Roman"/>
                <w:sz w:val="26"/>
                <w:szCs w:val="26"/>
              </w:rPr>
              <w:t xml:space="preserve">, vai kas ietver uzņēmumu, kura rezidence nodokļu vajadzībām atrodas vienā </w:t>
            </w:r>
            <w:r w:rsidR="00E11D8B">
              <w:rPr>
                <w:rFonts w:ascii="Times New Roman" w:eastAsia="Times New Roman" w:hAnsi="Times New Roman" w:cs="Times New Roman"/>
                <w:sz w:val="26"/>
                <w:szCs w:val="26"/>
              </w:rPr>
              <w:t>valstī vai teritorijā</w:t>
            </w:r>
            <w:r w:rsidR="0023275C">
              <w:rPr>
                <w:rFonts w:ascii="Times New Roman" w:eastAsia="Times New Roman" w:hAnsi="Times New Roman" w:cs="Times New Roman"/>
                <w:sz w:val="26"/>
                <w:szCs w:val="26"/>
              </w:rPr>
              <w:t xml:space="preserve"> un kuram nodokli par saimniecisko </w:t>
            </w:r>
            <w:r w:rsidR="00635AEF">
              <w:rPr>
                <w:rFonts w:ascii="Times New Roman" w:eastAsia="Times New Roman" w:hAnsi="Times New Roman" w:cs="Times New Roman"/>
                <w:sz w:val="26"/>
                <w:szCs w:val="26"/>
              </w:rPr>
              <w:t xml:space="preserve">darbību, ko tas veic ar pastāvīgās </w:t>
            </w:r>
            <w:r w:rsidR="00B75769">
              <w:rPr>
                <w:rFonts w:ascii="Times New Roman" w:eastAsia="Times New Roman" w:hAnsi="Times New Roman" w:cs="Times New Roman"/>
                <w:sz w:val="26"/>
                <w:szCs w:val="26"/>
              </w:rPr>
              <w:t xml:space="preserve">pārstāvniecības </w:t>
            </w:r>
            <w:r w:rsidR="00635AEF">
              <w:rPr>
                <w:rFonts w:ascii="Times New Roman" w:eastAsia="Times New Roman" w:hAnsi="Times New Roman" w:cs="Times New Roman"/>
                <w:sz w:val="26"/>
                <w:szCs w:val="26"/>
              </w:rPr>
              <w:t xml:space="preserve">starpniecību, uzliek citā </w:t>
            </w:r>
            <w:r w:rsidR="00E11D8B">
              <w:rPr>
                <w:rFonts w:ascii="Times New Roman" w:eastAsia="Times New Roman" w:hAnsi="Times New Roman" w:cs="Times New Roman"/>
                <w:sz w:val="26"/>
                <w:szCs w:val="26"/>
              </w:rPr>
              <w:t>valstī vai teritorijā</w:t>
            </w:r>
            <w:r w:rsidR="00635AEF">
              <w:rPr>
                <w:rFonts w:ascii="Times New Roman" w:eastAsia="Times New Roman" w:hAnsi="Times New Roman" w:cs="Times New Roman"/>
                <w:sz w:val="26"/>
                <w:szCs w:val="26"/>
              </w:rPr>
              <w:t>.</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Tā kā </w:t>
            </w:r>
            <w:r w:rsid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Pr>
                <w:rFonts w:ascii="Times New Roman" w:eastAsia="Times New Roman" w:hAnsi="Times New Roman" w:cs="Times New Roman"/>
                <w:iCs/>
                <w:sz w:val="26"/>
                <w:szCs w:val="26"/>
              </w:rPr>
              <w:t xml:space="preserve"> uzņēmumu grupas</w:t>
            </w:r>
            <w:r w:rsidR="000D5CA3"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darbojas dažādās valstīs, </w:t>
            </w:r>
            <w:r w:rsidR="000D5CA3">
              <w:rPr>
                <w:rFonts w:ascii="Times New Roman" w:eastAsia="Times New Roman" w:hAnsi="Times New Roman" w:cs="Times New Roman"/>
                <w:iCs/>
                <w:sz w:val="26"/>
                <w:szCs w:val="26"/>
              </w:rPr>
              <w:t>tās</w:t>
            </w:r>
            <w:r w:rsidR="000D5CA3"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var iesaistīties agresīvās nodokļu </w:t>
            </w:r>
            <w:r w:rsidRPr="00012515">
              <w:rPr>
                <w:rFonts w:ascii="Times New Roman" w:eastAsia="Times New Roman" w:hAnsi="Times New Roman" w:cs="Times New Roman"/>
                <w:iCs/>
                <w:sz w:val="26"/>
                <w:szCs w:val="26"/>
              </w:rPr>
              <w:lastRenderedPageBreak/>
              <w:t xml:space="preserve">plānošanas praksēs, tai skaitā izmantot nepilnības valsts un starptautisko nodokļu tiesību aktos, lai peļņu novirzītu no vienas valsts uz citu ar mērķi samazināt maksājamos nodokļus, </w:t>
            </w:r>
            <w:r w:rsidR="006A1009">
              <w:rPr>
                <w:rFonts w:ascii="Times New Roman" w:eastAsia="Times New Roman" w:hAnsi="Times New Roman" w:cs="Times New Roman"/>
                <w:iCs/>
                <w:sz w:val="26"/>
                <w:szCs w:val="26"/>
              </w:rPr>
              <w:t>kas</w:t>
            </w:r>
            <w:r w:rsidR="006A1009"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nav iespējams maziem un vidējiem uzņēmumiem vai atsevišķiem nodokļu maksātājiem. Ja </w:t>
            </w:r>
            <w:r w:rsidR="000D5CA3" w:rsidRP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 </w:t>
            </w:r>
            <w:r w:rsidRPr="00012515">
              <w:rPr>
                <w:rFonts w:ascii="Times New Roman" w:eastAsia="Times New Roman" w:hAnsi="Times New Roman" w:cs="Times New Roman"/>
                <w:iCs/>
                <w:sz w:val="26"/>
                <w:szCs w:val="26"/>
              </w:rPr>
              <w:t>šādi rīkojas, tas attiecīgi ietekmē mazos un vidējos uzņēmumus, jo to nodokļu slogs ir lielāks nekā starptautisk</w:t>
            </w:r>
            <w:r w:rsidR="00591FC9">
              <w:rPr>
                <w:rFonts w:ascii="Times New Roman" w:eastAsia="Times New Roman" w:hAnsi="Times New Roman" w:cs="Times New Roman"/>
                <w:iCs/>
                <w:sz w:val="26"/>
                <w:szCs w:val="26"/>
              </w:rPr>
              <w:t>ām</w:t>
            </w:r>
            <w:r w:rsidRPr="00012515">
              <w:rPr>
                <w:rFonts w:ascii="Times New Roman" w:eastAsia="Times New Roman" w:hAnsi="Times New Roman" w:cs="Times New Roman"/>
                <w:iCs/>
                <w:sz w:val="26"/>
                <w:szCs w:val="26"/>
              </w:rPr>
              <w:t xml:space="preserve"> uzņēmumu grupām. Tāpat šādas rīcības rezultātā pastāv risks, ka izveidojas konkurence piesaistīt </w:t>
            </w:r>
            <w:r w:rsidR="000D5CA3" w:rsidRP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w:t>
            </w:r>
            <w:r w:rsidRPr="00012515">
              <w:rPr>
                <w:rFonts w:ascii="Times New Roman" w:eastAsia="Times New Roman" w:hAnsi="Times New Roman" w:cs="Times New Roman"/>
                <w:iCs/>
                <w:sz w:val="26"/>
                <w:szCs w:val="26"/>
              </w:rPr>
              <w:t>, piedāvājot tām papildu nodokļu priekšrocības, kas attiecīgi var radīt ieņēmumu samazinājumu daudzās valstīs.</w:t>
            </w:r>
          </w:p>
          <w:p w:rsidR="00012515" w:rsidRPr="00012515" w:rsidRDefault="00012515" w:rsidP="00012515">
            <w:pPr>
              <w:spacing w:after="0" w:line="240" w:lineRule="auto"/>
              <w:ind w:firstLine="459"/>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Tādējādi nodokļu administrēšanas iestādēm ir vajadzīga visaptveroša un būtiska informācija par </w:t>
            </w:r>
            <w:r w:rsidR="000D5CA3">
              <w:rPr>
                <w:rFonts w:ascii="Times New Roman" w:eastAsia="Times New Roman" w:hAnsi="Times New Roman" w:cs="Times New Roman"/>
                <w:iCs/>
                <w:sz w:val="26"/>
                <w:szCs w:val="26"/>
              </w:rPr>
              <w:t>starptautisk</w:t>
            </w:r>
            <w:r w:rsidR="00C74C72">
              <w:rPr>
                <w:rFonts w:ascii="Times New Roman" w:eastAsia="Times New Roman" w:hAnsi="Times New Roman" w:cs="Times New Roman"/>
                <w:iCs/>
                <w:sz w:val="26"/>
                <w:szCs w:val="26"/>
              </w:rPr>
              <w:t>ām</w:t>
            </w:r>
            <w:r w:rsidR="000D5CA3">
              <w:rPr>
                <w:rFonts w:ascii="Times New Roman" w:eastAsia="Times New Roman" w:hAnsi="Times New Roman" w:cs="Times New Roman"/>
                <w:iCs/>
                <w:sz w:val="26"/>
                <w:szCs w:val="26"/>
              </w:rPr>
              <w:t xml:space="preserve"> uzņēmumu grupām</w:t>
            </w:r>
            <w:r w:rsidRPr="00012515">
              <w:rPr>
                <w:rFonts w:ascii="Times New Roman" w:eastAsia="Times New Roman" w:hAnsi="Times New Roman" w:cs="Times New Roman"/>
                <w:iCs/>
                <w:sz w:val="26"/>
                <w:szCs w:val="26"/>
              </w:rPr>
              <w:t xml:space="preserve">, proti, informācija par katru gadu un par katru jurisdikciju, kurā </w:t>
            </w:r>
            <w:r w:rsidR="007F41E0">
              <w:rPr>
                <w:rFonts w:ascii="Times New Roman" w:eastAsia="Times New Roman" w:hAnsi="Times New Roman" w:cs="Times New Roman"/>
                <w:iCs/>
                <w:sz w:val="26"/>
                <w:szCs w:val="26"/>
              </w:rPr>
              <w:t>starptautiska uzņēmumu grupa</w:t>
            </w:r>
            <w:r w:rsidR="007F41E0"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veic saimniecisko darbību, par ieņēmumu summu, peļņu pirms ienākumu nodokļa nomaksāšanas, nomaksāto un uzkrāto ienākuma nodokli, darbinieku skaitu, pamatkapitālu, nesadalīto peļņu un materiālajiem aktīviem, kā arī jāidentificē katra </w:t>
            </w:r>
            <w:r w:rsidR="007F41E0">
              <w:rPr>
                <w:rFonts w:ascii="Times New Roman" w:eastAsia="Times New Roman" w:hAnsi="Times New Roman" w:cs="Times New Roman"/>
                <w:iCs/>
                <w:sz w:val="26"/>
                <w:szCs w:val="26"/>
              </w:rPr>
              <w:t>starptautiskas uzņēmumu grupas</w:t>
            </w:r>
            <w:r w:rsidR="007F41E0"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vienība, kas veic saimniecisko darbību kādā konkrētā nodokļu jurisdikcijā, un jāsniedz norāde par katras vienības veikto saimniecisko darbību.</w:t>
            </w:r>
          </w:p>
          <w:p w:rsidR="00012515" w:rsidRPr="00012515" w:rsidRDefault="002745EF" w:rsidP="00012515">
            <w:pPr>
              <w:spacing w:after="0" w:line="240" w:lineRule="auto"/>
              <w:ind w:firstLine="363"/>
              <w:jc w:val="both"/>
              <w:rPr>
                <w:rFonts w:ascii="Times New Roman" w:eastAsia="Times New Roman" w:hAnsi="Times New Roman" w:cs="Times New Roman"/>
                <w:iCs/>
                <w:sz w:val="26"/>
                <w:szCs w:val="26"/>
              </w:rPr>
            </w:pPr>
            <w:r w:rsidRPr="002745EF">
              <w:rPr>
                <w:rFonts w:ascii="Times New Roman" w:eastAsia="Times New Roman" w:hAnsi="Times New Roman" w:cs="Times New Roman"/>
                <w:iCs/>
                <w:sz w:val="26"/>
                <w:szCs w:val="26"/>
              </w:rPr>
              <w:t>Lai nodrošinātu iepriekš minētās informācijas apmaiņu, iegūšanai ir izstrādāta speciāla pārskata forma “Starptautiskas uzņēmumu grupas pārskats par katru valsti”</w:t>
            </w:r>
            <w:r w:rsidRPr="00012515">
              <w:rPr>
                <w:rFonts w:ascii="Times New Roman" w:eastAsia="Times New Roman" w:hAnsi="Times New Roman" w:cs="Times New Roman"/>
                <w:iCs/>
                <w:sz w:val="26"/>
                <w:szCs w:val="26"/>
              </w:rPr>
              <w:t xml:space="preserve"> (turpmāk – </w:t>
            </w:r>
            <w:r>
              <w:rPr>
                <w:rFonts w:ascii="Times New Roman" w:eastAsia="Times New Roman" w:hAnsi="Times New Roman" w:cs="Times New Roman"/>
                <w:iCs/>
                <w:sz w:val="26"/>
                <w:szCs w:val="26"/>
              </w:rPr>
              <w:t>pārskats)</w:t>
            </w:r>
            <w:r w:rsidRPr="002745EF">
              <w:rPr>
                <w:rFonts w:ascii="Times New Roman" w:eastAsia="Times New Roman" w:hAnsi="Times New Roman" w:cs="Times New Roman"/>
                <w:iCs/>
                <w:sz w:val="26"/>
                <w:szCs w:val="26"/>
              </w:rPr>
              <w:t>, ko paredzēts sniegt nodokļu administrācijai tajā valstī, kurā atrodas starptautiskas uzņēmumu grupas galīgais mātes uzņēmums. Savukārt nodokļu administrācija, kura saņems pārskatu, nodos to tām valstu nodokļu administrācijām, kurās ir pārstāvēta attiecīgā starptautisk</w:t>
            </w:r>
            <w:r w:rsidR="000324CA">
              <w:rPr>
                <w:rFonts w:ascii="Times New Roman" w:eastAsia="Times New Roman" w:hAnsi="Times New Roman" w:cs="Times New Roman"/>
                <w:iCs/>
                <w:sz w:val="26"/>
                <w:szCs w:val="26"/>
              </w:rPr>
              <w:t>a</w:t>
            </w:r>
            <w:r w:rsidRPr="002745EF">
              <w:rPr>
                <w:rFonts w:ascii="Times New Roman" w:eastAsia="Times New Roman" w:hAnsi="Times New Roman" w:cs="Times New Roman"/>
                <w:iCs/>
                <w:sz w:val="26"/>
                <w:szCs w:val="26"/>
              </w:rPr>
              <w:t xml:space="preserve"> uzņēmumu grupa</w:t>
            </w:r>
            <w:r w:rsidR="006A1009">
              <w:rPr>
                <w:rFonts w:ascii="Times New Roman" w:eastAsia="Times New Roman" w:hAnsi="Times New Roman" w:cs="Times New Roman"/>
                <w:iCs/>
                <w:sz w:val="26"/>
                <w:szCs w:val="26"/>
              </w:rPr>
              <w:t>, ja ar attiecīgajām valstīm Latvijai ir spēkā attiecīgs starptautisks instruments informācijas apmaiņai</w:t>
            </w:r>
            <w:r w:rsidRPr="002745EF">
              <w:rPr>
                <w:rFonts w:ascii="Times New Roman" w:eastAsia="Times New Roman" w:hAnsi="Times New Roman" w:cs="Times New Roman"/>
                <w:iCs/>
                <w:sz w:val="26"/>
                <w:szCs w:val="26"/>
              </w:rPr>
              <w:t xml:space="preserve">. </w:t>
            </w:r>
          </w:p>
          <w:p w:rsidR="00012515" w:rsidRPr="00012515" w:rsidRDefault="00B53BCD" w:rsidP="00ED498B">
            <w:pPr>
              <w:spacing w:after="0" w:line="240" w:lineRule="auto"/>
              <w:ind w:firstLine="36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Automātiska</w:t>
            </w:r>
            <w:r w:rsidR="00012515" w:rsidRPr="00012515">
              <w:rPr>
                <w:rFonts w:ascii="Times New Roman" w:eastAsia="Times New Roman" w:hAnsi="Times New Roman" w:cs="Times New Roman"/>
                <w:iCs/>
                <w:sz w:val="26"/>
                <w:szCs w:val="26"/>
              </w:rPr>
              <w:t xml:space="preserve"> informācijas apmaiņa ar </w:t>
            </w:r>
            <w:r w:rsidR="0057191C">
              <w:rPr>
                <w:rFonts w:ascii="Times New Roman" w:eastAsia="Times New Roman" w:hAnsi="Times New Roman" w:cs="Times New Roman"/>
                <w:iCs/>
                <w:sz w:val="26"/>
                <w:szCs w:val="26"/>
              </w:rPr>
              <w:t>pārskatiem</w:t>
            </w:r>
            <w:r w:rsidR="0057191C" w:rsidRPr="00012515">
              <w:rPr>
                <w:rFonts w:ascii="Times New Roman" w:eastAsia="Times New Roman" w:hAnsi="Times New Roman" w:cs="Times New Roman"/>
                <w:iCs/>
                <w:sz w:val="26"/>
                <w:szCs w:val="26"/>
              </w:rPr>
              <w:t xml:space="preserve"> </w:t>
            </w:r>
            <w:r w:rsidR="00B247F3">
              <w:rPr>
                <w:rFonts w:ascii="Times New Roman" w:eastAsia="Times New Roman" w:hAnsi="Times New Roman" w:cs="Times New Roman"/>
                <w:iCs/>
                <w:sz w:val="26"/>
                <w:szCs w:val="26"/>
              </w:rPr>
              <w:t xml:space="preserve">atbilstoši ESAO BEPS 13.aktivitātei </w:t>
            </w:r>
            <w:r w:rsidR="002745EF">
              <w:rPr>
                <w:rFonts w:ascii="Times New Roman" w:eastAsia="Times New Roman" w:hAnsi="Times New Roman" w:cs="Times New Roman"/>
                <w:iCs/>
                <w:sz w:val="26"/>
                <w:szCs w:val="26"/>
              </w:rPr>
              <w:t>notiks</w:t>
            </w:r>
            <w:r w:rsidR="00012515" w:rsidRPr="00012515">
              <w:rPr>
                <w:rFonts w:ascii="Times New Roman" w:eastAsia="Times New Roman" w:hAnsi="Times New Roman" w:cs="Times New Roman"/>
                <w:iCs/>
                <w:sz w:val="26"/>
                <w:szCs w:val="26"/>
              </w:rPr>
              <w:t xml:space="preserve"> arī ar valstīm, kuras nav ES dalībvalstis, </w:t>
            </w:r>
            <w:r w:rsidR="00B247F3">
              <w:rPr>
                <w:rFonts w:ascii="Times New Roman" w:eastAsia="Times New Roman" w:hAnsi="Times New Roman" w:cs="Times New Roman"/>
                <w:iCs/>
                <w:sz w:val="26"/>
                <w:szCs w:val="26"/>
              </w:rPr>
              <w:t>un</w:t>
            </w:r>
            <w:r w:rsidR="00012515" w:rsidRPr="00012515">
              <w:rPr>
                <w:rFonts w:ascii="Times New Roman" w:eastAsia="Times New Roman" w:hAnsi="Times New Roman" w:cs="Times New Roman"/>
                <w:iCs/>
                <w:sz w:val="26"/>
                <w:szCs w:val="26"/>
              </w:rPr>
              <w:t xml:space="preserve"> šī apmaiņa notiks, slēdzot divpusējus vai daudzpusējus līgumus starp kompetentajām iestādēm, pamatojoties uz divpusējām nodokļu konvencijām vai Konvenciju par savstarpējo administratīvo sadarbību nodokļu jomā</w:t>
            </w:r>
            <w:r w:rsidR="00ED498B">
              <w:rPr>
                <w:rFonts w:ascii="Times New Roman" w:eastAsia="Times New Roman" w:hAnsi="Times New Roman" w:cs="Times New Roman"/>
                <w:iCs/>
                <w:sz w:val="26"/>
                <w:szCs w:val="26"/>
              </w:rPr>
              <w:t xml:space="preserve"> (Latvijas Republikā piemērojama </w:t>
            </w:r>
            <w:r w:rsidR="00ED498B" w:rsidRPr="00012515">
              <w:rPr>
                <w:rFonts w:ascii="Times New Roman" w:eastAsia="Times New Roman" w:hAnsi="Times New Roman" w:cs="Times New Roman"/>
                <w:iCs/>
                <w:sz w:val="26"/>
                <w:szCs w:val="26"/>
              </w:rPr>
              <w:t>no 2014.gada 1.novembra</w:t>
            </w:r>
            <w:r w:rsidR="00ED498B">
              <w:rPr>
                <w:rFonts w:ascii="Times New Roman" w:eastAsia="Times New Roman" w:hAnsi="Times New Roman" w:cs="Times New Roman"/>
                <w:iCs/>
                <w:sz w:val="26"/>
                <w:szCs w:val="26"/>
              </w:rPr>
              <w:t>) (turpmāk – Konvencija).</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Pamatojoties uz </w:t>
            </w:r>
            <w:r w:rsidR="00ED498B">
              <w:rPr>
                <w:rFonts w:ascii="Times New Roman" w:eastAsia="Times New Roman" w:hAnsi="Times New Roman" w:cs="Times New Roman"/>
                <w:iCs/>
                <w:sz w:val="26"/>
                <w:szCs w:val="26"/>
              </w:rPr>
              <w:t>iepriekš minēto Konvenciju</w:t>
            </w:r>
            <w:r w:rsidR="00DE62C6">
              <w:rPr>
                <w:rFonts w:ascii="Times New Roman" w:eastAsia="Times New Roman" w:hAnsi="Times New Roman" w:cs="Times New Roman"/>
                <w:iCs/>
                <w:sz w:val="26"/>
                <w:szCs w:val="26"/>
              </w:rPr>
              <w:t>,</w:t>
            </w:r>
            <w:r w:rsidR="00ED498B">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2016.gada 19.oktobrī Finanšu ministrijas valsts sekretāra </w:t>
            </w:r>
            <w:r w:rsidRPr="00012515">
              <w:rPr>
                <w:rFonts w:ascii="Times New Roman" w:eastAsia="Times New Roman" w:hAnsi="Times New Roman" w:cs="Times New Roman"/>
                <w:iCs/>
                <w:sz w:val="26"/>
                <w:szCs w:val="26"/>
              </w:rPr>
              <w:lastRenderedPageBreak/>
              <w:t xml:space="preserve">vietnieks nodokļu, muitas un grāmatvedības jautājumos kā Latvijas Republikas kompetentās iestādes pārstāvis parakstīja </w:t>
            </w:r>
            <w:r w:rsidRPr="00012515">
              <w:rPr>
                <w:rFonts w:ascii="Times New Roman" w:eastAsia="Times New Roman" w:hAnsi="Times New Roman" w:cs="Times New Roman"/>
                <w:bCs/>
                <w:iCs/>
                <w:sz w:val="26"/>
                <w:szCs w:val="26"/>
              </w:rPr>
              <w:t xml:space="preserve">Daudzpusējo kompetento iestāžu vienošanos par automātisko informācijas apmaiņu ar </w:t>
            </w:r>
            <w:r w:rsidR="0057191C">
              <w:rPr>
                <w:rFonts w:ascii="Times New Roman" w:eastAsia="Times New Roman" w:hAnsi="Times New Roman" w:cs="Times New Roman"/>
                <w:bCs/>
                <w:iCs/>
                <w:sz w:val="26"/>
                <w:szCs w:val="26"/>
              </w:rPr>
              <w:t>pārskatiem</w:t>
            </w:r>
            <w:r w:rsidRPr="00012515">
              <w:rPr>
                <w:rFonts w:ascii="Times New Roman" w:eastAsia="Times New Roman" w:hAnsi="Times New Roman" w:cs="Times New Roman"/>
                <w:bCs/>
                <w:iCs/>
                <w:sz w:val="26"/>
                <w:szCs w:val="26"/>
              </w:rPr>
              <w:t xml:space="preserve"> (turpmāk – MCAA). </w:t>
            </w:r>
            <w:r w:rsidR="00AB5937">
              <w:rPr>
                <w:rFonts w:ascii="Times New Roman" w:eastAsia="Times New Roman" w:hAnsi="Times New Roman" w:cs="Times New Roman"/>
                <w:bCs/>
                <w:iCs/>
                <w:sz w:val="26"/>
                <w:szCs w:val="26"/>
              </w:rPr>
              <w:t xml:space="preserve">Atbilstoši ESAO 2017.gada </w:t>
            </w:r>
            <w:r w:rsidR="00AB5937" w:rsidRPr="00E23BAD">
              <w:rPr>
                <w:rFonts w:ascii="Times New Roman" w:eastAsia="Times New Roman" w:hAnsi="Times New Roman" w:cs="Times New Roman"/>
                <w:bCs/>
                <w:iCs/>
                <w:sz w:val="26"/>
                <w:szCs w:val="26"/>
              </w:rPr>
              <w:t>26.janvārī</w:t>
            </w:r>
            <w:r w:rsidR="00AB5937" w:rsidRPr="00012515">
              <w:rPr>
                <w:rFonts w:ascii="Times New Roman" w:eastAsia="Times New Roman" w:hAnsi="Times New Roman" w:cs="Times New Roman"/>
                <w:bCs/>
                <w:iCs/>
                <w:sz w:val="26"/>
                <w:szCs w:val="26"/>
              </w:rPr>
              <w:t xml:space="preserve"> </w:t>
            </w:r>
            <w:r w:rsidR="00AB5937">
              <w:rPr>
                <w:rFonts w:ascii="Times New Roman" w:eastAsia="Times New Roman" w:hAnsi="Times New Roman" w:cs="Times New Roman"/>
                <w:bCs/>
                <w:iCs/>
                <w:sz w:val="26"/>
                <w:szCs w:val="26"/>
              </w:rPr>
              <w:t xml:space="preserve">publicētajai informācijai </w:t>
            </w:r>
            <w:r w:rsidRPr="00012515">
              <w:rPr>
                <w:rFonts w:ascii="Times New Roman" w:eastAsia="Times New Roman" w:hAnsi="Times New Roman" w:cs="Times New Roman"/>
                <w:bCs/>
                <w:iCs/>
                <w:sz w:val="26"/>
                <w:szCs w:val="26"/>
              </w:rPr>
              <w:t>MCAA ir parakstījušas 57 valstis, no tām 24 ES dalībvalstis un 33 citas valstis.</w:t>
            </w:r>
          </w:p>
          <w:p w:rsidR="006C1976" w:rsidRPr="000D2F01" w:rsidRDefault="004E6E7D" w:rsidP="000D2F01">
            <w:pPr>
              <w:pStyle w:val="NoSpacing"/>
              <w:ind w:firstLine="436"/>
              <w:jc w:val="both"/>
              <w:rPr>
                <w:rFonts w:ascii="Times New Roman" w:hAnsi="Times New Roman"/>
                <w:sz w:val="26"/>
                <w:szCs w:val="26"/>
              </w:rPr>
            </w:pPr>
            <w:r w:rsidRPr="00257DEB">
              <w:rPr>
                <w:rFonts w:ascii="Times New Roman" w:hAnsi="Times New Roman"/>
                <w:sz w:val="26"/>
                <w:szCs w:val="26"/>
              </w:rPr>
              <w:t>L</w:t>
            </w:r>
            <w:r w:rsidR="00B21B4E" w:rsidRPr="00257DEB">
              <w:rPr>
                <w:rFonts w:ascii="Times New Roman" w:hAnsi="Times New Roman"/>
                <w:sz w:val="26"/>
                <w:szCs w:val="26"/>
              </w:rPr>
              <w:t>ikums “Grozījumi likumā „Par nodokļiem un nodevām””, ar ko tika</w:t>
            </w:r>
            <w:r w:rsidR="00012515" w:rsidRPr="00257DEB">
              <w:rPr>
                <w:rFonts w:ascii="Times New Roman" w:hAnsi="Times New Roman"/>
                <w:sz w:val="26"/>
                <w:szCs w:val="26"/>
              </w:rPr>
              <w:t xml:space="preserve"> noteikts pienākums nodokļu maksātājam </w:t>
            </w:r>
            <w:r w:rsidR="00836B45" w:rsidRPr="00836B45">
              <w:rPr>
                <w:rFonts w:ascii="Times New Roman" w:hAnsi="Times New Roman"/>
                <w:sz w:val="26"/>
                <w:szCs w:val="26"/>
              </w:rPr>
              <w:t xml:space="preserve">– starptautiskas uzņēmumu grupas sastāvā esošai vienībai – </w:t>
            </w:r>
            <w:r w:rsidR="00012515" w:rsidRPr="00257DEB">
              <w:rPr>
                <w:rFonts w:ascii="Times New Roman" w:hAnsi="Times New Roman"/>
                <w:sz w:val="26"/>
                <w:szCs w:val="26"/>
              </w:rPr>
              <w:t>sniegt</w:t>
            </w:r>
            <w:r w:rsidR="00012515" w:rsidRPr="00B21B4E">
              <w:rPr>
                <w:rFonts w:ascii="Times New Roman" w:hAnsi="Times New Roman"/>
                <w:sz w:val="26"/>
                <w:szCs w:val="26"/>
              </w:rPr>
              <w:t xml:space="preserve"> </w:t>
            </w:r>
            <w:r w:rsidR="00B53BCD" w:rsidRPr="00B21B4E">
              <w:rPr>
                <w:rFonts w:ascii="Times New Roman" w:hAnsi="Times New Roman"/>
                <w:sz w:val="26"/>
                <w:szCs w:val="26"/>
              </w:rPr>
              <w:t xml:space="preserve">starptautiskas uzņēmumu grupas </w:t>
            </w:r>
            <w:r w:rsidR="00012515" w:rsidRPr="00B21B4E">
              <w:rPr>
                <w:rFonts w:ascii="Times New Roman" w:hAnsi="Times New Roman"/>
                <w:sz w:val="26"/>
                <w:szCs w:val="26"/>
              </w:rPr>
              <w:t xml:space="preserve">pārskatu </w:t>
            </w:r>
            <w:r w:rsidR="00836B45">
              <w:rPr>
                <w:rFonts w:ascii="Times New Roman" w:hAnsi="Times New Roman"/>
                <w:sz w:val="26"/>
                <w:szCs w:val="26"/>
              </w:rPr>
              <w:t xml:space="preserve">par katru valsti </w:t>
            </w:r>
            <w:r w:rsidR="00012515" w:rsidRPr="00B21B4E">
              <w:rPr>
                <w:rFonts w:ascii="Times New Roman" w:hAnsi="Times New Roman"/>
                <w:sz w:val="26"/>
                <w:szCs w:val="26"/>
              </w:rPr>
              <w:t>Valsts ieņēmumu dienestam</w:t>
            </w:r>
            <w:r w:rsidR="000D2F01">
              <w:rPr>
                <w:rFonts w:ascii="Times New Roman" w:hAnsi="Times New Roman"/>
                <w:sz w:val="26"/>
                <w:szCs w:val="26"/>
              </w:rPr>
              <w:t xml:space="preserve"> (turpmāk – VID)</w:t>
            </w:r>
            <w:r w:rsidR="00012515" w:rsidRPr="00B21B4E">
              <w:rPr>
                <w:rFonts w:ascii="Times New Roman" w:hAnsi="Times New Roman"/>
                <w:sz w:val="26"/>
                <w:szCs w:val="26"/>
              </w:rPr>
              <w:t>, kā arī d</w:t>
            </w:r>
            <w:r w:rsidR="00012515" w:rsidRPr="00B21B4E">
              <w:rPr>
                <w:rFonts w:ascii="Times New Roman" w:eastAsia="Calibri" w:hAnsi="Times New Roman"/>
                <w:sz w:val="26"/>
                <w:szCs w:val="26"/>
                <w:lang w:eastAsia="lv-LV"/>
              </w:rPr>
              <w:t>eleģējums Ministru kabinetam noteikt</w:t>
            </w:r>
            <w:r w:rsidR="00836B45">
              <w:rPr>
                <w:rFonts w:ascii="Times New Roman" w:eastAsia="Calibri" w:hAnsi="Times New Roman"/>
                <w:sz w:val="26"/>
                <w:szCs w:val="26"/>
                <w:lang w:eastAsia="lv-LV"/>
              </w:rPr>
              <w:t xml:space="preserve"> nosacījumus, kuriem iestājoties, ir sniedzams pārskats, </w:t>
            </w:r>
            <w:r w:rsidR="00B21B4E" w:rsidRPr="00B21B4E">
              <w:rPr>
                <w:rFonts w:ascii="Times New Roman" w:eastAsia="Calibri" w:hAnsi="Times New Roman"/>
                <w:sz w:val="26"/>
                <w:szCs w:val="26"/>
                <w:lang w:eastAsia="lv-LV"/>
              </w:rPr>
              <w:t>pārskata struktūru un saturu, pārskatā i lietoto terminu skaidrojumu, kā arī tā sagatavošanas un iesniegšanas kārtību</w:t>
            </w:r>
            <w:r w:rsidR="00846CFA">
              <w:rPr>
                <w:rFonts w:ascii="Times New Roman" w:eastAsia="Calibri" w:hAnsi="Times New Roman"/>
                <w:sz w:val="26"/>
                <w:szCs w:val="26"/>
                <w:lang w:eastAsia="lv-LV"/>
              </w:rPr>
              <w:t xml:space="preserve">, </w:t>
            </w:r>
            <w:r w:rsidR="00846CFA">
              <w:rPr>
                <w:rFonts w:ascii="Times New Roman" w:hAnsi="Times New Roman"/>
                <w:sz w:val="26"/>
                <w:szCs w:val="26"/>
              </w:rPr>
              <w:t>pieņemts</w:t>
            </w:r>
            <w:r w:rsidR="00846CFA" w:rsidRPr="00257DEB">
              <w:rPr>
                <w:rFonts w:ascii="Times New Roman" w:hAnsi="Times New Roman"/>
                <w:sz w:val="26"/>
                <w:szCs w:val="26"/>
              </w:rPr>
              <w:t xml:space="preserve"> 2017.gada </w:t>
            </w:r>
            <w:r w:rsidR="00846CFA">
              <w:rPr>
                <w:rFonts w:ascii="Times New Roman" w:hAnsi="Times New Roman"/>
                <w:sz w:val="26"/>
                <w:szCs w:val="26"/>
              </w:rPr>
              <w:t>8.jūnijā</w:t>
            </w:r>
            <w:r w:rsidR="00B21B4E" w:rsidRPr="00B21B4E">
              <w:rPr>
                <w:rFonts w:ascii="Times New Roman" w:eastAsia="Calibri" w:hAnsi="Times New Roman"/>
                <w:sz w:val="26"/>
                <w:szCs w:val="26"/>
                <w:lang w:eastAsia="lv-LV"/>
              </w:rPr>
              <w:t>.</w:t>
            </w:r>
            <w:r>
              <w:rPr>
                <w:rFonts w:ascii="Times New Roman" w:eastAsia="Calibri" w:hAnsi="Times New Roman"/>
                <w:sz w:val="26"/>
                <w:szCs w:val="26"/>
                <w:lang w:eastAsia="lv-LV"/>
              </w:rPr>
              <w:t xml:space="preserve"> Savukārt deleģējums Ministru kabinetam noteikt informācijas apmaiņas kārtību starp nodokļu administrācijām jau šobrīd ir noteikts likuma “Par nodokļiem un nodevām” </w:t>
            </w:r>
            <w:r w:rsidR="00315EC9">
              <w:rPr>
                <w:rFonts w:ascii="Times New Roman" w:eastAsia="Calibri" w:hAnsi="Times New Roman"/>
                <w:sz w:val="26"/>
                <w:szCs w:val="26"/>
                <w:lang w:eastAsia="lv-LV"/>
              </w:rPr>
              <w:t>15.</w:t>
            </w:r>
            <w:r>
              <w:rPr>
                <w:rFonts w:ascii="Times New Roman" w:eastAsia="Calibri" w:hAnsi="Times New Roman"/>
                <w:sz w:val="26"/>
                <w:szCs w:val="26"/>
                <w:lang w:eastAsia="lv-LV"/>
              </w:rPr>
              <w:t>pant</w:t>
            </w:r>
            <w:r w:rsidR="00315EC9">
              <w:rPr>
                <w:rFonts w:ascii="Times New Roman" w:eastAsia="Calibri" w:hAnsi="Times New Roman"/>
                <w:sz w:val="26"/>
                <w:szCs w:val="26"/>
                <w:lang w:eastAsia="lv-LV"/>
              </w:rPr>
              <w:t>a devītajā daļā</w:t>
            </w:r>
            <w:r>
              <w:rPr>
                <w:rFonts w:ascii="Times New Roman" w:eastAsia="Calibri" w:hAnsi="Times New Roman"/>
                <w:sz w:val="26"/>
                <w:szCs w:val="26"/>
                <w:lang w:eastAsia="lv-LV"/>
              </w:rPr>
              <w:t>.</w:t>
            </w:r>
          </w:p>
          <w:p w:rsidR="006C1976" w:rsidRPr="00B21B4E" w:rsidRDefault="006C1976" w:rsidP="00B21B4E">
            <w:pPr>
              <w:pStyle w:val="NoSpacing"/>
              <w:ind w:firstLine="436"/>
              <w:jc w:val="both"/>
              <w:rPr>
                <w:rFonts w:ascii="Times New Roman" w:hAnsi="Times New Roman"/>
                <w:sz w:val="26"/>
                <w:szCs w:val="26"/>
              </w:rPr>
            </w:pPr>
            <w:r w:rsidRPr="00B21B4E">
              <w:rPr>
                <w:rFonts w:ascii="Times New Roman" w:hAnsi="Times New Roman"/>
                <w:sz w:val="26"/>
                <w:szCs w:val="26"/>
              </w:rPr>
              <w:t xml:space="preserve">Tādējādi, lai transponētu to Direktīvas daļu, kas nav noteikta iepriekš minētajā likumā, </w:t>
            </w:r>
            <w:r w:rsidR="003434DF">
              <w:rPr>
                <w:rFonts w:ascii="Times New Roman" w:hAnsi="Times New Roman"/>
                <w:sz w:val="26"/>
                <w:szCs w:val="26"/>
              </w:rPr>
              <w:t xml:space="preserve">kā arī ievērotu MCAA noteikto, </w:t>
            </w:r>
            <w:r w:rsidRPr="00B21B4E">
              <w:rPr>
                <w:rFonts w:ascii="Times New Roman" w:hAnsi="Times New Roman"/>
                <w:sz w:val="26"/>
                <w:szCs w:val="26"/>
              </w:rPr>
              <w:t xml:space="preserve">nepieciešams izstrādāt </w:t>
            </w:r>
            <w:r w:rsidR="002745EF">
              <w:rPr>
                <w:rFonts w:ascii="Times New Roman" w:hAnsi="Times New Roman"/>
                <w:sz w:val="26"/>
                <w:szCs w:val="26"/>
              </w:rPr>
              <w:t xml:space="preserve">Ministru kabineta </w:t>
            </w:r>
            <w:r w:rsidRPr="00B21B4E">
              <w:rPr>
                <w:rFonts w:ascii="Times New Roman" w:hAnsi="Times New Roman"/>
                <w:sz w:val="26"/>
                <w:szCs w:val="26"/>
              </w:rPr>
              <w:t>noteikumu projektu “</w:t>
            </w:r>
            <w:r w:rsidR="003434DF" w:rsidRPr="003434DF">
              <w:rPr>
                <w:rFonts w:ascii="Times New Roman" w:hAnsi="Times New Roman"/>
                <w:bCs/>
                <w:sz w:val="26"/>
                <w:szCs w:val="26"/>
              </w:rPr>
              <w:t xml:space="preserve">Starptautisku uzņēmumu grupas pārskata </w:t>
            </w:r>
            <w:r w:rsidR="0094460F">
              <w:rPr>
                <w:rFonts w:ascii="Times New Roman" w:hAnsi="Times New Roman"/>
                <w:bCs/>
                <w:sz w:val="26"/>
                <w:szCs w:val="26"/>
              </w:rPr>
              <w:t xml:space="preserve">par katru valsti </w:t>
            </w:r>
            <w:r w:rsidR="007E5A4E">
              <w:rPr>
                <w:rFonts w:ascii="Times New Roman" w:hAnsi="Times New Roman"/>
                <w:bCs/>
                <w:sz w:val="26"/>
                <w:szCs w:val="26"/>
              </w:rPr>
              <w:t>noteikumi</w:t>
            </w:r>
            <w:r w:rsidRPr="00B21B4E">
              <w:rPr>
                <w:rFonts w:ascii="Times New Roman" w:hAnsi="Times New Roman"/>
                <w:sz w:val="26"/>
                <w:szCs w:val="26"/>
              </w:rPr>
              <w:t>”</w:t>
            </w:r>
            <w:r w:rsidR="00B3293B">
              <w:rPr>
                <w:rFonts w:ascii="Times New Roman" w:hAnsi="Times New Roman"/>
                <w:sz w:val="26"/>
                <w:szCs w:val="26"/>
              </w:rPr>
              <w:t xml:space="preserve"> (turpmāk – noteikumu projekts)</w:t>
            </w:r>
            <w:r w:rsidRPr="00B21B4E">
              <w:rPr>
                <w:rFonts w:ascii="Times New Roman" w:hAnsi="Times New Roman"/>
                <w:sz w:val="26"/>
                <w:szCs w:val="26"/>
              </w:rPr>
              <w:t>.</w:t>
            </w:r>
          </w:p>
          <w:p w:rsidR="006C1976" w:rsidRPr="00B21B4E" w:rsidRDefault="006C1976" w:rsidP="00B21B4E">
            <w:pPr>
              <w:pStyle w:val="NoSpacing"/>
              <w:jc w:val="both"/>
              <w:rPr>
                <w:rFonts w:ascii="Times New Roman" w:hAnsi="Times New Roman"/>
                <w:sz w:val="26"/>
                <w:szCs w:val="26"/>
              </w:rPr>
            </w:pPr>
            <w:r w:rsidRPr="00B21B4E">
              <w:rPr>
                <w:rFonts w:ascii="Times New Roman" w:hAnsi="Times New Roman"/>
                <w:sz w:val="26"/>
                <w:szCs w:val="26"/>
              </w:rPr>
              <w:t>Noteikumu projekts nosaka:</w:t>
            </w:r>
          </w:p>
          <w:p w:rsidR="00836B45" w:rsidRDefault="00836B45" w:rsidP="001E6662">
            <w:pPr>
              <w:pStyle w:val="NoSpacing"/>
              <w:numPr>
                <w:ilvl w:val="0"/>
                <w:numId w:val="2"/>
              </w:numPr>
              <w:ind w:left="12" w:firstLine="348"/>
              <w:jc w:val="both"/>
              <w:rPr>
                <w:rFonts w:ascii="Times New Roman" w:hAnsi="Times New Roman"/>
                <w:sz w:val="26"/>
                <w:szCs w:val="26"/>
              </w:rPr>
            </w:pPr>
            <w:r>
              <w:rPr>
                <w:rFonts w:ascii="Times New Roman" w:hAnsi="Times New Roman"/>
                <w:sz w:val="26"/>
                <w:szCs w:val="26"/>
              </w:rPr>
              <w:t>nosacījumus, kuriem iestājoties, ir sniedzams pārskats;</w:t>
            </w:r>
          </w:p>
          <w:p w:rsidR="00856067" w:rsidRPr="000646A7" w:rsidRDefault="00856067" w:rsidP="001E6662">
            <w:pPr>
              <w:pStyle w:val="NoSpacing"/>
              <w:numPr>
                <w:ilvl w:val="0"/>
                <w:numId w:val="2"/>
              </w:numPr>
              <w:ind w:left="12" w:firstLine="348"/>
              <w:jc w:val="both"/>
              <w:rPr>
                <w:rFonts w:ascii="Times New Roman" w:hAnsi="Times New Roman"/>
                <w:sz w:val="26"/>
                <w:szCs w:val="26"/>
              </w:rPr>
            </w:pPr>
            <w:r w:rsidRPr="000646A7">
              <w:rPr>
                <w:rFonts w:ascii="Times New Roman" w:hAnsi="Times New Roman"/>
                <w:sz w:val="26"/>
                <w:szCs w:val="26"/>
              </w:rPr>
              <w:t>pārskatā lietoto terminu skaidrojumu;</w:t>
            </w:r>
          </w:p>
          <w:p w:rsidR="00856067" w:rsidRDefault="00856067" w:rsidP="007E5A4E">
            <w:pPr>
              <w:pStyle w:val="NoSpacing"/>
              <w:numPr>
                <w:ilvl w:val="0"/>
                <w:numId w:val="2"/>
              </w:numPr>
              <w:ind w:left="12" w:firstLine="348"/>
              <w:jc w:val="both"/>
              <w:rPr>
                <w:rFonts w:ascii="Times New Roman" w:hAnsi="Times New Roman"/>
                <w:sz w:val="26"/>
                <w:szCs w:val="26"/>
              </w:rPr>
            </w:pPr>
            <w:r>
              <w:rPr>
                <w:rFonts w:ascii="Times New Roman" w:hAnsi="Times New Roman"/>
                <w:sz w:val="26"/>
                <w:szCs w:val="26"/>
              </w:rPr>
              <w:t xml:space="preserve">pārskata </w:t>
            </w:r>
            <w:r w:rsidR="000646A7">
              <w:rPr>
                <w:rFonts w:ascii="Times New Roman" w:hAnsi="Times New Roman"/>
                <w:sz w:val="26"/>
                <w:szCs w:val="26"/>
              </w:rPr>
              <w:t>sagatavošanas</w:t>
            </w:r>
            <w:r>
              <w:rPr>
                <w:rFonts w:ascii="Times New Roman" w:hAnsi="Times New Roman"/>
                <w:sz w:val="26"/>
                <w:szCs w:val="26"/>
              </w:rPr>
              <w:t xml:space="preserve"> </w:t>
            </w:r>
            <w:r w:rsidR="000646A7">
              <w:rPr>
                <w:rFonts w:ascii="Times New Roman" w:hAnsi="Times New Roman"/>
                <w:sz w:val="26"/>
                <w:szCs w:val="26"/>
              </w:rPr>
              <w:t>noteikumus</w:t>
            </w:r>
            <w:r>
              <w:rPr>
                <w:rFonts w:ascii="Times New Roman" w:hAnsi="Times New Roman"/>
                <w:sz w:val="26"/>
                <w:szCs w:val="26"/>
              </w:rPr>
              <w:t>;</w:t>
            </w:r>
          </w:p>
          <w:p w:rsidR="002745EF" w:rsidRPr="002745EF" w:rsidRDefault="000646A7" w:rsidP="002745EF">
            <w:pPr>
              <w:pStyle w:val="NoSpacing"/>
              <w:numPr>
                <w:ilvl w:val="0"/>
                <w:numId w:val="2"/>
              </w:numPr>
              <w:ind w:left="0" w:firstLine="360"/>
              <w:jc w:val="both"/>
              <w:rPr>
                <w:rFonts w:ascii="Times New Roman" w:hAnsi="Times New Roman"/>
                <w:sz w:val="26"/>
                <w:szCs w:val="26"/>
              </w:rPr>
            </w:pPr>
            <w:r>
              <w:rPr>
                <w:rFonts w:ascii="Times New Roman" w:hAnsi="Times New Roman"/>
                <w:sz w:val="26"/>
                <w:szCs w:val="26"/>
              </w:rPr>
              <w:t>pārskata sniegšanas kārtību Valsts ieņ</w:t>
            </w:r>
            <w:r w:rsidR="002745EF">
              <w:rPr>
                <w:rFonts w:ascii="Times New Roman" w:hAnsi="Times New Roman"/>
                <w:sz w:val="26"/>
                <w:szCs w:val="26"/>
              </w:rPr>
              <w:t>ēmumu dienestam (turpmāk – VID) un noteikumus;</w:t>
            </w:r>
          </w:p>
          <w:p w:rsidR="006C1976" w:rsidRPr="006C1976" w:rsidRDefault="00752F42" w:rsidP="00856067">
            <w:pPr>
              <w:pStyle w:val="NoSpacing"/>
              <w:numPr>
                <w:ilvl w:val="0"/>
                <w:numId w:val="2"/>
              </w:numPr>
              <w:ind w:left="0" w:firstLine="360"/>
              <w:jc w:val="both"/>
              <w:rPr>
                <w:rFonts w:ascii="Times New Roman" w:hAnsi="Times New Roman"/>
                <w:sz w:val="26"/>
                <w:szCs w:val="26"/>
              </w:rPr>
            </w:pPr>
            <w:r>
              <w:rPr>
                <w:rFonts w:ascii="Times New Roman" w:hAnsi="Times New Roman"/>
                <w:sz w:val="26"/>
                <w:szCs w:val="26"/>
              </w:rPr>
              <w:t xml:space="preserve">kārtību, kādā </w:t>
            </w:r>
            <w:r w:rsidR="000646A7">
              <w:rPr>
                <w:rFonts w:ascii="Times New Roman" w:hAnsi="Times New Roman"/>
                <w:sz w:val="26"/>
                <w:szCs w:val="26"/>
              </w:rPr>
              <w:t xml:space="preserve">VID </w:t>
            </w:r>
            <w:r>
              <w:rPr>
                <w:rFonts w:ascii="Times New Roman" w:hAnsi="Times New Roman"/>
                <w:sz w:val="26"/>
                <w:szCs w:val="26"/>
              </w:rPr>
              <w:t>veic automātisku informācijas apmaiņu ar pārskatiem ar attiecīgās valsts kompetentajām iestādēm</w:t>
            </w:r>
            <w:r w:rsidR="006C1976" w:rsidRPr="006C1976">
              <w:rPr>
                <w:rFonts w:ascii="Times New Roman" w:hAnsi="Times New Roman"/>
                <w:sz w:val="26"/>
                <w:szCs w:val="26"/>
              </w:rPr>
              <w:t>;</w:t>
            </w:r>
          </w:p>
          <w:p w:rsidR="00856067" w:rsidRPr="00856067" w:rsidRDefault="00836B45" w:rsidP="00856067">
            <w:pPr>
              <w:pStyle w:val="NoSpacing"/>
              <w:ind w:firstLine="437"/>
              <w:jc w:val="both"/>
              <w:rPr>
                <w:rFonts w:ascii="Times New Roman" w:hAnsi="Times New Roman"/>
                <w:bCs/>
                <w:spacing w:val="-4"/>
                <w:sz w:val="26"/>
                <w:szCs w:val="26"/>
              </w:rPr>
            </w:pPr>
            <w:r>
              <w:rPr>
                <w:rFonts w:ascii="Times New Roman" w:hAnsi="Times New Roman"/>
                <w:bCs/>
                <w:spacing w:val="-4"/>
                <w:sz w:val="26"/>
                <w:szCs w:val="26"/>
              </w:rPr>
              <w:t>6</w:t>
            </w:r>
            <w:r w:rsidR="00856067" w:rsidRPr="00856067">
              <w:rPr>
                <w:rFonts w:ascii="Times New Roman" w:hAnsi="Times New Roman"/>
                <w:bCs/>
                <w:spacing w:val="-4"/>
                <w:sz w:val="26"/>
                <w:szCs w:val="26"/>
              </w:rPr>
              <w:t>)</w:t>
            </w:r>
            <w:r w:rsidR="00856067" w:rsidRPr="00856067">
              <w:rPr>
                <w:rFonts w:ascii="Times New Roman" w:hAnsi="Times New Roman"/>
                <w:bCs/>
                <w:spacing w:val="-4"/>
                <w:sz w:val="26"/>
                <w:szCs w:val="26"/>
              </w:rPr>
              <w:tab/>
            </w:r>
            <w:r w:rsidR="00856067">
              <w:rPr>
                <w:rFonts w:ascii="Times New Roman" w:hAnsi="Times New Roman"/>
                <w:bCs/>
                <w:spacing w:val="-4"/>
                <w:sz w:val="26"/>
                <w:szCs w:val="26"/>
              </w:rPr>
              <w:t xml:space="preserve">gadījumus un </w:t>
            </w:r>
            <w:r w:rsidR="00856067" w:rsidRPr="00856067">
              <w:rPr>
                <w:rFonts w:ascii="Times New Roman" w:hAnsi="Times New Roman"/>
                <w:bCs/>
                <w:spacing w:val="-4"/>
                <w:sz w:val="26"/>
                <w:szCs w:val="26"/>
              </w:rPr>
              <w:t xml:space="preserve">tiesības </w:t>
            </w:r>
            <w:r w:rsidR="00856067">
              <w:rPr>
                <w:rFonts w:ascii="Times New Roman" w:hAnsi="Times New Roman"/>
                <w:bCs/>
                <w:spacing w:val="-4"/>
                <w:sz w:val="26"/>
                <w:szCs w:val="26"/>
              </w:rPr>
              <w:t>VID</w:t>
            </w:r>
            <w:r w:rsidR="00856067" w:rsidRPr="00856067">
              <w:rPr>
                <w:rFonts w:ascii="Times New Roman" w:hAnsi="Times New Roman"/>
                <w:bCs/>
                <w:spacing w:val="-4"/>
                <w:sz w:val="26"/>
                <w:szCs w:val="26"/>
              </w:rPr>
              <w:t xml:space="preserve"> </w:t>
            </w:r>
            <w:r w:rsidR="00856067">
              <w:rPr>
                <w:rFonts w:ascii="Times New Roman" w:hAnsi="Times New Roman"/>
                <w:bCs/>
                <w:spacing w:val="-4"/>
                <w:sz w:val="26"/>
                <w:szCs w:val="26"/>
              </w:rPr>
              <w:t>izmantot saņemto informāciju</w:t>
            </w:r>
            <w:r w:rsidR="000646A7">
              <w:rPr>
                <w:rFonts w:ascii="Times New Roman" w:hAnsi="Times New Roman"/>
                <w:bCs/>
                <w:spacing w:val="-4"/>
                <w:sz w:val="26"/>
                <w:szCs w:val="26"/>
              </w:rPr>
              <w:t>.</w:t>
            </w:r>
          </w:p>
          <w:p w:rsidR="00075F75" w:rsidRDefault="000646A7" w:rsidP="000646A7">
            <w:pPr>
              <w:pStyle w:val="NoSpacing"/>
              <w:ind w:firstLine="437"/>
              <w:jc w:val="both"/>
              <w:rPr>
                <w:rFonts w:ascii="Times New Roman" w:hAnsi="Times New Roman"/>
                <w:bCs/>
                <w:spacing w:val="-4"/>
                <w:sz w:val="26"/>
                <w:szCs w:val="26"/>
              </w:rPr>
            </w:pPr>
            <w:r>
              <w:rPr>
                <w:rFonts w:ascii="Times New Roman" w:hAnsi="Times New Roman"/>
                <w:bCs/>
                <w:spacing w:val="-4"/>
                <w:sz w:val="26"/>
                <w:szCs w:val="26"/>
              </w:rPr>
              <w:t>Noteikumu projektā lietoto terminu skaidrojums ir veidot</w:t>
            </w:r>
            <w:r w:rsidR="00856067" w:rsidRPr="00856067">
              <w:rPr>
                <w:rFonts w:ascii="Times New Roman" w:hAnsi="Times New Roman"/>
                <w:bCs/>
                <w:spacing w:val="-4"/>
                <w:sz w:val="26"/>
                <w:szCs w:val="26"/>
              </w:rPr>
              <w:t xml:space="preserve">s ar mērķi </w:t>
            </w:r>
            <w:r>
              <w:rPr>
                <w:rFonts w:ascii="Times New Roman" w:hAnsi="Times New Roman"/>
                <w:bCs/>
                <w:spacing w:val="-4"/>
                <w:sz w:val="26"/>
                <w:szCs w:val="26"/>
              </w:rPr>
              <w:t xml:space="preserve">noteikuma projekta </w:t>
            </w:r>
            <w:r w:rsidR="00856067" w:rsidRPr="00856067">
              <w:rPr>
                <w:rFonts w:ascii="Times New Roman" w:hAnsi="Times New Roman"/>
                <w:bCs/>
                <w:spacing w:val="-4"/>
                <w:sz w:val="26"/>
                <w:szCs w:val="26"/>
              </w:rPr>
              <w:t xml:space="preserve">normu nepārprotamākai </w:t>
            </w:r>
            <w:r w:rsidR="00C74EE3">
              <w:rPr>
                <w:rFonts w:ascii="Times New Roman" w:hAnsi="Times New Roman"/>
                <w:bCs/>
                <w:spacing w:val="-4"/>
                <w:sz w:val="26"/>
                <w:szCs w:val="26"/>
              </w:rPr>
              <w:t>un vienveidīgākai piemērošanai, jo ir ļoti svarīgi, ka</w:t>
            </w:r>
            <w:r w:rsidR="0069726F">
              <w:rPr>
                <w:rFonts w:ascii="Times New Roman" w:hAnsi="Times New Roman"/>
                <w:bCs/>
                <w:spacing w:val="-4"/>
                <w:sz w:val="26"/>
                <w:szCs w:val="26"/>
              </w:rPr>
              <w:t xml:space="preserve"> </w:t>
            </w:r>
            <w:r w:rsidR="00C74EE3">
              <w:rPr>
                <w:rFonts w:ascii="Times New Roman" w:hAnsi="Times New Roman"/>
                <w:bCs/>
                <w:spacing w:val="-4"/>
                <w:sz w:val="26"/>
                <w:szCs w:val="26"/>
              </w:rPr>
              <w:t>Direktīvas normas, kā arī ESAO BEPS 13.aktivitāte</w:t>
            </w:r>
            <w:r w:rsidR="0069726F">
              <w:rPr>
                <w:rFonts w:ascii="Times New Roman" w:hAnsi="Times New Roman"/>
                <w:bCs/>
                <w:spacing w:val="-4"/>
                <w:sz w:val="26"/>
                <w:szCs w:val="26"/>
              </w:rPr>
              <w:t>s regulējums to valstu un teritoriju, kuras automātiski apmainīsies ar pārskatiem, nacionālaj</w:t>
            </w:r>
            <w:r w:rsidR="004E6E7D">
              <w:rPr>
                <w:rFonts w:ascii="Times New Roman" w:hAnsi="Times New Roman"/>
                <w:bCs/>
                <w:spacing w:val="-4"/>
                <w:sz w:val="26"/>
                <w:szCs w:val="26"/>
              </w:rPr>
              <w:t>os</w:t>
            </w:r>
            <w:r w:rsidR="0069726F">
              <w:rPr>
                <w:rFonts w:ascii="Times New Roman" w:hAnsi="Times New Roman"/>
                <w:bCs/>
                <w:spacing w:val="-4"/>
                <w:sz w:val="26"/>
                <w:szCs w:val="26"/>
              </w:rPr>
              <w:t xml:space="preserve"> normatīvajos aktos </w:t>
            </w:r>
            <w:r w:rsidR="0069726F">
              <w:rPr>
                <w:rFonts w:ascii="Times New Roman" w:hAnsi="Times New Roman"/>
                <w:bCs/>
                <w:spacing w:val="-4"/>
                <w:sz w:val="26"/>
                <w:szCs w:val="26"/>
              </w:rPr>
              <w:lastRenderedPageBreak/>
              <w:t>pārņemts pēc iespējas precīzāk, tādējādi nodrošinot attiecīgā regulējuma vienveidīgu piemērošanu.</w:t>
            </w:r>
          </w:p>
          <w:p w:rsidR="0014499B" w:rsidRDefault="00EB290A" w:rsidP="0014499B">
            <w:pPr>
              <w:pStyle w:val="NoSpacing"/>
              <w:ind w:firstLine="437"/>
              <w:jc w:val="both"/>
              <w:rPr>
                <w:rFonts w:ascii="Times New Roman" w:hAnsi="Times New Roman"/>
                <w:bCs/>
                <w:spacing w:val="-4"/>
                <w:sz w:val="26"/>
                <w:szCs w:val="26"/>
              </w:rPr>
            </w:pPr>
            <w:r>
              <w:rPr>
                <w:rFonts w:ascii="Times New Roman" w:hAnsi="Times New Roman"/>
                <w:bCs/>
                <w:spacing w:val="-4"/>
                <w:sz w:val="26"/>
                <w:szCs w:val="26"/>
              </w:rPr>
              <w:t>Turklāt</w:t>
            </w:r>
            <w:r w:rsidR="00075F75">
              <w:rPr>
                <w:rFonts w:ascii="Times New Roman" w:hAnsi="Times New Roman"/>
                <w:bCs/>
                <w:spacing w:val="-4"/>
                <w:sz w:val="26"/>
                <w:szCs w:val="26"/>
              </w:rPr>
              <w:t xml:space="preserve"> </w:t>
            </w:r>
            <w:r w:rsidR="00075F75" w:rsidRPr="00075F75">
              <w:rPr>
                <w:rFonts w:ascii="Times New Roman" w:hAnsi="Times New Roman"/>
                <w:sz w:val="26"/>
                <w:szCs w:val="26"/>
              </w:rPr>
              <w:t xml:space="preserve">ESAO Globālā foruma par </w:t>
            </w:r>
            <w:r>
              <w:rPr>
                <w:rFonts w:ascii="Times New Roman" w:hAnsi="Times New Roman"/>
                <w:sz w:val="26"/>
                <w:szCs w:val="26"/>
              </w:rPr>
              <w:t>caurskatāmību</w:t>
            </w:r>
            <w:r w:rsidR="00075F75" w:rsidRPr="00075F75">
              <w:rPr>
                <w:rFonts w:ascii="Times New Roman" w:hAnsi="Times New Roman"/>
                <w:sz w:val="26"/>
                <w:szCs w:val="26"/>
              </w:rPr>
              <w:t xml:space="preserve"> un informācijas apmaiņas jautājumiem nodokļu jomā (</w:t>
            </w:r>
            <w:proofErr w:type="spellStart"/>
            <w:r w:rsidR="00581EEC">
              <w:fldChar w:fldCharType="begin"/>
            </w:r>
            <w:r w:rsidR="00581EEC">
              <w:instrText xml:space="preserve"> HYPERLINK "http://www.oecd.org/tax/transparency/" </w:instrText>
            </w:r>
            <w:r w:rsidR="00581EEC">
              <w:fldChar w:fldCharType="separate"/>
            </w:r>
            <w:r w:rsidR="00075F75" w:rsidRPr="00075F75">
              <w:rPr>
                <w:rFonts w:ascii="Times New Roman" w:hAnsi="Times New Roman"/>
                <w:i/>
                <w:sz w:val="26"/>
                <w:szCs w:val="26"/>
              </w:rPr>
              <w:t>Global</w:t>
            </w:r>
            <w:proofErr w:type="spellEnd"/>
            <w:r w:rsidR="00075F75" w:rsidRPr="00075F75">
              <w:rPr>
                <w:rFonts w:ascii="Times New Roman" w:hAnsi="Times New Roman"/>
                <w:i/>
                <w:sz w:val="26"/>
                <w:szCs w:val="26"/>
              </w:rPr>
              <w:t xml:space="preserve"> Forum </w:t>
            </w:r>
            <w:proofErr w:type="spellStart"/>
            <w:r w:rsidR="00075F75" w:rsidRPr="00075F75">
              <w:rPr>
                <w:rFonts w:ascii="Times New Roman" w:hAnsi="Times New Roman"/>
                <w:i/>
                <w:sz w:val="26"/>
                <w:szCs w:val="26"/>
              </w:rPr>
              <w:t>on</w:t>
            </w:r>
            <w:proofErr w:type="spellEnd"/>
            <w:r w:rsidR="00075F75" w:rsidRPr="00075F75">
              <w:rPr>
                <w:rFonts w:ascii="Times New Roman" w:hAnsi="Times New Roman"/>
                <w:i/>
                <w:sz w:val="26"/>
                <w:szCs w:val="26"/>
              </w:rPr>
              <w:t xml:space="preserve"> </w:t>
            </w:r>
            <w:proofErr w:type="spellStart"/>
            <w:r w:rsidR="00075F75" w:rsidRPr="00075F75">
              <w:rPr>
                <w:rFonts w:ascii="Times New Roman" w:hAnsi="Times New Roman"/>
                <w:i/>
                <w:sz w:val="26"/>
                <w:szCs w:val="26"/>
              </w:rPr>
              <w:t>Transparency</w:t>
            </w:r>
            <w:proofErr w:type="spellEnd"/>
            <w:r w:rsidR="00075F75" w:rsidRPr="00075F75">
              <w:rPr>
                <w:rFonts w:ascii="Times New Roman" w:hAnsi="Times New Roman"/>
                <w:i/>
                <w:sz w:val="26"/>
                <w:szCs w:val="26"/>
              </w:rPr>
              <w:t xml:space="preserve"> </w:t>
            </w:r>
            <w:proofErr w:type="spellStart"/>
            <w:r w:rsidR="00075F75" w:rsidRPr="00075F75">
              <w:rPr>
                <w:rFonts w:ascii="Times New Roman" w:hAnsi="Times New Roman"/>
                <w:i/>
                <w:sz w:val="26"/>
                <w:szCs w:val="26"/>
              </w:rPr>
              <w:t>and</w:t>
            </w:r>
            <w:proofErr w:type="spellEnd"/>
            <w:r w:rsidR="00075F75" w:rsidRPr="00075F75">
              <w:rPr>
                <w:rFonts w:ascii="Times New Roman" w:hAnsi="Times New Roman"/>
                <w:i/>
                <w:sz w:val="26"/>
                <w:szCs w:val="26"/>
              </w:rPr>
              <w:t xml:space="preserve"> Exchange </w:t>
            </w:r>
            <w:proofErr w:type="spellStart"/>
            <w:r w:rsidR="00075F75" w:rsidRPr="00075F75">
              <w:rPr>
                <w:rFonts w:ascii="Times New Roman" w:hAnsi="Times New Roman"/>
                <w:i/>
                <w:sz w:val="26"/>
                <w:szCs w:val="26"/>
              </w:rPr>
              <w:t>of</w:t>
            </w:r>
            <w:proofErr w:type="spellEnd"/>
            <w:r w:rsidR="00075F75" w:rsidRPr="00075F75">
              <w:rPr>
                <w:rFonts w:ascii="Times New Roman" w:hAnsi="Times New Roman"/>
                <w:i/>
                <w:sz w:val="26"/>
                <w:szCs w:val="26"/>
              </w:rPr>
              <w:t xml:space="preserve"> </w:t>
            </w:r>
            <w:proofErr w:type="spellStart"/>
            <w:r w:rsidR="00075F75" w:rsidRPr="00075F75">
              <w:rPr>
                <w:rFonts w:ascii="Times New Roman" w:hAnsi="Times New Roman"/>
                <w:i/>
                <w:sz w:val="26"/>
                <w:szCs w:val="26"/>
              </w:rPr>
              <w:t>Information</w:t>
            </w:r>
            <w:proofErr w:type="spellEnd"/>
            <w:r w:rsidR="00075F75" w:rsidRPr="00075F75">
              <w:rPr>
                <w:rFonts w:ascii="Times New Roman" w:hAnsi="Times New Roman"/>
                <w:i/>
                <w:sz w:val="26"/>
                <w:szCs w:val="26"/>
              </w:rPr>
              <w:t xml:space="preserve"> </w:t>
            </w:r>
            <w:proofErr w:type="spellStart"/>
            <w:r w:rsidR="00075F75" w:rsidRPr="00075F75">
              <w:rPr>
                <w:rFonts w:ascii="Times New Roman" w:hAnsi="Times New Roman"/>
                <w:i/>
                <w:sz w:val="26"/>
                <w:szCs w:val="26"/>
              </w:rPr>
              <w:t>for</w:t>
            </w:r>
            <w:proofErr w:type="spellEnd"/>
            <w:r w:rsidR="00075F75" w:rsidRPr="00075F75">
              <w:rPr>
                <w:rFonts w:ascii="Times New Roman" w:hAnsi="Times New Roman"/>
                <w:i/>
                <w:sz w:val="26"/>
                <w:szCs w:val="26"/>
              </w:rPr>
              <w:t xml:space="preserve"> </w:t>
            </w:r>
            <w:proofErr w:type="spellStart"/>
            <w:r w:rsidR="00075F75" w:rsidRPr="00075F75">
              <w:rPr>
                <w:rFonts w:ascii="Times New Roman" w:hAnsi="Times New Roman"/>
                <w:i/>
                <w:sz w:val="26"/>
                <w:szCs w:val="26"/>
              </w:rPr>
              <w:t>Tax</w:t>
            </w:r>
            <w:proofErr w:type="spellEnd"/>
            <w:r w:rsidR="00075F75" w:rsidRPr="00075F75">
              <w:rPr>
                <w:rFonts w:ascii="Times New Roman" w:hAnsi="Times New Roman"/>
                <w:i/>
                <w:sz w:val="26"/>
                <w:szCs w:val="26"/>
              </w:rPr>
              <w:t xml:space="preserve"> </w:t>
            </w:r>
            <w:proofErr w:type="spellStart"/>
            <w:r w:rsidR="00075F75" w:rsidRPr="00075F75">
              <w:rPr>
                <w:rFonts w:ascii="Times New Roman" w:hAnsi="Times New Roman"/>
                <w:i/>
                <w:sz w:val="26"/>
                <w:szCs w:val="26"/>
              </w:rPr>
              <w:t>Purposes</w:t>
            </w:r>
            <w:proofErr w:type="spellEnd"/>
            <w:r w:rsidR="00581EEC">
              <w:rPr>
                <w:rFonts w:ascii="Times New Roman" w:hAnsi="Times New Roman"/>
                <w:i/>
                <w:sz w:val="26"/>
                <w:szCs w:val="26"/>
              </w:rPr>
              <w:fldChar w:fldCharType="end"/>
            </w:r>
            <w:r w:rsidR="00075F75" w:rsidRPr="00075F75">
              <w:rPr>
                <w:rFonts w:ascii="Times New Roman" w:hAnsi="Times New Roman"/>
                <w:sz w:val="26"/>
                <w:szCs w:val="26"/>
              </w:rPr>
              <w:t xml:space="preserve">) ietvaros </w:t>
            </w:r>
            <w:r>
              <w:rPr>
                <w:rFonts w:ascii="Times New Roman" w:hAnsi="Times New Roman"/>
                <w:sz w:val="26"/>
                <w:szCs w:val="26"/>
              </w:rPr>
              <w:t xml:space="preserve">tiks vērtēta </w:t>
            </w:r>
            <w:r>
              <w:rPr>
                <w:rFonts w:ascii="Times New Roman" w:hAnsi="Times New Roman"/>
                <w:bCs/>
                <w:spacing w:val="-4"/>
                <w:sz w:val="26"/>
                <w:szCs w:val="26"/>
              </w:rPr>
              <w:t>Latvijas nacionālā regulējuma atbilstība BEPS 13.aktivitātei.</w:t>
            </w:r>
          </w:p>
          <w:p w:rsidR="00DB590A" w:rsidRDefault="00DB590A" w:rsidP="0014499B">
            <w:pPr>
              <w:pStyle w:val="NoSpacing"/>
              <w:ind w:firstLine="437"/>
              <w:jc w:val="both"/>
              <w:rPr>
                <w:rFonts w:ascii="Times New Roman" w:hAnsi="Times New Roman"/>
                <w:bCs/>
                <w:spacing w:val="-4"/>
                <w:sz w:val="26"/>
                <w:szCs w:val="26"/>
              </w:rPr>
            </w:pPr>
            <w:r>
              <w:rPr>
                <w:rFonts w:ascii="Times New Roman" w:hAnsi="Times New Roman"/>
                <w:bCs/>
                <w:spacing w:val="-4"/>
                <w:sz w:val="26"/>
                <w:szCs w:val="26"/>
              </w:rPr>
              <w:t xml:space="preserve">Attiecībā uz atsevišķu terminu lietošanu </w:t>
            </w:r>
            <w:r w:rsidR="005B55FE">
              <w:rPr>
                <w:rFonts w:ascii="Times New Roman" w:hAnsi="Times New Roman"/>
                <w:bCs/>
                <w:spacing w:val="-4"/>
                <w:sz w:val="26"/>
                <w:szCs w:val="26"/>
              </w:rPr>
              <w:t>noteikumu</w:t>
            </w:r>
            <w:r>
              <w:rPr>
                <w:rFonts w:ascii="Times New Roman" w:hAnsi="Times New Roman"/>
                <w:bCs/>
                <w:spacing w:val="-4"/>
                <w:sz w:val="26"/>
                <w:szCs w:val="26"/>
              </w:rPr>
              <w:t xml:space="preserve"> projektā, tika ņemti vērā šādi apsvērumi:</w:t>
            </w:r>
          </w:p>
          <w:p w:rsidR="00DB590A" w:rsidRDefault="00DB590A" w:rsidP="00B8476A">
            <w:pPr>
              <w:pStyle w:val="NoSpacing"/>
              <w:numPr>
                <w:ilvl w:val="0"/>
                <w:numId w:val="5"/>
              </w:numPr>
              <w:jc w:val="both"/>
              <w:rPr>
                <w:rFonts w:ascii="Times New Roman" w:hAnsi="Times New Roman"/>
                <w:bCs/>
                <w:spacing w:val="-4"/>
                <w:sz w:val="26"/>
                <w:szCs w:val="26"/>
              </w:rPr>
            </w:pPr>
            <w:r>
              <w:rPr>
                <w:rFonts w:ascii="Times New Roman" w:hAnsi="Times New Roman"/>
                <w:bCs/>
                <w:spacing w:val="-4"/>
                <w:sz w:val="26"/>
                <w:szCs w:val="26"/>
              </w:rPr>
              <w:t>termins “</w:t>
            </w:r>
            <w:r w:rsidRPr="00DB590A">
              <w:rPr>
                <w:rFonts w:ascii="Times New Roman" w:hAnsi="Times New Roman"/>
                <w:bCs/>
                <w:spacing w:val="-4"/>
                <w:sz w:val="26"/>
                <w:szCs w:val="26"/>
              </w:rPr>
              <w:t>finanšu p</w:t>
            </w:r>
            <w:r>
              <w:rPr>
                <w:rFonts w:ascii="Times New Roman" w:hAnsi="Times New Roman"/>
                <w:bCs/>
                <w:spacing w:val="-4"/>
                <w:sz w:val="26"/>
                <w:szCs w:val="26"/>
              </w:rPr>
              <w:t>ārskatu sagatavošanas principi</w:t>
            </w:r>
            <w:r w:rsidRPr="00DB590A">
              <w:rPr>
                <w:rFonts w:ascii="Times New Roman" w:hAnsi="Times New Roman"/>
                <w:bCs/>
                <w:spacing w:val="-4"/>
                <w:sz w:val="26"/>
                <w:szCs w:val="26"/>
              </w:rPr>
              <w:t xml:space="preserve"> (</w:t>
            </w:r>
            <w:r>
              <w:rPr>
                <w:rFonts w:ascii="Times New Roman" w:hAnsi="Times New Roman"/>
                <w:bCs/>
                <w:spacing w:val="-4"/>
                <w:sz w:val="26"/>
                <w:szCs w:val="26"/>
              </w:rPr>
              <w:t>standarti</w:t>
            </w:r>
            <w:r w:rsidRPr="00DB590A">
              <w:rPr>
                <w:rFonts w:ascii="Times New Roman" w:hAnsi="Times New Roman"/>
                <w:bCs/>
                <w:spacing w:val="-4"/>
                <w:sz w:val="26"/>
                <w:szCs w:val="26"/>
              </w:rPr>
              <w:t>)</w:t>
            </w:r>
            <w:r>
              <w:rPr>
                <w:rFonts w:ascii="Times New Roman" w:hAnsi="Times New Roman"/>
                <w:bCs/>
                <w:spacing w:val="-4"/>
                <w:sz w:val="26"/>
                <w:szCs w:val="26"/>
              </w:rPr>
              <w:t xml:space="preserve">” lietots tādā pašā nozīmē, kādā tas ir lietots </w:t>
            </w:r>
            <w:r w:rsidRPr="00DB590A">
              <w:rPr>
                <w:rFonts w:ascii="Times New Roman" w:hAnsi="Times New Roman"/>
                <w:bCs/>
                <w:spacing w:val="-4"/>
                <w:sz w:val="26"/>
                <w:szCs w:val="26"/>
              </w:rPr>
              <w:t xml:space="preserve">Revīzijas pakalpojumu likuma 1.panta </w:t>
            </w:r>
            <w:r w:rsidR="00E52333">
              <w:rPr>
                <w:rFonts w:ascii="Times New Roman" w:hAnsi="Times New Roman"/>
                <w:bCs/>
                <w:spacing w:val="-4"/>
                <w:sz w:val="26"/>
                <w:szCs w:val="26"/>
              </w:rPr>
              <w:t xml:space="preserve">pirmās </w:t>
            </w:r>
            <w:r w:rsidRPr="00DB590A">
              <w:rPr>
                <w:rFonts w:ascii="Times New Roman" w:hAnsi="Times New Roman"/>
                <w:bCs/>
                <w:spacing w:val="-4"/>
                <w:sz w:val="26"/>
                <w:szCs w:val="26"/>
              </w:rPr>
              <w:t>daļas 1.punktā</w:t>
            </w:r>
            <w:r>
              <w:rPr>
                <w:rFonts w:ascii="Times New Roman" w:hAnsi="Times New Roman"/>
                <w:bCs/>
                <w:spacing w:val="-4"/>
                <w:sz w:val="26"/>
                <w:szCs w:val="26"/>
              </w:rPr>
              <w:t>;</w:t>
            </w:r>
          </w:p>
          <w:p w:rsidR="00DB590A" w:rsidRPr="00B8476A" w:rsidRDefault="005B55FE" w:rsidP="00B8476A">
            <w:pPr>
              <w:pStyle w:val="NoSpacing"/>
              <w:numPr>
                <w:ilvl w:val="0"/>
                <w:numId w:val="5"/>
              </w:numPr>
              <w:jc w:val="both"/>
              <w:rPr>
                <w:rFonts w:ascii="Times New Roman" w:hAnsi="Times New Roman"/>
                <w:bCs/>
                <w:spacing w:val="-4"/>
                <w:sz w:val="26"/>
                <w:szCs w:val="26"/>
              </w:rPr>
            </w:pPr>
            <w:r>
              <w:rPr>
                <w:rFonts w:ascii="Times New Roman" w:hAnsi="Times New Roman"/>
                <w:bCs/>
                <w:spacing w:val="-4"/>
                <w:sz w:val="26"/>
                <w:szCs w:val="26"/>
              </w:rPr>
              <w:t xml:space="preserve">termins “kases princips” lietots nozīmē, kādā to parasti saprot grāmatvedības un revīzijas jomā, proti, ka </w:t>
            </w:r>
            <w:r w:rsidRPr="00B8476A">
              <w:rPr>
                <w:rFonts w:ascii="Times New Roman" w:hAnsi="Times New Roman"/>
                <w:bCs/>
                <w:spacing w:val="-4"/>
                <w:sz w:val="26"/>
                <w:szCs w:val="26"/>
              </w:rPr>
              <w:t>ieņēmumus uzskaita tad, kad tie ir saņemti, bet izdevumus tad, kad tie ir izdarīti (skatīt, piemēram, Metodiskais materiāls zvērinātu advokātu birojiem</w:t>
            </w:r>
            <w:r w:rsidRPr="008101DB">
              <w:rPr>
                <w:rStyle w:val="FootnoteReference"/>
                <w:rFonts w:ascii="Times New Roman" w:hAnsi="Times New Roman"/>
                <w:sz w:val="24"/>
                <w:szCs w:val="28"/>
              </w:rPr>
              <w:footnoteReference w:id="1"/>
            </w:r>
            <w:r w:rsidRPr="008101DB">
              <w:rPr>
                <w:rFonts w:ascii="Times New Roman" w:hAnsi="Times New Roman"/>
                <w:sz w:val="24"/>
                <w:szCs w:val="28"/>
              </w:rPr>
              <w:t>)</w:t>
            </w:r>
            <w:r>
              <w:rPr>
                <w:rFonts w:ascii="Times New Roman" w:hAnsi="Times New Roman"/>
                <w:sz w:val="24"/>
                <w:szCs w:val="28"/>
              </w:rPr>
              <w:t>;</w:t>
            </w:r>
          </w:p>
          <w:p w:rsidR="00843A38" w:rsidRDefault="00421AA8" w:rsidP="00421AA8">
            <w:pPr>
              <w:pStyle w:val="NoSpacing"/>
              <w:numPr>
                <w:ilvl w:val="0"/>
                <w:numId w:val="5"/>
              </w:numPr>
              <w:jc w:val="both"/>
              <w:rPr>
                <w:rFonts w:ascii="Times New Roman" w:hAnsi="Times New Roman"/>
                <w:bCs/>
                <w:spacing w:val="-4"/>
                <w:sz w:val="26"/>
                <w:szCs w:val="26"/>
              </w:rPr>
            </w:pPr>
            <w:r w:rsidRPr="00421AA8">
              <w:rPr>
                <w:rFonts w:ascii="Times New Roman" w:hAnsi="Times New Roman"/>
                <w:bCs/>
                <w:spacing w:val="-4"/>
                <w:sz w:val="26"/>
                <w:szCs w:val="26"/>
              </w:rPr>
              <w:t xml:space="preserve">noteikumu projektā, definējot terminu “grupa”, kā viens no nosacījumiem, kuram iestājoties, uzņēmumu kopums tiek uzskatīts par grupu, ir minēts apstāklis, pienākums uzņēmumu kopumam sagatavot konsolidēto gada pārskatu gadījumā, ja līdzdalības daļas (akcijas) grupas pamatkapitālā tiktu tirgotas publiskajā vērtspapīru biržā. Šāds nosacījums paredzēts, arī ņemot vērā Finanšu instrumentu tirgus likuma 56.panta otro un trešo daļu, atbilstoši kurai kapitālsabiedrībai, kuras pārvedami vērtspapīri ir iekļauti regulētajā tirgū, ir pienākums sagatavot konsolidēto gada pārskatu saskaņā ar Eiropas Parlamenta un Padomes 2002.gada 19.jūlija regulu (EK) Nr. 1606/2002 par starptautisko grāmatvedības standartu piemērošanu (ar Regulu Nr. 1606/2002 apstiprinātajiem starptautiskajiem grāmatvedības standartiem). Tādējādi no tā, vai līdzdalības daļas pamatkapitālā tiek tirgotas publiskā vērtspapīru biržā vai nē, var būt atkarīgs, vai grupa sagatavo konsolidēto gada pārskatu atbilstoši Gada pārskatu un konsolidēto gada pārskatu likumam vai ar Regulu Nr. 1606/2002 apstiprinātajiem starptautiskajiem grāmatvedības standartiem. Tādējādi noteikumu projekta izpratnē par grupu uzskatīs gan uzņēmumu kopumu, kurai ir </w:t>
            </w:r>
            <w:r w:rsidRPr="00421AA8">
              <w:rPr>
                <w:rFonts w:ascii="Times New Roman" w:hAnsi="Times New Roman"/>
                <w:bCs/>
                <w:spacing w:val="-4"/>
                <w:sz w:val="26"/>
                <w:szCs w:val="26"/>
              </w:rPr>
              <w:lastRenderedPageBreak/>
              <w:t>jāsagatavo konsolidētais gada pārskats atbilstoši Gada pārskatu un konsolidēto gada pārskatu likumam, gan tādu, kādam konsolidētais gada pārskats būtu jāsagatavo atbilstoši starptautiskajiem grāmatvedības standartiem.</w:t>
            </w:r>
            <w:r>
              <w:rPr>
                <w:rFonts w:ascii="Times New Roman" w:hAnsi="Times New Roman"/>
                <w:bCs/>
                <w:spacing w:val="-4"/>
                <w:sz w:val="26"/>
                <w:szCs w:val="26"/>
              </w:rPr>
              <w:t>;</w:t>
            </w:r>
          </w:p>
          <w:p w:rsidR="00E541B7" w:rsidRPr="00623379" w:rsidRDefault="00FE43BE" w:rsidP="00B8476A">
            <w:pPr>
              <w:pStyle w:val="NoSpacing"/>
              <w:numPr>
                <w:ilvl w:val="0"/>
                <w:numId w:val="5"/>
              </w:numPr>
              <w:ind w:firstLine="437"/>
              <w:jc w:val="both"/>
              <w:rPr>
                <w:rFonts w:ascii="Times New Roman" w:hAnsi="Times New Roman"/>
                <w:bCs/>
                <w:spacing w:val="-4"/>
                <w:sz w:val="26"/>
                <w:szCs w:val="26"/>
              </w:rPr>
            </w:pPr>
            <w:r w:rsidRPr="00623379">
              <w:rPr>
                <w:rFonts w:ascii="Times New Roman" w:hAnsi="Times New Roman"/>
                <w:bCs/>
                <w:spacing w:val="-4"/>
                <w:sz w:val="26"/>
                <w:szCs w:val="26"/>
              </w:rPr>
              <w:t>definējot terminu “mātes uzņēmums”</w:t>
            </w:r>
            <w:r w:rsidR="001F6F49">
              <w:rPr>
                <w:rFonts w:ascii="Times New Roman" w:hAnsi="Times New Roman"/>
                <w:bCs/>
                <w:spacing w:val="-4"/>
                <w:sz w:val="26"/>
                <w:szCs w:val="26"/>
              </w:rPr>
              <w:t>,</w:t>
            </w:r>
            <w:r w:rsidRPr="00623379">
              <w:rPr>
                <w:rFonts w:ascii="Times New Roman" w:hAnsi="Times New Roman"/>
                <w:bCs/>
                <w:spacing w:val="-4"/>
                <w:sz w:val="26"/>
                <w:szCs w:val="26"/>
              </w:rPr>
              <w:t xml:space="preserve"> tiek</w:t>
            </w:r>
            <w:r w:rsidR="00D81A19" w:rsidRPr="00623379">
              <w:rPr>
                <w:rFonts w:ascii="Times New Roman" w:hAnsi="Times New Roman"/>
                <w:bCs/>
                <w:spacing w:val="-4"/>
                <w:sz w:val="26"/>
                <w:szCs w:val="26"/>
              </w:rPr>
              <w:t xml:space="preserve"> </w:t>
            </w:r>
            <w:r w:rsidRPr="00623379">
              <w:rPr>
                <w:rFonts w:ascii="Times New Roman" w:hAnsi="Times New Roman"/>
                <w:bCs/>
                <w:spacing w:val="-4"/>
                <w:sz w:val="26"/>
                <w:szCs w:val="26"/>
              </w:rPr>
              <w:t>noteikts, ka tā ir vienība, kurai pieder “pietiekama līdzdalība” vienā vai vairākās citās šād</w:t>
            </w:r>
            <w:r w:rsidR="001F6F49">
              <w:rPr>
                <w:rFonts w:ascii="Times New Roman" w:hAnsi="Times New Roman"/>
                <w:bCs/>
                <w:spacing w:val="-4"/>
                <w:sz w:val="26"/>
                <w:szCs w:val="26"/>
              </w:rPr>
              <w:t>ā</w:t>
            </w:r>
            <w:r w:rsidRPr="00623379">
              <w:rPr>
                <w:rFonts w:ascii="Times New Roman" w:hAnsi="Times New Roman"/>
                <w:bCs/>
                <w:spacing w:val="-4"/>
                <w:sz w:val="26"/>
                <w:szCs w:val="26"/>
              </w:rPr>
              <w:t>s starptautiskas uzņēmumu grupas sastāvā esošajās vienībās. Savukārt termins “pietiekama līdzdalība” netiek definēts noteikumu projektā</w:t>
            </w:r>
            <w:r w:rsidR="007422A1" w:rsidRPr="00623379">
              <w:rPr>
                <w:rFonts w:ascii="Times New Roman" w:hAnsi="Times New Roman"/>
                <w:bCs/>
                <w:spacing w:val="-4"/>
                <w:sz w:val="26"/>
                <w:szCs w:val="26"/>
              </w:rPr>
              <w:t xml:space="preserve">, ņemot vērā, ka šis termins attiecas uz jebkuru valsti, kurā ir pārstāvēta starptautisko uzņēmumu grupa, un atsevišķās valstīs līdzdalības prasības var atšķirties. Tā, piemēram, likuma “Par uzņēmumu ienākuma nodokli” 1.panta divdesmit trešajā daļā ir noteikts, ka mātes uzņēmums ir tāda komercsabiedrība, kuras līdzdalības daļa citā komercsabiedrībā pārsniedz 50 procentus vai kurai citā komercsabiedrībā ir balsu </w:t>
            </w:r>
            <w:r w:rsidR="00E541B7" w:rsidRPr="00623379">
              <w:rPr>
                <w:rFonts w:ascii="Times New Roman" w:hAnsi="Times New Roman"/>
                <w:bCs/>
                <w:spacing w:val="-4"/>
                <w:sz w:val="26"/>
                <w:szCs w:val="26"/>
              </w:rPr>
              <w:t>vairākums.</w:t>
            </w:r>
          </w:p>
          <w:p w:rsidR="0014499B" w:rsidRDefault="00E541B7" w:rsidP="0014499B">
            <w:pPr>
              <w:pStyle w:val="NoSpacing"/>
              <w:ind w:firstLine="437"/>
              <w:jc w:val="both"/>
              <w:rPr>
                <w:rFonts w:ascii="Times New Roman" w:hAnsi="Times New Roman"/>
                <w:bCs/>
                <w:spacing w:val="-4"/>
                <w:sz w:val="26"/>
                <w:szCs w:val="26"/>
              </w:rPr>
            </w:pPr>
            <w:r>
              <w:rPr>
                <w:rFonts w:ascii="Times New Roman" w:hAnsi="Times New Roman"/>
                <w:bCs/>
                <w:spacing w:val="-4"/>
                <w:sz w:val="26"/>
                <w:szCs w:val="26"/>
              </w:rPr>
              <w:t>Noteikumu</w:t>
            </w:r>
            <w:r w:rsidR="0014499B">
              <w:rPr>
                <w:rFonts w:ascii="Times New Roman" w:hAnsi="Times New Roman"/>
                <w:bCs/>
                <w:spacing w:val="-4"/>
                <w:sz w:val="26"/>
                <w:szCs w:val="26"/>
              </w:rPr>
              <w:t xml:space="preserve"> projekta pielikums atspoguļo pārskata saturu. </w:t>
            </w:r>
          </w:p>
          <w:p w:rsidR="0014499B" w:rsidRPr="001E4A72" w:rsidRDefault="0014499B" w:rsidP="009935BE">
            <w:pPr>
              <w:pStyle w:val="NoSpacing"/>
              <w:ind w:firstLine="437"/>
              <w:jc w:val="both"/>
              <w:rPr>
                <w:rFonts w:ascii="Times New Roman" w:hAnsi="Times New Roman"/>
                <w:bCs/>
                <w:spacing w:val="-4"/>
                <w:sz w:val="26"/>
                <w:szCs w:val="26"/>
              </w:rPr>
            </w:pPr>
            <w:r w:rsidRPr="001E4A72">
              <w:rPr>
                <w:rFonts w:ascii="Times New Roman" w:hAnsi="Times New Roman"/>
                <w:bCs/>
                <w:spacing w:val="-4"/>
                <w:sz w:val="26"/>
                <w:szCs w:val="26"/>
              </w:rPr>
              <w:t>Pārskats</w:t>
            </w:r>
            <w:r w:rsidR="009935BE" w:rsidRPr="001E4A72">
              <w:rPr>
                <w:rFonts w:ascii="Times New Roman" w:hAnsi="Times New Roman"/>
                <w:bCs/>
                <w:spacing w:val="-4"/>
                <w:sz w:val="26"/>
                <w:szCs w:val="26"/>
              </w:rPr>
              <w:t>,</w:t>
            </w:r>
            <w:r w:rsidRPr="001E4A72">
              <w:rPr>
                <w:rFonts w:ascii="Times New Roman" w:hAnsi="Times New Roman"/>
                <w:bCs/>
                <w:spacing w:val="-4"/>
                <w:sz w:val="26"/>
                <w:szCs w:val="26"/>
              </w:rPr>
              <w:t xml:space="preserve"> </w:t>
            </w:r>
            <w:r w:rsidR="009935BE" w:rsidRPr="001E4A72">
              <w:rPr>
                <w:rFonts w:ascii="Times New Roman" w:hAnsi="Times New Roman"/>
                <w:bCs/>
                <w:spacing w:val="-4"/>
                <w:sz w:val="26"/>
                <w:szCs w:val="26"/>
              </w:rPr>
              <w:t xml:space="preserve">tā labojumi, precizējumi vai noteikumu projektā noteiktā papildinformācija </w:t>
            </w:r>
            <w:r w:rsidRPr="001E4A72">
              <w:rPr>
                <w:rFonts w:ascii="Times New Roman" w:hAnsi="Times New Roman"/>
                <w:bCs/>
                <w:spacing w:val="-4"/>
                <w:sz w:val="26"/>
                <w:szCs w:val="26"/>
              </w:rPr>
              <w:t>Valsts ieņēmumu dienestam būs jāsniedz elektroniski</w:t>
            </w:r>
            <w:r w:rsidR="002745EF" w:rsidRPr="001E4A72">
              <w:rPr>
                <w:rFonts w:ascii="Times New Roman" w:hAnsi="Times New Roman"/>
                <w:bCs/>
                <w:spacing w:val="-4"/>
                <w:sz w:val="26"/>
                <w:szCs w:val="26"/>
              </w:rPr>
              <w:t>, izmantojot VID elektroniskās deklarē</w:t>
            </w:r>
            <w:r w:rsidR="009935BE" w:rsidRPr="001E4A72">
              <w:rPr>
                <w:rFonts w:ascii="Times New Roman" w:hAnsi="Times New Roman"/>
                <w:bCs/>
                <w:spacing w:val="-4"/>
                <w:sz w:val="26"/>
                <w:szCs w:val="26"/>
              </w:rPr>
              <w:t xml:space="preserve">šanas sistēmu. </w:t>
            </w:r>
          </w:p>
          <w:p w:rsidR="00012515" w:rsidRPr="00012515" w:rsidRDefault="00012515" w:rsidP="0014499B">
            <w:pPr>
              <w:pStyle w:val="NoSpacing"/>
              <w:ind w:firstLine="437"/>
              <w:jc w:val="both"/>
            </w:pPr>
            <w:r w:rsidRPr="00AB5937">
              <w:rPr>
                <w:rFonts w:ascii="Times New Roman" w:hAnsi="Times New Roman"/>
                <w:bCs/>
                <w:spacing w:val="-4"/>
                <w:sz w:val="26"/>
                <w:szCs w:val="26"/>
              </w:rPr>
              <w:t>Direktīva nacionālajā likumdošanā jātransponē līdz 2017.gada 4.jūnijam.</w:t>
            </w:r>
          </w:p>
        </w:tc>
      </w:tr>
      <w:tr w:rsidR="00623379" w:rsidRPr="00012515" w:rsidTr="00012515">
        <w:trPr>
          <w:trHeight w:val="289"/>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 3.</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izstrādē iesaistītās institūcijas</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Valsts ieņēmumu dienests.</w:t>
            </w:r>
          </w:p>
        </w:tc>
      </w:tr>
      <w:tr w:rsidR="00623379" w:rsidRPr="00012515" w:rsidTr="00012515">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 informācija</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Pr="00012515" w:rsidRDefault="00012515" w:rsidP="00012515">
      <w:pPr>
        <w:spacing w:after="0" w:line="240" w:lineRule="auto"/>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72"/>
        <w:gridCol w:w="6215"/>
      </w:tblGrid>
      <w:tr w:rsidR="00012515" w:rsidRPr="00012515" w:rsidTr="00012515">
        <w:tc>
          <w:tcPr>
            <w:tcW w:w="0" w:type="auto"/>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sz w:val="26"/>
                <w:szCs w:val="26"/>
                <w:lang w:eastAsia="lv-LV"/>
              </w:rPr>
              <w:t xml:space="preserve">II. Tiesību akta projekta ietekme uz sabiedrību, </w:t>
            </w:r>
            <w:r w:rsidRPr="00012515">
              <w:rPr>
                <w:rFonts w:ascii="Times New Roman" w:eastAsia="Times New Roman" w:hAnsi="Times New Roman" w:cs="Times New Roman"/>
                <w:b/>
                <w:bCs/>
                <w:sz w:val="26"/>
                <w:szCs w:val="26"/>
                <w:lang w:eastAsia="lv-LV"/>
              </w:rPr>
              <w:t>tautsaimniecības attīstību un administratīvo slogu</w:t>
            </w:r>
          </w:p>
        </w:tc>
      </w:tr>
      <w:tr w:rsidR="00012515" w:rsidRPr="00012515" w:rsidTr="00012515">
        <w:trPr>
          <w:trHeight w:val="467"/>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rPr>
              <w:t xml:space="preserve">Sabiedrības </w:t>
            </w:r>
            <w:proofErr w:type="spellStart"/>
            <w:r w:rsidRPr="00012515">
              <w:rPr>
                <w:rFonts w:ascii="Times New Roman" w:eastAsia="Times New Roman" w:hAnsi="Times New Roman" w:cs="Times New Roman"/>
                <w:sz w:val="26"/>
                <w:szCs w:val="26"/>
              </w:rPr>
              <w:t>mērķgrupas</w:t>
            </w:r>
            <w:proofErr w:type="spellEnd"/>
            <w:r w:rsidRPr="00012515">
              <w:rPr>
                <w:rFonts w:ascii="Times New Roman" w:eastAsia="Times New Roman" w:hAnsi="Times New Roman" w:cs="Times New Roman"/>
                <w:sz w:val="26"/>
                <w:szCs w:val="26"/>
              </w:rPr>
              <w:t>, kuras tiesiskais regulējums ietekmē vai varētu ietekmēt</w:t>
            </w:r>
          </w:p>
        </w:tc>
        <w:tc>
          <w:tcPr>
            <w:tcW w:w="6769" w:type="dxa"/>
            <w:tcBorders>
              <w:top w:val="single" w:sz="4" w:space="0" w:color="000000"/>
              <w:left w:val="single" w:sz="4" w:space="0" w:color="000000"/>
              <w:bottom w:val="single" w:sz="4" w:space="0" w:color="000000"/>
              <w:right w:val="single" w:sz="4" w:space="0" w:color="000000"/>
            </w:tcBorders>
            <w:hideMark/>
          </w:tcPr>
          <w:p w:rsidR="009A6722" w:rsidRPr="009A6722" w:rsidRDefault="009A6722" w:rsidP="009A6722">
            <w:pPr>
              <w:spacing w:after="0" w:line="240" w:lineRule="auto"/>
              <w:jc w:val="both"/>
              <w:rPr>
                <w:rFonts w:ascii="Times New Roman" w:eastAsia="Times New Roman" w:hAnsi="Times New Roman" w:cs="Times New Roman"/>
                <w:sz w:val="26"/>
                <w:szCs w:val="26"/>
                <w:lang w:eastAsia="lv-LV"/>
              </w:rPr>
            </w:pPr>
            <w:r w:rsidRPr="009A6722">
              <w:rPr>
                <w:rFonts w:ascii="Times New Roman" w:eastAsia="Times New Roman" w:hAnsi="Times New Roman" w:cs="Times New Roman"/>
                <w:sz w:val="26"/>
                <w:szCs w:val="26"/>
                <w:lang w:eastAsia="lv-LV"/>
              </w:rPr>
              <w:t>Valsts ieņēmumu dienests.</w:t>
            </w:r>
          </w:p>
          <w:p w:rsidR="00012515" w:rsidRPr="00012515" w:rsidRDefault="009A6722">
            <w:pPr>
              <w:spacing w:after="0" w:line="240" w:lineRule="auto"/>
              <w:jc w:val="both"/>
              <w:rPr>
                <w:rFonts w:ascii="Times New Roman" w:eastAsia="Times New Roman" w:hAnsi="Times New Roman" w:cs="Times New Roman"/>
                <w:iCs/>
                <w:sz w:val="26"/>
                <w:szCs w:val="26"/>
                <w:lang w:eastAsia="lv-LV"/>
              </w:rPr>
            </w:pPr>
            <w:r w:rsidRPr="009A6722">
              <w:rPr>
                <w:rFonts w:ascii="Times New Roman" w:eastAsia="Times New Roman" w:hAnsi="Times New Roman" w:cs="Times New Roman"/>
                <w:sz w:val="26"/>
                <w:szCs w:val="26"/>
                <w:lang w:eastAsia="lv-LV"/>
              </w:rPr>
              <w:t xml:space="preserve">Nodokļu maksātāji, kuriem saskaņā ar normatīvo regulējumu ir noteikts pienākums sagatavot konsolidētos gada pārskatus saskaņā ar piemērojamajiem grāmatvedības principiem (koncerna mātes sabiedrības) vai arī kuriem šādi būtu nepieciešams rīkoties, ja līdzdalības daļas pašu kapitālā tiktu tirgotas publiskā vērtspapīru biržā, kā arī tie nodokļu maksātāji (koncerna meitas sabiedrības), kuriem saskaņā ar </w:t>
            </w:r>
            <w:r w:rsidR="0014499B">
              <w:rPr>
                <w:rFonts w:ascii="Times New Roman" w:eastAsia="Times New Roman" w:hAnsi="Times New Roman" w:cs="Times New Roman"/>
                <w:sz w:val="26"/>
                <w:szCs w:val="26"/>
                <w:lang w:eastAsia="lv-LV"/>
              </w:rPr>
              <w:t>noteikumu projektu</w:t>
            </w:r>
            <w:r w:rsidRPr="009A6722">
              <w:rPr>
                <w:rFonts w:ascii="Times New Roman" w:eastAsia="Times New Roman" w:hAnsi="Times New Roman" w:cs="Times New Roman"/>
                <w:sz w:val="26"/>
                <w:szCs w:val="26"/>
                <w:lang w:eastAsia="lv-LV"/>
              </w:rPr>
              <w:t xml:space="preserve"> </w:t>
            </w:r>
            <w:r w:rsidR="0014499B">
              <w:rPr>
                <w:rFonts w:ascii="Times New Roman" w:eastAsia="Times New Roman" w:hAnsi="Times New Roman" w:cs="Times New Roman"/>
                <w:sz w:val="26"/>
                <w:szCs w:val="26"/>
                <w:lang w:eastAsia="lv-LV"/>
              </w:rPr>
              <w:t>noteikta</w:t>
            </w:r>
            <w:r w:rsidRPr="009A6722">
              <w:rPr>
                <w:rFonts w:ascii="Times New Roman" w:eastAsia="Times New Roman" w:hAnsi="Times New Roman" w:cs="Times New Roman"/>
                <w:sz w:val="26"/>
                <w:szCs w:val="26"/>
                <w:lang w:eastAsia="lv-LV"/>
              </w:rPr>
              <w:t xml:space="preserve"> pārskata iesniegšanas kārtība. Turklāt pienākums attieksies tikai uz tiem iepriekš minētajiem nodokļu maksātājiem, kuru kopējie konsolidētie </w:t>
            </w:r>
            <w:r w:rsidRPr="009A6722">
              <w:rPr>
                <w:rFonts w:ascii="Times New Roman" w:eastAsia="Times New Roman" w:hAnsi="Times New Roman" w:cs="Times New Roman"/>
                <w:sz w:val="26"/>
                <w:szCs w:val="26"/>
                <w:lang w:eastAsia="lv-LV"/>
              </w:rPr>
              <w:lastRenderedPageBreak/>
              <w:t xml:space="preserve">ieņēmumi (apgrozījums) attiecīgajā fiskālajā gadā tieši pirms pārskata sniegšanas fiskālā gada, kā tas atspoguļots tā konsolidētajā gada pārskatā par šādu iepriekšējo fiskālo gadu, pārsniedz 750 000 000 </w:t>
            </w:r>
            <w:proofErr w:type="spellStart"/>
            <w:r w:rsidRPr="009A6722">
              <w:rPr>
                <w:rFonts w:ascii="Times New Roman" w:eastAsia="Times New Roman" w:hAnsi="Times New Roman" w:cs="Times New Roman"/>
                <w:i/>
                <w:sz w:val="26"/>
                <w:szCs w:val="26"/>
                <w:lang w:eastAsia="lv-LV"/>
              </w:rPr>
              <w:t>euro</w:t>
            </w:r>
            <w:proofErr w:type="spellEnd"/>
            <w:r w:rsidRPr="009A6722">
              <w:rPr>
                <w:rFonts w:ascii="Times New Roman" w:eastAsia="Times New Roman" w:hAnsi="Times New Roman" w:cs="Times New Roman"/>
                <w:i/>
                <w:sz w:val="26"/>
                <w:szCs w:val="26"/>
                <w:lang w:eastAsia="lv-LV"/>
              </w:rPr>
              <w:t xml:space="preserve"> </w:t>
            </w:r>
            <w:r w:rsidRPr="009A6722">
              <w:rPr>
                <w:rFonts w:ascii="Times New Roman" w:eastAsia="Times New Roman" w:hAnsi="Times New Roman" w:cs="Times New Roman"/>
                <w:sz w:val="26"/>
                <w:szCs w:val="26"/>
                <w:lang w:eastAsia="lv-LV"/>
              </w:rPr>
              <w:t xml:space="preserve">(saskaņā ar VID pieejamo informāciju starptautiskas uzņēmumu grupas pārskats par katru valsti būs jāsniedz trijām koncernu mātes sabiedrībām, savukārt pašlaik nav nosakāms meitas sabiedrību skaits, kam būs pienākums sniegt </w:t>
            </w:r>
            <w:r w:rsidRPr="009A6722">
              <w:rPr>
                <w:rFonts w:ascii="Times New Roman" w:eastAsia="Times New Roman" w:hAnsi="Times New Roman" w:cs="Times New Roman"/>
                <w:iCs/>
                <w:sz w:val="26"/>
                <w:szCs w:val="26"/>
                <w:lang w:eastAsia="lv-LV"/>
              </w:rPr>
              <w:t xml:space="preserve">starptautiskas uzņēmumu grupas </w:t>
            </w:r>
            <w:r w:rsidRPr="009A6722">
              <w:rPr>
                <w:rFonts w:ascii="Times New Roman" w:eastAsia="Times New Roman" w:hAnsi="Times New Roman" w:cs="Times New Roman"/>
                <w:sz w:val="26"/>
                <w:szCs w:val="26"/>
                <w:lang w:eastAsia="lv-LV"/>
              </w:rPr>
              <w:t>pārskatu par katru valsti).</w:t>
            </w:r>
          </w:p>
        </w:tc>
      </w:tr>
      <w:tr w:rsidR="00012515" w:rsidRPr="00012515" w:rsidTr="00012515">
        <w:trPr>
          <w:trHeight w:val="467"/>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2.</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Tiesiskā regulējuma ietekme uz tautsaimniecību un administratīvo slogu</w:t>
            </w:r>
          </w:p>
        </w:tc>
        <w:tc>
          <w:tcPr>
            <w:tcW w:w="6769" w:type="dxa"/>
            <w:tcBorders>
              <w:top w:val="single" w:sz="4" w:space="0" w:color="000000"/>
              <w:left w:val="single" w:sz="4" w:space="0" w:color="000000"/>
              <w:bottom w:val="single" w:sz="4" w:space="0" w:color="000000"/>
              <w:right w:val="single" w:sz="4" w:space="0" w:color="000000"/>
            </w:tcBorders>
            <w:hideMark/>
          </w:tcPr>
          <w:p w:rsidR="009A6722" w:rsidRPr="009A6722" w:rsidRDefault="009A6722" w:rsidP="009A6722">
            <w:pPr>
              <w:spacing w:after="0" w:line="240" w:lineRule="auto"/>
              <w:jc w:val="both"/>
              <w:rPr>
                <w:rFonts w:ascii="Times New Roman" w:eastAsia="Times New Roman" w:hAnsi="Times New Roman" w:cs="Times New Roman"/>
                <w:sz w:val="26"/>
                <w:szCs w:val="26"/>
              </w:rPr>
            </w:pPr>
            <w:r w:rsidRPr="009A6722">
              <w:rPr>
                <w:rFonts w:ascii="Times New Roman" w:eastAsia="Times New Roman" w:hAnsi="Times New Roman" w:cs="Times New Roman"/>
                <w:sz w:val="26"/>
                <w:szCs w:val="26"/>
              </w:rPr>
              <w:t xml:space="preserve">Nodokļu maksātājiem, kuriem saskaņā ar normatīvo regulējumu ir nepieciešams sagatavot konsolidētos gada pārskatus saskaņā ar piemērojamiem grāmatvedības principiem, vai arī kuriem šādi būtu nepieciešams rīkoties, ja līdzdalības daļas pašu kapitālā tiktu tirgotas publiskā vērtspapīru biržā, un kuriem saskaņā ar </w:t>
            </w:r>
            <w:r w:rsidR="0014499B">
              <w:rPr>
                <w:rFonts w:ascii="Times New Roman" w:eastAsia="Times New Roman" w:hAnsi="Times New Roman" w:cs="Times New Roman"/>
                <w:sz w:val="26"/>
                <w:szCs w:val="26"/>
              </w:rPr>
              <w:t xml:space="preserve">noteikumu projektu </w:t>
            </w:r>
            <w:r w:rsidR="007E5488">
              <w:rPr>
                <w:rFonts w:ascii="Times New Roman" w:eastAsia="Times New Roman" w:hAnsi="Times New Roman" w:cs="Times New Roman"/>
                <w:sz w:val="26"/>
                <w:szCs w:val="26"/>
              </w:rPr>
              <w:t>n</w:t>
            </w:r>
            <w:r w:rsidRPr="009A6722">
              <w:rPr>
                <w:rFonts w:ascii="Times New Roman" w:eastAsia="Times New Roman" w:hAnsi="Times New Roman" w:cs="Times New Roman"/>
                <w:sz w:val="26"/>
                <w:szCs w:val="26"/>
              </w:rPr>
              <w:t>oteikts pienākums sagatavot pārskatu, palielināsies administratīvais slogs.</w:t>
            </w:r>
          </w:p>
          <w:p w:rsidR="00012515" w:rsidRPr="00012515" w:rsidRDefault="009A6722" w:rsidP="009A6722">
            <w:pPr>
              <w:spacing w:after="0" w:line="240" w:lineRule="auto"/>
              <w:jc w:val="both"/>
              <w:rPr>
                <w:rFonts w:ascii="Times New Roman" w:eastAsia="Times New Roman" w:hAnsi="Times New Roman" w:cs="Times New Roman"/>
                <w:spacing w:val="-4"/>
                <w:sz w:val="26"/>
                <w:szCs w:val="26"/>
              </w:rPr>
            </w:pPr>
            <w:r w:rsidRPr="009A6722">
              <w:rPr>
                <w:rFonts w:ascii="Times New Roman" w:eastAsia="Times New Roman" w:hAnsi="Times New Roman" w:cs="Times New Roman"/>
                <w:sz w:val="26"/>
                <w:szCs w:val="26"/>
              </w:rPr>
              <w:t>Valsts ieņēmumu dienestam kā Latvijas kompetentajai iestādei, kas veiks informācijas apmaiņu ar citu valstu kompetentajām iestādēm, palielināsies administratīvais slogs.</w:t>
            </w:r>
          </w:p>
        </w:tc>
      </w:tr>
      <w:tr w:rsidR="00012515" w:rsidRPr="00012515" w:rsidTr="00012515">
        <w:trPr>
          <w:trHeight w:val="531"/>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3.</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Administratīvo izmaksu monetārs novērtējums</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Projekts šo jomu neskar.</w:t>
            </w:r>
          </w:p>
        </w:tc>
      </w:tr>
      <w:tr w:rsidR="00012515" w:rsidRPr="00012515" w:rsidTr="00012515">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Pr="00012515" w:rsidRDefault="00012515" w:rsidP="00012515">
      <w:pPr>
        <w:spacing w:after="0" w:line="240" w:lineRule="auto"/>
        <w:rPr>
          <w:rFonts w:ascii="Times New Roman" w:eastAsia="Times New Roman" w:hAnsi="Times New Roman" w:cs="Times New Roman"/>
          <w:sz w:val="26"/>
          <w:szCs w:val="26"/>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331"/>
        <w:gridCol w:w="1354"/>
        <w:gridCol w:w="1354"/>
        <w:gridCol w:w="1355"/>
        <w:gridCol w:w="1406"/>
      </w:tblGrid>
      <w:tr w:rsidR="00F476AF" w:rsidRPr="00F476AF" w:rsidTr="00A57FF4">
        <w:trPr>
          <w:trHeight w:val="652"/>
          <w:jc w:val="center"/>
        </w:trPr>
        <w:tc>
          <w:tcPr>
            <w:tcW w:w="9034" w:type="dxa"/>
            <w:gridSpan w:val="6"/>
          </w:tcPr>
          <w:p w:rsidR="00F476AF" w:rsidRPr="00F476AF" w:rsidRDefault="00F476AF" w:rsidP="00F476AF">
            <w:pPr>
              <w:spacing w:after="0" w:line="240" w:lineRule="auto"/>
              <w:jc w:val="center"/>
              <w:rPr>
                <w:rFonts w:ascii="Times New Roman" w:eastAsia="Times New Roman" w:hAnsi="Times New Roman" w:cs="Times New Roman"/>
                <w:b/>
                <w:bCs/>
                <w:i/>
                <w:lang w:eastAsia="lv-LV"/>
              </w:rPr>
            </w:pPr>
            <w:r w:rsidRPr="00F476AF">
              <w:rPr>
                <w:rFonts w:ascii="Times New Roman" w:eastAsia="Times New Roman" w:hAnsi="Times New Roman" w:cs="Times New Roman"/>
                <w:b/>
                <w:bCs/>
                <w:lang w:eastAsia="lv-LV"/>
              </w:rPr>
              <w:br w:type="page"/>
            </w:r>
            <w:r w:rsidRPr="00F476AF">
              <w:rPr>
                <w:rFonts w:ascii="Times New Roman" w:eastAsia="Times New Roman" w:hAnsi="Times New Roman" w:cs="Times New Roman"/>
                <w:b/>
                <w:bCs/>
                <w:sz w:val="24"/>
                <w:szCs w:val="24"/>
                <w:lang w:eastAsia="lv-LV"/>
              </w:rPr>
              <w:t>III. Tiesību akta projekta ietekme uz valsts budžetu un pašvaldību budžetiem</w:t>
            </w:r>
          </w:p>
        </w:tc>
      </w:tr>
      <w:tr w:rsidR="00F476AF" w:rsidRPr="00F476AF" w:rsidTr="00A57FF4">
        <w:trPr>
          <w:jc w:val="center"/>
        </w:trPr>
        <w:tc>
          <w:tcPr>
            <w:tcW w:w="2234" w:type="dxa"/>
            <w:vMerge w:val="restart"/>
            <w:vAlign w:val="center"/>
          </w:tcPr>
          <w:p w:rsidR="00F476AF" w:rsidRPr="00F476AF" w:rsidRDefault="00F476AF" w:rsidP="00F476AF">
            <w:pPr>
              <w:spacing w:after="0" w:line="240" w:lineRule="auto"/>
              <w:jc w:val="center"/>
              <w:rPr>
                <w:rFonts w:ascii="Times New Roman" w:eastAsia="Times New Roman" w:hAnsi="Times New Roman" w:cs="Times New Roman"/>
                <w:b/>
                <w:lang w:eastAsia="lv-LV"/>
              </w:rPr>
            </w:pPr>
            <w:r w:rsidRPr="00F476AF">
              <w:rPr>
                <w:rFonts w:ascii="Times New Roman" w:eastAsia="Times New Roman" w:hAnsi="Times New Roman" w:cs="Times New Roman"/>
                <w:b/>
                <w:lang w:eastAsia="lv-LV"/>
              </w:rPr>
              <w:t>Rādītāji</w:t>
            </w:r>
          </w:p>
        </w:tc>
        <w:tc>
          <w:tcPr>
            <w:tcW w:w="2685" w:type="dxa"/>
            <w:gridSpan w:val="2"/>
            <w:vMerge w:val="restart"/>
            <w:vAlign w:val="center"/>
          </w:tcPr>
          <w:p w:rsidR="00F476AF" w:rsidRPr="00F476AF" w:rsidRDefault="00F476AF" w:rsidP="006563BF">
            <w:pPr>
              <w:spacing w:after="0" w:line="240" w:lineRule="auto"/>
              <w:jc w:val="center"/>
              <w:rPr>
                <w:rFonts w:ascii="Times New Roman" w:eastAsia="Times New Roman" w:hAnsi="Times New Roman" w:cs="Times New Roman"/>
                <w:b/>
                <w:lang w:eastAsia="lv-LV"/>
              </w:rPr>
            </w:pPr>
            <w:r w:rsidRPr="00F476AF">
              <w:rPr>
                <w:rFonts w:ascii="Times New Roman" w:eastAsia="Times New Roman" w:hAnsi="Times New Roman" w:cs="Times New Roman"/>
                <w:b/>
                <w:lang w:eastAsia="lv-LV"/>
              </w:rPr>
              <w:t>201</w:t>
            </w:r>
            <w:r w:rsidR="006563BF">
              <w:rPr>
                <w:rFonts w:ascii="Times New Roman" w:eastAsia="Times New Roman" w:hAnsi="Times New Roman" w:cs="Times New Roman"/>
                <w:b/>
                <w:lang w:eastAsia="lv-LV"/>
              </w:rPr>
              <w:t>7</w:t>
            </w:r>
            <w:r w:rsidRPr="00F476AF">
              <w:rPr>
                <w:rFonts w:ascii="Times New Roman" w:eastAsia="Times New Roman" w:hAnsi="Times New Roman" w:cs="Times New Roman"/>
                <w:b/>
                <w:lang w:eastAsia="lv-LV"/>
              </w:rPr>
              <w:t>. gads</w:t>
            </w:r>
          </w:p>
        </w:tc>
        <w:tc>
          <w:tcPr>
            <w:tcW w:w="4115" w:type="dxa"/>
            <w:gridSpan w:val="3"/>
            <w:vAlign w:val="center"/>
          </w:tcPr>
          <w:p w:rsidR="00F476AF" w:rsidRPr="00F476AF" w:rsidRDefault="00F476AF" w:rsidP="00D31E42">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lang w:eastAsia="lv-LV"/>
              </w:rPr>
              <w:t xml:space="preserve">Turpmākie trīs gadi (tūkst. </w:t>
            </w:r>
            <w:proofErr w:type="spellStart"/>
            <w:r w:rsidR="00D31E42">
              <w:rPr>
                <w:rFonts w:ascii="Times New Roman" w:eastAsia="Times New Roman" w:hAnsi="Times New Roman" w:cs="Times New Roman"/>
                <w:lang w:eastAsia="lv-LV"/>
              </w:rPr>
              <w:t>euro</w:t>
            </w:r>
            <w:proofErr w:type="spellEnd"/>
            <w:r w:rsidRPr="00F476AF">
              <w:rPr>
                <w:rFonts w:ascii="Times New Roman" w:eastAsia="Times New Roman" w:hAnsi="Times New Roman" w:cs="Times New Roman"/>
                <w:lang w:eastAsia="lv-LV"/>
              </w:rPr>
              <w:t>)</w:t>
            </w:r>
          </w:p>
        </w:tc>
      </w:tr>
      <w:tr w:rsidR="00F476AF" w:rsidRPr="00F476AF" w:rsidTr="00A57FF4">
        <w:trPr>
          <w:jc w:val="center"/>
        </w:trPr>
        <w:tc>
          <w:tcPr>
            <w:tcW w:w="2234" w:type="dxa"/>
            <w:vMerge/>
            <w:vAlign w:val="center"/>
          </w:tcPr>
          <w:p w:rsidR="00F476AF" w:rsidRPr="00F476AF" w:rsidRDefault="00F476AF" w:rsidP="00F476AF">
            <w:pPr>
              <w:spacing w:after="0" w:line="240" w:lineRule="auto"/>
              <w:jc w:val="center"/>
              <w:rPr>
                <w:rFonts w:ascii="Times New Roman" w:eastAsia="Times New Roman" w:hAnsi="Times New Roman" w:cs="Times New Roman"/>
                <w:b/>
                <w:i/>
                <w:lang w:eastAsia="lv-LV"/>
              </w:rPr>
            </w:pPr>
          </w:p>
        </w:tc>
        <w:tc>
          <w:tcPr>
            <w:tcW w:w="2685" w:type="dxa"/>
            <w:gridSpan w:val="2"/>
            <w:vMerge/>
            <w:vAlign w:val="center"/>
          </w:tcPr>
          <w:p w:rsidR="00F476AF" w:rsidRPr="00F476AF" w:rsidRDefault="00F476AF" w:rsidP="00F476AF">
            <w:pPr>
              <w:spacing w:after="0" w:line="240" w:lineRule="auto"/>
              <w:jc w:val="center"/>
              <w:rPr>
                <w:rFonts w:ascii="Times New Roman" w:eastAsia="Times New Roman" w:hAnsi="Times New Roman" w:cs="Times New Roman"/>
                <w:b/>
                <w:i/>
                <w:lang w:eastAsia="lv-LV"/>
              </w:rPr>
            </w:pPr>
          </w:p>
        </w:tc>
        <w:tc>
          <w:tcPr>
            <w:tcW w:w="1354" w:type="dxa"/>
            <w:vAlign w:val="center"/>
          </w:tcPr>
          <w:p w:rsidR="00F476AF" w:rsidRPr="00F476AF" w:rsidRDefault="00F476AF" w:rsidP="006563BF">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b/>
                <w:bCs/>
                <w:lang w:eastAsia="lv-LV"/>
              </w:rPr>
              <w:t>201</w:t>
            </w:r>
            <w:r w:rsidR="006563BF">
              <w:rPr>
                <w:rFonts w:ascii="Times New Roman" w:eastAsia="Times New Roman" w:hAnsi="Times New Roman" w:cs="Times New Roman"/>
                <w:b/>
                <w:bCs/>
                <w:lang w:eastAsia="lv-LV"/>
              </w:rPr>
              <w:t>8</w:t>
            </w:r>
            <w:r w:rsidRPr="00F476AF">
              <w:rPr>
                <w:rFonts w:ascii="Times New Roman" w:eastAsia="Times New Roman" w:hAnsi="Times New Roman" w:cs="Times New Roman"/>
                <w:b/>
                <w:bCs/>
                <w:lang w:eastAsia="lv-LV"/>
              </w:rPr>
              <w:t>.gads</w:t>
            </w:r>
          </w:p>
        </w:tc>
        <w:tc>
          <w:tcPr>
            <w:tcW w:w="1355" w:type="dxa"/>
            <w:vAlign w:val="center"/>
          </w:tcPr>
          <w:p w:rsidR="00F476AF" w:rsidRPr="00F476AF" w:rsidRDefault="00F476AF" w:rsidP="006563BF">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b/>
                <w:bCs/>
                <w:lang w:eastAsia="lv-LV"/>
              </w:rPr>
              <w:t>201</w:t>
            </w:r>
            <w:r w:rsidR="006563BF">
              <w:rPr>
                <w:rFonts w:ascii="Times New Roman" w:eastAsia="Times New Roman" w:hAnsi="Times New Roman" w:cs="Times New Roman"/>
                <w:b/>
                <w:bCs/>
                <w:lang w:eastAsia="lv-LV"/>
              </w:rPr>
              <w:t>9</w:t>
            </w:r>
            <w:r w:rsidRPr="00F476AF">
              <w:rPr>
                <w:rFonts w:ascii="Times New Roman" w:eastAsia="Times New Roman" w:hAnsi="Times New Roman" w:cs="Times New Roman"/>
                <w:b/>
                <w:bCs/>
                <w:lang w:eastAsia="lv-LV"/>
              </w:rPr>
              <w:t>.gads</w:t>
            </w:r>
          </w:p>
        </w:tc>
        <w:tc>
          <w:tcPr>
            <w:tcW w:w="1406" w:type="dxa"/>
            <w:vAlign w:val="center"/>
          </w:tcPr>
          <w:p w:rsidR="00F476AF" w:rsidRPr="00F476AF" w:rsidRDefault="006563BF" w:rsidP="006563BF">
            <w:pPr>
              <w:spacing w:after="0" w:line="240" w:lineRule="auto"/>
              <w:jc w:val="center"/>
              <w:rPr>
                <w:rFonts w:ascii="Times New Roman" w:eastAsia="Times New Roman" w:hAnsi="Times New Roman" w:cs="Times New Roman"/>
                <w:b/>
                <w:i/>
                <w:lang w:eastAsia="lv-LV"/>
              </w:rPr>
            </w:pPr>
            <w:r>
              <w:rPr>
                <w:rFonts w:ascii="Times New Roman" w:eastAsia="Times New Roman" w:hAnsi="Times New Roman" w:cs="Times New Roman"/>
                <w:b/>
                <w:bCs/>
                <w:lang w:eastAsia="lv-LV"/>
              </w:rPr>
              <w:t>2020</w:t>
            </w:r>
            <w:r w:rsidR="00F476AF" w:rsidRPr="00F476AF">
              <w:rPr>
                <w:rFonts w:ascii="Times New Roman" w:eastAsia="Times New Roman" w:hAnsi="Times New Roman" w:cs="Times New Roman"/>
                <w:b/>
                <w:bCs/>
                <w:lang w:eastAsia="lv-LV"/>
              </w:rPr>
              <w:t>.gads</w:t>
            </w:r>
          </w:p>
        </w:tc>
      </w:tr>
      <w:tr w:rsidR="00F476AF" w:rsidRPr="00F476AF" w:rsidTr="00A57FF4">
        <w:trPr>
          <w:jc w:val="center"/>
        </w:trPr>
        <w:tc>
          <w:tcPr>
            <w:tcW w:w="2234" w:type="dxa"/>
            <w:vMerge/>
            <w:vAlign w:val="center"/>
          </w:tcPr>
          <w:p w:rsidR="00F476AF" w:rsidRPr="00F476AF" w:rsidRDefault="00F476AF" w:rsidP="00F476AF">
            <w:pPr>
              <w:spacing w:after="0" w:line="240" w:lineRule="auto"/>
              <w:jc w:val="center"/>
              <w:rPr>
                <w:rFonts w:ascii="Times New Roman" w:eastAsia="Times New Roman" w:hAnsi="Times New Roman" w:cs="Times New Roman"/>
                <w:b/>
                <w:i/>
                <w:lang w:eastAsia="lv-LV"/>
              </w:rPr>
            </w:pPr>
          </w:p>
        </w:tc>
        <w:tc>
          <w:tcPr>
            <w:tcW w:w="1331" w:type="dxa"/>
            <w:vAlign w:val="center"/>
          </w:tcPr>
          <w:p w:rsidR="00F476AF" w:rsidRPr="00F476AF" w:rsidRDefault="00F476AF" w:rsidP="00F476AF">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lang w:eastAsia="lv-LV"/>
              </w:rPr>
              <w:t>Saskaņā ar valsts budžetu kārtējam gadam</w:t>
            </w:r>
          </w:p>
        </w:tc>
        <w:tc>
          <w:tcPr>
            <w:tcW w:w="1354" w:type="dxa"/>
            <w:vAlign w:val="center"/>
          </w:tcPr>
          <w:p w:rsidR="00F476AF" w:rsidRPr="00F476AF" w:rsidRDefault="00F476AF" w:rsidP="00F476AF">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lang w:eastAsia="lv-LV"/>
              </w:rPr>
              <w:t>Izmaiņas kārtējā gadā, salīdzinot ar budžetu kārtējam gadam</w:t>
            </w:r>
          </w:p>
        </w:tc>
        <w:tc>
          <w:tcPr>
            <w:tcW w:w="1354" w:type="dxa"/>
            <w:vAlign w:val="center"/>
          </w:tcPr>
          <w:p w:rsidR="00F476AF" w:rsidRPr="00F476AF" w:rsidRDefault="00F476AF" w:rsidP="001C3933">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lang w:eastAsia="lv-LV"/>
              </w:rPr>
              <w:t>Izmaiņas, salīdzinot ar kārtējo (</w:t>
            </w:r>
            <w:r w:rsidR="001C3933">
              <w:rPr>
                <w:rFonts w:ascii="Times New Roman" w:eastAsia="Times New Roman" w:hAnsi="Times New Roman" w:cs="Times New Roman"/>
                <w:lang w:eastAsia="lv-LV"/>
              </w:rPr>
              <w:t>2017</w:t>
            </w:r>
            <w:r w:rsidRPr="00F476AF">
              <w:rPr>
                <w:rFonts w:ascii="Times New Roman" w:eastAsia="Times New Roman" w:hAnsi="Times New Roman" w:cs="Times New Roman"/>
                <w:lang w:eastAsia="lv-LV"/>
              </w:rPr>
              <w:t>) gadu</w:t>
            </w:r>
          </w:p>
        </w:tc>
        <w:tc>
          <w:tcPr>
            <w:tcW w:w="1355" w:type="dxa"/>
            <w:vAlign w:val="center"/>
          </w:tcPr>
          <w:p w:rsidR="00F476AF" w:rsidRPr="00F476AF" w:rsidRDefault="00F476AF" w:rsidP="001C3933">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lang w:eastAsia="lv-LV"/>
              </w:rPr>
              <w:t>Izmaiņas, salīdzinot ar kārtējo (</w:t>
            </w:r>
            <w:r w:rsidR="001C3933">
              <w:rPr>
                <w:rFonts w:ascii="Times New Roman" w:eastAsia="Times New Roman" w:hAnsi="Times New Roman" w:cs="Times New Roman"/>
                <w:lang w:eastAsia="lv-LV"/>
              </w:rPr>
              <w:t>2017</w:t>
            </w:r>
            <w:r w:rsidRPr="00F476AF">
              <w:rPr>
                <w:rFonts w:ascii="Times New Roman" w:eastAsia="Times New Roman" w:hAnsi="Times New Roman" w:cs="Times New Roman"/>
                <w:lang w:eastAsia="lv-LV"/>
              </w:rPr>
              <w:t>) gadu</w:t>
            </w:r>
          </w:p>
        </w:tc>
        <w:tc>
          <w:tcPr>
            <w:tcW w:w="1406" w:type="dxa"/>
            <w:vAlign w:val="center"/>
          </w:tcPr>
          <w:p w:rsidR="00F476AF" w:rsidRPr="00F476AF" w:rsidRDefault="00F476AF" w:rsidP="001C3933">
            <w:pPr>
              <w:spacing w:after="0" w:line="240" w:lineRule="auto"/>
              <w:jc w:val="center"/>
              <w:rPr>
                <w:rFonts w:ascii="Times New Roman" w:eastAsia="Times New Roman" w:hAnsi="Times New Roman" w:cs="Times New Roman"/>
                <w:b/>
                <w:i/>
                <w:lang w:eastAsia="lv-LV"/>
              </w:rPr>
            </w:pPr>
            <w:r w:rsidRPr="00F476AF">
              <w:rPr>
                <w:rFonts w:ascii="Times New Roman" w:eastAsia="Times New Roman" w:hAnsi="Times New Roman" w:cs="Times New Roman"/>
                <w:lang w:eastAsia="lv-LV"/>
              </w:rPr>
              <w:t>Izmaiņas, salīdzinot ar kārtējo (</w:t>
            </w:r>
            <w:r w:rsidR="001C3933">
              <w:rPr>
                <w:rFonts w:ascii="Times New Roman" w:eastAsia="Times New Roman" w:hAnsi="Times New Roman" w:cs="Times New Roman"/>
                <w:lang w:eastAsia="lv-LV"/>
              </w:rPr>
              <w:t>2017</w:t>
            </w:r>
            <w:r w:rsidRPr="00F476AF">
              <w:rPr>
                <w:rFonts w:ascii="Times New Roman" w:eastAsia="Times New Roman" w:hAnsi="Times New Roman" w:cs="Times New Roman"/>
                <w:lang w:eastAsia="lv-LV"/>
              </w:rPr>
              <w:t>) gadu</w:t>
            </w:r>
          </w:p>
        </w:tc>
      </w:tr>
      <w:tr w:rsidR="00F476AF" w:rsidRPr="00F476AF" w:rsidTr="00A57FF4">
        <w:trPr>
          <w:jc w:val="center"/>
        </w:trPr>
        <w:tc>
          <w:tcPr>
            <w:tcW w:w="2234" w:type="dxa"/>
            <w:vAlign w:val="center"/>
          </w:tcPr>
          <w:p w:rsidR="00F476AF" w:rsidRPr="00F476AF" w:rsidRDefault="00F476AF" w:rsidP="00F476AF">
            <w:pPr>
              <w:spacing w:after="0" w:line="240" w:lineRule="auto"/>
              <w:jc w:val="center"/>
              <w:rPr>
                <w:rFonts w:ascii="Times New Roman" w:eastAsia="Times New Roman" w:hAnsi="Times New Roman" w:cs="Times New Roman"/>
                <w:bCs/>
                <w:lang w:eastAsia="lv-LV"/>
              </w:rPr>
            </w:pPr>
            <w:r w:rsidRPr="00F476AF">
              <w:rPr>
                <w:rFonts w:ascii="Times New Roman" w:eastAsia="Times New Roman" w:hAnsi="Times New Roman" w:cs="Times New Roman"/>
                <w:bCs/>
                <w:lang w:eastAsia="lv-LV"/>
              </w:rPr>
              <w:t>1</w:t>
            </w:r>
          </w:p>
        </w:tc>
        <w:tc>
          <w:tcPr>
            <w:tcW w:w="1331" w:type="dxa"/>
            <w:vAlign w:val="center"/>
          </w:tcPr>
          <w:p w:rsidR="00F476AF" w:rsidRPr="00F476AF" w:rsidRDefault="00F476AF" w:rsidP="00F476AF">
            <w:pPr>
              <w:spacing w:after="0" w:line="240" w:lineRule="auto"/>
              <w:jc w:val="center"/>
              <w:rPr>
                <w:rFonts w:ascii="Times New Roman" w:eastAsia="Times New Roman" w:hAnsi="Times New Roman" w:cs="Times New Roman"/>
                <w:bCs/>
                <w:lang w:eastAsia="lv-LV"/>
              </w:rPr>
            </w:pPr>
            <w:r w:rsidRPr="00F476AF">
              <w:rPr>
                <w:rFonts w:ascii="Times New Roman" w:eastAsia="Times New Roman" w:hAnsi="Times New Roman" w:cs="Times New Roman"/>
                <w:bCs/>
                <w:lang w:eastAsia="lv-LV"/>
              </w:rPr>
              <w:t>2</w:t>
            </w:r>
          </w:p>
        </w:tc>
        <w:tc>
          <w:tcPr>
            <w:tcW w:w="1354" w:type="dxa"/>
            <w:vAlign w:val="center"/>
          </w:tcPr>
          <w:p w:rsidR="00F476AF" w:rsidRPr="00F476AF" w:rsidRDefault="00F476AF" w:rsidP="00F476AF">
            <w:pPr>
              <w:spacing w:after="0" w:line="240" w:lineRule="auto"/>
              <w:jc w:val="center"/>
              <w:rPr>
                <w:rFonts w:ascii="Times New Roman" w:eastAsia="Times New Roman" w:hAnsi="Times New Roman" w:cs="Times New Roman"/>
                <w:bCs/>
                <w:lang w:eastAsia="lv-LV"/>
              </w:rPr>
            </w:pPr>
            <w:r w:rsidRPr="00F476AF">
              <w:rPr>
                <w:rFonts w:ascii="Times New Roman" w:eastAsia="Times New Roman" w:hAnsi="Times New Roman" w:cs="Times New Roman"/>
                <w:bCs/>
                <w:lang w:eastAsia="lv-LV"/>
              </w:rPr>
              <w:t>3</w:t>
            </w:r>
          </w:p>
        </w:tc>
        <w:tc>
          <w:tcPr>
            <w:tcW w:w="1354" w:type="dxa"/>
            <w:vAlign w:val="center"/>
          </w:tcPr>
          <w:p w:rsidR="00F476AF" w:rsidRPr="00F476AF" w:rsidRDefault="00F476AF" w:rsidP="00F476AF">
            <w:pPr>
              <w:spacing w:after="0" w:line="240" w:lineRule="auto"/>
              <w:jc w:val="center"/>
              <w:rPr>
                <w:rFonts w:ascii="Times New Roman" w:eastAsia="Times New Roman" w:hAnsi="Times New Roman" w:cs="Times New Roman"/>
                <w:bCs/>
                <w:lang w:eastAsia="lv-LV"/>
              </w:rPr>
            </w:pPr>
            <w:r w:rsidRPr="00F476AF">
              <w:rPr>
                <w:rFonts w:ascii="Times New Roman" w:eastAsia="Times New Roman" w:hAnsi="Times New Roman" w:cs="Times New Roman"/>
                <w:bCs/>
                <w:lang w:eastAsia="lv-LV"/>
              </w:rPr>
              <w:t>4</w:t>
            </w:r>
          </w:p>
        </w:tc>
        <w:tc>
          <w:tcPr>
            <w:tcW w:w="1355" w:type="dxa"/>
            <w:vAlign w:val="center"/>
          </w:tcPr>
          <w:p w:rsidR="00F476AF" w:rsidRPr="00F476AF" w:rsidRDefault="00F476AF" w:rsidP="00F476AF">
            <w:pPr>
              <w:spacing w:after="0" w:line="240" w:lineRule="auto"/>
              <w:jc w:val="center"/>
              <w:rPr>
                <w:rFonts w:ascii="Times New Roman" w:eastAsia="Times New Roman" w:hAnsi="Times New Roman" w:cs="Times New Roman"/>
                <w:bCs/>
                <w:lang w:eastAsia="lv-LV"/>
              </w:rPr>
            </w:pPr>
            <w:r w:rsidRPr="00F476AF">
              <w:rPr>
                <w:rFonts w:ascii="Times New Roman" w:eastAsia="Times New Roman" w:hAnsi="Times New Roman" w:cs="Times New Roman"/>
                <w:bCs/>
                <w:lang w:eastAsia="lv-LV"/>
              </w:rPr>
              <w:t>5</w:t>
            </w:r>
          </w:p>
        </w:tc>
        <w:tc>
          <w:tcPr>
            <w:tcW w:w="1406" w:type="dxa"/>
            <w:vAlign w:val="center"/>
          </w:tcPr>
          <w:p w:rsidR="00F476AF" w:rsidRPr="00F476AF" w:rsidRDefault="00F476AF" w:rsidP="00F476AF">
            <w:pPr>
              <w:spacing w:after="0" w:line="240" w:lineRule="auto"/>
              <w:jc w:val="center"/>
              <w:rPr>
                <w:rFonts w:ascii="Times New Roman" w:eastAsia="Times New Roman" w:hAnsi="Times New Roman" w:cs="Times New Roman"/>
                <w:bCs/>
                <w:lang w:eastAsia="lv-LV"/>
              </w:rPr>
            </w:pPr>
            <w:r w:rsidRPr="00F476AF">
              <w:rPr>
                <w:rFonts w:ascii="Times New Roman" w:eastAsia="Times New Roman" w:hAnsi="Times New Roman" w:cs="Times New Roman"/>
                <w:bCs/>
                <w:lang w:eastAsia="lv-LV"/>
              </w:rPr>
              <w:t>6</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i/>
                <w:lang w:eastAsia="lv-LV"/>
              </w:rPr>
            </w:pPr>
            <w:r w:rsidRPr="00F476AF">
              <w:rPr>
                <w:rFonts w:ascii="Times New Roman" w:eastAsia="Times New Roman" w:hAnsi="Times New Roman" w:cs="Times New Roman"/>
                <w:lang w:eastAsia="lv-LV"/>
              </w:rPr>
              <w:t>1. Budžeta ieņēmumi:</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i/>
                <w:lang w:eastAsia="lv-LV"/>
              </w:rPr>
            </w:pPr>
            <w:r w:rsidRPr="00F476AF">
              <w:rPr>
                <w:rFonts w:ascii="Times New Roman" w:eastAsia="Times New Roman" w:hAnsi="Times New Roman" w:cs="Times New Roman"/>
                <w:lang w:eastAsia="lv-LV"/>
              </w:rPr>
              <w:t>1.1. valsts pamatbudžets, tai skaitā ieņēmumi no maksas pakalpo-jumiem un citi pašu ieņēmumi</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i/>
                <w:lang w:eastAsia="lv-LV"/>
              </w:rPr>
            </w:pPr>
            <w:r w:rsidRPr="00F476AF">
              <w:rPr>
                <w:rFonts w:ascii="Times New Roman" w:eastAsia="Times New Roman" w:hAnsi="Times New Roman" w:cs="Times New Roman"/>
                <w:lang w:eastAsia="lv-LV"/>
              </w:rPr>
              <w:t>1.2. valsts speciālais budžets</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i/>
                <w:lang w:eastAsia="lv-LV"/>
              </w:rPr>
            </w:pPr>
            <w:r w:rsidRPr="00F476AF">
              <w:rPr>
                <w:rFonts w:ascii="Times New Roman" w:eastAsia="Times New Roman" w:hAnsi="Times New Roman" w:cs="Times New Roman"/>
                <w:lang w:eastAsia="lv-LV"/>
              </w:rPr>
              <w:t>1.3. pašvaldību budžets</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lastRenderedPageBreak/>
              <w:t>2. Budžeta izdevumi:</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731967" w:rsidP="00F476AF">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color w:val="000000"/>
                <w:sz w:val="26"/>
                <w:szCs w:val="26"/>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2.1. valsts pamatbudžets</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731967" w:rsidP="00F476AF">
            <w:p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color w:val="000000"/>
                <w:sz w:val="26"/>
                <w:szCs w:val="26"/>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2.2. valsts speciālais budžets</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 xml:space="preserve">2.3. pašvaldību budžets </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3. Finansiālā ietekme:</w:t>
            </w:r>
          </w:p>
        </w:tc>
        <w:tc>
          <w:tcPr>
            <w:tcW w:w="1331" w:type="dxa"/>
            <w:shd w:val="clear" w:color="auto" w:fill="auto"/>
            <w:vAlign w:val="center"/>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731967" w:rsidP="00A83A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3.1. valsts pamatbudžets</w:t>
            </w:r>
          </w:p>
        </w:tc>
        <w:tc>
          <w:tcPr>
            <w:tcW w:w="1331" w:type="dxa"/>
            <w:shd w:val="clear" w:color="auto" w:fill="auto"/>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731967" w:rsidP="00F476A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3.2. speciālais budžets</w:t>
            </w:r>
          </w:p>
        </w:tc>
        <w:tc>
          <w:tcPr>
            <w:tcW w:w="1331" w:type="dxa"/>
            <w:shd w:val="clear" w:color="auto" w:fill="auto"/>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 xml:space="preserve">3.3. pašvaldību budžets </w:t>
            </w:r>
          </w:p>
        </w:tc>
        <w:tc>
          <w:tcPr>
            <w:tcW w:w="1331" w:type="dxa"/>
            <w:shd w:val="clear" w:color="auto" w:fill="auto"/>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trHeight w:val="1518"/>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4. Finanšu līdzekļi papildu izdevumu finansēšanai (kompensējošu izdevumu samazinājumu norāda ar "+" zīmi)</w:t>
            </w:r>
          </w:p>
        </w:tc>
        <w:tc>
          <w:tcPr>
            <w:tcW w:w="1331"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X</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5. Precizēta finansiālā ietekme:</w:t>
            </w:r>
          </w:p>
        </w:tc>
        <w:tc>
          <w:tcPr>
            <w:tcW w:w="1331" w:type="dxa"/>
            <w:vMerge w:val="restart"/>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X</w:t>
            </w:r>
          </w:p>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731967" w:rsidP="00F476A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5.1. valsts pamatbudžets</w:t>
            </w:r>
          </w:p>
        </w:tc>
        <w:tc>
          <w:tcPr>
            <w:tcW w:w="1331" w:type="dxa"/>
            <w:vMerge/>
            <w:vAlign w:val="center"/>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731967" w:rsidP="00F476A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5.2. speciālais budžets</w:t>
            </w:r>
          </w:p>
        </w:tc>
        <w:tc>
          <w:tcPr>
            <w:tcW w:w="1331" w:type="dxa"/>
            <w:vMerge/>
            <w:vAlign w:val="center"/>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 xml:space="preserve">5.3. pašvaldību budžets </w:t>
            </w:r>
          </w:p>
        </w:tc>
        <w:tc>
          <w:tcPr>
            <w:tcW w:w="1331" w:type="dxa"/>
            <w:vMerge/>
            <w:vAlign w:val="center"/>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4"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355"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c>
          <w:tcPr>
            <w:tcW w:w="1406" w:type="dxa"/>
          </w:tcPr>
          <w:p w:rsidR="00F476AF" w:rsidRPr="00F476AF" w:rsidRDefault="00F476AF" w:rsidP="00F476AF">
            <w:pPr>
              <w:spacing w:after="0" w:line="240" w:lineRule="auto"/>
              <w:jc w:val="center"/>
              <w:rPr>
                <w:rFonts w:ascii="Times New Roman" w:eastAsia="Times New Roman" w:hAnsi="Times New Roman" w:cs="Times New Roman"/>
                <w:sz w:val="20"/>
                <w:szCs w:val="20"/>
                <w:lang w:eastAsia="lv-LV"/>
              </w:rPr>
            </w:pPr>
            <w:r w:rsidRPr="00F476AF">
              <w:rPr>
                <w:rFonts w:ascii="Times New Roman" w:eastAsia="Times New Roman" w:hAnsi="Times New Roman" w:cs="Times New Roman"/>
                <w:sz w:val="20"/>
                <w:szCs w:val="20"/>
                <w:lang w:eastAsia="lv-LV"/>
              </w:rPr>
              <w:t>0</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6. Detalizēts ieņēmumu un izdevu</w:t>
            </w:r>
            <w:r w:rsidRPr="00F476AF">
              <w:rPr>
                <w:rFonts w:ascii="Times New Roman" w:eastAsia="Times New Roman" w:hAnsi="Times New Roman" w:cs="Times New Roman"/>
                <w:lang w:eastAsia="lv-LV"/>
              </w:rPr>
              <w:softHyphen/>
              <w:t>mu aprēķins (ja nepieciešams, detalizētu ieņēmumu un izdevumu aprēķinu var pievienot anotācijas pielikumā):</w:t>
            </w:r>
          </w:p>
        </w:tc>
        <w:tc>
          <w:tcPr>
            <w:tcW w:w="6800" w:type="dxa"/>
            <w:gridSpan w:val="5"/>
            <w:vMerge w:val="restart"/>
            <w:vAlign w:val="center"/>
          </w:tcPr>
          <w:p w:rsidR="00F2615F" w:rsidRPr="002E3C89" w:rsidRDefault="00731967" w:rsidP="00731967">
            <w:pPr>
              <w:spacing w:after="0" w:line="240" w:lineRule="auto"/>
              <w:ind w:left="52"/>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Projekts šo jomu neskar.</w:t>
            </w: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6.1. detalizēts ieņēmumu aprēķins</w:t>
            </w:r>
          </w:p>
        </w:tc>
        <w:tc>
          <w:tcPr>
            <w:tcW w:w="6800" w:type="dxa"/>
            <w:gridSpan w:val="5"/>
            <w:vMerge/>
          </w:tcPr>
          <w:p w:rsidR="00F476AF" w:rsidRPr="00F476AF" w:rsidRDefault="00F476AF" w:rsidP="00F476AF">
            <w:pPr>
              <w:spacing w:after="0" w:line="240" w:lineRule="auto"/>
              <w:jc w:val="both"/>
              <w:rPr>
                <w:rFonts w:ascii="Times New Roman" w:eastAsia="Times New Roman" w:hAnsi="Times New Roman" w:cs="Times New Roman"/>
                <w:b/>
                <w:i/>
                <w:lang w:eastAsia="lv-LV"/>
              </w:rPr>
            </w:pP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6.2. detalizēts izdevumu aprēķins</w:t>
            </w:r>
          </w:p>
        </w:tc>
        <w:tc>
          <w:tcPr>
            <w:tcW w:w="6800" w:type="dxa"/>
            <w:gridSpan w:val="5"/>
            <w:vMerge/>
          </w:tcPr>
          <w:p w:rsidR="00F476AF" w:rsidRPr="00F476AF" w:rsidRDefault="00F476AF" w:rsidP="00F476AF">
            <w:pPr>
              <w:spacing w:after="0" w:line="240" w:lineRule="auto"/>
              <w:jc w:val="both"/>
              <w:rPr>
                <w:rFonts w:ascii="Times New Roman" w:eastAsia="Times New Roman" w:hAnsi="Times New Roman" w:cs="Times New Roman"/>
                <w:b/>
                <w:i/>
                <w:lang w:eastAsia="lv-LV"/>
              </w:rPr>
            </w:pPr>
          </w:p>
        </w:tc>
      </w:tr>
      <w:tr w:rsidR="00F476AF" w:rsidRPr="00F476AF" w:rsidTr="00A57FF4">
        <w:trPr>
          <w:jc w:val="center"/>
        </w:trPr>
        <w:tc>
          <w:tcPr>
            <w:tcW w:w="2234" w:type="dxa"/>
          </w:tcPr>
          <w:p w:rsidR="00F476AF" w:rsidRPr="00F476AF" w:rsidRDefault="00F476AF" w:rsidP="00F476AF">
            <w:pPr>
              <w:spacing w:after="0" w:line="240" w:lineRule="auto"/>
              <w:jc w:val="both"/>
              <w:rPr>
                <w:rFonts w:ascii="Times New Roman" w:eastAsia="Times New Roman" w:hAnsi="Times New Roman" w:cs="Times New Roman"/>
                <w:lang w:eastAsia="lv-LV"/>
              </w:rPr>
            </w:pPr>
            <w:r w:rsidRPr="00F476AF">
              <w:rPr>
                <w:rFonts w:ascii="Times New Roman" w:eastAsia="Times New Roman" w:hAnsi="Times New Roman" w:cs="Times New Roman"/>
                <w:lang w:eastAsia="lv-LV"/>
              </w:rPr>
              <w:t>7. Cita informācija</w:t>
            </w:r>
          </w:p>
        </w:tc>
        <w:tc>
          <w:tcPr>
            <w:tcW w:w="6800" w:type="dxa"/>
            <w:gridSpan w:val="5"/>
          </w:tcPr>
          <w:p w:rsidR="005C4E96" w:rsidRDefault="005C4E96" w:rsidP="005C4E96">
            <w:pPr>
              <w:spacing w:after="0" w:line="240" w:lineRule="auto"/>
              <w:jc w:val="both"/>
              <w:rPr>
                <w:rFonts w:ascii="Times New Roman" w:eastAsia="Calibri" w:hAnsi="Times New Roman" w:cs="Times New Roman"/>
                <w:color w:val="000000"/>
                <w:sz w:val="26"/>
                <w:szCs w:val="26"/>
                <w:lang w:eastAsia="lv-LV"/>
              </w:rPr>
            </w:pPr>
            <w:r w:rsidRPr="002E3C89">
              <w:rPr>
                <w:rFonts w:ascii="Times New Roman" w:eastAsia="Calibri" w:hAnsi="Times New Roman" w:cs="Times New Roman"/>
                <w:color w:val="000000"/>
                <w:sz w:val="26"/>
                <w:szCs w:val="26"/>
                <w:lang w:eastAsia="lv-LV"/>
              </w:rPr>
              <w:t>Ministru kabineta noteikumu projekta tehniskai īstenošanai Valsts ieņēmumu dienesta informācijas sistēmās programmatūras izstrādei un ieviešanai būs nepieciešami līdzekļi 121 707 EUR ar PVN apmērā, tajā skaitā</w:t>
            </w:r>
            <w:r>
              <w:rPr>
                <w:rFonts w:ascii="Times New Roman" w:eastAsia="Calibri" w:hAnsi="Times New Roman" w:cs="Times New Roman"/>
                <w:color w:val="000000"/>
                <w:sz w:val="26"/>
                <w:szCs w:val="26"/>
                <w:lang w:eastAsia="lv-LV"/>
              </w:rPr>
              <w:t>:</w:t>
            </w:r>
            <w:r w:rsidRPr="002E3C89">
              <w:rPr>
                <w:rFonts w:ascii="Times New Roman" w:eastAsia="Calibri" w:hAnsi="Times New Roman" w:cs="Times New Roman"/>
                <w:color w:val="000000"/>
                <w:sz w:val="26"/>
                <w:szCs w:val="26"/>
                <w:lang w:eastAsia="lv-LV"/>
              </w:rPr>
              <w:t xml:space="preserve"> </w:t>
            </w:r>
          </w:p>
          <w:p w:rsidR="005C4E96" w:rsidRDefault="005C4E96" w:rsidP="005C4E96">
            <w:pPr>
              <w:pStyle w:val="ListParagraph"/>
              <w:numPr>
                <w:ilvl w:val="0"/>
                <w:numId w:val="5"/>
              </w:numPr>
              <w:spacing w:after="0" w:line="240" w:lineRule="auto"/>
              <w:ind w:left="0" w:firstLine="437"/>
              <w:jc w:val="both"/>
              <w:rPr>
                <w:rFonts w:ascii="Times New Roman" w:eastAsia="Calibri" w:hAnsi="Times New Roman" w:cs="Times New Roman"/>
                <w:color w:val="000000"/>
                <w:sz w:val="26"/>
                <w:szCs w:val="26"/>
                <w:lang w:eastAsia="lv-LV"/>
              </w:rPr>
            </w:pPr>
            <w:r w:rsidRPr="00731967">
              <w:rPr>
                <w:rFonts w:ascii="Times New Roman" w:eastAsia="Calibri" w:hAnsi="Times New Roman" w:cs="Times New Roman"/>
                <w:color w:val="000000"/>
                <w:sz w:val="26"/>
                <w:szCs w:val="26"/>
                <w:lang w:eastAsia="lv-LV"/>
              </w:rPr>
              <w:t>2017.gadā 18 513 EUR</w:t>
            </w:r>
            <w:r>
              <w:rPr>
                <w:rFonts w:ascii="Times New Roman" w:eastAsia="Calibri" w:hAnsi="Times New Roman" w:cs="Times New Roman"/>
                <w:color w:val="000000"/>
                <w:sz w:val="26"/>
                <w:szCs w:val="26"/>
                <w:lang w:eastAsia="lv-LV"/>
              </w:rPr>
              <w:t xml:space="preserve"> </w:t>
            </w:r>
            <w:r w:rsidRPr="00731967">
              <w:rPr>
                <w:rFonts w:ascii="Times New Roman" w:eastAsia="Calibri" w:hAnsi="Times New Roman" w:cs="Times New Roman"/>
                <w:sz w:val="26"/>
                <w:szCs w:val="26"/>
                <w:lang w:eastAsia="lv-LV"/>
              </w:rPr>
              <w:t>izmaiņ</w:t>
            </w:r>
            <w:r>
              <w:rPr>
                <w:rFonts w:ascii="Times New Roman" w:eastAsia="Calibri" w:hAnsi="Times New Roman" w:cs="Times New Roman"/>
                <w:sz w:val="26"/>
                <w:szCs w:val="26"/>
                <w:lang w:eastAsia="lv-LV"/>
              </w:rPr>
              <w:t>u</w:t>
            </w:r>
            <w:r w:rsidRPr="00731967">
              <w:rPr>
                <w:rFonts w:ascii="Times New Roman" w:eastAsia="Calibri" w:hAnsi="Times New Roman" w:cs="Times New Roman"/>
                <w:sz w:val="26"/>
                <w:szCs w:val="26"/>
                <w:lang w:eastAsia="lv-LV"/>
              </w:rPr>
              <w:t xml:space="preserve"> </w:t>
            </w:r>
            <w:r>
              <w:rPr>
                <w:rFonts w:ascii="Times New Roman" w:eastAsia="Calibri" w:hAnsi="Times New Roman" w:cs="Times New Roman"/>
                <w:sz w:val="26"/>
                <w:szCs w:val="26"/>
                <w:lang w:eastAsia="lv-LV"/>
              </w:rPr>
              <w:t xml:space="preserve">veikšanai </w:t>
            </w:r>
            <w:r w:rsidRPr="00731967">
              <w:rPr>
                <w:rFonts w:ascii="Times New Roman" w:eastAsia="Calibri" w:hAnsi="Times New Roman" w:cs="Times New Roman"/>
                <w:sz w:val="26"/>
                <w:szCs w:val="26"/>
                <w:lang w:eastAsia="lv-LV"/>
              </w:rPr>
              <w:t>Elektroniskās deklarēšanās sistēmā, lai nodrošinātu iespēju iesniegt ziņojumus Latvijā reģistrētiem komersantiem</w:t>
            </w:r>
            <w:r>
              <w:rPr>
                <w:rFonts w:ascii="Times New Roman" w:eastAsia="Calibri" w:hAnsi="Times New Roman" w:cs="Times New Roman"/>
                <w:color w:val="000000"/>
                <w:sz w:val="26"/>
                <w:szCs w:val="26"/>
                <w:lang w:eastAsia="lv-LV"/>
              </w:rPr>
              <w:t>;</w:t>
            </w:r>
          </w:p>
          <w:p w:rsidR="005C4E96" w:rsidRDefault="005C4E96" w:rsidP="005C4E96">
            <w:pPr>
              <w:pStyle w:val="ListParagraph"/>
              <w:numPr>
                <w:ilvl w:val="0"/>
                <w:numId w:val="5"/>
              </w:numPr>
              <w:spacing w:after="0" w:line="240" w:lineRule="auto"/>
              <w:ind w:left="0" w:firstLine="437"/>
              <w:jc w:val="both"/>
              <w:rPr>
                <w:rFonts w:ascii="Times New Roman" w:eastAsia="Calibri" w:hAnsi="Times New Roman" w:cs="Times New Roman"/>
                <w:color w:val="000000"/>
                <w:sz w:val="26"/>
                <w:szCs w:val="26"/>
                <w:lang w:eastAsia="lv-LV"/>
              </w:rPr>
            </w:pPr>
            <w:r w:rsidRPr="00E402BD">
              <w:rPr>
                <w:rFonts w:ascii="Times New Roman" w:eastAsia="Calibri" w:hAnsi="Times New Roman" w:cs="Times New Roman"/>
                <w:color w:val="000000"/>
                <w:sz w:val="26"/>
                <w:szCs w:val="26"/>
                <w:lang w:eastAsia="lv-LV"/>
              </w:rPr>
              <w:t xml:space="preserve">2018.gadā, lai nodrošinātu šo Noteikumu projekta 29.punktā noteikto, nepieciešami 103 194 EUR, </w:t>
            </w:r>
            <w:r>
              <w:rPr>
                <w:rFonts w:ascii="Times New Roman" w:eastAsia="Calibri" w:hAnsi="Times New Roman" w:cs="Times New Roman"/>
                <w:color w:val="000000"/>
                <w:sz w:val="26"/>
                <w:szCs w:val="26"/>
                <w:lang w:eastAsia="lv-LV"/>
              </w:rPr>
              <w:t>proti:</w:t>
            </w:r>
          </w:p>
          <w:p w:rsidR="005C4E96" w:rsidRPr="00E402BD" w:rsidRDefault="005C4E96" w:rsidP="005C4E96">
            <w:pPr>
              <w:pStyle w:val="ListParagraph"/>
              <w:numPr>
                <w:ilvl w:val="0"/>
                <w:numId w:val="6"/>
              </w:numPr>
              <w:spacing w:after="0" w:line="240" w:lineRule="auto"/>
              <w:ind w:left="63" w:firstLine="734"/>
              <w:jc w:val="both"/>
              <w:rPr>
                <w:rFonts w:ascii="Times New Roman" w:eastAsia="Calibri" w:hAnsi="Times New Roman" w:cs="Times New Roman"/>
                <w:color w:val="000000"/>
                <w:sz w:val="26"/>
                <w:szCs w:val="26"/>
                <w:lang w:eastAsia="lv-LV"/>
              </w:rPr>
            </w:pPr>
            <w:r w:rsidRPr="00E402BD">
              <w:rPr>
                <w:rFonts w:ascii="Times New Roman" w:eastAsia="Calibri" w:hAnsi="Times New Roman" w:cs="Times New Roman"/>
                <w:sz w:val="26"/>
                <w:szCs w:val="26"/>
                <w:lang w:eastAsia="lv-LV"/>
              </w:rPr>
              <w:t>Caur Elektroniskās deklarēšanās sistēmu iesniegto un no citām dalībvalstīm saņemto ziņojumu apstrāde un izvietošana Datu noliktavas sistēmā  – 18 941 EUR;</w:t>
            </w:r>
          </w:p>
          <w:p w:rsidR="005C4E96" w:rsidRPr="00E402BD" w:rsidRDefault="005C4E96" w:rsidP="005C4E96">
            <w:pPr>
              <w:pStyle w:val="ListParagraph"/>
              <w:numPr>
                <w:ilvl w:val="0"/>
                <w:numId w:val="6"/>
              </w:numPr>
              <w:spacing w:after="0" w:line="240" w:lineRule="auto"/>
              <w:ind w:left="63" w:firstLine="734"/>
              <w:jc w:val="both"/>
              <w:rPr>
                <w:rFonts w:ascii="Times New Roman" w:eastAsia="Calibri" w:hAnsi="Times New Roman" w:cs="Times New Roman"/>
                <w:color w:val="000000"/>
                <w:sz w:val="26"/>
                <w:szCs w:val="26"/>
                <w:lang w:eastAsia="lv-LV"/>
              </w:rPr>
            </w:pPr>
            <w:r w:rsidRPr="00E402BD">
              <w:rPr>
                <w:rFonts w:ascii="Times New Roman" w:eastAsia="Calibri" w:hAnsi="Times New Roman" w:cs="Times New Roman"/>
                <w:sz w:val="26"/>
                <w:szCs w:val="26"/>
                <w:lang w:eastAsia="lv-LV"/>
              </w:rPr>
              <w:lastRenderedPageBreak/>
              <w:t xml:space="preserve">Datu apmaiņas mehānisma ar citām valstīm un lietotāju </w:t>
            </w:r>
            <w:proofErr w:type="spellStart"/>
            <w:r w:rsidRPr="00E402BD">
              <w:rPr>
                <w:rFonts w:ascii="Times New Roman" w:eastAsia="Calibri" w:hAnsi="Times New Roman" w:cs="Times New Roman"/>
                <w:sz w:val="26"/>
                <w:szCs w:val="26"/>
                <w:lang w:eastAsia="lv-LV"/>
              </w:rPr>
              <w:t>saskarnes</w:t>
            </w:r>
            <w:proofErr w:type="spellEnd"/>
            <w:r w:rsidRPr="00E402BD">
              <w:rPr>
                <w:rFonts w:ascii="Times New Roman" w:eastAsia="Calibri" w:hAnsi="Times New Roman" w:cs="Times New Roman"/>
                <w:sz w:val="26"/>
                <w:szCs w:val="26"/>
                <w:lang w:eastAsia="lv-LV"/>
              </w:rPr>
              <w:t xml:space="preserve"> izstrāde datu apmaiņas organizēšanai un </w:t>
            </w:r>
            <w:proofErr w:type="spellStart"/>
            <w:r w:rsidRPr="00E402BD">
              <w:rPr>
                <w:rFonts w:ascii="Times New Roman" w:eastAsia="Calibri" w:hAnsi="Times New Roman" w:cs="Times New Roman"/>
                <w:sz w:val="26"/>
                <w:szCs w:val="26"/>
                <w:lang w:eastAsia="lv-LV"/>
              </w:rPr>
              <w:t>monitorēšanai</w:t>
            </w:r>
            <w:proofErr w:type="spellEnd"/>
            <w:r w:rsidRPr="00E402BD">
              <w:rPr>
                <w:rFonts w:ascii="Times New Roman" w:eastAsia="Calibri" w:hAnsi="Times New Roman" w:cs="Times New Roman"/>
                <w:sz w:val="26"/>
                <w:szCs w:val="26"/>
                <w:lang w:eastAsia="lv-LV"/>
              </w:rPr>
              <w:t xml:space="preserve"> – 84</w:t>
            </w:r>
            <w:r>
              <w:rPr>
                <w:rFonts w:ascii="Times New Roman" w:eastAsia="Calibri" w:hAnsi="Times New Roman" w:cs="Times New Roman"/>
                <w:sz w:val="26"/>
                <w:szCs w:val="26"/>
                <w:lang w:eastAsia="lv-LV"/>
              </w:rPr>
              <w:t> </w:t>
            </w:r>
            <w:r w:rsidRPr="00E402BD">
              <w:rPr>
                <w:rFonts w:ascii="Times New Roman" w:eastAsia="Calibri" w:hAnsi="Times New Roman" w:cs="Times New Roman"/>
                <w:sz w:val="26"/>
                <w:szCs w:val="26"/>
                <w:lang w:eastAsia="lv-LV"/>
              </w:rPr>
              <w:t>253</w:t>
            </w:r>
            <w:r>
              <w:rPr>
                <w:rFonts w:ascii="Times New Roman" w:eastAsia="Calibri" w:hAnsi="Times New Roman" w:cs="Times New Roman"/>
                <w:sz w:val="26"/>
                <w:szCs w:val="26"/>
                <w:lang w:eastAsia="lv-LV"/>
              </w:rPr>
              <w:t xml:space="preserve"> </w:t>
            </w:r>
            <w:r w:rsidRPr="00E402BD">
              <w:rPr>
                <w:rFonts w:ascii="Times New Roman" w:eastAsia="Calibri" w:hAnsi="Times New Roman" w:cs="Times New Roman"/>
                <w:sz w:val="26"/>
                <w:szCs w:val="26"/>
                <w:lang w:eastAsia="lv-LV"/>
              </w:rPr>
              <w:t>EUR.</w:t>
            </w:r>
          </w:p>
          <w:p w:rsidR="00DC73E3" w:rsidRPr="00731967" w:rsidRDefault="005C4E96" w:rsidP="005C4E96">
            <w:pPr>
              <w:spacing w:after="0" w:line="240" w:lineRule="auto"/>
              <w:ind w:left="52"/>
              <w:jc w:val="both"/>
              <w:rPr>
                <w:rFonts w:ascii="Times New Roman" w:eastAsia="Calibri" w:hAnsi="Times New Roman" w:cs="Times New Roman"/>
                <w:sz w:val="26"/>
                <w:szCs w:val="26"/>
                <w:lang w:eastAsia="lv-LV"/>
              </w:rPr>
            </w:pPr>
            <w:r>
              <w:rPr>
                <w:rFonts w:ascii="Times New Roman" w:eastAsia="Calibri" w:hAnsi="Times New Roman" w:cs="Times New Roman"/>
                <w:color w:val="000000"/>
                <w:sz w:val="26"/>
                <w:szCs w:val="26"/>
                <w:lang w:eastAsia="lv-LV"/>
              </w:rPr>
              <w:t xml:space="preserve">Minētie nepieciešamie līdzekļi gan 2017., gan 2018.gadā </w:t>
            </w:r>
            <w:r w:rsidRPr="00731967">
              <w:rPr>
                <w:rFonts w:ascii="Times New Roman" w:eastAsia="Calibri" w:hAnsi="Times New Roman" w:cs="Times New Roman"/>
                <w:color w:val="000000"/>
                <w:sz w:val="26"/>
                <w:szCs w:val="26"/>
                <w:lang w:eastAsia="lv-LV"/>
              </w:rPr>
              <w:t>tiks</w:t>
            </w:r>
            <w:r>
              <w:rPr>
                <w:rFonts w:ascii="Times New Roman" w:eastAsia="Calibri" w:hAnsi="Times New Roman" w:cs="Times New Roman"/>
                <w:color w:val="000000"/>
                <w:sz w:val="26"/>
                <w:szCs w:val="26"/>
                <w:lang w:eastAsia="lv-LV"/>
              </w:rPr>
              <w:t xml:space="preserve"> nodrošināti </w:t>
            </w:r>
            <w:r w:rsidRPr="00731967">
              <w:rPr>
                <w:rFonts w:ascii="Times New Roman" w:eastAsia="Calibri" w:hAnsi="Times New Roman" w:cs="Times New Roman"/>
                <w:color w:val="000000"/>
                <w:sz w:val="26"/>
                <w:szCs w:val="26"/>
                <w:lang w:eastAsia="lv-LV"/>
              </w:rPr>
              <w:t>Valsts ieņēmumu dienesta</w:t>
            </w:r>
            <w:r>
              <w:rPr>
                <w:rFonts w:ascii="Times New Roman" w:eastAsia="Calibri" w:hAnsi="Times New Roman" w:cs="Times New Roman"/>
                <w:color w:val="000000"/>
                <w:sz w:val="26"/>
                <w:szCs w:val="26"/>
                <w:lang w:eastAsia="lv-LV"/>
              </w:rPr>
              <w:t>m piešķirto</w:t>
            </w:r>
            <w:r w:rsidRPr="00731967">
              <w:rPr>
                <w:rFonts w:ascii="Times New Roman" w:eastAsia="Calibri" w:hAnsi="Times New Roman" w:cs="Times New Roman"/>
                <w:color w:val="000000"/>
                <w:sz w:val="26"/>
                <w:szCs w:val="26"/>
                <w:lang w:eastAsia="lv-LV"/>
              </w:rPr>
              <w:t xml:space="preserve"> </w:t>
            </w:r>
            <w:r>
              <w:rPr>
                <w:rFonts w:ascii="Times New Roman" w:eastAsia="Calibri" w:hAnsi="Times New Roman" w:cs="Times New Roman"/>
                <w:color w:val="000000"/>
                <w:sz w:val="26"/>
                <w:szCs w:val="26"/>
                <w:lang w:eastAsia="lv-LV"/>
              </w:rPr>
              <w:t xml:space="preserve">valsts </w:t>
            </w:r>
            <w:r w:rsidRPr="00731967">
              <w:rPr>
                <w:rFonts w:ascii="Times New Roman" w:eastAsia="Calibri" w:hAnsi="Times New Roman" w:cs="Times New Roman"/>
                <w:color w:val="000000"/>
                <w:sz w:val="26"/>
                <w:szCs w:val="26"/>
                <w:lang w:eastAsia="lv-LV"/>
              </w:rPr>
              <w:t>budžeta līdzekļ</w:t>
            </w:r>
            <w:r>
              <w:rPr>
                <w:rFonts w:ascii="Times New Roman" w:eastAsia="Calibri" w:hAnsi="Times New Roman" w:cs="Times New Roman"/>
                <w:color w:val="000000"/>
                <w:sz w:val="26"/>
                <w:szCs w:val="26"/>
                <w:lang w:eastAsia="lv-LV"/>
              </w:rPr>
              <w:t>u ietvaros</w:t>
            </w:r>
            <w:r w:rsidRPr="00731967">
              <w:rPr>
                <w:rFonts w:ascii="Times New Roman" w:eastAsia="Calibri" w:hAnsi="Times New Roman" w:cs="Times New Roman"/>
                <w:color w:val="000000"/>
                <w:sz w:val="26"/>
                <w:szCs w:val="26"/>
                <w:lang w:eastAsia="lv-LV"/>
              </w:rPr>
              <w:t>.</w:t>
            </w:r>
            <w:bookmarkStart w:id="0" w:name="_GoBack"/>
            <w:bookmarkEnd w:id="0"/>
          </w:p>
        </w:tc>
      </w:tr>
    </w:tbl>
    <w:p w:rsidR="00F476AF" w:rsidRDefault="00F476AF" w:rsidP="00012515">
      <w:pPr>
        <w:spacing w:after="0" w:line="240" w:lineRule="auto"/>
        <w:rPr>
          <w:rFonts w:ascii="Times New Roman" w:eastAsia="Times New Roman" w:hAnsi="Times New Roman" w:cs="Times New Roman"/>
          <w:sz w:val="26"/>
          <w:szCs w:val="26"/>
        </w:rPr>
      </w:pPr>
    </w:p>
    <w:p w:rsidR="00E469A1" w:rsidRPr="00D97FA9" w:rsidRDefault="00E469A1" w:rsidP="00012515">
      <w:pPr>
        <w:spacing w:after="0" w:line="240" w:lineRule="auto"/>
        <w:rPr>
          <w:rFonts w:ascii="Times New Roman" w:eastAsia="Times New Roman" w:hAnsi="Times New Roman" w:cs="Times New Roman"/>
          <w:sz w:val="28"/>
          <w:szCs w:val="28"/>
        </w:rPr>
      </w:pPr>
    </w:p>
    <w:tbl>
      <w:tblPr>
        <w:tblW w:w="90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268"/>
        <w:gridCol w:w="6265"/>
      </w:tblGrid>
      <w:tr w:rsidR="00012515" w:rsidRPr="00012515" w:rsidTr="00012515">
        <w:tc>
          <w:tcPr>
            <w:tcW w:w="9068"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sz w:val="26"/>
                <w:szCs w:val="26"/>
                <w:lang w:eastAsia="lv-LV"/>
              </w:rPr>
              <w:t>V. Tiesību akta projekta atbilstība Latvijas Republikas starptautiskajām saistībām</w:t>
            </w:r>
          </w:p>
        </w:tc>
      </w:tr>
      <w:tr w:rsidR="00012515" w:rsidRPr="00012515" w:rsidTr="00012515">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Saistības pret Eiropas Savienību</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bCs/>
                <w:iCs/>
                <w:spacing w:val="-2"/>
                <w:sz w:val="26"/>
                <w:szCs w:val="26"/>
              </w:rPr>
            </w:pPr>
            <w:r w:rsidRPr="00012515">
              <w:rPr>
                <w:rFonts w:ascii="Times New Roman" w:eastAsia="Times New Roman" w:hAnsi="Times New Roman" w:cs="Times New Roman"/>
                <w:bCs/>
                <w:iCs/>
                <w:spacing w:val="-2"/>
                <w:sz w:val="26"/>
                <w:szCs w:val="26"/>
              </w:rPr>
              <w:t xml:space="preserve">Padomes </w:t>
            </w:r>
            <w:r w:rsidR="00456613">
              <w:rPr>
                <w:rFonts w:ascii="Times New Roman" w:eastAsia="Times New Roman" w:hAnsi="Times New Roman" w:cs="Times New Roman"/>
                <w:bCs/>
                <w:iCs/>
                <w:spacing w:val="-2"/>
                <w:sz w:val="26"/>
                <w:szCs w:val="26"/>
              </w:rPr>
              <w:t xml:space="preserve">2016.gada 25.maija </w:t>
            </w:r>
            <w:r w:rsidRPr="00012515">
              <w:rPr>
                <w:rFonts w:ascii="Times New Roman" w:eastAsia="Times New Roman" w:hAnsi="Times New Roman" w:cs="Times New Roman"/>
                <w:bCs/>
                <w:iCs/>
                <w:spacing w:val="-2"/>
                <w:sz w:val="26"/>
                <w:szCs w:val="26"/>
              </w:rPr>
              <w:t>direktīvas (ES) 2016/881, ar ko Direktīvu 2011/16/ES groza attiecībā uz obligātu automātisku informācijas apmaiņu nodokļu jomā, ieviešana.</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bCs/>
                <w:sz w:val="26"/>
                <w:szCs w:val="26"/>
              </w:rPr>
              <w:t>Termiņš – 2017.gada 4.jūnijs</w:t>
            </w:r>
            <w:r w:rsidR="00B53BCD">
              <w:rPr>
                <w:rFonts w:ascii="Times New Roman" w:eastAsia="Times New Roman" w:hAnsi="Times New Roman" w:cs="Times New Roman"/>
                <w:bCs/>
                <w:sz w:val="26"/>
                <w:szCs w:val="26"/>
              </w:rPr>
              <w:t>.</w:t>
            </w:r>
          </w:p>
        </w:tc>
      </w:tr>
      <w:tr w:rsidR="00012515" w:rsidRPr="00012515" w:rsidTr="00012515">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2.</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Citas starptautiskās saistības</w:t>
            </w:r>
          </w:p>
        </w:tc>
        <w:tc>
          <w:tcPr>
            <w:tcW w:w="6265" w:type="dxa"/>
            <w:tcBorders>
              <w:top w:val="single" w:sz="4" w:space="0" w:color="000000"/>
              <w:left w:val="single" w:sz="4" w:space="0" w:color="000000"/>
              <w:bottom w:val="single" w:sz="4" w:space="0" w:color="000000"/>
              <w:right w:val="single" w:sz="4" w:space="0" w:color="000000"/>
            </w:tcBorders>
            <w:hideMark/>
          </w:tcPr>
          <w:p w:rsidR="00C66F67" w:rsidRPr="00012515" w:rsidRDefault="00E749F4" w:rsidP="00012515">
            <w:pPr>
              <w:spacing w:after="0" w:line="240" w:lineRule="auto"/>
              <w:jc w:val="both"/>
              <w:rPr>
                <w:rFonts w:ascii="Times New Roman" w:eastAsia="Times New Roman" w:hAnsi="Times New Roman" w:cs="Times New Roman"/>
                <w:sz w:val="26"/>
                <w:szCs w:val="26"/>
                <w:lang w:eastAsia="lv-LV"/>
              </w:rPr>
            </w:pPr>
            <w:r w:rsidRPr="00E749F4">
              <w:rPr>
                <w:rFonts w:ascii="Times New Roman" w:eastAsia="Times New Roman" w:hAnsi="Times New Roman" w:cs="Times New Roman"/>
                <w:sz w:val="26"/>
                <w:szCs w:val="26"/>
                <w:lang w:eastAsia="lv-LV"/>
              </w:rPr>
              <w:t>Projekts šo jomu neskar.</w:t>
            </w:r>
          </w:p>
        </w:tc>
      </w:tr>
      <w:tr w:rsidR="00012515" w:rsidRPr="00012515" w:rsidTr="00012515">
        <w:trPr>
          <w:trHeight w:val="53"/>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Informācijas apmaiņa starp Latvijas Republikas un to trešo valstu kompetentajām iestādēm, ar kurām tiks noslēgti divpusējie vai daudzpusējie </w:t>
            </w:r>
            <w:r w:rsidR="00E749F4">
              <w:rPr>
                <w:rFonts w:ascii="Times New Roman" w:eastAsia="Times New Roman" w:hAnsi="Times New Roman" w:cs="Times New Roman"/>
                <w:sz w:val="26"/>
                <w:szCs w:val="26"/>
                <w:lang w:eastAsia="lv-LV"/>
              </w:rPr>
              <w:t xml:space="preserve">kompetento iestāžu </w:t>
            </w:r>
            <w:r w:rsidRPr="00012515">
              <w:rPr>
                <w:rFonts w:ascii="Times New Roman" w:eastAsia="Times New Roman" w:hAnsi="Times New Roman" w:cs="Times New Roman"/>
                <w:sz w:val="26"/>
                <w:szCs w:val="26"/>
                <w:lang w:eastAsia="lv-LV"/>
              </w:rPr>
              <w:t xml:space="preserve">līgumi par </w:t>
            </w:r>
            <w:r w:rsidRPr="00012515">
              <w:rPr>
                <w:rFonts w:ascii="Times New Roman" w:eastAsia="Times New Roman" w:hAnsi="Times New Roman" w:cs="Times New Roman"/>
                <w:bCs/>
                <w:iCs/>
                <w:sz w:val="26"/>
                <w:szCs w:val="26"/>
                <w:lang w:eastAsia="lv-LV"/>
              </w:rPr>
              <w:t>automātisko informācijas apmaiņu ar ziņojumiem par katru valsti</w:t>
            </w:r>
            <w:r w:rsidRPr="00012515">
              <w:rPr>
                <w:rFonts w:ascii="Times New Roman" w:eastAsia="Times New Roman" w:hAnsi="Times New Roman" w:cs="Times New Roman"/>
                <w:sz w:val="26"/>
                <w:szCs w:val="26"/>
                <w:lang w:eastAsia="lv-LV"/>
              </w:rPr>
              <w:t xml:space="preserve">, notiks atbilstoši Konvencijas par savstarpējo administratīvo palīdzību nodokļu jomā 6.pantā </w:t>
            </w:r>
            <w:r w:rsidRPr="00012515">
              <w:rPr>
                <w:rFonts w:ascii="Times New Roman" w:eastAsia="Times New Roman" w:hAnsi="Times New Roman" w:cs="Times New Roman"/>
                <w:color w:val="000000"/>
                <w:sz w:val="26"/>
                <w:szCs w:val="26"/>
                <w:lang w:eastAsia="lv-LV"/>
              </w:rPr>
              <w:t>noteiktajam par automātisko informācijas apmaiņu.</w:t>
            </w:r>
          </w:p>
        </w:tc>
      </w:tr>
    </w:tbl>
    <w:p w:rsidR="00012515" w:rsidRPr="00D97FA9" w:rsidRDefault="00012515" w:rsidP="00012515">
      <w:pPr>
        <w:spacing w:after="0" w:line="240" w:lineRule="auto"/>
        <w:rPr>
          <w:rFonts w:ascii="Times New Roman" w:eastAsia="Times New Roman" w:hAnsi="Times New Roman" w:cs="Times New Roman"/>
          <w:sz w:val="28"/>
          <w:szCs w:val="28"/>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385"/>
        <w:gridCol w:w="1986"/>
        <w:gridCol w:w="2270"/>
      </w:tblGrid>
      <w:tr w:rsidR="00012515" w:rsidRPr="00012515" w:rsidTr="00012515">
        <w:tc>
          <w:tcPr>
            <w:tcW w:w="5000" w:type="pct"/>
            <w:gridSpan w:val="4"/>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rPr>
            </w:pPr>
            <w:r w:rsidRPr="00012515">
              <w:rPr>
                <w:rFonts w:ascii="Times New Roman" w:eastAsia="Times New Roman" w:hAnsi="Times New Roman" w:cs="Times New Roman"/>
                <w:b/>
                <w:sz w:val="26"/>
                <w:szCs w:val="26"/>
              </w:rPr>
              <w:t>1.tabula</w:t>
            </w:r>
          </w:p>
          <w:p w:rsidR="00012515" w:rsidRPr="00012515" w:rsidRDefault="00012515" w:rsidP="00012515">
            <w:pPr>
              <w:spacing w:after="0" w:line="240" w:lineRule="auto"/>
              <w:jc w:val="center"/>
              <w:rPr>
                <w:rFonts w:ascii="Times New Roman" w:eastAsia="Times New Roman" w:hAnsi="Times New Roman" w:cs="Times New Roman"/>
                <w:sz w:val="24"/>
                <w:szCs w:val="24"/>
                <w:lang w:eastAsia="lv-LV"/>
              </w:rPr>
            </w:pPr>
            <w:r w:rsidRPr="00012515">
              <w:rPr>
                <w:rFonts w:ascii="Times New Roman" w:eastAsia="Times New Roman" w:hAnsi="Times New Roman" w:cs="Times New Roman"/>
                <w:b/>
                <w:sz w:val="26"/>
                <w:szCs w:val="26"/>
              </w:rPr>
              <w:t>Tiesību akta projekta atbilstība ES tiesību aktiem</w:t>
            </w:r>
          </w:p>
        </w:tc>
      </w:tr>
      <w:tr w:rsidR="00012515" w:rsidRPr="00012515" w:rsidTr="00494181">
        <w:tc>
          <w:tcPr>
            <w:tcW w:w="133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Attiecīgā ES tiesību akta datums, numurs un nosaukums</w:t>
            </w:r>
          </w:p>
        </w:tc>
        <w:tc>
          <w:tcPr>
            <w:tcW w:w="366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bCs/>
                <w:sz w:val="26"/>
                <w:szCs w:val="26"/>
              </w:rPr>
            </w:pPr>
            <w:r w:rsidRPr="00012515">
              <w:rPr>
                <w:rFonts w:ascii="Times New Roman" w:eastAsia="Times New Roman" w:hAnsi="Times New Roman" w:cs="Times New Roman"/>
                <w:bCs/>
                <w:iCs/>
                <w:sz w:val="26"/>
                <w:szCs w:val="26"/>
              </w:rPr>
              <w:t xml:space="preserve">Padomes direktīvas (ES) 2016/881, ar ko Direktīvu 2011/16/ES groza attiecībā uz obligātu automātisku informācijas apmaiņu nodokļu jomā </w:t>
            </w:r>
            <w:r w:rsidRPr="00012515">
              <w:rPr>
                <w:rFonts w:ascii="Times New Roman" w:eastAsia="Times New Roman" w:hAnsi="Times New Roman" w:cs="Times New Roman"/>
                <w:bCs/>
                <w:sz w:val="26"/>
                <w:szCs w:val="26"/>
              </w:rPr>
              <w:t>pārņemšana.</w:t>
            </w:r>
          </w:p>
        </w:tc>
      </w:tr>
      <w:tr w:rsidR="00012515" w:rsidRPr="00012515" w:rsidTr="007406A3">
        <w:tc>
          <w:tcPr>
            <w:tcW w:w="133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A</w:t>
            </w:r>
          </w:p>
        </w:tc>
        <w:tc>
          <w:tcPr>
            <w:tcW w:w="1315"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B</w:t>
            </w:r>
          </w:p>
        </w:tc>
        <w:tc>
          <w:tcPr>
            <w:tcW w:w="1095"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C</w:t>
            </w:r>
          </w:p>
        </w:tc>
        <w:tc>
          <w:tcPr>
            <w:tcW w:w="1252"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D</w:t>
            </w:r>
          </w:p>
        </w:tc>
      </w:tr>
      <w:tr w:rsidR="003872A2" w:rsidRPr="00012515" w:rsidTr="007406A3">
        <w:tc>
          <w:tcPr>
            <w:tcW w:w="1338" w:type="pct"/>
            <w:tcBorders>
              <w:top w:val="single" w:sz="4" w:space="0" w:color="000000"/>
              <w:left w:val="single" w:sz="4" w:space="0" w:color="000000"/>
              <w:bottom w:val="single" w:sz="4" w:space="0" w:color="000000"/>
              <w:right w:val="single" w:sz="4" w:space="0" w:color="000000"/>
            </w:tcBorders>
          </w:tcPr>
          <w:p w:rsidR="003872A2" w:rsidRPr="00AD39C4" w:rsidRDefault="003872A2" w:rsidP="003872A2">
            <w:pPr>
              <w:spacing w:after="0" w:line="240" w:lineRule="auto"/>
              <w:rPr>
                <w:rFonts w:ascii="Times New Roman" w:eastAsia="Times New Roman" w:hAnsi="Times New Roman" w:cs="Times New Roman"/>
                <w:sz w:val="26"/>
                <w:szCs w:val="26"/>
              </w:rPr>
            </w:pPr>
            <w:r w:rsidRPr="00AD39C4">
              <w:rPr>
                <w:rFonts w:ascii="Times New Roman" w:hAnsi="Times New Roman" w:cs="Times New Roman"/>
                <w:sz w:val="26"/>
                <w:szCs w:val="26"/>
              </w:rPr>
              <w:t xml:space="preserve">1.panta 1.punkts </w:t>
            </w:r>
          </w:p>
        </w:tc>
        <w:tc>
          <w:tcPr>
            <w:tcW w:w="1315" w:type="pct"/>
            <w:tcBorders>
              <w:top w:val="single" w:sz="4" w:space="0" w:color="000000"/>
              <w:left w:val="single" w:sz="4" w:space="0" w:color="000000"/>
              <w:bottom w:val="single" w:sz="4" w:space="0" w:color="000000"/>
              <w:right w:val="single" w:sz="4" w:space="0" w:color="000000"/>
            </w:tcBorders>
            <w:hideMark/>
          </w:tcPr>
          <w:p w:rsidR="003872A2" w:rsidRPr="00AD39C4" w:rsidRDefault="00E60A1A" w:rsidP="003D67BB">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P</w:t>
            </w:r>
            <w:r w:rsidR="003872A2" w:rsidRPr="00AD39C4">
              <w:rPr>
                <w:rFonts w:ascii="Times New Roman" w:hAnsi="Times New Roman" w:cs="Times New Roman"/>
                <w:sz w:val="26"/>
                <w:szCs w:val="26"/>
              </w:rPr>
              <w:t xml:space="preserve">rojekta </w:t>
            </w:r>
            <w:r w:rsidR="003D67BB">
              <w:rPr>
                <w:rFonts w:ascii="Times New Roman" w:hAnsi="Times New Roman" w:cs="Times New Roman"/>
                <w:sz w:val="26"/>
                <w:szCs w:val="26"/>
              </w:rPr>
              <w:t>6</w:t>
            </w:r>
            <w:r w:rsidR="003872A2" w:rsidRPr="00AD39C4">
              <w:rPr>
                <w:rFonts w:ascii="Times New Roman" w:hAnsi="Times New Roman" w:cs="Times New Roman"/>
                <w:sz w:val="26"/>
                <w:szCs w:val="26"/>
              </w:rPr>
              <w:t>.</w:t>
            </w:r>
            <w:r w:rsidR="003D67BB">
              <w:rPr>
                <w:rFonts w:ascii="Times New Roman" w:hAnsi="Times New Roman" w:cs="Times New Roman"/>
                <w:sz w:val="26"/>
                <w:szCs w:val="26"/>
              </w:rPr>
              <w:t xml:space="preserve"> un 8.</w:t>
            </w:r>
            <w:r w:rsidR="003872A2" w:rsidRPr="00AD39C4">
              <w:rPr>
                <w:rFonts w:ascii="Times New Roman" w:hAnsi="Times New Roman" w:cs="Times New Roman"/>
                <w:sz w:val="26"/>
                <w:szCs w:val="26"/>
              </w:rPr>
              <w:t>punkts</w:t>
            </w:r>
            <w:r w:rsidR="00090F64">
              <w:rPr>
                <w:rFonts w:ascii="Times New Roman" w:hAnsi="Times New Roman" w:cs="Times New Roman"/>
                <w:sz w:val="26"/>
                <w:szCs w:val="26"/>
              </w:rPr>
              <w:t>.</w:t>
            </w:r>
          </w:p>
        </w:tc>
        <w:tc>
          <w:tcPr>
            <w:tcW w:w="1095" w:type="pct"/>
            <w:tcBorders>
              <w:top w:val="single" w:sz="4" w:space="0" w:color="000000"/>
              <w:left w:val="single" w:sz="4" w:space="0" w:color="000000"/>
              <w:bottom w:val="single" w:sz="4" w:space="0" w:color="000000"/>
              <w:right w:val="single" w:sz="4" w:space="0" w:color="000000"/>
            </w:tcBorders>
            <w:hideMark/>
          </w:tcPr>
          <w:p w:rsidR="003872A2" w:rsidRPr="00AD39C4" w:rsidRDefault="003872A2"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Pārņemts daļēji</w:t>
            </w:r>
          </w:p>
        </w:tc>
        <w:tc>
          <w:tcPr>
            <w:tcW w:w="1252" w:type="pct"/>
            <w:tcBorders>
              <w:top w:val="single" w:sz="4" w:space="0" w:color="000000"/>
              <w:left w:val="single" w:sz="4" w:space="0" w:color="000000"/>
              <w:bottom w:val="single" w:sz="4" w:space="0" w:color="000000"/>
              <w:right w:val="single" w:sz="4" w:space="0" w:color="000000"/>
            </w:tcBorders>
            <w:hideMark/>
          </w:tcPr>
          <w:p w:rsidR="003872A2" w:rsidRPr="00AD39C4" w:rsidRDefault="00AD39C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Nacionālais tiesību akts neparedz stingrākas prasības.</w:t>
            </w:r>
          </w:p>
        </w:tc>
      </w:tr>
      <w:tr w:rsidR="003872A2" w:rsidRPr="00012515" w:rsidTr="007406A3">
        <w:trPr>
          <w:trHeight w:val="913"/>
        </w:trPr>
        <w:tc>
          <w:tcPr>
            <w:tcW w:w="1338" w:type="pct"/>
            <w:tcBorders>
              <w:top w:val="single" w:sz="4" w:space="0" w:color="000000"/>
              <w:left w:val="single" w:sz="4" w:space="0" w:color="000000"/>
              <w:bottom w:val="single" w:sz="4" w:space="0" w:color="000000"/>
              <w:right w:val="single" w:sz="4" w:space="0" w:color="000000"/>
            </w:tcBorders>
          </w:tcPr>
          <w:p w:rsidR="003872A2" w:rsidRPr="00AD39C4" w:rsidRDefault="00AD39C4" w:rsidP="00AD39C4">
            <w:pPr>
              <w:spacing w:after="0" w:line="240" w:lineRule="auto"/>
              <w:rPr>
                <w:rFonts w:ascii="Times New Roman" w:eastAsia="Times New Roman" w:hAnsi="Times New Roman" w:cs="Times New Roman"/>
                <w:sz w:val="26"/>
                <w:szCs w:val="26"/>
              </w:rPr>
            </w:pPr>
            <w:r w:rsidRPr="00AD39C4">
              <w:rPr>
                <w:rFonts w:ascii="Times New Roman" w:hAnsi="Times New Roman" w:cs="Times New Roman"/>
                <w:sz w:val="26"/>
                <w:szCs w:val="26"/>
              </w:rPr>
              <w:t>1.panta 2.punkts</w:t>
            </w:r>
          </w:p>
        </w:tc>
        <w:tc>
          <w:tcPr>
            <w:tcW w:w="1315" w:type="pct"/>
            <w:tcBorders>
              <w:top w:val="single" w:sz="4" w:space="0" w:color="000000"/>
              <w:left w:val="single" w:sz="4" w:space="0" w:color="000000"/>
              <w:bottom w:val="single" w:sz="4" w:space="0" w:color="000000"/>
              <w:right w:val="single" w:sz="4" w:space="0" w:color="000000"/>
            </w:tcBorders>
          </w:tcPr>
          <w:p w:rsidR="003872A2" w:rsidRPr="00AD39C4" w:rsidRDefault="00E60A1A" w:rsidP="00287BE5">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P</w:t>
            </w:r>
            <w:r w:rsidR="00090F64" w:rsidRPr="00AD39C4">
              <w:rPr>
                <w:rFonts w:ascii="Times New Roman" w:hAnsi="Times New Roman" w:cs="Times New Roman"/>
                <w:sz w:val="26"/>
                <w:szCs w:val="26"/>
              </w:rPr>
              <w:t xml:space="preserve">rojekta </w:t>
            </w:r>
            <w:r w:rsidR="00287BE5">
              <w:rPr>
                <w:rFonts w:ascii="Times New Roman" w:hAnsi="Times New Roman" w:cs="Times New Roman"/>
                <w:sz w:val="26"/>
                <w:szCs w:val="26"/>
              </w:rPr>
              <w:t xml:space="preserve">9. un </w:t>
            </w:r>
            <w:r w:rsidR="00090F64" w:rsidRPr="00287BE5">
              <w:rPr>
                <w:rFonts w:ascii="Times New Roman" w:hAnsi="Times New Roman" w:cs="Times New Roman"/>
                <w:sz w:val="26"/>
                <w:szCs w:val="26"/>
              </w:rPr>
              <w:t>2</w:t>
            </w:r>
            <w:r w:rsidR="00287BE5" w:rsidRPr="00287BE5">
              <w:rPr>
                <w:rFonts w:ascii="Times New Roman" w:hAnsi="Times New Roman" w:cs="Times New Roman"/>
                <w:sz w:val="26"/>
                <w:szCs w:val="26"/>
              </w:rPr>
              <w:t>5</w:t>
            </w:r>
            <w:r w:rsidR="00090F64" w:rsidRPr="00287BE5">
              <w:rPr>
                <w:rFonts w:ascii="Times New Roman" w:hAnsi="Times New Roman" w:cs="Times New Roman"/>
                <w:sz w:val="26"/>
                <w:szCs w:val="26"/>
              </w:rPr>
              <w:t>.punkts.</w:t>
            </w:r>
          </w:p>
        </w:tc>
        <w:tc>
          <w:tcPr>
            <w:tcW w:w="1095" w:type="pct"/>
            <w:tcBorders>
              <w:top w:val="single" w:sz="4" w:space="0" w:color="000000"/>
              <w:left w:val="single" w:sz="4" w:space="0" w:color="000000"/>
              <w:bottom w:val="single" w:sz="4" w:space="0" w:color="000000"/>
              <w:right w:val="single" w:sz="4" w:space="0" w:color="000000"/>
            </w:tcBorders>
          </w:tcPr>
          <w:p w:rsidR="003872A2" w:rsidRPr="00AD39C4" w:rsidRDefault="00AD39C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Pārņemts daļēji</w:t>
            </w:r>
          </w:p>
        </w:tc>
        <w:tc>
          <w:tcPr>
            <w:tcW w:w="1252" w:type="pct"/>
            <w:tcBorders>
              <w:top w:val="single" w:sz="4" w:space="0" w:color="000000"/>
              <w:left w:val="single" w:sz="4" w:space="0" w:color="000000"/>
              <w:bottom w:val="single" w:sz="4" w:space="0" w:color="000000"/>
              <w:right w:val="single" w:sz="4" w:space="0" w:color="000000"/>
            </w:tcBorders>
          </w:tcPr>
          <w:p w:rsidR="003872A2" w:rsidRPr="00AD39C4" w:rsidRDefault="00090F6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Nacionālais tiesību akts neparedz stingrākas prasības.</w:t>
            </w:r>
          </w:p>
        </w:tc>
      </w:tr>
      <w:tr w:rsidR="00AD39C4" w:rsidRPr="00012515" w:rsidTr="007406A3">
        <w:tc>
          <w:tcPr>
            <w:tcW w:w="1338" w:type="pct"/>
            <w:tcBorders>
              <w:top w:val="single" w:sz="4" w:space="0" w:color="000000"/>
              <w:left w:val="single" w:sz="4" w:space="0" w:color="000000"/>
              <w:bottom w:val="single" w:sz="4" w:space="0" w:color="000000"/>
              <w:right w:val="single" w:sz="4" w:space="0" w:color="000000"/>
            </w:tcBorders>
          </w:tcPr>
          <w:p w:rsidR="00AD39C4" w:rsidRPr="00AD39C4" w:rsidRDefault="00AD39C4" w:rsidP="00AD39C4">
            <w:pPr>
              <w:spacing w:after="0" w:line="240" w:lineRule="auto"/>
              <w:rPr>
                <w:rFonts w:ascii="Times New Roman" w:eastAsia="Times New Roman" w:hAnsi="Times New Roman" w:cs="Times New Roman"/>
                <w:sz w:val="26"/>
                <w:szCs w:val="26"/>
              </w:rPr>
            </w:pPr>
            <w:r w:rsidRPr="00AD39C4">
              <w:rPr>
                <w:rFonts w:ascii="Times New Roman" w:hAnsi="Times New Roman" w:cs="Times New Roman"/>
                <w:sz w:val="26"/>
                <w:szCs w:val="26"/>
              </w:rPr>
              <w:t>1.panta 3.punkts</w:t>
            </w:r>
          </w:p>
        </w:tc>
        <w:tc>
          <w:tcPr>
            <w:tcW w:w="1315" w:type="pct"/>
            <w:tcBorders>
              <w:top w:val="single" w:sz="4" w:space="0" w:color="000000"/>
              <w:left w:val="single" w:sz="4" w:space="0" w:color="000000"/>
              <w:bottom w:val="single" w:sz="4" w:space="0" w:color="000000"/>
              <w:right w:val="single" w:sz="4" w:space="0" w:color="000000"/>
            </w:tcBorders>
          </w:tcPr>
          <w:p w:rsidR="00AD39C4" w:rsidRPr="00AD39C4" w:rsidRDefault="00E60A1A" w:rsidP="00090F6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w:t>
            </w:r>
            <w:r w:rsidR="00090F64" w:rsidRPr="00AD39C4">
              <w:rPr>
                <w:rFonts w:ascii="Times New Roman" w:hAnsi="Times New Roman" w:cs="Times New Roman"/>
                <w:sz w:val="26"/>
                <w:szCs w:val="26"/>
              </w:rPr>
              <w:t xml:space="preserve">rojekta </w:t>
            </w:r>
            <w:r w:rsidR="00287BE5">
              <w:rPr>
                <w:rFonts w:ascii="Times New Roman" w:hAnsi="Times New Roman" w:cs="Times New Roman"/>
                <w:sz w:val="26"/>
                <w:szCs w:val="26"/>
              </w:rPr>
              <w:t>7</w:t>
            </w:r>
            <w:r w:rsidR="00090F64" w:rsidRPr="00AD39C4">
              <w:rPr>
                <w:rFonts w:ascii="Times New Roman" w:hAnsi="Times New Roman" w:cs="Times New Roman"/>
                <w:sz w:val="26"/>
                <w:szCs w:val="26"/>
              </w:rPr>
              <w:t>.punkts</w:t>
            </w:r>
            <w:r w:rsidR="00090F64">
              <w:rPr>
                <w:rFonts w:ascii="Times New Roman" w:hAnsi="Times New Roman" w:cs="Times New Roman"/>
                <w:sz w:val="26"/>
                <w:szCs w:val="26"/>
              </w:rPr>
              <w:t>.</w:t>
            </w:r>
          </w:p>
        </w:tc>
        <w:tc>
          <w:tcPr>
            <w:tcW w:w="1095" w:type="pct"/>
            <w:tcBorders>
              <w:top w:val="single" w:sz="4" w:space="0" w:color="000000"/>
              <w:left w:val="single" w:sz="4" w:space="0" w:color="000000"/>
              <w:bottom w:val="single" w:sz="4" w:space="0" w:color="000000"/>
              <w:right w:val="single" w:sz="4" w:space="0" w:color="000000"/>
            </w:tcBorders>
          </w:tcPr>
          <w:p w:rsidR="00AD39C4" w:rsidRPr="00AD39C4" w:rsidRDefault="00090F64" w:rsidP="00090F64">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 xml:space="preserve">Pārņemts </w:t>
            </w:r>
            <w:r>
              <w:rPr>
                <w:rFonts w:ascii="Times New Roman" w:hAnsi="Times New Roman" w:cs="Times New Roman"/>
                <w:sz w:val="26"/>
                <w:szCs w:val="26"/>
              </w:rPr>
              <w:t>pilnībā</w:t>
            </w:r>
          </w:p>
        </w:tc>
        <w:tc>
          <w:tcPr>
            <w:tcW w:w="1252" w:type="pct"/>
            <w:tcBorders>
              <w:top w:val="single" w:sz="4" w:space="0" w:color="000000"/>
              <w:left w:val="single" w:sz="4" w:space="0" w:color="000000"/>
              <w:bottom w:val="single" w:sz="4" w:space="0" w:color="000000"/>
              <w:right w:val="single" w:sz="4" w:space="0" w:color="000000"/>
            </w:tcBorders>
          </w:tcPr>
          <w:p w:rsidR="00AD39C4" w:rsidRPr="00AD39C4" w:rsidRDefault="00090F6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Nacionālais tiesību akts neparedz stingrākas prasības.</w:t>
            </w:r>
          </w:p>
        </w:tc>
      </w:tr>
      <w:tr w:rsidR="00AD39C4" w:rsidRPr="00012515" w:rsidTr="007406A3">
        <w:tc>
          <w:tcPr>
            <w:tcW w:w="1338" w:type="pct"/>
            <w:tcBorders>
              <w:top w:val="single" w:sz="4" w:space="0" w:color="000000"/>
              <w:left w:val="single" w:sz="4" w:space="0" w:color="000000"/>
              <w:bottom w:val="single" w:sz="4" w:space="0" w:color="000000"/>
              <w:right w:val="single" w:sz="4" w:space="0" w:color="000000"/>
            </w:tcBorders>
          </w:tcPr>
          <w:p w:rsidR="00AD39C4" w:rsidRPr="00AD39C4" w:rsidRDefault="00AD39C4" w:rsidP="00AD39C4">
            <w:pPr>
              <w:spacing w:after="0" w:line="240" w:lineRule="auto"/>
              <w:rPr>
                <w:rFonts w:ascii="Times New Roman" w:eastAsia="Times New Roman" w:hAnsi="Times New Roman" w:cs="Times New Roman"/>
                <w:sz w:val="26"/>
                <w:szCs w:val="26"/>
              </w:rPr>
            </w:pPr>
            <w:r w:rsidRPr="00AD39C4">
              <w:rPr>
                <w:rFonts w:ascii="Times New Roman" w:hAnsi="Times New Roman" w:cs="Times New Roman"/>
                <w:sz w:val="26"/>
                <w:szCs w:val="26"/>
              </w:rPr>
              <w:t>1.panta 4.punkts</w:t>
            </w:r>
          </w:p>
        </w:tc>
        <w:tc>
          <w:tcPr>
            <w:tcW w:w="1315" w:type="pct"/>
            <w:tcBorders>
              <w:top w:val="single" w:sz="4" w:space="0" w:color="000000"/>
              <w:left w:val="single" w:sz="4" w:space="0" w:color="000000"/>
              <w:bottom w:val="single" w:sz="4" w:space="0" w:color="000000"/>
              <w:right w:val="single" w:sz="4" w:space="0" w:color="000000"/>
            </w:tcBorders>
          </w:tcPr>
          <w:p w:rsidR="00AD39C4" w:rsidRPr="00AD39C4" w:rsidRDefault="00E60A1A"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w:t>
            </w:r>
            <w:r w:rsidR="00090F64" w:rsidRPr="00AD39C4">
              <w:rPr>
                <w:rFonts w:ascii="Times New Roman" w:hAnsi="Times New Roman" w:cs="Times New Roman"/>
                <w:sz w:val="26"/>
                <w:szCs w:val="26"/>
              </w:rPr>
              <w:t>rojekta</w:t>
            </w:r>
            <w:r w:rsidR="00090F64">
              <w:rPr>
                <w:rFonts w:ascii="Times New Roman" w:hAnsi="Times New Roman" w:cs="Times New Roman"/>
                <w:sz w:val="26"/>
                <w:szCs w:val="26"/>
              </w:rPr>
              <w:t xml:space="preserve"> pielikums.</w:t>
            </w:r>
          </w:p>
        </w:tc>
        <w:tc>
          <w:tcPr>
            <w:tcW w:w="1095" w:type="pct"/>
            <w:tcBorders>
              <w:top w:val="single" w:sz="4" w:space="0" w:color="000000"/>
              <w:left w:val="single" w:sz="4" w:space="0" w:color="000000"/>
              <w:bottom w:val="single" w:sz="4" w:space="0" w:color="000000"/>
              <w:right w:val="single" w:sz="4" w:space="0" w:color="000000"/>
            </w:tcBorders>
          </w:tcPr>
          <w:p w:rsidR="00AD39C4" w:rsidRPr="00AD39C4" w:rsidRDefault="00090F6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 xml:space="preserve">Pārņemts </w:t>
            </w:r>
            <w:r>
              <w:rPr>
                <w:rFonts w:ascii="Times New Roman" w:hAnsi="Times New Roman" w:cs="Times New Roman"/>
                <w:sz w:val="26"/>
                <w:szCs w:val="26"/>
              </w:rPr>
              <w:t>pilnībā</w:t>
            </w:r>
          </w:p>
        </w:tc>
        <w:tc>
          <w:tcPr>
            <w:tcW w:w="1252" w:type="pct"/>
            <w:tcBorders>
              <w:top w:val="single" w:sz="4" w:space="0" w:color="000000"/>
              <w:left w:val="single" w:sz="4" w:space="0" w:color="000000"/>
              <w:bottom w:val="single" w:sz="4" w:space="0" w:color="000000"/>
              <w:right w:val="single" w:sz="4" w:space="0" w:color="000000"/>
            </w:tcBorders>
          </w:tcPr>
          <w:p w:rsidR="00AD39C4" w:rsidRPr="00AD39C4" w:rsidRDefault="00090F6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Nacionālais tiesību akts neparedz stingrākas prasības.</w:t>
            </w:r>
          </w:p>
        </w:tc>
      </w:tr>
      <w:tr w:rsidR="00AD39C4" w:rsidRPr="00012515" w:rsidTr="007406A3">
        <w:tc>
          <w:tcPr>
            <w:tcW w:w="1338" w:type="pct"/>
            <w:tcBorders>
              <w:top w:val="single" w:sz="4" w:space="0" w:color="000000"/>
              <w:left w:val="single" w:sz="4" w:space="0" w:color="000000"/>
              <w:bottom w:val="single" w:sz="4" w:space="0" w:color="000000"/>
              <w:right w:val="single" w:sz="4" w:space="0" w:color="000000"/>
            </w:tcBorders>
          </w:tcPr>
          <w:p w:rsidR="00AD39C4" w:rsidRPr="00AD39C4" w:rsidRDefault="00AD39C4" w:rsidP="00AD39C4">
            <w:pPr>
              <w:spacing w:after="0" w:line="240" w:lineRule="auto"/>
              <w:rPr>
                <w:rFonts w:ascii="Times New Roman" w:eastAsia="Times New Roman" w:hAnsi="Times New Roman" w:cs="Times New Roman"/>
                <w:sz w:val="26"/>
                <w:szCs w:val="26"/>
              </w:rPr>
            </w:pPr>
            <w:r w:rsidRPr="00AD39C4">
              <w:rPr>
                <w:rFonts w:ascii="Times New Roman" w:hAnsi="Times New Roman" w:cs="Times New Roman"/>
                <w:sz w:val="26"/>
                <w:szCs w:val="26"/>
              </w:rPr>
              <w:t>1.panta 6.punkts</w:t>
            </w:r>
          </w:p>
        </w:tc>
        <w:tc>
          <w:tcPr>
            <w:tcW w:w="1315" w:type="pct"/>
            <w:tcBorders>
              <w:top w:val="single" w:sz="4" w:space="0" w:color="000000"/>
              <w:left w:val="single" w:sz="4" w:space="0" w:color="000000"/>
              <w:bottom w:val="single" w:sz="4" w:space="0" w:color="000000"/>
              <w:right w:val="single" w:sz="4" w:space="0" w:color="000000"/>
            </w:tcBorders>
          </w:tcPr>
          <w:p w:rsidR="00AD39C4" w:rsidRPr="00AD39C4" w:rsidRDefault="00E60A1A" w:rsidP="00B30B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w:t>
            </w:r>
            <w:r w:rsidR="00090F64" w:rsidRPr="00AD39C4">
              <w:rPr>
                <w:rFonts w:ascii="Times New Roman" w:hAnsi="Times New Roman" w:cs="Times New Roman"/>
                <w:sz w:val="26"/>
                <w:szCs w:val="26"/>
              </w:rPr>
              <w:t>rojekta</w:t>
            </w:r>
            <w:r w:rsidR="00090F64">
              <w:rPr>
                <w:rFonts w:ascii="Times New Roman" w:hAnsi="Times New Roman" w:cs="Times New Roman"/>
                <w:sz w:val="26"/>
                <w:szCs w:val="26"/>
              </w:rPr>
              <w:t xml:space="preserve"> </w:t>
            </w:r>
            <w:r w:rsidR="00B30BC2">
              <w:rPr>
                <w:rFonts w:ascii="Times New Roman" w:hAnsi="Times New Roman" w:cs="Times New Roman"/>
                <w:sz w:val="26"/>
                <w:szCs w:val="26"/>
              </w:rPr>
              <w:t>30</w:t>
            </w:r>
            <w:r w:rsidR="00090F64" w:rsidRPr="00494181">
              <w:rPr>
                <w:rFonts w:ascii="Times New Roman" w:hAnsi="Times New Roman" w:cs="Times New Roman"/>
                <w:sz w:val="26"/>
                <w:szCs w:val="26"/>
              </w:rPr>
              <w:t>.punkts.</w:t>
            </w:r>
          </w:p>
        </w:tc>
        <w:tc>
          <w:tcPr>
            <w:tcW w:w="1095" w:type="pct"/>
            <w:tcBorders>
              <w:top w:val="single" w:sz="4" w:space="0" w:color="000000"/>
              <w:left w:val="single" w:sz="4" w:space="0" w:color="000000"/>
              <w:bottom w:val="single" w:sz="4" w:space="0" w:color="000000"/>
              <w:right w:val="single" w:sz="4" w:space="0" w:color="000000"/>
            </w:tcBorders>
          </w:tcPr>
          <w:p w:rsidR="00AD39C4" w:rsidRPr="00AD39C4" w:rsidRDefault="00090F64" w:rsidP="003872A2">
            <w:pPr>
              <w:spacing w:after="0" w:line="240" w:lineRule="auto"/>
              <w:jc w:val="both"/>
              <w:rPr>
                <w:rFonts w:ascii="Times New Roman" w:eastAsia="Times New Roman" w:hAnsi="Times New Roman" w:cs="Times New Roman"/>
                <w:sz w:val="26"/>
                <w:szCs w:val="26"/>
              </w:rPr>
            </w:pPr>
            <w:r w:rsidRPr="00AD39C4">
              <w:rPr>
                <w:rFonts w:ascii="Times New Roman" w:hAnsi="Times New Roman" w:cs="Times New Roman"/>
                <w:sz w:val="26"/>
                <w:szCs w:val="26"/>
              </w:rPr>
              <w:t>Pārņemts daļēji</w:t>
            </w:r>
          </w:p>
        </w:tc>
        <w:tc>
          <w:tcPr>
            <w:tcW w:w="1252" w:type="pct"/>
            <w:tcBorders>
              <w:top w:val="single" w:sz="4" w:space="0" w:color="000000"/>
              <w:left w:val="single" w:sz="4" w:space="0" w:color="000000"/>
              <w:bottom w:val="single" w:sz="4" w:space="0" w:color="000000"/>
              <w:right w:val="single" w:sz="4" w:space="0" w:color="000000"/>
            </w:tcBorders>
          </w:tcPr>
          <w:p w:rsidR="00AD39C4" w:rsidRPr="00AD39C4" w:rsidRDefault="00090F64" w:rsidP="003872A2">
            <w:pPr>
              <w:spacing w:after="0" w:line="240" w:lineRule="auto"/>
              <w:jc w:val="both"/>
              <w:rPr>
                <w:rFonts w:ascii="Times New Roman" w:eastAsia="Times New Roman" w:hAnsi="Times New Roman" w:cs="Times New Roman"/>
                <w:sz w:val="26"/>
                <w:szCs w:val="26"/>
              </w:rPr>
            </w:pPr>
            <w:r w:rsidRPr="00090F64">
              <w:rPr>
                <w:rFonts w:ascii="Times New Roman" w:hAnsi="Times New Roman" w:cs="Times New Roman"/>
                <w:sz w:val="26"/>
                <w:szCs w:val="26"/>
              </w:rPr>
              <w:t>Nacionālais tiesību akts neparedz stingrākas prasības.</w:t>
            </w:r>
          </w:p>
        </w:tc>
      </w:tr>
      <w:tr w:rsidR="00AD39C4" w:rsidRPr="00012515" w:rsidTr="007406A3">
        <w:tc>
          <w:tcPr>
            <w:tcW w:w="1338" w:type="pct"/>
            <w:tcBorders>
              <w:top w:val="single" w:sz="4" w:space="0" w:color="000000"/>
              <w:left w:val="single" w:sz="4" w:space="0" w:color="000000"/>
              <w:bottom w:val="single" w:sz="4" w:space="0" w:color="000000"/>
              <w:right w:val="single" w:sz="4" w:space="0" w:color="000000"/>
            </w:tcBorders>
          </w:tcPr>
          <w:p w:rsidR="00AD39C4" w:rsidRPr="00AD39C4" w:rsidRDefault="00AD39C4" w:rsidP="00AD39C4">
            <w:pPr>
              <w:spacing w:after="0" w:line="240" w:lineRule="auto"/>
              <w:rPr>
                <w:rFonts w:ascii="Times New Roman" w:eastAsia="Times New Roman" w:hAnsi="Times New Roman" w:cs="Times New Roman"/>
                <w:sz w:val="26"/>
                <w:szCs w:val="26"/>
              </w:rPr>
            </w:pPr>
            <w:r w:rsidRPr="00AD39C4">
              <w:rPr>
                <w:rFonts w:ascii="Times New Roman" w:hAnsi="Times New Roman" w:cs="Times New Roman"/>
                <w:sz w:val="26"/>
                <w:szCs w:val="26"/>
              </w:rPr>
              <w:lastRenderedPageBreak/>
              <w:t>1.panta 7.punkts</w:t>
            </w:r>
          </w:p>
        </w:tc>
        <w:tc>
          <w:tcPr>
            <w:tcW w:w="1315" w:type="pct"/>
            <w:tcBorders>
              <w:top w:val="single" w:sz="4" w:space="0" w:color="000000"/>
              <w:left w:val="single" w:sz="4" w:space="0" w:color="000000"/>
              <w:bottom w:val="single" w:sz="4" w:space="0" w:color="000000"/>
              <w:right w:val="single" w:sz="4" w:space="0" w:color="000000"/>
            </w:tcBorders>
          </w:tcPr>
          <w:p w:rsidR="00AD39C4" w:rsidRPr="00AD39C4" w:rsidRDefault="00DD7932" w:rsidP="003872A2">
            <w:pPr>
              <w:spacing w:after="0" w:line="240" w:lineRule="auto"/>
              <w:jc w:val="both"/>
              <w:rPr>
                <w:rFonts w:ascii="Times New Roman" w:hAnsi="Times New Roman" w:cs="Times New Roman"/>
                <w:sz w:val="26"/>
                <w:szCs w:val="26"/>
              </w:rPr>
            </w:pPr>
            <w:r w:rsidRPr="00DD7932">
              <w:rPr>
                <w:rFonts w:ascii="Times New Roman" w:hAnsi="Times New Roman" w:cs="Times New Roman"/>
                <w:bCs/>
                <w:sz w:val="26"/>
                <w:szCs w:val="26"/>
              </w:rPr>
              <w:t>Latvijas Administratīvo pārkāpumu kodeksa 159.</w:t>
            </w:r>
            <w:r w:rsidRPr="00DD7932">
              <w:rPr>
                <w:rFonts w:ascii="Times New Roman" w:hAnsi="Times New Roman" w:cs="Times New Roman"/>
                <w:bCs/>
                <w:sz w:val="26"/>
                <w:szCs w:val="26"/>
                <w:vertAlign w:val="superscript"/>
              </w:rPr>
              <w:t>9</w:t>
            </w:r>
            <w:r w:rsidRPr="00DD7932">
              <w:rPr>
                <w:rFonts w:ascii="Times New Roman" w:hAnsi="Times New Roman" w:cs="Times New Roman"/>
                <w:bCs/>
                <w:sz w:val="26"/>
                <w:szCs w:val="26"/>
              </w:rPr>
              <w:t xml:space="preserve"> panta pirmā un otrā daļa.</w:t>
            </w:r>
          </w:p>
        </w:tc>
        <w:tc>
          <w:tcPr>
            <w:tcW w:w="1095" w:type="pct"/>
            <w:tcBorders>
              <w:top w:val="single" w:sz="4" w:space="0" w:color="000000"/>
              <w:left w:val="single" w:sz="4" w:space="0" w:color="000000"/>
              <w:bottom w:val="single" w:sz="4" w:space="0" w:color="000000"/>
              <w:right w:val="single" w:sz="4" w:space="0" w:color="000000"/>
            </w:tcBorders>
          </w:tcPr>
          <w:p w:rsidR="00AD39C4" w:rsidRPr="00AD39C4" w:rsidRDefault="00DD7932" w:rsidP="003872A2">
            <w:pPr>
              <w:spacing w:after="0" w:line="240" w:lineRule="auto"/>
              <w:jc w:val="both"/>
              <w:rPr>
                <w:rFonts w:ascii="Times New Roman" w:eastAsia="Times New Roman" w:hAnsi="Times New Roman" w:cs="Times New Roman"/>
                <w:sz w:val="26"/>
                <w:szCs w:val="26"/>
              </w:rPr>
            </w:pPr>
            <w:r w:rsidRPr="00090F64">
              <w:rPr>
                <w:rFonts w:ascii="Times New Roman" w:hAnsi="Times New Roman" w:cs="Times New Roman"/>
                <w:sz w:val="26"/>
                <w:szCs w:val="26"/>
              </w:rPr>
              <w:t>Pārņemts pilnībā</w:t>
            </w:r>
          </w:p>
        </w:tc>
        <w:tc>
          <w:tcPr>
            <w:tcW w:w="1252" w:type="pct"/>
            <w:tcBorders>
              <w:top w:val="single" w:sz="4" w:space="0" w:color="000000"/>
              <w:left w:val="single" w:sz="4" w:space="0" w:color="000000"/>
              <w:bottom w:val="single" w:sz="4" w:space="0" w:color="000000"/>
              <w:right w:val="single" w:sz="4" w:space="0" w:color="000000"/>
            </w:tcBorders>
          </w:tcPr>
          <w:p w:rsidR="00AD39C4" w:rsidRPr="00AD39C4" w:rsidRDefault="00DD7932" w:rsidP="003872A2">
            <w:pPr>
              <w:spacing w:after="0" w:line="240" w:lineRule="auto"/>
              <w:jc w:val="both"/>
              <w:rPr>
                <w:rFonts w:ascii="Times New Roman" w:eastAsia="Times New Roman" w:hAnsi="Times New Roman" w:cs="Times New Roman"/>
                <w:sz w:val="26"/>
                <w:szCs w:val="26"/>
              </w:rPr>
            </w:pPr>
            <w:r w:rsidRPr="00090F64">
              <w:rPr>
                <w:rFonts w:ascii="Times New Roman" w:hAnsi="Times New Roman" w:cs="Times New Roman"/>
                <w:sz w:val="26"/>
                <w:szCs w:val="26"/>
              </w:rPr>
              <w:t>Nacionālais tiesību akts neparedz stingrākas prasības.</w:t>
            </w:r>
          </w:p>
        </w:tc>
      </w:tr>
      <w:tr w:rsidR="00C17FFC" w:rsidRPr="00012515" w:rsidTr="007406A3">
        <w:tc>
          <w:tcPr>
            <w:tcW w:w="1338" w:type="pct"/>
            <w:tcBorders>
              <w:top w:val="single" w:sz="4" w:space="0" w:color="000000"/>
              <w:left w:val="single" w:sz="4" w:space="0" w:color="000000"/>
              <w:bottom w:val="single" w:sz="4" w:space="0" w:color="000000"/>
              <w:right w:val="single" w:sz="4" w:space="0" w:color="000000"/>
            </w:tcBorders>
          </w:tcPr>
          <w:p w:rsidR="00C17FFC" w:rsidRPr="00AD39C4" w:rsidRDefault="00C17FFC" w:rsidP="00C17FFC">
            <w:pPr>
              <w:spacing w:after="0" w:line="240" w:lineRule="auto"/>
              <w:rPr>
                <w:rFonts w:ascii="Times New Roman" w:hAnsi="Times New Roman" w:cs="Times New Roman"/>
                <w:sz w:val="26"/>
                <w:szCs w:val="26"/>
              </w:rPr>
            </w:pPr>
            <w:r w:rsidRPr="00AD39C4">
              <w:rPr>
                <w:rFonts w:ascii="Times New Roman" w:hAnsi="Times New Roman" w:cs="Times New Roman"/>
                <w:sz w:val="26"/>
                <w:szCs w:val="26"/>
              </w:rPr>
              <w:t xml:space="preserve">1.panta </w:t>
            </w:r>
            <w:r w:rsidR="004F6C56">
              <w:rPr>
                <w:rFonts w:ascii="Times New Roman" w:hAnsi="Times New Roman" w:cs="Times New Roman"/>
                <w:sz w:val="26"/>
                <w:szCs w:val="26"/>
              </w:rPr>
              <w:t>9</w:t>
            </w:r>
            <w:r w:rsidRPr="00AD39C4">
              <w:rPr>
                <w:rFonts w:ascii="Times New Roman" w:hAnsi="Times New Roman" w:cs="Times New Roman"/>
                <w:sz w:val="26"/>
                <w:szCs w:val="26"/>
              </w:rPr>
              <w:t>.punkts</w:t>
            </w:r>
          </w:p>
        </w:tc>
        <w:tc>
          <w:tcPr>
            <w:tcW w:w="1315" w:type="pct"/>
            <w:tcBorders>
              <w:top w:val="single" w:sz="4" w:space="0" w:color="000000"/>
              <w:left w:val="single" w:sz="4" w:space="0" w:color="000000"/>
              <w:bottom w:val="single" w:sz="4" w:space="0" w:color="000000"/>
              <w:right w:val="single" w:sz="4" w:space="0" w:color="000000"/>
            </w:tcBorders>
          </w:tcPr>
          <w:p w:rsidR="00C17FFC" w:rsidRPr="00DD7932" w:rsidRDefault="00E60A1A" w:rsidP="003872A2">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P</w:t>
            </w:r>
            <w:r w:rsidR="00C17FFC" w:rsidRPr="00AD39C4">
              <w:rPr>
                <w:rFonts w:ascii="Times New Roman" w:hAnsi="Times New Roman" w:cs="Times New Roman"/>
                <w:sz w:val="26"/>
                <w:szCs w:val="26"/>
              </w:rPr>
              <w:t>rojekta</w:t>
            </w:r>
            <w:r w:rsidR="00C17FFC">
              <w:rPr>
                <w:rFonts w:ascii="Times New Roman" w:hAnsi="Times New Roman" w:cs="Times New Roman"/>
                <w:sz w:val="26"/>
                <w:szCs w:val="26"/>
              </w:rPr>
              <w:t xml:space="preserve"> </w:t>
            </w:r>
            <w:r w:rsidR="001A27F2" w:rsidRPr="004C4D05">
              <w:rPr>
                <w:rFonts w:ascii="Times New Roman" w:hAnsi="Times New Roman" w:cs="Times New Roman"/>
                <w:sz w:val="26"/>
                <w:szCs w:val="26"/>
              </w:rPr>
              <w:t>pārējie iepriekš neminētie punkti.</w:t>
            </w:r>
          </w:p>
        </w:tc>
        <w:tc>
          <w:tcPr>
            <w:tcW w:w="1095" w:type="pct"/>
            <w:tcBorders>
              <w:top w:val="single" w:sz="4" w:space="0" w:color="000000"/>
              <w:left w:val="single" w:sz="4" w:space="0" w:color="000000"/>
              <w:bottom w:val="single" w:sz="4" w:space="0" w:color="000000"/>
              <w:right w:val="single" w:sz="4" w:space="0" w:color="000000"/>
            </w:tcBorders>
          </w:tcPr>
          <w:p w:rsidR="00C17FFC" w:rsidRPr="00090F64" w:rsidRDefault="00C17FFC" w:rsidP="003872A2">
            <w:pPr>
              <w:spacing w:after="0" w:line="240" w:lineRule="auto"/>
              <w:jc w:val="both"/>
              <w:rPr>
                <w:rFonts w:ascii="Times New Roman" w:hAnsi="Times New Roman" w:cs="Times New Roman"/>
                <w:sz w:val="26"/>
                <w:szCs w:val="26"/>
              </w:rPr>
            </w:pPr>
            <w:r w:rsidRPr="00090F64">
              <w:rPr>
                <w:rFonts w:ascii="Times New Roman" w:hAnsi="Times New Roman" w:cs="Times New Roman"/>
                <w:sz w:val="26"/>
                <w:szCs w:val="26"/>
              </w:rPr>
              <w:t>Pārņemts pilnībā</w:t>
            </w:r>
          </w:p>
        </w:tc>
        <w:tc>
          <w:tcPr>
            <w:tcW w:w="1252" w:type="pct"/>
            <w:tcBorders>
              <w:top w:val="single" w:sz="4" w:space="0" w:color="000000"/>
              <w:left w:val="single" w:sz="4" w:space="0" w:color="000000"/>
              <w:bottom w:val="single" w:sz="4" w:space="0" w:color="000000"/>
              <w:right w:val="single" w:sz="4" w:space="0" w:color="000000"/>
            </w:tcBorders>
          </w:tcPr>
          <w:p w:rsidR="00C17FFC" w:rsidRPr="00090F64" w:rsidRDefault="00C17FFC" w:rsidP="003872A2">
            <w:pPr>
              <w:spacing w:after="0" w:line="240" w:lineRule="auto"/>
              <w:jc w:val="both"/>
              <w:rPr>
                <w:rFonts w:ascii="Times New Roman" w:hAnsi="Times New Roman" w:cs="Times New Roman"/>
                <w:sz w:val="26"/>
                <w:szCs w:val="26"/>
              </w:rPr>
            </w:pPr>
            <w:r w:rsidRPr="00090F64">
              <w:rPr>
                <w:rFonts w:ascii="Times New Roman" w:hAnsi="Times New Roman" w:cs="Times New Roman"/>
                <w:sz w:val="26"/>
                <w:szCs w:val="26"/>
              </w:rPr>
              <w:t>Nacionālais tiesību akts neparedz stingrākas prasības.</w:t>
            </w:r>
          </w:p>
        </w:tc>
      </w:tr>
      <w:tr w:rsidR="00E60A1A" w:rsidRPr="00012515" w:rsidTr="007406A3">
        <w:tc>
          <w:tcPr>
            <w:tcW w:w="1338" w:type="pct"/>
            <w:tcBorders>
              <w:top w:val="single" w:sz="4" w:space="0" w:color="000000"/>
              <w:left w:val="single" w:sz="4" w:space="0" w:color="000000"/>
              <w:bottom w:val="single" w:sz="4" w:space="0" w:color="000000"/>
              <w:right w:val="single" w:sz="4" w:space="0" w:color="000000"/>
            </w:tcBorders>
          </w:tcPr>
          <w:p w:rsidR="00E60A1A" w:rsidRPr="00AD39C4" w:rsidRDefault="00E60A1A" w:rsidP="00E60A1A">
            <w:pPr>
              <w:spacing w:after="0" w:line="240" w:lineRule="auto"/>
              <w:rPr>
                <w:rFonts w:ascii="Times New Roman" w:hAnsi="Times New Roman" w:cs="Times New Roman"/>
                <w:sz w:val="26"/>
                <w:szCs w:val="26"/>
              </w:rPr>
            </w:pPr>
            <w:r>
              <w:rPr>
                <w:rFonts w:ascii="Times New Roman" w:hAnsi="Times New Roman" w:cs="Times New Roman"/>
                <w:sz w:val="26"/>
                <w:szCs w:val="26"/>
              </w:rPr>
              <w:t>Pielikums, Terminu definīcijas</w:t>
            </w:r>
          </w:p>
        </w:tc>
        <w:tc>
          <w:tcPr>
            <w:tcW w:w="1315" w:type="pct"/>
            <w:tcBorders>
              <w:top w:val="single" w:sz="4" w:space="0" w:color="000000"/>
              <w:left w:val="single" w:sz="4" w:space="0" w:color="000000"/>
              <w:bottom w:val="single" w:sz="4" w:space="0" w:color="000000"/>
              <w:right w:val="single" w:sz="4" w:space="0" w:color="000000"/>
            </w:tcBorders>
          </w:tcPr>
          <w:p w:rsidR="00E60A1A" w:rsidRPr="00AD39C4" w:rsidRDefault="00E60A1A"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Projekta 2.punkts</w:t>
            </w:r>
            <w:r w:rsidR="00045C9B">
              <w:rPr>
                <w:rFonts w:ascii="Times New Roman" w:hAnsi="Times New Roman" w:cs="Times New Roman"/>
                <w:sz w:val="26"/>
                <w:szCs w:val="26"/>
              </w:rPr>
              <w:t>.</w:t>
            </w:r>
          </w:p>
        </w:tc>
        <w:tc>
          <w:tcPr>
            <w:tcW w:w="1095" w:type="pct"/>
            <w:tcBorders>
              <w:top w:val="single" w:sz="4" w:space="0" w:color="000000"/>
              <w:left w:val="single" w:sz="4" w:space="0" w:color="000000"/>
              <w:bottom w:val="single" w:sz="4" w:space="0" w:color="000000"/>
              <w:right w:val="single" w:sz="4" w:space="0" w:color="000000"/>
            </w:tcBorders>
          </w:tcPr>
          <w:p w:rsidR="00E60A1A" w:rsidRPr="00090F64" w:rsidRDefault="00E60A1A"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Pārņemts pilnībā</w:t>
            </w:r>
          </w:p>
        </w:tc>
        <w:tc>
          <w:tcPr>
            <w:tcW w:w="1252" w:type="pct"/>
            <w:tcBorders>
              <w:top w:val="single" w:sz="4" w:space="0" w:color="000000"/>
              <w:left w:val="single" w:sz="4" w:space="0" w:color="000000"/>
              <w:bottom w:val="single" w:sz="4" w:space="0" w:color="000000"/>
              <w:right w:val="single" w:sz="4" w:space="0" w:color="000000"/>
            </w:tcBorders>
          </w:tcPr>
          <w:p w:rsidR="00E60A1A" w:rsidRPr="00090F64" w:rsidRDefault="00E60A1A" w:rsidP="00E60A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Nacionālais tiesību akts neparedz stingrākas prasības.</w:t>
            </w:r>
          </w:p>
        </w:tc>
      </w:tr>
      <w:tr w:rsidR="00E60A1A" w:rsidRPr="00012515" w:rsidTr="007406A3">
        <w:tc>
          <w:tcPr>
            <w:tcW w:w="1338" w:type="pct"/>
            <w:tcBorders>
              <w:top w:val="single" w:sz="4" w:space="0" w:color="000000"/>
              <w:left w:val="single" w:sz="4" w:space="0" w:color="000000"/>
              <w:bottom w:val="single" w:sz="4" w:space="0" w:color="000000"/>
              <w:right w:val="single" w:sz="4" w:space="0" w:color="000000"/>
            </w:tcBorders>
          </w:tcPr>
          <w:p w:rsidR="00E60A1A" w:rsidRPr="00AD39C4" w:rsidRDefault="00E60A1A" w:rsidP="00C17FFC">
            <w:pPr>
              <w:spacing w:after="0" w:line="240" w:lineRule="auto"/>
              <w:rPr>
                <w:rFonts w:ascii="Times New Roman" w:hAnsi="Times New Roman" w:cs="Times New Roman"/>
                <w:sz w:val="26"/>
                <w:szCs w:val="26"/>
              </w:rPr>
            </w:pPr>
            <w:r>
              <w:rPr>
                <w:rFonts w:ascii="Times New Roman" w:hAnsi="Times New Roman" w:cs="Times New Roman"/>
                <w:sz w:val="26"/>
                <w:szCs w:val="26"/>
              </w:rPr>
              <w:t>Pielikums, Pārskatu sniegšanas vispārējās prasības</w:t>
            </w:r>
          </w:p>
        </w:tc>
        <w:tc>
          <w:tcPr>
            <w:tcW w:w="1315" w:type="pct"/>
            <w:tcBorders>
              <w:top w:val="single" w:sz="4" w:space="0" w:color="000000"/>
              <w:left w:val="single" w:sz="4" w:space="0" w:color="000000"/>
              <w:bottom w:val="single" w:sz="4" w:space="0" w:color="000000"/>
              <w:right w:val="single" w:sz="4" w:space="0" w:color="000000"/>
            </w:tcBorders>
          </w:tcPr>
          <w:p w:rsidR="00E60A1A" w:rsidRPr="00AD39C4" w:rsidRDefault="00E60A1A"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Projekta 3</w:t>
            </w:r>
            <w:r w:rsidR="00045C9B">
              <w:rPr>
                <w:rFonts w:ascii="Times New Roman" w:hAnsi="Times New Roman" w:cs="Times New Roman"/>
                <w:sz w:val="26"/>
                <w:szCs w:val="26"/>
              </w:rPr>
              <w:t>. – 17.punkts.</w:t>
            </w:r>
          </w:p>
        </w:tc>
        <w:tc>
          <w:tcPr>
            <w:tcW w:w="1095" w:type="pct"/>
            <w:tcBorders>
              <w:top w:val="single" w:sz="4" w:space="0" w:color="000000"/>
              <w:left w:val="single" w:sz="4" w:space="0" w:color="000000"/>
              <w:bottom w:val="single" w:sz="4" w:space="0" w:color="000000"/>
              <w:right w:val="single" w:sz="4" w:space="0" w:color="000000"/>
            </w:tcBorders>
          </w:tcPr>
          <w:p w:rsidR="00E60A1A" w:rsidRPr="00090F64" w:rsidRDefault="00045C9B"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Pārņemts pilnībā</w:t>
            </w:r>
          </w:p>
        </w:tc>
        <w:tc>
          <w:tcPr>
            <w:tcW w:w="1252" w:type="pct"/>
            <w:tcBorders>
              <w:top w:val="single" w:sz="4" w:space="0" w:color="000000"/>
              <w:left w:val="single" w:sz="4" w:space="0" w:color="000000"/>
              <w:bottom w:val="single" w:sz="4" w:space="0" w:color="000000"/>
              <w:right w:val="single" w:sz="4" w:space="0" w:color="000000"/>
            </w:tcBorders>
          </w:tcPr>
          <w:p w:rsidR="00E60A1A" w:rsidRPr="00090F64" w:rsidRDefault="00045C9B"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Nacionālais tiesību akts neparedz stingrākas prasības.</w:t>
            </w:r>
          </w:p>
        </w:tc>
      </w:tr>
      <w:tr w:rsidR="00E60A1A" w:rsidRPr="00012515" w:rsidTr="007406A3">
        <w:tc>
          <w:tcPr>
            <w:tcW w:w="1338" w:type="pct"/>
            <w:tcBorders>
              <w:top w:val="single" w:sz="4" w:space="0" w:color="000000"/>
              <w:left w:val="single" w:sz="4" w:space="0" w:color="000000"/>
              <w:bottom w:val="single" w:sz="4" w:space="0" w:color="000000"/>
              <w:right w:val="single" w:sz="4" w:space="0" w:color="000000"/>
            </w:tcBorders>
          </w:tcPr>
          <w:p w:rsidR="00E60A1A" w:rsidRPr="00AD39C4" w:rsidRDefault="004902F0" w:rsidP="00C17FF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Pielikums, Pārskats par katru valsti, </w:t>
            </w:r>
            <w:r w:rsidRPr="004902F0">
              <w:rPr>
                <w:rFonts w:ascii="Times New Roman" w:hAnsi="Times New Roman" w:cs="Times New Roman"/>
                <w:sz w:val="26"/>
                <w:szCs w:val="26"/>
              </w:rPr>
              <w:t>Vispārīgās norādes attiecībā uz pārskata par katru valsti aizpildīšanu</w:t>
            </w:r>
          </w:p>
        </w:tc>
        <w:tc>
          <w:tcPr>
            <w:tcW w:w="1315" w:type="pct"/>
            <w:tcBorders>
              <w:top w:val="single" w:sz="4" w:space="0" w:color="000000"/>
              <w:left w:val="single" w:sz="4" w:space="0" w:color="000000"/>
              <w:bottom w:val="single" w:sz="4" w:space="0" w:color="000000"/>
              <w:right w:val="single" w:sz="4" w:space="0" w:color="000000"/>
            </w:tcBorders>
          </w:tcPr>
          <w:p w:rsidR="00E60A1A" w:rsidRPr="00AD39C4" w:rsidRDefault="004902F0"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Projekta 21. – 23.punkts.</w:t>
            </w:r>
          </w:p>
        </w:tc>
        <w:tc>
          <w:tcPr>
            <w:tcW w:w="1095" w:type="pct"/>
            <w:tcBorders>
              <w:top w:val="single" w:sz="4" w:space="0" w:color="000000"/>
              <w:left w:val="single" w:sz="4" w:space="0" w:color="000000"/>
              <w:bottom w:val="single" w:sz="4" w:space="0" w:color="000000"/>
              <w:right w:val="single" w:sz="4" w:space="0" w:color="000000"/>
            </w:tcBorders>
          </w:tcPr>
          <w:p w:rsidR="00E60A1A" w:rsidRPr="00090F64" w:rsidRDefault="004902F0"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Pārņemts pilnībā</w:t>
            </w:r>
          </w:p>
        </w:tc>
        <w:tc>
          <w:tcPr>
            <w:tcW w:w="1252" w:type="pct"/>
            <w:tcBorders>
              <w:top w:val="single" w:sz="4" w:space="0" w:color="000000"/>
              <w:left w:val="single" w:sz="4" w:space="0" w:color="000000"/>
              <w:bottom w:val="single" w:sz="4" w:space="0" w:color="000000"/>
              <w:right w:val="single" w:sz="4" w:space="0" w:color="000000"/>
            </w:tcBorders>
          </w:tcPr>
          <w:p w:rsidR="00E60A1A" w:rsidRPr="00090F64" w:rsidRDefault="004902F0" w:rsidP="003872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Nacionālais tiesību akts neparedz stingrākas prasības.</w:t>
            </w:r>
          </w:p>
        </w:tc>
      </w:tr>
      <w:tr w:rsidR="00012515" w:rsidRPr="00012515" w:rsidTr="00494181">
        <w:tc>
          <w:tcPr>
            <w:tcW w:w="133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Kā ir izmantota ES tiesību aktā paredzētā rīcības brīvība dalībvalstij pārņemt vai ieviest noteiktas ES tiesību akta normas?</w:t>
            </w:r>
            <w:r w:rsidRPr="00012515">
              <w:rPr>
                <w:rFonts w:ascii="Times New Roman" w:eastAsia="Times New Roman" w:hAnsi="Times New Roman" w:cs="Times New Roman"/>
                <w:sz w:val="20"/>
                <w:szCs w:val="20"/>
              </w:rPr>
              <w:br/>
              <w:t>Kādēļ?</w:t>
            </w:r>
          </w:p>
        </w:tc>
        <w:tc>
          <w:tcPr>
            <w:tcW w:w="366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r w:rsidRPr="00012515">
              <w:rPr>
                <w:rFonts w:ascii="Times New Roman" w:eastAsia="Times New Roman" w:hAnsi="Times New Roman" w:cs="Times New Roman"/>
                <w:sz w:val="26"/>
                <w:szCs w:val="26"/>
              </w:rPr>
              <w:t>Projekts šo jomu neskar.</w:t>
            </w:r>
          </w:p>
        </w:tc>
      </w:tr>
      <w:tr w:rsidR="00012515" w:rsidRPr="00012515" w:rsidTr="00494181">
        <w:tc>
          <w:tcPr>
            <w:tcW w:w="133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r w:rsidRPr="00012515">
              <w:rPr>
                <w:rFonts w:ascii="Times New Roman" w:eastAsia="Times New Roman" w:hAnsi="Times New Roman" w:cs="Times New Roman"/>
                <w:sz w:val="20"/>
                <w:szCs w:val="20"/>
              </w:rPr>
              <w:t>Saistības sniegt paziņojumu ES institūcijām un ES dalībvalstīm atbilstoši normatīvajiem aktiem, kas regulē informācijas sniegšanu par tehnisko noteikumu, valsts atbalsta piešķiršanas un finanšu noteikumu (attiecībā uz monetāro</w:t>
            </w:r>
            <w:r w:rsidRPr="00012515">
              <w:rPr>
                <w:rFonts w:ascii="Times New Roman" w:eastAsia="Times New Roman" w:hAnsi="Times New Roman" w:cs="Times New Roman"/>
                <w:color w:val="414142"/>
                <w:sz w:val="20"/>
                <w:szCs w:val="20"/>
              </w:rPr>
              <w:t xml:space="preserve"> </w:t>
            </w:r>
            <w:r w:rsidRPr="00012515">
              <w:rPr>
                <w:rFonts w:ascii="Times New Roman" w:eastAsia="Times New Roman" w:hAnsi="Times New Roman" w:cs="Times New Roman"/>
                <w:sz w:val="20"/>
                <w:szCs w:val="20"/>
              </w:rPr>
              <w:t>politiku) projektiem</w:t>
            </w:r>
          </w:p>
        </w:tc>
        <w:tc>
          <w:tcPr>
            <w:tcW w:w="366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p>
        </w:tc>
      </w:tr>
      <w:tr w:rsidR="00012515" w:rsidRPr="00012515" w:rsidTr="00494181">
        <w:tc>
          <w:tcPr>
            <w:tcW w:w="133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Cita informācija</w:t>
            </w:r>
          </w:p>
        </w:tc>
        <w:tc>
          <w:tcPr>
            <w:tcW w:w="3662" w:type="pct"/>
            <w:gridSpan w:val="3"/>
            <w:tcBorders>
              <w:top w:val="single" w:sz="4" w:space="0" w:color="000000"/>
              <w:left w:val="single" w:sz="4" w:space="0" w:color="000000"/>
              <w:bottom w:val="single" w:sz="4" w:space="0" w:color="000000"/>
              <w:right w:val="single" w:sz="4" w:space="0" w:color="000000"/>
            </w:tcBorders>
            <w:hideMark/>
          </w:tcPr>
          <w:p w:rsidR="002A7DFA" w:rsidRPr="00096644" w:rsidRDefault="00D61AB2" w:rsidP="00433E72">
            <w:pPr>
              <w:spacing w:after="0" w:line="240" w:lineRule="auto"/>
              <w:jc w:val="both"/>
              <w:rPr>
                <w:rFonts w:ascii="Times New Roman" w:eastAsia="Times New Roman" w:hAnsi="Times New Roman" w:cs="Times New Roman"/>
                <w:bCs/>
                <w:iCs/>
                <w:sz w:val="26"/>
                <w:szCs w:val="26"/>
              </w:rPr>
            </w:pPr>
            <w:r w:rsidRPr="00D61AB2">
              <w:rPr>
                <w:rFonts w:ascii="Times New Roman" w:eastAsia="Times New Roman" w:hAnsi="Times New Roman" w:cs="Times New Roman"/>
                <w:bCs/>
                <w:iCs/>
                <w:sz w:val="26"/>
                <w:szCs w:val="26"/>
              </w:rPr>
              <w:t>Padomes 2016.gada 25.maija direktīvas (ES) 2016/881, ar ko Direktīvu 2011/16/ES groza attiecībā uz obligātu automātisku informācijas apmaiņu nodokļu jomā</w:t>
            </w:r>
            <w:r w:rsidR="004F6C56">
              <w:rPr>
                <w:rFonts w:ascii="Times New Roman" w:eastAsia="Times New Roman" w:hAnsi="Times New Roman" w:cs="Times New Roman"/>
                <w:bCs/>
                <w:iCs/>
                <w:sz w:val="26"/>
                <w:szCs w:val="26"/>
              </w:rPr>
              <w:t>,</w:t>
            </w:r>
            <w:r>
              <w:rPr>
                <w:rFonts w:ascii="Times New Roman" w:eastAsia="Times New Roman" w:hAnsi="Times New Roman" w:cs="Times New Roman"/>
                <w:bCs/>
                <w:iCs/>
                <w:sz w:val="26"/>
                <w:szCs w:val="26"/>
              </w:rPr>
              <w:t xml:space="preserve"> </w:t>
            </w:r>
            <w:r w:rsidR="004F6C56">
              <w:rPr>
                <w:rFonts w:ascii="Times New Roman" w:eastAsia="Times New Roman" w:hAnsi="Times New Roman" w:cs="Times New Roman"/>
                <w:bCs/>
                <w:iCs/>
                <w:sz w:val="26"/>
                <w:szCs w:val="26"/>
              </w:rPr>
              <w:t>1.</w:t>
            </w:r>
            <w:r>
              <w:rPr>
                <w:rFonts w:ascii="Times New Roman" w:eastAsia="Times New Roman" w:hAnsi="Times New Roman" w:cs="Times New Roman"/>
                <w:bCs/>
                <w:iCs/>
                <w:sz w:val="26"/>
                <w:szCs w:val="26"/>
              </w:rPr>
              <w:t xml:space="preserve">panta 2.punktā noteiktais </w:t>
            </w:r>
            <w:r w:rsidR="005D11AF">
              <w:rPr>
                <w:rFonts w:ascii="Times New Roman" w:eastAsia="Times New Roman" w:hAnsi="Times New Roman" w:cs="Times New Roman"/>
                <w:bCs/>
                <w:iCs/>
                <w:sz w:val="26"/>
                <w:szCs w:val="26"/>
              </w:rPr>
              <w:t>attiecībā uz nepieciešamo pasākumu veikšanu, lai nodrošinātu</w:t>
            </w:r>
            <w:r>
              <w:rPr>
                <w:rFonts w:ascii="Times New Roman" w:eastAsia="Times New Roman" w:hAnsi="Times New Roman" w:cs="Times New Roman"/>
                <w:bCs/>
                <w:iCs/>
                <w:sz w:val="26"/>
                <w:szCs w:val="26"/>
              </w:rPr>
              <w:t xml:space="preserve"> starptautiskas grupas pārskata par katru valsti </w:t>
            </w:r>
            <w:r w:rsidR="005D11AF">
              <w:rPr>
                <w:rFonts w:ascii="Times New Roman" w:eastAsia="Times New Roman" w:hAnsi="Times New Roman" w:cs="Times New Roman"/>
                <w:bCs/>
                <w:iCs/>
                <w:sz w:val="26"/>
                <w:szCs w:val="26"/>
              </w:rPr>
              <w:t>sniegšanu</w:t>
            </w:r>
            <w:r w:rsidR="004F6C56">
              <w:rPr>
                <w:rFonts w:ascii="Times New Roman" w:eastAsia="Times New Roman" w:hAnsi="Times New Roman" w:cs="Times New Roman"/>
                <w:bCs/>
                <w:iCs/>
                <w:sz w:val="26"/>
                <w:szCs w:val="26"/>
              </w:rPr>
              <w:t>,</w:t>
            </w:r>
            <w:r w:rsidR="005D11AF">
              <w:rPr>
                <w:rFonts w:ascii="Times New Roman" w:eastAsia="Times New Roman" w:hAnsi="Times New Roman" w:cs="Times New Roman"/>
                <w:bCs/>
                <w:iCs/>
                <w:sz w:val="26"/>
                <w:szCs w:val="26"/>
              </w:rPr>
              <w:t xml:space="preserve"> </w:t>
            </w:r>
            <w:r w:rsidR="002A7DFA" w:rsidRPr="002A7DFA">
              <w:rPr>
                <w:rFonts w:ascii="Times New Roman" w:eastAsia="Times New Roman" w:hAnsi="Times New Roman" w:cs="Times New Roman"/>
                <w:sz w:val="26"/>
                <w:szCs w:val="26"/>
              </w:rPr>
              <w:t xml:space="preserve">tika pārņemtas ar grozījumiem likumā “Par nodokļiem un nodevām”, kas </w:t>
            </w:r>
            <w:r w:rsidR="00433E72">
              <w:rPr>
                <w:rFonts w:ascii="Times New Roman" w:eastAsia="Times New Roman" w:hAnsi="Times New Roman" w:cs="Times New Roman"/>
                <w:sz w:val="26"/>
                <w:szCs w:val="26"/>
              </w:rPr>
              <w:t>pieņemts</w:t>
            </w:r>
            <w:r w:rsidR="002A7DFA" w:rsidRPr="001C3296">
              <w:rPr>
                <w:rFonts w:ascii="Times New Roman" w:eastAsia="Times New Roman" w:hAnsi="Times New Roman" w:cs="Times New Roman"/>
                <w:sz w:val="26"/>
                <w:szCs w:val="26"/>
              </w:rPr>
              <w:t xml:space="preserve"> 201</w:t>
            </w:r>
            <w:r w:rsidRPr="001C3296">
              <w:rPr>
                <w:rFonts w:ascii="Times New Roman" w:eastAsia="Times New Roman" w:hAnsi="Times New Roman" w:cs="Times New Roman"/>
                <w:sz w:val="26"/>
                <w:szCs w:val="26"/>
              </w:rPr>
              <w:t>7</w:t>
            </w:r>
            <w:r w:rsidR="002A7DFA" w:rsidRPr="001C3296">
              <w:rPr>
                <w:rFonts w:ascii="Times New Roman" w:eastAsia="Times New Roman" w:hAnsi="Times New Roman" w:cs="Times New Roman"/>
                <w:sz w:val="26"/>
                <w:szCs w:val="26"/>
              </w:rPr>
              <w:t>.gada</w:t>
            </w:r>
            <w:r w:rsidR="00096644" w:rsidRPr="001C3296">
              <w:rPr>
                <w:rFonts w:ascii="Times New Roman" w:eastAsia="Times New Roman" w:hAnsi="Times New Roman" w:cs="Times New Roman"/>
                <w:sz w:val="26"/>
                <w:szCs w:val="26"/>
              </w:rPr>
              <w:t xml:space="preserve"> </w:t>
            </w:r>
            <w:r w:rsidR="00433E72">
              <w:rPr>
                <w:rFonts w:ascii="Times New Roman" w:eastAsia="Times New Roman" w:hAnsi="Times New Roman" w:cs="Times New Roman"/>
                <w:sz w:val="26"/>
                <w:szCs w:val="26"/>
              </w:rPr>
              <w:t>8.jūnijā</w:t>
            </w:r>
            <w:r w:rsidR="00DB590A">
              <w:rPr>
                <w:rFonts w:ascii="Times New Roman" w:eastAsia="Times New Roman" w:hAnsi="Times New Roman" w:cs="Times New Roman"/>
                <w:sz w:val="26"/>
                <w:szCs w:val="26"/>
              </w:rPr>
              <w:t>.</w:t>
            </w:r>
          </w:p>
        </w:tc>
      </w:tr>
    </w:tbl>
    <w:p w:rsidR="00FF7B3D" w:rsidRPr="00D97FA9" w:rsidRDefault="00FF7B3D" w:rsidP="00012515">
      <w:pPr>
        <w:spacing w:after="0" w:line="240" w:lineRule="auto"/>
        <w:rPr>
          <w:rFonts w:ascii="Times New Roman" w:eastAsia="Times New Roman" w:hAnsi="Times New Roman" w:cs="Times New Roman"/>
          <w:sz w:val="28"/>
          <w:szCs w:val="28"/>
        </w:rPr>
      </w:pPr>
    </w:p>
    <w:tbl>
      <w:tblPr>
        <w:tblW w:w="506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7"/>
        <w:gridCol w:w="2831"/>
        <w:gridCol w:w="5705"/>
      </w:tblGrid>
      <w:tr w:rsidR="00012515" w:rsidRPr="00012515" w:rsidTr="00E23B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12515" w:rsidRPr="00012515" w:rsidRDefault="00012515" w:rsidP="00012515">
            <w:pPr>
              <w:spacing w:after="0" w:line="240" w:lineRule="auto"/>
              <w:ind w:firstLine="300"/>
              <w:jc w:val="center"/>
              <w:rPr>
                <w:rFonts w:ascii="Times New Roman" w:eastAsia="Times New Roman" w:hAnsi="Times New Roman" w:cs="Times New Roman"/>
                <w:b/>
                <w:bCs/>
                <w:sz w:val="24"/>
                <w:szCs w:val="24"/>
                <w:lang w:eastAsia="lv-LV"/>
              </w:rPr>
            </w:pPr>
            <w:r w:rsidRPr="00012515">
              <w:rPr>
                <w:rFonts w:ascii="Times New Roman" w:eastAsia="Times New Roman" w:hAnsi="Times New Roman" w:cs="Times New Roman"/>
                <w:b/>
                <w:bCs/>
                <w:sz w:val="24"/>
                <w:szCs w:val="24"/>
                <w:lang w:eastAsia="lv-LV"/>
              </w:rPr>
              <w:t>2.tabula</w:t>
            </w:r>
            <w:r w:rsidRPr="00012515">
              <w:rPr>
                <w:rFonts w:ascii="Times New Roman" w:eastAsia="Times New Roman" w:hAnsi="Times New Roman" w:cs="Times New Roman"/>
                <w:b/>
                <w:bCs/>
                <w:sz w:val="24"/>
                <w:szCs w:val="24"/>
                <w:lang w:eastAsia="lv-LV"/>
              </w:rPr>
              <w:br/>
              <w:t xml:space="preserve">Ar tiesību akta projektu izpildītās vai uzņemtās saistības, kas izriet no starptautiskajiem tiesību aktiem vai starptautiskas institūcijas vai organizācijas </w:t>
            </w:r>
            <w:r w:rsidRPr="00012515">
              <w:rPr>
                <w:rFonts w:ascii="Times New Roman" w:eastAsia="Times New Roman" w:hAnsi="Times New Roman" w:cs="Times New Roman"/>
                <w:b/>
                <w:bCs/>
                <w:sz w:val="24"/>
                <w:szCs w:val="24"/>
                <w:lang w:eastAsia="lv-LV"/>
              </w:rPr>
              <w:lastRenderedPageBreak/>
              <w:t>dokumentiem.</w:t>
            </w:r>
            <w:r w:rsidRPr="00012515">
              <w:rPr>
                <w:rFonts w:ascii="Times New Roman" w:eastAsia="Times New Roman" w:hAnsi="Times New Roman" w:cs="Times New Roman"/>
                <w:b/>
                <w:bCs/>
                <w:sz w:val="24"/>
                <w:szCs w:val="24"/>
                <w:lang w:eastAsia="lv-LV"/>
              </w:rPr>
              <w:br/>
              <w:t>Pasākumi šo saistību izpildei</w:t>
            </w:r>
          </w:p>
        </w:tc>
      </w:tr>
      <w:tr w:rsidR="00012515" w:rsidRPr="00012515" w:rsidTr="00E23B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12515" w:rsidRPr="00012515" w:rsidRDefault="00012515" w:rsidP="00012515">
            <w:pPr>
              <w:spacing w:after="0" w:line="240" w:lineRule="auto"/>
              <w:jc w:val="center"/>
              <w:rPr>
                <w:rFonts w:ascii="Times New Roman" w:eastAsia="Times New Roman" w:hAnsi="Times New Roman" w:cs="Times New Roman"/>
                <w:sz w:val="24"/>
                <w:szCs w:val="24"/>
                <w:lang w:eastAsia="lv-LV"/>
              </w:rPr>
            </w:pPr>
            <w:r w:rsidRPr="006A5DD9">
              <w:rPr>
                <w:rFonts w:ascii="Times New Roman" w:eastAsia="Times New Roman" w:hAnsi="Times New Roman" w:cs="Times New Roman"/>
                <w:sz w:val="26"/>
                <w:szCs w:val="26"/>
              </w:rPr>
              <w:lastRenderedPageBreak/>
              <w:t>Projekts šo jomu neskar.</w:t>
            </w:r>
          </w:p>
        </w:tc>
      </w:tr>
      <w:tr w:rsidR="00012515" w:rsidRPr="00012515" w:rsidTr="00E2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4997"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D97FA9">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b/>
                <w:bCs/>
                <w:sz w:val="26"/>
                <w:szCs w:val="26"/>
                <w:lang w:eastAsia="lv-LV"/>
              </w:rPr>
              <w:t>VI. Sabiedrības līdzdalība un komunikācijas aktivitātes</w:t>
            </w:r>
          </w:p>
        </w:tc>
      </w:tr>
      <w:tr w:rsidR="00012515" w:rsidRPr="00012515" w:rsidTr="00E2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27"/>
        </w:trPr>
        <w:tc>
          <w:tcPr>
            <w:tcW w:w="296"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156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Plānotās sabiedrības līdzdalības un komunikācijas aktivitātes saistībā ar projektu</w:t>
            </w:r>
          </w:p>
        </w:tc>
        <w:tc>
          <w:tcPr>
            <w:tcW w:w="3141"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4C3B8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 xml:space="preserve">Informācija par projekta uzsākšanu </w:t>
            </w:r>
            <w:r w:rsidR="004C3B85">
              <w:rPr>
                <w:rFonts w:ascii="Times New Roman" w:eastAsia="Times New Roman" w:hAnsi="Times New Roman" w:cs="Times New Roman"/>
                <w:sz w:val="26"/>
                <w:szCs w:val="26"/>
              </w:rPr>
              <w:t xml:space="preserve">2017.gada 12.aprīlī </w:t>
            </w:r>
            <w:r w:rsidRPr="00012515">
              <w:rPr>
                <w:rFonts w:ascii="Times New Roman" w:eastAsia="Times New Roman" w:hAnsi="Times New Roman" w:cs="Times New Roman"/>
                <w:sz w:val="26"/>
                <w:szCs w:val="26"/>
              </w:rPr>
              <w:t>ir ievietota Finanšu ministrijas mājas lapā sadaļā “Sabiedrības līdzdalība”.</w:t>
            </w:r>
          </w:p>
        </w:tc>
      </w:tr>
      <w:tr w:rsidR="00012515" w:rsidRPr="00012515" w:rsidTr="00E2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63"/>
        </w:trPr>
        <w:tc>
          <w:tcPr>
            <w:tcW w:w="296"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2.</w:t>
            </w:r>
          </w:p>
        </w:tc>
        <w:tc>
          <w:tcPr>
            <w:tcW w:w="156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Sabiedrības līdzdalība projekta izstrādē</w:t>
            </w:r>
          </w:p>
        </w:tc>
        <w:tc>
          <w:tcPr>
            <w:tcW w:w="3141"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Diskusiju dokuments.</w:t>
            </w:r>
          </w:p>
        </w:tc>
      </w:tr>
      <w:tr w:rsidR="00012515" w:rsidRPr="00012515" w:rsidTr="00E2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81"/>
        </w:trPr>
        <w:tc>
          <w:tcPr>
            <w:tcW w:w="296"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3.</w:t>
            </w:r>
          </w:p>
        </w:tc>
        <w:tc>
          <w:tcPr>
            <w:tcW w:w="156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Sabiedrības līdzdalības rezultāti</w:t>
            </w:r>
          </w:p>
        </w:tc>
        <w:tc>
          <w:tcPr>
            <w:tcW w:w="3141"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012515" w:rsidRPr="00012515" w:rsidTr="00E2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87"/>
        </w:trPr>
        <w:tc>
          <w:tcPr>
            <w:tcW w:w="296"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156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3141"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Pr="00012515" w:rsidRDefault="00012515" w:rsidP="00012515">
      <w:pPr>
        <w:spacing w:after="0" w:line="240" w:lineRule="auto"/>
        <w:rPr>
          <w:rFonts w:ascii="Times New Roman" w:eastAsia="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0"/>
        <w:gridCol w:w="5699"/>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bCs/>
                <w:sz w:val="26"/>
                <w:szCs w:val="26"/>
                <w:lang w:eastAsia="lv-LV"/>
              </w:rPr>
              <w:t>VII. Tiesību akta projekta izpildes nodrošināšana un tās ietekme uz institūcijām</w:t>
            </w:r>
          </w:p>
        </w:tc>
      </w:tr>
      <w:tr w:rsidR="00012515" w:rsidRPr="00012515" w:rsidTr="00012515">
        <w:trPr>
          <w:trHeight w:val="42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izpildē iesaistītās institūcijas</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Informācijas apmaiņu nodrošinās Valsts ieņēmumu dienests.</w:t>
            </w:r>
          </w:p>
        </w:tc>
      </w:tr>
      <w:tr w:rsidR="00012515" w:rsidRPr="00012515" w:rsidTr="00012515">
        <w:trPr>
          <w:trHeight w:val="463"/>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highlight w:val="yellow"/>
                <w:lang w:eastAsia="lv-LV"/>
              </w:rPr>
            </w:pPr>
            <w:r w:rsidRPr="00012515">
              <w:rPr>
                <w:rFonts w:ascii="Times New Roman" w:eastAsia="Times New Roman" w:hAnsi="Times New Roman" w:cs="Times New Roman"/>
                <w:sz w:val="26"/>
                <w:szCs w:val="26"/>
                <w:lang w:eastAsia="lv-LV"/>
              </w:rPr>
              <w:t> 2.</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izpildes ietekme uz pārvaldes funkcijām un institucionālo struktūru.</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Likumprojekts neparedz veidot jaunas institūcijas, reorganizēt vai likvidēt esošās institūcijas.</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Likumprojekta izpilde tiks nodrošināta esošo cilvēkresursu ietvaros.</w:t>
            </w:r>
          </w:p>
        </w:tc>
      </w:tr>
      <w:tr w:rsidR="00012515" w:rsidRPr="00012515" w:rsidTr="00012515">
        <w:trPr>
          <w:trHeight w:val="70"/>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highlight w:val="yellow"/>
                <w:lang w:eastAsia="lv-LV"/>
              </w:rPr>
            </w:pPr>
            <w:r w:rsidRPr="00012515">
              <w:rPr>
                <w:rFonts w:ascii="Times New Roman" w:eastAsia="Times New Roman" w:hAnsi="Times New Roman" w:cs="Times New Roman"/>
                <w:sz w:val="26"/>
                <w:szCs w:val="26"/>
                <w:lang w:eastAsia="lv-LV"/>
              </w:rPr>
              <w:t> 3.</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Nav</w:t>
            </w:r>
          </w:p>
        </w:tc>
      </w:tr>
    </w:tbl>
    <w:p w:rsidR="00012515" w:rsidRDefault="00012515"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AE2A47" w:rsidRDefault="00AE2A47"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AE2A47" w:rsidRPr="00012515" w:rsidRDefault="00AE2A47"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r w:rsidRPr="00AE2A47">
        <w:rPr>
          <w:rFonts w:ascii="Times New Roman" w:eastAsia="Times New Roman" w:hAnsi="Times New Roman" w:cs="Times New Roman"/>
          <w:sz w:val="28"/>
          <w:szCs w:val="28"/>
          <w:lang w:eastAsia="lv-LV"/>
        </w:rPr>
        <w:t>Anotācijas IV sadaļa – projekts š</w:t>
      </w:r>
      <w:r w:rsidR="004C3B85">
        <w:rPr>
          <w:rFonts w:ascii="Times New Roman" w:eastAsia="Times New Roman" w:hAnsi="Times New Roman" w:cs="Times New Roman"/>
          <w:sz w:val="28"/>
          <w:szCs w:val="28"/>
          <w:lang w:eastAsia="lv-LV"/>
        </w:rPr>
        <w:t>o</w:t>
      </w:r>
      <w:r w:rsidRPr="00AE2A47">
        <w:rPr>
          <w:rFonts w:ascii="Times New Roman" w:eastAsia="Times New Roman" w:hAnsi="Times New Roman" w:cs="Times New Roman"/>
          <w:sz w:val="28"/>
          <w:szCs w:val="28"/>
          <w:lang w:eastAsia="lv-LV"/>
        </w:rPr>
        <w:t xml:space="preserve"> jom</w:t>
      </w:r>
      <w:r w:rsidR="004C3B85">
        <w:rPr>
          <w:rFonts w:ascii="Times New Roman" w:eastAsia="Times New Roman" w:hAnsi="Times New Roman" w:cs="Times New Roman"/>
          <w:sz w:val="28"/>
          <w:szCs w:val="28"/>
          <w:lang w:eastAsia="lv-LV"/>
        </w:rPr>
        <w:t>u</w:t>
      </w:r>
      <w:r w:rsidRPr="00AE2A47">
        <w:rPr>
          <w:rFonts w:ascii="Times New Roman" w:eastAsia="Times New Roman" w:hAnsi="Times New Roman" w:cs="Times New Roman"/>
          <w:sz w:val="28"/>
          <w:szCs w:val="28"/>
          <w:lang w:eastAsia="lv-LV"/>
        </w:rPr>
        <w:t xml:space="preserve"> neskar</w:t>
      </w:r>
      <w:r>
        <w:rPr>
          <w:rFonts w:ascii="Times New Roman" w:eastAsia="Times New Roman" w:hAnsi="Times New Roman" w:cs="Times New Roman"/>
          <w:sz w:val="28"/>
          <w:szCs w:val="28"/>
          <w:lang w:eastAsia="lv-LV"/>
        </w:rPr>
        <w:t>.</w:t>
      </w:r>
    </w:p>
    <w:p w:rsidR="00012515" w:rsidRPr="00012515" w:rsidRDefault="00012515"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012515" w:rsidRPr="00012515" w:rsidRDefault="00012515" w:rsidP="00012515">
      <w:pPr>
        <w:tabs>
          <w:tab w:val="left" w:pos="709"/>
          <w:tab w:val="left" w:pos="6521"/>
          <w:tab w:val="left" w:pos="7371"/>
        </w:tabs>
        <w:spacing w:after="0" w:line="240" w:lineRule="auto"/>
        <w:rPr>
          <w:rFonts w:ascii="Times New Roman" w:eastAsia="Times New Roman" w:hAnsi="Times New Roman" w:cs="Times New Roman"/>
          <w:sz w:val="20"/>
          <w:szCs w:val="20"/>
          <w:lang w:eastAsia="lv-LV"/>
        </w:rPr>
      </w:pPr>
      <w:r w:rsidRPr="00012515">
        <w:rPr>
          <w:rFonts w:ascii="Times New Roman" w:eastAsia="Times New Roman" w:hAnsi="Times New Roman" w:cs="Times New Roman"/>
          <w:sz w:val="28"/>
          <w:szCs w:val="28"/>
          <w:lang w:eastAsia="lv-LV"/>
        </w:rPr>
        <w:t>Finanšu ministre</w:t>
      </w:r>
      <w:r w:rsidRPr="00012515">
        <w:rPr>
          <w:rFonts w:ascii="Times New Roman" w:eastAsia="Times New Roman" w:hAnsi="Times New Roman" w:cs="Times New Roman"/>
          <w:sz w:val="28"/>
          <w:szCs w:val="28"/>
          <w:lang w:eastAsia="lv-LV"/>
        </w:rPr>
        <w:tab/>
      </w:r>
      <w:proofErr w:type="spellStart"/>
      <w:r w:rsidRPr="00012515">
        <w:rPr>
          <w:rFonts w:ascii="Times New Roman" w:eastAsia="Times New Roman" w:hAnsi="Times New Roman" w:cs="Times New Roman"/>
          <w:sz w:val="28"/>
          <w:szCs w:val="28"/>
          <w:lang w:eastAsia="lv-LV"/>
        </w:rPr>
        <w:t>D.Reizniece</w:t>
      </w:r>
      <w:proofErr w:type="spellEnd"/>
      <w:r w:rsidRPr="00012515">
        <w:rPr>
          <w:rFonts w:ascii="Times New Roman" w:eastAsia="Times New Roman" w:hAnsi="Times New Roman" w:cs="Times New Roman"/>
          <w:sz w:val="28"/>
          <w:szCs w:val="28"/>
          <w:lang w:eastAsia="lv-LV"/>
        </w:rPr>
        <w:t>-Ozola</w:t>
      </w: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4C3B85" w:rsidP="000125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Auziņš</w:t>
      </w:r>
      <w:r w:rsidR="009B6E9E">
        <w:rPr>
          <w:rFonts w:ascii="Times New Roman" w:eastAsia="Times New Roman" w:hAnsi="Times New Roman" w:cs="Times New Roman"/>
          <w:sz w:val="20"/>
          <w:szCs w:val="20"/>
        </w:rPr>
        <w:t xml:space="preserve"> 67083919</w:t>
      </w:r>
    </w:p>
    <w:p w:rsidR="00ED259B" w:rsidRPr="001E4A72" w:rsidRDefault="00581EEC" w:rsidP="004036E1">
      <w:pPr>
        <w:tabs>
          <w:tab w:val="left" w:pos="720"/>
          <w:tab w:val="center" w:pos="4153"/>
          <w:tab w:val="right" w:pos="8306"/>
        </w:tabs>
        <w:snapToGrid w:val="0"/>
        <w:spacing w:after="0" w:line="240" w:lineRule="auto"/>
        <w:rPr>
          <w:rFonts w:ascii="Times New Roman" w:eastAsia="Times New Roman" w:hAnsi="Times New Roman" w:cs="Times New Roman"/>
          <w:color w:val="0000FF"/>
          <w:sz w:val="20"/>
          <w:szCs w:val="20"/>
          <w:u w:val="single"/>
        </w:rPr>
      </w:pPr>
      <w:hyperlink r:id="rId8" w:history="1">
        <w:r w:rsidR="004C3B85">
          <w:rPr>
            <w:rFonts w:ascii="Times New Roman" w:eastAsia="Times New Roman" w:hAnsi="Times New Roman" w:cs="Times New Roman"/>
            <w:color w:val="0000FF"/>
            <w:sz w:val="20"/>
            <w:szCs w:val="20"/>
            <w:u w:val="single"/>
          </w:rPr>
          <w:t>Roberts.Auzins</w:t>
        </w:r>
        <w:r w:rsidR="004C3B85" w:rsidRPr="00012515">
          <w:rPr>
            <w:rFonts w:ascii="Times New Roman" w:eastAsia="Times New Roman" w:hAnsi="Times New Roman" w:cs="Times New Roman"/>
            <w:color w:val="0000FF"/>
            <w:sz w:val="20"/>
            <w:szCs w:val="20"/>
            <w:u w:val="single"/>
          </w:rPr>
          <w:t>@fm.gov.lv</w:t>
        </w:r>
      </w:hyperlink>
    </w:p>
    <w:sectPr w:rsidR="00ED259B" w:rsidRPr="001E4A72" w:rsidSect="009B6E9E">
      <w:headerReference w:type="default" r:id="rId9"/>
      <w:footerReference w:type="default" r:id="rId10"/>
      <w:footerReference w:type="first" r:id="rId11"/>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EC" w:rsidRDefault="00581EEC" w:rsidP="008D4E14">
      <w:pPr>
        <w:spacing w:after="0" w:line="240" w:lineRule="auto"/>
      </w:pPr>
      <w:r>
        <w:separator/>
      </w:r>
    </w:p>
  </w:endnote>
  <w:endnote w:type="continuationSeparator" w:id="0">
    <w:p w:rsidR="00581EEC" w:rsidRDefault="00581EEC" w:rsidP="008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10" w:rsidRPr="00F345FD" w:rsidRDefault="00AF3610" w:rsidP="00AF3610">
    <w:pPr>
      <w:widowControl w:val="0"/>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FMAnot_070617_CbCr</w:t>
    </w:r>
  </w:p>
  <w:p w:rsidR="008D4E14" w:rsidRPr="00AF3610" w:rsidRDefault="008D4E14" w:rsidP="00AF3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E" w:rsidRPr="00F345FD" w:rsidRDefault="00AF3610" w:rsidP="009B6E9E">
    <w:pPr>
      <w:widowControl w:val="0"/>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FMAnot_070617_CbCr</w:t>
    </w:r>
  </w:p>
  <w:p w:rsidR="009B6E9E" w:rsidRDefault="009B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EC" w:rsidRDefault="00581EEC" w:rsidP="008D4E14">
      <w:pPr>
        <w:spacing w:after="0" w:line="240" w:lineRule="auto"/>
      </w:pPr>
      <w:r>
        <w:separator/>
      </w:r>
    </w:p>
  </w:footnote>
  <w:footnote w:type="continuationSeparator" w:id="0">
    <w:p w:rsidR="00581EEC" w:rsidRDefault="00581EEC" w:rsidP="008D4E14">
      <w:pPr>
        <w:spacing w:after="0" w:line="240" w:lineRule="auto"/>
      </w:pPr>
      <w:r>
        <w:continuationSeparator/>
      </w:r>
    </w:p>
  </w:footnote>
  <w:footnote w:id="1">
    <w:p w:rsidR="005B55FE" w:rsidRDefault="005B55FE" w:rsidP="005B55FE">
      <w:pPr>
        <w:pStyle w:val="FootnoteText"/>
      </w:pPr>
      <w:r>
        <w:rPr>
          <w:rStyle w:val="FootnoteReference"/>
        </w:rPr>
        <w:footnoteRef/>
      </w:r>
      <w:r>
        <w:t xml:space="preserve"> </w:t>
      </w:r>
      <w:r w:rsidRPr="008C43FB">
        <w:t>https://www.vid.gov.lv/sites/default/files/Metodiskais%20materi%C4%81ls%20zv%C4%93rin%C4%81tu%20advok%C4%81tu%20birojam.doc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336786"/>
      <w:docPartObj>
        <w:docPartGallery w:val="Page Numbers (Top of Page)"/>
        <w:docPartUnique/>
      </w:docPartObj>
    </w:sdtPr>
    <w:sdtEndPr>
      <w:rPr>
        <w:noProof/>
      </w:rPr>
    </w:sdtEndPr>
    <w:sdtContent>
      <w:p w:rsidR="009B6E9E" w:rsidRDefault="009B6E9E">
        <w:pPr>
          <w:pStyle w:val="Header"/>
          <w:jc w:val="center"/>
        </w:pPr>
        <w:r>
          <w:fldChar w:fldCharType="begin"/>
        </w:r>
        <w:r>
          <w:instrText xml:space="preserve"> PAGE   \* MERGEFORMAT </w:instrText>
        </w:r>
        <w:r>
          <w:fldChar w:fldCharType="separate"/>
        </w:r>
        <w:r w:rsidR="005C4E96">
          <w:rPr>
            <w:noProof/>
          </w:rPr>
          <w:t>8</w:t>
        </w:r>
        <w:r>
          <w:rPr>
            <w:noProof/>
          </w:rPr>
          <w:fldChar w:fldCharType="end"/>
        </w:r>
      </w:p>
    </w:sdtContent>
  </w:sdt>
  <w:p w:rsidR="009B6E9E" w:rsidRDefault="009B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71F6C"/>
    <w:multiLevelType w:val="hybridMultilevel"/>
    <w:tmpl w:val="C58C0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CA43FB"/>
    <w:multiLevelType w:val="hybridMultilevel"/>
    <w:tmpl w:val="4860F456"/>
    <w:lvl w:ilvl="0" w:tplc="04260001">
      <w:start w:val="1"/>
      <w:numFmt w:val="bullet"/>
      <w:lvlText w:val=""/>
      <w:lvlJc w:val="left"/>
      <w:pPr>
        <w:ind w:left="1157" w:hanging="360"/>
      </w:pPr>
      <w:rPr>
        <w:rFonts w:ascii="Symbol" w:hAnsi="Symbol" w:hint="default"/>
      </w:rPr>
    </w:lvl>
    <w:lvl w:ilvl="1" w:tplc="04260003" w:tentative="1">
      <w:start w:val="1"/>
      <w:numFmt w:val="bullet"/>
      <w:lvlText w:val="o"/>
      <w:lvlJc w:val="left"/>
      <w:pPr>
        <w:ind w:left="1877" w:hanging="360"/>
      </w:pPr>
      <w:rPr>
        <w:rFonts w:ascii="Courier New" w:hAnsi="Courier New" w:cs="Courier New" w:hint="default"/>
      </w:rPr>
    </w:lvl>
    <w:lvl w:ilvl="2" w:tplc="04260005" w:tentative="1">
      <w:start w:val="1"/>
      <w:numFmt w:val="bullet"/>
      <w:lvlText w:val=""/>
      <w:lvlJc w:val="left"/>
      <w:pPr>
        <w:ind w:left="2597" w:hanging="360"/>
      </w:pPr>
      <w:rPr>
        <w:rFonts w:ascii="Wingdings" w:hAnsi="Wingdings" w:hint="default"/>
      </w:rPr>
    </w:lvl>
    <w:lvl w:ilvl="3" w:tplc="04260001" w:tentative="1">
      <w:start w:val="1"/>
      <w:numFmt w:val="bullet"/>
      <w:lvlText w:val=""/>
      <w:lvlJc w:val="left"/>
      <w:pPr>
        <w:ind w:left="3317" w:hanging="360"/>
      </w:pPr>
      <w:rPr>
        <w:rFonts w:ascii="Symbol" w:hAnsi="Symbol" w:hint="default"/>
      </w:rPr>
    </w:lvl>
    <w:lvl w:ilvl="4" w:tplc="04260003" w:tentative="1">
      <w:start w:val="1"/>
      <w:numFmt w:val="bullet"/>
      <w:lvlText w:val="o"/>
      <w:lvlJc w:val="left"/>
      <w:pPr>
        <w:ind w:left="4037" w:hanging="360"/>
      </w:pPr>
      <w:rPr>
        <w:rFonts w:ascii="Courier New" w:hAnsi="Courier New" w:cs="Courier New" w:hint="default"/>
      </w:rPr>
    </w:lvl>
    <w:lvl w:ilvl="5" w:tplc="04260005" w:tentative="1">
      <w:start w:val="1"/>
      <w:numFmt w:val="bullet"/>
      <w:lvlText w:val=""/>
      <w:lvlJc w:val="left"/>
      <w:pPr>
        <w:ind w:left="4757" w:hanging="360"/>
      </w:pPr>
      <w:rPr>
        <w:rFonts w:ascii="Wingdings" w:hAnsi="Wingdings" w:hint="default"/>
      </w:rPr>
    </w:lvl>
    <w:lvl w:ilvl="6" w:tplc="04260001" w:tentative="1">
      <w:start w:val="1"/>
      <w:numFmt w:val="bullet"/>
      <w:lvlText w:val=""/>
      <w:lvlJc w:val="left"/>
      <w:pPr>
        <w:ind w:left="5477" w:hanging="360"/>
      </w:pPr>
      <w:rPr>
        <w:rFonts w:ascii="Symbol" w:hAnsi="Symbol" w:hint="default"/>
      </w:rPr>
    </w:lvl>
    <w:lvl w:ilvl="7" w:tplc="04260003" w:tentative="1">
      <w:start w:val="1"/>
      <w:numFmt w:val="bullet"/>
      <w:lvlText w:val="o"/>
      <w:lvlJc w:val="left"/>
      <w:pPr>
        <w:ind w:left="6197" w:hanging="360"/>
      </w:pPr>
      <w:rPr>
        <w:rFonts w:ascii="Courier New" w:hAnsi="Courier New" w:cs="Courier New" w:hint="default"/>
      </w:rPr>
    </w:lvl>
    <w:lvl w:ilvl="8" w:tplc="04260005" w:tentative="1">
      <w:start w:val="1"/>
      <w:numFmt w:val="bullet"/>
      <w:lvlText w:val=""/>
      <w:lvlJc w:val="left"/>
      <w:pPr>
        <w:ind w:left="6917" w:hanging="360"/>
      </w:pPr>
      <w:rPr>
        <w:rFonts w:ascii="Wingdings" w:hAnsi="Wingdings" w:hint="default"/>
      </w:rPr>
    </w:lvl>
  </w:abstractNum>
  <w:abstractNum w:abstractNumId="2">
    <w:nsid w:val="2B837D01"/>
    <w:multiLevelType w:val="hybridMultilevel"/>
    <w:tmpl w:val="A3101FC6"/>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3">
    <w:nsid w:val="366452E4"/>
    <w:multiLevelType w:val="hybridMultilevel"/>
    <w:tmpl w:val="9B3859BA"/>
    <w:lvl w:ilvl="0" w:tplc="1D58360E">
      <w:numFmt w:val="bullet"/>
      <w:lvlText w:val=""/>
      <w:lvlJc w:val="left"/>
      <w:pPr>
        <w:ind w:left="697" w:hanging="645"/>
      </w:pPr>
      <w:rPr>
        <w:rFonts w:ascii="Symbol" w:eastAsia="Calibri" w:hAnsi="Symbol" w:cs="Times New Roman" w:hint="default"/>
      </w:rPr>
    </w:lvl>
    <w:lvl w:ilvl="1" w:tplc="04260003" w:tentative="1">
      <w:start w:val="1"/>
      <w:numFmt w:val="bullet"/>
      <w:lvlText w:val="o"/>
      <w:lvlJc w:val="left"/>
      <w:pPr>
        <w:ind w:left="1132" w:hanging="360"/>
      </w:pPr>
      <w:rPr>
        <w:rFonts w:ascii="Courier New" w:hAnsi="Courier New" w:cs="Courier New" w:hint="default"/>
      </w:rPr>
    </w:lvl>
    <w:lvl w:ilvl="2" w:tplc="04260005" w:tentative="1">
      <w:start w:val="1"/>
      <w:numFmt w:val="bullet"/>
      <w:lvlText w:val=""/>
      <w:lvlJc w:val="left"/>
      <w:pPr>
        <w:ind w:left="1852" w:hanging="360"/>
      </w:pPr>
      <w:rPr>
        <w:rFonts w:ascii="Wingdings" w:hAnsi="Wingdings" w:hint="default"/>
      </w:rPr>
    </w:lvl>
    <w:lvl w:ilvl="3" w:tplc="04260001" w:tentative="1">
      <w:start w:val="1"/>
      <w:numFmt w:val="bullet"/>
      <w:lvlText w:val=""/>
      <w:lvlJc w:val="left"/>
      <w:pPr>
        <w:ind w:left="2572" w:hanging="360"/>
      </w:pPr>
      <w:rPr>
        <w:rFonts w:ascii="Symbol" w:hAnsi="Symbol" w:hint="default"/>
      </w:rPr>
    </w:lvl>
    <w:lvl w:ilvl="4" w:tplc="04260003" w:tentative="1">
      <w:start w:val="1"/>
      <w:numFmt w:val="bullet"/>
      <w:lvlText w:val="o"/>
      <w:lvlJc w:val="left"/>
      <w:pPr>
        <w:ind w:left="3292" w:hanging="360"/>
      </w:pPr>
      <w:rPr>
        <w:rFonts w:ascii="Courier New" w:hAnsi="Courier New" w:cs="Courier New" w:hint="default"/>
      </w:rPr>
    </w:lvl>
    <w:lvl w:ilvl="5" w:tplc="04260005" w:tentative="1">
      <w:start w:val="1"/>
      <w:numFmt w:val="bullet"/>
      <w:lvlText w:val=""/>
      <w:lvlJc w:val="left"/>
      <w:pPr>
        <w:ind w:left="4012" w:hanging="360"/>
      </w:pPr>
      <w:rPr>
        <w:rFonts w:ascii="Wingdings" w:hAnsi="Wingdings" w:hint="default"/>
      </w:rPr>
    </w:lvl>
    <w:lvl w:ilvl="6" w:tplc="04260001" w:tentative="1">
      <w:start w:val="1"/>
      <w:numFmt w:val="bullet"/>
      <w:lvlText w:val=""/>
      <w:lvlJc w:val="left"/>
      <w:pPr>
        <w:ind w:left="4732" w:hanging="360"/>
      </w:pPr>
      <w:rPr>
        <w:rFonts w:ascii="Symbol" w:hAnsi="Symbol" w:hint="default"/>
      </w:rPr>
    </w:lvl>
    <w:lvl w:ilvl="7" w:tplc="04260003" w:tentative="1">
      <w:start w:val="1"/>
      <w:numFmt w:val="bullet"/>
      <w:lvlText w:val="o"/>
      <w:lvlJc w:val="left"/>
      <w:pPr>
        <w:ind w:left="5452" w:hanging="360"/>
      </w:pPr>
      <w:rPr>
        <w:rFonts w:ascii="Courier New" w:hAnsi="Courier New" w:cs="Courier New" w:hint="default"/>
      </w:rPr>
    </w:lvl>
    <w:lvl w:ilvl="8" w:tplc="04260005" w:tentative="1">
      <w:start w:val="1"/>
      <w:numFmt w:val="bullet"/>
      <w:lvlText w:val=""/>
      <w:lvlJc w:val="left"/>
      <w:pPr>
        <w:ind w:left="6172" w:hanging="360"/>
      </w:pPr>
      <w:rPr>
        <w:rFonts w:ascii="Wingdings" w:hAnsi="Wingdings" w:hint="default"/>
      </w:rPr>
    </w:lvl>
  </w:abstractNum>
  <w:abstractNum w:abstractNumId="4">
    <w:nsid w:val="4CDD7CF7"/>
    <w:multiLevelType w:val="hybridMultilevel"/>
    <w:tmpl w:val="90AE0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5491D7A"/>
    <w:multiLevelType w:val="hybridMultilevel"/>
    <w:tmpl w:val="63B6C6B8"/>
    <w:lvl w:ilvl="0" w:tplc="BCBCEAE2">
      <w:numFmt w:val="bullet"/>
      <w:lvlText w:val="-"/>
      <w:lvlJc w:val="left"/>
      <w:pPr>
        <w:ind w:left="797" w:hanging="360"/>
      </w:pPr>
      <w:rPr>
        <w:rFonts w:ascii="Times New Roman" w:eastAsia="Times New Roman" w:hAnsi="Times New Roman" w:cs="Times New Roman"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15"/>
    <w:rsid w:val="000121F6"/>
    <w:rsid w:val="00012515"/>
    <w:rsid w:val="000324CA"/>
    <w:rsid w:val="00032C56"/>
    <w:rsid w:val="00045C9B"/>
    <w:rsid w:val="000646A7"/>
    <w:rsid w:val="00064D06"/>
    <w:rsid w:val="0007205B"/>
    <w:rsid w:val="00073852"/>
    <w:rsid w:val="00075F75"/>
    <w:rsid w:val="00082ADB"/>
    <w:rsid w:val="00090F64"/>
    <w:rsid w:val="000945B6"/>
    <w:rsid w:val="00096644"/>
    <w:rsid w:val="000A39D1"/>
    <w:rsid w:val="000B7670"/>
    <w:rsid w:val="000C59F7"/>
    <w:rsid w:val="000D2F01"/>
    <w:rsid w:val="000D5CA3"/>
    <w:rsid w:val="000E6A7C"/>
    <w:rsid w:val="000F0E3A"/>
    <w:rsid w:val="000F5F30"/>
    <w:rsid w:val="00123C03"/>
    <w:rsid w:val="0014499B"/>
    <w:rsid w:val="00153416"/>
    <w:rsid w:val="00187103"/>
    <w:rsid w:val="001A27F2"/>
    <w:rsid w:val="001A2FC3"/>
    <w:rsid w:val="001C3296"/>
    <w:rsid w:val="001C3933"/>
    <w:rsid w:val="001C609E"/>
    <w:rsid w:val="001D4A14"/>
    <w:rsid w:val="001E4A72"/>
    <w:rsid w:val="001F4798"/>
    <w:rsid w:val="001F6F49"/>
    <w:rsid w:val="0020203B"/>
    <w:rsid w:val="00205E46"/>
    <w:rsid w:val="00206965"/>
    <w:rsid w:val="0023275C"/>
    <w:rsid w:val="00257DEB"/>
    <w:rsid w:val="00265E8E"/>
    <w:rsid w:val="002745EF"/>
    <w:rsid w:val="00274B5B"/>
    <w:rsid w:val="00287BE5"/>
    <w:rsid w:val="002A7DFA"/>
    <w:rsid w:val="002E3C89"/>
    <w:rsid w:val="002E76E1"/>
    <w:rsid w:val="002F1E13"/>
    <w:rsid w:val="002F1E23"/>
    <w:rsid w:val="0031181B"/>
    <w:rsid w:val="0031409A"/>
    <w:rsid w:val="00315EC9"/>
    <w:rsid w:val="003434DF"/>
    <w:rsid w:val="003872A2"/>
    <w:rsid w:val="003C51BB"/>
    <w:rsid w:val="003D4FFB"/>
    <w:rsid w:val="003D67BB"/>
    <w:rsid w:val="003F450B"/>
    <w:rsid w:val="003F4572"/>
    <w:rsid w:val="004036E1"/>
    <w:rsid w:val="004201A2"/>
    <w:rsid w:val="00421AA8"/>
    <w:rsid w:val="00433E72"/>
    <w:rsid w:val="0044392A"/>
    <w:rsid w:val="00452392"/>
    <w:rsid w:val="00456613"/>
    <w:rsid w:val="00456B55"/>
    <w:rsid w:val="00471EE4"/>
    <w:rsid w:val="004902F0"/>
    <w:rsid w:val="00493685"/>
    <w:rsid w:val="00494181"/>
    <w:rsid w:val="004A2149"/>
    <w:rsid w:val="004A289F"/>
    <w:rsid w:val="004B61D8"/>
    <w:rsid w:val="004C3B85"/>
    <w:rsid w:val="004C4D05"/>
    <w:rsid w:val="004E6E7D"/>
    <w:rsid w:val="004E6EDF"/>
    <w:rsid w:val="004F6C56"/>
    <w:rsid w:val="00505BA0"/>
    <w:rsid w:val="00510980"/>
    <w:rsid w:val="00525DA9"/>
    <w:rsid w:val="00535AEA"/>
    <w:rsid w:val="0056775D"/>
    <w:rsid w:val="0057191C"/>
    <w:rsid w:val="00581EEC"/>
    <w:rsid w:val="00591FC9"/>
    <w:rsid w:val="005A130E"/>
    <w:rsid w:val="005B1BD1"/>
    <w:rsid w:val="005B55FE"/>
    <w:rsid w:val="005C38FE"/>
    <w:rsid w:val="005C4E96"/>
    <w:rsid w:val="005D11AF"/>
    <w:rsid w:val="00613907"/>
    <w:rsid w:val="00615499"/>
    <w:rsid w:val="00623379"/>
    <w:rsid w:val="00635AEF"/>
    <w:rsid w:val="00644EA0"/>
    <w:rsid w:val="006563BF"/>
    <w:rsid w:val="006615B4"/>
    <w:rsid w:val="0066259B"/>
    <w:rsid w:val="0066420C"/>
    <w:rsid w:val="00673995"/>
    <w:rsid w:val="00690460"/>
    <w:rsid w:val="00696749"/>
    <w:rsid w:val="0069726F"/>
    <w:rsid w:val="006A1009"/>
    <w:rsid w:val="006A5DD9"/>
    <w:rsid w:val="006C1976"/>
    <w:rsid w:val="006D135D"/>
    <w:rsid w:val="006E76C8"/>
    <w:rsid w:val="00723025"/>
    <w:rsid w:val="00731967"/>
    <w:rsid w:val="00736C94"/>
    <w:rsid w:val="007406A3"/>
    <w:rsid w:val="007422A1"/>
    <w:rsid w:val="00752F42"/>
    <w:rsid w:val="007805FB"/>
    <w:rsid w:val="00791B83"/>
    <w:rsid w:val="00795A7C"/>
    <w:rsid w:val="007C1EE5"/>
    <w:rsid w:val="007C5A44"/>
    <w:rsid w:val="007D08EC"/>
    <w:rsid w:val="007E5488"/>
    <w:rsid w:val="007E5A4E"/>
    <w:rsid w:val="007F22AF"/>
    <w:rsid w:val="007F41E0"/>
    <w:rsid w:val="008328FE"/>
    <w:rsid w:val="00835DDC"/>
    <w:rsid w:val="00836B45"/>
    <w:rsid w:val="00843A38"/>
    <w:rsid w:val="00844C81"/>
    <w:rsid w:val="00846CFA"/>
    <w:rsid w:val="00856067"/>
    <w:rsid w:val="00857B7E"/>
    <w:rsid w:val="00864B15"/>
    <w:rsid w:val="00882AA9"/>
    <w:rsid w:val="00896186"/>
    <w:rsid w:val="008C39D2"/>
    <w:rsid w:val="008D4E14"/>
    <w:rsid w:val="008E6AE2"/>
    <w:rsid w:val="00902935"/>
    <w:rsid w:val="00907C22"/>
    <w:rsid w:val="00926035"/>
    <w:rsid w:val="00941D3A"/>
    <w:rsid w:val="0094460F"/>
    <w:rsid w:val="00965AF7"/>
    <w:rsid w:val="009675D4"/>
    <w:rsid w:val="009935BE"/>
    <w:rsid w:val="009A6722"/>
    <w:rsid w:val="009B6E9E"/>
    <w:rsid w:val="009D6E84"/>
    <w:rsid w:val="009E38AC"/>
    <w:rsid w:val="009F4F32"/>
    <w:rsid w:val="00A017A1"/>
    <w:rsid w:val="00A51BF6"/>
    <w:rsid w:val="00A57FF4"/>
    <w:rsid w:val="00A83A46"/>
    <w:rsid w:val="00AA46F6"/>
    <w:rsid w:val="00AB1FFA"/>
    <w:rsid w:val="00AB5937"/>
    <w:rsid w:val="00AD39C4"/>
    <w:rsid w:val="00AD3F87"/>
    <w:rsid w:val="00AD6EC6"/>
    <w:rsid w:val="00AE2A47"/>
    <w:rsid w:val="00AE321A"/>
    <w:rsid w:val="00AE5B6A"/>
    <w:rsid w:val="00AF3610"/>
    <w:rsid w:val="00B04A1F"/>
    <w:rsid w:val="00B11CE1"/>
    <w:rsid w:val="00B21B4E"/>
    <w:rsid w:val="00B247F3"/>
    <w:rsid w:val="00B30BC2"/>
    <w:rsid w:val="00B3293B"/>
    <w:rsid w:val="00B344CB"/>
    <w:rsid w:val="00B53BCD"/>
    <w:rsid w:val="00B61063"/>
    <w:rsid w:val="00B63B76"/>
    <w:rsid w:val="00B75769"/>
    <w:rsid w:val="00B80588"/>
    <w:rsid w:val="00B8476A"/>
    <w:rsid w:val="00B87763"/>
    <w:rsid w:val="00B9776E"/>
    <w:rsid w:val="00BB3732"/>
    <w:rsid w:val="00BB7FA9"/>
    <w:rsid w:val="00BE3AC6"/>
    <w:rsid w:val="00BE7985"/>
    <w:rsid w:val="00BF69A7"/>
    <w:rsid w:val="00C17FFC"/>
    <w:rsid w:val="00C23B89"/>
    <w:rsid w:val="00C521AA"/>
    <w:rsid w:val="00C62F98"/>
    <w:rsid w:val="00C66F67"/>
    <w:rsid w:val="00C74C72"/>
    <w:rsid w:val="00C74EE3"/>
    <w:rsid w:val="00C84C2B"/>
    <w:rsid w:val="00C85F9D"/>
    <w:rsid w:val="00CB3913"/>
    <w:rsid w:val="00CB6541"/>
    <w:rsid w:val="00CC0809"/>
    <w:rsid w:val="00CF2540"/>
    <w:rsid w:val="00D00F25"/>
    <w:rsid w:val="00D02B4D"/>
    <w:rsid w:val="00D03DA3"/>
    <w:rsid w:val="00D20F2A"/>
    <w:rsid w:val="00D31E42"/>
    <w:rsid w:val="00D33782"/>
    <w:rsid w:val="00D61AB2"/>
    <w:rsid w:val="00D63DC9"/>
    <w:rsid w:val="00D81A19"/>
    <w:rsid w:val="00D97FA9"/>
    <w:rsid w:val="00DB37D3"/>
    <w:rsid w:val="00DB590A"/>
    <w:rsid w:val="00DC39EC"/>
    <w:rsid w:val="00DC73E3"/>
    <w:rsid w:val="00DD7932"/>
    <w:rsid w:val="00DE62C6"/>
    <w:rsid w:val="00E06AA9"/>
    <w:rsid w:val="00E11D8B"/>
    <w:rsid w:val="00E129D8"/>
    <w:rsid w:val="00E23BAD"/>
    <w:rsid w:val="00E30DE6"/>
    <w:rsid w:val="00E40298"/>
    <w:rsid w:val="00E402BD"/>
    <w:rsid w:val="00E469A1"/>
    <w:rsid w:val="00E52333"/>
    <w:rsid w:val="00E541B7"/>
    <w:rsid w:val="00E60A1A"/>
    <w:rsid w:val="00E749F4"/>
    <w:rsid w:val="00EB290A"/>
    <w:rsid w:val="00EC5FD7"/>
    <w:rsid w:val="00ED107E"/>
    <w:rsid w:val="00ED259B"/>
    <w:rsid w:val="00ED498B"/>
    <w:rsid w:val="00EE7502"/>
    <w:rsid w:val="00F03809"/>
    <w:rsid w:val="00F10DE5"/>
    <w:rsid w:val="00F2615F"/>
    <w:rsid w:val="00F345FD"/>
    <w:rsid w:val="00F476AF"/>
    <w:rsid w:val="00F56E99"/>
    <w:rsid w:val="00F65AFA"/>
    <w:rsid w:val="00F65B37"/>
    <w:rsid w:val="00F72696"/>
    <w:rsid w:val="00F759CD"/>
    <w:rsid w:val="00F9185B"/>
    <w:rsid w:val="00FD3274"/>
    <w:rsid w:val="00FD7F8D"/>
    <w:rsid w:val="00FE43BE"/>
    <w:rsid w:val="00FF4F57"/>
    <w:rsid w:val="00FF5E3F"/>
    <w:rsid w:val="00FF7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8FFF9-5B7E-415A-8072-B8DC54B8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25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2515"/>
    <w:rPr>
      <w:rFonts w:ascii="Times New Roman" w:eastAsia="Times New Roman" w:hAnsi="Times New Roman" w:cs="Times New Roman"/>
      <w:sz w:val="20"/>
      <w:szCs w:val="20"/>
    </w:rPr>
  </w:style>
  <w:style w:type="character" w:styleId="CommentReference">
    <w:name w:val="annotation reference"/>
    <w:uiPriority w:val="99"/>
    <w:semiHidden/>
    <w:unhideWhenUsed/>
    <w:rsid w:val="00012515"/>
    <w:rPr>
      <w:sz w:val="16"/>
      <w:szCs w:val="16"/>
    </w:rPr>
  </w:style>
  <w:style w:type="paragraph" w:styleId="BalloonText">
    <w:name w:val="Balloon Text"/>
    <w:basedOn w:val="Normal"/>
    <w:link w:val="BalloonTextChar"/>
    <w:uiPriority w:val="99"/>
    <w:semiHidden/>
    <w:unhideWhenUsed/>
    <w:rsid w:val="00012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15"/>
    <w:rPr>
      <w:rFonts w:ascii="Segoe UI" w:hAnsi="Segoe UI" w:cs="Segoe UI"/>
      <w:sz w:val="18"/>
      <w:szCs w:val="18"/>
    </w:rPr>
  </w:style>
  <w:style w:type="paragraph" w:styleId="Header">
    <w:name w:val="header"/>
    <w:basedOn w:val="Normal"/>
    <w:link w:val="HeaderChar"/>
    <w:uiPriority w:val="99"/>
    <w:unhideWhenUsed/>
    <w:rsid w:val="008D4E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4E14"/>
  </w:style>
  <w:style w:type="paragraph" w:styleId="Footer">
    <w:name w:val="footer"/>
    <w:basedOn w:val="Normal"/>
    <w:link w:val="FooterChar"/>
    <w:uiPriority w:val="99"/>
    <w:unhideWhenUsed/>
    <w:rsid w:val="008D4E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4E14"/>
  </w:style>
  <w:style w:type="paragraph" w:styleId="NoSpacing">
    <w:name w:val="No Spacing"/>
    <w:qFormat/>
    <w:rsid w:val="00AB593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AB593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449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499B"/>
    <w:rPr>
      <w:rFonts w:ascii="Times New Roman" w:eastAsia="Times New Roman" w:hAnsi="Times New Roman" w:cs="Times New Roman"/>
      <w:b/>
      <w:bCs/>
      <w:sz w:val="20"/>
      <w:szCs w:val="20"/>
    </w:rPr>
  </w:style>
  <w:style w:type="paragraph" w:styleId="Revision">
    <w:name w:val="Revision"/>
    <w:hidden/>
    <w:uiPriority w:val="99"/>
    <w:semiHidden/>
    <w:rsid w:val="004C3B85"/>
    <w:pPr>
      <w:spacing w:after="0" w:line="240" w:lineRule="auto"/>
    </w:pPr>
  </w:style>
  <w:style w:type="paragraph" w:styleId="ListParagraph">
    <w:name w:val="List Paragraph"/>
    <w:basedOn w:val="Normal"/>
    <w:uiPriority w:val="34"/>
    <w:qFormat/>
    <w:rsid w:val="00F2615F"/>
    <w:pPr>
      <w:ind w:left="720"/>
      <w:contextualSpacing/>
    </w:pPr>
  </w:style>
  <w:style w:type="paragraph" w:styleId="FootnoteText">
    <w:name w:val="footnote text"/>
    <w:basedOn w:val="Normal"/>
    <w:link w:val="FootnoteTextChar"/>
    <w:uiPriority w:val="99"/>
    <w:semiHidden/>
    <w:unhideWhenUsed/>
    <w:rsid w:val="005B55F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5B55F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B5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21713">
      <w:bodyDiv w:val="1"/>
      <w:marLeft w:val="0"/>
      <w:marRight w:val="0"/>
      <w:marTop w:val="0"/>
      <w:marBottom w:val="0"/>
      <w:divBdr>
        <w:top w:val="none" w:sz="0" w:space="0" w:color="auto"/>
        <w:left w:val="none" w:sz="0" w:space="0" w:color="auto"/>
        <w:bottom w:val="none" w:sz="0" w:space="0" w:color="auto"/>
        <w:right w:val="none" w:sz="0" w:space="0" w:color="auto"/>
      </w:divBdr>
    </w:div>
    <w:div w:id="18342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Gaik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DFE3-BD65-4356-B717-C7C9D87A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12337</Words>
  <Characters>7033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Starptautiskas uzņēmumu grupas pārskata par katru valsti notiekumi</vt:lpstr>
    </vt:vector>
  </TitlesOfParts>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Starptautiskas uzņēmumu grupas pārskata par katru valsti notiekumi</dc:title>
  <dc:subject>anotācija</dc:subject>
  <dc:creator>Roberts Auziņš</dc:creator>
  <cp:keywords>CbCr</cp:keywords>
  <dc:description>Tālr.67083919, Roberts.Auzins@fm.gov.lv</dc:description>
  <cp:lastModifiedBy>Ingūna Runča</cp:lastModifiedBy>
  <cp:revision>4</cp:revision>
  <cp:lastPrinted>2017-06-12T12:05:00Z</cp:lastPrinted>
  <dcterms:created xsi:type="dcterms:W3CDTF">2017-06-12T14:20:00Z</dcterms:created>
  <dcterms:modified xsi:type="dcterms:W3CDTF">2017-06-13T12:24:00Z</dcterms:modified>
</cp:coreProperties>
</file>